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96BB7" w14:textId="77777777" w:rsidR="00C05132" w:rsidRDefault="00C05132" w:rsidP="00C05132"/>
    <w:p w14:paraId="11455161" w14:textId="7D2F61EA" w:rsidR="00C86248" w:rsidRPr="00926083" w:rsidRDefault="00C61360" w:rsidP="00926083">
      <w:pPr>
        <w:pStyle w:val="Title"/>
      </w:pPr>
      <w:r w:rsidRPr="00C61360">
        <w:t>Annual Report</w:t>
      </w:r>
    </w:p>
    <w:p w14:paraId="2B4FAC6A" w14:textId="74897F10" w:rsidR="00C05132" w:rsidRDefault="00C61360" w:rsidP="00926083">
      <w:pPr>
        <w:pStyle w:val="Subhead"/>
      </w:pPr>
      <w:r w:rsidRPr="00C61360">
        <w:t>for the year ended 30 June 202</w:t>
      </w:r>
      <w:r w:rsidR="00013FA8">
        <w:t>4</w:t>
      </w:r>
    </w:p>
    <w:p w14:paraId="61CBB175" w14:textId="4DA30AB6" w:rsidR="00C61360" w:rsidRPr="00C61360" w:rsidRDefault="00C61360" w:rsidP="00C61360">
      <w:pPr>
        <w:pStyle w:val="Year"/>
      </w:pPr>
      <w:r w:rsidRPr="00C61360">
        <w:t>Presented to the House of Representatives pursuant to section 44 of the Public Finance Act 1989</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1"/>
          <w:footerReference w:type="default" r:id="rId12"/>
          <w:pgSz w:w="11907" w:h="16834" w:code="9"/>
          <w:pgMar w:top="5670" w:right="1134" w:bottom="1134" w:left="1134" w:header="567" w:footer="851" w:gutter="0"/>
          <w:pgNumType w:start="1"/>
          <w:cols w:space="720"/>
        </w:sectPr>
      </w:pPr>
    </w:p>
    <w:p w14:paraId="358CE3BA" w14:textId="618F129C"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C61360">
        <w:rPr>
          <w:rFonts w:cs="Segoe UI"/>
        </w:rPr>
        <w:t>202</w:t>
      </w:r>
      <w:r w:rsidR="00013FA8">
        <w:rPr>
          <w:rFonts w:cs="Segoe UI"/>
        </w:rPr>
        <w:t>4</w:t>
      </w:r>
      <w:r w:rsidR="00442C1C" w:rsidRPr="00C05132">
        <w:rPr>
          <w:rFonts w:cs="Segoe UI"/>
        </w:rPr>
        <w:t xml:space="preserve">. </w:t>
      </w:r>
      <w:r w:rsidR="00C61360" w:rsidRPr="00C61360">
        <w:rPr>
          <w:rFonts w:cs="Segoe UI"/>
          <w:i/>
        </w:rPr>
        <w:t>Annual Report for the Year Ended 30 June 202</w:t>
      </w:r>
      <w:r w:rsidR="00013FA8">
        <w:rPr>
          <w:rFonts w:cs="Segoe UI"/>
          <w:i/>
        </w:rPr>
        <w:t>4</w:t>
      </w:r>
      <w:r w:rsidR="00442C1C" w:rsidRPr="00C05132">
        <w:rPr>
          <w:rFonts w:cs="Segoe UI"/>
        </w:rPr>
        <w:t>. Wellington: Ministry of Health.</w:t>
      </w:r>
    </w:p>
    <w:p w14:paraId="7909192E" w14:textId="7F39EA9F" w:rsidR="00C86248" w:rsidRDefault="00C86248">
      <w:pPr>
        <w:pStyle w:val="Imprint"/>
      </w:pPr>
      <w:r>
        <w:t xml:space="preserve">Published in </w:t>
      </w:r>
      <w:r w:rsidR="0001198B">
        <w:t>October 202</w:t>
      </w:r>
      <w:r w:rsidR="00013FA8">
        <w:t>4</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464B69F4" w:rsidR="00082CD6" w:rsidRPr="009C0F2D" w:rsidRDefault="00C61360" w:rsidP="00082CD6">
      <w:pPr>
        <w:pStyle w:val="Imprint"/>
      </w:pPr>
      <w:r w:rsidRPr="00C61360">
        <w:t>ISBN 978-1-991075-</w:t>
      </w:r>
      <w:r w:rsidR="00013FA8">
        <w:t>97-0</w:t>
      </w:r>
      <w:r w:rsidRPr="00C61360">
        <w:t xml:space="preserve"> (print)</w:t>
      </w:r>
      <w:r w:rsidR="009A42D5">
        <w:br/>
      </w:r>
      <w:r w:rsidRPr="00C61360">
        <w:t>ISBN 978-1-991075-</w:t>
      </w:r>
      <w:r w:rsidR="00013FA8">
        <w:t>98-7</w:t>
      </w:r>
      <w:r w:rsidRPr="00C61360">
        <w:t xml:space="preserve"> (online)</w:t>
      </w:r>
      <w:r w:rsidR="00082CD6">
        <w:br/>
      </w:r>
      <w:r w:rsidR="00082CD6" w:rsidRPr="009C0F2D">
        <w:t xml:space="preserve">HP </w:t>
      </w:r>
      <w:r>
        <w:t>88</w:t>
      </w:r>
      <w:r w:rsidR="00013FA8">
        <w:t>78</w:t>
      </w:r>
    </w:p>
    <w:p w14:paraId="48DBDA36" w14:textId="77777777" w:rsidR="00C86248" w:rsidRDefault="008C64C4" w:rsidP="00A63DFF">
      <w:r>
        <w:rPr>
          <w:noProof/>
          <w:lang w:eastAsia="en-NZ"/>
        </w:rPr>
        <w:drawing>
          <wp:inline distT="0" distB="0" distL="0" distR="0" wp14:anchorId="6EF4539D" wp14:editId="3BAB8162">
            <wp:extent cx="1216825" cy="493307"/>
            <wp:effectExtent l="0" t="0" r="2540" b="254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216825" cy="493307"/>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 xml:space="preserve">This document is available at </w:t>
      </w:r>
      <w:proofErr w:type="gramStart"/>
      <w:r>
        <w:t>health.govt.nz</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5"/>
          <w:footerReference w:type="default" r:id="rId16"/>
          <w:pgSz w:w="11907" w:h="16834" w:code="9"/>
          <w:pgMar w:top="1701" w:right="2268" w:bottom="1134" w:left="2268" w:header="0" w:footer="0" w:gutter="0"/>
          <w:cols w:space="720"/>
          <w:vAlign w:val="bottom"/>
        </w:sectPr>
      </w:pPr>
    </w:p>
    <w:p w14:paraId="0F8774BA" w14:textId="101DD5F8" w:rsidR="00032C0A" w:rsidRDefault="00C61360" w:rsidP="004E64BF">
      <w:pPr>
        <w:pStyle w:val="Heading1"/>
      </w:pPr>
      <w:bookmarkStart w:id="1" w:name="_Toc180077005"/>
      <w:bookmarkStart w:id="2" w:name="_Toc405792991"/>
      <w:bookmarkStart w:id="3" w:name="_Toc405793224"/>
      <w:r w:rsidRPr="00C61360">
        <w:lastRenderedPageBreak/>
        <w:t>A message from the Director-General</w:t>
      </w:r>
      <w:bookmarkEnd w:id="1"/>
    </w:p>
    <w:p w14:paraId="5BA986C2" w14:textId="096C0A92" w:rsidR="00C61360" w:rsidRDefault="00C61360" w:rsidP="00C61360">
      <w:pPr>
        <w:rPr>
          <w:spacing w:val="-5"/>
        </w:rPr>
      </w:pPr>
      <w:r w:rsidRPr="00C61360">
        <w:rPr>
          <w:spacing w:val="-5"/>
        </w:rPr>
        <w:t>Kia ora koutou katoa</w:t>
      </w:r>
    </w:p>
    <w:p w14:paraId="6C1E4FFF" w14:textId="77777777" w:rsidR="00C61360" w:rsidRPr="00C61360" w:rsidRDefault="00C61360" w:rsidP="00C61360">
      <w:pPr>
        <w:rPr>
          <w:spacing w:val="-5"/>
        </w:rPr>
      </w:pPr>
    </w:p>
    <w:p w14:paraId="3D2FEA24" w14:textId="07143C04" w:rsidR="003C3B2F" w:rsidRDefault="003C3B2F" w:rsidP="003C3B2F">
      <w:pPr>
        <w:rPr>
          <w:spacing w:val="-5"/>
        </w:rPr>
      </w:pPr>
      <w:r w:rsidRPr="003C3B2F">
        <w:rPr>
          <w:spacing w:val="-5"/>
        </w:rPr>
        <w:t xml:space="preserve">I am pleased to present the Ministry of Health – Manatū Hauora Annual Report for the year ended 30 June 2024. This report covers a ‘year of two </w:t>
      </w:r>
      <w:proofErr w:type="gramStart"/>
      <w:r w:rsidRPr="003C3B2F">
        <w:rPr>
          <w:spacing w:val="-5"/>
        </w:rPr>
        <w:t>halves’</w:t>
      </w:r>
      <w:proofErr w:type="gramEnd"/>
      <w:r w:rsidRPr="003C3B2F">
        <w:rPr>
          <w:spacing w:val="-5"/>
        </w:rPr>
        <w:t>. The election in October 2023 ushered in a change of Government. Formed in November 2023, the incoming Government brought new health system priorities, health targets and a drive towards social investment and measuring outcomes.</w:t>
      </w:r>
    </w:p>
    <w:p w14:paraId="2E4F09DF" w14:textId="77777777" w:rsidR="003C3B2F" w:rsidRPr="003C3B2F" w:rsidRDefault="003C3B2F" w:rsidP="003C3B2F">
      <w:pPr>
        <w:rPr>
          <w:spacing w:val="-5"/>
        </w:rPr>
      </w:pPr>
    </w:p>
    <w:p w14:paraId="282E547B" w14:textId="00B96DF4" w:rsidR="003C3B2F" w:rsidRDefault="003C3B2F" w:rsidP="003C3B2F">
      <w:pPr>
        <w:rPr>
          <w:spacing w:val="-5"/>
        </w:rPr>
      </w:pPr>
      <w:r w:rsidRPr="003C3B2F">
        <w:rPr>
          <w:spacing w:val="-5"/>
        </w:rPr>
        <w:t>Minister of Health Hon Dr Shane Reti has outlined this Government’s priorities of access, timeliness, quality, workforce and infrastructure – and these have been built in the Government Policy Statement on Health 2024–2027. The Minister of Health has been joined, for the first</w:t>
      </w:r>
      <w:r>
        <w:rPr>
          <w:spacing w:val="-5"/>
        </w:rPr>
        <w:t xml:space="preserve"> </w:t>
      </w:r>
      <w:r w:rsidRPr="003C3B2F">
        <w:rPr>
          <w:spacing w:val="-5"/>
        </w:rPr>
        <w:t>time ever, by a Minister for Mental Health Hon Matt Doocey. The creation of this portfolio, and the work programme that underpins it, highlights the importance this Government places on mental health.</w:t>
      </w:r>
    </w:p>
    <w:p w14:paraId="64BBD818" w14:textId="77777777" w:rsidR="00D14F82" w:rsidRPr="003C3B2F" w:rsidRDefault="00D14F82" w:rsidP="003C3B2F">
      <w:pPr>
        <w:rPr>
          <w:spacing w:val="-5"/>
        </w:rPr>
      </w:pPr>
    </w:p>
    <w:p w14:paraId="146BC914" w14:textId="155E023D" w:rsidR="003C3B2F" w:rsidRDefault="003C3B2F" w:rsidP="003C3B2F">
      <w:pPr>
        <w:rPr>
          <w:spacing w:val="-5"/>
        </w:rPr>
      </w:pPr>
      <w:r w:rsidRPr="003C3B2F">
        <w:rPr>
          <w:spacing w:val="-5"/>
        </w:rPr>
        <w:t>While the Government has changed, our role as steward of the health of New Zealanders and the health system has not. We continue to lead the health system and set the direction for health for the benefit of this generation and future generations – while also supporting and monitoring the performance of the system as a whole.</w:t>
      </w:r>
    </w:p>
    <w:p w14:paraId="5288A438" w14:textId="77777777" w:rsidR="00D14F82" w:rsidRPr="003C3B2F" w:rsidRDefault="00D14F82" w:rsidP="003C3B2F">
      <w:pPr>
        <w:rPr>
          <w:spacing w:val="-5"/>
        </w:rPr>
      </w:pPr>
    </w:p>
    <w:p w14:paraId="060DC84E" w14:textId="5F10CBD0" w:rsidR="003C3B2F" w:rsidRDefault="003C3B2F" w:rsidP="003C3B2F">
      <w:pPr>
        <w:rPr>
          <w:spacing w:val="-5"/>
        </w:rPr>
      </w:pPr>
      <w:r w:rsidRPr="003C3B2F">
        <w:rPr>
          <w:spacing w:val="-5"/>
        </w:rPr>
        <w:t>Health systems worldwide are complex: each system contains large numbers of organisations and health providers. Moreover, Aotearoa New Zealand, like other countries around the world, continues to be challenged by an ageing population and workforce pressures. Over the past year, we have worked across government agencies and with the broader health sector to find workforce solutions and improve access to services for those in need. This work will continue.</w:t>
      </w:r>
    </w:p>
    <w:p w14:paraId="2267D1BE" w14:textId="77777777" w:rsidR="00D14F82" w:rsidRPr="003C3B2F" w:rsidRDefault="00D14F82" w:rsidP="003C3B2F">
      <w:pPr>
        <w:rPr>
          <w:spacing w:val="-5"/>
        </w:rPr>
      </w:pPr>
    </w:p>
    <w:p w14:paraId="59CA091D" w14:textId="03E61E13" w:rsidR="003C3B2F" w:rsidRDefault="003C3B2F" w:rsidP="003C3B2F">
      <w:pPr>
        <w:rPr>
          <w:spacing w:val="-5"/>
        </w:rPr>
      </w:pPr>
      <w:r w:rsidRPr="003C3B2F">
        <w:rPr>
          <w:spacing w:val="-5"/>
        </w:rPr>
        <w:t>This year, we established a dedicated horizon scanning function so we can be better prepared for emerging issues and opportunities. We also released our long-term insights briefing on genomics and precision health.</w:t>
      </w:r>
    </w:p>
    <w:p w14:paraId="2E1C6D49" w14:textId="77777777" w:rsidR="00D14F82" w:rsidRPr="003C3B2F" w:rsidRDefault="00D14F82" w:rsidP="003C3B2F">
      <w:pPr>
        <w:rPr>
          <w:spacing w:val="-5"/>
        </w:rPr>
      </w:pPr>
    </w:p>
    <w:p w14:paraId="36CC80E4" w14:textId="13994DB5" w:rsidR="003C3B2F" w:rsidRDefault="003C3B2F" w:rsidP="003C3B2F">
      <w:pPr>
        <w:rPr>
          <w:spacing w:val="-5"/>
        </w:rPr>
      </w:pPr>
      <w:r w:rsidRPr="003C3B2F">
        <w:rPr>
          <w:spacing w:val="-5"/>
        </w:rPr>
        <w:t>The Public Health Agency, part of the Ministry, has informed response policies to Aotearoa New Zealand’s important public health issues through evidence-led policy advice. It has established surveillance screening strategies so our country can be better prepared for new public health threats, such as the highly pathogenic avian influenza.</w:t>
      </w:r>
    </w:p>
    <w:p w14:paraId="7B46D777" w14:textId="77777777" w:rsidR="00D14F82" w:rsidRPr="003C3B2F" w:rsidRDefault="00D14F82" w:rsidP="003C3B2F">
      <w:pPr>
        <w:rPr>
          <w:spacing w:val="-5"/>
        </w:rPr>
      </w:pPr>
    </w:p>
    <w:p w14:paraId="5E797F1F" w14:textId="67C4F1B4" w:rsidR="003C3B2F" w:rsidRDefault="003C3B2F" w:rsidP="003C3B2F">
      <w:pPr>
        <w:rPr>
          <w:spacing w:val="-5"/>
        </w:rPr>
      </w:pPr>
      <w:r w:rsidRPr="003C3B2F">
        <w:rPr>
          <w:spacing w:val="-5"/>
        </w:rPr>
        <w:t>Across the Ministry, we have been working hard to improve health outcomes for all New Zealanders. The past year has been one of significant change and I want to thank all my staff for their dedication and commitment. I have been particularly proud of our ability to respond quickly to new priorities while continuing to lead the health system to provide services New Zealanders need now – and in the future.</w:t>
      </w:r>
    </w:p>
    <w:p w14:paraId="097981CD" w14:textId="4722DD15" w:rsidR="00D14F82" w:rsidRDefault="00D14F82" w:rsidP="003C3B2F">
      <w:pPr>
        <w:rPr>
          <w:spacing w:val="-5"/>
        </w:rPr>
      </w:pPr>
    </w:p>
    <w:p w14:paraId="1F885954" w14:textId="4CD7B82B" w:rsidR="00D14F82" w:rsidRDefault="00D14F82" w:rsidP="003C3B2F">
      <w:pPr>
        <w:rPr>
          <w:spacing w:val="-5"/>
        </w:rPr>
      </w:pPr>
    </w:p>
    <w:p w14:paraId="0AC11C7F" w14:textId="77777777" w:rsidR="00D14F82" w:rsidRPr="003C3B2F" w:rsidRDefault="00D14F82" w:rsidP="003C3B2F">
      <w:pPr>
        <w:rPr>
          <w:spacing w:val="-5"/>
        </w:rPr>
      </w:pPr>
    </w:p>
    <w:p w14:paraId="570AF755" w14:textId="760EAF5C" w:rsidR="00C61360" w:rsidRDefault="003C3B2F" w:rsidP="003C3B2F">
      <w:pPr>
        <w:rPr>
          <w:spacing w:val="-5"/>
        </w:rPr>
      </w:pPr>
      <w:r w:rsidRPr="003C3B2F">
        <w:rPr>
          <w:spacing w:val="-5"/>
        </w:rPr>
        <w:lastRenderedPageBreak/>
        <w:t>Ngā mihi nui</w:t>
      </w:r>
    </w:p>
    <w:p w14:paraId="0B004307" w14:textId="77777777" w:rsidR="00C61360" w:rsidRDefault="00C61360" w:rsidP="00C61360">
      <w:pPr>
        <w:rPr>
          <w:spacing w:val="-5"/>
        </w:rPr>
      </w:pPr>
    </w:p>
    <w:p w14:paraId="7D38EC2B" w14:textId="7980A812" w:rsidR="00C61360" w:rsidRPr="00C61360" w:rsidRDefault="00C61360" w:rsidP="00C61360">
      <w:pPr>
        <w:rPr>
          <w:b/>
          <w:bCs/>
          <w:spacing w:val="-5"/>
        </w:rPr>
      </w:pPr>
      <w:r w:rsidRPr="00C61360">
        <w:rPr>
          <w:b/>
          <w:bCs/>
          <w:spacing w:val="-5"/>
        </w:rPr>
        <w:t>Dr Diana Sarfati</w:t>
      </w:r>
    </w:p>
    <w:p w14:paraId="57BCC05C" w14:textId="117DB86A" w:rsidR="00C61360" w:rsidRDefault="00C61360" w:rsidP="00C61360">
      <w:pPr>
        <w:rPr>
          <w:spacing w:val="-5"/>
        </w:rPr>
      </w:pPr>
      <w:r w:rsidRPr="00C61360">
        <w:rPr>
          <w:spacing w:val="-5"/>
        </w:rPr>
        <w:t>Director-General of Health</w:t>
      </w:r>
    </w:p>
    <w:p w14:paraId="4ABFBC4D" w14:textId="38A7BCED" w:rsidR="00C61360" w:rsidRDefault="00C61360" w:rsidP="00C61360">
      <w:pPr>
        <w:rPr>
          <w:spacing w:val="-5"/>
        </w:rPr>
      </w:pPr>
    </w:p>
    <w:p w14:paraId="1607999B" w14:textId="77777777" w:rsidR="00C61360" w:rsidRDefault="00C61360" w:rsidP="00C61360"/>
    <w:p w14:paraId="3C70FAF9" w14:textId="77777777" w:rsidR="00D662F8" w:rsidRDefault="00D662F8" w:rsidP="0046362D"/>
    <w:p w14:paraId="5558ECEF" w14:textId="77777777" w:rsidR="00571223" w:rsidRDefault="00571223" w:rsidP="0046362D">
      <w:pPr>
        <w:sectPr w:rsidR="00571223" w:rsidSect="001D3E4E">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p>
    <w:p w14:paraId="56BBA327" w14:textId="77777777" w:rsidR="00C61360" w:rsidRDefault="00C61360" w:rsidP="004E64BF">
      <w:pPr>
        <w:pStyle w:val="Heading1"/>
      </w:pPr>
      <w:bookmarkStart w:id="4" w:name="_Toc180077006"/>
      <w:r>
        <w:lastRenderedPageBreak/>
        <w:t>He karere nā te Tumu Whakarae</w:t>
      </w:r>
      <w:bookmarkEnd w:id="4"/>
    </w:p>
    <w:p w14:paraId="776EF777" w14:textId="5BF74DC8" w:rsidR="00C61360" w:rsidRDefault="00C61360" w:rsidP="00C61360">
      <w:r>
        <w:t>Kia ora koutou katoa</w:t>
      </w:r>
      <w:r w:rsidR="00D14F82">
        <w:t>,</w:t>
      </w:r>
    </w:p>
    <w:p w14:paraId="08D16561" w14:textId="77777777" w:rsidR="00D14F82" w:rsidRDefault="00D14F82" w:rsidP="00C61360"/>
    <w:p w14:paraId="617DCDBC" w14:textId="396FE9B1" w:rsidR="00D14F82" w:rsidRDefault="00D14F82" w:rsidP="00D14F82">
      <w:r>
        <w:t>Kei te whakatakotohia te Pūrongo ā-Tau a te Manatū Hauora 2023/24 i runga i te ngākau harikoa. He paku rerekē pea tēnei pūrongo, i te mea, kei konei e mau ana ngā kōrero mō ‘ngā hau e rua o te tau’. I te marama o Oketopa i te tau 2023, ka whakarewaina tētahi Kāwanatanga hou. Nō te whakatūnga i te marama o Noema i te tau 2023, kua heri mai te Kāwanatanga Haumi i ngā whāinga tōmua hou ki te pūnaha hauora, i ngā putanga hauora whāiti, otirā e whai ana rātou i ngā kaupapa haumi ā-pāpori me te whakainenga o ngā hua.</w:t>
      </w:r>
    </w:p>
    <w:p w14:paraId="156504B1" w14:textId="77777777" w:rsidR="00D14F82" w:rsidRDefault="00D14F82" w:rsidP="00D14F82"/>
    <w:p w14:paraId="324A8548" w14:textId="5F71C886" w:rsidR="00D14F82" w:rsidRDefault="00D14F82" w:rsidP="00D14F82">
      <w:r>
        <w:t>Kua whakatakotohia e te Minita Hauora, e Hōnore Tākuta Shane Reti, ngā whāinga tōmua a te Kāwanatanga, arā, ko te whai wāhitanga, ko te wawe o te whakawhiwhinga me te kounga o ngā ratonga, ko te kāhui kaimahi me ngā tūāhanga – kua whakawhanakehia ēnei āhuatanga ki roto i te Tauāki mō te Kaupapa Here a te Kāwanatanga e pā ana ki te Hauora 2024–2027. Kei te mahitahi te Minita Hauora rāua ko te Minita mō te Hauora ā-Hinengaro, arā a Hōnore Matt Doocey, he tuatahitanga tēnei.</w:t>
      </w:r>
    </w:p>
    <w:p w14:paraId="2B26AECC" w14:textId="77777777" w:rsidR="00D14F82" w:rsidRDefault="00D14F82" w:rsidP="00D14F82"/>
    <w:p w14:paraId="6FE7E8C8" w14:textId="060C9417" w:rsidR="00D14F82" w:rsidRDefault="00D14F82" w:rsidP="00D14F82">
      <w:r>
        <w:t>Ahakoa kua tū he Kāwanatanga hou, ehara i te mea he rerekē ā mātou mahi hei kaihāpai o te hauora o ngā tāngata o Aotearoa me te pūnaha hauora. Kei te ārahi tonu mātou i te pūnaha hauora mō tēnei reanga me ngā reanga whakaheke , ā, kei te whakatakotoria hoki te ahunga o te ao hauora – i a mātou e tautoko ana, e aroturuki ana hoki i ngā mahi a te katoa o te pūnaha.</w:t>
      </w:r>
    </w:p>
    <w:p w14:paraId="2B99F0E0" w14:textId="77777777" w:rsidR="00D14F82" w:rsidRDefault="00D14F82" w:rsidP="00D14F82"/>
    <w:p w14:paraId="2EDA2164" w14:textId="4BBA95E5" w:rsidR="00D14F82" w:rsidRDefault="00D14F82" w:rsidP="00D14F82">
      <w:r>
        <w:t xml:space="preserve">He pīroiroi ngā pūnaha hauora puta noa i te ao, ā, he maha tonu ngā rōpū me ngā ratonga hauora kei tēnā, kei tēnā. Kei te āia </w:t>
      </w:r>
      <w:proofErr w:type="gramStart"/>
      <w:r>
        <w:t>a</w:t>
      </w:r>
      <w:proofErr w:type="gramEnd"/>
      <w:r>
        <w:t xml:space="preserve"> Aotearoa, pērā i ētahi atu whenua huri noa i te ao, e te pikinga ake o ngā tau o te taupori me ngā pēhinga ki runga i te kāhui kaimahi. I te roanga o tērā tau, kua mahi mātou ki te taha o ngā tari kāwanatanga me te rāngai whānui o te hauora ki te hāpai i te rāngai mahi, ki te whakapai ake hoki i te toronga atu o te hunga e hiahia ana ki ngā ratonga hauora. Ka haere tonu ēnei mahi.</w:t>
      </w:r>
    </w:p>
    <w:p w14:paraId="501547D5" w14:textId="77777777" w:rsidR="00D14F82" w:rsidRDefault="00D14F82" w:rsidP="00D14F82"/>
    <w:p w14:paraId="013FBFFD" w14:textId="5B71A7D2" w:rsidR="00D14F82" w:rsidRDefault="00D14F82" w:rsidP="00D14F82">
      <w:r>
        <w:t>I tēnei tau, kua whakatū mātou i tētahi kaupapa motuhake e mātai atu ana ki te pae tawhiti kia āhei mātou ki te takatū mō ngā take me ngā ara hou. Kua whakaputaina hoki tētahi whakamārama mō ngā kitenga roa e pā ana ki te mātai huinga ira me te hauora matawhaiaro.</w:t>
      </w:r>
    </w:p>
    <w:p w14:paraId="323FFD47" w14:textId="77777777" w:rsidR="00D14F82" w:rsidRDefault="00D14F82" w:rsidP="00D14F82"/>
    <w:p w14:paraId="05B50B67" w14:textId="5BE46C66" w:rsidR="00D14F82" w:rsidRDefault="00D14F82" w:rsidP="00D14F82">
      <w:r>
        <w:t>Nā te Pou Hauora Tūmatanui, he wāhi o te Manatū, ngā kaupapa here e pā ana ki ngā take mātāmua o te rāngai hauora whānui o Aotearoa i whāngai ki ngā kōrero mai i ngā taunaki rangahau. Kua whakatūria ngā rautaki mātai take hauora, kia rite ai tō tātou whenua mō ngā mate hou, pērā i te tahumaero kino o te rewharewha manu.</w:t>
      </w:r>
    </w:p>
    <w:p w14:paraId="3F4BEC61" w14:textId="77777777" w:rsidR="00D14F82" w:rsidRDefault="00D14F82" w:rsidP="00D14F82"/>
    <w:p w14:paraId="48D74F18" w14:textId="0D8334A1" w:rsidR="00C61360" w:rsidRDefault="00D14F82" w:rsidP="00D14F82">
      <w:r>
        <w:t xml:space="preserve">Huri noa i te Manatū, kua whakapau kaha mātou ki te whakapikinga ake o ngā putanga hauora ki ngā tāngata katoa o Aotearoa. He tau nui te tau kua hipa, he nui hoki ngā huringa, ā, kei te hiahia au ki te mihi ki aku kaimahi i tō rātou manawanui, i tō rātou </w:t>
      </w:r>
      <w:r>
        <w:lastRenderedPageBreak/>
        <w:t>ngākau pūmau ki ā rātou mahi. E mihi ana au i tō tātou kakama ki te tahuri mai ki ngā whāinga tōmua hou i a mātou e ārahi ana i te whakaratonga o ngā tū momo mahi e hiahiatia ana e ngā tāngata o Aotearoa i tēnei wā – ā, hei ngā tau e heke mai ana hoki.</w:t>
      </w:r>
    </w:p>
    <w:p w14:paraId="3654A1DA" w14:textId="77777777" w:rsidR="00C61360" w:rsidRDefault="00C61360" w:rsidP="00C61360"/>
    <w:p w14:paraId="15CD7DAC" w14:textId="21D4571D" w:rsidR="00D14F82" w:rsidRDefault="00D14F82" w:rsidP="00D14F82">
      <w:r>
        <w:t>Ngā mihi nui</w:t>
      </w:r>
    </w:p>
    <w:p w14:paraId="6A1EBC97" w14:textId="77777777" w:rsidR="00D14F82" w:rsidRDefault="00D14F82" w:rsidP="00D14F82"/>
    <w:p w14:paraId="075AF77F" w14:textId="77777777" w:rsidR="00D14F82" w:rsidRPr="00D14F82" w:rsidRDefault="00D14F82" w:rsidP="00D14F82">
      <w:pPr>
        <w:rPr>
          <w:b/>
          <w:bCs/>
        </w:rPr>
      </w:pPr>
      <w:r w:rsidRPr="00D14F82">
        <w:rPr>
          <w:b/>
          <w:bCs/>
        </w:rPr>
        <w:t>Dr Diana Sarfati</w:t>
      </w:r>
    </w:p>
    <w:p w14:paraId="7547F4F5" w14:textId="47D5659B" w:rsidR="00C61360" w:rsidRDefault="00D14F82" w:rsidP="00D14F82">
      <w:pPr>
        <w:sectPr w:rsidR="00C61360" w:rsidSect="0078658E">
          <w:footerReference w:type="even" r:id="rId21"/>
          <w:footerReference w:type="default" r:id="rId22"/>
          <w:pgSz w:w="11907" w:h="16840" w:code="9"/>
          <w:pgMar w:top="1418" w:right="1701" w:bottom="1134" w:left="1843" w:header="284" w:footer="425" w:gutter="284"/>
          <w:pgNumType w:fmt="lowerRoman"/>
          <w:cols w:space="720"/>
        </w:sectPr>
      </w:pPr>
      <w:r>
        <w:t>Te Tumu Whakarae mō te Hauora</w:t>
      </w:r>
    </w:p>
    <w:p w14:paraId="648D4F84" w14:textId="79F6A279" w:rsidR="00C86248" w:rsidRDefault="00C86248" w:rsidP="004E64BF">
      <w:pPr>
        <w:pStyle w:val="IntroHead"/>
      </w:pPr>
      <w:r>
        <w:lastRenderedPageBreak/>
        <w:t>Contents</w:t>
      </w:r>
      <w:bookmarkEnd w:id="2"/>
      <w:bookmarkEnd w:id="3"/>
      <w:r w:rsidR="00D14F82">
        <w:t xml:space="preserve"> </w:t>
      </w:r>
      <w:r w:rsidR="00210648" w:rsidRPr="00210648">
        <w:t>–</w:t>
      </w:r>
      <w:r w:rsidR="00D14F82" w:rsidRPr="00D14F82">
        <w:t xml:space="preserve"> Ngā kōrero</w:t>
      </w:r>
    </w:p>
    <w:p w14:paraId="1435EF53" w14:textId="1DAE9ED0" w:rsidR="00DD3379" w:rsidRDefault="0030437F">
      <w:pPr>
        <w:pStyle w:val="TOC1"/>
        <w:rPr>
          <w:rFonts w:asciiTheme="minorHAnsi" w:eastAsiaTheme="minorEastAsia" w:hAnsiTheme="minorHAnsi" w:cstheme="minorBidi"/>
          <w:noProof/>
          <w:sz w:val="22"/>
          <w:szCs w:val="22"/>
          <w:lang w:val="en-AU" w:eastAsia="en-AU"/>
        </w:rPr>
      </w:pPr>
      <w:r>
        <w:rPr>
          <w:b/>
        </w:rPr>
        <w:fldChar w:fldCharType="begin"/>
      </w:r>
      <w:r>
        <w:rPr>
          <w:b/>
        </w:rPr>
        <w:instrText xml:space="preserve"> TOC \o "1-2" \h \z </w:instrText>
      </w:r>
      <w:r>
        <w:rPr>
          <w:b/>
        </w:rPr>
        <w:fldChar w:fldCharType="separate"/>
      </w:r>
      <w:hyperlink w:anchor="_Toc180077005" w:history="1">
        <w:r w:rsidR="00DD3379" w:rsidRPr="004F69F0">
          <w:rPr>
            <w:rStyle w:val="Hyperlink"/>
            <w:noProof/>
          </w:rPr>
          <w:t>A message from the Director-General</w:t>
        </w:r>
        <w:r w:rsidR="00DD3379">
          <w:rPr>
            <w:noProof/>
            <w:webHidden/>
          </w:rPr>
          <w:tab/>
        </w:r>
        <w:r w:rsidR="00DD3379">
          <w:rPr>
            <w:noProof/>
            <w:webHidden/>
          </w:rPr>
          <w:fldChar w:fldCharType="begin"/>
        </w:r>
        <w:r w:rsidR="00DD3379">
          <w:rPr>
            <w:noProof/>
            <w:webHidden/>
          </w:rPr>
          <w:instrText xml:space="preserve"> PAGEREF _Toc180077005 \h </w:instrText>
        </w:r>
        <w:r w:rsidR="00DD3379">
          <w:rPr>
            <w:noProof/>
            <w:webHidden/>
          </w:rPr>
        </w:r>
        <w:r w:rsidR="00DD3379">
          <w:rPr>
            <w:noProof/>
            <w:webHidden/>
          </w:rPr>
          <w:fldChar w:fldCharType="separate"/>
        </w:r>
        <w:r w:rsidR="00DD3379">
          <w:rPr>
            <w:noProof/>
            <w:webHidden/>
          </w:rPr>
          <w:t>iii</w:t>
        </w:r>
        <w:r w:rsidR="00DD3379">
          <w:rPr>
            <w:noProof/>
            <w:webHidden/>
          </w:rPr>
          <w:fldChar w:fldCharType="end"/>
        </w:r>
      </w:hyperlink>
    </w:p>
    <w:p w14:paraId="742B0D1B" w14:textId="37AF2C80" w:rsidR="00DD3379" w:rsidRDefault="005C6CAE">
      <w:pPr>
        <w:pStyle w:val="TOC1"/>
        <w:rPr>
          <w:rFonts w:asciiTheme="minorHAnsi" w:eastAsiaTheme="minorEastAsia" w:hAnsiTheme="minorHAnsi" w:cstheme="minorBidi"/>
          <w:noProof/>
          <w:sz w:val="22"/>
          <w:szCs w:val="22"/>
          <w:lang w:val="en-AU" w:eastAsia="en-AU"/>
        </w:rPr>
      </w:pPr>
      <w:hyperlink w:anchor="_Toc180077006" w:history="1">
        <w:r w:rsidR="00DD3379" w:rsidRPr="004F69F0">
          <w:rPr>
            <w:rStyle w:val="Hyperlink"/>
            <w:noProof/>
          </w:rPr>
          <w:t>He karere nā te Tumu Whakarae</w:t>
        </w:r>
        <w:r w:rsidR="00DD3379">
          <w:rPr>
            <w:noProof/>
            <w:webHidden/>
          </w:rPr>
          <w:tab/>
        </w:r>
        <w:r w:rsidR="00DD3379">
          <w:rPr>
            <w:noProof/>
            <w:webHidden/>
          </w:rPr>
          <w:fldChar w:fldCharType="begin"/>
        </w:r>
        <w:r w:rsidR="00DD3379">
          <w:rPr>
            <w:noProof/>
            <w:webHidden/>
          </w:rPr>
          <w:instrText xml:space="preserve"> PAGEREF _Toc180077006 \h </w:instrText>
        </w:r>
        <w:r w:rsidR="00DD3379">
          <w:rPr>
            <w:noProof/>
            <w:webHidden/>
          </w:rPr>
        </w:r>
        <w:r w:rsidR="00DD3379">
          <w:rPr>
            <w:noProof/>
            <w:webHidden/>
          </w:rPr>
          <w:fldChar w:fldCharType="separate"/>
        </w:r>
        <w:r w:rsidR="00DD3379">
          <w:rPr>
            <w:noProof/>
            <w:webHidden/>
          </w:rPr>
          <w:t>v</w:t>
        </w:r>
        <w:r w:rsidR="00DD3379">
          <w:rPr>
            <w:noProof/>
            <w:webHidden/>
          </w:rPr>
          <w:fldChar w:fldCharType="end"/>
        </w:r>
      </w:hyperlink>
    </w:p>
    <w:p w14:paraId="32A2A95D" w14:textId="5313D144" w:rsidR="00DD3379" w:rsidRDefault="005C6CAE">
      <w:pPr>
        <w:pStyle w:val="TOC1"/>
        <w:rPr>
          <w:rFonts w:asciiTheme="minorHAnsi" w:eastAsiaTheme="minorEastAsia" w:hAnsiTheme="minorHAnsi" w:cstheme="minorBidi"/>
          <w:noProof/>
          <w:sz w:val="22"/>
          <w:szCs w:val="22"/>
          <w:lang w:val="en-AU" w:eastAsia="en-AU"/>
        </w:rPr>
      </w:pPr>
      <w:hyperlink w:anchor="_Toc180077007" w:history="1">
        <w:r w:rsidR="00DD3379" w:rsidRPr="004F69F0">
          <w:rPr>
            <w:rStyle w:val="Hyperlink"/>
            <w:noProof/>
          </w:rPr>
          <w:t>Our highlights for 2023/24 – Ngā mahi whakahirahira o te tau 2023/24</w:t>
        </w:r>
        <w:r w:rsidR="00DD3379">
          <w:rPr>
            <w:noProof/>
            <w:webHidden/>
          </w:rPr>
          <w:tab/>
        </w:r>
        <w:r w:rsidR="00DD3379">
          <w:rPr>
            <w:noProof/>
            <w:webHidden/>
          </w:rPr>
          <w:fldChar w:fldCharType="begin"/>
        </w:r>
        <w:r w:rsidR="00DD3379">
          <w:rPr>
            <w:noProof/>
            <w:webHidden/>
          </w:rPr>
          <w:instrText xml:space="preserve"> PAGEREF _Toc180077007 \h </w:instrText>
        </w:r>
        <w:r w:rsidR="00DD3379">
          <w:rPr>
            <w:noProof/>
            <w:webHidden/>
          </w:rPr>
        </w:r>
        <w:r w:rsidR="00DD3379">
          <w:rPr>
            <w:noProof/>
            <w:webHidden/>
          </w:rPr>
          <w:fldChar w:fldCharType="separate"/>
        </w:r>
        <w:r w:rsidR="00DD3379">
          <w:rPr>
            <w:noProof/>
            <w:webHidden/>
          </w:rPr>
          <w:t>1</w:t>
        </w:r>
        <w:r w:rsidR="00DD3379">
          <w:rPr>
            <w:noProof/>
            <w:webHidden/>
          </w:rPr>
          <w:fldChar w:fldCharType="end"/>
        </w:r>
      </w:hyperlink>
    </w:p>
    <w:p w14:paraId="254825A2" w14:textId="0B648998" w:rsidR="00DD3379" w:rsidRDefault="005C6CAE">
      <w:pPr>
        <w:pStyle w:val="TOC2"/>
        <w:rPr>
          <w:rFonts w:asciiTheme="minorHAnsi" w:eastAsiaTheme="minorEastAsia" w:hAnsiTheme="minorHAnsi" w:cstheme="minorBidi"/>
          <w:noProof/>
          <w:szCs w:val="22"/>
          <w:lang w:val="en-AU" w:eastAsia="en-AU"/>
        </w:rPr>
      </w:pPr>
      <w:hyperlink w:anchor="_Toc180077008" w:history="1">
        <w:r w:rsidR="00DD3379" w:rsidRPr="004F69F0">
          <w:rPr>
            <w:rStyle w:val="Hyperlink"/>
            <w:noProof/>
          </w:rPr>
          <w:t>Who we are and the outcomes we contribute to</w:t>
        </w:r>
        <w:r w:rsidR="00DD3379">
          <w:rPr>
            <w:noProof/>
            <w:webHidden/>
          </w:rPr>
          <w:tab/>
        </w:r>
        <w:r w:rsidR="00DD3379">
          <w:rPr>
            <w:noProof/>
            <w:webHidden/>
          </w:rPr>
          <w:fldChar w:fldCharType="begin"/>
        </w:r>
        <w:r w:rsidR="00DD3379">
          <w:rPr>
            <w:noProof/>
            <w:webHidden/>
          </w:rPr>
          <w:instrText xml:space="preserve"> PAGEREF _Toc180077008 \h </w:instrText>
        </w:r>
        <w:r w:rsidR="00DD3379">
          <w:rPr>
            <w:noProof/>
            <w:webHidden/>
          </w:rPr>
        </w:r>
        <w:r w:rsidR="00DD3379">
          <w:rPr>
            <w:noProof/>
            <w:webHidden/>
          </w:rPr>
          <w:fldChar w:fldCharType="separate"/>
        </w:r>
        <w:r w:rsidR="00DD3379">
          <w:rPr>
            <w:noProof/>
            <w:webHidden/>
          </w:rPr>
          <w:t>1</w:t>
        </w:r>
        <w:r w:rsidR="00DD3379">
          <w:rPr>
            <w:noProof/>
            <w:webHidden/>
          </w:rPr>
          <w:fldChar w:fldCharType="end"/>
        </w:r>
      </w:hyperlink>
    </w:p>
    <w:p w14:paraId="5BD89151" w14:textId="023DA0BC" w:rsidR="00DD3379" w:rsidRDefault="005C6CAE">
      <w:pPr>
        <w:pStyle w:val="TOC2"/>
        <w:rPr>
          <w:rFonts w:asciiTheme="minorHAnsi" w:eastAsiaTheme="minorEastAsia" w:hAnsiTheme="minorHAnsi" w:cstheme="minorBidi"/>
          <w:noProof/>
          <w:szCs w:val="22"/>
          <w:lang w:val="en-AU" w:eastAsia="en-AU"/>
        </w:rPr>
      </w:pPr>
      <w:hyperlink w:anchor="_Toc180077009" w:history="1">
        <w:r w:rsidR="00DD3379" w:rsidRPr="004F69F0">
          <w:rPr>
            <w:rStyle w:val="Hyperlink"/>
            <w:noProof/>
          </w:rPr>
          <w:t>Highlights against our six new priorities</w:t>
        </w:r>
        <w:r w:rsidR="00DD3379">
          <w:rPr>
            <w:noProof/>
            <w:webHidden/>
          </w:rPr>
          <w:tab/>
        </w:r>
        <w:r w:rsidR="00DD3379">
          <w:rPr>
            <w:noProof/>
            <w:webHidden/>
          </w:rPr>
          <w:fldChar w:fldCharType="begin"/>
        </w:r>
        <w:r w:rsidR="00DD3379">
          <w:rPr>
            <w:noProof/>
            <w:webHidden/>
          </w:rPr>
          <w:instrText xml:space="preserve"> PAGEREF _Toc180077009 \h </w:instrText>
        </w:r>
        <w:r w:rsidR="00DD3379">
          <w:rPr>
            <w:noProof/>
            <w:webHidden/>
          </w:rPr>
        </w:r>
        <w:r w:rsidR="00DD3379">
          <w:rPr>
            <w:noProof/>
            <w:webHidden/>
          </w:rPr>
          <w:fldChar w:fldCharType="separate"/>
        </w:r>
        <w:r w:rsidR="00DD3379">
          <w:rPr>
            <w:noProof/>
            <w:webHidden/>
          </w:rPr>
          <w:t>1</w:t>
        </w:r>
        <w:r w:rsidR="00DD3379">
          <w:rPr>
            <w:noProof/>
            <w:webHidden/>
          </w:rPr>
          <w:fldChar w:fldCharType="end"/>
        </w:r>
      </w:hyperlink>
    </w:p>
    <w:p w14:paraId="1E4BA59F" w14:textId="152F7D7C" w:rsidR="00DD3379" w:rsidRDefault="005C6CAE">
      <w:pPr>
        <w:pStyle w:val="TOC2"/>
        <w:rPr>
          <w:rFonts w:asciiTheme="minorHAnsi" w:eastAsiaTheme="minorEastAsia" w:hAnsiTheme="minorHAnsi" w:cstheme="minorBidi"/>
          <w:noProof/>
          <w:szCs w:val="22"/>
          <w:lang w:val="en-AU" w:eastAsia="en-AU"/>
        </w:rPr>
      </w:pPr>
      <w:hyperlink w:anchor="_Toc180077010" w:history="1">
        <w:r w:rsidR="00DD3379" w:rsidRPr="004F69F0">
          <w:rPr>
            <w:rStyle w:val="Hyperlink"/>
            <w:noProof/>
          </w:rPr>
          <w:t>Performance against our output measures and targets in Vote Health</w:t>
        </w:r>
        <w:r w:rsidR="00DD3379">
          <w:rPr>
            <w:noProof/>
            <w:webHidden/>
          </w:rPr>
          <w:tab/>
        </w:r>
        <w:r w:rsidR="00DD3379">
          <w:rPr>
            <w:noProof/>
            <w:webHidden/>
          </w:rPr>
          <w:fldChar w:fldCharType="begin"/>
        </w:r>
        <w:r w:rsidR="00DD3379">
          <w:rPr>
            <w:noProof/>
            <w:webHidden/>
          </w:rPr>
          <w:instrText xml:space="preserve"> PAGEREF _Toc180077010 \h </w:instrText>
        </w:r>
        <w:r w:rsidR="00DD3379">
          <w:rPr>
            <w:noProof/>
            <w:webHidden/>
          </w:rPr>
        </w:r>
        <w:r w:rsidR="00DD3379">
          <w:rPr>
            <w:noProof/>
            <w:webHidden/>
          </w:rPr>
          <w:fldChar w:fldCharType="separate"/>
        </w:r>
        <w:r w:rsidR="00DD3379">
          <w:rPr>
            <w:noProof/>
            <w:webHidden/>
          </w:rPr>
          <w:t>4</w:t>
        </w:r>
        <w:r w:rsidR="00DD3379">
          <w:rPr>
            <w:noProof/>
            <w:webHidden/>
          </w:rPr>
          <w:fldChar w:fldCharType="end"/>
        </w:r>
      </w:hyperlink>
    </w:p>
    <w:p w14:paraId="571D8C64" w14:textId="7A9C5D2C" w:rsidR="00DD3379" w:rsidRDefault="005C6CAE">
      <w:pPr>
        <w:pStyle w:val="TOC1"/>
        <w:rPr>
          <w:rFonts w:asciiTheme="minorHAnsi" w:eastAsiaTheme="minorEastAsia" w:hAnsiTheme="minorHAnsi" w:cstheme="minorBidi"/>
          <w:noProof/>
          <w:sz w:val="22"/>
          <w:szCs w:val="22"/>
          <w:lang w:val="en-AU" w:eastAsia="en-AU"/>
        </w:rPr>
      </w:pPr>
      <w:hyperlink w:anchor="_Toc180077011" w:history="1">
        <w:r w:rsidR="00DD3379" w:rsidRPr="004F69F0">
          <w:rPr>
            <w:rStyle w:val="Hyperlink"/>
            <w:noProof/>
          </w:rPr>
          <w:t>About us – Mō mātou</w:t>
        </w:r>
        <w:r w:rsidR="00DD3379">
          <w:rPr>
            <w:noProof/>
            <w:webHidden/>
          </w:rPr>
          <w:tab/>
        </w:r>
        <w:r w:rsidR="00DD3379">
          <w:rPr>
            <w:noProof/>
            <w:webHidden/>
          </w:rPr>
          <w:fldChar w:fldCharType="begin"/>
        </w:r>
        <w:r w:rsidR="00DD3379">
          <w:rPr>
            <w:noProof/>
            <w:webHidden/>
          </w:rPr>
          <w:instrText xml:space="preserve"> PAGEREF _Toc180077011 \h </w:instrText>
        </w:r>
        <w:r w:rsidR="00DD3379">
          <w:rPr>
            <w:noProof/>
            <w:webHidden/>
          </w:rPr>
        </w:r>
        <w:r w:rsidR="00DD3379">
          <w:rPr>
            <w:noProof/>
            <w:webHidden/>
          </w:rPr>
          <w:fldChar w:fldCharType="separate"/>
        </w:r>
        <w:r w:rsidR="00DD3379">
          <w:rPr>
            <w:noProof/>
            <w:webHidden/>
          </w:rPr>
          <w:t>6</w:t>
        </w:r>
        <w:r w:rsidR="00DD3379">
          <w:rPr>
            <w:noProof/>
            <w:webHidden/>
          </w:rPr>
          <w:fldChar w:fldCharType="end"/>
        </w:r>
      </w:hyperlink>
    </w:p>
    <w:p w14:paraId="239FCB0C" w14:textId="2D358B63" w:rsidR="00DD3379" w:rsidRDefault="005C6CAE">
      <w:pPr>
        <w:pStyle w:val="TOC2"/>
        <w:rPr>
          <w:rFonts w:asciiTheme="minorHAnsi" w:eastAsiaTheme="minorEastAsia" w:hAnsiTheme="minorHAnsi" w:cstheme="minorBidi"/>
          <w:noProof/>
          <w:szCs w:val="22"/>
          <w:lang w:val="en-AU" w:eastAsia="en-AU"/>
        </w:rPr>
      </w:pPr>
      <w:hyperlink w:anchor="_Toc180077012" w:history="1">
        <w:r w:rsidR="00DD3379" w:rsidRPr="004F69F0">
          <w:rPr>
            <w:rStyle w:val="Hyperlink"/>
            <w:noProof/>
          </w:rPr>
          <w:t>About the Ministry of Health</w:t>
        </w:r>
        <w:r w:rsidR="00DD3379">
          <w:rPr>
            <w:noProof/>
            <w:webHidden/>
          </w:rPr>
          <w:tab/>
        </w:r>
        <w:r w:rsidR="00DD3379">
          <w:rPr>
            <w:noProof/>
            <w:webHidden/>
          </w:rPr>
          <w:fldChar w:fldCharType="begin"/>
        </w:r>
        <w:r w:rsidR="00DD3379">
          <w:rPr>
            <w:noProof/>
            <w:webHidden/>
          </w:rPr>
          <w:instrText xml:space="preserve"> PAGEREF _Toc180077012 \h </w:instrText>
        </w:r>
        <w:r w:rsidR="00DD3379">
          <w:rPr>
            <w:noProof/>
            <w:webHidden/>
          </w:rPr>
        </w:r>
        <w:r w:rsidR="00DD3379">
          <w:rPr>
            <w:noProof/>
            <w:webHidden/>
          </w:rPr>
          <w:fldChar w:fldCharType="separate"/>
        </w:r>
        <w:r w:rsidR="00DD3379">
          <w:rPr>
            <w:noProof/>
            <w:webHidden/>
          </w:rPr>
          <w:t>6</w:t>
        </w:r>
        <w:r w:rsidR="00DD3379">
          <w:rPr>
            <w:noProof/>
            <w:webHidden/>
          </w:rPr>
          <w:fldChar w:fldCharType="end"/>
        </w:r>
      </w:hyperlink>
    </w:p>
    <w:p w14:paraId="443D425B" w14:textId="0984EF7F" w:rsidR="00DD3379" w:rsidRDefault="005C6CAE">
      <w:pPr>
        <w:pStyle w:val="TOC2"/>
        <w:rPr>
          <w:rFonts w:asciiTheme="minorHAnsi" w:eastAsiaTheme="minorEastAsia" w:hAnsiTheme="minorHAnsi" w:cstheme="minorBidi"/>
          <w:noProof/>
          <w:szCs w:val="22"/>
          <w:lang w:val="en-AU" w:eastAsia="en-AU"/>
        </w:rPr>
      </w:pPr>
      <w:hyperlink w:anchor="_Toc180077013" w:history="1">
        <w:r w:rsidR="00DD3379" w:rsidRPr="004F69F0">
          <w:rPr>
            <w:rStyle w:val="Hyperlink"/>
            <w:noProof/>
          </w:rPr>
          <w:t>Giving effect to our role as system steward</w:t>
        </w:r>
        <w:r w:rsidR="00DD3379">
          <w:rPr>
            <w:noProof/>
            <w:webHidden/>
          </w:rPr>
          <w:tab/>
        </w:r>
        <w:r w:rsidR="00DD3379">
          <w:rPr>
            <w:noProof/>
            <w:webHidden/>
          </w:rPr>
          <w:fldChar w:fldCharType="begin"/>
        </w:r>
        <w:r w:rsidR="00DD3379">
          <w:rPr>
            <w:noProof/>
            <w:webHidden/>
          </w:rPr>
          <w:instrText xml:space="preserve"> PAGEREF _Toc180077013 \h </w:instrText>
        </w:r>
        <w:r w:rsidR="00DD3379">
          <w:rPr>
            <w:noProof/>
            <w:webHidden/>
          </w:rPr>
        </w:r>
        <w:r w:rsidR="00DD3379">
          <w:rPr>
            <w:noProof/>
            <w:webHidden/>
          </w:rPr>
          <w:fldChar w:fldCharType="separate"/>
        </w:r>
        <w:r w:rsidR="00DD3379">
          <w:rPr>
            <w:noProof/>
            <w:webHidden/>
          </w:rPr>
          <w:t>10</w:t>
        </w:r>
        <w:r w:rsidR="00DD3379">
          <w:rPr>
            <w:noProof/>
            <w:webHidden/>
          </w:rPr>
          <w:fldChar w:fldCharType="end"/>
        </w:r>
      </w:hyperlink>
    </w:p>
    <w:p w14:paraId="7D278355" w14:textId="56FDCC06" w:rsidR="00DD3379" w:rsidRDefault="005C6CAE">
      <w:pPr>
        <w:pStyle w:val="TOC2"/>
        <w:rPr>
          <w:rFonts w:asciiTheme="minorHAnsi" w:eastAsiaTheme="minorEastAsia" w:hAnsiTheme="minorHAnsi" w:cstheme="minorBidi"/>
          <w:noProof/>
          <w:szCs w:val="22"/>
          <w:lang w:val="en-AU" w:eastAsia="en-AU"/>
        </w:rPr>
      </w:pPr>
      <w:hyperlink w:anchor="_Toc180077014" w:history="1">
        <w:r w:rsidR="00DD3379" w:rsidRPr="004F69F0">
          <w:rPr>
            <w:rStyle w:val="Hyperlink"/>
            <w:noProof/>
          </w:rPr>
          <w:t>Our operating context</w:t>
        </w:r>
        <w:r w:rsidR="00DD3379">
          <w:rPr>
            <w:noProof/>
            <w:webHidden/>
          </w:rPr>
          <w:tab/>
        </w:r>
        <w:r w:rsidR="00DD3379">
          <w:rPr>
            <w:noProof/>
            <w:webHidden/>
          </w:rPr>
          <w:fldChar w:fldCharType="begin"/>
        </w:r>
        <w:r w:rsidR="00DD3379">
          <w:rPr>
            <w:noProof/>
            <w:webHidden/>
          </w:rPr>
          <w:instrText xml:space="preserve"> PAGEREF _Toc180077014 \h </w:instrText>
        </w:r>
        <w:r w:rsidR="00DD3379">
          <w:rPr>
            <w:noProof/>
            <w:webHidden/>
          </w:rPr>
        </w:r>
        <w:r w:rsidR="00DD3379">
          <w:rPr>
            <w:noProof/>
            <w:webHidden/>
          </w:rPr>
          <w:fldChar w:fldCharType="separate"/>
        </w:r>
        <w:r w:rsidR="00DD3379">
          <w:rPr>
            <w:noProof/>
            <w:webHidden/>
          </w:rPr>
          <w:t>14</w:t>
        </w:r>
        <w:r w:rsidR="00DD3379">
          <w:rPr>
            <w:noProof/>
            <w:webHidden/>
          </w:rPr>
          <w:fldChar w:fldCharType="end"/>
        </w:r>
      </w:hyperlink>
    </w:p>
    <w:p w14:paraId="6FE651C1" w14:textId="6D1C84FD" w:rsidR="00DD3379" w:rsidRDefault="005C6CAE">
      <w:pPr>
        <w:pStyle w:val="TOC1"/>
        <w:rPr>
          <w:rFonts w:asciiTheme="minorHAnsi" w:eastAsiaTheme="minorEastAsia" w:hAnsiTheme="minorHAnsi" w:cstheme="minorBidi"/>
          <w:noProof/>
          <w:sz w:val="22"/>
          <w:szCs w:val="22"/>
          <w:lang w:val="en-AU" w:eastAsia="en-AU"/>
        </w:rPr>
      </w:pPr>
      <w:hyperlink w:anchor="_Toc180077015" w:history="1">
        <w:r w:rsidR="00DD3379" w:rsidRPr="004F69F0">
          <w:rPr>
            <w:rStyle w:val="Hyperlink"/>
            <w:noProof/>
          </w:rPr>
          <w:t>Our performance story – Ngā kōrero mō ngā whakatutukinga</w:t>
        </w:r>
        <w:r w:rsidR="00DD3379">
          <w:rPr>
            <w:noProof/>
            <w:webHidden/>
          </w:rPr>
          <w:tab/>
        </w:r>
        <w:r w:rsidR="00DD3379">
          <w:rPr>
            <w:noProof/>
            <w:webHidden/>
          </w:rPr>
          <w:fldChar w:fldCharType="begin"/>
        </w:r>
        <w:r w:rsidR="00DD3379">
          <w:rPr>
            <w:noProof/>
            <w:webHidden/>
          </w:rPr>
          <w:instrText xml:space="preserve"> PAGEREF _Toc180077015 \h </w:instrText>
        </w:r>
        <w:r w:rsidR="00DD3379">
          <w:rPr>
            <w:noProof/>
            <w:webHidden/>
          </w:rPr>
        </w:r>
        <w:r w:rsidR="00DD3379">
          <w:rPr>
            <w:noProof/>
            <w:webHidden/>
          </w:rPr>
          <w:fldChar w:fldCharType="separate"/>
        </w:r>
        <w:r w:rsidR="00DD3379">
          <w:rPr>
            <w:noProof/>
            <w:webHidden/>
          </w:rPr>
          <w:t>19</w:t>
        </w:r>
        <w:r w:rsidR="00DD3379">
          <w:rPr>
            <w:noProof/>
            <w:webHidden/>
          </w:rPr>
          <w:fldChar w:fldCharType="end"/>
        </w:r>
      </w:hyperlink>
    </w:p>
    <w:p w14:paraId="71DB5F4F" w14:textId="67377181" w:rsidR="00DD3379" w:rsidRDefault="005C6CAE">
      <w:pPr>
        <w:pStyle w:val="TOC2"/>
        <w:rPr>
          <w:rFonts w:asciiTheme="minorHAnsi" w:eastAsiaTheme="minorEastAsia" w:hAnsiTheme="minorHAnsi" w:cstheme="minorBidi"/>
          <w:noProof/>
          <w:szCs w:val="22"/>
          <w:lang w:val="en-AU" w:eastAsia="en-AU"/>
        </w:rPr>
      </w:pPr>
      <w:hyperlink w:anchor="_Toc180077016" w:history="1">
        <w:r w:rsidR="00DD3379" w:rsidRPr="004F69F0">
          <w:rPr>
            <w:rStyle w:val="Hyperlink"/>
            <w:noProof/>
          </w:rPr>
          <w:t>Reporting against our priorities</w:t>
        </w:r>
        <w:r w:rsidR="00DD3379">
          <w:rPr>
            <w:noProof/>
            <w:webHidden/>
          </w:rPr>
          <w:tab/>
        </w:r>
        <w:r w:rsidR="00DD3379">
          <w:rPr>
            <w:noProof/>
            <w:webHidden/>
          </w:rPr>
          <w:fldChar w:fldCharType="begin"/>
        </w:r>
        <w:r w:rsidR="00DD3379">
          <w:rPr>
            <w:noProof/>
            <w:webHidden/>
          </w:rPr>
          <w:instrText xml:space="preserve"> PAGEREF _Toc180077016 \h </w:instrText>
        </w:r>
        <w:r w:rsidR="00DD3379">
          <w:rPr>
            <w:noProof/>
            <w:webHidden/>
          </w:rPr>
        </w:r>
        <w:r w:rsidR="00DD3379">
          <w:rPr>
            <w:noProof/>
            <w:webHidden/>
          </w:rPr>
          <w:fldChar w:fldCharType="separate"/>
        </w:r>
        <w:r w:rsidR="00DD3379">
          <w:rPr>
            <w:noProof/>
            <w:webHidden/>
          </w:rPr>
          <w:t>19</w:t>
        </w:r>
        <w:r w:rsidR="00DD3379">
          <w:rPr>
            <w:noProof/>
            <w:webHidden/>
          </w:rPr>
          <w:fldChar w:fldCharType="end"/>
        </w:r>
      </w:hyperlink>
    </w:p>
    <w:p w14:paraId="07E43FD5" w14:textId="3E969F18" w:rsidR="00DD3379" w:rsidRDefault="005C6CAE">
      <w:pPr>
        <w:pStyle w:val="TOC2"/>
        <w:rPr>
          <w:rFonts w:asciiTheme="minorHAnsi" w:eastAsiaTheme="minorEastAsia" w:hAnsiTheme="minorHAnsi" w:cstheme="minorBidi"/>
          <w:noProof/>
          <w:szCs w:val="22"/>
          <w:lang w:val="en-AU" w:eastAsia="en-AU"/>
        </w:rPr>
      </w:pPr>
      <w:hyperlink w:anchor="_Toc180077017" w:history="1">
        <w:r w:rsidR="00DD3379" w:rsidRPr="004F69F0">
          <w:rPr>
            <w:rStyle w:val="Hyperlink"/>
            <w:noProof/>
          </w:rPr>
          <w:t>Priority 1: Provide system-level leadership</w:t>
        </w:r>
        <w:r w:rsidR="00DD3379">
          <w:rPr>
            <w:noProof/>
            <w:webHidden/>
          </w:rPr>
          <w:tab/>
        </w:r>
        <w:r w:rsidR="00DD3379">
          <w:rPr>
            <w:noProof/>
            <w:webHidden/>
          </w:rPr>
          <w:fldChar w:fldCharType="begin"/>
        </w:r>
        <w:r w:rsidR="00DD3379">
          <w:rPr>
            <w:noProof/>
            <w:webHidden/>
          </w:rPr>
          <w:instrText xml:space="preserve"> PAGEREF _Toc180077017 \h </w:instrText>
        </w:r>
        <w:r w:rsidR="00DD3379">
          <w:rPr>
            <w:noProof/>
            <w:webHidden/>
          </w:rPr>
        </w:r>
        <w:r w:rsidR="00DD3379">
          <w:rPr>
            <w:noProof/>
            <w:webHidden/>
          </w:rPr>
          <w:fldChar w:fldCharType="separate"/>
        </w:r>
        <w:r w:rsidR="00DD3379">
          <w:rPr>
            <w:noProof/>
            <w:webHidden/>
          </w:rPr>
          <w:t>24</w:t>
        </w:r>
        <w:r w:rsidR="00DD3379">
          <w:rPr>
            <w:noProof/>
            <w:webHidden/>
          </w:rPr>
          <w:fldChar w:fldCharType="end"/>
        </w:r>
      </w:hyperlink>
    </w:p>
    <w:p w14:paraId="5A7171AB" w14:textId="46CA3CB0" w:rsidR="00DD3379" w:rsidRDefault="005C6CAE">
      <w:pPr>
        <w:pStyle w:val="TOC2"/>
        <w:rPr>
          <w:rFonts w:asciiTheme="minorHAnsi" w:eastAsiaTheme="minorEastAsia" w:hAnsiTheme="minorHAnsi" w:cstheme="minorBidi"/>
          <w:noProof/>
          <w:szCs w:val="22"/>
          <w:lang w:val="en-AU" w:eastAsia="en-AU"/>
        </w:rPr>
      </w:pPr>
      <w:hyperlink w:anchor="_Toc180077018" w:history="1">
        <w:r w:rsidR="00DD3379" w:rsidRPr="004F69F0">
          <w:rPr>
            <w:rStyle w:val="Hyperlink"/>
            <w:noProof/>
          </w:rPr>
          <w:t>Priority 2: Drive system strategy and performance</w:t>
        </w:r>
        <w:r w:rsidR="00DD3379">
          <w:rPr>
            <w:noProof/>
            <w:webHidden/>
          </w:rPr>
          <w:tab/>
        </w:r>
        <w:r w:rsidR="00DD3379">
          <w:rPr>
            <w:noProof/>
            <w:webHidden/>
          </w:rPr>
          <w:fldChar w:fldCharType="begin"/>
        </w:r>
        <w:r w:rsidR="00DD3379">
          <w:rPr>
            <w:noProof/>
            <w:webHidden/>
          </w:rPr>
          <w:instrText xml:space="preserve"> PAGEREF _Toc180077018 \h </w:instrText>
        </w:r>
        <w:r w:rsidR="00DD3379">
          <w:rPr>
            <w:noProof/>
            <w:webHidden/>
          </w:rPr>
        </w:r>
        <w:r w:rsidR="00DD3379">
          <w:rPr>
            <w:noProof/>
            <w:webHidden/>
          </w:rPr>
          <w:fldChar w:fldCharType="separate"/>
        </w:r>
        <w:r w:rsidR="00DD3379">
          <w:rPr>
            <w:noProof/>
            <w:webHidden/>
          </w:rPr>
          <w:t>31</w:t>
        </w:r>
        <w:r w:rsidR="00DD3379">
          <w:rPr>
            <w:noProof/>
            <w:webHidden/>
          </w:rPr>
          <w:fldChar w:fldCharType="end"/>
        </w:r>
      </w:hyperlink>
    </w:p>
    <w:p w14:paraId="4D229C2A" w14:textId="7B7DAD41" w:rsidR="00DD3379" w:rsidRDefault="005C6CAE">
      <w:pPr>
        <w:pStyle w:val="TOC2"/>
        <w:rPr>
          <w:rFonts w:asciiTheme="minorHAnsi" w:eastAsiaTheme="minorEastAsia" w:hAnsiTheme="minorHAnsi" w:cstheme="minorBidi"/>
          <w:noProof/>
          <w:szCs w:val="22"/>
          <w:lang w:val="en-AU" w:eastAsia="en-AU"/>
        </w:rPr>
      </w:pPr>
      <w:hyperlink w:anchor="_Toc180077019" w:history="1">
        <w:r w:rsidR="00DD3379" w:rsidRPr="004F69F0">
          <w:rPr>
            <w:rStyle w:val="Hyperlink"/>
            <w:noProof/>
          </w:rPr>
          <w:t>Priority 3: Be the Government’s primary advisor on health</w:t>
        </w:r>
        <w:r w:rsidR="00DD3379">
          <w:rPr>
            <w:noProof/>
            <w:webHidden/>
          </w:rPr>
          <w:tab/>
        </w:r>
        <w:r w:rsidR="00DD3379">
          <w:rPr>
            <w:noProof/>
            <w:webHidden/>
          </w:rPr>
          <w:fldChar w:fldCharType="begin"/>
        </w:r>
        <w:r w:rsidR="00DD3379">
          <w:rPr>
            <w:noProof/>
            <w:webHidden/>
          </w:rPr>
          <w:instrText xml:space="preserve"> PAGEREF _Toc180077019 \h </w:instrText>
        </w:r>
        <w:r w:rsidR="00DD3379">
          <w:rPr>
            <w:noProof/>
            <w:webHidden/>
          </w:rPr>
        </w:r>
        <w:r w:rsidR="00DD3379">
          <w:rPr>
            <w:noProof/>
            <w:webHidden/>
          </w:rPr>
          <w:fldChar w:fldCharType="separate"/>
        </w:r>
        <w:r w:rsidR="00DD3379">
          <w:rPr>
            <w:noProof/>
            <w:webHidden/>
          </w:rPr>
          <w:t>39</w:t>
        </w:r>
        <w:r w:rsidR="00DD3379">
          <w:rPr>
            <w:noProof/>
            <w:webHidden/>
          </w:rPr>
          <w:fldChar w:fldCharType="end"/>
        </w:r>
      </w:hyperlink>
    </w:p>
    <w:p w14:paraId="43CDD871" w14:textId="4790FA42" w:rsidR="00DD3379" w:rsidRDefault="005C6CAE">
      <w:pPr>
        <w:pStyle w:val="TOC2"/>
        <w:rPr>
          <w:rFonts w:asciiTheme="minorHAnsi" w:eastAsiaTheme="minorEastAsia" w:hAnsiTheme="minorHAnsi" w:cstheme="minorBidi"/>
          <w:noProof/>
          <w:szCs w:val="22"/>
          <w:lang w:val="en-AU" w:eastAsia="en-AU"/>
        </w:rPr>
      </w:pPr>
      <w:hyperlink w:anchor="_Toc180077020" w:history="1">
        <w:r w:rsidR="00DD3379" w:rsidRPr="004F69F0">
          <w:rPr>
            <w:rStyle w:val="Hyperlink"/>
            <w:noProof/>
          </w:rPr>
          <w:t>Priority 4: Future-proof our health system</w:t>
        </w:r>
        <w:r w:rsidR="00DD3379">
          <w:rPr>
            <w:noProof/>
            <w:webHidden/>
          </w:rPr>
          <w:tab/>
        </w:r>
        <w:r w:rsidR="00DD3379">
          <w:rPr>
            <w:noProof/>
            <w:webHidden/>
          </w:rPr>
          <w:fldChar w:fldCharType="begin"/>
        </w:r>
        <w:r w:rsidR="00DD3379">
          <w:rPr>
            <w:noProof/>
            <w:webHidden/>
          </w:rPr>
          <w:instrText xml:space="preserve"> PAGEREF _Toc180077020 \h </w:instrText>
        </w:r>
        <w:r w:rsidR="00DD3379">
          <w:rPr>
            <w:noProof/>
            <w:webHidden/>
          </w:rPr>
        </w:r>
        <w:r w:rsidR="00DD3379">
          <w:rPr>
            <w:noProof/>
            <w:webHidden/>
          </w:rPr>
          <w:fldChar w:fldCharType="separate"/>
        </w:r>
        <w:r w:rsidR="00DD3379">
          <w:rPr>
            <w:noProof/>
            <w:webHidden/>
          </w:rPr>
          <w:t>44</w:t>
        </w:r>
        <w:r w:rsidR="00DD3379">
          <w:rPr>
            <w:noProof/>
            <w:webHidden/>
          </w:rPr>
          <w:fldChar w:fldCharType="end"/>
        </w:r>
      </w:hyperlink>
    </w:p>
    <w:p w14:paraId="4AF53114" w14:textId="3A45522F" w:rsidR="00DD3379" w:rsidRDefault="005C6CAE">
      <w:pPr>
        <w:pStyle w:val="TOC2"/>
        <w:rPr>
          <w:rFonts w:asciiTheme="minorHAnsi" w:eastAsiaTheme="minorEastAsia" w:hAnsiTheme="minorHAnsi" w:cstheme="minorBidi"/>
          <w:noProof/>
          <w:szCs w:val="22"/>
          <w:lang w:val="en-AU" w:eastAsia="en-AU"/>
        </w:rPr>
      </w:pPr>
      <w:hyperlink w:anchor="_Toc180077021" w:history="1">
        <w:r w:rsidR="00DD3379" w:rsidRPr="004F69F0">
          <w:rPr>
            <w:rStyle w:val="Hyperlink"/>
            <w:noProof/>
          </w:rPr>
          <w:t>Priority 5: Be the regulator of the health system</w:t>
        </w:r>
        <w:r w:rsidR="00DD3379">
          <w:rPr>
            <w:noProof/>
            <w:webHidden/>
          </w:rPr>
          <w:tab/>
        </w:r>
        <w:r w:rsidR="00DD3379">
          <w:rPr>
            <w:noProof/>
            <w:webHidden/>
          </w:rPr>
          <w:fldChar w:fldCharType="begin"/>
        </w:r>
        <w:r w:rsidR="00DD3379">
          <w:rPr>
            <w:noProof/>
            <w:webHidden/>
          </w:rPr>
          <w:instrText xml:space="preserve"> PAGEREF _Toc180077021 \h </w:instrText>
        </w:r>
        <w:r w:rsidR="00DD3379">
          <w:rPr>
            <w:noProof/>
            <w:webHidden/>
          </w:rPr>
        </w:r>
        <w:r w:rsidR="00DD3379">
          <w:rPr>
            <w:noProof/>
            <w:webHidden/>
          </w:rPr>
          <w:fldChar w:fldCharType="separate"/>
        </w:r>
        <w:r w:rsidR="00DD3379">
          <w:rPr>
            <w:noProof/>
            <w:webHidden/>
          </w:rPr>
          <w:t>51</w:t>
        </w:r>
        <w:r w:rsidR="00DD3379">
          <w:rPr>
            <w:noProof/>
            <w:webHidden/>
          </w:rPr>
          <w:fldChar w:fldCharType="end"/>
        </w:r>
      </w:hyperlink>
    </w:p>
    <w:p w14:paraId="3B68B7CA" w14:textId="6C96450A" w:rsidR="00DD3379" w:rsidRDefault="005C6CAE">
      <w:pPr>
        <w:pStyle w:val="TOC2"/>
        <w:rPr>
          <w:rFonts w:asciiTheme="minorHAnsi" w:eastAsiaTheme="minorEastAsia" w:hAnsiTheme="minorHAnsi" w:cstheme="minorBidi"/>
          <w:noProof/>
          <w:szCs w:val="22"/>
          <w:lang w:val="en-AU" w:eastAsia="en-AU"/>
        </w:rPr>
      </w:pPr>
      <w:hyperlink w:anchor="_Toc180077022" w:history="1">
        <w:r w:rsidR="00DD3379" w:rsidRPr="004F69F0">
          <w:rPr>
            <w:rStyle w:val="Hyperlink"/>
            <w:noProof/>
          </w:rPr>
          <w:t>Priority 6: Transform ourselves</w:t>
        </w:r>
        <w:r w:rsidR="00DD3379">
          <w:rPr>
            <w:noProof/>
            <w:webHidden/>
          </w:rPr>
          <w:tab/>
        </w:r>
        <w:r w:rsidR="00DD3379">
          <w:rPr>
            <w:noProof/>
            <w:webHidden/>
          </w:rPr>
          <w:fldChar w:fldCharType="begin"/>
        </w:r>
        <w:r w:rsidR="00DD3379">
          <w:rPr>
            <w:noProof/>
            <w:webHidden/>
          </w:rPr>
          <w:instrText xml:space="preserve"> PAGEREF _Toc180077022 \h </w:instrText>
        </w:r>
        <w:r w:rsidR="00DD3379">
          <w:rPr>
            <w:noProof/>
            <w:webHidden/>
          </w:rPr>
        </w:r>
        <w:r w:rsidR="00DD3379">
          <w:rPr>
            <w:noProof/>
            <w:webHidden/>
          </w:rPr>
          <w:fldChar w:fldCharType="separate"/>
        </w:r>
        <w:r w:rsidR="00DD3379">
          <w:rPr>
            <w:noProof/>
            <w:webHidden/>
          </w:rPr>
          <w:t>55</w:t>
        </w:r>
        <w:r w:rsidR="00DD3379">
          <w:rPr>
            <w:noProof/>
            <w:webHidden/>
          </w:rPr>
          <w:fldChar w:fldCharType="end"/>
        </w:r>
      </w:hyperlink>
    </w:p>
    <w:p w14:paraId="3B5F8CF6" w14:textId="31296C88" w:rsidR="00DD3379" w:rsidRDefault="005C6CAE">
      <w:pPr>
        <w:pStyle w:val="TOC2"/>
        <w:rPr>
          <w:rFonts w:asciiTheme="minorHAnsi" w:eastAsiaTheme="minorEastAsia" w:hAnsiTheme="minorHAnsi" w:cstheme="minorBidi"/>
          <w:noProof/>
          <w:szCs w:val="22"/>
          <w:lang w:val="en-AU" w:eastAsia="en-AU"/>
        </w:rPr>
      </w:pPr>
      <w:hyperlink w:anchor="_Toc180077023" w:history="1">
        <w:r w:rsidR="00DD3379" w:rsidRPr="004F69F0">
          <w:rPr>
            <w:rStyle w:val="Hyperlink"/>
            <w:noProof/>
          </w:rPr>
          <w:t>Results from outcome measures and interim system measures</w:t>
        </w:r>
        <w:r w:rsidR="00DD3379">
          <w:rPr>
            <w:noProof/>
            <w:webHidden/>
          </w:rPr>
          <w:tab/>
        </w:r>
        <w:r w:rsidR="00DD3379">
          <w:rPr>
            <w:noProof/>
            <w:webHidden/>
          </w:rPr>
          <w:fldChar w:fldCharType="begin"/>
        </w:r>
        <w:r w:rsidR="00DD3379">
          <w:rPr>
            <w:noProof/>
            <w:webHidden/>
          </w:rPr>
          <w:instrText xml:space="preserve"> PAGEREF _Toc180077023 \h </w:instrText>
        </w:r>
        <w:r w:rsidR="00DD3379">
          <w:rPr>
            <w:noProof/>
            <w:webHidden/>
          </w:rPr>
        </w:r>
        <w:r w:rsidR="00DD3379">
          <w:rPr>
            <w:noProof/>
            <w:webHidden/>
          </w:rPr>
          <w:fldChar w:fldCharType="separate"/>
        </w:r>
        <w:r w:rsidR="00DD3379">
          <w:rPr>
            <w:noProof/>
            <w:webHidden/>
          </w:rPr>
          <w:t>58</w:t>
        </w:r>
        <w:r w:rsidR="00DD3379">
          <w:rPr>
            <w:noProof/>
            <w:webHidden/>
          </w:rPr>
          <w:fldChar w:fldCharType="end"/>
        </w:r>
      </w:hyperlink>
    </w:p>
    <w:p w14:paraId="5BAF8545" w14:textId="33A982C5" w:rsidR="00DD3379" w:rsidRDefault="005C6CAE">
      <w:pPr>
        <w:pStyle w:val="TOC2"/>
        <w:rPr>
          <w:rFonts w:asciiTheme="minorHAnsi" w:eastAsiaTheme="minorEastAsia" w:hAnsiTheme="minorHAnsi" w:cstheme="minorBidi"/>
          <w:noProof/>
          <w:szCs w:val="22"/>
          <w:lang w:val="en-AU" w:eastAsia="en-AU"/>
        </w:rPr>
      </w:pPr>
      <w:hyperlink w:anchor="_Toc180077024" w:history="1">
        <w:r w:rsidR="00DD3379" w:rsidRPr="004F69F0">
          <w:rPr>
            <w:rStyle w:val="Hyperlink"/>
            <w:noProof/>
          </w:rPr>
          <w:t>Significant Budget initiatives</w:t>
        </w:r>
        <w:r w:rsidR="00DD3379">
          <w:rPr>
            <w:noProof/>
            <w:webHidden/>
          </w:rPr>
          <w:tab/>
        </w:r>
        <w:r w:rsidR="00DD3379">
          <w:rPr>
            <w:noProof/>
            <w:webHidden/>
          </w:rPr>
          <w:fldChar w:fldCharType="begin"/>
        </w:r>
        <w:r w:rsidR="00DD3379">
          <w:rPr>
            <w:noProof/>
            <w:webHidden/>
          </w:rPr>
          <w:instrText xml:space="preserve"> PAGEREF _Toc180077024 \h </w:instrText>
        </w:r>
        <w:r w:rsidR="00DD3379">
          <w:rPr>
            <w:noProof/>
            <w:webHidden/>
          </w:rPr>
        </w:r>
        <w:r w:rsidR="00DD3379">
          <w:rPr>
            <w:noProof/>
            <w:webHidden/>
          </w:rPr>
          <w:fldChar w:fldCharType="separate"/>
        </w:r>
        <w:r w:rsidR="00DD3379">
          <w:rPr>
            <w:noProof/>
            <w:webHidden/>
          </w:rPr>
          <w:t>72</w:t>
        </w:r>
        <w:r w:rsidR="00DD3379">
          <w:rPr>
            <w:noProof/>
            <w:webHidden/>
          </w:rPr>
          <w:fldChar w:fldCharType="end"/>
        </w:r>
      </w:hyperlink>
    </w:p>
    <w:p w14:paraId="779881FA" w14:textId="68539D30" w:rsidR="00DD3379" w:rsidRDefault="005C6CAE">
      <w:pPr>
        <w:pStyle w:val="TOC1"/>
        <w:rPr>
          <w:rFonts w:asciiTheme="minorHAnsi" w:eastAsiaTheme="minorEastAsia" w:hAnsiTheme="minorHAnsi" w:cstheme="minorBidi"/>
          <w:noProof/>
          <w:sz w:val="22"/>
          <w:szCs w:val="22"/>
          <w:lang w:val="en-AU" w:eastAsia="en-AU"/>
        </w:rPr>
      </w:pPr>
      <w:hyperlink w:anchor="_Toc180077025" w:history="1">
        <w:r w:rsidR="00DD3379" w:rsidRPr="004F69F0">
          <w:rPr>
            <w:rStyle w:val="Hyperlink"/>
            <w:noProof/>
          </w:rPr>
          <w:t>Who we are and what we do – Ko mātou me ā mātou mahi</w:t>
        </w:r>
        <w:r w:rsidR="00DD3379">
          <w:rPr>
            <w:noProof/>
            <w:webHidden/>
          </w:rPr>
          <w:tab/>
        </w:r>
        <w:r w:rsidR="00DD3379">
          <w:rPr>
            <w:noProof/>
            <w:webHidden/>
          </w:rPr>
          <w:fldChar w:fldCharType="begin"/>
        </w:r>
        <w:r w:rsidR="00DD3379">
          <w:rPr>
            <w:noProof/>
            <w:webHidden/>
          </w:rPr>
          <w:instrText xml:space="preserve"> PAGEREF _Toc180077025 \h </w:instrText>
        </w:r>
        <w:r w:rsidR="00DD3379">
          <w:rPr>
            <w:noProof/>
            <w:webHidden/>
          </w:rPr>
        </w:r>
        <w:r w:rsidR="00DD3379">
          <w:rPr>
            <w:noProof/>
            <w:webHidden/>
          </w:rPr>
          <w:fldChar w:fldCharType="separate"/>
        </w:r>
        <w:r w:rsidR="00DD3379">
          <w:rPr>
            <w:noProof/>
            <w:webHidden/>
          </w:rPr>
          <w:t>73</w:t>
        </w:r>
        <w:r w:rsidR="00DD3379">
          <w:rPr>
            <w:noProof/>
            <w:webHidden/>
          </w:rPr>
          <w:fldChar w:fldCharType="end"/>
        </w:r>
      </w:hyperlink>
    </w:p>
    <w:p w14:paraId="30BF52D3" w14:textId="67BC7BD9" w:rsidR="00DD3379" w:rsidRDefault="005C6CAE">
      <w:pPr>
        <w:pStyle w:val="TOC2"/>
        <w:rPr>
          <w:rFonts w:asciiTheme="minorHAnsi" w:eastAsiaTheme="minorEastAsia" w:hAnsiTheme="minorHAnsi" w:cstheme="minorBidi"/>
          <w:noProof/>
          <w:szCs w:val="22"/>
          <w:lang w:val="en-AU" w:eastAsia="en-AU"/>
        </w:rPr>
      </w:pPr>
      <w:hyperlink w:anchor="_Toc180077026" w:history="1">
        <w:r w:rsidR="00DD3379" w:rsidRPr="004F69F0">
          <w:rPr>
            <w:rStyle w:val="Hyperlink"/>
            <w:noProof/>
          </w:rPr>
          <w:t>How we are set up to give effect to our role</w:t>
        </w:r>
        <w:r w:rsidR="00DD3379">
          <w:rPr>
            <w:noProof/>
            <w:webHidden/>
          </w:rPr>
          <w:tab/>
        </w:r>
        <w:r w:rsidR="00DD3379">
          <w:rPr>
            <w:noProof/>
            <w:webHidden/>
          </w:rPr>
          <w:fldChar w:fldCharType="begin"/>
        </w:r>
        <w:r w:rsidR="00DD3379">
          <w:rPr>
            <w:noProof/>
            <w:webHidden/>
          </w:rPr>
          <w:instrText xml:space="preserve"> PAGEREF _Toc180077026 \h </w:instrText>
        </w:r>
        <w:r w:rsidR="00DD3379">
          <w:rPr>
            <w:noProof/>
            <w:webHidden/>
          </w:rPr>
        </w:r>
        <w:r w:rsidR="00DD3379">
          <w:rPr>
            <w:noProof/>
            <w:webHidden/>
          </w:rPr>
          <w:fldChar w:fldCharType="separate"/>
        </w:r>
        <w:r w:rsidR="00DD3379">
          <w:rPr>
            <w:noProof/>
            <w:webHidden/>
          </w:rPr>
          <w:t>73</w:t>
        </w:r>
        <w:r w:rsidR="00DD3379">
          <w:rPr>
            <w:noProof/>
            <w:webHidden/>
          </w:rPr>
          <w:fldChar w:fldCharType="end"/>
        </w:r>
      </w:hyperlink>
    </w:p>
    <w:p w14:paraId="36D93DFF" w14:textId="5E1ABDCD" w:rsidR="00DD3379" w:rsidRDefault="005C6CAE">
      <w:pPr>
        <w:pStyle w:val="TOC1"/>
        <w:rPr>
          <w:rFonts w:asciiTheme="minorHAnsi" w:eastAsiaTheme="minorEastAsia" w:hAnsiTheme="minorHAnsi" w:cstheme="minorBidi"/>
          <w:noProof/>
          <w:sz w:val="22"/>
          <w:szCs w:val="22"/>
          <w:lang w:val="en-AU" w:eastAsia="en-AU"/>
        </w:rPr>
      </w:pPr>
      <w:hyperlink w:anchor="_Toc180077027" w:history="1">
        <w:r w:rsidR="00DD3379" w:rsidRPr="004F69F0">
          <w:rPr>
            <w:rStyle w:val="Hyperlink"/>
            <w:noProof/>
          </w:rPr>
          <w:t>Our people – Ko mātou kaimahi</w:t>
        </w:r>
        <w:r w:rsidR="00DD3379">
          <w:rPr>
            <w:noProof/>
            <w:webHidden/>
          </w:rPr>
          <w:tab/>
        </w:r>
        <w:r w:rsidR="00DD3379">
          <w:rPr>
            <w:noProof/>
            <w:webHidden/>
          </w:rPr>
          <w:fldChar w:fldCharType="begin"/>
        </w:r>
        <w:r w:rsidR="00DD3379">
          <w:rPr>
            <w:noProof/>
            <w:webHidden/>
          </w:rPr>
          <w:instrText xml:space="preserve"> PAGEREF _Toc180077027 \h </w:instrText>
        </w:r>
        <w:r w:rsidR="00DD3379">
          <w:rPr>
            <w:noProof/>
            <w:webHidden/>
          </w:rPr>
        </w:r>
        <w:r w:rsidR="00DD3379">
          <w:rPr>
            <w:noProof/>
            <w:webHidden/>
          </w:rPr>
          <w:fldChar w:fldCharType="separate"/>
        </w:r>
        <w:r w:rsidR="00DD3379">
          <w:rPr>
            <w:noProof/>
            <w:webHidden/>
          </w:rPr>
          <w:t>78</w:t>
        </w:r>
        <w:r w:rsidR="00DD3379">
          <w:rPr>
            <w:noProof/>
            <w:webHidden/>
          </w:rPr>
          <w:fldChar w:fldCharType="end"/>
        </w:r>
      </w:hyperlink>
    </w:p>
    <w:p w14:paraId="472C3534" w14:textId="53D5D96F" w:rsidR="00DD3379" w:rsidRDefault="005C6CAE">
      <w:pPr>
        <w:pStyle w:val="TOC2"/>
        <w:rPr>
          <w:rFonts w:asciiTheme="minorHAnsi" w:eastAsiaTheme="minorEastAsia" w:hAnsiTheme="minorHAnsi" w:cstheme="minorBidi"/>
          <w:noProof/>
          <w:szCs w:val="22"/>
          <w:lang w:val="en-AU" w:eastAsia="en-AU"/>
        </w:rPr>
      </w:pPr>
      <w:hyperlink w:anchor="_Toc180077028" w:history="1">
        <w:r w:rsidR="00DD3379" w:rsidRPr="004F69F0">
          <w:rPr>
            <w:rStyle w:val="Hyperlink"/>
            <w:noProof/>
          </w:rPr>
          <w:t>Summary of data on our people</w:t>
        </w:r>
        <w:r w:rsidR="00DD3379">
          <w:rPr>
            <w:noProof/>
            <w:webHidden/>
          </w:rPr>
          <w:tab/>
        </w:r>
        <w:r w:rsidR="00DD3379">
          <w:rPr>
            <w:noProof/>
            <w:webHidden/>
          </w:rPr>
          <w:fldChar w:fldCharType="begin"/>
        </w:r>
        <w:r w:rsidR="00DD3379">
          <w:rPr>
            <w:noProof/>
            <w:webHidden/>
          </w:rPr>
          <w:instrText xml:space="preserve"> PAGEREF _Toc180077028 \h </w:instrText>
        </w:r>
        <w:r w:rsidR="00DD3379">
          <w:rPr>
            <w:noProof/>
            <w:webHidden/>
          </w:rPr>
        </w:r>
        <w:r w:rsidR="00DD3379">
          <w:rPr>
            <w:noProof/>
            <w:webHidden/>
          </w:rPr>
          <w:fldChar w:fldCharType="separate"/>
        </w:r>
        <w:r w:rsidR="00DD3379">
          <w:rPr>
            <w:noProof/>
            <w:webHidden/>
          </w:rPr>
          <w:t>78</w:t>
        </w:r>
        <w:r w:rsidR="00DD3379">
          <w:rPr>
            <w:noProof/>
            <w:webHidden/>
          </w:rPr>
          <w:fldChar w:fldCharType="end"/>
        </w:r>
      </w:hyperlink>
    </w:p>
    <w:p w14:paraId="0601F65E" w14:textId="25800F12" w:rsidR="00DD3379" w:rsidRDefault="005C6CAE">
      <w:pPr>
        <w:pStyle w:val="TOC1"/>
        <w:rPr>
          <w:rFonts w:asciiTheme="minorHAnsi" w:eastAsiaTheme="minorEastAsia" w:hAnsiTheme="minorHAnsi" w:cstheme="minorBidi"/>
          <w:noProof/>
          <w:sz w:val="22"/>
          <w:szCs w:val="22"/>
          <w:lang w:val="en-AU" w:eastAsia="en-AU"/>
        </w:rPr>
      </w:pPr>
      <w:hyperlink w:anchor="_Toc180077029" w:history="1">
        <w:r w:rsidR="00DD3379" w:rsidRPr="004F69F0">
          <w:rPr>
            <w:rStyle w:val="Hyperlink"/>
            <w:noProof/>
          </w:rPr>
          <w:t>How we manage our business – Ngā whakahaere</w:t>
        </w:r>
        <w:r w:rsidR="00DD3379">
          <w:rPr>
            <w:noProof/>
            <w:webHidden/>
          </w:rPr>
          <w:tab/>
        </w:r>
        <w:r w:rsidR="00DD3379">
          <w:rPr>
            <w:noProof/>
            <w:webHidden/>
          </w:rPr>
          <w:fldChar w:fldCharType="begin"/>
        </w:r>
        <w:r w:rsidR="00DD3379">
          <w:rPr>
            <w:noProof/>
            <w:webHidden/>
          </w:rPr>
          <w:instrText xml:space="preserve"> PAGEREF _Toc180077029 \h </w:instrText>
        </w:r>
        <w:r w:rsidR="00DD3379">
          <w:rPr>
            <w:noProof/>
            <w:webHidden/>
          </w:rPr>
        </w:r>
        <w:r w:rsidR="00DD3379">
          <w:rPr>
            <w:noProof/>
            <w:webHidden/>
          </w:rPr>
          <w:fldChar w:fldCharType="separate"/>
        </w:r>
        <w:r w:rsidR="00DD3379">
          <w:rPr>
            <w:noProof/>
            <w:webHidden/>
          </w:rPr>
          <w:t>83</w:t>
        </w:r>
        <w:r w:rsidR="00DD3379">
          <w:rPr>
            <w:noProof/>
            <w:webHidden/>
          </w:rPr>
          <w:fldChar w:fldCharType="end"/>
        </w:r>
      </w:hyperlink>
    </w:p>
    <w:p w14:paraId="14552BE6" w14:textId="17D837DE" w:rsidR="00DD3379" w:rsidRDefault="005C6CAE">
      <w:pPr>
        <w:pStyle w:val="TOC2"/>
        <w:rPr>
          <w:rFonts w:asciiTheme="minorHAnsi" w:eastAsiaTheme="minorEastAsia" w:hAnsiTheme="minorHAnsi" w:cstheme="minorBidi"/>
          <w:noProof/>
          <w:szCs w:val="22"/>
          <w:lang w:val="en-AU" w:eastAsia="en-AU"/>
        </w:rPr>
      </w:pPr>
      <w:hyperlink w:anchor="_Toc180077030" w:history="1">
        <w:r w:rsidR="00DD3379" w:rsidRPr="004F69F0">
          <w:rPr>
            <w:rStyle w:val="Hyperlink"/>
            <w:noProof/>
          </w:rPr>
          <w:t>The Ministry as a good employer</w:t>
        </w:r>
        <w:r w:rsidR="00DD3379">
          <w:rPr>
            <w:noProof/>
            <w:webHidden/>
          </w:rPr>
          <w:tab/>
        </w:r>
        <w:r w:rsidR="00DD3379">
          <w:rPr>
            <w:noProof/>
            <w:webHidden/>
          </w:rPr>
          <w:fldChar w:fldCharType="begin"/>
        </w:r>
        <w:r w:rsidR="00DD3379">
          <w:rPr>
            <w:noProof/>
            <w:webHidden/>
          </w:rPr>
          <w:instrText xml:space="preserve"> PAGEREF _Toc180077030 \h </w:instrText>
        </w:r>
        <w:r w:rsidR="00DD3379">
          <w:rPr>
            <w:noProof/>
            <w:webHidden/>
          </w:rPr>
        </w:r>
        <w:r w:rsidR="00DD3379">
          <w:rPr>
            <w:noProof/>
            <w:webHidden/>
          </w:rPr>
          <w:fldChar w:fldCharType="separate"/>
        </w:r>
        <w:r w:rsidR="00DD3379">
          <w:rPr>
            <w:noProof/>
            <w:webHidden/>
          </w:rPr>
          <w:t>83</w:t>
        </w:r>
        <w:r w:rsidR="00DD3379">
          <w:rPr>
            <w:noProof/>
            <w:webHidden/>
          </w:rPr>
          <w:fldChar w:fldCharType="end"/>
        </w:r>
      </w:hyperlink>
    </w:p>
    <w:p w14:paraId="2281CF6D" w14:textId="32A1628A" w:rsidR="00DD3379" w:rsidRDefault="005C6CAE">
      <w:pPr>
        <w:pStyle w:val="TOC1"/>
        <w:rPr>
          <w:rFonts w:asciiTheme="minorHAnsi" w:eastAsiaTheme="minorEastAsia" w:hAnsiTheme="minorHAnsi" w:cstheme="minorBidi"/>
          <w:noProof/>
          <w:sz w:val="22"/>
          <w:szCs w:val="22"/>
          <w:lang w:val="en-AU" w:eastAsia="en-AU"/>
        </w:rPr>
      </w:pPr>
      <w:hyperlink w:anchor="_Toc180077031" w:history="1">
        <w:r w:rsidR="00DD3379" w:rsidRPr="004F69F0">
          <w:rPr>
            <w:rStyle w:val="Hyperlink"/>
            <w:noProof/>
          </w:rPr>
          <w:t>Our statement of service performance – He tauāki mō ngā hua o ngā whakatutukinga</w:t>
        </w:r>
        <w:r w:rsidR="00DD3379">
          <w:rPr>
            <w:noProof/>
            <w:webHidden/>
          </w:rPr>
          <w:tab/>
        </w:r>
        <w:r w:rsidR="00DD3379">
          <w:rPr>
            <w:noProof/>
            <w:webHidden/>
          </w:rPr>
          <w:fldChar w:fldCharType="begin"/>
        </w:r>
        <w:r w:rsidR="00DD3379">
          <w:rPr>
            <w:noProof/>
            <w:webHidden/>
          </w:rPr>
          <w:instrText xml:space="preserve"> PAGEREF _Toc180077031 \h </w:instrText>
        </w:r>
        <w:r w:rsidR="00DD3379">
          <w:rPr>
            <w:noProof/>
            <w:webHidden/>
          </w:rPr>
        </w:r>
        <w:r w:rsidR="00DD3379">
          <w:rPr>
            <w:noProof/>
            <w:webHidden/>
          </w:rPr>
          <w:fldChar w:fldCharType="separate"/>
        </w:r>
        <w:r w:rsidR="00DD3379">
          <w:rPr>
            <w:noProof/>
            <w:webHidden/>
          </w:rPr>
          <w:t>89</w:t>
        </w:r>
        <w:r w:rsidR="00DD3379">
          <w:rPr>
            <w:noProof/>
            <w:webHidden/>
          </w:rPr>
          <w:fldChar w:fldCharType="end"/>
        </w:r>
      </w:hyperlink>
    </w:p>
    <w:p w14:paraId="68FF5D44" w14:textId="2F879406" w:rsidR="00DD3379" w:rsidRDefault="005C6CAE">
      <w:pPr>
        <w:pStyle w:val="TOC2"/>
        <w:rPr>
          <w:rFonts w:asciiTheme="minorHAnsi" w:eastAsiaTheme="minorEastAsia" w:hAnsiTheme="minorHAnsi" w:cstheme="minorBidi"/>
          <w:noProof/>
          <w:szCs w:val="22"/>
          <w:lang w:val="en-AU" w:eastAsia="en-AU"/>
        </w:rPr>
      </w:pPr>
      <w:hyperlink w:anchor="_Toc180077032" w:history="1">
        <w:r w:rsidR="00DD3379" w:rsidRPr="004F69F0">
          <w:rPr>
            <w:rStyle w:val="Hyperlink"/>
            <w:noProof/>
          </w:rPr>
          <w:t>Our statement of service performance policies and significant judgements</w:t>
        </w:r>
        <w:r w:rsidR="00DD3379">
          <w:rPr>
            <w:noProof/>
            <w:webHidden/>
          </w:rPr>
          <w:tab/>
        </w:r>
        <w:r w:rsidR="00DD3379">
          <w:rPr>
            <w:noProof/>
            <w:webHidden/>
          </w:rPr>
          <w:fldChar w:fldCharType="begin"/>
        </w:r>
        <w:r w:rsidR="00DD3379">
          <w:rPr>
            <w:noProof/>
            <w:webHidden/>
          </w:rPr>
          <w:instrText xml:space="preserve"> PAGEREF _Toc180077032 \h </w:instrText>
        </w:r>
        <w:r w:rsidR="00DD3379">
          <w:rPr>
            <w:noProof/>
            <w:webHidden/>
          </w:rPr>
        </w:r>
        <w:r w:rsidR="00DD3379">
          <w:rPr>
            <w:noProof/>
            <w:webHidden/>
          </w:rPr>
          <w:fldChar w:fldCharType="separate"/>
        </w:r>
        <w:r w:rsidR="00DD3379">
          <w:rPr>
            <w:noProof/>
            <w:webHidden/>
          </w:rPr>
          <w:t>89</w:t>
        </w:r>
        <w:r w:rsidR="00DD3379">
          <w:rPr>
            <w:noProof/>
            <w:webHidden/>
          </w:rPr>
          <w:fldChar w:fldCharType="end"/>
        </w:r>
      </w:hyperlink>
    </w:p>
    <w:p w14:paraId="27A9DD49" w14:textId="688B7AF3" w:rsidR="00DD3379" w:rsidRDefault="005C6CAE">
      <w:pPr>
        <w:pStyle w:val="TOC2"/>
        <w:rPr>
          <w:rFonts w:asciiTheme="minorHAnsi" w:eastAsiaTheme="minorEastAsia" w:hAnsiTheme="minorHAnsi" w:cstheme="minorBidi"/>
          <w:noProof/>
          <w:szCs w:val="22"/>
          <w:lang w:val="en-AU" w:eastAsia="en-AU"/>
        </w:rPr>
      </w:pPr>
      <w:hyperlink w:anchor="_Toc180077033" w:history="1">
        <w:r w:rsidR="00DD3379" w:rsidRPr="004F69F0">
          <w:rPr>
            <w:rStyle w:val="Hyperlink"/>
            <w:noProof/>
          </w:rPr>
          <w:t>Performance of the Ministry of Health</w:t>
        </w:r>
        <w:r w:rsidR="00DD3379">
          <w:rPr>
            <w:noProof/>
            <w:webHidden/>
          </w:rPr>
          <w:tab/>
        </w:r>
        <w:r w:rsidR="00DD3379">
          <w:rPr>
            <w:noProof/>
            <w:webHidden/>
          </w:rPr>
          <w:fldChar w:fldCharType="begin"/>
        </w:r>
        <w:r w:rsidR="00DD3379">
          <w:rPr>
            <w:noProof/>
            <w:webHidden/>
          </w:rPr>
          <w:instrText xml:space="preserve"> PAGEREF _Toc180077033 \h </w:instrText>
        </w:r>
        <w:r w:rsidR="00DD3379">
          <w:rPr>
            <w:noProof/>
            <w:webHidden/>
          </w:rPr>
        </w:r>
        <w:r w:rsidR="00DD3379">
          <w:rPr>
            <w:noProof/>
            <w:webHidden/>
          </w:rPr>
          <w:fldChar w:fldCharType="separate"/>
        </w:r>
        <w:r w:rsidR="00DD3379">
          <w:rPr>
            <w:noProof/>
            <w:webHidden/>
          </w:rPr>
          <w:t>92</w:t>
        </w:r>
        <w:r w:rsidR="00DD3379">
          <w:rPr>
            <w:noProof/>
            <w:webHidden/>
          </w:rPr>
          <w:fldChar w:fldCharType="end"/>
        </w:r>
      </w:hyperlink>
    </w:p>
    <w:p w14:paraId="3A9AFC5B" w14:textId="2350D441" w:rsidR="00DD3379" w:rsidRDefault="005C6CAE">
      <w:pPr>
        <w:pStyle w:val="TOC1"/>
        <w:rPr>
          <w:rFonts w:asciiTheme="minorHAnsi" w:eastAsiaTheme="minorEastAsia" w:hAnsiTheme="minorHAnsi" w:cstheme="minorBidi"/>
          <w:noProof/>
          <w:sz w:val="22"/>
          <w:szCs w:val="22"/>
          <w:lang w:val="en-AU" w:eastAsia="en-AU"/>
        </w:rPr>
      </w:pPr>
      <w:hyperlink w:anchor="_Toc180077034" w:history="1">
        <w:r w:rsidR="00DD3379" w:rsidRPr="004F69F0">
          <w:rPr>
            <w:rStyle w:val="Hyperlink"/>
            <w:noProof/>
          </w:rPr>
          <w:t>Our financial statements – He tauāki pūtea</w:t>
        </w:r>
        <w:r w:rsidR="00DD3379">
          <w:rPr>
            <w:noProof/>
            <w:webHidden/>
          </w:rPr>
          <w:tab/>
        </w:r>
        <w:r w:rsidR="00DD3379">
          <w:rPr>
            <w:noProof/>
            <w:webHidden/>
          </w:rPr>
          <w:fldChar w:fldCharType="begin"/>
        </w:r>
        <w:r w:rsidR="00DD3379">
          <w:rPr>
            <w:noProof/>
            <w:webHidden/>
          </w:rPr>
          <w:instrText xml:space="preserve"> PAGEREF _Toc180077034 \h </w:instrText>
        </w:r>
        <w:r w:rsidR="00DD3379">
          <w:rPr>
            <w:noProof/>
            <w:webHidden/>
          </w:rPr>
        </w:r>
        <w:r w:rsidR="00DD3379">
          <w:rPr>
            <w:noProof/>
            <w:webHidden/>
          </w:rPr>
          <w:fldChar w:fldCharType="separate"/>
        </w:r>
        <w:r w:rsidR="00DD3379">
          <w:rPr>
            <w:noProof/>
            <w:webHidden/>
          </w:rPr>
          <w:t>104</w:t>
        </w:r>
        <w:r w:rsidR="00DD3379">
          <w:rPr>
            <w:noProof/>
            <w:webHidden/>
          </w:rPr>
          <w:fldChar w:fldCharType="end"/>
        </w:r>
      </w:hyperlink>
    </w:p>
    <w:p w14:paraId="66D009CB" w14:textId="6786C823" w:rsidR="00DD3379" w:rsidRDefault="005C6CAE">
      <w:pPr>
        <w:pStyle w:val="TOC2"/>
        <w:rPr>
          <w:rFonts w:asciiTheme="minorHAnsi" w:eastAsiaTheme="minorEastAsia" w:hAnsiTheme="minorHAnsi" w:cstheme="minorBidi"/>
          <w:noProof/>
          <w:szCs w:val="22"/>
          <w:lang w:val="en-AU" w:eastAsia="en-AU"/>
        </w:rPr>
      </w:pPr>
      <w:hyperlink w:anchor="_Toc180077035" w:history="1">
        <w:r w:rsidR="00DD3379" w:rsidRPr="004F69F0">
          <w:rPr>
            <w:rStyle w:val="Hyperlink"/>
            <w:noProof/>
          </w:rPr>
          <w:t>Taking care of our funds – Te penapena pūtea</w:t>
        </w:r>
        <w:r w:rsidR="00DD3379">
          <w:rPr>
            <w:noProof/>
            <w:webHidden/>
          </w:rPr>
          <w:tab/>
        </w:r>
        <w:r w:rsidR="00DD3379">
          <w:rPr>
            <w:noProof/>
            <w:webHidden/>
          </w:rPr>
          <w:fldChar w:fldCharType="begin"/>
        </w:r>
        <w:r w:rsidR="00DD3379">
          <w:rPr>
            <w:noProof/>
            <w:webHidden/>
          </w:rPr>
          <w:instrText xml:space="preserve"> PAGEREF _Toc180077035 \h </w:instrText>
        </w:r>
        <w:r w:rsidR="00DD3379">
          <w:rPr>
            <w:noProof/>
            <w:webHidden/>
          </w:rPr>
        </w:r>
        <w:r w:rsidR="00DD3379">
          <w:rPr>
            <w:noProof/>
            <w:webHidden/>
          </w:rPr>
          <w:fldChar w:fldCharType="separate"/>
        </w:r>
        <w:r w:rsidR="00DD3379">
          <w:rPr>
            <w:noProof/>
            <w:webHidden/>
          </w:rPr>
          <w:t>104</w:t>
        </w:r>
        <w:r w:rsidR="00DD3379">
          <w:rPr>
            <w:noProof/>
            <w:webHidden/>
          </w:rPr>
          <w:fldChar w:fldCharType="end"/>
        </w:r>
      </w:hyperlink>
    </w:p>
    <w:p w14:paraId="5614AFAC" w14:textId="4550C208" w:rsidR="00DD3379" w:rsidRDefault="005C6CAE">
      <w:pPr>
        <w:pStyle w:val="TOC2"/>
        <w:rPr>
          <w:rFonts w:asciiTheme="minorHAnsi" w:eastAsiaTheme="minorEastAsia" w:hAnsiTheme="minorHAnsi" w:cstheme="minorBidi"/>
          <w:noProof/>
          <w:szCs w:val="22"/>
          <w:lang w:val="en-AU" w:eastAsia="en-AU"/>
        </w:rPr>
      </w:pPr>
      <w:hyperlink w:anchor="_Toc180077036" w:history="1">
        <w:r w:rsidR="00DD3379" w:rsidRPr="004F69F0">
          <w:rPr>
            <w:rStyle w:val="Hyperlink"/>
            <w:noProof/>
          </w:rPr>
          <w:t>Independent Auditor’s Report</w:t>
        </w:r>
        <w:r w:rsidR="00DD3379">
          <w:rPr>
            <w:noProof/>
            <w:webHidden/>
          </w:rPr>
          <w:tab/>
        </w:r>
        <w:r w:rsidR="00DD3379">
          <w:rPr>
            <w:noProof/>
            <w:webHidden/>
          </w:rPr>
          <w:fldChar w:fldCharType="begin"/>
        </w:r>
        <w:r w:rsidR="00DD3379">
          <w:rPr>
            <w:noProof/>
            <w:webHidden/>
          </w:rPr>
          <w:instrText xml:space="preserve"> PAGEREF _Toc180077036 \h </w:instrText>
        </w:r>
        <w:r w:rsidR="00DD3379">
          <w:rPr>
            <w:noProof/>
            <w:webHidden/>
          </w:rPr>
        </w:r>
        <w:r w:rsidR="00DD3379">
          <w:rPr>
            <w:noProof/>
            <w:webHidden/>
          </w:rPr>
          <w:fldChar w:fldCharType="separate"/>
        </w:r>
        <w:r w:rsidR="00DD3379">
          <w:rPr>
            <w:noProof/>
            <w:webHidden/>
          </w:rPr>
          <w:t>105</w:t>
        </w:r>
        <w:r w:rsidR="00DD3379">
          <w:rPr>
            <w:noProof/>
            <w:webHidden/>
          </w:rPr>
          <w:fldChar w:fldCharType="end"/>
        </w:r>
      </w:hyperlink>
    </w:p>
    <w:p w14:paraId="72A44E25" w14:textId="329D5A7D" w:rsidR="00DD3379" w:rsidRDefault="005C6CAE">
      <w:pPr>
        <w:pStyle w:val="TOC2"/>
        <w:rPr>
          <w:rFonts w:asciiTheme="minorHAnsi" w:eastAsiaTheme="minorEastAsia" w:hAnsiTheme="minorHAnsi" w:cstheme="minorBidi"/>
          <w:noProof/>
          <w:szCs w:val="22"/>
          <w:lang w:val="en-AU" w:eastAsia="en-AU"/>
        </w:rPr>
      </w:pPr>
      <w:hyperlink w:anchor="_Toc180077037" w:history="1">
        <w:r w:rsidR="00DD3379" w:rsidRPr="004F69F0">
          <w:rPr>
            <w:rStyle w:val="Hyperlink"/>
            <w:noProof/>
          </w:rPr>
          <w:t>Statement of comprehensive revenue and expense for the year ended 30 June 2024</w:t>
        </w:r>
        <w:r w:rsidR="00DD3379">
          <w:rPr>
            <w:noProof/>
            <w:webHidden/>
          </w:rPr>
          <w:tab/>
        </w:r>
        <w:r w:rsidR="00DD3379">
          <w:rPr>
            <w:noProof/>
            <w:webHidden/>
          </w:rPr>
          <w:fldChar w:fldCharType="begin"/>
        </w:r>
        <w:r w:rsidR="00DD3379">
          <w:rPr>
            <w:noProof/>
            <w:webHidden/>
          </w:rPr>
          <w:instrText xml:space="preserve"> PAGEREF _Toc180077037 \h </w:instrText>
        </w:r>
        <w:r w:rsidR="00DD3379">
          <w:rPr>
            <w:noProof/>
            <w:webHidden/>
          </w:rPr>
        </w:r>
        <w:r w:rsidR="00DD3379">
          <w:rPr>
            <w:noProof/>
            <w:webHidden/>
          </w:rPr>
          <w:fldChar w:fldCharType="separate"/>
        </w:r>
        <w:r w:rsidR="00DD3379">
          <w:rPr>
            <w:noProof/>
            <w:webHidden/>
          </w:rPr>
          <w:t>110</w:t>
        </w:r>
        <w:r w:rsidR="00DD3379">
          <w:rPr>
            <w:noProof/>
            <w:webHidden/>
          </w:rPr>
          <w:fldChar w:fldCharType="end"/>
        </w:r>
      </w:hyperlink>
    </w:p>
    <w:p w14:paraId="2456DA87" w14:textId="07828AB8" w:rsidR="00DD3379" w:rsidRDefault="005C6CAE">
      <w:pPr>
        <w:pStyle w:val="TOC2"/>
        <w:rPr>
          <w:rFonts w:asciiTheme="minorHAnsi" w:eastAsiaTheme="minorEastAsia" w:hAnsiTheme="minorHAnsi" w:cstheme="minorBidi"/>
          <w:noProof/>
          <w:szCs w:val="22"/>
          <w:lang w:val="en-AU" w:eastAsia="en-AU"/>
        </w:rPr>
      </w:pPr>
      <w:hyperlink w:anchor="_Toc180077038" w:history="1">
        <w:r w:rsidR="00DD3379" w:rsidRPr="004F69F0">
          <w:rPr>
            <w:rStyle w:val="Hyperlink"/>
            <w:noProof/>
          </w:rPr>
          <w:t>Statement of financial position as at 30 June 2024</w:t>
        </w:r>
        <w:r w:rsidR="00DD3379">
          <w:rPr>
            <w:noProof/>
            <w:webHidden/>
          </w:rPr>
          <w:tab/>
        </w:r>
        <w:r w:rsidR="00DD3379">
          <w:rPr>
            <w:noProof/>
            <w:webHidden/>
          </w:rPr>
          <w:fldChar w:fldCharType="begin"/>
        </w:r>
        <w:r w:rsidR="00DD3379">
          <w:rPr>
            <w:noProof/>
            <w:webHidden/>
          </w:rPr>
          <w:instrText xml:space="preserve"> PAGEREF _Toc180077038 \h </w:instrText>
        </w:r>
        <w:r w:rsidR="00DD3379">
          <w:rPr>
            <w:noProof/>
            <w:webHidden/>
          </w:rPr>
        </w:r>
        <w:r w:rsidR="00DD3379">
          <w:rPr>
            <w:noProof/>
            <w:webHidden/>
          </w:rPr>
          <w:fldChar w:fldCharType="separate"/>
        </w:r>
        <w:r w:rsidR="00DD3379">
          <w:rPr>
            <w:noProof/>
            <w:webHidden/>
          </w:rPr>
          <w:t>111</w:t>
        </w:r>
        <w:r w:rsidR="00DD3379">
          <w:rPr>
            <w:noProof/>
            <w:webHidden/>
          </w:rPr>
          <w:fldChar w:fldCharType="end"/>
        </w:r>
      </w:hyperlink>
    </w:p>
    <w:p w14:paraId="330A34E6" w14:textId="67F9E212" w:rsidR="00DD3379" w:rsidRDefault="005C6CAE">
      <w:pPr>
        <w:pStyle w:val="TOC2"/>
        <w:rPr>
          <w:rFonts w:asciiTheme="minorHAnsi" w:eastAsiaTheme="minorEastAsia" w:hAnsiTheme="minorHAnsi" w:cstheme="minorBidi"/>
          <w:noProof/>
          <w:szCs w:val="22"/>
          <w:lang w:val="en-AU" w:eastAsia="en-AU"/>
        </w:rPr>
      </w:pPr>
      <w:hyperlink w:anchor="_Toc180077039" w:history="1">
        <w:r w:rsidR="00DD3379" w:rsidRPr="004F69F0">
          <w:rPr>
            <w:rStyle w:val="Hyperlink"/>
            <w:noProof/>
          </w:rPr>
          <w:t>Statement of changes in equity for the year ended 30 June 2024</w:t>
        </w:r>
        <w:r w:rsidR="00DD3379">
          <w:rPr>
            <w:noProof/>
            <w:webHidden/>
          </w:rPr>
          <w:tab/>
        </w:r>
        <w:r w:rsidR="00DD3379">
          <w:rPr>
            <w:noProof/>
            <w:webHidden/>
          </w:rPr>
          <w:fldChar w:fldCharType="begin"/>
        </w:r>
        <w:r w:rsidR="00DD3379">
          <w:rPr>
            <w:noProof/>
            <w:webHidden/>
          </w:rPr>
          <w:instrText xml:space="preserve"> PAGEREF _Toc180077039 \h </w:instrText>
        </w:r>
        <w:r w:rsidR="00DD3379">
          <w:rPr>
            <w:noProof/>
            <w:webHidden/>
          </w:rPr>
        </w:r>
        <w:r w:rsidR="00DD3379">
          <w:rPr>
            <w:noProof/>
            <w:webHidden/>
          </w:rPr>
          <w:fldChar w:fldCharType="separate"/>
        </w:r>
        <w:r w:rsidR="00DD3379">
          <w:rPr>
            <w:noProof/>
            <w:webHidden/>
          </w:rPr>
          <w:t>112</w:t>
        </w:r>
        <w:r w:rsidR="00DD3379">
          <w:rPr>
            <w:noProof/>
            <w:webHidden/>
          </w:rPr>
          <w:fldChar w:fldCharType="end"/>
        </w:r>
      </w:hyperlink>
    </w:p>
    <w:p w14:paraId="299C3CD0" w14:textId="2CF6C745" w:rsidR="00DD3379" w:rsidRDefault="005C6CAE">
      <w:pPr>
        <w:pStyle w:val="TOC2"/>
        <w:rPr>
          <w:rFonts w:asciiTheme="minorHAnsi" w:eastAsiaTheme="minorEastAsia" w:hAnsiTheme="minorHAnsi" w:cstheme="minorBidi"/>
          <w:noProof/>
          <w:szCs w:val="22"/>
          <w:lang w:val="en-AU" w:eastAsia="en-AU"/>
        </w:rPr>
      </w:pPr>
      <w:hyperlink w:anchor="_Toc180077040" w:history="1">
        <w:r w:rsidR="00DD3379" w:rsidRPr="004F69F0">
          <w:rPr>
            <w:rStyle w:val="Hyperlink"/>
            <w:noProof/>
          </w:rPr>
          <w:t>Statement of cash flows for the year ended 30 June 2024</w:t>
        </w:r>
        <w:r w:rsidR="00DD3379">
          <w:rPr>
            <w:noProof/>
            <w:webHidden/>
          </w:rPr>
          <w:tab/>
        </w:r>
        <w:r w:rsidR="00DD3379">
          <w:rPr>
            <w:noProof/>
            <w:webHidden/>
          </w:rPr>
          <w:fldChar w:fldCharType="begin"/>
        </w:r>
        <w:r w:rsidR="00DD3379">
          <w:rPr>
            <w:noProof/>
            <w:webHidden/>
          </w:rPr>
          <w:instrText xml:space="preserve"> PAGEREF _Toc180077040 \h </w:instrText>
        </w:r>
        <w:r w:rsidR="00DD3379">
          <w:rPr>
            <w:noProof/>
            <w:webHidden/>
          </w:rPr>
        </w:r>
        <w:r w:rsidR="00DD3379">
          <w:rPr>
            <w:noProof/>
            <w:webHidden/>
          </w:rPr>
          <w:fldChar w:fldCharType="separate"/>
        </w:r>
        <w:r w:rsidR="00DD3379">
          <w:rPr>
            <w:noProof/>
            <w:webHidden/>
          </w:rPr>
          <w:t>113</w:t>
        </w:r>
        <w:r w:rsidR="00DD3379">
          <w:rPr>
            <w:noProof/>
            <w:webHidden/>
          </w:rPr>
          <w:fldChar w:fldCharType="end"/>
        </w:r>
      </w:hyperlink>
    </w:p>
    <w:p w14:paraId="69D5C88F" w14:textId="65E37C9B" w:rsidR="00DD3379" w:rsidRDefault="005C6CAE">
      <w:pPr>
        <w:pStyle w:val="TOC2"/>
        <w:rPr>
          <w:rFonts w:asciiTheme="minorHAnsi" w:eastAsiaTheme="minorEastAsia" w:hAnsiTheme="minorHAnsi" w:cstheme="minorBidi"/>
          <w:noProof/>
          <w:szCs w:val="22"/>
          <w:lang w:val="en-AU" w:eastAsia="en-AU"/>
        </w:rPr>
      </w:pPr>
      <w:hyperlink w:anchor="_Toc180077041" w:history="1">
        <w:r w:rsidR="00DD3379" w:rsidRPr="004F69F0">
          <w:rPr>
            <w:rStyle w:val="Hyperlink"/>
            <w:noProof/>
          </w:rPr>
          <w:t>Statement of commitments as at 30 June 2024</w:t>
        </w:r>
        <w:r w:rsidR="00DD3379">
          <w:rPr>
            <w:noProof/>
            <w:webHidden/>
          </w:rPr>
          <w:tab/>
        </w:r>
        <w:r w:rsidR="00DD3379">
          <w:rPr>
            <w:noProof/>
            <w:webHidden/>
          </w:rPr>
          <w:fldChar w:fldCharType="begin"/>
        </w:r>
        <w:r w:rsidR="00DD3379">
          <w:rPr>
            <w:noProof/>
            <w:webHidden/>
          </w:rPr>
          <w:instrText xml:space="preserve"> PAGEREF _Toc180077041 \h </w:instrText>
        </w:r>
        <w:r w:rsidR="00DD3379">
          <w:rPr>
            <w:noProof/>
            <w:webHidden/>
          </w:rPr>
        </w:r>
        <w:r w:rsidR="00DD3379">
          <w:rPr>
            <w:noProof/>
            <w:webHidden/>
          </w:rPr>
          <w:fldChar w:fldCharType="separate"/>
        </w:r>
        <w:r w:rsidR="00DD3379">
          <w:rPr>
            <w:noProof/>
            <w:webHidden/>
          </w:rPr>
          <w:t>116</w:t>
        </w:r>
        <w:r w:rsidR="00DD3379">
          <w:rPr>
            <w:noProof/>
            <w:webHidden/>
          </w:rPr>
          <w:fldChar w:fldCharType="end"/>
        </w:r>
      </w:hyperlink>
    </w:p>
    <w:p w14:paraId="497BFD5A" w14:textId="1256C268" w:rsidR="00DD3379" w:rsidRDefault="005C6CAE">
      <w:pPr>
        <w:pStyle w:val="TOC2"/>
        <w:rPr>
          <w:rFonts w:asciiTheme="minorHAnsi" w:eastAsiaTheme="minorEastAsia" w:hAnsiTheme="minorHAnsi" w:cstheme="minorBidi"/>
          <w:noProof/>
          <w:szCs w:val="22"/>
          <w:lang w:val="en-AU" w:eastAsia="en-AU"/>
        </w:rPr>
      </w:pPr>
      <w:hyperlink w:anchor="_Toc180077042" w:history="1">
        <w:r w:rsidR="00DD3379" w:rsidRPr="004F69F0">
          <w:rPr>
            <w:rStyle w:val="Hyperlink"/>
            <w:noProof/>
          </w:rPr>
          <w:t>Statement of contingent liabilities and contingent assets as at 30 June 2024</w:t>
        </w:r>
        <w:r w:rsidR="00DD3379">
          <w:rPr>
            <w:noProof/>
            <w:webHidden/>
          </w:rPr>
          <w:tab/>
        </w:r>
        <w:r w:rsidR="00DD3379">
          <w:rPr>
            <w:noProof/>
            <w:webHidden/>
          </w:rPr>
          <w:fldChar w:fldCharType="begin"/>
        </w:r>
        <w:r w:rsidR="00DD3379">
          <w:rPr>
            <w:noProof/>
            <w:webHidden/>
          </w:rPr>
          <w:instrText xml:space="preserve"> PAGEREF _Toc180077042 \h </w:instrText>
        </w:r>
        <w:r w:rsidR="00DD3379">
          <w:rPr>
            <w:noProof/>
            <w:webHidden/>
          </w:rPr>
        </w:r>
        <w:r w:rsidR="00DD3379">
          <w:rPr>
            <w:noProof/>
            <w:webHidden/>
          </w:rPr>
          <w:fldChar w:fldCharType="separate"/>
        </w:r>
        <w:r w:rsidR="00DD3379">
          <w:rPr>
            <w:noProof/>
            <w:webHidden/>
          </w:rPr>
          <w:t>117</w:t>
        </w:r>
        <w:r w:rsidR="00DD3379">
          <w:rPr>
            <w:noProof/>
            <w:webHidden/>
          </w:rPr>
          <w:fldChar w:fldCharType="end"/>
        </w:r>
      </w:hyperlink>
    </w:p>
    <w:p w14:paraId="34B332A6" w14:textId="6CA87AAC" w:rsidR="00DD3379" w:rsidRDefault="005C6CAE">
      <w:pPr>
        <w:pStyle w:val="TOC2"/>
        <w:rPr>
          <w:rFonts w:asciiTheme="minorHAnsi" w:eastAsiaTheme="minorEastAsia" w:hAnsiTheme="minorHAnsi" w:cstheme="minorBidi"/>
          <w:noProof/>
          <w:szCs w:val="22"/>
          <w:lang w:val="en-AU" w:eastAsia="en-AU"/>
        </w:rPr>
      </w:pPr>
      <w:hyperlink w:anchor="_Toc180077043" w:history="1">
        <w:r w:rsidR="00DD3379" w:rsidRPr="004F69F0">
          <w:rPr>
            <w:rStyle w:val="Hyperlink"/>
            <w:noProof/>
          </w:rPr>
          <w:t>Notes to the financial statements for the year ended 30 June 2024</w:t>
        </w:r>
        <w:r w:rsidR="00DD3379">
          <w:rPr>
            <w:noProof/>
            <w:webHidden/>
          </w:rPr>
          <w:tab/>
        </w:r>
        <w:r w:rsidR="00DD3379">
          <w:rPr>
            <w:noProof/>
            <w:webHidden/>
          </w:rPr>
          <w:fldChar w:fldCharType="begin"/>
        </w:r>
        <w:r w:rsidR="00DD3379">
          <w:rPr>
            <w:noProof/>
            <w:webHidden/>
          </w:rPr>
          <w:instrText xml:space="preserve"> PAGEREF _Toc180077043 \h </w:instrText>
        </w:r>
        <w:r w:rsidR="00DD3379">
          <w:rPr>
            <w:noProof/>
            <w:webHidden/>
          </w:rPr>
        </w:r>
        <w:r w:rsidR="00DD3379">
          <w:rPr>
            <w:noProof/>
            <w:webHidden/>
          </w:rPr>
          <w:fldChar w:fldCharType="separate"/>
        </w:r>
        <w:r w:rsidR="00DD3379">
          <w:rPr>
            <w:noProof/>
            <w:webHidden/>
          </w:rPr>
          <w:t>117</w:t>
        </w:r>
        <w:r w:rsidR="00DD3379">
          <w:rPr>
            <w:noProof/>
            <w:webHidden/>
          </w:rPr>
          <w:fldChar w:fldCharType="end"/>
        </w:r>
      </w:hyperlink>
    </w:p>
    <w:p w14:paraId="59AAD2AF" w14:textId="1FD4138C" w:rsidR="00DD3379" w:rsidRDefault="005C6CAE">
      <w:pPr>
        <w:pStyle w:val="TOC2"/>
        <w:rPr>
          <w:rFonts w:asciiTheme="minorHAnsi" w:eastAsiaTheme="minorEastAsia" w:hAnsiTheme="minorHAnsi" w:cstheme="minorBidi"/>
          <w:noProof/>
          <w:szCs w:val="22"/>
          <w:lang w:val="en-AU" w:eastAsia="en-AU"/>
        </w:rPr>
      </w:pPr>
      <w:hyperlink w:anchor="_Toc180077044" w:history="1">
        <w:r w:rsidR="00DD3379" w:rsidRPr="004F69F0">
          <w:rPr>
            <w:rStyle w:val="Hyperlink"/>
            <w:noProof/>
          </w:rPr>
          <w:t>Non-departmental statements and schedules for the year ended 30 June 2024</w:t>
        </w:r>
        <w:r w:rsidR="00DD3379">
          <w:rPr>
            <w:noProof/>
            <w:webHidden/>
          </w:rPr>
          <w:tab/>
        </w:r>
        <w:r w:rsidR="00DD3379">
          <w:rPr>
            <w:noProof/>
            <w:webHidden/>
          </w:rPr>
          <w:fldChar w:fldCharType="begin"/>
        </w:r>
        <w:r w:rsidR="00DD3379">
          <w:rPr>
            <w:noProof/>
            <w:webHidden/>
          </w:rPr>
          <w:instrText xml:space="preserve"> PAGEREF _Toc180077044 \h </w:instrText>
        </w:r>
        <w:r w:rsidR="00DD3379">
          <w:rPr>
            <w:noProof/>
            <w:webHidden/>
          </w:rPr>
        </w:r>
        <w:r w:rsidR="00DD3379">
          <w:rPr>
            <w:noProof/>
            <w:webHidden/>
          </w:rPr>
          <w:fldChar w:fldCharType="separate"/>
        </w:r>
        <w:r w:rsidR="00DD3379">
          <w:rPr>
            <w:noProof/>
            <w:webHidden/>
          </w:rPr>
          <w:t>143</w:t>
        </w:r>
        <w:r w:rsidR="00DD3379">
          <w:rPr>
            <w:noProof/>
            <w:webHidden/>
          </w:rPr>
          <w:fldChar w:fldCharType="end"/>
        </w:r>
      </w:hyperlink>
    </w:p>
    <w:p w14:paraId="09616F40" w14:textId="5EEF41FC" w:rsidR="00DD3379" w:rsidRDefault="005C6CAE">
      <w:pPr>
        <w:pStyle w:val="TOC2"/>
        <w:rPr>
          <w:rFonts w:asciiTheme="minorHAnsi" w:eastAsiaTheme="minorEastAsia" w:hAnsiTheme="minorHAnsi" w:cstheme="minorBidi"/>
          <w:noProof/>
          <w:szCs w:val="22"/>
          <w:lang w:val="en-AU" w:eastAsia="en-AU"/>
        </w:rPr>
      </w:pPr>
      <w:hyperlink w:anchor="_Toc180077045" w:history="1">
        <w:r w:rsidR="00DD3379" w:rsidRPr="004F69F0">
          <w:rPr>
            <w:rStyle w:val="Hyperlink"/>
            <w:noProof/>
          </w:rPr>
          <w:t>Notes to the non-departmental statements and schedules</w:t>
        </w:r>
        <w:r w:rsidR="00DD3379">
          <w:rPr>
            <w:noProof/>
            <w:webHidden/>
          </w:rPr>
          <w:tab/>
        </w:r>
        <w:r w:rsidR="00DD3379">
          <w:rPr>
            <w:noProof/>
            <w:webHidden/>
          </w:rPr>
          <w:fldChar w:fldCharType="begin"/>
        </w:r>
        <w:r w:rsidR="00DD3379">
          <w:rPr>
            <w:noProof/>
            <w:webHidden/>
          </w:rPr>
          <w:instrText xml:space="preserve"> PAGEREF _Toc180077045 \h </w:instrText>
        </w:r>
        <w:r w:rsidR="00DD3379">
          <w:rPr>
            <w:noProof/>
            <w:webHidden/>
          </w:rPr>
        </w:r>
        <w:r w:rsidR="00DD3379">
          <w:rPr>
            <w:noProof/>
            <w:webHidden/>
          </w:rPr>
          <w:fldChar w:fldCharType="separate"/>
        </w:r>
        <w:r w:rsidR="00DD3379">
          <w:rPr>
            <w:noProof/>
            <w:webHidden/>
          </w:rPr>
          <w:t>149</w:t>
        </w:r>
        <w:r w:rsidR="00DD3379">
          <w:rPr>
            <w:noProof/>
            <w:webHidden/>
          </w:rPr>
          <w:fldChar w:fldCharType="end"/>
        </w:r>
      </w:hyperlink>
    </w:p>
    <w:p w14:paraId="79F59E66" w14:textId="1673F728" w:rsidR="00DD3379" w:rsidRDefault="005C6CAE">
      <w:pPr>
        <w:pStyle w:val="TOC1"/>
        <w:rPr>
          <w:rFonts w:asciiTheme="minorHAnsi" w:eastAsiaTheme="minorEastAsia" w:hAnsiTheme="minorHAnsi" w:cstheme="minorBidi"/>
          <w:noProof/>
          <w:sz w:val="22"/>
          <w:szCs w:val="22"/>
          <w:lang w:val="en-AU" w:eastAsia="en-AU"/>
        </w:rPr>
      </w:pPr>
      <w:hyperlink w:anchor="_Toc180077046" w:history="1">
        <w:r w:rsidR="00DD3379" w:rsidRPr="004F69F0">
          <w:rPr>
            <w:rStyle w:val="Hyperlink"/>
            <w:noProof/>
          </w:rPr>
          <w:t>Appendices – Ngā āpitihanga</w:t>
        </w:r>
        <w:r w:rsidR="00DD3379">
          <w:rPr>
            <w:noProof/>
            <w:webHidden/>
          </w:rPr>
          <w:tab/>
        </w:r>
        <w:r w:rsidR="00DD3379">
          <w:rPr>
            <w:noProof/>
            <w:webHidden/>
          </w:rPr>
          <w:fldChar w:fldCharType="begin"/>
        </w:r>
        <w:r w:rsidR="00DD3379">
          <w:rPr>
            <w:noProof/>
            <w:webHidden/>
          </w:rPr>
          <w:instrText xml:space="preserve"> PAGEREF _Toc180077046 \h </w:instrText>
        </w:r>
        <w:r w:rsidR="00DD3379">
          <w:rPr>
            <w:noProof/>
            <w:webHidden/>
          </w:rPr>
        </w:r>
        <w:r w:rsidR="00DD3379">
          <w:rPr>
            <w:noProof/>
            <w:webHidden/>
          </w:rPr>
          <w:fldChar w:fldCharType="separate"/>
        </w:r>
        <w:r w:rsidR="00DD3379">
          <w:rPr>
            <w:noProof/>
            <w:webHidden/>
          </w:rPr>
          <w:t>160</w:t>
        </w:r>
        <w:r w:rsidR="00DD3379">
          <w:rPr>
            <w:noProof/>
            <w:webHidden/>
          </w:rPr>
          <w:fldChar w:fldCharType="end"/>
        </w:r>
      </w:hyperlink>
    </w:p>
    <w:p w14:paraId="5ECA9914" w14:textId="5AC1D28A" w:rsidR="00DD3379" w:rsidRDefault="005C6CAE">
      <w:pPr>
        <w:pStyle w:val="TOC2"/>
        <w:rPr>
          <w:rFonts w:asciiTheme="minorHAnsi" w:eastAsiaTheme="minorEastAsia" w:hAnsiTheme="minorHAnsi" w:cstheme="minorBidi"/>
          <w:noProof/>
          <w:szCs w:val="22"/>
          <w:lang w:val="en-AU" w:eastAsia="en-AU"/>
        </w:rPr>
      </w:pPr>
      <w:hyperlink w:anchor="_Toc180077047" w:history="1">
        <w:r w:rsidR="00DD3379" w:rsidRPr="004F69F0">
          <w:rPr>
            <w:rStyle w:val="Hyperlink"/>
            <w:noProof/>
          </w:rPr>
          <w:t>Appendix 1: Legal and regulatory framework</w:t>
        </w:r>
        <w:r w:rsidR="00DD3379">
          <w:rPr>
            <w:noProof/>
            <w:webHidden/>
          </w:rPr>
          <w:tab/>
        </w:r>
        <w:r w:rsidR="00DD3379">
          <w:rPr>
            <w:noProof/>
            <w:webHidden/>
          </w:rPr>
          <w:fldChar w:fldCharType="begin"/>
        </w:r>
        <w:r w:rsidR="00DD3379">
          <w:rPr>
            <w:noProof/>
            <w:webHidden/>
          </w:rPr>
          <w:instrText xml:space="preserve"> PAGEREF _Toc180077047 \h </w:instrText>
        </w:r>
        <w:r w:rsidR="00DD3379">
          <w:rPr>
            <w:noProof/>
            <w:webHidden/>
          </w:rPr>
        </w:r>
        <w:r w:rsidR="00DD3379">
          <w:rPr>
            <w:noProof/>
            <w:webHidden/>
          </w:rPr>
          <w:fldChar w:fldCharType="separate"/>
        </w:r>
        <w:r w:rsidR="00DD3379">
          <w:rPr>
            <w:noProof/>
            <w:webHidden/>
          </w:rPr>
          <w:t>160</w:t>
        </w:r>
        <w:r w:rsidR="00DD3379">
          <w:rPr>
            <w:noProof/>
            <w:webHidden/>
          </w:rPr>
          <w:fldChar w:fldCharType="end"/>
        </w:r>
      </w:hyperlink>
    </w:p>
    <w:p w14:paraId="1D5F6F02" w14:textId="25D7612F" w:rsidR="00DD3379" w:rsidRDefault="005C6CAE">
      <w:pPr>
        <w:pStyle w:val="TOC2"/>
        <w:rPr>
          <w:rFonts w:asciiTheme="minorHAnsi" w:eastAsiaTheme="minorEastAsia" w:hAnsiTheme="minorHAnsi" w:cstheme="minorBidi"/>
          <w:noProof/>
          <w:szCs w:val="22"/>
          <w:lang w:val="en-AU" w:eastAsia="en-AU"/>
        </w:rPr>
      </w:pPr>
      <w:hyperlink w:anchor="_Toc180077048" w:history="1">
        <w:r w:rsidR="00DD3379" w:rsidRPr="004F69F0">
          <w:rPr>
            <w:rStyle w:val="Hyperlink"/>
            <w:noProof/>
          </w:rPr>
          <w:t>Appendix 2: Delegation of functions or powers</w:t>
        </w:r>
        <w:r w:rsidR="00DD3379">
          <w:rPr>
            <w:noProof/>
            <w:webHidden/>
          </w:rPr>
          <w:tab/>
        </w:r>
        <w:r w:rsidR="00DD3379">
          <w:rPr>
            <w:noProof/>
            <w:webHidden/>
          </w:rPr>
          <w:fldChar w:fldCharType="begin"/>
        </w:r>
        <w:r w:rsidR="00DD3379">
          <w:rPr>
            <w:noProof/>
            <w:webHidden/>
          </w:rPr>
          <w:instrText xml:space="preserve"> PAGEREF _Toc180077048 \h </w:instrText>
        </w:r>
        <w:r w:rsidR="00DD3379">
          <w:rPr>
            <w:noProof/>
            <w:webHidden/>
          </w:rPr>
        </w:r>
        <w:r w:rsidR="00DD3379">
          <w:rPr>
            <w:noProof/>
            <w:webHidden/>
          </w:rPr>
          <w:fldChar w:fldCharType="separate"/>
        </w:r>
        <w:r w:rsidR="00DD3379">
          <w:rPr>
            <w:noProof/>
            <w:webHidden/>
          </w:rPr>
          <w:t>165</w:t>
        </w:r>
        <w:r w:rsidR="00DD3379">
          <w:rPr>
            <w:noProof/>
            <w:webHidden/>
          </w:rPr>
          <w:fldChar w:fldCharType="end"/>
        </w:r>
      </w:hyperlink>
    </w:p>
    <w:p w14:paraId="713251ED" w14:textId="620B482C" w:rsidR="00DD3379" w:rsidRDefault="005C6CAE">
      <w:pPr>
        <w:pStyle w:val="TOC2"/>
        <w:rPr>
          <w:rFonts w:asciiTheme="minorHAnsi" w:eastAsiaTheme="minorEastAsia" w:hAnsiTheme="minorHAnsi" w:cstheme="minorBidi"/>
          <w:noProof/>
          <w:szCs w:val="22"/>
          <w:lang w:val="en-AU" w:eastAsia="en-AU"/>
        </w:rPr>
      </w:pPr>
      <w:hyperlink w:anchor="_Toc180077049" w:history="1">
        <w:r w:rsidR="00DD3379" w:rsidRPr="004F69F0">
          <w:rPr>
            <w:rStyle w:val="Hyperlink"/>
            <w:noProof/>
          </w:rPr>
          <w:t>Appendix 3: Substance Addiction (Compulsory Assessment and Treatment) Act 2017</w:t>
        </w:r>
        <w:r w:rsidR="00DD3379">
          <w:rPr>
            <w:noProof/>
            <w:webHidden/>
          </w:rPr>
          <w:tab/>
        </w:r>
        <w:r w:rsidR="00DD3379">
          <w:rPr>
            <w:noProof/>
            <w:webHidden/>
          </w:rPr>
          <w:fldChar w:fldCharType="begin"/>
        </w:r>
        <w:r w:rsidR="00DD3379">
          <w:rPr>
            <w:noProof/>
            <w:webHidden/>
          </w:rPr>
          <w:instrText xml:space="preserve"> PAGEREF _Toc180077049 \h </w:instrText>
        </w:r>
        <w:r w:rsidR="00DD3379">
          <w:rPr>
            <w:noProof/>
            <w:webHidden/>
          </w:rPr>
        </w:r>
        <w:r w:rsidR="00DD3379">
          <w:rPr>
            <w:noProof/>
            <w:webHidden/>
          </w:rPr>
          <w:fldChar w:fldCharType="separate"/>
        </w:r>
        <w:r w:rsidR="00DD3379">
          <w:rPr>
            <w:noProof/>
            <w:webHidden/>
          </w:rPr>
          <w:t>166</w:t>
        </w:r>
        <w:r w:rsidR="00DD3379">
          <w:rPr>
            <w:noProof/>
            <w:webHidden/>
          </w:rPr>
          <w:fldChar w:fldCharType="end"/>
        </w:r>
      </w:hyperlink>
    </w:p>
    <w:p w14:paraId="327DE5C3" w14:textId="4E624494" w:rsidR="00DD3379" w:rsidRDefault="005C6CAE">
      <w:pPr>
        <w:pStyle w:val="TOC2"/>
        <w:rPr>
          <w:rFonts w:asciiTheme="minorHAnsi" w:eastAsiaTheme="minorEastAsia" w:hAnsiTheme="minorHAnsi" w:cstheme="minorBidi"/>
          <w:noProof/>
          <w:szCs w:val="22"/>
          <w:lang w:val="en-AU" w:eastAsia="en-AU"/>
        </w:rPr>
      </w:pPr>
      <w:hyperlink w:anchor="_Toc180077050" w:history="1">
        <w:r w:rsidR="00DD3379" w:rsidRPr="004F69F0">
          <w:rPr>
            <w:rStyle w:val="Hyperlink"/>
            <w:noProof/>
          </w:rPr>
          <w:t>Appendix 4: Committees</w:t>
        </w:r>
        <w:r w:rsidR="00DD3379">
          <w:rPr>
            <w:noProof/>
            <w:webHidden/>
          </w:rPr>
          <w:tab/>
        </w:r>
        <w:r w:rsidR="00DD3379">
          <w:rPr>
            <w:noProof/>
            <w:webHidden/>
          </w:rPr>
          <w:fldChar w:fldCharType="begin"/>
        </w:r>
        <w:r w:rsidR="00DD3379">
          <w:rPr>
            <w:noProof/>
            <w:webHidden/>
          </w:rPr>
          <w:instrText xml:space="preserve"> PAGEREF _Toc180077050 \h </w:instrText>
        </w:r>
        <w:r w:rsidR="00DD3379">
          <w:rPr>
            <w:noProof/>
            <w:webHidden/>
          </w:rPr>
        </w:r>
        <w:r w:rsidR="00DD3379">
          <w:rPr>
            <w:noProof/>
            <w:webHidden/>
          </w:rPr>
          <w:fldChar w:fldCharType="separate"/>
        </w:r>
        <w:r w:rsidR="00DD3379">
          <w:rPr>
            <w:noProof/>
            <w:webHidden/>
          </w:rPr>
          <w:t>168</w:t>
        </w:r>
        <w:r w:rsidR="00DD3379">
          <w:rPr>
            <w:noProof/>
            <w:webHidden/>
          </w:rPr>
          <w:fldChar w:fldCharType="end"/>
        </w:r>
      </w:hyperlink>
    </w:p>
    <w:p w14:paraId="22E43CA3" w14:textId="3C2F482C" w:rsidR="00DD3379" w:rsidRDefault="005C6CAE">
      <w:pPr>
        <w:pStyle w:val="TOC2"/>
        <w:rPr>
          <w:rFonts w:asciiTheme="minorHAnsi" w:eastAsiaTheme="minorEastAsia" w:hAnsiTheme="minorHAnsi" w:cstheme="minorBidi"/>
          <w:noProof/>
          <w:szCs w:val="22"/>
          <w:lang w:val="en-AU" w:eastAsia="en-AU"/>
        </w:rPr>
      </w:pPr>
      <w:hyperlink w:anchor="_Toc180077051" w:history="1">
        <w:r w:rsidR="00DD3379" w:rsidRPr="004F69F0">
          <w:rPr>
            <w:rStyle w:val="Hyperlink"/>
            <w:noProof/>
          </w:rPr>
          <w:t>Appendix 5: Asset performance indicators</w:t>
        </w:r>
        <w:r w:rsidR="00DD3379">
          <w:rPr>
            <w:noProof/>
            <w:webHidden/>
          </w:rPr>
          <w:tab/>
        </w:r>
        <w:r w:rsidR="00DD3379">
          <w:rPr>
            <w:noProof/>
            <w:webHidden/>
          </w:rPr>
          <w:fldChar w:fldCharType="begin"/>
        </w:r>
        <w:r w:rsidR="00DD3379">
          <w:rPr>
            <w:noProof/>
            <w:webHidden/>
          </w:rPr>
          <w:instrText xml:space="preserve"> PAGEREF _Toc180077051 \h </w:instrText>
        </w:r>
        <w:r w:rsidR="00DD3379">
          <w:rPr>
            <w:noProof/>
            <w:webHidden/>
          </w:rPr>
        </w:r>
        <w:r w:rsidR="00DD3379">
          <w:rPr>
            <w:noProof/>
            <w:webHidden/>
          </w:rPr>
          <w:fldChar w:fldCharType="separate"/>
        </w:r>
        <w:r w:rsidR="00DD3379">
          <w:rPr>
            <w:noProof/>
            <w:webHidden/>
          </w:rPr>
          <w:t>172</w:t>
        </w:r>
        <w:r w:rsidR="00DD3379">
          <w:rPr>
            <w:noProof/>
            <w:webHidden/>
          </w:rPr>
          <w:fldChar w:fldCharType="end"/>
        </w:r>
      </w:hyperlink>
    </w:p>
    <w:p w14:paraId="28F7080B" w14:textId="4994DDCB" w:rsidR="00DD3379" w:rsidRDefault="005C6CAE">
      <w:pPr>
        <w:pStyle w:val="TOC2"/>
        <w:rPr>
          <w:rFonts w:asciiTheme="minorHAnsi" w:eastAsiaTheme="minorEastAsia" w:hAnsiTheme="minorHAnsi" w:cstheme="minorBidi"/>
          <w:noProof/>
          <w:szCs w:val="22"/>
          <w:lang w:val="en-AU" w:eastAsia="en-AU"/>
        </w:rPr>
      </w:pPr>
      <w:hyperlink w:anchor="_Toc180077052" w:history="1">
        <w:r w:rsidR="00DD3379" w:rsidRPr="004F69F0">
          <w:rPr>
            <w:rStyle w:val="Hyperlink"/>
            <w:noProof/>
          </w:rPr>
          <w:t>Appendix 6: Carbon Neutral Government Plan – Greenhouse gas emissions 2023/24</w:t>
        </w:r>
        <w:r w:rsidR="00DD3379">
          <w:rPr>
            <w:noProof/>
            <w:webHidden/>
          </w:rPr>
          <w:tab/>
        </w:r>
        <w:r w:rsidR="00DD3379">
          <w:rPr>
            <w:noProof/>
            <w:webHidden/>
          </w:rPr>
          <w:fldChar w:fldCharType="begin"/>
        </w:r>
        <w:r w:rsidR="00DD3379">
          <w:rPr>
            <w:noProof/>
            <w:webHidden/>
          </w:rPr>
          <w:instrText xml:space="preserve"> PAGEREF _Toc180077052 \h </w:instrText>
        </w:r>
        <w:r w:rsidR="00DD3379">
          <w:rPr>
            <w:noProof/>
            <w:webHidden/>
          </w:rPr>
        </w:r>
        <w:r w:rsidR="00DD3379">
          <w:rPr>
            <w:noProof/>
            <w:webHidden/>
          </w:rPr>
          <w:fldChar w:fldCharType="separate"/>
        </w:r>
        <w:r w:rsidR="00DD3379">
          <w:rPr>
            <w:noProof/>
            <w:webHidden/>
          </w:rPr>
          <w:t>174</w:t>
        </w:r>
        <w:r w:rsidR="00DD3379">
          <w:rPr>
            <w:noProof/>
            <w:webHidden/>
          </w:rPr>
          <w:fldChar w:fldCharType="end"/>
        </w:r>
      </w:hyperlink>
    </w:p>
    <w:p w14:paraId="27FC44C5" w14:textId="2A0A9CF8" w:rsidR="00DD3379" w:rsidRDefault="005C6CAE">
      <w:pPr>
        <w:pStyle w:val="TOC1"/>
        <w:rPr>
          <w:rFonts w:asciiTheme="minorHAnsi" w:eastAsiaTheme="minorEastAsia" w:hAnsiTheme="minorHAnsi" w:cstheme="minorBidi"/>
          <w:noProof/>
          <w:sz w:val="22"/>
          <w:szCs w:val="22"/>
          <w:lang w:val="en-AU" w:eastAsia="en-AU"/>
        </w:rPr>
      </w:pPr>
      <w:hyperlink w:anchor="_Toc180077053" w:history="1">
        <w:r w:rsidR="00DD3379" w:rsidRPr="004F69F0">
          <w:rPr>
            <w:rStyle w:val="Hyperlink"/>
            <w:noProof/>
            <w:lang w:eastAsia="en-US"/>
          </w:rPr>
          <w:t xml:space="preserve">Te Aho o Te Kahu </w:t>
        </w:r>
        <w:r w:rsidR="00DD3379" w:rsidRPr="004F69F0">
          <w:rPr>
            <w:rStyle w:val="Hyperlink"/>
            <w:noProof/>
          </w:rPr>
          <w:t>–</w:t>
        </w:r>
        <w:r w:rsidR="00DD3379" w:rsidRPr="004F69F0">
          <w:rPr>
            <w:rStyle w:val="Hyperlink"/>
            <w:noProof/>
            <w:lang w:eastAsia="en-US"/>
          </w:rPr>
          <w:t xml:space="preserve"> Cancer Control Agency Annual Report 2023/24</w:t>
        </w:r>
        <w:r w:rsidR="00DD3379">
          <w:rPr>
            <w:noProof/>
            <w:webHidden/>
          </w:rPr>
          <w:tab/>
        </w:r>
        <w:r w:rsidR="00DD3379">
          <w:rPr>
            <w:noProof/>
            <w:webHidden/>
          </w:rPr>
          <w:fldChar w:fldCharType="begin"/>
        </w:r>
        <w:r w:rsidR="00DD3379">
          <w:rPr>
            <w:noProof/>
            <w:webHidden/>
          </w:rPr>
          <w:instrText xml:space="preserve"> PAGEREF _Toc180077053 \h </w:instrText>
        </w:r>
        <w:r w:rsidR="00DD3379">
          <w:rPr>
            <w:noProof/>
            <w:webHidden/>
          </w:rPr>
        </w:r>
        <w:r w:rsidR="00DD3379">
          <w:rPr>
            <w:noProof/>
            <w:webHidden/>
          </w:rPr>
          <w:fldChar w:fldCharType="separate"/>
        </w:r>
        <w:r w:rsidR="00DD3379">
          <w:rPr>
            <w:noProof/>
            <w:webHidden/>
          </w:rPr>
          <w:t>176</w:t>
        </w:r>
        <w:r w:rsidR="00DD3379">
          <w:rPr>
            <w:noProof/>
            <w:webHidden/>
          </w:rPr>
          <w:fldChar w:fldCharType="end"/>
        </w:r>
      </w:hyperlink>
    </w:p>
    <w:p w14:paraId="13E70AF1" w14:textId="64D855CF" w:rsidR="00DD3379" w:rsidRDefault="005C6CAE">
      <w:pPr>
        <w:pStyle w:val="TOC2"/>
        <w:rPr>
          <w:rFonts w:asciiTheme="minorHAnsi" w:eastAsiaTheme="minorEastAsia" w:hAnsiTheme="minorHAnsi" w:cstheme="minorBidi"/>
          <w:noProof/>
          <w:szCs w:val="22"/>
          <w:lang w:val="en-AU" w:eastAsia="en-AU"/>
        </w:rPr>
      </w:pPr>
      <w:hyperlink w:anchor="_Toc180077054" w:history="1">
        <w:r w:rsidR="00DD3379" w:rsidRPr="004F69F0">
          <w:rPr>
            <w:rStyle w:val="Hyperlink"/>
            <w:noProof/>
            <w:lang w:eastAsia="en-US"/>
          </w:rPr>
          <w:t>Chief Executive foreword</w:t>
        </w:r>
        <w:r w:rsidR="00DD3379">
          <w:rPr>
            <w:noProof/>
            <w:webHidden/>
          </w:rPr>
          <w:tab/>
        </w:r>
        <w:r w:rsidR="00DD3379">
          <w:rPr>
            <w:noProof/>
            <w:webHidden/>
          </w:rPr>
          <w:fldChar w:fldCharType="begin"/>
        </w:r>
        <w:r w:rsidR="00DD3379">
          <w:rPr>
            <w:noProof/>
            <w:webHidden/>
          </w:rPr>
          <w:instrText xml:space="preserve"> PAGEREF _Toc180077054 \h </w:instrText>
        </w:r>
        <w:r w:rsidR="00DD3379">
          <w:rPr>
            <w:noProof/>
            <w:webHidden/>
          </w:rPr>
        </w:r>
        <w:r w:rsidR="00DD3379">
          <w:rPr>
            <w:noProof/>
            <w:webHidden/>
          </w:rPr>
          <w:fldChar w:fldCharType="separate"/>
        </w:r>
        <w:r w:rsidR="00DD3379">
          <w:rPr>
            <w:noProof/>
            <w:webHidden/>
          </w:rPr>
          <w:t>176</w:t>
        </w:r>
        <w:r w:rsidR="00DD3379">
          <w:rPr>
            <w:noProof/>
            <w:webHidden/>
          </w:rPr>
          <w:fldChar w:fldCharType="end"/>
        </w:r>
      </w:hyperlink>
    </w:p>
    <w:p w14:paraId="219B7D12" w14:textId="77FC8F44" w:rsidR="00DD3379" w:rsidRDefault="005C6CAE">
      <w:pPr>
        <w:pStyle w:val="TOC2"/>
        <w:rPr>
          <w:rFonts w:asciiTheme="minorHAnsi" w:eastAsiaTheme="minorEastAsia" w:hAnsiTheme="minorHAnsi" w:cstheme="minorBidi"/>
          <w:noProof/>
          <w:szCs w:val="22"/>
          <w:lang w:val="en-AU" w:eastAsia="en-AU"/>
        </w:rPr>
      </w:pPr>
      <w:hyperlink w:anchor="_Toc180077055" w:history="1">
        <w:r w:rsidR="00DD3379" w:rsidRPr="004F69F0">
          <w:rPr>
            <w:rStyle w:val="Hyperlink"/>
            <w:noProof/>
            <w:lang w:eastAsia="en-US"/>
          </w:rPr>
          <w:t>He mihi nā te Tumu Whakarae</w:t>
        </w:r>
        <w:r w:rsidR="00DD3379">
          <w:rPr>
            <w:noProof/>
            <w:webHidden/>
          </w:rPr>
          <w:tab/>
        </w:r>
        <w:r w:rsidR="00DD3379">
          <w:rPr>
            <w:noProof/>
            <w:webHidden/>
          </w:rPr>
          <w:fldChar w:fldCharType="begin"/>
        </w:r>
        <w:r w:rsidR="00DD3379">
          <w:rPr>
            <w:noProof/>
            <w:webHidden/>
          </w:rPr>
          <w:instrText xml:space="preserve"> PAGEREF _Toc180077055 \h </w:instrText>
        </w:r>
        <w:r w:rsidR="00DD3379">
          <w:rPr>
            <w:noProof/>
            <w:webHidden/>
          </w:rPr>
        </w:r>
        <w:r w:rsidR="00DD3379">
          <w:rPr>
            <w:noProof/>
            <w:webHidden/>
          </w:rPr>
          <w:fldChar w:fldCharType="separate"/>
        </w:r>
        <w:r w:rsidR="00DD3379">
          <w:rPr>
            <w:noProof/>
            <w:webHidden/>
          </w:rPr>
          <w:t>178</w:t>
        </w:r>
        <w:r w:rsidR="00DD3379">
          <w:rPr>
            <w:noProof/>
            <w:webHidden/>
          </w:rPr>
          <w:fldChar w:fldCharType="end"/>
        </w:r>
      </w:hyperlink>
    </w:p>
    <w:p w14:paraId="6519D3E2" w14:textId="450FD06D" w:rsidR="00DD3379" w:rsidRDefault="005C6CAE">
      <w:pPr>
        <w:pStyle w:val="TOC2"/>
        <w:rPr>
          <w:rFonts w:asciiTheme="minorHAnsi" w:eastAsiaTheme="minorEastAsia" w:hAnsiTheme="minorHAnsi" w:cstheme="minorBidi"/>
          <w:noProof/>
          <w:szCs w:val="22"/>
          <w:lang w:val="en-AU" w:eastAsia="en-AU"/>
        </w:rPr>
      </w:pPr>
      <w:hyperlink w:anchor="_Toc180077056" w:history="1">
        <w:r w:rsidR="00DD3379" w:rsidRPr="004F69F0">
          <w:rPr>
            <w:rStyle w:val="Hyperlink"/>
            <w:noProof/>
            <w:lang w:eastAsia="en-US"/>
          </w:rPr>
          <w:t xml:space="preserve">Tā mātou aronga </w:t>
        </w:r>
        <w:r w:rsidR="00DD3379" w:rsidRPr="004F69F0">
          <w:rPr>
            <w:rStyle w:val="Hyperlink"/>
            <w:noProof/>
          </w:rPr>
          <w:t>–</w:t>
        </w:r>
        <w:r w:rsidR="00DD3379" w:rsidRPr="004F69F0">
          <w:rPr>
            <w:rStyle w:val="Hyperlink"/>
            <w:noProof/>
            <w:lang w:eastAsia="en-US"/>
          </w:rPr>
          <w:t xml:space="preserve"> An agency focused on cancer</w:t>
        </w:r>
        <w:r w:rsidR="00DD3379">
          <w:rPr>
            <w:noProof/>
            <w:webHidden/>
          </w:rPr>
          <w:tab/>
        </w:r>
        <w:r w:rsidR="00DD3379">
          <w:rPr>
            <w:noProof/>
            <w:webHidden/>
          </w:rPr>
          <w:fldChar w:fldCharType="begin"/>
        </w:r>
        <w:r w:rsidR="00DD3379">
          <w:rPr>
            <w:noProof/>
            <w:webHidden/>
          </w:rPr>
          <w:instrText xml:space="preserve"> PAGEREF _Toc180077056 \h </w:instrText>
        </w:r>
        <w:r w:rsidR="00DD3379">
          <w:rPr>
            <w:noProof/>
            <w:webHidden/>
          </w:rPr>
        </w:r>
        <w:r w:rsidR="00DD3379">
          <w:rPr>
            <w:noProof/>
            <w:webHidden/>
          </w:rPr>
          <w:fldChar w:fldCharType="separate"/>
        </w:r>
        <w:r w:rsidR="00DD3379">
          <w:rPr>
            <w:noProof/>
            <w:webHidden/>
          </w:rPr>
          <w:t>180</w:t>
        </w:r>
        <w:r w:rsidR="00DD3379">
          <w:rPr>
            <w:noProof/>
            <w:webHidden/>
          </w:rPr>
          <w:fldChar w:fldCharType="end"/>
        </w:r>
      </w:hyperlink>
    </w:p>
    <w:p w14:paraId="2AE275B8" w14:textId="4254631A" w:rsidR="00DD3379" w:rsidRDefault="005C6CAE">
      <w:pPr>
        <w:pStyle w:val="TOC2"/>
        <w:rPr>
          <w:rFonts w:asciiTheme="minorHAnsi" w:eastAsiaTheme="minorEastAsia" w:hAnsiTheme="minorHAnsi" w:cstheme="minorBidi"/>
          <w:noProof/>
          <w:szCs w:val="22"/>
          <w:lang w:val="en-AU" w:eastAsia="en-AU"/>
        </w:rPr>
      </w:pPr>
      <w:hyperlink w:anchor="_Toc180077057" w:history="1">
        <w:r w:rsidR="00DD3379" w:rsidRPr="004F69F0">
          <w:rPr>
            <w:rStyle w:val="Hyperlink"/>
            <w:noProof/>
          </w:rPr>
          <w:t>Ngā hoamahi – Our partners</w:t>
        </w:r>
        <w:r w:rsidR="00DD3379">
          <w:rPr>
            <w:noProof/>
            <w:webHidden/>
          </w:rPr>
          <w:tab/>
        </w:r>
        <w:r w:rsidR="00DD3379">
          <w:rPr>
            <w:noProof/>
            <w:webHidden/>
          </w:rPr>
          <w:fldChar w:fldCharType="begin"/>
        </w:r>
        <w:r w:rsidR="00DD3379">
          <w:rPr>
            <w:noProof/>
            <w:webHidden/>
          </w:rPr>
          <w:instrText xml:space="preserve"> PAGEREF _Toc180077057 \h </w:instrText>
        </w:r>
        <w:r w:rsidR="00DD3379">
          <w:rPr>
            <w:noProof/>
            <w:webHidden/>
          </w:rPr>
        </w:r>
        <w:r w:rsidR="00DD3379">
          <w:rPr>
            <w:noProof/>
            <w:webHidden/>
          </w:rPr>
          <w:fldChar w:fldCharType="separate"/>
        </w:r>
        <w:r w:rsidR="00DD3379">
          <w:rPr>
            <w:noProof/>
            <w:webHidden/>
          </w:rPr>
          <w:t>182</w:t>
        </w:r>
        <w:r w:rsidR="00DD3379">
          <w:rPr>
            <w:noProof/>
            <w:webHidden/>
          </w:rPr>
          <w:fldChar w:fldCharType="end"/>
        </w:r>
      </w:hyperlink>
    </w:p>
    <w:p w14:paraId="4CCAEDE8" w14:textId="75C66A5C" w:rsidR="00DD3379" w:rsidRDefault="005C6CAE">
      <w:pPr>
        <w:pStyle w:val="TOC2"/>
        <w:rPr>
          <w:rFonts w:asciiTheme="minorHAnsi" w:eastAsiaTheme="minorEastAsia" w:hAnsiTheme="minorHAnsi" w:cstheme="minorBidi"/>
          <w:noProof/>
          <w:szCs w:val="22"/>
          <w:lang w:val="en-AU" w:eastAsia="en-AU"/>
        </w:rPr>
      </w:pPr>
      <w:hyperlink w:anchor="_Toc180077058" w:history="1">
        <w:r w:rsidR="00DD3379" w:rsidRPr="004F69F0">
          <w:rPr>
            <w:rStyle w:val="Hyperlink"/>
            <w:noProof/>
          </w:rPr>
          <w:t>Anei mātou – Who we are</w:t>
        </w:r>
        <w:r w:rsidR="00DD3379">
          <w:rPr>
            <w:noProof/>
            <w:webHidden/>
          </w:rPr>
          <w:tab/>
        </w:r>
        <w:r w:rsidR="00DD3379">
          <w:rPr>
            <w:noProof/>
            <w:webHidden/>
          </w:rPr>
          <w:fldChar w:fldCharType="begin"/>
        </w:r>
        <w:r w:rsidR="00DD3379">
          <w:rPr>
            <w:noProof/>
            <w:webHidden/>
          </w:rPr>
          <w:instrText xml:space="preserve"> PAGEREF _Toc180077058 \h </w:instrText>
        </w:r>
        <w:r w:rsidR="00DD3379">
          <w:rPr>
            <w:noProof/>
            <w:webHidden/>
          </w:rPr>
        </w:r>
        <w:r w:rsidR="00DD3379">
          <w:rPr>
            <w:noProof/>
            <w:webHidden/>
          </w:rPr>
          <w:fldChar w:fldCharType="separate"/>
        </w:r>
        <w:r w:rsidR="00DD3379">
          <w:rPr>
            <w:noProof/>
            <w:webHidden/>
          </w:rPr>
          <w:t>184</w:t>
        </w:r>
        <w:r w:rsidR="00DD3379">
          <w:rPr>
            <w:noProof/>
            <w:webHidden/>
          </w:rPr>
          <w:fldChar w:fldCharType="end"/>
        </w:r>
      </w:hyperlink>
    </w:p>
    <w:p w14:paraId="2015C3DC" w14:textId="701F065C" w:rsidR="00DD3379" w:rsidRDefault="005C6CAE">
      <w:pPr>
        <w:pStyle w:val="TOC2"/>
        <w:rPr>
          <w:rFonts w:asciiTheme="minorHAnsi" w:eastAsiaTheme="minorEastAsia" w:hAnsiTheme="minorHAnsi" w:cstheme="minorBidi"/>
          <w:noProof/>
          <w:szCs w:val="22"/>
          <w:lang w:val="en-AU" w:eastAsia="en-AU"/>
        </w:rPr>
      </w:pPr>
      <w:hyperlink w:anchor="_Toc180077059" w:history="1">
        <w:r w:rsidR="00DD3379" w:rsidRPr="004F69F0">
          <w:rPr>
            <w:rStyle w:val="Hyperlink"/>
            <w:noProof/>
          </w:rPr>
          <w:t>Ō mātou takune – Our intentions for 2023/24</w:t>
        </w:r>
        <w:r w:rsidR="00DD3379">
          <w:rPr>
            <w:noProof/>
            <w:webHidden/>
          </w:rPr>
          <w:tab/>
        </w:r>
        <w:r w:rsidR="00DD3379">
          <w:rPr>
            <w:noProof/>
            <w:webHidden/>
          </w:rPr>
          <w:fldChar w:fldCharType="begin"/>
        </w:r>
        <w:r w:rsidR="00DD3379">
          <w:rPr>
            <w:noProof/>
            <w:webHidden/>
          </w:rPr>
          <w:instrText xml:space="preserve"> PAGEREF _Toc180077059 \h </w:instrText>
        </w:r>
        <w:r w:rsidR="00DD3379">
          <w:rPr>
            <w:noProof/>
            <w:webHidden/>
          </w:rPr>
        </w:r>
        <w:r w:rsidR="00DD3379">
          <w:rPr>
            <w:noProof/>
            <w:webHidden/>
          </w:rPr>
          <w:fldChar w:fldCharType="separate"/>
        </w:r>
        <w:r w:rsidR="00DD3379">
          <w:rPr>
            <w:noProof/>
            <w:webHidden/>
          </w:rPr>
          <w:t>188</w:t>
        </w:r>
        <w:r w:rsidR="00DD3379">
          <w:rPr>
            <w:noProof/>
            <w:webHidden/>
          </w:rPr>
          <w:fldChar w:fldCharType="end"/>
        </w:r>
      </w:hyperlink>
    </w:p>
    <w:p w14:paraId="7E079BF2" w14:textId="38674922" w:rsidR="00DD3379" w:rsidRDefault="005C6CAE">
      <w:pPr>
        <w:pStyle w:val="TOC2"/>
        <w:rPr>
          <w:rFonts w:asciiTheme="minorHAnsi" w:eastAsiaTheme="minorEastAsia" w:hAnsiTheme="minorHAnsi" w:cstheme="minorBidi"/>
          <w:noProof/>
          <w:szCs w:val="22"/>
          <w:lang w:val="en-AU" w:eastAsia="en-AU"/>
        </w:rPr>
      </w:pPr>
      <w:hyperlink w:anchor="_Toc180077060" w:history="1">
        <w:r w:rsidR="00DD3379" w:rsidRPr="004F69F0">
          <w:rPr>
            <w:rStyle w:val="Hyperlink"/>
            <w:noProof/>
          </w:rPr>
          <w:t>Ngā whakatutukinga – What we have achieved</w:t>
        </w:r>
        <w:r w:rsidR="00DD3379">
          <w:rPr>
            <w:noProof/>
            <w:webHidden/>
          </w:rPr>
          <w:tab/>
        </w:r>
        <w:r w:rsidR="00DD3379">
          <w:rPr>
            <w:noProof/>
            <w:webHidden/>
          </w:rPr>
          <w:fldChar w:fldCharType="begin"/>
        </w:r>
        <w:r w:rsidR="00DD3379">
          <w:rPr>
            <w:noProof/>
            <w:webHidden/>
          </w:rPr>
          <w:instrText xml:space="preserve"> PAGEREF _Toc180077060 \h </w:instrText>
        </w:r>
        <w:r w:rsidR="00DD3379">
          <w:rPr>
            <w:noProof/>
            <w:webHidden/>
          </w:rPr>
        </w:r>
        <w:r w:rsidR="00DD3379">
          <w:rPr>
            <w:noProof/>
            <w:webHidden/>
          </w:rPr>
          <w:fldChar w:fldCharType="separate"/>
        </w:r>
        <w:r w:rsidR="00DD3379">
          <w:rPr>
            <w:noProof/>
            <w:webHidden/>
          </w:rPr>
          <w:t>191</w:t>
        </w:r>
        <w:r w:rsidR="00DD3379">
          <w:rPr>
            <w:noProof/>
            <w:webHidden/>
          </w:rPr>
          <w:fldChar w:fldCharType="end"/>
        </w:r>
      </w:hyperlink>
    </w:p>
    <w:p w14:paraId="04F688A1" w14:textId="19FF794D" w:rsidR="00DD3379" w:rsidRDefault="005C6CAE">
      <w:pPr>
        <w:pStyle w:val="TOC2"/>
        <w:rPr>
          <w:rFonts w:asciiTheme="minorHAnsi" w:eastAsiaTheme="minorEastAsia" w:hAnsiTheme="minorHAnsi" w:cstheme="minorBidi"/>
          <w:noProof/>
          <w:szCs w:val="22"/>
          <w:lang w:val="en-AU" w:eastAsia="en-AU"/>
        </w:rPr>
      </w:pPr>
      <w:hyperlink w:anchor="_Toc180077061" w:history="1">
        <w:r w:rsidR="00DD3379" w:rsidRPr="004F69F0">
          <w:rPr>
            <w:rStyle w:val="Hyperlink"/>
            <w:noProof/>
            <w:lang w:eastAsia="en-US"/>
          </w:rPr>
          <w:t>Sector performance</w:t>
        </w:r>
        <w:r w:rsidR="00DD3379">
          <w:rPr>
            <w:noProof/>
            <w:webHidden/>
          </w:rPr>
          <w:tab/>
        </w:r>
        <w:r w:rsidR="00DD3379">
          <w:rPr>
            <w:noProof/>
            <w:webHidden/>
          </w:rPr>
          <w:fldChar w:fldCharType="begin"/>
        </w:r>
        <w:r w:rsidR="00DD3379">
          <w:rPr>
            <w:noProof/>
            <w:webHidden/>
          </w:rPr>
          <w:instrText xml:space="preserve"> PAGEREF _Toc180077061 \h </w:instrText>
        </w:r>
        <w:r w:rsidR="00DD3379">
          <w:rPr>
            <w:noProof/>
            <w:webHidden/>
          </w:rPr>
        </w:r>
        <w:r w:rsidR="00DD3379">
          <w:rPr>
            <w:noProof/>
            <w:webHidden/>
          </w:rPr>
          <w:fldChar w:fldCharType="separate"/>
        </w:r>
        <w:r w:rsidR="00DD3379">
          <w:rPr>
            <w:noProof/>
            <w:webHidden/>
          </w:rPr>
          <w:t>205</w:t>
        </w:r>
        <w:r w:rsidR="00DD3379">
          <w:rPr>
            <w:noProof/>
            <w:webHidden/>
          </w:rPr>
          <w:fldChar w:fldCharType="end"/>
        </w:r>
      </w:hyperlink>
    </w:p>
    <w:p w14:paraId="00E449C1" w14:textId="0D4EC845" w:rsidR="00DD3379" w:rsidRDefault="005C6CAE">
      <w:pPr>
        <w:pStyle w:val="TOC2"/>
        <w:rPr>
          <w:rFonts w:asciiTheme="minorHAnsi" w:eastAsiaTheme="minorEastAsia" w:hAnsiTheme="minorHAnsi" w:cstheme="minorBidi"/>
          <w:noProof/>
          <w:szCs w:val="22"/>
          <w:lang w:val="en-AU" w:eastAsia="en-AU"/>
        </w:rPr>
      </w:pPr>
      <w:hyperlink w:anchor="_Toc180077062" w:history="1">
        <w:r w:rsidR="00DD3379" w:rsidRPr="004F69F0">
          <w:rPr>
            <w:rStyle w:val="Hyperlink"/>
            <w:noProof/>
            <w:lang w:eastAsia="en-US"/>
          </w:rPr>
          <w:t xml:space="preserve">Haepapa Tauākī </w:t>
        </w:r>
        <w:r w:rsidR="00DD3379" w:rsidRPr="004F69F0">
          <w:rPr>
            <w:rStyle w:val="Hyperlink"/>
            <w:noProof/>
          </w:rPr>
          <w:t>–</w:t>
        </w:r>
        <w:r w:rsidR="00DD3379" w:rsidRPr="004F69F0">
          <w:rPr>
            <w:rStyle w:val="Hyperlink"/>
            <w:noProof/>
            <w:lang w:eastAsia="en-US"/>
          </w:rPr>
          <w:t xml:space="preserve"> Statement of responsibility</w:t>
        </w:r>
        <w:r w:rsidR="00DD3379">
          <w:rPr>
            <w:noProof/>
            <w:webHidden/>
          </w:rPr>
          <w:tab/>
        </w:r>
        <w:r w:rsidR="00DD3379">
          <w:rPr>
            <w:noProof/>
            <w:webHidden/>
          </w:rPr>
          <w:fldChar w:fldCharType="begin"/>
        </w:r>
        <w:r w:rsidR="00DD3379">
          <w:rPr>
            <w:noProof/>
            <w:webHidden/>
          </w:rPr>
          <w:instrText xml:space="preserve"> PAGEREF _Toc180077062 \h </w:instrText>
        </w:r>
        <w:r w:rsidR="00DD3379">
          <w:rPr>
            <w:noProof/>
            <w:webHidden/>
          </w:rPr>
        </w:r>
        <w:r w:rsidR="00DD3379">
          <w:rPr>
            <w:noProof/>
            <w:webHidden/>
          </w:rPr>
          <w:fldChar w:fldCharType="separate"/>
        </w:r>
        <w:r w:rsidR="00DD3379">
          <w:rPr>
            <w:noProof/>
            <w:webHidden/>
          </w:rPr>
          <w:t>220</w:t>
        </w:r>
        <w:r w:rsidR="00DD3379">
          <w:rPr>
            <w:noProof/>
            <w:webHidden/>
          </w:rPr>
          <w:fldChar w:fldCharType="end"/>
        </w:r>
      </w:hyperlink>
    </w:p>
    <w:p w14:paraId="133A9219" w14:textId="50EE2C9B" w:rsidR="00C86248" w:rsidRDefault="0030437F">
      <w:r>
        <w:rPr>
          <w:rFonts w:ascii="Segoe UI Semibold" w:hAnsi="Segoe UI Semibold"/>
          <w:b/>
          <w:sz w:val="24"/>
        </w:rPr>
        <w:fldChar w:fldCharType="end"/>
      </w:r>
    </w:p>
    <w:p w14:paraId="4A6797B1" w14:textId="19C13AFE" w:rsidR="002B76A7" w:rsidRDefault="002B76A7" w:rsidP="003A5FEA"/>
    <w:p w14:paraId="03333094" w14:textId="77777777" w:rsidR="001D3E4E" w:rsidRDefault="001D3E4E" w:rsidP="003A5FEA">
      <w:pPr>
        <w:sectPr w:rsidR="001D3E4E" w:rsidSect="0078658E">
          <w:headerReference w:type="even" r:id="rId23"/>
          <w:headerReference w:type="default" r:id="rId24"/>
          <w:footerReference w:type="even" r:id="rId25"/>
          <w:footerReference w:type="default" r:id="rId26"/>
          <w:pgSz w:w="11907" w:h="16840" w:code="9"/>
          <w:pgMar w:top="1418" w:right="1701" w:bottom="1134" w:left="1843" w:header="284" w:footer="425" w:gutter="284"/>
          <w:pgNumType w:fmt="lowerRoman"/>
          <w:cols w:space="720"/>
        </w:sectPr>
      </w:pPr>
    </w:p>
    <w:p w14:paraId="1DFCE471" w14:textId="57FA0B37" w:rsidR="004E64BF" w:rsidRDefault="00D14F82" w:rsidP="004E64BF">
      <w:pPr>
        <w:pStyle w:val="Heading1"/>
      </w:pPr>
      <w:bookmarkStart w:id="5" w:name="_Toc180077007"/>
      <w:r w:rsidRPr="00D14F82">
        <w:lastRenderedPageBreak/>
        <w:t>Our highlights for 2023/24</w:t>
      </w:r>
      <w:r>
        <w:t xml:space="preserve"> </w:t>
      </w:r>
      <w:r w:rsidR="002A6794">
        <w:t>–</w:t>
      </w:r>
      <w:r w:rsidR="004E64BF" w:rsidRPr="004E64BF">
        <w:t xml:space="preserve"> </w:t>
      </w:r>
      <w:r w:rsidRPr="00D14F82">
        <w:t>Ngā mahi whakahirahira o te tau 2023/24</w:t>
      </w:r>
      <w:bookmarkEnd w:id="5"/>
    </w:p>
    <w:p w14:paraId="564F7B79" w14:textId="1331077E" w:rsidR="00CE3221" w:rsidRDefault="00CE3221" w:rsidP="00CE3221">
      <w:r w:rsidRPr="00CE3221">
        <w:t>Here we summarise some of our major areas of work between 1 July 2023 and 30 June 2024.</w:t>
      </w:r>
    </w:p>
    <w:p w14:paraId="4829CBA8" w14:textId="16ED37C0" w:rsidR="00CE3221" w:rsidRDefault="00CE3221" w:rsidP="00CE3221">
      <w:pPr>
        <w:pStyle w:val="Heading2"/>
      </w:pPr>
      <w:bookmarkStart w:id="6" w:name="_Toc180077008"/>
      <w:r w:rsidRPr="00CE3221">
        <w:t>Who we are and the outcomes we contribute to</w:t>
      </w:r>
      <w:bookmarkEnd w:id="6"/>
    </w:p>
    <w:p w14:paraId="19A11D5B" w14:textId="55F88C30" w:rsidR="00CE3221" w:rsidRDefault="00CE3221" w:rsidP="00CE3221">
      <w:r>
        <w:t xml:space="preserve">The Ministry of Health – Manatū Hauora (the Ministry) is the </w:t>
      </w:r>
      <w:r w:rsidRPr="00CE3221">
        <w:rPr>
          <w:b/>
          <w:bCs/>
        </w:rPr>
        <w:t>chief steward</w:t>
      </w:r>
      <w:r>
        <w:t xml:space="preserve"> of health and the health system, and the </w:t>
      </w:r>
      <w:r w:rsidRPr="00CE3221">
        <w:rPr>
          <w:b/>
          <w:bCs/>
        </w:rPr>
        <w:t>lead advisor to Government</w:t>
      </w:r>
      <w:r>
        <w:t xml:space="preserve"> on health. The long-term vision for the health system is to improve health outcomes for all New Zealanders, with a focus on population groups who have the greatest health needs. We contribute to the health system outcomes of </w:t>
      </w:r>
      <w:r w:rsidRPr="00CE3221">
        <w:rPr>
          <w:b/>
          <w:bCs/>
        </w:rPr>
        <w:t>longer life expectancy and improved quality of life for all New Zealanders</w:t>
      </w:r>
      <w:r>
        <w:t>.</w:t>
      </w:r>
    </w:p>
    <w:p w14:paraId="3B26EBFF" w14:textId="77777777" w:rsidR="009A49F2" w:rsidRDefault="009A49F2" w:rsidP="00CE3221"/>
    <w:p w14:paraId="258090ED" w14:textId="5AF936BA" w:rsidR="00CE3221" w:rsidRDefault="00CE3221" w:rsidP="00CE3221">
      <w:r>
        <w:t xml:space="preserve">Our functions are </w:t>
      </w:r>
      <w:r w:rsidRPr="00CE3221">
        <w:rPr>
          <w:b/>
          <w:bCs/>
        </w:rPr>
        <w:t>strategy, policy, monitoring, regulation, and data and analytics</w:t>
      </w:r>
      <w:r>
        <w:t>. Underpinning these functions is our public health, Māori health, clinical, and community, mental health and addiction expertise. The work we do in our functional areas is covered by either Crown funding or funding from charges and fees.</w:t>
      </w:r>
    </w:p>
    <w:p w14:paraId="186CA5E0" w14:textId="7C9A92ED" w:rsidR="00D14F82" w:rsidRDefault="00CE3221" w:rsidP="00CE3221">
      <w:pPr>
        <w:pStyle w:val="Heading2"/>
      </w:pPr>
      <w:bookmarkStart w:id="7" w:name="_Toc180077009"/>
      <w:r w:rsidRPr="00CE3221">
        <w:t>Highlights against our six new priorities</w:t>
      </w:r>
      <w:bookmarkEnd w:id="7"/>
    </w:p>
    <w:p w14:paraId="510387C8" w14:textId="25B7EAC9" w:rsidR="00CE3221" w:rsidRDefault="00CE3221" w:rsidP="00CE3221">
      <w:r w:rsidRPr="00CE3221">
        <w:t xml:space="preserve">(The </w:t>
      </w:r>
      <w:r w:rsidRPr="00CE3221">
        <w:rPr>
          <w:i/>
          <w:iCs/>
        </w:rPr>
        <w:t>Reporting against our new priorities</w:t>
      </w:r>
      <w:r w:rsidRPr="00CE3221">
        <w:t xml:space="preserve"> section sets out how the activities in our strategic intentions 2022–2026 have been mapped to the Ministry’s new strategic priorities.)</w:t>
      </w:r>
    </w:p>
    <w:p w14:paraId="001A00A8" w14:textId="77777777" w:rsidR="00D14F82" w:rsidRDefault="00CE3221" w:rsidP="00CE3221">
      <w:pPr>
        <w:pStyle w:val="Heading3"/>
        <w:rPr>
          <w:w w:val="105"/>
        </w:rPr>
      </w:pPr>
      <w:r w:rsidRPr="00CE3221">
        <w:rPr>
          <w:w w:val="105"/>
        </w:rPr>
        <w:t xml:space="preserve">Priority 1: Provide system-level </w:t>
      </w:r>
      <w:proofErr w:type="gramStart"/>
      <w:r w:rsidRPr="00CE3221">
        <w:rPr>
          <w:w w:val="105"/>
        </w:rPr>
        <w:t>leadership</w:t>
      </w:r>
      <w:proofErr w:type="gramEnd"/>
    </w:p>
    <w:p w14:paraId="1C21B8E6" w14:textId="6B6FE641" w:rsidR="00CE3221" w:rsidRDefault="00CE3221" w:rsidP="009C5D45">
      <w:pPr>
        <w:pStyle w:val="Bullet"/>
      </w:pPr>
      <w:r>
        <w:t xml:space="preserve">Agreed the Ministry’s </w:t>
      </w:r>
      <w:r w:rsidRPr="009C5D45">
        <w:rPr>
          <w:b/>
          <w:bCs/>
        </w:rPr>
        <w:t>definition of stewardship</w:t>
      </w:r>
      <w:r>
        <w:t>. As steward of both the health of the Aotearoa New Zealand population and the health system, we are operating in a new way, building trust and influence.</w:t>
      </w:r>
    </w:p>
    <w:p w14:paraId="54BF1443" w14:textId="77777777" w:rsidR="00CE3221" w:rsidRDefault="00CE3221" w:rsidP="009C5D45">
      <w:pPr>
        <w:pStyle w:val="Bullet"/>
      </w:pPr>
      <w:r>
        <w:t xml:space="preserve">Developed the </w:t>
      </w:r>
      <w:r w:rsidRPr="009C5D45">
        <w:rPr>
          <w:b/>
          <w:bCs/>
        </w:rPr>
        <w:t>Aotearoa New Zealand Rare Disorders Strategy</w:t>
      </w:r>
      <w:r w:rsidRPr="009C5D45">
        <w:t>.</w:t>
      </w:r>
    </w:p>
    <w:p w14:paraId="41793DD5" w14:textId="77777777" w:rsidR="00CE3221" w:rsidRDefault="00CE3221" w:rsidP="009C5D45">
      <w:pPr>
        <w:pStyle w:val="Bullet"/>
      </w:pPr>
      <w:r w:rsidRPr="009C5D45">
        <w:rPr>
          <w:b/>
          <w:bCs/>
        </w:rPr>
        <w:t>Strengthened relationships</w:t>
      </w:r>
      <w:r>
        <w:t xml:space="preserve"> with other government agencies to achieve broader health goals – 73% of public sector respondents were satisfied </w:t>
      </w:r>
      <w:proofErr w:type="gramStart"/>
      <w:r>
        <w:t>with</w:t>
      </w:r>
      <w:proofErr w:type="gramEnd"/>
    </w:p>
    <w:p w14:paraId="0E6E9965" w14:textId="2E3E8CD9" w:rsidR="00CE3221" w:rsidRDefault="00CE3221" w:rsidP="008F0115">
      <w:pPr>
        <w:pStyle w:val="Bullet"/>
      </w:pPr>
      <w:r>
        <w:lastRenderedPageBreak/>
        <w:t xml:space="preserve"> how the Ministry had engaged with their organisations, and 74% had a favourable opinion of the Ministry.</w:t>
      </w:r>
    </w:p>
    <w:p w14:paraId="43FF7F19" w14:textId="77777777" w:rsidR="00CE3221" w:rsidRDefault="00CE3221" w:rsidP="009C5D45">
      <w:pPr>
        <w:pStyle w:val="Bullet"/>
      </w:pPr>
      <w:r>
        <w:t xml:space="preserve">Established a cross-agency governance mechanism that </w:t>
      </w:r>
      <w:r w:rsidRPr="009C5D45">
        <w:rPr>
          <w:b/>
          <w:bCs/>
        </w:rPr>
        <w:t>supports the National Immunisation Programme</w:t>
      </w:r>
      <w:r>
        <w:t xml:space="preserve"> in Health New Zealand.</w:t>
      </w:r>
    </w:p>
    <w:p w14:paraId="737AC6FC" w14:textId="77777777" w:rsidR="00CE3221" w:rsidRDefault="00CE3221" w:rsidP="008F0115">
      <w:pPr>
        <w:pStyle w:val="Bullet"/>
      </w:pPr>
      <w:r>
        <w:t xml:space="preserve">Supported </w:t>
      </w:r>
      <w:r w:rsidRPr="009C5D45">
        <w:rPr>
          <w:b/>
          <w:bCs/>
        </w:rPr>
        <w:t>six Iwi–Crown Accords</w:t>
      </w:r>
      <w:r w:rsidR="009C5D45" w:rsidRPr="009C5D45">
        <w:rPr>
          <w:b/>
          <w:bCs/>
        </w:rPr>
        <w:t xml:space="preserve"> </w:t>
      </w:r>
      <w:r>
        <w:t xml:space="preserve">and signed </w:t>
      </w:r>
      <w:r w:rsidRPr="009C5D45">
        <w:rPr>
          <w:b/>
          <w:bCs/>
        </w:rPr>
        <w:t>six hauora development agreements with iwi</w:t>
      </w:r>
      <w:r>
        <w:t xml:space="preserve"> across Aotearoa New Zealand.</w:t>
      </w:r>
    </w:p>
    <w:p w14:paraId="3B9E021D" w14:textId="77777777" w:rsidR="009C5D45" w:rsidRDefault="009C5D45" w:rsidP="009C5D45">
      <w:pPr>
        <w:pStyle w:val="Heading3"/>
      </w:pPr>
      <w:r>
        <w:t>Priority 2: Drive system strategy and performance</w:t>
      </w:r>
    </w:p>
    <w:p w14:paraId="6EDD783F" w14:textId="7C69809F" w:rsidR="009C5D45" w:rsidRDefault="009C5D45" w:rsidP="009C5D45">
      <w:pPr>
        <w:pStyle w:val="Bullet"/>
      </w:pPr>
      <w:r>
        <w:t xml:space="preserve">Developed the </w:t>
      </w:r>
      <w:r w:rsidRPr="009C5D45">
        <w:rPr>
          <w:b/>
          <w:bCs/>
        </w:rPr>
        <w:t>Government Policy Statement on Health 2024–2027</w:t>
      </w:r>
      <w:r>
        <w:t>, the Minister of Health’s direction-setting instrument for signalling priorities and expectations over the next three years.</w:t>
      </w:r>
    </w:p>
    <w:p w14:paraId="415B07D1" w14:textId="77777777" w:rsidR="009C5D45" w:rsidRDefault="009C5D45" w:rsidP="009C5D45">
      <w:pPr>
        <w:pStyle w:val="Bullet"/>
      </w:pPr>
      <w:r>
        <w:t xml:space="preserve">Led the </w:t>
      </w:r>
      <w:r w:rsidRPr="009C5D45">
        <w:rPr>
          <w:b/>
          <w:bCs/>
        </w:rPr>
        <w:t>Budget 2024</w:t>
      </w:r>
      <w:r>
        <w:t xml:space="preserve"> process that confirmed the way the Government funds health will change to providing multi-year funding across three Budgets for Health New Zealand’s cost pressures.</w:t>
      </w:r>
    </w:p>
    <w:p w14:paraId="44866288" w14:textId="53D037B6" w:rsidR="009C5D45" w:rsidRDefault="009C5D45" w:rsidP="008F0115">
      <w:pPr>
        <w:pStyle w:val="Bullet"/>
      </w:pPr>
      <w:r>
        <w:t xml:space="preserve"> Developed a </w:t>
      </w:r>
      <w:r w:rsidRPr="009C5D45">
        <w:rPr>
          <w:b/>
          <w:bCs/>
        </w:rPr>
        <w:t>strategic monitoring framework to</w:t>
      </w:r>
      <w:r>
        <w:t xml:space="preserve"> understand system performance and monitor short, medium and longer-term objectives and outcomes.</w:t>
      </w:r>
    </w:p>
    <w:p w14:paraId="7F3E061C" w14:textId="77777777" w:rsidR="009C5D45" w:rsidRDefault="009C5D45" w:rsidP="009C5D45">
      <w:pPr>
        <w:pStyle w:val="Bullet"/>
      </w:pPr>
      <w:r>
        <w:t xml:space="preserve">Continued to monitor the implementation of </w:t>
      </w:r>
      <w:r w:rsidRPr="009C5D45">
        <w:rPr>
          <w:b/>
          <w:bCs/>
        </w:rPr>
        <w:t>Whakamaua: Māori Health Action Plan 2020–2025</w:t>
      </w:r>
      <w:r>
        <w:t>. Most of the 46 actions are on track or completed.</w:t>
      </w:r>
    </w:p>
    <w:p w14:paraId="3F783FF3" w14:textId="77777777" w:rsidR="009C5D45" w:rsidRPr="009C5D45" w:rsidRDefault="009C5D45" w:rsidP="009C5D45">
      <w:pPr>
        <w:pStyle w:val="Heading3"/>
      </w:pPr>
      <w:r w:rsidRPr="009C5D45">
        <w:t xml:space="preserve">Priority 3: Be the Government’s primary advisor on </w:t>
      </w:r>
      <w:proofErr w:type="gramStart"/>
      <w:r w:rsidRPr="009C5D45">
        <w:t>health</w:t>
      </w:r>
      <w:proofErr w:type="gramEnd"/>
    </w:p>
    <w:p w14:paraId="665DB9B4" w14:textId="2A577EB1" w:rsidR="009C5D45" w:rsidRPr="009C5D45" w:rsidRDefault="009C5D45" w:rsidP="008F0115">
      <w:pPr>
        <w:pStyle w:val="Bullet"/>
      </w:pPr>
      <w:r w:rsidRPr="009C5D45">
        <w:t xml:space="preserve">Supported the Government to deliver on the plan for its first 100 days, which included work to </w:t>
      </w:r>
      <w:r w:rsidRPr="009C5D45">
        <w:rPr>
          <w:b/>
          <w:bCs/>
        </w:rPr>
        <w:t>repeal or amend some health legislation</w:t>
      </w:r>
      <w:r w:rsidRPr="009C5D45">
        <w:t xml:space="preserve"> introduced by the previous Government.</w:t>
      </w:r>
    </w:p>
    <w:p w14:paraId="34AA08E8" w14:textId="77777777" w:rsidR="009C5D45" w:rsidRPr="009C5D45" w:rsidRDefault="009C5D45" w:rsidP="009C5D45">
      <w:pPr>
        <w:pStyle w:val="Bullet"/>
      </w:pPr>
      <w:r w:rsidRPr="009C5D45">
        <w:t xml:space="preserve">Completed the policy development phase of the work to repeal and replace the </w:t>
      </w:r>
      <w:r w:rsidRPr="009C5D45">
        <w:rPr>
          <w:b/>
          <w:bCs/>
        </w:rPr>
        <w:t>Mental Health (Compulsory Assessment and Treatment) Act 1992</w:t>
      </w:r>
      <w:r w:rsidRPr="009C5D45">
        <w:t>.</w:t>
      </w:r>
    </w:p>
    <w:p w14:paraId="2621E9BD" w14:textId="77777777" w:rsidR="009C5D45" w:rsidRDefault="009C5D45" w:rsidP="008F0115">
      <w:pPr>
        <w:pStyle w:val="Bullet"/>
      </w:pPr>
      <w:r w:rsidRPr="009C5D45">
        <w:t xml:space="preserve"> Supported the Crown to meet its </w:t>
      </w:r>
      <w:r w:rsidRPr="009C5D45">
        <w:rPr>
          <w:b/>
          <w:bCs/>
        </w:rPr>
        <w:t>Tiriti o Waitangi settlement commitments</w:t>
      </w:r>
      <w:r w:rsidRPr="009C5D45">
        <w:t>. The Ministry is responsible for 19 Tiriti settlement commitments; 63% are on track, 5% are completed, and 32% are yet to be triggered.</w:t>
      </w:r>
    </w:p>
    <w:p w14:paraId="54228263" w14:textId="77777777" w:rsidR="009C5D45" w:rsidRPr="009C5D45" w:rsidRDefault="009C5D45" w:rsidP="009C5D45">
      <w:pPr>
        <w:pStyle w:val="Heading3"/>
      </w:pPr>
      <w:r w:rsidRPr="009C5D45">
        <w:t>Priority 4: Future-proof our health system</w:t>
      </w:r>
    </w:p>
    <w:p w14:paraId="2F5108D4" w14:textId="260A615E" w:rsidR="009C5D45" w:rsidRPr="009C5D45" w:rsidRDefault="009C5D45" w:rsidP="009C5D45">
      <w:pPr>
        <w:pStyle w:val="Bullet"/>
      </w:pPr>
      <w:r w:rsidRPr="009C5D45">
        <w:t xml:space="preserve">Continued a programme of work to address health workforce challenges including lifting annual training capacity by funding </w:t>
      </w:r>
      <w:r w:rsidRPr="009C5D45">
        <w:rPr>
          <w:b/>
          <w:bCs/>
        </w:rPr>
        <w:t>25 additional medical places</w:t>
      </w:r>
      <w:r w:rsidRPr="009C5D45">
        <w:t xml:space="preserve"> and signing a </w:t>
      </w:r>
      <w:r w:rsidRPr="009C5D45">
        <w:rPr>
          <w:b/>
          <w:bCs/>
        </w:rPr>
        <w:t>Memorandum of Understanding with the University of Waikato</w:t>
      </w:r>
      <w:r w:rsidRPr="009C5D45">
        <w:t xml:space="preserve"> to set the work for the establishment of a third medical school.</w:t>
      </w:r>
    </w:p>
    <w:p w14:paraId="2B02DF09" w14:textId="5427F0C1" w:rsidR="009C5D45" w:rsidRPr="009C5D45" w:rsidRDefault="009C5D45" w:rsidP="009C5D45">
      <w:pPr>
        <w:pStyle w:val="Bullet"/>
      </w:pPr>
      <w:r w:rsidRPr="009C5D45">
        <w:t xml:space="preserve">Established the Ministry’s </w:t>
      </w:r>
      <w:r w:rsidRPr="009C5D45">
        <w:rPr>
          <w:b/>
          <w:bCs/>
        </w:rPr>
        <w:t>Research and Evaluation Fund</w:t>
      </w:r>
      <w:r w:rsidRPr="009C5D45">
        <w:t xml:space="preserve"> as an avenue for the strategic investment in evidence generation, aligned with Ministry priorities.</w:t>
      </w:r>
    </w:p>
    <w:p w14:paraId="5020F588" w14:textId="77777777" w:rsidR="009C5D45" w:rsidRDefault="009C5D45" w:rsidP="009C5D45">
      <w:pPr>
        <w:pStyle w:val="Bullet"/>
      </w:pPr>
      <w:r w:rsidRPr="009C5D45">
        <w:t xml:space="preserve">Developed and presented to the House of Representatives our </w:t>
      </w:r>
      <w:r w:rsidRPr="009C5D45">
        <w:rPr>
          <w:b/>
          <w:bCs/>
        </w:rPr>
        <w:t>long-term insights briefing on precision health</w:t>
      </w:r>
      <w:r w:rsidRPr="009C5D45">
        <w:t>.</w:t>
      </w:r>
    </w:p>
    <w:p w14:paraId="6E729124" w14:textId="77777777" w:rsidR="009C5D45" w:rsidRDefault="009C5D45" w:rsidP="009C5D45">
      <w:pPr>
        <w:pStyle w:val="Bullet"/>
        <w:numPr>
          <w:ilvl w:val="0"/>
          <w:numId w:val="0"/>
        </w:numPr>
        <w:ind w:left="284" w:hanging="284"/>
      </w:pPr>
    </w:p>
    <w:p w14:paraId="5839CB88" w14:textId="77777777" w:rsidR="009C5D45" w:rsidRPr="009C5D45" w:rsidRDefault="009C5D45" w:rsidP="009C5D45">
      <w:pPr>
        <w:pStyle w:val="Heading3"/>
      </w:pPr>
      <w:r w:rsidRPr="009C5D45">
        <w:lastRenderedPageBreak/>
        <w:t xml:space="preserve">Priority 5: Be the regulator of the health </w:t>
      </w:r>
      <w:proofErr w:type="gramStart"/>
      <w:r w:rsidRPr="009C5D45">
        <w:t>system</w:t>
      </w:r>
      <w:proofErr w:type="gramEnd"/>
    </w:p>
    <w:p w14:paraId="4EA7E0D4" w14:textId="42F042C7" w:rsidR="009C5D45" w:rsidRPr="009C5D45" w:rsidRDefault="009C5D45" w:rsidP="008F0115">
      <w:pPr>
        <w:pStyle w:val="Bullet"/>
      </w:pPr>
      <w:r w:rsidRPr="009C5D45">
        <w:t xml:space="preserve">Strengthened our approach to </w:t>
      </w:r>
      <w:r w:rsidRPr="009C5D45">
        <w:rPr>
          <w:b/>
          <w:bCs/>
        </w:rPr>
        <w:t>regulatory stewardship</w:t>
      </w:r>
      <w:r w:rsidRPr="009C5D45">
        <w:t xml:space="preserve"> including by appointing a chief officer, establishing an executive subcommittee and starting regular regulatory reviews.</w:t>
      </w:r>
    </w:p>
    <w:p w14:paraId="1968FF9B" w14:textId="77777777" w:rsidR="009C5D45" w:rsidRPr="009C5D45" w:rsidRDefault="009C5D45" w:rsidP="009C5D45">
      <w:pPr>
        <w:pStyle w:val="Bullet"/>
      </w:pPr>
      <w:r w:rsidRPr="009C5D45">
        <w:t xml:space="preserve">Commissioned an independent evaluation of the </w:t>
      </w:r>
      <w:r w:rsidRPr="009C5D45">
        <w:rPr>
          <w:b/>
          <w:bCs/>
        </w:rPr>
        <w:t>Ngā Paerewa Health and Disability Services Standard</w:t>
      </w:r>
      <w:r w:rsidRPr="009C5D45">
        <w:t xml:space="preserve"> NZS8134:1021, which found the sector is generally positive about HealthCERT’s implementation efforts.</w:t>
      </w:r>
    </w:p>
    <w:p w14:paraId="089178BC" w14:textId="163EABE8" w:rsidR="009C5D45" w:rsidRPr="009C5D45" w:rsidRDefault="009C5D45" w:rsidP="009C5D45">
      <w:pPr>
        <w:pStyle w:val="Bullet"/>
      </w:pPr>
      <w:r w:rsidRPr="009C5D45">
        <w:t xml:space="preserve">The Office of Radiation Safety prioritised its response to findings on fee changes from the </w:t>
      </w:r>
      <w:r w:rsidRPr="009C5D45">
        <w:rPr>
          <w:b/>
          <w:bCs/>
        </w:rPr>
        <w:t>Radiation Safety Regulations 2016</w:t>
      </w:r>
      <w:r w:rsidRPr="009C5D45">
        <w:t xml:space="preserve"> review.</w:t>
      </w:r>
    </w:p>
    <w:p w14:paraId="5637F126" w14:textId="77777777" w:rsidR="009C5D45" w:rsidRDefault="009C5D45" w:rsidP="009C5D45">
      <w:pPr>
        <w:pStyle w:val="Bullet"/>
      </w:pPr>
      <w:r w:rsidRPr="009C5D45">
        <w:rPr>
          <w:b/>
          <w:bCs/>
        </w:rPr>
        <w:t>HealthCERT processed 551 notifications</w:t>
      </w:r>
      <w:r w:rsidRPr="009C5D45">
        <w:t xml:space="preserve"> under section 31(5) of the Health and Disability Services (Safety) Act 2001.</w:t>
      </w:r>
    </w:p>
    <w:p w14:paraId="2C427790" w14:textId="77777777" w:rsidR="009C5D45" w:rsidRPr="009C5D45" w:rsidRDefault="009C5D45" w:rsidP="009C5D45">
      <w:pPr>
        <w:pStyle w:val="Heading3"/>
      </w:pPr>
      <w:r w:rsidRPr="009C5D45">
        <w:t xml:space="preserve">Priority 6: Transform </w:t>
      </w:r>
      <w:proofErr w:type="gramStart"/>
      <w:r w:rsidRPr="009C5D45">
        <w:t>ourselves</w:t>
      </w:r>
      <w:proofErr w:type="gramEnd"/>
    </w:p>
    <w:p w14:paraId="0CF19154" w14:textId="77777777" w:rsidR="009C5D45" w:rsidRPr="009C5D45" w:rsidRDefault="009C5D45" w:rsidP="009C5D45">
      <w:pPr>
        <w:pStyle w:val="Bullet"/>
      </w:pPr>
      <w:r w:rsidRPr="009C5D45">
        <w:t xml:space="preserve">Completed phase one of a </w:t>
      </w:r>
      <w:r w:rsidRPr="009C5D45">
        <w:rPr>
          <w:b/>
          <w:bCs/>
        </w:rPr>
        <w:t>transformation programme</w:t>
      </w:r>
      <w:r w:rsidRPr="009C5D45">
        <w:t xml:space="preserve"> to establish the right directorate structures and leadership for our refocused role in the health system.</w:t>
      </w:r>
    </w:p>
    <w:p w14:paraId="11429133" w14:textId="0FAF2F14" w:rsidR="009C5D45" w:rsidRPr="009C5D45" w:rsidRDefault="009C5D45" w:rsidP="009C5D45">
      <w:pPr>
        <w:pStyle w:val="Bullet"/>
      </w:pPr>
      <w:r w:rsidRPr="009C5D45">
        <w:t xml:space="preserve">Established new </w:t>
      </w:r>
      <w:r w:rsidRPr="009C5D45">
        <w:rPr>
          <w:b/>
          <w:bCs/>
        </w:rPr>
        <w:t>governance arrangements</w:t>
      </w:r>
      <w:r w:rsidRPr="009C5D45">
        <w:t xml:space="preserve"> to ensure sufficient time for strategic conversations.</w:t>
      </w:r>
    </w:p>
    <w:p w14:paraId="799971F0" w14:textId="77777777" w:rsidR="009C5D45" w:rsidRDefault="009C5D45" w:rsidP="009C5D45">
      <w:pPr>
        <w:pStyle w:val="Bullet"/>
      </w:pPr>
      <w:r w:rsidRPr="009C5D45">
        <w:t>Lifted capability in areas such as maternity and horizon scanning.</w:t>
      </w:r>
    </w:p>
    <w:p w14:paraId="6819B0E8" w14:textId="77777777" w:rsidR="009A49F2" w:rsidRDefault="009A49F2" w:rsidP="009C5D45">
      <w:pPr>
        <w:pStyle w:val="Heading2"/>
        <w:sectPr w:rsidR="009A49F2" w:rsidSect="00C61360">
          <w:footerReference w:type="even" r:id="rId27"/>
          <w:footerReference w:type="default" r:id="rId28"/>
          <w:pgSz w:w="11907" w:h="16840" w:code="9"/>
          <w:pgMar w:top="1418" w:right="1701" w:bottom="1134" w:left="1843" w:header="284" w:footer="425" w:gutter="284"/>
          <w:pgNumType w:start="1"/>
          <w:cols w:space="720"/>
        </w:sectPr>
      </w:pPr>
    </w:p>
    <w:p w14:paraId="5C682955" w14:textId="25EBF4C3" w:rsidR="009C5D45" w:rsidRDefault="009C5D45" w:rsidP="009A49F2">
      <w:pPr>
        <w:pStyle w:val="Heading2"/>
        <w:spacing w:before="0"/>
      </w:pPr>
      <w:bookmarkStart w:id="8" w:name="_Toc180077010"/>
      <w:r w:rsidRPr="009C5D45">
        <w:lastRenderedPageBreak/>
        <w:t>Performance against our output measures and targets in Vote Health</w:t>
      </w:r>
      <w:bookmarkEnd w:id="8"/>
    </w:p>
    <w:p w14:paraId="25F7EF0F" w14:textId="77777777" w:rsidR="009C5D45" w:rsidRDefault="009C5D45" w:rsidP="009C5D45">
      <w:r w:rsidRPr="009C5D45">
        <w:t xml:space="preserve">Of a total of </w:t>
      </w:r>
      <w:r w:rsidRPr="009C5D45">
        <w:rPr>
          <w:b/>
          <w:bCs/>
        </w:rPr>
        <w:t>37 non-financial performance measures</w:t>
      </w:r>
      <w:r w:rsidRPr="009C5D45">
        <w:t xml:space="preserve">, the Ministry has </w:t>
      </w:r>
      <w:r w:rsidRPr="009C5D45">
        <w:rPr>
          <w:b/>
          <w:bCs/>
        </w:rPr>
        <w:t>met or exceeded the Budget Standard for 29 measures</w:t>
      </w:r>
      <w:r w:rsidRPr="009C5D45">
        <w:t>. We will use insights from the eight measures that have not met the standard to improve our performance in outyears. (For more information, see Performance of the Ministry of Health section.)</w:t>
      </w:r>
    </w:p>
    <w:p w14:paraId="68DF304A" w14:textId="77777777" w:rsidR="009C5D45" w:rsidRDefault="009C5D45" w:rsidP="009C5D45">
      <w:pPr>
        <w:pStyle w:val="Heading3"/>
      </w:pPr>
      <w:r>
        <w:t>Highlights from our financial statements</w:t>
      </w:r>
    </w:p>
    <w:p w14:paraId="554C830A" w14:textId="773E2427" w:rsidR="009C5D45" w:rsidRDefault="009C5D45" w:rsidP="009C5D45">
      <w:r>
        <w:t xml:space="preserve">(For more information, see </w:t>
      </w:r>
      <w:r w:rsidRPr="009C5D45">
        <w:rPr>
          <w:i/>
          <w:iCs/>
        </w:rPr>
        <w:t>Our financial statements</w:t>
      </w:r>
      <w:r>
        <w:t>.)</w:t>
      </w:r>
    </w:p>
    <w:p w14:paraId="25FDE39B" w14:textId="77777777" w:rsidR="009C5D45" w:rsidRDefault="009C5D45" w:rsidP="009C5D45"/>
    <w:p w14:paraId="7132B390" w14:textId="14514D75" w:rsidR="009C5D45" w:rsidRDefault="009C5D45" w:rsidP="009C5D45">
      <w:r w:rsidRPr="009C5D45">
        <w:rPr>
          <w:b/>
          <w:bCs/>
        </w:rPr>
        <w:t>Summary of comprehensive revenue and expenses</w:t>
      </w:r>
      <w:r>
        <w:rPr>
          <w:b/>
          <w:bCs/>
        </w:rPr>
        <w:t xml:space="preserve"> </w:t>
      </w:r>
      <w:r>
        <w:t>for the year ended 30 June 2024 (in thousands of NZD)</w:t>
      </w:r>
    </w:p>
    <w:p w14:paraId="0E1534C2" w14:textId="5E95B33E" w:rsidR="009C5D45" w:rsidRDefault="009C5D45" w:rsidP="009C5D45"/>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017"/>
        <w:gridCol w:w="2017"/>
        <w:gridCol w:w="2017"/>
        <w:gridCol w:w="2018"/>
      </w:tblGrid>
      <w:tr w:rsidR="009C5D45" w:rsidRPr="00853BA8" w14:paraId="6C12C3B9" w14:textId="77777777" w:rsidTr="009C5D45">
        <w:tc>
          <w:tcPr>
            <w:tcW w:w="2017" w:type="dxa"/>
            <w:shd w:val="clear" w:color="auto" w:fill="D9D9D9" w:themeFill="background1" w:themeFillShade="D9"/>
          </w:tcPr>
          <w:p w14:paraId="249FAB7A" w14:textId="77777777" w:rsidR="009C5D45" w:rsidRPr="00853BA8" w:rsidRDefault="009C5D45" w:rsidP="00853BA8">
            <w:pPr>
              <w:pStyle w:val="TableText"/>
              <w:rPr>
                <w:b/>
                <w:bCs/>
              </w:rPr>
            </w:pPr>
          </w:p>
        </w:tc>
        <w:tc>
          <w:tcPr>
            <w:tcW w:w="2017" w:type="dxa"/>
            <w:shd w:val="clear" w:color="auto" w:fill="D9D9D9" w:themeFill="background1" w:themeFillShade="D9"/>
          </w:tcPr>
          <w:p w14:paraId="1C823F10" w14:textId="0321B203" w:rsidR="009C5D45" w:rsidRPr="00853BA8" w:rsidRDefault="009C5D45" w:rsidP="00853BA8">
            <w:pPr>
              <w:pStyle w:val="TableText"/>
              <w:jc w:val="right"/>
              <w:rPr>
                <w:b/>
                <w:bCs/>
              </w:rPr>
            </w:pPr>
            <w:r w:rsidRPr="00853BA8">
              <w:rPr>
                <w:b/>
                <w:bCs/>
              </w:rPr>
              <w:t>Actual 2024</w:t>
            </w:r>
          </w:p>
        </w:tc>
        <w:tc>
          <w:tcPr>
            <w:tcW w:w="2017" w:type="dxa"/>
            <w:shd w:val="clear" w:color="auto" w:fill="D9D9D9" w:themeFill="background1" w:themeFillShade="D9"/>
          </w:tcPr>
          <w:p w14:paraId="4BBA1730" w14:textId="3EB6D9C8" w:rsidR="009C5D45" w:rsidRPr="00853BA8" w:rsidRDefault="009C5D45" w:rsidP="00853BA8">
            <w:pPr>
              <w:pStyle w:val="TableText"/>
              <w:jc w:val="right"/>
              <w:rPr>
                <w:b/>
                <w:bCs/>
              </w:rPr>
            </w:pPr>
            <w:r w:rsidRPr="00853BA8">
              <w:rPr>
                <w:b/>
                <w:bCs/>
              </w:rPr>
              <w:t>Budget 2024*</w:t>
            </w:r>
          </w:p>
        </w:tc>
        <w:tc>
          <w:tcPr>
            <w:tcW w:w="2018" w:type="dxa"/>
            <w:shd w:val="clear" w:color="auto" w:fill="D9D9D9" w:themeFill="background1" w:themeFillShade="D9"/>
          </w:tcPr>
          <w:p w14:paraId="3D186621" w14:textId="07CDAC72" w:rsidR="009C5D45" w:rsidRPr="00853BA8" w:rsidRDefault="009C5D45" w:rsidP="00853BA8">
            <w:pPr>
              <w:pStyle w:val="TableText"/>
              <w:jc w:val="right"/>
              <w:rPr>
                <w:b/>
                <w:bCs/>
              </w:rPr>
            </w:pPr>
            <w:r w:rsidRPr="00853BA8">
              <w:rPr>
                <w:b/>
                <w:bCs/>
              </w:rPr>
              <w:t>Actual 2023</w:t>
            </w:r>
          </w:p>
        </w:tc>
      </w:tr>
      <w:tr w:rsidR="009C5D45" w14:paraId="3A548513" w14:textId="77777777" w:rsidTr="009C5D45">
        <w:tc>
          <w:tcPr>
            <w:tcW w:w="2017" w:type="dxa"/>
          </w:tcPr>
          <w:p w14:paraId="26EB71D7" w14:textId="046A93CB" w:rsidR="009C5D45" w:rsidRPr="00853BA8" w:rsidRDefault="009C5D45" w:rsidP="00853BA8">
            <w:pPr>
              <w:pStyle w:val="TableText"/>
              <w:rPr>
                <w:b/>
                <w:bCs/>
              </w:rPr>
            </w:pPr>
            <w:r w:rsidRPr="00853BA8">
              <w:rPr>
                <w:b/>
                <w:bCs/>
              </w:rPr>
              <w:t>Revenue</w:t>
            </w:r>
          </w:p>
        </w:tc>
        <w:tc>
          <w:tcPr>
            <w:tcW w:w="2017" w:type="dxa"/>
          </w:tcPr>
          <w:p w14:paraId="317B12A8" w14:textId="3E5CDAAA" w:rsidR="009C5D45" w:rsidRPr="00853BA8" w:rsidRDefault="009C5D45" w:rsidP="00853BA8">
            <w:pPr>
              <w:pStyle w:val="TableText"/>
              <w:jc w:val="right"/>
            </w:pPr>
            <w:r w:rsidRPr="00853BA8">
              <w:t>283,932</w:t>
            </w:r>
          </w:p>
        </w:tc>
        <w:tc>
          <w:tcPr>
            <w:tcW w:w="2017" w:type="dxa"/>
          </w:tcPr>
          <w:p w14:paraId="598790CB" w14:textId="16172400" w:rsidR="009C5D45" w:rsidRPr="00853BA8" w:rsidRDefault="009C5D45" w:rsidP="00853BA8">
            <w:pPr>
              <w:pStyle w:val="TableText"/>
              <w:jc w:val="right"/>
            </w:pPr>
            <w:r w:rsidRPr="00853BA8">
              <w:t>237,759</w:t>
            </w:r>
          </w:p>
        </w:tc>
        <w:tc>
          <w:tcPr>
            <w:tcW w:w="2018" w:type="dxa"/>
          </w:tcPr>
          <w:p w14:paraId="40CAACD0" w14:textId="77EE113E" w:rsidR="009C5D45" w:rsidRPr="00853BA8" w:rsidRDefault="009C5D45" w:rsidP="00853BA8">
            <w:pPr>
              <w:pStyle w:val="TableText"/>
              <w:jc w:val="right"/>
            </w:pPr>
            <w:r w:rsidRPr="00853BA8">
              <w:t>302,547</w:t>
            </w:r>
          </w:p>
        </w:tc>
      </w:tr>
      <w:tr w:rsidR="009C5D45" w14:paraId="633433C6" w14:textId="77777777" w:rsidTr="009C5D45">
        <w:tc>
          <w:tcPr>
            <w:tcW w:w="2017" w:type="dxa"/>
          </w:tcPr>
          <w:p w14:paraId="5781F7C0" w14:textId="07B49895" w:rsidR="009C5D45" w:rsidRPr="00853BA8" w:rsidRDefault="009C5D45" w:rsidP="00853BA8">
            <w:pPr>
              <w:pStyle w:val="TableText"/>
              <w:rPr>
                <w:b/>
                <w:bCs/>
              </w:rPr>
            </w:pPr>
            <w:r w:rsidRPr="00853BA8">
              <w:rPr>
                <w:b/>
                <w:bCs/>
              </w:rPr>
              <w:t>Expenses</w:t>
            </w:r>
          </w:p>
        </w:tc>
        <w:tc>
          <w:tcPr>
            <w:tcW w:w="2017" w:type="dxa"/>
          </w:tcPr>
          <w:p w14:paraId="300A7664" w14:textId="0B3D8B72" w:rsidR="009C5D45" w:rsidRPr="00853BA8" w:rsidRDefault="009C5D45" w:rsidP="00853BA8">
            <w:pPr>
              <w:pStyle w:val="TableText"/>
              <w:jc w:val="right"/>
            </w:pPr>
            <w:r w:rsidRPr="00853BA8">
              <w:t>269,070</w:t>
            </w:r>
          </w:p>
        </w:tc>
        <w:tc>
          <w:tcPr>
            <w:tcW w:w="2017" w:type="dxa"/>
          </w:tcPr>
          <w:p w14:paraId="1C6C948D" w14:textId="10CCCC33" w:rsidR="009C5D45" w:rsidRPr="00853BA8" w:rsidRDefault="009C5D45" w:rsidP="00853BA8">
            <w:pPr>
              <w:pStyle w:val="TableText"/>
              <w:jc w:val="right"/>
            </w:pPr>
            <w:r w:rsidRPr="00853BA8">
              <w:t>237,759</w:t>
            </w:r>
          </w:p>
        </w:tc>
        <w:tc>
          <w:tcPr>
            <w:tcW w:w="2018" w:type="dxa"/>
          </w:tcPr>
          <w:p w14:paraId="0C8B9DDF" w14:textId="03186F7D" w:rsidR="009C5D45" w:rsidRPr="00853BA8" w:rsidRDefault="009C5D45" w:rsidP="00853BA8">
            <w:pPr>
              <w:pStyle w:val="TableText"/>
              <w:jc w:val="right"/>
            </w:pPr>
            <w:r w:rsidRPr="00853BA8">
              <w:t>269,392</w:t>
            </w:r>
          </w:p>
        </w:tc>
      </w:tr>
      <w:tr w:rsidR="009C5D45" w:rsidRPr="009C5D45" w14:paraId="771D2C61" w14:textId="77777777" w:rsidTr="009C5D45">
        <w:tc>
          <w:tcPr>
            <w:tcW w:w="2017" w:type="dxa"/>
          </w:tcPr>
          <w:p w14:paraId="64B322DF" w14:textId="364E4AB2" w:rsidR="009C5D45" w:rsidRPr="00853BA8" w:rsidRDefault="009C5D45" w:rsidP="00853BA8">
            <w:pPr>
              <w:pStyle w:val="TableText"/>
              <w:rPr>
                <w:b/>
                <w:bCs/>
              </w:rPr>
            </w:pPr>
            <w:r w:rsidRPr="00853BA8">
              <w:rPr>
                <w:b/>
                <w:bCs/>
              </w:rPr>
              <w:t>Net surplus</w:t>
            </w:r>
          </w:p>
        </w:tc>
        <w:tc>
          <w:tcPr>
            <w:tcW w:w="2017" w:type="dxa"/>
          </w:tcPr>
          <w:p w14:paraId="474DAD16" w14:textId="531B462A" w:rsidR="009C5D45" w:rsidRPr="00853BA8" w:rsidRDefault="009C5D45" w:rsidP="00853BA8">
            <w:pPr>
              <w:pStyle w:val="TableText"/>
              <w:jc w:val="right"/>
              <w:rPr>
                <w:b/>
                <w:bCs/>
              </w:rPr>
            </w:pPr>
            <w:r w:rsidRPr="00853BA8">
              <w:rPr>
                <w:b/>
                <w:bCs/>
              </w:rPr>
              <w:t>14,862</w:t>
            </w:r>
          </w:p>
        </w:tc>
        <w:tc>
          <w:tcPr>
            <w:tcW w:w="2017" w:type="dxa"/>
          </w:tcPr>
          <w:p w14:paraId="09F60A4D" w14:textId="1BC27CD9" w:rsidR="009C5D45" w:rsidRPr="00853BA8" w:rsidRDefault="009C5D45" w:rsidP="00853BA8">
            <w:pPr>
              <w:pStyle w:val="TableText"/>
              <w:jc w:val="right"/>
              <w:rPr>
                <w:b/>
                <w:bCs/>
              </w:rPr>
            </w:pPr>
            <w:r w:rsidRPr="00853BA8">
              <w:rPr>
                <w:b/>
                <w:bCs/>
              </w:rPr>
              <w:t>–</w:t>
            </w:r>
          </w:p>
        </w:tc>
        <w:tc>
          <w:tcPr>
            <w:tcW w:w="2018" w:type="dxa"/>
          </w:tcPr>
          <w:p w14:paraId="3EF5CF44" w14:textId="5B79BA8B" w:rsidR="009C5D45" w:rsidRPr="00853BA8" w:rsidRDefault="009C5D45" w:rsidP="00853BA8">
            <w:pPr>
              <w:pStyle w:val="TableText"/>
              <w:jc w:val="right"/>
              <w:rPr>
                <w:b/>
                <w:bCs/>
              </w:rPr>
            </w:pPr>
            <w:r w:rsidRPr="00853BA8">
              <w:rPr>
                <w:b/>
                <w:bCs/>
              </w:rPr>
              <w:t>33,155</w:t>
            </w:r>
          </w:p>
        </w:tc>
      </w:tr>
    </w:tbl>
    <w:p w14:paraId="300A3747" w14:textId="77777777" w:rsidR="009C5D45" w:rsidRDefault="009C5D45" w:rsidP="009C5D45"/>
    <w:p w14:paraId="19C8B26C" w14:textId="45E197E5" w:rsidR="00853BA8" w:rsidRDefault="00853BA8" w:rsidP="009C5D45">
      <w:r w:rsidRPr="00853BA8">
        <w:rPr>
          <w:b/>
          <w:bCs/>
        </w:rPr>
        <w:t>Summary of financial position</w:t>
      </w:r>
      <w:r w:rsidRPr="00853BA8">
        <w:t xml:space="preserve"> as </w:t>
      </w:r>
      <w:proofErr w:type="gramStart"/>
      <w:r w:rsidRPr="00853BA8">
        <w:t>at</w:t>
      </w:r>
      <w:proofErr w:type="gramEnd"/>
      <w:r w:rsidRPr="00853BA8">
        <w:t xml:space="preserve"> 30 June 2024 (in thousands of NZD</w:t>
      </w:r>
    </w:p>
    <w:p w14:paraId="085D3ECE" w14:textId="77777777" w:rsidR="00853BA8" w:rsidRDefault="00853BA8" w:rsidP="009C5D45"/>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017"/>
        <w:gridCol w:w="2017"/>
        <w:gridCol w:w="2017"/>
        <w:gridCol w:w="2018"/>
      </w:tblGrid>
      <w:tr w:rsidR="00853BA8" w:rsidRPr="00853BA8" w14:paraId="31508BE2" w14:textId="77777777" w:rsidTr="008F0115">
        <w:tc>
          <w:tcPr>
            <w:tcW w:w="2017" w:type="dxa"/>
            <w:shd w:val="clear" w:color="auto" w:fill="D9D9D9" w:themeFill="background1" w:themeFillShade="D9"/>
          </w:tcPr>
          <w:p w14:paraId="05BF217A" w14:textId="77777777" w:rsidR="00853BA8" w:rsidRPr="00853BA8" w:rsidRDefault="00853BA8" w:rsidP="00853BA8">
            <w:pPr>
              <w:pStyle w:val="TableText"/>
              <w:rPr>
                <w:b/>
                <w:bCs/>
              </w:rPr>
            </w:pPr>
          </w:p>
        </w:tc>
        <w:tc>
          <w:tcPr>
            <w:tcW w:w="2017" w:type="dxa"/>
            <w:shd w:val="clear" w:color="auto" w:fill="D9D9D9" w:themeFill="background1" w:themeFillShade="D9"/>
          </w:tcPr>
          <w:p w14:paraId="10740636" w14:textId="77777777" w:rsidR="00853BA8" w:rsidRPr="00853BA8" w:rsidRDefault="00853BA8" w:rsidP="00853BA8">
            <w:pPr>
              <w:pStyle w:val="TableText"/>
              <w:jc w:val="right"/>
              <w:rPr>
                <w:b/>
                <w:bCs/>
              </w:rPr>
            </w:pPr>
            <w:r w:rsidRPr="00853BA8">
              <w:rPr>
                <w:b/>
                <w:bCs/>
              </w:rPr>
              <w:t>Actual 2024</w:t>
            </w:r>
          </w:p>
        </w:tc>
        <w:tc>
          <w:tcPr>
            <w:tcW w:w="2017" w:type="dxa"/>
            <w:shd w:val="clear" w:color="auto" w:fill="D9D9D9" w:themeFill="background1" w:themeFillShade="D9"/>
          </w:tcPr>
          <w:p w14:paraId="4E1F04A2" w14:textId="7A8D0906" w:rsidR="00853BA8" w:rsidRPr="00853BA8" w:rsidRDefault="00853BA8" w:rsidP="00853BA8">
            <w:pPr>
              <w:pStyle w:val="TableText"/>
              <w:jc w:val="right"/>
              <w:rPr>
                <w:b/>
                <w:bCs/>
              </w:rPr>
            </w:pPr>
            <w:r w:rsidRPr="00853BA8">
              <w:rPr>
                <w:b/>
                <w:bCs/>
              </w:rPr>
              <w:t>Budget 2024</w:t>
            </w:r>
          </w:p>
        </w:tc>
        <w:tc>
          <w:tcPr>
            <w:tcW w:w="2018" w:type="dxa"/>
            <w:shd w:val="clear" w:color="auto" w:fill="D9D9D9" w:themeFill="background1" w:themeFillShade="D9"/>
          </w:tcPr>
          <w:p w14:paraId="17018B7A" w14:textId="77777777" w:rsidR="00853BA8" w:rsidRPr="00853BA8" w:rsidRDefault="00853BA8" w:rsidP="00853BA8">
            <w:pPr>
              <w:pStyle w:val="TableText"/>
              <w:jc w:val="right"/>
              <w:rPr>
                <w:b/>
                <w:bCs/>
              </w:rPr>
            </w:pPr>
            <w:r w:rsidRPr="00853BA8">
              <w:rPr>
                <w:b/>
                <w:bCs/>
              </w:rPr>
              <w:t>Actual 2023</w:t>
            </w:r>
          </w:p>
        </w:tc>
      </w:tr>
      <w:tr w:rsidR="00853BA8" w14:paraId="4B0D746C" w14:textId="77777777" w:rsidTr="008F0115">
        <w:tc>
          <w:tcPr>
            <w:tcW w:w="2017" w:type="dxa"/>
          </w:tcPr>
          <w:p w14:paraId="7A13184B" w14:textId="2FD142F7" w:rsidR="00853BA8" w:rsidRPr="00853BA8" w:rsidRDefault="00853BA8" w:rsidP="00853BA8">
            <w:pPr>
              <w:pStyle w:val="TableText"/>
              <w:rPr>
                <w:b/>
                <w:bCs/>
              </w:rPr>
            </w:pPr>
            <w:r w:rsidRPr="00853BA8">
              <w:rPr>
                <w:b/>
                <w:bCs/>
              </w:rPr>
              <w:t>Total assets</w:t>
            </w:r>
          </w:p>
        </w:tc>
        <w:tc>
          <w:tcPr>
            <w:tcW w:w="2017" w:type="dxa"/>
          </w:tcPr>
          <w:p w14:paraId="4997E21E" w14:textId="2835AC47" w:rsidR="00853BA8" w:rsidRPr="00853BA8" w:rsidRDefault="00853BA8" w:rsidP="00853BA8">
            <w:pPr>
              <w:pStyle w:val="TableText"/>
              <w:jc w:val="right"/>
            </w:pPr>
            <w:r w:rsidRPr="00853BA8">
              <w:t>78,856</w:t>
            </w:r>
          </w:p>
        </w:tc>
        <w:tc>
          <w:tcPr>
            <w:tcW w:w="2017" w:type="dxa"/>
          </w:tcPr>
          <w:p w14:paraId="62CA6FE3" w14:textId="55226D5F" w:rsidR="00853BA8" w:rsidRPr="00853BA8" w:rsidRDefault="00853BA8" w:rsidP="00853BA8">
            <w:pPr>
              <w:pStyle w:val="TableText"/>
              <w:jc w:val="right"/>
            </w:pPr>
            <w:r w:rsidRPr="00853BA8">
              <w:t>55,366</w:t>
            </w:r>
          </w:p>
        </w:tc>
        <w:tc>
          <w:tcPr>
            <w:tcW w:w="2018" w:type="dxa"/>
          </w:tcPr>
          <w:p w14:paraId="0B335340" w14:textId="1BB3C45D" w:rsidR="00853BA8" w:rsidRPr="00853BA8" w:rsidRDefault="00853BA8" w:rsidP="00853BA8">
            <w:pPr>
              <w:pStyle w:val="TableText"/>
              <w:jc w:val="right"/>
            </w:pPr>
            <w:r w:rsidRPr="00853BA8">
              <w:t>80,218</w:t>
            </w:r>
          </w:p>
        </w:tc>
      </w:tr>
      <w:tr w:rsidR="00853BA8" w14:paraId="6D203ED4" w14:textId="77777777" w:rsidTr="008F0115">
        <w:tc>
          <w:tcPr>
            <w:tcW w:w="2017" w:type="dxa"/>
          </w:tcPr>
          <w:p w14:paraId="5E383996" w14:textId="2A9EC781" w:rsidR="00853BA8" w:rsidRPr="00853BA8" w:rsidRDefault="00853BA8" w:rsidP="00853BA8">
            <w:pPr>
              <w:pStyle w:val="TableText"/>
              <w:rPr>
                <w:b/>
                <w:bCs/>
              </w:rPr>
            </w:pPr>
            <w:r w:rsidRPr="00853BA8">
              <w:rPr>
                <w:b/>
                <w:bCs/>
              </w:rPr>
              <w:t>Total liabilities</w:t>
            </w:r>
          </w:p>
        </w:tc>
        <w:tc>
          <w:tcPr>
            <w:tcW w:w="2017" w:type="dxa"/>
          </w:tcPr>
          <w:p w14:paraId="2E060DFA" w14:textId="7230F1FE" w:rsidR="00853BA8" w:rsidRPr="00853BA8" w:rsidRDefault="00853BA8" w:rsidP="00853BA8">
            <w:pPr>
              <w:pStyle w:val="TableText"/>
              <w:jc w:val="right"/>
            </w:pPr>
            <w:r w:rsidRPr="00853BA8">
              <w:t>75,786</w:t>
            </w:r>
          </w:p>
        </w:tc>
        <w:tc>
          <w:tcPr>
            <w:tcW w:w="2017" w:type="dxa"/>
          </w:tcPr>
          <w:p w14:paraId="39530B89" w14:textId="11CF3DAD" w:rsidR="00853BA8" w:rsidRPr="00853BA8" w:rsidRDefault="00853BA8" w:rsidP="00853BA8">
            <w:pPr>
              <w:pStyle w:val="TableText"/>
              <w:jc w:val="right"/>
            </w:pPr>
            <w:r w:rsidRPr="00853BA8">
              <w:t>49,760</w:t>
            </w:r>
          </w:p>
        </w:tc>
        <w:tc>
          <w:tcPr>
            <w:tcW w:w="2018" w:type="dxa"/>
          </w:tcPr>
          <w:p w14:paraId="41EE46D5" w14:textId="1FBFE99F" w:rsidR="00853BA8" w:rsidRPr="00853BA8" w:rsidRDefault="00853BA8" w:rsidP="00853BA8">
            <w:pPr>
              <w:pStyle w:val="TableText"/>
              <w:jc w:val="right"/>
            </w:pPr>
            <w:r w:rsidRPr="00853BA8">
              <w:t>75,586</w:t>
            </w:r>
          </w:p>
        </w:tc>
      </w:tr>
      <w:tr w:rsidR="00853BA8" w:rsidRPr="009C5D45" w14:paraId="6B0F529F" w14:textId="77777777" w:rsidTr="008F0115">
        <w:tc>
          <w:tcPr>
            <w:tcW w:w="2017" w:type="dxa"/>
          </w:tcPr>
          <w:p w14:paraId="091748F9" w14:textId="644A8B2F" w:rsidR="00853BA8" w:rsidRPr="00853BA8" w:rsidRDefault="00853BA8" w:rsidP="00853BA8">
            <w:pPr>
              <w:pStyle w:val="TableText"/>
              <w:rPr>
                <w:b/>
                <w:bCs/>
              </w:rPr>
            </w:pPr>
            <w:r w:rsidRPr="00853BA8">
              <w:rPr>
                <w:b/>
                <w:bCs/>
              </w:rPr>
              <w:t>Total equity</w:t>
            </w:r>
          </w:p>
        </w:tc>
        <w:tc>
          <w:tcPr>
            <w:tcW w:w="2017" w:type="dxa"/>
          </w:tcPr>
          <w:p w14:paraId="5D5738F8" w14:textId="264452A9" w:rsidR="00853BA8" w:rsidRPr="00853BA8" w:rsidRDefault="00853BA8" w:rsidP="00853BA8">
            <w:pPr>
              <w:pStyle w:val="TableText"/>
              <w:jc w:val="right"/>
            </w:pPr>
            <w:r w:rsidRPr="00853BA8">
              <w:t>3,070</w:t>
            </w:r>
          </w:p>
        </w:tc>
        <w:tc>
          <w:tcPr>
            <w:tcW w:w="2017" w:type="dxa"/>
          </w:tcPr>
          <w:p w14:paraId="76316AFE" w14:textId="34957053" w:rsidR="00853BA8" w:rsidRPr="00853BA8" w:rsidRDefault="00853BA8" w:rsidP="00853BA8">
            <w:pPr>
              <w:pStyle w:val="TableText"/>
              <w:jc w:val="right"/>
            </w:pPr>
            <w:r w:rsidRPr="00853BA8">
              <w:t>5,606</w:t>
            </w:r>
          </w:p>
        </w:tc>
        <w:tc>
          <w:tcPr>
            <w:tcW w:w="2018" w:type="dxa"/>
          </w:tcPr>
          <w:p w14:paraId="60E27780" w14:textId="58B8BF14" w:rsidR="00853BA8" w:rsidRPr="00853BA8" w:rsidRDefault="00853BA8" w:rsidP="00853BA8">
            <w:pPr>
              <w:pStyle w:val="TableText"/>
              <w:jc w:val="right"/>
            </w:pPr>
            <w:r w:rsidRPr="00853BA8">
              <w:t>4,632</w:t>
            </w:r>
          </w:p>
        </w:tc>
      </w:tr>
    </w:tbl>
    <w:p w14:paraId="62B54AAD" w14:textId="77777777" w:rsidR="00853BA8" w:rsidRDefault="00853BA8" w:rsidP="009C5D45"/>
    <w:p w14:paraId="4AA256B1" w14:textId="3877D47D" w:rsidR="00853BA8" w:rsidRDefault="00853BA8" w:rsidP="00853BA8">
      <w:r w:rsidRPr="00853BA8">
        <w:rPr>
          <w:b/>
          <w:bCs/>
        </w:rPr>
        <w:t>Summary of performance against Vote Health</w:t>
      </w:r>
      <w:r>
        <w:t xml:space="preserve"> for the year ended 30 June 2024 (in thousands of NZD</w:t>
      </w:r>
    </w:p>
    <w:p w14:paraId="6D7C9DC8" w14:textId="77777777" w:rsidR="00853BA8" w:rsidRDefault="00853BA8" w:rsidP="00853BA8"/>
    <w:tbl>
      <w:tblPr>
        <w:tblStyle w:val="TableGrid"/>
        <w:tblW w:w="8080"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3544"/>
        <w:gridCol w:w="1512"/>
        <w:gridCol w:w="1607"/>
        <w:gridCol w:w="1417"/>
      </w:tblGrid>
      <w:tr w:rsidR="00853BA8" w:rsidRPr="00853BA8" w14:paraId="23C21697" w14:textId="77777777" w:rsidTr="00853BA8">
        <w:tc>
          <w:tcPr>
            <w:tcW w:w="3544" w:type="dxa"/>
            <w:shd w:val="clear" w:color="auto" w:fill="D9D9D9" w:themeFill="background1" w:themeFillShade="D9"/>
          </w:tcPr>
          <w:p w14:paraId="466BBABA" w14:textId="77777777" w:rsidR="00853BA8" w:rsidRPr="00853BA8" w:rsidRDefault="00853BA8" w:rsidP="00853BA8">
            <w:pPr>
              <w:pStyle w:val="TableText"/>
            </w:pPr>
          </w:p>
        </w:tc>
        <w:tc>
          <w:tcPr>
            <w:tcW w:w="1512" w:type="dxa"/>
            <w:shd w:val="clear" w:color="auto" w:fill="D9D9D9" w:themeFill="background1" w:themeFillShade="D9"/>
          </w:tcPr>
          <w:p w14:paraId="2DE74F15" w14:textId="59CB627F" w:rsidR="00853BA8" w:rsidRPr="00853BA8" w:rsidRDefault="00853BA8" w:rsidP="00853BA8">
            <w:pPr>
              <w:pStyle w:val="TableText"/>
              <w:jc w:val="right"/>
              <w:rPr>
                <w:b/>
                <w:bCs/>
              </w:rPr>
            </w:pPr>
            <w:r w:rsidRPr="00853BA8">
              <w:rPr>
                <w:b/>
                <w:bCs/>
              </w:rPr>
              <w:t>Actual 2024</w:t>
            </w:r>
          </w:p>
        </w:tc>
        <w:tc>
          <w:tcPr>
            <w:tcW w:w="1607" w:type="dxa"/>
            <w:shd w:val="clear" w:color="auto" w:fill="D9D9D9" w:themeFill="background1" w:themeFillShade="D9"/>
          </w:tcPr>
          <w:p w14:paraId="1DD1A67B" w14:textId="7EB45D6D" w:rsidR="00853BA8" w:rsidRPr="00853BA8" w:rsidRDefault="00853BA8" w:rsidP="00853BA8">
            <w:pPr>
              <w:pStyle w:val="TableText"/>
              <w:jc w:val="right"/>
              <w:rPr>
                <w:b/>
                <w:bCs/>
              </w:rPr>
            </w:pPr>
            <w:r w:rsidRPr="00853BA8">
              <w:rPr>
                <w:b/>
                <w:bCs/>
              </w:rPr>
              <w:t>Budget 2024 (Supplementary</w:t>
            </w:r>
            <w:r>
              <w:rPr>
                <w:b/>
                <w:bCs/>
              </w:rPr>
              <w:t xml:space="preserve"> </w:t>
            </w:r>
            <w:r w:rsidRPr="00853BA8">
              <w:rPr>
                <w:b/>
                <w:bCs/>
              </w:rPr>
              <w:t>Estimates)</w:t>
            </w:r>
          </w:p>
        </w:tc>
        <w:tc>
          <w:tcPr>
            <w:tcW w:w="1417" w:type="dxa"/>
            <w:shd w:val="clear" w:color="auto" w:fill="D9D9D9" w:themeFill="background1" w:themeFillShade="D9"/>
          </w:tcPr>
          <w:p w14:paraId="0EEC8BF6" w14:textId="2FA8764E" w:rsidR="00853BA8" w:rsidRPr="00853BA8" w:rsidRDefault="00853BA8" w:rsidP="00853BA8">
            <w:pPr>
              <w:pStyle w:val="TableText"/>
              <w:jc w:val="right"/>
              <w:rPr>
                <w:b/>
                <w:bCs/>
              </w:rPr>
            </w:pPr>
            <w:r w:rsidRPr="00853BA8">
              <w:rPr>
                <w:b/>
                <w:bCs/>
              </w:rPr>
              <w:t>Actual 2023</w:t>
            </w:r>
          </w:p>
        </w:tc>
      </w:tr>
      <w:tr w:rsidR="00853BA8" w:rsidRPr="00853BA8" w14:paraId="0C70855F" w14:textId="77777777" w:rsidTr="00853BA8">
        <w:tc>
          <w:tcPr>
            <w:tcW w:w="3544" w:type="dxa"/>
          </w:tcPr>
          <w:p w14:paraId="67E95780" w14:textId="03354227" w:rsidR="00853BA8" w:rsidRPr="00853BA8" w:rsidRDefault="00853BA8" w:rsidP="00853BA8">
            <w:pPr>
              <w:pStyle w:val="TableText"/>
              <w:rPr>
                <w:b/>
                <w:bCs/>
              </w:rPr>
            </w:pPr>
            <w:r w:rsidRPr="00853BA8">
              <w:rPr>
                <w:b/>
                <w:bCs/>
              </w:rPr>
              <w:t>Departmental expenditure</w:t>
            </w:r>
          </w:p>
        </w:tc>
        <w:tc>
          <w:tcPr>
            <w:tcW w:w="1512" w:type="dxa"/>
          </w:tcPr>
          <w:p w14:paraId="7DCEAFA0" w14:textId="47340F6D" w:rsidR="00853BA8" w:rsidRPr="00853BA8" w:rsidRDefault="00853BA8" w:rsidP="00853BA8">
            <w:pPr>
              <w:pStyle w:val="TableText"/>
              <w:jc w:val="right"/>
            </w:pPr>
            <w:r w:rsidRPr="00853BA8">
              <w:t>269,070</w:t>
            </w:r>
          </w:p>
        </w:tc>
        <w:tc>
          <w:tcPr>
            <w:tcW w:w="1607" w:type="dxa"/>
          </w:tcPr>
          <w:p w14:paraId="7D347D11" w14:textId="4F852CCD" w:rsidR="00853BA8" w:rsidRPr="00853BA8" w:rsidRDefault="00853BA8" w:rsidP="00853BA8">
            <w:pPr>
              <w:pStyle w:val="TableText"/>
              <w:jc w:val="right"/>
            </w:pPr>
            <w:r w:rsidRPr="00853BA8">
              <w:t>286,056</w:t>
            </w:r>
          </w:p>
        </w:tc>
        <w:tc>
          <w:tcPr>
            <w:tcW w:w="1417" w:type="dxa"/>
          </w:tcPr>
          <w:p w14:paraId="61AEDD66" w14:textId="0850B178" w:rsidR="00853BA8" w:rsidRPr="00853BA8" w:rsidRDefault="00853BA8" w:rsidP="00853BA8">
            <w:pPr>
              <w:pStyle w:val="TableText"/>
              <w:jc w:val="right"/>
            </w:pPr>
            <w:r w:rsidRPr="00853BA8">
              <w:t>269,182**</w:t>
            </w:r>
          </w:p>
        </w:tc>
      </w:tr>
      <w:tr w:rsidR="00853BA8" w:rsidRPr="00853BA8" w14:paraId="1322E047" w14:textId="77777777" w:rsidTr="00853BA8">
        <w:tc>
          <w:tcPr>
            <w:tcW w:w="3544" w:type="dxa"/>
          </w:tcPr>
          <w:p w14:paraId="53B955E4" w14:textId="2C1D3160" w:rsidR="00853BA8" w:rsidRPr="00853BA8" w:rsidRDefault="00853BA8" w:rsidP="00853BA8">
            <w:pPr>
              <w:pStyle w:val="TableText"/>
              <w:rPr>
                <w:b/>
                <w:bCs/>
              </w:rPr>
            </w:pPr>
            <w:r w:rsidRPr="00853BA8">
              <w:rPr>
                <w:b/>
                <w:bCs/>
              </w:rPr>
              <w:t>Departmental capital expenditure</w:t>
            </w:r>
          </w:p>
        </w:tc>
        <w:tc>
          <w:tcPr>
            <w:tcW w:w="1512" w:type="dxa"/>
          </w:tcPr>
          <w:p w14:paraId="0820F781" w14:textId="3DCB6621" w:rsidR="00853BA8" w:rsidRPr="00853BA8" w:rsidRDefault="00853BA8" w:rsidP="00853BA8">
            <w:pPr>
              <w:pStyle w:val="TableText"/>
              <w:jc w:val="right"/>
            </w:pPr>
            <w:r w:rsidRPr="00853BA8">
              <w:t>2,082</w:t>
            </w:r>
          </w:p>
        </w:tc>
        <w:tc>
          <w:tcPr>
            <w:tcW w:w="1607" w:type="dxa"/>
          </w:tcPr>
          <w:p w14:paraId="73C3C403" w14:textId="5AAD0F61" w:rsidR="00853BA8" w:rsidRPr="00853BA8" w:rsidRDefault="00853BA8" w:rsidP="00853BA8">
            <w:pPr>
              <w:pStyle w:val="TableText"/>
              <w:jc w:val="right"/>
            </w:pPr>
            <w:r w:rsidRPr="00853BA8">
              <w:t>2,000</w:t>
            </w:r>
          </w:p>
        </w:tc>
        <w:tc>
          <w:tcPr>
            <w:tcW w:w="1417" w:type="dxa"/>
          </w:tcPr>
          <w:p w14:paraId="3843911D" w14:textId="2F51A4C7" w:rsidR="00853BA8" w:rsidRPr="00853BA8" w:rsidRDefault="00853BA8" w:rsidP="00853BA8">
            <w:pPr>
              <w:pStyle w:val="TableText"/>
              <w:jc w:val="right"/>
            </w:pPr>
            <w:r w:rsidRPr="00853BA8">
              <w:t>1,320</w:t>
            </w:r>
          </w:p>
        </w:tc>
      </w:tr>
      <w:tr w:rsidR="00853BA8" w:rsidRPr="00853BA8" w14:paraId="48BA63C2" w14:textId="77777777" w:rsidTr="00853BA8">
        <w:tc>
          <w:tcPr>
            <w:tcW w:w="3544" w:type="dxa"/>
          </w:tcPr>
          <w:p w14:paraId="3C02B5FF" w14:textId="181A2C18" w:rsidR="00853BA8" w:rsidRPr="00853BA8" w:rsidRDefault="00853BA8" w:rsidP="00853BA8">
            <w:pPr>
              <w:pStyle w:val="TableText"/>
              <w:rPr>
                <w:b/>
                <w:bCs/>
              </w:rPr>
            </w:pPr>
            <w:r w:rsidRPr="00853BA8">
              <w:rPr>
                <w:b/>
                <w:bCs/>
              </w:rPr>
              <w:t>Non-departmental expenditure</w:t>
            </w:r>
          </w:p>
        </w:tc>
        <w:tc>
          <w:tcPr>
            <w:tcW w:w="1512" w:type="dxa"/>
          </w:tcPr>
          <w:p w14:paraId="4F0CC5F0" w14:textId="72610904" w:rsidR="00853BA8" w:rsidRPr="00853BA8" w:rsidRDefault="00853BA8" w:rsidP="00853BA8">
            <w:pPr>
              <w:pStyle w:val="TableText"/>
              <w:jc w:val="right"/>
            </w:pPr>
            <w:r w:rsidRPr="00853BA8">
              <w:t>25,914,996</w:t>
            </w:r>
          </w:p>
        </w:tc>
        <w:tc>
          <w:tcPr>
            <w:tcW w:w="1607" w:type="dxa"/>
          </w:tcPr>
          <w:p w14:paraId="38125AE9" w14:textId="1D371E0E" w:rsidR="00853BA8" w:rsidRPr="00853BA8" w:rsidRDefault="00853BA8" w:rsidP="00853BA8">
            <w:pPr>
              <w:pStyle w:val="TableText"/>
              <w:jc w:val="right"/>
            </w:pPr>
            <w:r w:rsidRPr="00853BA8">
              <w:t>25,992,194</w:t>
            </w:r>
          </w:p>
        </w:tc>
        <w:tc>
          <w:tcPr>
            <w:tcW w:w="1417" w:type="dxa"/>
          </w:tcPr>
          <w:p w14:paraId="33366480" w14:textId="28928951" w:rsidR="00853BA8" w:rsidRPr="00853BA8" w:rsidRDefault="00853BA8" w:rsidP="00853BA8">
            <w:pPr>
              <w:pStyle w:val="TableText"/>
              <w:jc w:val="right"/>
            </w:pPr>
            <w:r w:rsidRPr="00853BA8">
              <w:t>24,660,004</w:t>
            </w:r>
          </w:p>
        </w:tc>
      </w:tr>
      <w:tr w:rsidR="00853BA8" w:rsidRPr="00853BA8" w14:paraId="1CA0960A" w14:textId="77777777" w:rsidTr="00853BA8">
        <w:tc>
          <w:tcPr>
            <w:tcW w:w="3544" w:type="dxa"/>
          </w:tcPr>
          <w:p w14:paraId="345BB9F9" w14:textId="7E9651E4" w:rsidR="00853BA8" w:rsidRPr="00853BA8" w:rsidRDefault="00853BA8" w:rsidP="00853BA8">
            <w:pPr>
              <w:pStyle w:val="TableText"/>
              <w:rPr>
                <w:b/>
                <w:bCs/>
              </w:rPr>
            </w:pPr>
            <w:r w:rsidRPr="00853BA8">
              <w:rPr>
                <w:b/>
                <w:bCs/>
              </w:rPr>
              <w:t>Non-departmental capital expenditure</w:t>
            </w:r>
          </w:p>
        </w:tc>
        <w:tc>
          <w:tcPr>
            <w:tcW w:w="1512" w:type="dxa"/>
          </w:tcPr>
          <w:p w14:paraId="3DFA58A1" w14:textId="67D096C1" w:rsidR="00853BA8" w:rsidRPr="00853BA8" w:rsidRDefault="00853BA8" w:rsidP="00853BA8">
            <w:pPr>
              <w:pStyle w:val="TableText"/>
              <w:jc w:val="right"/>
            </w:pPr>
            <w:r w:rsidRPr="00853BA8">
              <w:t>948,735</w:t>
            </w:r>
          </w:p>
        </w:tc>
        <w:tc>
          <w:tcPr>
            <w:tcW w:w="1607" w:type="dxa"/>
          </w:tcPr>
          <w:p w14:paraId="4826E3CB" w14:textId="48345EED" w:rsidR="00853BA8" w:rsidRPr="00853BA8" w:rsidRDefault="00853BA8" w:rsidP="00853BA8">
            <w:pPr>
              <w:pStyle w:val="TableText"/>
              <w:jc w:val="right"/>
            </w:pPr>
            <w:r w:rsidRPr="00853BA8">
              <w:t>1,922,101</w:t>
            </w:r>
          </w:p>
        </w:tc>
        <w:tc>
          <w:tcPr>
            <w:tcW w:w="1417" w:type="dxa"/>
          </w:tcPr>
          <w:p w14:paraId="16FDAB48" w14:textId="1C2A8AC2" w:rsidR="00853BA8" w:rsidRPr="00853BA8" w:rsidRDefault="00853BA8" w:rsidP="00853BA8">
            <w:pPr>
              <w:pStyle w:val="TableText"/>
              <w:jc w:val="right"/>
            </w:pPr>
            <w:r w:rsidRPr="00853BA8">
              <w:t>1,697,383</w:t>
            </w:r>
          </w:p>
        </w:tc>
      </w:tr>
    </w:tbl>
    <w:p w14:paraId="294AEB3C" w14:textId="358B4CA5" w:rsidR="00853BA8" w:rsidRDefault="00853BA8" w:rsidP="009A49F2">
      <w:pPr>
        <w:pStyle w:val="Note"/>
        <w:ind w:left="182" w:hanging="182"/>
      </w:pPr>
      <w:r>
        <w:t xml:space="preserve">* </w:t>
      </w:r>
      <w:r w:rsidR="009A49F2">
        <w:tab/>
      </w:r>
      <w:r>
        <w:t>The budget figure provided in the Budget Economic and Fiscal Update (which is how we are required to present it in the annual report).</w:t>
      </w:r>
    </w:p>
    <w:p w14:paraId="6CC9A884" w14:textId="77777777" w:rsidR="00853BA8" w:rsidRDefault="00853BA8" w:rsidP="009A49F2">
      <w:pPr>
        <w:pStyle w:val="Note"/>
        <w:ind w:left="210" w:hanging="210"/>
      </w:pPr>
      <w:r>
        <w:t>** The total department output expenditure excludes expenditure for an administration and use of appropriations.</w:t>
      </w:r>
    </w:p>
    <w:p w14:paraId="6017F35F" w14:textId="77777777" w:rsidR="00853BA8" w:rsidRPr="00853BA8" w:rsidRDefault="00853BA8" w:rsidP="00020E23">
      <w:pPr>
        <w:pStyle w:val="Heading3"/>
      </w:pPr>
      <w:r w:rsidRPr="00853BA8">
        <w:lastRenderedPageBreak/>
        <w:t>People and capability</w:t>
      </w:r>
    </w:p>
    <w:p w14:paraId="11E065AC" w14:textId="5C077E42" w:rsidR="00853BA8" w:rsidRPr="00853BA8" w:rsidRDefault="00853BA8" w:rsidP="00853BA8">
      <w:pPr>
        <w:pStyle w:val="Bullet"/>
      </w:pPr>
      <w:r w:rsidRPr="00853BA8">
        <w:t>Overall Headcount: 800</w:t>
      </w:r>
    </w:p>
    <w:p w14:paraId="01550CB1" w14:textId="3C973467" w:rsidR="00853BA8" w:rsidRDefault="00853BA8" w:rsidP="00853BA8">
      <w:pPr>
        <w:pStyle w:val="Bullet"/>
      </w:pPr>
      <w:r w:rsidRPr="00853BA8">
        <w:t xml:space="preserve">FTE: 777.75 (as </w:t>
      </w:r>
      <w:proofErr w:type="gramStart"/>
      <w:r w:rsidRPr="00853BA8">
        <w:t>at</w:t>
      </w:r>
      <w:proofErr w:type="gramEnd"/>
      <w:r w:rsidRPr="00853BA8">
        <w:t xml:space="preserve"> 30 June 2024)*</w:t>
      </w:r>
    </w:p>
    <w:p w14:paraId="0FA51C47" w14:textId="77777777" w:rsidR="00853BA8" w:rsidRDefault="00853BA8" w:rsidP="00853BA8"/>
    <w:p w14:paraId="616171EC" w14:textId="633AAE45" w:rsidR="00853BA8" w:rsidRDefault="00853BA8" w:rsidP="00853BA8">
      <w:r>
        <w:t xml:space="preserve">12-month rolling average </w:t>
      </w:r>
      <w:r w:rsidRPr="00853BA8">
        <w:rPr>
          <w:b/>
          <w:bCs/>
        </w:rPr>
        <w:t>unplanned turnover rate 14.6%</w:t>
      </w:r>
      <w:r>
        <w:t xml:space="preserve"> (down from 20.9% in 2022/23).</w:t>
      </w:r>
    </w:p>
    <w:p w14:paraId="7BAB2128" w14:textId="77777777" w:rsidR="00853BA8" w:rsidRDefault="00853BA8" w:rsidP="00853BA8"/>
    <w:p w14:paraId="0FC224DE" w14:textId="2A2161B8" w:rsidR="00853BA8" w:rsidRDefault="00853BA8" w:rsidP="00853BA8">
      <w:r>
        <w:t xml:space="preserve">kōrero Mai Employee Experience survey (with a 79% response rate) found that </w:t>
      </w:r>
      <w:r w:rsidRPr="00853BA8">
        <w:rPr>
          <w:b/>
          <w:bCs/>
        </w:rPr>
        <w:t>93%</w:t>
      </w:r>
      <w:r>
        <w:t xml:space="preserve"> of respondents agreed (somewhat agreed, agreed, or strongly agreed) that the </w:t>
      </w:r>
      <w:r w:rsidRPr="00853BA8">
        <w:rPr>
          <w:b/>
          <w:bCs/>
        </w:rPr>
        <w:t>Ministry is a great place to work</w:t>
      </w:r>
      <w:r>
        <w:t xml:space="preserve"> (up from 88% in 2022 and 87% in 2020).</w:t>
      </w:r>
    </w:p>
    <w:p w14:paraId="130D15C8" w14:textId="77777777" w:rsidR="00853BA8" w:rsidRDefault="00853BA8" w:rsidP="00853BA8">
      <w:pPr>
        <w:rPr>
          <w:sz w:val="17"/>
        </w:rPr>
      </w:pPr>
    </w:p>
    <w:p w14:paraId="6A4AE9B7" w14:textId="77777777" w:rsidR="00853BA8" w:rsidRDefault="00853BA8" w:rsidP="00853BA8">
      <w:pPr>
        <w:pStyle w:val="Note"/>
      </w:pPr>
      <w:r w:rsidRPr="00853BA8">
        <w:t>*</w:t>
      </w:r>
      <w:r>
        <w:t xml:space="preserve"> </w:t>
      </w:r>
      <w:r w:rsidRPr="00853BA8">
        <w:t>This is our total permanent and fixed term employee FTE. It excludes employees on parental leave or leave without pay and Te Aho o Te Kahu – Cancer Control Agency FTE.</w:t>
      </w:r>
    </w:p>
    <w:p w14:paraId="12527CA5" w14:textId="77777777" w:rsidR="00020E23" w:rsidRDefault="00020E23" w:rsidP="00020E23"/>
    <w:p w14:paraId="55E1A51F" w14:textId="77777777" w:rsidR="00020E23" w:rsidRDefault="00020E23" w:rsidP="00020E23">
      <w:pPr>
        <w:sectPr w:rsidR="00020E23" w:rsidSect="00C9300E">
          <w:pgSz w:w="11907" w:h="16840" w:code="9"/>
          <w:pgMar w:top="1418" w:right="1701" w:bottom="1134" w:left="1843" w:header="284" w:footer="425" w:gutter="284"/>
          <w:cols w:space="720"/>
        </w:sectPr>
      </w:pPr>
    </w:p>
    <w:p w14:paraId="6F6826E3" w14:textId="7A0C95C7" w:rsidR="00020E23" w:rsidRDefault="00020E23" w:rsidP="00020E23">
      <w:pPr>
        <w:pStyle w:val="Heading1"/>
      </w:pPr>
      <w:bookmarkStart w:id="9" w:name="_Toc180077011"/>
      <w:r>
        <w:lastRenderedPageBreak/>
        <w:t xml:space="preserve">About us </w:t>
      </w:r>
      <w:r w:rsidR="002A6794">
        <w:t>–</w:t>
      </w:r>
      <w:r w:rsidRPr="00020E23">
        <w:t xml:space="preserve"> Mō mātou</w:t>
      </w:r>
      <w:bookmarkEnd w:id="9"/>
    </w:p>
    <w:p w14:paraId="6B1DA50C" w14:textId="77777777" w:rsidR="00020E23" w:rsidRDefault="00020E23" w:rsidP="00020E23">
      <w:pPr>
        <w:pStyle w:val="Heading2"/>
      </w:pPr>
      <w:bookmarkStart w:id="10" w:name="_Toc180077012"/>
      <w:r w:rsidRPr="00020E23">
        <w:t>About the Ministry of Health</w:t>
      </w:r>
      <w:bookmarkEnd w:id="10"/>
    </w:p>
    <w:p w14:paraId="381623C1" w14:textId="77777777" w:rsidR="00020E23" w:rsidRDefault="00020E23" w:rsidP="00020E23"/>
    <w:p w14:paraId="1B594F3B" w14:textId="77777777" w:rsidR="00020E23" w:rsidRDefault="00020E23" w:rsidP="00020E23">
      <w:r>
        <w:t>The Ministry of Health – Manatū Hauora (the Ministry) is the chief steward of health and the health system, and the lead advisor to Government on health. The Ministry sets direction, policy, regulatory framework and investment for health, and monitors outcomes and system and organisational performance.</w:t>
      </w:r>
    </w:p>
    <w:p w14:paraId="7FA2F1C9" w14:textId="77777777" w:rsidR="00020E23" w:rsidRDefault="00020E23" w:rsidP="00020E23"/>
    <w:p w14:paraId="4D503EBA" w14:textId="78F1FF46" w:rsidR="00020E23" w:rsidRDefault="00020E23" w:rsidP="00020E23">
      <w:r>
        <w:t>As steward of the health system, we are focused on improving health outcomes for all New Zealanders. We carry out our stewardship role by undertaking four roles.</w:t>
      </w:r>
    </w:p>
    <w:p w14:paraId="374FBA63" w14:textId="01489B39" w:rsidR="00020E23" w:rsidRDefault="00020E23" w:rsidP="00020E23">
      <w:pPr>
        <w:pStyle w:val="Bullet"/>
      </w:pPr>
      <w:r w:rsidRPr="00020E23">
        <w:rPr>
          <w:b/>
          <w:bCs/>
        </w:rPr>
        <w:t>Leading</w:t>
      </w:r>
      <w:r>
        <w:t>: We are the system leader for health and wellbeing, setting the strategic direction for the health system.</w:t>
      </w:r>
    </w:p>
    <w:p w14:paraId="1FC351A6" w14:textId="58454EB5" w:rsidR="00020E23" w:rsidRDefault="00020E23" w:rsidP="00020E23">
      <w:pPr>
        <w:pStyle w:val="Bullet"/>
      </w:pPr>
      <w:r w:rsidRPr="00020E23">
        <w:rPr>
          <w:b/>
          <w:bCs/>
        </w:rPr>
        <w:t>Advising</w:t>
      </w:r>
      <w:r>
        <w:t>: We are the primary advisor to Government on the determinants of health and on the health system’s contribution to broader wellbeing.</w:t>
      </w:r>
    </w:p>
    <w:p w14:paraId="203D6E23" w14:textId="3133BFDD" w:rsidR="00020E23" w:rsidRDefault="00020E23" w:rsidP="008F0115">
      <w:pPr>
        <w:pStyle w:val="Bullet"/>
      </w:pPr>
      <w:r w:rsidRPr="00020E23">
        <w:rPr>
          <w:b/>
          <w:bCs/>
        </w:rPr>
        <w:t>Assessing</w:t>
      </w:r>
      <w:r>
        <w:t>: We assess system responsiveness and integrity, including strategy, system performance and Te Tiriti o Waitangi/the Treaty of Waitangi (Te Tiriti) obligations.</w:t>
      </w:r>
    </w:p>
    <w:p w14:paraId="5A3DCBB5" w14:textId="240D8E3D" w:rsidR="00020E23" w:rsidRDefault="00020E23" w:rsidP="00020E23">
      <w:pPr>
        <w:pStyle w:val="Bullet"/>
      </w:pPr>
      <w:r w:rsidRPr="00020E23">
        <w:rPr>
          <w:b/>
          <w:bCs/>
        </w:rPr>
        <w:t>Convening</w:t>
      </w:r>
      <w:r>
        <w:t>: We convene senior leadership of the system, leading improvements in ways of working across agencies.</w:t>
      </w:r>
    </w:p>
    <w:p w14:paraId="7EE9062C" w14:textId="77777777" w:rsidR="00020E23" w:rsidRDefault="00020E23" w:rsidP="00020E23"/>
    <w:p w14:paraId="79BFD773" w14:textId="62D0CA2D" w:rsidR="00020E23" w:rsidRDefault="00020E23" w:rsidP="00020E23">
      <w:r>
        <w:t xml:space="preserve">We perform five core functions: strategy, policy, monitoring, regulation, and data and analytics. Underpinning these functions is our public health, Māori health, clinical, and community, mental health and addiction expertise. Our functions enable the Ministry to effectively meet Ministers’ needs, run efficiently and achieve organisational excellence. </w:t>
      </w:r>
    </w:p>
    <w:p w14:paraId="430D05E1" w14:textId="77777777" w:rsidR="00020E23" w:rsidRDefault="00020E23" w:rsidP="00020E23"/>
    <w:p w14:paraId="75EB502E" w14:textId="6A0845EB" w:rsidR="00020E23" w:rsidRDefault="00020E23" w:rsidP="00020E23">
      <w:pPr>
        <w:sectPr w:rsidR="00020E23" w:rsidSect="008F0115">
          <w:pgSz w:w="11907" w:h="16840" w:code="9"/>
          <w:pgMar w:top="1418" w:right="1701" w:bottom="1134" w:left="1843" w:header="284" w:footer="425" w:gutter="284"/>
          <w:cols w:space="720"/>
        </w:sectPr>
      </w:pPr>
      <w:r>
        <w:t xml:space="preserve">Our organisational structure includes the Director-General of Health and Chief Executive, and eight directorates in a flat structure with four layers of management in most places. As </w:t>
      </w:r>
      <w:r w:rsidR="00200C8F">
        <w:fldChar w:fldCharType="begin"/>
      </w:r>
      <w:r w:rsidR="00200C8F">
        <w:instrText xml:space="preserve"> REF _Ref179904240 \h </w:instrText>
      </w:r>
      <w:r w:rsidR="00200C8F">
        <w:fldChar w:fldCharType="separate"/>
      </w:r>
      <w:r w:rsidR="00AA10BF">
        <w:t xml:space="preserve">Figure </w:t>
      </w:r>
      <w:r w:rsidR="00AA10BF">
        <w:rPr>
          <w:noProof/>
        </w:rPr>
        <w:t>1</w:t>
      </w:r>
      <w:r w:rsidR="00200C8F">
        <w:fldChar w:fldCharType="end"/>
      </w:r>
      <w:r w:rsidR="00200C8F">
        <w:t xml:space="preserve"> </w:t>
      </w:r>
      <w:r>
        <w:t>shows, six directorates focus on the delivery of our core roles and responsibilities as the Ministry of Health. Two directorates consolidate the functions and capabilities needed to run the Ministry as an effective organisation and government department. There are also three time-limited offices for system reform and Ministry transformation. Our professional leads provide clinical or technical advice to Ministers, the Ministry and the sector.</w:t>
      </w:r>
    </w:p>
    <w:p w14:paraId="498725CD" w14:textId="7E17470C" w:rsidR="00020E23" w:rsidRDefault="00020E23" w:rsidP="00020E23">
      <w:pPr>
        <w:pStyle w:val="Figure"/>
      </w:pPr>
      <w:bookmarkStart w:id="11" w:name="_Ref179904240"/>
      <w:r>
        <w:lastRenderedPageBreak/>
        <w:t xml:space="preserve">Figure </w:t>
      </w:r>
      <w:r>
        <w:fldChar w:fldCharType="begin"/>
      </w:r>
      <w:r>
        <w:instrText xml:space="preserve"> SEQ Figure \* ARABIC </w:instrText>
      </w:r>
      <w:r>
        <w:fldChar w:fldCharType="separate"/>
      </w:r>
      <w:r w:rsidR="00AA10BF">
        <w:rPr>
          <w:noProof/>
        </w:rPr>
        <w:t>1</w:t>
      </w:r>
      <w:r>
        <w:rPr>
          <w:noProof/>
        </w:rPr>
        <w:fldChar w:fldCharType="end"/>
      </w:r>
      <w:bookmarkEnd w:id="11"/>
      <w:r>
        <w:t xml:space="preserve">: </w:t>
      </w:r>
      <w:r w:rsidRPr="00020E23">
        <w:t>How we are structured as of 30 June 2024</w:t>
      </w:r>
    </w:p>
    <w:p w14:paraId="51035A37" w14:textId="2B64B2DF" w:rsidR="008F0115" w:rsidRPr="008F0115" w:rsidRDefault="008F0115" w:rsidP="008F0115">
      <w:r>
        <w:rPr>
          <w:noProof/>
        </w:rPr>
        <w:drawing>
          <wp:inline distT="0" distB="0" distL="0" distR="0" wp14:anchorId="512EEA48" wp14:editId="43F281B8">
            <wp:extent cx="5130165" cy="465074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5130165" cy="4650740"/>
                    </a:xfrm>
                    <a:prstGeom prst="rect">
                      <a:avLst/>
                    </a:prstGeom>
                  </pic:spPr>
                </pic:pic>
              </a:graphicData>
            </a:graphic>
          </wp:inline>
        </w:drawing>
      </w:r>
    </w:p>
    <w:p w14:paraId="10F1441D" w14:textId="77777777" w:rsidR="00020E23" w:rsidRDefault="00020E23" w:rsidP="00020E23"/>
    <w:p w14:paraId="13926A5F" w14:textId="77777777" w:rsidR="008F0115" w:rsidRDefault="008F0115" w:rsidP="008F0115">
      <w:r>
        <w:t>The Ministry’s main governance forums are:</w:t>
      </w:r>
    </w:p>
    <w:p w14:paraId="730774D5" w14:textId="167F34BB" w:rsidR="008F0115" w:rsidRDefault="008F0115" w:rsidP="008F0115">
      <w:pPr>
        <w:pStyle w:val="Bullet"/>
      </w:pPr>
      <w:r>
        <w:t>Executive Governance Team (EGT)</w:t>
      </w:r>
    </w:p>
    <w:p w14:paraId="001A03AC" w14:textId="67D4A672" w:rsidR="008F0115" w:rsidRDefault="008F0115" w:rsidP="008F0115">
      <w:pPr>
        <w:pStyle w:val="Bullet"/>
      </w:pPr>
      <w:r>
        <w:t>Strategic Stewardship Team (SST)</w:t>
      </w:r>
    </w:p>
    <w:p w14:paraId="010B8D5E" w14:textId="49A0827C" w:rsidR="008F0115" w:rsidRDefault="008F0115" w:rsidP="008F0115">
      <w:pPr>
        <w:pStyle w:val="Bullet"/>
      </w:pPr>
      <w:r>
        <w:t>Operational Leadership Team (OLT).</w:t>
      </w:r>
    </w:p>
    <w:p w14:paraId="6EA88A38" w14:textId="77777777" w:rsidR="008F0115" w:rsidRDefault="008F0115" w:rsidP="008F0115"/>
    <w:p w14:paraId="333B0540" w14:textId="2DBAB46D" w:rsidR="008F0115" w:rsidRDefault="008F0115" w:rsidP="008F0115">
      <w:r>
        <w:t>The governance groups enable the Ministry to operate effectively and achieve its core purpose through a framework of leadership, assurance and decision-making.</w:t>
      </w:r>
    </w:p>
    <w:p w14:paraId="61C51F55" w14:textId="77777777" w:rsidR="008F0115" w:rsidRDefault="008F0115" w:rsidP="008F0115"/>
    <w:p w14:paraId="7A452FA4" w14:textId="52CB7144" w:rsidR="008F0115" w:rsidRDefault="008F0115" w:rsidP="008F0115">
      <w:r>
        <w:t>The Risk and Assurance Committee (RAC) is an external committee providing independent advice and assurance to the Director-General of Health.</w:t>
      </w:r>
    </w:p>
    <w:p w14:paraId="3045ACA4" w14:textId="77777777" w:rsidR="008F0115" w:rsidRDefault="008F0115" w:rsidP="008F0115"/>
    <w:p w14:paraId="2EECF28E" w14:textId="20C46C5D" w:rsidR="00020E23" w:rsidRDefault="00200C8F" w:rsidP="008F0115">
      <w:r>
        <w:fldChar w:fldCharType="begin"/>
      </w:r>
      <w:r>
        <w:instrText xml:space="preserve"> REF _Ref179904247 \h </w:instrText>
      </w:r>
      <w:r>
        <w:fldChar w:fldCharType="separate"/>
      </w:r>
      <w:r w:rsidR="00AA10BF">
        <w:t xml:space="preserve">Figure </w:t>
      </w:r>
      <w:r w:rsidR="00AA10BF">
        <w:rPr>
          <w:noProof/>
        </w:rPr>
        <w:t>2</w:t>
      </w:r>
      <w:r>
        <w:fldChar w:fldCharType="end"/>
      </w:r>
      <w:r w:rsidR="008F0115">
        <w:t xml:space="preserve"> gives an overview of these arrangements.</w:t>
      </w:r>
    </w:p>
    <w:p w14:paraId="5ADB34C1" w14:textId="77777777" w:rsidR="008F0115" w:rsidRDefault="008F0115" w:rsidP="008F0115"/>
    <w:p w14:paraId="24388605" w14:textId="77777777" w:rsidR="008F0115" w:rsidRDefault="008F0115" w:rsidP="008F0115">
      <w:pPr>
        <w:sectPr w:rsidR="008F0115" w:rsidSect="008F0115">
          <w:pgSz w:w="11907" w:h="16840" w:code="9"/>
          <w:pgMar w:top="1418" w:right="1701" w:bottom="1134" w:left="1843" w:header="284" w:footer="425" w:gutter="284"/>
          <w:cols w:space="720"/>
        </w:sectPr>
      </w:pPr>
    </w:p>
    <w:p w14:paraId="15CB007D" w14:textId="2EEFFFAE" w:rsidR="008F0115" w:rsidRDefault="008F0115" w:rsidP="008F0115">
      <w:pPr>
        <w:pStyle w:val="Figure"/>
      </w:pPr>
      <w:bookmarkStart w:id="12" w:name="_Ref179904247"/>
      <w:r>
        <w:lastRenderedPageBreak/>
        <w:t xml:space="preserve">Figure </w:t>
      </w:r>
      <w:r>
        <w:fldChar w:fldCharType="begin"/>
      </w:r>
      <w:r>
        <w:instrText xml:space="preserve"> SEQ Figure \* ARABIC </w:instrText>
      </w:r>
      <w:r>
        <w:fldChar w:fldCharType="separate"/>
      </w:r>
      <w:r w:rsidR="00AA10BF">
        <w:rPr>
          <w:noProof/>
        </w:rPr>
        <w:t>2</w:t>
      </w:r>
      <w:r>
        <w:rPr>
          <w:noProof/>
        </w:rPr>
        <w:fldChar w:fldCharType="end"/>
      </w:r>
      <w:bookmarkEnd w:id="12"/>
      <w:r>
        <w:t xml:space="preserve">: </w:t>
      </w:r>
      <w:r w:rsidRPr="008F0115">
        <w:t xml:space="preserve">Our governance structure and external </w:t>
      </w:r>
      <w:proofErr w:type="gramStart"/>
      <w:r w:rsidRPr="008F0115">
        <w:t>assurance</w:t>
      </w:r>
      <w:proofErr w:type="gramEnd"/>
    </w:p>
    <w:p w14:paraId="5AFD4F3C" w14:textId="77777777" w:rsidR="008F0115" w:rsidRDefault="008F0115" w:rsidP="008F0115">
      <w:r>
        <w:rPr>
          <w:noProof/>
        </w:rPr>
        <w:drawing>
          <wp:inline distT="0" distB="0" distL="0" distR="0" wp14:anchorId="63DF60FD" wp14:editId="235B0C42">
            <wp:extent cx="5130165" cy="3274695"/>
            <wp:effectExtent l="0" t="0" r="0" b="190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5130165" cy="3274695"/>
                    </a:xfrm>
                    <a:prstGeom prst="rect">
                      <a:avLst/>
                    </a:prstGeom>
                  </pic:spPr>
                </pic:pic>
              </a:graphicData>
            </a:graphic>
          </wp:inline>
        </w:drawing>
      </w:r>
    </w:p>
    <w:p w14:paraId="18285EE0" w14:textId="77777777" w:rsidR="008F0115" w:rsidRDefault="008F0115" w:rsidP="008F0115"/>
    <w:p w14:paraId="54E1D4A0" w14:textId="554DC6D1" w:rsidR="008F0115" w:rsidRDefault="008F0115" w:rsidP="008F0115">
      <w:r>
        <w:t xml:space="preserve">For more information, see the </w:t>
      </w:r>
      <w:r w:rsidRPr="00200C8F">
        <w:rPr>
          <w:i/>
          <w:iCs/>
        </w:rPr>
        <w:t>Who we are and what we do</w:t>
      </w:r>
      <w:r>
        <w:t xml:space="preserve"> section.</w:t>
      </w:r>
    </w:p>
    <w:p w14:paraId="23D11E30" w14:textId="77777777" w:rsidR="008F0115" w:rsidRDefault="008F0115" w:rsidP="008F0115"/>
    <w:p w14:paraId="7B3EDED0" w14:textId="14865865" w:rsidR="008F0115" w:rsidRDefault="008F0115" w:rsidP="008F0115">
      <w:r>
        <w:t>The Ministry is connected through a matrix approach to working across the directorates to deliver value to New Zealanders and the Government of the day. Some of the Ministry’s functions are also carried out by other health entities, but the roles are complementary rather than identical. For example, monitoring is a common function across the Ministry, Health New Zealand – Te Whatu Ora (Health New Zealand) and the Health Quality &amp; Safety Commission – Te Tāhū Hauora (Health Quality &amp; Safety Commission). Each entity takes a different focus and approach relevant to its role.</w:t>
      </w:r>
    </w:p>
    <w:p w14:paraId="00F9D67D" w14:textId="77777777" w:rsidR="008F0115" w:rsidRDefault="008F0115" w:rsidP="008F0115"/>
    <w:p w14:paraId="00CA1581" w14:textId="39B47851" w:rsidR="008F0115" w:rsidRDefault="008F0115" w:rsidP="008F0115">
      <w:r>
        <w:t xml:space="preserve">While the Ministry is steward of the health system, Health New Zealand is responsible for the day-to-day running of the public health system, providing health services to New Zealanders. Health New Zealand delivers many of the services such as hospital services directly, and partners with providers by purchasing and funding other services such as primary and community care. Figure 3 illustrates these and other critical entities that make up the health system. (Note the map of entities in </w:t>
      </w:r>
      <w:r w:rsidR="00200C8F">
        <w:fldChar w:fldCharType="begin"/>
      </w:r>
      <w:r w:rsidR="00200C8F">
        <w:instrText xml:space="preserve"> REF _Ref179904275 \h </w:instrText>
      </w:r>
      <w:r w:rsidR="00200C8F">
        <w:fldChar w:fldCharType="separate"/>
      </w:r>
      <w:r w:rsidR="00AA10BF">
        <w:t xml:space="preserve">Figure </w:t>
      </w:r>
      <w:r w:rsidR="00AA10BF">
        <w:rPr>
          <w:noProof/>
        </w:rPr>
        <w:t>3</w:t>
      </w:r>
      <w:r w:rsidR="00200C8F">
        <w:fldChar w:fldCharType="end"/>
      </w:r>
      <w:r>
        <w:t xml:space="preserve"> is not intended to represent the relative size or complexity of each component.)</w:t>
      </w:r>
    </w:p>
    <w:p w14:paraId="328F8AEA" w14:textId="77777777" w:rsidR="008F0115" w:rsidRDefault="008F0115" w:rsidP="008F0115"/>
    <w:p w14:paraId="360CBEDD" w14:textId="77777777" w:rsidR="008F0115" w:rsidRDefault="008F0115" w:rsidP="008F0115">
      <w:pPr>
        <w:sectPr w:rsidR="008F0115" w:rsidSect="008F0115">
          <w:pgSz w:w="11907" w:h="16840" w:code="9"/>
          <w:pgMar w:top="1418" w:right="1701" w:bottom="1134" w:left="1843" w:header="284" w:footer="425" w:gutter="284"/>
          <w:cols w:space="720"/>
        </w:sectPr>
      </w:pPr>
    </w:p>
    <w:p w14:paraId="3C8E67A5" w14:textId="6E176385" w:rsidR="008F0115" w:rsidRDefault="008F0115" w:rsidP="008F0115">
      <w:pPr>
        <w:pStyle w:val="Figure"/>
      </w:pPr>
      <w:bookmarkStart w:id="13" w:name="_Ref179904275"/>
      <w:r>
        <w:lastRenderedPageBreak/>
        <w:t xml:space="preserve">Figure </w:t>
      </w:r>
      <w:r>
        <w:fldChar w:fldCharType="begin"/>
      </w:r>
      <w:r>
        <w:instrText xml:space="preserve"> SEQ Figure \* ARABIC </w:instrText>
      </w:r>
      <w:r>
        <w:fldChar w:fldCharType="separate"/>
      </w:r>
      <w:r w:rsidR="00AA10BF">
        <w:rPr>
          <w:noProof/>
        </w:rPr>
        <w:t>3</w:t>
      </w:r>
      <w:r>
        <w:rPr>
          <w:noProof/>
        </w:rPr>
        <w:fldChar w:fldCharType="end"/>
      </w:r>
      <w:bookmarkEnd w:id="13"/>
      <w:r>
        <w:t xml:space="preserve">: </w:t>
      </w:r>
      <w:r w:rsidRPr="008F0115">
        <w:t>Map of critical entities in the health system as of 30 June 2024</w:t>
      </w:r>
    </w:p>
    <w:p w14:paraId="22B0B806" w14:textId="75C2145C" w:rsidR="008F0115" w:rsidRDefault="008F0115" w:rsidP="008F0115">
      <w:r>
        <w:rPr>
          <w:noProof/>
        </w:rPr>
        <w:drawing>
          <wp:inline distT="0" distB="0" distL="0" distR="0" wp14:anchorId="5B048C02" wp14:editId="27D01BAA">
            <wp:extent cx="5212520" cy="7004050"/>
            <wp:effectExtent l="0" t="0" r="7620" b="6350"/>
            <wp:docPr id="25" name="Picture 25"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of a health care system&#10;&#10;Description automatically generated"/>
                    <pic:cNvPicPr/>
                  </pic:nvPicPr>
                  <pic:blipFill rotWithShape="1">
                    <a:blip r:embed="rId31" cstate="print">
                      <a:extLst>
                        <a:ext uri="{28A0092B-C50C-407E-A947-70E740481C1C}">
                          <a14:useLocalDpi xmlns:a14="http://schemas.microsoft.com/office/drawing/2010/main" val="0"/>
                        </a:ext>
                      </a:extLst>
                    </a:blip>
                    <a:srcRect l="6312" t="16019" r="5310"/>
                    <a:stretch/>
                  </pic:blipFill>
                  <pic:spPr bwMode="auto">
                    <a:xfrm>
                      <a:off x="0" y="0"/>
                      <a:ext cx="5218730" cy="7012394"/>
                    </a:xfrm>
                    <a:prstGeom prst="rect">
                      <a:avLst/>
                    </a:prstGeom>
                    <a:ln>
                      <a:noFill/>
                    </a:ln>
                    <a:extLst>
                      <a:ext uri="{53640926-AAD7-44D8-BBD7-CCE9431645EC}">
                        <a14:shadowObscured xmlns:a14="http://schemas.microsoft.com/office/drawing/2010/main"/>
                      </a:ext>
                    </a:extLst>
                  </pic:spPr>
                </pic:pic>
              </a:graphicData>
            </a:graphic>
          </wp:inline>
        </w:drawing>
      </w:r>
    </w:p>
    <w:p w14:paraId="73FB1BD6" w14:textId="77777777" w:rsidR="008F0115" w:rsidRDefault="008F0115" w:rsidP="008F0115">
      <w:pPr>
        <w:sectPr w:rsidR="008F0115" w:rsidSect="008F0115">
          <w:pgSz w:w="11907" w:h="16840" w:code="9"/>
          <w:pgMar w:top="1418" w:right="1701" w:bottom="1134" w:left="1843" w:header="284" w:footer="425" w:gutter="284"/>
          <w:cols w:space="720"/>
        </w:sectPr>
      </w:pPr>
    </w:p>
    <w:p w14:paraId="3193F1D4" w14:textId="4887B8E1" w:rsidR="008F0115" w:rsidRDefault="008F0115" w:rsidP="008F0115">
      <w:pPr>
        <w:pStyle w:val="Heading2"/>
        <w:spacing w:before="0"/>
      </w:pPr>
      <w:bookmarkStart w:id="14" w:name="_Toc180077013"/>
      <w:r>
        <w:lastRenderedPageBreak/>
        <w:t>Giving effect to our role as system steward</w:t>
      </w:r>
      <w:bookmarkEnd w:id="14"/>
    </w:p>
    <w:p w14:paraId="19CC5BCB" w14:textId="6BFE3F95" w:rsidR="008F0115" w:rsidRDefault="008F0115" w:rsidP="008F0115">
      <w:pPr>
        <w:pStyle w:val="Heading3"/>
      </w:pPr>
      <w:r>
        <w:t xml:space="preserve">System vision of pae ora and health strategies  steer our </w:t>
      </w:r>
      <w:proofErr w:type="gramStart"/>
      <w:r>
        <w:t>work</w:t>
      </w:r>
      <w:proofErr w:type="gramEnd"/>
    </w:p>
    <w:p w14:paraId="24E7B9AE" w14:textId="5FE6462B" w:rsidR="008F0115" w:rsidRDefault="008F0115" w:rsidP="008F0115">
      <w:r>
        <w:t>The long-term vision for the health system is to improve health outcomes for all New Zealanders, with a focus on population groups who have the greatest health needs.</w:t>
      </w:r>
    </w:p>
    <w:p w14:paraId="201EC23B" w14:textId="77777777" w:rsidR="008F0115" w:rsidRDefault="008F0115" w:rsidP="008F0115"/>
    <w:p w14:paraId="68CB044D" w14:textId="77777777" w:rsidR="008F0115" w:rsidRDefault="008F0115" w:rsidP="008F0115">
      <w:r>
        <w:t>The Pae Ora (Healthy Futures) Strategies set the direction for how the system will achieve the vision and give effect to the principles of Te Tiriti. The six strategies, founded on a commitment to better health outcomes for all, are:</w:t>
      </w:r>
    </w:p>
    <w:p w14:paraId="4F70F1BC" w14:textId="5BFAC8DC" w:rsidR="008F0115" w:rsidRDefault="008F0115" w:rsidP="008F0115">
      <w:pPr>
        <w:pStyle w:val="Bullet"/>
      </w:pPr>
      <w:r>
        <w:t>New Zealand Health Strategy</w:t>
      </w:r>
    </w:p>
    <w:p w14:paraId="3AF6AB7D" w14:textId="05C2676A" w:rsidR="008F0115" w:rsidRDefault="008F0115" w:rsidP="008F0115">
      <w:pPr>
        <w:pStyle w:val="Bullet"/>
      </w:pPr>
      <w:r>
        <w:t>Pae Tū: Hauora Māori Strategy</w:t>
      </w:r>
    </w:p>
    <w:p w14:paraId="241DAD5C" w14:textId="1A12762F" w:rsidR="008F0115" w:rsidRDefault="008F0115" w:rsidP="008F0115">
      <w:pPr>
        <w:pStyle w:val="Bullet"/>
      </w:pPr>
      <w:r>
        <w:t>Te Mana Ola: The Pacific Health Strategy</w:t>
      </w:r>
    </w:p>
    <w:p w14:paraId="219058D2" w14:textId="044F5131" w:rsidR="008F0115" w:rsidRDefault="008F0115" w:rsidP="008F0115">
      <w:pPr>
        <w:pStyle w:val="Bullet"/>
      </w:pPr>
      <w:r>
        <w:t>Health of Disabled People Strategy</w:t>
      </w:r>
    </w:p>
    <w:p w14:paraId="39AC452F" w14:textId="48CAA7D9" w:rsidR="008F0115" w:rsidRDefault="008F0115" w:rsidP="008F0115">
      <w:pPr>
        <w:pStyle w:val="Bullet"/>
      </w:pPr>
      <w:r>
        <w:t>Rural Health Strategy</w:t>
      </w:r>
    </w:p>
    <w:p w14:paraId="13DA19E3" w14:textId="1373E35E" w:rsidR="008F0115" w:rsidRPr="008F0115" w:rsidRDefault="008F0115" w:rsidP="008F0115">
      <w:pPr>
        <w:pStyle w:val="Bullet"/>
      </w:pPr>
      <w:r>
        <w:t>Women’s Health Strategy.</w:t>
      </w:r>
    </w:p>
    <w:p w14:paraId="15D00C08" w14:textId="77777777" w:rsidR="008F0115" w:rsidRDefault="008F0115" w:rsidP="008F0115">
      <w:pPr>
        <w:pStyle w:val="Heading3"/>
      </w:pPr>
      <w:r w:rsidRPr="008F0115">
        <w:t>Our priorities as steward</w:t>
      </w:r>
    </w:p>
    <w:p w14:paraId="2018DB60" w14:textId="5B470642" w:rsidR="008F0115" w:rsidRDefault="008F0115" w:rsidP="008F0115">
      <w:r>
        <w:t>As steward of the reformed health system, the Ministry has needed to work in a new way, building trust and influence. We need to strike a balance among our different activities of setting expectations, overseeing progress, and listening and responding when changes are needed. Maintaining this balance requires proactive and influential relationships across the health sector and beyond.</w:t>
      </w:r>
    </w:p>
    <w:p w14:paraId="4EC7ECCA" w14:textId="77777777" w:rsidR="008F0115" w:rsidRDefault="008F0115" w:rsidP="008F0115"/>
    <w:p w14:paraId="74A4C7BD" w14:textId="66D3E0EA" w:rsidR="008F0115" w:rsidRDefault="008F0115" w:rsidP="008F0115">
      <w:r>
        <w:t>The Ministry developed a new set of six priorities as the focus of our efforts changed towards the Ministry’s stewardship role and becoming a priority-led organisation. (For more information, see the Case study: Our stewardship role.)</w:t>
      </w:r>
    </w:p>
    <w:p w14:paraId="708FA401" w14:textId="77777777" w:rsidR="008F0115" w:rsidRDefault="008F0115" w:rsidP="008F0115">
      <w:pPr>
        <w:pStyle w:val="Heading4"/>
      </w:pPr>
      <w:r>
        <w:t>Our six priorities as steward</w:t>
      </w:r>
    </w:p>
    <w:p w14:paraId="5193AE6D" w14:textId="23DE2747" w:rsidR="008F0115" w:rsidRDefault="008F0115" w:rsidP="002E5BF6">
      <w:pPr>
        <w:pStyle w:val="Number"/>
      </w:pPr>
      <w:r>
        <w:t>Provide system-level leadership.</w:t>
      </w:r>
    </w:p>
    <w:p w14:paraId="29977360" w14:textId="301F163D" w:rsidR="008F0115" w:rsidRDefault="008F0115" w:rsidP="002E5BF6">
      <w:pPr>
        <w:pStyle w:val="Number"/>
      </w:pPr>
      <w:r>
        <w:t>Drive system strategy and performance.</w:t>
      </w:r>
    </w:p>
    <w:p w14:paraId="3231F34E" w14:textId="1305071D" w:rsidR="008F0115" w:rsidRDefault="008F0115" w:rsidP="002E5BF6">
      <w:pPr>
        <w:pStyle w:val="Number"/>
      </w:pPr>
      <w:r>
        <w:t>Be the Government’s primary advisor on health.</w:t>
      </w:r>
    </w:p>
    <w:p w14:paraId="414FD17A" w14:textId="2EB5BCAF" w:rsidR="008F0115" w:rsidRDefault="008F0115" w:rsidP="002E5BF6">
      <w:pPr>
        <w:pStyle w:val="Number"/>
      </w:pPr>
      <w:r>
        <w:t>Future-proof our health system.</w:t>
      </w:r>
    </w:p>
    <w:p w14:paraId="2E23FC81" w14:textId="723C4E42" w:rsidR="008F0115" w:rsidRDefault="008F0115" w:rsidP="002E5BF6">
      <w:pPr>
        <w:pStyle w:val="Number"/>
      </w:pPr>
      <w:r>
        <w:t>Be the regulator of the health system.</w:t>
      </w:r>
    </w:p>
    <w:p w14:paraId="359AA9C5" w14:textId="6FD3B0D3" w:rsidR="008F0115" w:rsidRDefault="008F0115" w:rsidP="002E5BF6">
      <w:pPr>
        <w:pStyle w:val="Number"/>
      </w:pPr>
      <w:r>
        <w:t>Transform ourselves.</w:t>
      </w:r>
    </w:p>
    <w:p w14:paraId="7E640BAB" w14:textId="77777777" w:rsidR="008F0115" w:rsidRDefault="008F0115" w:rsidP="008F0115"/>
    <w:p w14:paraId="7E3D0AF9" w14:textId="13443A32" w:rsidR="008F0115" w:rsidRDefault="008F0115" w:rsidP="008F0115">
      <w:r>
        <w:t>We deliver on these priorities through a priority-based business planning cycle from 1 July 2024.</w:t>
      </w:r>
    </w:p>
    <w:p w14:paraId="16C1C48F" w14:textId="68EFFB24" w:rsidR="008F0115" w:rsidRDefault="008F0115" w:rsidP="008F0115">
      <w:pPr>
        <w:pStyle w:val="Heading3"/>
      </w:pPr>
      <w:r w:rsidRPr="008F0115">
        <w:lastRenderedPageBreak/>
        <w:t xml:space="preserve">Our transformation </w:t>
      </w:r>
      <w:proofErr w:type="gramStart"/>
      <w:r w:rsidRPr="008F0115">
        <w:t>shifts</w:t>
      </w:r>
      <w:proofErr w:type="gramEnd"/>
    </w:p>
    <w:p w14:paraId="7BEF2CA3" w14:textId="35D04B0D" w:rsidR="000B1D0C" w:rsidRDefault="008F0115" w:rsidP="000B1D0C">
      <w:r>
        <w:t>In mid-2023, we established a transformation programme to change the Ministry into its desired future state. This programme aimed to create an environment that encourages greater collaboration across the Ministry and to ensure we can effectively deliver on our priorities. Seven transformation shifts together describe this environment and the way we will work.</w:t>
      </w:r>
    </w:p>
    <w:p w14:paraId="12DBF7B5" w14:textId="77777777" w:rsidR="00C9300E" w:rsidRPr="000B1D0C" w:rsidRDefault="00C9300E" w:rsidP="000B1D0C"/>
    <w:p w14:paraId="2CBF9EAA" w14:textId="1BBAA742" w:rsidR="000B1D0C" w:rsidRDefault="000B1D0C" w:rsidP="00C9300E">
      <w:r>
        <w:rPr>
          <w:b/>
          <w:bCs/>
        </w:rPr>
        <w:t xml:space="preserve">A confident steward. </w:t>
      </w:r>
      <w:r>
        <w:t>Our stewardship role is clearly articulated and understood, with well-defined responsibilities and coordinated cross-system engagement.</w:t>
      </w:r>
    </w:p>
    <w:p w14:paraId="62AF53E9" w14:textId="77777777" w:rsidR="00C9300E" w:rsidRDefault="00C9300E" w:rsidP="00C9300E"/>
    <w:p w14:paraId="2113FB71" w14:textId="6C21BE79" w:rsidR="000B1D0C" w:rsidRDefault="000B1D0C" w:rsidP="00C9300E">
      <w:r>
        <w:rPr>
          <w:b/>
          <w:bCs/>
        </w:rPr>
        <w:t xml:space="preserve">Work aligned to strategy. </w:t>
      </w:r>
      <w:r>
        <w:t>A defined strategic direction directly connects to how we plan and resource work, resulting in clearly aligned work for our people.</w:t>
      </w:r>
    </w:p>
    <w:p w14:paraId="65952742" w14:textId="77777777" w:rsidR="00C9300E" w:rsidRDefault="00C9300E" w:rsidP="00C9300E"/>
    <w:p w14:paraId="5C067626" w14:textId="26100032" w:rsidR="000B1D0C" w:rsidRDefault="000B1D0C" w:rsidP="00C9300E">
      <w:r>
        <w:rPr>
          <w:b/>
          <w:bCs/>
        </w:rPr>
        <w:t xml:space="preserve">Shared understanding. </w:t>
      </w:r>
      <w:r>
        <w:t>We have a common and shared understanding of how the Ministry cohesively operates to fulfil its roles, with supporting processes.</w:t>
      </w:r>
    </w:p>
    <w:p w14:paraId="4EE4433F" w14:textId="77777777" w:rsidR="00C9300E" w:rsidRDefault="00C9300E" w:rsidP="00C9300E"/>
    <w:p w14:paraId="4446F2FF" w14:textId="25F4B3DC" w:rsidR="000B1D0C" w:rsidRDefault="000B1D0C" w:rsidP="00C9300E">
      <w:pPr>
        <w:ind w:right="-143"/>
      </w:pPr>
      <w:r>
        <w:rPr>
          <w:b/>
          <w:bCs/>
        </w:rPr>
        <w:t xml:space="preserve">Empowered </w:t>
      </w:r>
      <w:r w:rsidR="00200C8F" w:rsidRPr="00200C8F">
        <w:rPr>
          <w:b/>
          <w:bCs/>
        </w:rPr>
        <w:t xml:space="preserve"> and trusted leadership.</w:t>
      </w:r>
      <w:r>
        <w:rPr>
          <w:b/>
          <w:bCs/>
        </w:rPr>
        <w:t xml:space="preserve"> </w:t>
      </w:r>
      <w:r>
        <w:t>A high-trust culture focuses less on hierarchy and empowers leaders at all levels to take ownership of their work.</w:t>
      </w:r>
    </w:p>
    <w:p w14:paraId="37A4CEF2" w14:textId="77777777" w:rsidR="00C9300E" w:rsidRDefault="00C9300E" w:rsidP="00C9300E">
      <w:pPr>
        <w:ind w:right="-143"/>
      </w:pPr>
    </w:p>
    <w:p w14:paraId="1DA8D221" w14:textId="48A3F374" w:rsidR="000B1D0C" w:rsidRDefault="000B1D0C" w:rsidP="00C9300E">
      <w:r>
        <w:rPr>
          <w:b/>
          <w:bCs/>
        </w:rPr>
        <w:t xml:space="preserve">A connected Ministry. </w:t>
      </w:r>
      <w:r>
        <w:t>The Ministry’s systems, tools and ways of working make it easy to work across functions as ‘one organisation’.</w:t>
      </w:r>
    </w:p>
    <w:p w14:paraId="54BF854D" w14:textId="77777777" w:rsidR="00C9300E" w:rsidRDefault="00C9300E" w:rsidP="00C9300E"/>
    <w:p w14:paraId="2C87D847" w14:textId="5269C4D8" w:rsidR="000B1D0C" w:rsidRDefault="000B1D0C" w:rsidP="00C9300E">
      <w:r>
        <w:rPr>
          <w:b/>
          <w:bCs/>
        </w:rPr>
        <w:t xml:space="preserve">A capable Ministry. </w:t>
      </w:r>
      <w:r>
        <w:t>The right capability, at the right time and in the right place enables us to deliver effectively on our role in the health system.</w:t>
      </w:r>
    </w:p>
    <w:p w14:paraId="3EB1858F" w14:textId="77777777" w:rsidR="00C9300E" w:rsidRDefault="00C9300E" w:rsidP="00C9300E"/>
    <w:p w14:paraId="58B81562" w14:textId="0851F2D1" w:rsidR="000B1D0C" w:rsidRDefault="000B1D0C" w:rsidP="00C9300E">
      <w:r>
        <w:rPr>
          <w:b/>
          <w:bCs/>
        </w:rPr>
        <w:t xml:space="preserve">An efficient Ministry. </w:t>
      </w:r>
      <w:r>
        <w:t>Efficient and fit-for-purpose processes and tools reduce duplication, remove barriers and make the best use of the limited resources we have.</w:t>
      </w:r>
    </w:p>
    <w:p w14:paraId="64B7C8B6" w14:textId="77777777" w:rsidR="008F0115" w:rsidRDefault="00762CBA" w:rsidP="00762CBA">
      <w:pPr>
        <w:pStyle w:val="Heading3"/>
      </w:pPr>
      <w:r w:rsidRPr="00762CBA">
        <w:t>Our commitment to Te Tiriti o Waitangi</w:t>
      </w:r>
    </w:p>
    <w:p w14:paraId="50DCEBA3" w14:textId="77777777" w:rsidR="00762CBA" w:rsidRDefault="00762CBA" w:rsidP="00762CBA">
      <w:r w:rsidRPr="00762CBA">
        <w:t>As steward and kaitiaki of the health system, it is our responsibility to uphold and contribute to the Crown meeting its obligations under Te Tiriti as a department of the public service (as provided by section 14 of the Public Service Act 2020). In order to provide for the Crown’s intention to give effect to the principles of Te Tiriti, the Ministry is required to be guided by the health sector principles as outlined in the Pae Ora (Healthy Futures) Act 2022, which among other things, are aimed at improving the health sector for Māori and improving hauora Māori outcomes (section 6).</w:t>
      </w:r>
    </w:p>
    <w:p w14:paraId="47C2B1A9" w14:textId="77777777" w:rsidR="00762CBA" w:rsidRDefault="00762CBA" w:rsidP="00762CBA">
      <w:pPr>
        <w:pStyle w:val="Heading3"/>
      </w:pPr>
      <w:r>
        <w:t>Māori–Crown relations</w:t>
      </w:r>
    </w:p>
    <w:p w14:paraId="1DC5B574" w14:textId="2CA26D39" w:rsidR="00762CBA" w:rsidRDefault="00762CBA" w:rsidP="00762CBA">
      <w:r>
        <w:t>As principal advisor and agent on Māori health, the Ministry is responsible for leading the effective negotiation and implementation of Māori–Crown relationship agreements within the health sector. Iwi and Māori groups can work with public sector agencies (including health organisations) to develop tailored relationships that address both individual and shared aspirations. Often commitments are made between the Crown and iwi as part of Tiriti settlements and the resulting accords or other instruments set out the basis of the Ministry’s role in partnering with each iwi.</w:t>
      </w:r>
    </w:p>
    <w:p w14:paraId="6E44E112" w14:textId="77777777" w:rsidR="00762CBA" w:rsidRDefault="00762CBA" w:rsidP="00762CBA"/>
    <w:p w14:paraId="44CED844" w14:textId="637B66AC" w:rsidR="00762CBA" w:rsidRDefault="00762CBA" w:rsidP="00762CBA">
      <w:r>
        <w:lastRenderedPageBreak/>
        <w:t>Relationship agreements can be developed at any stage of the Tiriti settlement process, ideally as part of the negotiations. Developing a relationship agreement helps to identify opportunities and options for addressing the larger Tiriti claim.</w:t>
      </w:r>
    </w:p>
    <w:p w14:paraId="101ECD7F" w14:textId="77777777" w:rsidR="00762CBA" w:rsidRDefault="00762CBA" w:rsidP="00762CBA"/>
    <w:p w14:paraId="05F7C590" w14:textId="77777777" w:rsidR="00762CBA" w:rsidRDefault="00762CBA" w:rsidP="00762CBA">
      <w:r>
        <w:t>Through our policy and strategy role, we provide coherent system-level leadership for Māori health. This includes engaging with Māori to set the strategic direction for developing and reviewing Māori health legislation, develop strategy and policy advice, monitor system performance for Māori and create Māori health insights. Our monitoring role includes evaluation, measurement and research to understand the performance of the system and identify critical areas across the system that are improving, lagging or exceeding expectations.</w:t>
      </w:r>
    </w:p>
    <w:p w14:paraId="22C1FEF7" w14:textId="77777777" w:rsidR="00762CBA" w:rsidRDefault="00762CBA" w:rsidP="00762CBA"/>
    <w:p w14:paraId="634CBE9A" w14:textId="77777777" w:rsidR="00762CBA" w:rsidRDefault="00762CBA" w:rsidP="00762CBA"/>
    <w:p w14:paraId="333CDA85" w14:textId="77777777" w:rsidR="00762CBA" w:rsidRDefault="00762CBA" w:rsidP="00762CBA">
      <w:pPr>
        <w:sectPr w:rsidR="00762CBA" w:rsidSect="008F0115">
          <w:pgSz w:w="11907" w:h="16840" w:code="9"/>
          <w:pgMar w:top="1418" w:right="1701" w:bottom="1134" w:left="1843" w:header="284" w:footer="425" w:gutter="284"/>
          <w:cols w:space="720"/>
        </w:sectPr>
      </w:pPr>
    </w:p>
    <w:p w14:paraId="67EB1F7A" w14:textId="5AE43585" w:rsidR="00762CBA" w:rsidRDefault="00762CBA" w:rsidP="00762CBA">
      <w:pPr>
        <w:pStyle w:val="Figure"/>
      </w:pPr>
      <w:r>
        <w:lastRenderedPageBreak/>
        <w:t xml:space="preserve">Figure </w:t>
      </w:r>
      <w:r>
        <w:fldChar w:fldCharType="begin"/>
      </w:r>
      <w:r>
        <w:instrText xml:space="preserve"> SEQ Figure \* ARABIC </w:instrText>
      </w:r>
      <w:r>
        <w:fldChar w:fldCharType="separate"/>
      </w:r>
      <w:r w:rsidR="00AA10BF">
        <w:rPr>
          <w:noProof/>
        </w:rPr>
        <w:t>4</w:t>
      </w:r>
      <w:r>
        <w:rPr>
          <w:noProof/>
        </w:rPr>
        <w:fldChar w:fldCharType="end"/>
      </w:r>
      <w:r>
        <w:t xml:space="preserve">: </w:t>
      </w:r>
      <w:r w:rsidRPr="00762CBA">
        <w:t xml:space="preserve">Overview of the wider strategic context of the </w:t>
      </w:r>
      <w:proofErr w:type="gramStart"/>
      <w:r w:rsidRPr="00762CBA">
        <w:t>Ministry</w:t>
      </w:r>
      <w:proofErr w:type="gramEnd"/>
    </w:p>
    <w:p w14:paraId="184C040C" w14:textId="77777777" w:rsidR="00762CBA" w:rsidRDefault="00762CBA" w:rsidP="00762CBA">
      <w:r w:rsidRPr="00762CBA">
        <w:rPr>
          <w:noProof/>
        </w:rPr>
        <w:drawing>
          <wp:inline distT="0" distB="0" distL="0" distR="0" wp14:anchorId="470A593D" wp14:editId="76F1F446">
            <wp:extent cx="5257800" cy="7962518"/>
            <wp:effectExtent l="0" t="0" r="0" b="635"/>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5262611" cy="7969803"/>
                    </a:xfrm>
                    <a:prstGeom prst="rect">
                      <a:avLst/>
                    </a:prstGeom>
                  </pic:spPr>
                </pic:pic>
              </a:graphicData>
            </a:graphic>
          </wp:inline>
        </w:drawing>
      </w:r>
    </w:p>
    <w:p w14:paraId="44CBABF7" w14:textId="77777777" w:rsidR="00762CBA" w:rsidRDefault="00762CBA" w:rsidP="00762CBA"/>
    <w:p w14:paraId="5ACE6C58" w14:textId="77777777" w:rsidR="00762CBA" w:rsidRDefault="00762CBA" w:rsidP="00762CBA">
      <w:pPr>
        <w:sectPr w:rsidR="00762CBA" w:rsidSect="008F0115">
          <w:pgSz w:w="11907" w:h="16840" w:code="9"/>
          <w:pgMar w:top="1418" w:right="1701" w:bottom="1134" w:left="1843" w:header="284" w:footer="425" w:gutter="284"/>
          <w:cols w:space="720"/>
        </w:sectPr>
      </w:pPr>
    </w:p>
    <w:p w14:paraId="37CFA581" w14:textId="77777777" w:rsidR="00762CBA" w:rsidRDefault="00762CBA" w:rsidP="00762CBA">
      <w:pPr>
        <w:pStyle w:val="Heading2"/>
        <w:spacing w:before="0"/>
      </w:pPr>
      <w:bookmarkStart w:id="15" w:name="_Toc180077014"/>
      <w:r w:rsidRPr="00762CBA">
        <w:lastRenderedPageBreak/>
        <w:t>Our operating context</w:t>
      </w:r>
      <w:bookmarkEnd w:id="15"/>
    </w:p>
    <w:p w14:paraId="2427BE9F" w14:textId="77777777" w:rsidR="00762CBA" w:rsidRDefault="00762CBA" w:rsidP="00762CBA">
      <w:pPr>
        <w:pStyle w:val="Heading3"/>
      </w:pPr>
      <w:r>
        <w:t>Key challenges</w:t>
      </w:r>
      <w:r>
        <w:tab/>
      </w:r>
    </w:p>
    <w:p w14:paraId="5B282DA2" w14:textId="0B67BCBE" w:rsidR="00762CBA" w:rsidRDefault="00762CBA" w:rsidP="00762CBA">
      <w:r>
        <w:t>Our health system, like others around the world, is under pressure. We have a growing and ageing population with more complex needs and long-term conditions. There are global workforce shortages, rapid technological advances and rising costs. Moreover, while the health sector delivers good outcomes for many people, these outcomes differ significantly between groups in our population. Considerable improvements are needed to achieve equity of access to health services</w:t>
      </w:r>
      <w:r w:rsidR="005F5CA5">
        <w:t xml:space="preserve"> </w:t>
      </w:r>
      <w:r>
        <w:t>and equity of health outcomes, particularly for those with the highest health need.</w:t>
      </w:r>
    </w:p>
    <w:p w14:paraId="25C072F5" w14:textId="77777777" w:rsidR="005F5CA5" w:rsidRDefault="005F5CA5" w:rsidP="00762CBA"/>
    <w:p w14:paraId="2F6B8289" w14:textId="6306E1BD" w:rsidR="00762CBA" w:rsidRDefault="00762CBA" w:rsidP="00762CBA">
      <w:r>
        <w:t>Broader determinants of health such as education, employment, housing and the environment have a significant impact on the scale and complexity of these challenges.</w:t>
      </w:r>
    </w:p>
    <w:p w14:paraId="1A0F0D78" w14:textId="77777777" w:rsidR="005F5CA5" w:rsidRDefault="005F5CA5" w:rsidP="00762CBA"/>
    <w:p w14:paraId="7E9294F1" w14:textId="227A2C6E" w:rsidR="00762CBA" w:rsidRDefault="00762CBA" w:rsidP="00762CBA">
      <w:r>
        <w:t>Over the past five years, the Ministry itself has operated in a challenging context that has included the health system reform and the COVID-19 pandemic. In response, it was necessary</w:t>
      </w:r>
      <w:r w:rsidR="005F5CA5">
        <w:t xml:space="preserve"> </w:t>
      </w:r>
      <w:r>
        <w:t>for the Ministry to change its capabilities, ways of working and resourcing profile.</w:t>
      </w:r>
    </w:p>
    <w:p w14:paraId="44074151" w14:textId="77777777" w:rsidR="005F5CA5" w:rsidRDefault="005F5CA5" w:rsidP="00762CBA"/>
    <w:p w14:paraId="5868DBFC" w14:textId="65619398" w:rsidR="00762CBA" w:rsidRDefault="00762CBA" w:rsidP="00762CBA">
      <w:r>
        <w:t>The Ministry works closely with Health New Zealand and other health sector entities on the transition to a more integrated health system that delivers timely access to quality healthcare for patients, families and communities within the overall health budget. It has been a demanding two years since the start of the health system reform. The sector has faced challenges in the delivery of services across hospital and specialist services, and primary and community care, as well as with workforce, infrastructure and technology.</w:t>
      </w:r>
    </w:p>
    <w:p w14:paraId="6B681FE2" w14:textId="77777777" w:rsidR="005F5CA5" w:rsidRDefault="005F5CA5" w:rsidP="00762CBA"/>
    <w:p w14:paraId="37B03092" w14:textId="421E7CE2" w:rsidR="00762CBA" w:rsidRDefault="00762CBA" w:rsidP="00762CBA">
      <w:r>
        <w:t>While it did not happen within the 2023/24 financial year it is relevant to note that in July 2024, in response to the</w:t>
      </w:r>
      <w:r w:rsidR="005F5CA5">
        <w:t xml:space="preserve"> </w:t>
      </w:r>
      <w:r>
        <w:t xml:space="preserve">significant financial challenges facing the health system, the Minister of Health replaced the Health New Zealand Board with a Commissioner for a 12-month term. The Commissioner has been tasked with implementing a turnaround plan, with a savings plan to ensure financial balance, new </w:t>
      </w:r>
      <w:proofErr w:type="gramStart"/>
      <w:r>
        <w:t>operating</w:t>
      </w:r>
      <w:proofErr w:type="gramEnd"/>
    </w:p>
    <w:p w14:paraId="7D442089" w14:textId="26A9BC60" w:rsidR="00762CBA" w:rsidRDefault="00762CBA" w:rsidP="00762CBA">
      <w:r>
        <w:t>model and entity performance framework. We continue in the Ministry’s formal monitoring role to ensure that the governance arrangements are performing as expected.</w:t>
      </w:r>
    </w:p>
    <w:p w14:paraId="58AC7349" w14:textId="77777777" w:rsidR="005F5CA5" w:rsidRDefault="005F5CA5" w:rsidP="00762CBA"/>
    <w:p w14:paraId="22E3D171" w14:textId="0C6EBCF6" w:rsidR="00762CBA" w:rsidRDefault="00762CBA" w:rsidP="00762CBA">
      <w:r>
        <w:t>We are determined to improve the healthcare system and make it a more rewarding place to work. We are redoubling our efforts alongside Health New Zealand to lift the overall performance of the health system. We have recently reorganised the Ministry to better enable us to work collectively on this task. As we lead the health system into the future, we will be more efficient and effective at supporting Ministers</w:t>
      </w:r>
      <w:r w:rsidR="005F5CA5">
        <w:t xml:space="preserve"> </w:t>
      </w:r>
      <w:r>
        <w:t>to set strategic direction and policy, to shape the regulatory environment and to monitor how the system is working.</w:t>
      </w:r>
    </w:p>
    <w:p w14:paraId="6A3F679F" w14:textId="77777777" w:rsidR="005F5CA5" w:rsidRDefault="005F5CA5" w:rsidP="005F5CA5">
      <w:pPr>
        <w:pStyle w:val="Heading3"/>
      </w:pPr>
      <w:r>
        <w:lastRenderedPageBreak/>
        <w:t xml:space="preserve">A change of Government has brought a change of </w:t>
      </w:r>
      <w:proofErr w:type="gramStart"/>
      <w:r>
        <w:t>priorities</w:t>
      </w:r>
      <w:proofErr w:type="gramEnd"/>
    </w:p>
    <w:p w14:paraId="02194285" w14:textId="287FB032" w:rsidR="005F5CA5" w:rsidRDefault="005F5CA5" w:rsidP="005F5CA5">
      <w:r>
        <w:t>In November 2023, the new Government was formed and released its priorities and policy agenda for the term. With the change of Government, it has been important to understand the Government’s priorities and to set the Ministry’s own priorities within that context. While the Ministry’s long-term goals remain stable, the change of Government influenced our priorities and what we delivered in 2023/24.</w:t>
      </w:r>
    </w:p>
    <w:p w14:paraId="459747EE" w14:textId="77777777" w:rsidR="005F5CA5" w:rsidRDefault="005F5CA5" w:rsidP="005F5CA5"/>
    <w:p w14:paraId="1E1997D3" w14:textId="77777777" w:rsidR="005F5CA5" w:rsidRDefault="005F5CA5" w:rsidP="005F5CA5">
      <w:r>
        <w:t>The Government’s priorities include reducing government spending and regulation and delivering better health outcomes. The plan for its first 100 days included work to repeal or amend some health legislation introduced by the previous Government. As a result:</w:t>
      </w:r>
    </w:p>
    <w:p w14:paraId="56E23346" w14:textId="793D68C4" w:rsidR="005F5CA5" w:rsidRDefault="005F5CA5" w:rsidP="005F5CA5">
      <w:pPr>
        <w:pStyle w:val="Bullet"/>
      </w:pPr>
      <w:r>
        <w:t>legislation was introduced to disestablish Te Aka Whai Ora – Māori Health Authority (Te Aka Whai Ora)</w:t>
      </w:r>
    </w:p>
    <w:p w14:paraId="3ED5E90F" w14:textId="60CDA738" w:rsidR="005F5CA5" w:rsidRDefault="005F5CA5" w:rsidP="005F5CA5">
      <w:pPr>
        <w:pStyle w:val="Bullet"/>
      </w:pPr>
      <w:r>
        <w:t>work began to repeal the Therapeutic Products Act 2023</w:t>
      </w:r>
    </w:p>
    <w:p w14:paraId="2F5ABC1E" w14:textId="09D08A15" w:rsidR="005F5CA5" w:rsidRDefault="005F5CA5" w:rsidP="005F5CA5">
      <w:pPr>
        <w:pStyle w:val="Bullet"/>
      </w:pPr>
      <w:r>
        <w:t>amendments to repeal the Smokefree Environments and Regulated Products Act 1990 and regulations were introduced.</w:t>
      </w:r>
    </w:p>
    <w:p w14:paraId="6C8CD69F" w14:textId="77777777" w:rsidR="005F5CA5" w:rsidRDefault="005F5CA5" w:rsidP="005F5CA5"/>
    <w:p w14:paraId="46EF924E" w14:textId="72128B98" w:rsidR="005F5CA5" w:rsidRDefault="005F5CA5" w:rsidP="005F5CA5">
      <w:r>
        <w:t>Another significant objective was to set five health targets and five mental health and addiction targets, including for wait times and cancer treatment. Two of the health targets have been included in the Government Targets launched in April 2024.</w:t>
      </w:r>
    </w:p>
    <w:p w14:paraId="4C822D8B" w14:textId="77777777" w:rsidR="005F5CA5" w:rsidRDefault="005F5CA5" w:rsidP="005F5CA5"/>
    <w:p w14:paraId="6FCC9825" w14:textId="140C1740" w:rsidR="005F5CA5" w:rsidRDefault="005F5CA5" w:rsidP="005F5CA5">
      <w:r>
        <w:t>The Government’s Action Plan for New Zealand (1 April – 30 June 2024)</w:t>
      </w:r>
      <w:r>
        <w:rPr>
          <w:rStyle w:val="FootnoteReference"/>
        </w:rPr>
        <w:footnoteReference w:id="1"/>
      </w:r>
      <w:r>
        <w:t xml:space="preserve"> included further health actions.</w:t>
      </w:r>
    </w:p>
    <w:p w14:paraId="16F5AD2B" w14:textId="39611FD8" w:rsidR="005F5CA5" w:rsidRDefault="005F5CA5" w:rsidP="005F5CA5">
      <w:pPr>
        <w:pStyle w:val="Bullet"/>
      </w:pPr>
      <w:r>
        <w:t xml:space="preserve">Issue a new Government Policy Statement on Health, setting the Government’s priorities for the health system for the next three years. (This was published in July 2024. See </w:t>
      </w:r>
      <w:r w:rsidRPr="00381C8B">
        <w:rPr>
          <w:i/>
          <w:iCs/>
        </w:rPr>
        <w:t>Priority 2: Drive system strategy and performance</w:t>
      </w:r>
      <w:r>
        <w:t xml:space="preserve"> for details.)</w:t>
      </w:r>
    </w:p>
    <w:p w14:paraId="6A01097C" w14:textId="0F3A4292" w:rsidR="005F5CA5" w:rsidRDefault="005F5CA5" w:rsidP="005F5CA5">
      <w:pPr>
        <w:pStyle w:val="Bullet"/>
      </w:pPr>
      <w:r>
        <w:t>Take decisions to streamline the New Zealand Medicines and Medical Devices Safety Authority (Medsafe) approval process. In June 2024, Cabinet endorsed a programme of work to streamline the medicines approval process. This programme includes process changes that will provide regulatory efficiencies, proposals to give effect to the Government’s Coalition Agreements, and steps to support Medsafe’s ongoing participation in international initiatives.</w:t>
      </w:r>
    </w:p>
    <w:p w14:paraId="0F53D5E1" w14:textId="5EA05EDA" w:rsidR="005F5CA5" w:rsidRDefault="005F5CA5" w:rsidP="0082664F">
      <w:pPr>
        <w:pStyle w:val="Bullet"/>
      </w:pPr>
      <w:r>
        <w:t>Take decisions to tighten controls on youth vaping. In June 2024, Cabinet agreed to amend the Smokefree Environments and Regulated Products Act 1990 to give effect to specific decisions to address youth vaping and invited the Associate Minister to issue drafting instructions for an amendment bill.</w:t>
      </w:r>
    </w:p>
    <w:p w14:paraId="60F775E2" w14:textId="77777777" w:rsidR="005F5CA5" w:rsidRDefault="005F5CA5" w:rsidP="00762CBA"/>
    <w:p w14:paraId="0DBC50A7" w14:textId="77777777" w:rsidR="005F5CA5" w:rsidRDefault="005F5CA5" w:rsidP="00762CBA"/>
    <w:p w14:paraId="5A80DA31" w14:textId="77777777" w:rsidR="005F5CA5" w:rsidRDefault="005F5CA5" w:rsidP="00762CBA">
      <w:pPr>
        <w:sectPr w:rsidR="005F5CA5" w:rsidSect="008F0115">
          <w:pgSz w:w="11907" w:h="16840" w:code="9"/>
          <w:pgMar w:top="1418" w:right="1701" w:bottom="1134" w:left="1843" w:header="284" w:footer="425" w:gutter="284"/>
          <w:cols w:space="720"/>
        </w:sectPr>
      </w:pPr>
    </w:p>
    <w:p w14:paraId="670EB9DE" w14:textId="77777777" w:rsidR="005F5CA5" w:rsidRDefault="005F5CA5" w:rsidP="00762CBA">
      <w:r w:rsidRPr="005F5CA5">
        <w:lastRenderedPageBreak/>
        <w:t>The Minister of Health’s overarching focus for 2024–2027 is to ensure timely access to quality healthcare for all with a focus on addressing non-communicable diseases.</w:t>
      </w:r>
    </w:p>
    <w:p w14:paraId="71DA6241" w14:textId="1092F958" w:rsidR="005F5CA5" w:rsidRDefault="005F5CA5" w:rsidP="005F5CA5">
      <w:pPr>
        <w:pStyle w:val="Heading4"/>
      </w:pPr>
      <w:r w:rsidRPr="005F5CA5">
        <w:t>Timely access to quality healthcare for all</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613"/>
        <w:gridCol w:w="1614"/>
        <w:gridCol w:w="1614"/>
        <w:gridCol w:w="1614"/>
        <w:gridCol w:w="1614"/>
      </w:tblGrid>
      <w:tr w:rsidR="005F5CA5" w:rsidRPr="005F5CA5" w14:paraId="14708AAD" w14:textId="77777777" w:rsidTr="005F5CA5">
        <w:tc>
          <w:tcPr>
            <w:tcW w:w="1613" w:type="dxa"/>
            <w:shd w:val="clear" w:color="auto" w:fill="D9D9D9" w:themeFill="background1" w:themeFillShade="D9"/>
          </w:tcPr>
          <w:p w14:paraId="3A0CD617" w14:textId="5C31AC80" w:rsidR="005F5CA5" w:rsidRPr="005F5CA5" w:rsidRDefault="005F5CA5" w:rsidP="005F5CA5">
            <w:pPr>
              <w:pStyle w:val="TableText"/>
              <w:rPr>
                <w:b/>
                <w:bCs/>
              </w:rPr>
            </w:pPr>
            <w:r w:rsidRPr="005F5CA5">
              <w:rPr>
                <w:b/>
                <w:bCs/>
              </w:rPr>
              <w:t>Access</w:t>
            </w:r>
          </w:p>
        </w:tc>
        <w:tc>
          <w:tcPr>
            <w:tcW w:w="1614" w:type="dxa"/>
            <w:shd w:val="clear" w:color="auto" w:fill="D9D9D9" w:themeFill="background1" w:themeFillShade="D9"/>
          </w:tcPr>
          <w:p w14:paraId="197E09D3" w14:textId="78B3A3CE" w:rsidR="005F5CA5" w:rsidRPr="005F5CA5" w:rsidRDefault="005F5CA5" w:rsidP="005F5CA5">
            <w:pPr>
              <w:pStyle w:val="TableText"/>
              <w:rPr>
                <w:b/>
                <w:bCs/>
              </w:rPr>
            </w:pPr>
            <w:r w:rsidRPr="005F5CA5">
              <w:rPr>
                <w:b/>
                <w:bCs/>
              </w:rPr>
              <w:t>Timeliness</w:t>
            </w:r>
          </w:p>
        </w:tc>
        <w:tc>
          <w:tcPr>
            <w:tcW w:w="1614" w:type="dxa"/>
            <w:shd w:val="clear" w:color="auto" w:fill="D9D9D9" w:themeFill="background1" w:themeFillShade="D9"/>
          </w:tcPr>
          <w:p w14:paraId="134B927C" w14:textId="1EA018F6" w:rsidR="005F5CA5" w:rsidRPr="005F5CA5" w:rsidRDefault="005F5CA5" w:rsidP="005F5CA5">
            <w:pPr>
              <w:pStyle w:val="TableText"/>
              <w:rPr>
                <w:b/>
                <w:bCs/>
              </w:rPr>
            </w:pPr>
            <w:r w:rsidRPr="005F5CA5">
              <w:rPr>
                <w:b/>
                <w:bCs/>
              </w:rPr>
              <w:t>Quality</w:t>
            </w:r>
          </w:p>
        </w:tc>
        <w:tc>
          <w:tcPr>
            <w:tcW w:w="1614" w:type="dxa"/>
            <w:shd w:val="clear" w:color="auto" w:fill="D9D9D9" w:themeFill="background1" w:themeFillShade="D9"/>
          </w:tcPr>
          <w:p w14:paraId="553F66AD" w14:textId="7EEA6A68" w:rsidR="005F5CA5" w:rsidRPr="005F5CA5" w:rsidRDefault="005F5CA5" w:rsidP="005F5CA5">
            <w:pPr>
              <w:pStyle w:val="TableText"/>
              <w:rPr>
                <w:b/>
                <w:bCs/>
              </w:rPr>
            </w:pPr>
            <w:r w:rsidRPr="005F5CA5">
              <w:rPr>
                <w:b/>
                <w:bCs/>
              </w:rPr>
              <w:t>Workforce</w:t>
            </w:r>
          </w:p>
        </w:tc>
        <w:tc>
          <w:tcPr>
            <w:tcW w:w="1614" w:type="dxa"/>
            <w:shd w:val="clear" w:color="auto" w:fill="D9D9D9" w:themeFill="background1" w:themeFillShade="D9"/>
          </w:tcPr>
          <w:p w14:paraId="7C52ED8F" w14:textId="02011E35" w:rsidR="005F5CA5" w:rsidRPr="005F5CA5" w:rsidRDefault="005F5CA5" w:rsidP="005F5CA5">
            <w:pPr>
              <w:pStyle w:val="TableText"/>
              <w:rPr>
                <w:b/>
                <w:bCs/>
              </w:rPr>
            </w:pPr>
            <w:r w:rsidRPr="005F5CA5">
              <w:rPr>
                <w:b/>
                <w:bCs/>
              </w:rPr>
              <w:t>Infrastructure</w:t>
            </w:r>
          </w:p>
        </w:tc>
      </w:tr>
      <w:tr w:rsidR="005F5CA5" w14:paraId="0D7EB834" w14:textId="77777777" w:rsidTr="005F5CA5">
        <w:tc>
          <w:tcPr>
            <w:tcW w:w="1613" w:type="dxa"/>
          </w:tcPr>
          <w:p w14:paraId="3C84CEE9" w14:textId="56324B3A" w:rsidR="005F5CA5" w:rsidRDefault="005F5CA5" w:rsidP="005F5CA5">
            <w:pPr>
              <w:pStyle w:val="TableText"/>
            </w:pPr>
            <w:r>
              <w:rPr>
                <w:spacing w:val="-2"/>
              </w:rPr>
              <w:t xml:space="preserve">Ensuring </w:t>
            </w:r>
            <w:r>
              <w:t>every</w:t>
            </w:r>
            <w:r>
              <w:rPr>
                <w:spacing w:val="-13"/>
              </w:rPr>
              <w:t xml:space="preserve"> </w:t>
            </w:r>
            <w:r>
              <w:t>person, regardless</w:t>
            </w:r>
            <w:r>
              <w:rPr>
                <w:spacing w:val="36"/>
              </w:rPr>
              <w:t xml:space="preserve"> </w:t>
            </w:r>
            <w:r>
              <w:rPr>
                <w:spacing w:val="-5"/>
              </w:rPr>
              <w:t xml:space="preserve">of </w:t>
            </w:r>
            <w:r>
              <w:rPr>
                <w:w w:val="105"/>
              </w:rPr>
              <w:t xml:space="preserve">where they live </w:t>
            </w:r>
            <w:r>
              <w:rPr>
                <w:spacing w:val="-2"/>
                <w:w w:val="105"/>
              </w:rPr>
              <w:t>in</w:t>
            </w:r>
            <w:r>
              <w:rPr>
                <w:spacing w:val="-13"/>
                <w:w w:val="105"/>
              </w:rPr>
              <w:t xml:space="preserve"> </w:t>
            </w:r>
            <w:r>
              <w:rPr>
                <w:spacing w:val="-2"/>
                <w:w w:val="105"/>
              </w:rPr>
              <w:t>Aotearoa</w:t>
            </w:r>
            <w:r>
              <w:rPr>
                <w:spacing w:val="-13"/>
                <w:w w:val="105"/>
              </w:rPr>
              <w:t xml:space="preserve"> </w:t>
            </w:r>
            <w:r>
              <w:rPr>
                <w:spacing w:val="-2"/>
                <w:w w:val="105"/>
              </w:rPr>
              <w:t xml:space="preserve">New </w:t>
            </w:r>
            <w:r>
              <w:rPr>
                <w:w w:val="105"/>
              </w:rPr>
              <w:t>Zealand,</w:t>
            </w:r>
            <w:r>
              <w:rPr>
                <w:spacing w:val="-5"/>
                <w:w w:val="105"/>
              </w:rPr>
              <w:t xml:space="preserve"> </w:t>
            </w:r>
            <w:r>
              <w:rPr>
                <w:w w:val="105"/>
              </w:rPr>
              <w:t>has access to the healthcare</w:t>
            </w:r>
            <w:r>
              <w:rPr>
                <w:spacing w:val="-5"/>
                <w:w w:val="105"/>
              </w:rPr>
              <w:t xml:space="preserve"> </w:t>
            </w:r>
            <w:r>
              <w:rPr>
                <w:w w:val="105"/>
              </w:rPr>
              <w:t>and services</w:t>
            </w:r>
            <w:r>
              <w:rPr>
                <w:spacing w:val="-5"/>
                <w:w w:val="105"/>
              </w:rPr>
              <w:t xml:space="preserve"> </w:t>
            </w:r>
            <w:r>
              <w:rPr>
                <w:w w:val="105"/>
              </w:rPr>
              <w:t xml:space="preserve">they </w:t>
            </w:r>
            <w:r>
              <w:rPr>
                <w:spacing w:val="-4"/>
                <w:w w:val="105"/>
              </w:rPr>
              <w:t>need</w:t>
            </w:r>
          </w:p>
        </w:tc>
        <w:tc>
          <w:tcPr>
            <w:tcW w:w="1614" w:type="dxa"/>
          </w:tcPr>
          <w:p w14:paraId="4E02A619" w14:textId="542F8147" w:rsidR="005F5CA5" w:rsidRDefault="005F5CA5" w:rsidP="005F5CA5">
            <w:pPr>
              <w:pStyle w:val="TableText"/>
            </w:pPr>
            <w:r>
              <w:rPr>
                <w:w w:val="105"/>
              </w:rPr>
              <w:t>Ensuring</w:t>
            </w:r>
            <w:r>
              <w:rPr>
                <w:spacing w:val="-5"/>
                <w:w w:val="105"/>
              </w:rPr>
              <w:t xml:space="preserve"> </w:t>
            </w:r>
            <w:r>
              <w:rPr>
                <w:w w:val="105"/>
              </w:rPr>
              <w:t xml:space="preserve">New </w:t>
            </w:r>
            <w:r>
              <w:rPr>
                <w:spacing w:val="-2"/>
                <w:w w:val="105"/>
              </w:rPr>
              <w:t xml:space="preserve">Zealanders </w:t>
            </w:r>
            <w:r>
              <w:rPr>
                <w:w w:val="105"/>
              </w:rPr>
              <w:t>can access the healthcare</w:t>
            </w:r>
            <w:r>
              <w:rPr>
                <w:spacing w:val="-5"/>
                <w:w w:val="105"/>
              </w:rPr>
              <w:t xml:space="preserve"> </w:t>
            </w:r>
            <w:r>
              <w:rPr>
                <w:w w:val="105"/>
              </w:rPr>
              <w:t>and services</w:t>
            </w:r>
            <w:r>
              <w:rPr>
                <w:spacing w:val="-5"/>
                <w:w w:val="105"/>
              </w:rPr>
              <w:t xml:space="preserve"> </w:t>
            </w:r>
            <w:r>
              <w:rPr>
                <w:w w:val="105"/>
              </w:rPr>
              <w:t>they need in a timely and</w:t>
            </w:r>
            <w:r>
              <w:rPr>
                <w:spacing w:val="-15"/>
                <w:w w:val="105"/>
              </w:rPr>
              <w:t xml:space="preserve"> </w:t>
            </w:r>
            <w:r>
              <w:rPr>
                <w:w w:val="105"/>
              </w:rPr>
              <w:t>efficient</w:t>
            </w:r>
            <w:r>
              <w:rPr>
                <w:spacing w:val="-15"/>
                <w:w w:val="105"/>
              </w:rPr>
              <w:t xml:space="preserve"> </w:t>
            </w:r>
            <w:r>
              <w:rPr>
                <w:w w:val="105"/>
              </w:rPr>
              <w:t>way</w:t>
            </w:r>
          </w:p>
        </w:tc>
        <w:tc>
          <w:tcPr>
            <w:tcW w:w="1614" w:type="dxa"/>
          </w:tcPr>
          <w:p w14:paraId="56AAE4AC" w14:textId="65697181" w:rsidR="005F5CA5" w:rsidRDefault="005F5CA5" w:rsidP="005F5CA5">
            <w:pPr>
              <w:pStyle w:val="TableText"/>
            </w:pPr>
            <w:r>
              <w:rPr>
                <w:w w:val="105"/>
              </w:rPr>
              <w:t>Ensuring</w:t>
            </w:r>
            <w:r>
              <w:rPr>
                <w:spacing w:val="-5"/>
                <w:w w:val="105"/>
              </w:rPr>
              <w:t xml:space="preserve"> </w:t>
            </w:r>
            <w:r>
              <w:rPr>
                <w:w w:val="105"/>
              </w:rPr>
              <w:t xml:space="preserve">the </w:t>
            </w:r>
            <w:r>
              <w:rPr>
                <w:spacing w:val="-2"/>
                <w:w w:val="105"/>
              </w:rPr>
              <w:t xml:space="preserve">healthcare </w:t>
            </w:r>
            <w:r>
              <w:rPr>
                <w:w w:val="105"/>
              </w:rPr>
              <w:t>and</w:t>
            </w:r>
            <w:r>
              <w:rPr>
                <w:spacing w:val="-5"/>
                <w:w w:val="105"/>
              </w:rPr>
              <w:t xml:space="preserve"> </w:t>
            </w:r>
            <w:r>
              <w:rPr>
                <w:w w:val="105"/>
              </w:rPr>
              <w:t>services delivered</w:t>
            </w:r>
            <w:r>
              <w:rPr>
                <w:spacing w:val="-5"/>
                <w:w w:val="105"/>
              </w:rPr>
              <w:t xml:space="preserve"> </w:t>
            </w:r>
            <w:r>
              <w:rPr>
                <w:w w:val="105"/>
              </w:rPr>
              <w:t>in Aotearoa</w:t>
            </w:r>
            <w:r>
              <w:rPr>
                <w:spacing w:val="-15"/>
                <w:w w:val="105"/>
              </w:rPr>
              <w:t xml:space="preserve"> </w:t>
            </w:r>
            <w:r>
              <w:rPr>
                <w:w w:val="105"/>
              </w:rPr>
              <w:t>New Zealand</w:t>
            </w:r>
            <w:r>
              <w:rPr>
                <w:spacing w:val="-10"/>
                <w:w w:val="105"/>
              </w:rPr>
              <w:t xml:space="preserve"> </w:t>
            </w:r>
            <w:r>
              <w:rPr>
                <w:w w:val="105"/>
              </w:rPr>
              <w:t>are</w:t>
            </w:r>
            <w:r>
              <w:rPr>
                <w:spacing w:val="-10"/>
                <w:w w:val="105"/>
              </w:rPr>
              <w:t xml:space="preserve"> </w:t>
            </w:r>
            <w:r>
              <w:rPr>
                <w:w w:val="105"/>
              </w:rPr>
              <w:t>safe, transparent,</w:t>
            </w:r>
            <w:r>
              <w:rPr>
                <w:spacing w:val="-15"/>
                <w:w w:val="105"/>
              </w:rPr>
              <w:t xml:space="preserve"> </w:t>
            </w:r>
            <w:r>
              <w:rPr>
                <w:w w:val="105"/>
              </w:rPr>
              <w:t>easy to navigate and c</w:t>
            </w:r>
            <w:r>
              <w:rPr>
                <w:spacing w:val="-2"/>
                <w:w w:val="105"/>
              </w:rPr>
              <w:t>ontinuously improving</w:t>
            </w:r>
          </w:p>
        </w:tc>
        <w:tc>
          <w:tcPr>
            <w:tcW w:w="1614" w:type="dxa"/>
          </w:tcPr>
          <w:p w14:paraId="75138148" w14:textId="79FB720D" w:rsidR="005F5CA5" w:rsidRDefault="005F5CA5" w:rsidP="005F5CA5">
            <w:pPr>
              <w:pStyle w:val="TableText"/>
            </w:pPr>
            <w:r>
              <w:rPr>
                <w:w w:val="105"/>
              </w:rPr>
              <w:t>Ensuring</w:t>
            </w:r>
            <w:r>
              <w:rPr>
                <w:spacing w:val="-5"/>
                <w:w w:val="105"/>
              </w:rPr>
              <w:t xml:space="preserve"> </w:t>
            </w:r>
            <w:r>
              <w:rPr>
                <w:w w:val="105"/>
              </w:rPr>
              <w:t>we have a skilled and</w:t>
            </w:r>
            <w:r>
              <w:rPr>
                <w:spacing w:val="-5"/>
                <w:w w:val="105"/>
              </w:rPr>
              <w:t xml:space="preserve"> </w:t>
            </w:r>
            <w:r>
              <w:rPr>
                <w:w w:val="105"/>
              </w:rPr>
              <w:t xml:space="preserve">capable </w:t>
            </w:r>
            <w:r>
              <w:rPr>
                <w:spacing w:val="-4"/>
                <w:w w:val="105"/>
              </w:rPr>
              <w:t>workforce</w:t>
            </w:r>
            <w:r>
              <w:rPr>
                <w:spacing w:val="-12"/>
                <w:w w:val="105"/>
              </w:rPr>
              <w:t xml:space="preserve"> </w:t>
            </w:r>
            <w:r>
              <w:rPr>
                <w:spacing w:val="-4"/>
                <w:w w:val="105"/>
              </w:rPr>
              <w:t xml:space="preserve">that </w:t>
            </w:r>
            <w:r>
              <w:rPr>
                <w:w w:val="105"/>
              </w:rPr>
              <w:t>is</w:t>
            </w:r>
            <w:r>
              <w:rPr>
                <w:spacing w:val="-5"/>
                <w:w w:val="105"/>
              </w:rPr>
              <w:t xml:space="preserve"> </w:t>
            </w:r>
            <w:r>
              <w:rPr>
                <w:w w:val="105"/>
              </w:rPr>
              <w:t xml:space="preserve">accessible, </w:t>
            </w:r>
            <w:r>
              <w:rPr>
                <w:spacing w:val="-2"/>
                <w:w w:val="105"/>
              </w:rPr>
              <w:t xml:space="preserve">responsive, </w:t>
            </w:r>
            <w:r>
              <w:rPr>
                <w:w w:val="105"/>
              </w:rPr>
              <w:t>and able to deliver safe and effective</w:t>
            </w:r>
            <w:r>
              <w:rPr>
                <w:spacing w:val="-15"/>
                <w:w w:val="105"/>
              </w:rPr>
              <w:t xml:space="preserve"> </w:t>
            </w:r>
            <w:r>
              <w:rPr>
                <w:w w:val="105"/>
              </w:rPr>
              <w:t>care</w:t>
            </w:r>
            <w:r>
              <w:rPr>
                <w:spacing w:val="-15"/>
                <w:w w:val="105"/>
              </w:rPr>
              <w:t xml:space="preserve"> </w:t>
            </w:r>
            <w:r>
              <w:rPr>
                <w:w w:val="105"/>
              </w:rPr>
              <w:t>for New</w:t>
            </w:r>
            <w:r>
              <w:rPr>
                <w:spacing w:val="-5"/>
                <w:w w:val="105"/>
              </w:rPr>
              <w:t xml:space="preserve"> </w:t>
            </w:r>
            <w:r>
              <w:rPr>
                <w:w w:val="105"/>
              </w:rPr>
              <w:t>Zealanders</w:t>
            </w:r>
          </w:p>
        </w:tc>
        <w:tc>
          <w:tcPr>
            <w:tcW w:w="1614" w:type="dxa"/>
          </w:tcPr>
          <w:p w14:paraId="0853AF74" w14:textId="51186FDD" w:rsidR="005F5CA5" w:rsidRDefault="005F5CA5" w:rsidP="005F5CA5">
            <w:pPr>
              <w:pStyle w:val="TableText"/>
            </w:pPr>
            <w:r>
              <w:t>Ensuring</w:t>
            </w:r>
            <w:r>
              <w:rPr>
                <w:spacing w:val="-2"/>
              </w:rPr>
              <w:t xml:space="preserve"> </w:t>
            </w:r>
            <w:r>
              <w:t>the health</w:t>
            </w:r>
            <w:r>
              <w:rPr>
                <w:spacing w:val="-2"/>
              </w:rPr>
              <w:t xml:space="preserve"> </w:t>
            </w:r>
            <w:r>
              <w:t>system has the digital and</w:t>
            </w:r>
            <w:r>
              <w:rPr>
                <w:spacing w:val="-2"/>
              </w:rPr>
              <w:t xml:space="preserve"> </w:t>
            </w:r>
            <w:r>
              <w:t>physical infrastructure</w:t>
            </w:r>
            <w:r>
              <w:rPr>
                <w:spacing w:val="-2"/>
              </w:rPr>
              <w:t xml:space="preserve"> </w:t>
            </w:r>
            <w:r>
              <w:t>it needs to meet New</w:t>
            </w:r>
            <w:r>
              <w:rPr>
                <w:spacing w:val="-2"/>
              </w:rPr>
              <w:t xml:space="preserve"> </w:t>
            </w:r>
            <w:r>
              <w:t>Zealanders’ needs now and into the future</w:t>
            </w:r>
          </w:p>
        </w:tc>
      </w:tr>
    </w:tbl>
    <w:p w14:paraId="4A6742DF" w14:textId="77777777" w:rsidR="005F5CA5" w:rsidRDefault="005F5CA5" w:rsidP="005F5CA5">
      <w:pPr>
        <w:pStyle w:val="Heading3"/>
      </w:pPr>
      <w:r>
        <w:t>New role of Minister for Mental Health</w:t>
      </w:r>
    </w:p>
    <w:p w14:paraId="40620607" w14:textId="77777777" w:rsidR="005F5CA5" w:rsidRDefault="005F5CA5" w:rsidP="005F5CA5">
      <w:r>
        <w:t xml:space="preserve">The 54th Parliament has seen the appointment of Aotearoa New Zealand’s first dedicated Minister for Mental Health. One of the responsibilities of the Minister for Mental Health is to oversee strategic and policy matters within the health </w:t>
      </w:r>
      <w:proofErr w:type="gramStart"/>
      <w:r>
        <w:t>system</w:t>
      </w:r>
      <w:proofErr w:type="gramEnd"/>
    </w:p>
    <w:p w14:paraId="0B8E15BC" w14:textId="142921E0" w:rsidR="005F5CA5" w:rsidRDefault="005F5CA5" w:rsidP="005F5CA5">
      <w:r>
        <w:t>that relate to mental health and addiction services and support services. The Minister is also responsible for driving a cross-government approach to mental health, addiction and suicide prevention.</w:t>
      </w:r>
    </w:p>
    <w:p w14:paraId="610EEF24" w14:textId="77777777" w:rsidR="005F5CA5" w:rsidRDefault="005F5CA5" w:rsidP="005F5CA5"/>
    <w:p w14:paraId="64E482F2" w14:textId="77777777" w:rsidR="005F5CA5" w:rsidRDefault="005F5CA5" w:rsidP="005F5CA5">
      <w:r>
        <w:t>The Ministry is the lead agency supporting the Minister for Mental Health. In 2023/24, for example, it supported the Minister to set priorities for his portfolio, which are to:</w:t>
      </w:r>
    </w:p>
    <w:p w14:paraId="2D8059DA" w14:textId="34C9382B" w:rsidR="005F5CA5" w:rsidRDefault="005F5CA5" w:rsidP="005F5CA5">
      <w:pPr>
        <w:pStyle w:val="Bullet"/>
      </w:pPr>
      <w:r>
        <w:t xml:space="preserve">increase access to mental health and addiction </w:t>
      </w:r>
      <w:proofErr w:type="gramStart"/>
      <w:r>
        <w:t>support</w:t>
      </w:r>
      <w:proofErr w:type="gramEnd"/>
    </w:p>
    <w:p w14:paraId="3003D52A" w14:textId="17978C08" w:rsidR="005F5CA5" w:rsidRDefault="005F5CA5" w:rsidP="005F5CA5">
      <w:pPr>
        <w:pStyle w:val="Bullet"/>
      </w:pPr>
      <w:r>
        <w:t xml:space="preserve">grow the mental health and addiction </w:t>
      </w:r>
      <w:proofErr w:type="gramStart"/>
      <w:r>
        <w:t>workforce</w:t>
      </w:r>
      <w:proofErr w:type="gramEnd"/>
    </w:p>
    <w:p w14:paraId="1E15855A" w14:textId="5E1A7EF3" w:rsidR="005F5CA5" w:rsidRDefault="005F5CA5" w:rsidP="005F5CA5">
      <w:pPr>
        <w:pStyle w:val="Bullet"/>
      </w:pPr>
      <w:r>
        <w:t xml:space="preserve">strengthen the focus on prevention and early </w:t>
      </w:r>
      <w:proofErr w:type="gramStart"/>
      <w:r>
        <w:t>intervention</w:t>
      </w:r>
      <w:proofErr w:type="gramEnd"/>
    </w:p>
    <w:p w14:paraId="3AA9800C" w14:textId="428B33EC" w:rsidR="005F5CA5" w:rsidRDefault="005F5CA5" w:rsidP="005F5CA5">
      <w:pPr>
        <w:pStyle w:val="Bullet"/>
      </w:pPr>
      <w:r>
        <w:t>improve the effectiveness of mental health and addiction support.</w:t>
      </w:r>
    </w:p>
    <w:p w14:paraId="320E1E3E" w14:textId="77777777" w:rsidR="005F5CA5" w:rsidRDefault="005F5CA5" w:rsidP="005F5CA5"/>
    <w:p w14:paraId="13A22899" w14:textId="62AB05B7" w:rsidR="005F5CA5" w:rsidRDefault="005F5CA5" w:rsidP="005F5CA5">
      <w:r>
        <w:t>The Ministry also supported the Minister to set mental health and addiction targets, which have been confirmed through the Government Policy Statement on Health 2024–2027.</w:t>
      </w:r>
    </w:p>
    <w:p w14:paraId="56072B79" w14:textId="77777777" w:rsidR="005F5CA5" w:rsidRDefault="005F5CA5" w:rsidP="005F5CA5"/>
    <w:p w14:paraId="3D880DFA" w14:textId="6C1BB3AB" w:rsidR="005F5CA5" w:rsidRDefault="005F5CA5" w:rsidP="005F5CA5">
      <w:r>
        <w:t>The Minister for Mental Health’s overarching focus for 2024– 2027 is to ensure timely access to quality mental health and addiction care for all with a focus on prevention, early intervention and community-based supports.</w:t>
      </w:r>
    </w:p>
    <w:p w14:paraId="7DC8AAD7" w14:textId="164F06E6" w:rsidR="005F5CA5" w:rsidRDefault="005F5CA5" w:rsidP="005F5CA5"/>
    <w:p w14:paraId="689B6AC1" w14:textId="77777777" w:rsidR="003221B6" w:rsidRDefault="003221B6" w:rsidP="003221B6">
      <w:pPr>
        <w:pStyle w:val="Heading4"/>
        <w:sectPr w:rsidR="003221B6" w:rsidSect="008F0115">
          <w:pgSz w:w="11907" w:h="16840" w:code="9"/>
          <w:pgMar w:top="1418" w:right="1701" w:bottom="1134" w:left="1843" w:header="284" w:footer="425" w:gutter="284"/>
          <w:cols w:space="720"/>
        </w:sectPr>
      </w:pPr>
    </w:p>
    <w:p w14:paraId="256AC4B5" w14:textId="68D6149E" w:rsidR="003221B6" w:rsidRPr="003221B6" w:rsidRDefault="003221B6" w:rsidP="003221B6">
      <w:pPr>
        <w:pStyle w:val="Heading4"/>
      </w:pPr>
      <w:r w:rsidRPr="003221B6">
        <w:lastRenderedPageBreak/>
        <w:t>Timely access to quality mental health and addiction care for all</w:t>
      </w:r>
    </w:p>
    <w:tbl>
      <w:tblPr>
        <w:tblStyle w:val="TableGrid"/>
        <w:tblW w:w="8222"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985"/>
        <w:gridCol w:w="1614"/>
        <w:gridCol w:w="2311"/>
        <w:gridCol w:w="2312"/>
      </w:tblGrid>
      <w:tr w:rsidR="003221B6" w:rsidRPr="005F5CA5" w14:paraId="3E9FE17C" w14:textId="77777777" w:rsidTr="003221B6">
        <w:tc>
          <w:tcPr>
            <w:tcW w:w="1985" w:type="dxa"/>
            <w:shd w:val="clear" w:color="auto" w:fill="D9D9D9" w:themeFill="background1" w:themeFillShade="D9"/>
          </w:tcPr>
          <w:p w14:paraId="439C51B8" w14:textId="77777777" w:rsidR="003221B6" w:rsidRPr="005F5CA5" w:rsidRDefault="003221B6" w:rsidP="0082664F">
            <w:pPr>
              <w:pStyle w:val="TableText"/>
              <w:rPr>
                <w:b/>
                <w:bCs/>
              </w:rPr>
            </w:pPr>
            <w:r w:rsidRPr="005F5CA5">
              <w:rPr>
                <w:b/>
                <w:bCs/>
              </w:rPr>
              <w:t>Access</w:t>
            </w:r>
          </w:p>
        </w:tc>
        <w:tc>
          <w:tcPr>
            <w:tcW w:w="1614" w:type="dxa"/>
            <w:shd w:val="clear" w:color="auto" w:fill="D9D9D9" w:themeFill="background1" w:themeFillShade="D9"/>
          </w:tcPr>
          <w:p w14:paraId="5EF7DC4E" w14:textId="77777777" w:rsidR="003221B6" w:rsidRPr="005F5CA5" w:rsidRDefault="003221B6" w:rsidP="0082664F">
            <w:pPr>
              <w:pStyle w:val="TableText"/>
              <w:rPr>
                <w:b/>
                <w:bCs/>
              </w:rPr>
            </w:pPr>
            <w:r w:rsidRPr="005F5CA5">
              <w:rPr>
                <w:b/>
                <w:bCs/>
              </w:rPr>
              <w:t>Timeliness</w:t>
            </w:r>
          </w:p>
        </w:tc>
        <w:tc>
          <w:tcPr>
            <w:tcW w:w="2311" w:type="dxa"/>
            <w:shd w:val="clear" w:color="auto" w:fill="D9D9D9" w:themeFill="background1" w:themeFillShade="D9"/>
          </w:tcPr>
          <w:p w14:paraId="65CB7BB8" w14:textId="77777777" w:rsidR="003221B6" w:rsidRPr="005F5CA5" w:rsidRDefault="003221B6" w:rsidP="0082664F">
            <w:pPr>
              <w:pStyle w:val="TableText"/>
              <w:rPr>
                <w:b/>
                <w:bCs/>
              </w:rPr>
            </w:pPr>
            <w:r w:rsidRPr="005F5CA5">
              <w:rPr>
                <w:b/>
                <w:bCs/>
              </w:rPr>
              <w:t>Quality</w:t>
            </w:r>
          </w:p>
        </w:tc>
        <w:tc>
          <w:tcPr>
            <w:tcW w:w="2312" w:type="dxa"/>
            <w:shd w:val="clear" w:color="auto" w:fill="D9D9D9" w:themeFill="background1" w:themeFillShade="D9"/>
          </w:tcPr>
          <w:p w14:paraId="4A562473" w14:textId="77777777" w:rsidR="003221B6" w:rsidRPr="005F5CA5" w:rsidRDefault="003221B6" w:rsidP="0082664F">
            <w:pPr>
              <w:pStyle w:val="TableText"/>
              <w:rPr>
                <w:b/>
                <w:bCs/>
              </w:rPr>
            </w:pPr>
            <w:r w:rsidRPr="005F5CA5">
              <w:rPr>
                <w:b/>
                <w:bCs/>
              </w:rPr>
              <w:t>Workforce</w:t>
            </w:r>
          </w:p>
        </w:tc>
      </w:tr>
      <w:tr w:rsidR="003221B6" w14:paraId="48D9DBE7" w14:textId="77777777" w:rsidTr="003221B6">
        <w:tc>
          <w:tcPr>
            <w:tcW w:w="3599" w:type="dxa"/>
            <w:gridSpan w:val="2"/>
          </w:tcPr>
          <w:p w14:paraId="32A6BFBE" w14:textId="2DAE8F1D" w:rsidR="003221B6" w:rsidRDefault="003221B6" w:rsidP="003221B6">
            <w:pPr>
              <w:pStyle w:val="TableText"/>
            </w:pPr>
            <w:r w:rsidRPr="003221B6">
              <w:t>Ensuring increased access for all</w:t>
            </w:r>
            <w:r>
              <w:t xml:space="preserve"> </w:t>
            </w:r>
            <w:r w:rsidRPr="003221B6">
              <w:t>New Zealanders to the mental health and addiction care and services they need in a timely way, with an emphasis on providing community-based supports.</w:t>
            </w:r>
          </w:p>
        </w:tc>
        <w:tc>
          <w:tcPr>
            <w:tcW w:w="2311" w:type="dxa"/>
          </w:tcPr>
          <w:p w14:paraId="4216AE12" w14:textId="1E55E11A" w:rsidR="003221B6" w:rsidRPr="003221B6" w:rsidRDefault="003221B6" w:rsidP="00381C8B">
            <w:pPr>
              <w:pStyle w:val="TableText"/>
            </w:pPr>
            <w:r w:rsidRPr="003221B6">
              <w:t>Ensuring a strengthened focus on effective prevention and early intervention</w:t>
            </w:r>
            <w:r w:rsidR="00381C8B">
              <w:t xml:space="preserve"> </w:t>
            </w:r>
            <w:r w:rsidRPr="003221B6">
              <w:t>activities to support the wellbeing of New Zealanders.</w:t>
            </w:r>
          </w:p>
        </w:tc>
        <w:tc>
          <w:tcPr>
            <w:tcW w:w="2312" w:type="dxa"/>
          </w:tcPr>
          <w:p w14:paraId="7B20BE67" w14:textId="231D3DDB" w:rsidR="003221B6" w:rsidRPr="003221B6" w:rsidRDefault="003221B6" w:rsidP="003221B6">
            <w:pPr>
              <w:pStyle w:val="TableText"/>
            </w:pPr>
            <w:r w:rsidRPr="003221B6">
              <w:t>Ensuring growth of the mental health and addiction workforce through training, upskilling and attracting new workers, while also retaining our current workforce.</w:t>
            </w:r>
          </w:p>
        </w:tc>
      </w:tr>
    </w:tbl>
    <w:p w14:paraId="24EBB659" w14:textId="77777777" w:rsidR="003221B6" w:rsidRDefault="003221B6" w:rsidP="00784C2F">
      <w:pPr>
        <w:pStyle w:val="Heading3"/>
      </w:pPr>
      <w:r>
        <w:t>Stabilising the structural reform of the health system</w:t>
      </w:r>
    </w:p>
    <w:p w14:paraId="502A9CAA" w14:textId="375DE225" w:rsidR="003221B6" w:rsidRDefault="003221B6" w:rsidP="003221B6">
      <w:r>
        <w:t xml:space="preserve">The first two years of the health reforms from 1 July 2022 to 30 June 2024 (and before Te Aka Whai Ora was disestablished) have focused on the structural reform of the health system. In November 2023, the Ministerial Advisory Committee for Health Reform Implementation provided the Minister of Health with its report, </w:t>
      </w:r>
      <w:r w:rsidRPr="00784C2F">
        <w:rPr>
          <w:i/>
          <w:iCs/>
        </w:rPr>
        <w:t>High-level assessment to support future focused health reform implementation</w:t>
      </w:r>
      <w:r w:rsidR="00784C2F">
        <w:rPr>
          <w:rStyle w:val="FootnoteReference"/>
          <w:i/>
          <w:iCs/>
        </w:rPr>
        <w:footnoteReference w:id="2"/>
      </w:r>
      <w:r>
        <w:t xml:space="preserve"> The Ministry, Health New Zealand</w:t>
      </w:r>
      <w:r w:rsidR="00784C2F">
        <w:t xml:space="preserve"> </w:t>
      </w:r>
      <w:r>
        <w:t>and Te Aka Whai Ora accepted the key points in the report. Their joint response recognised that while progress across the sector is continuing to be made, there remains much work to operationalise and embed changes, and to plan for system transformation.</w:t>
      </w:r>
    </w:p>
    <w:p w14:paraId="27B9655B" w14:textId="77777777" w:rsidR="00784C2F" w:rsidRDefault="00784C2F" w:rsidP="003221B6"/>
    <w:p w14:paraId="0DC915C7" w14:textId="0E722B94" w:rsidR="003221B6" w:rsidRDefault="003221B6" w:rsidP="003221B6">
      <w:r>
        <w:t>The transformation phase will focus on how the system operates within the new structures to realise the opportunities of a single health system and embed them in a transformed healthcare system.</w:t>
      </w:r>
    </w:p>
    <w:p w14:paraId="4CFE863C" w14:textId="77777777" w:rsidR="00784C2F" w:rsidRDefault="00784C2F" w:rsidP="003221B6"/>
    <w:p w14:paraId="76553BF8" w14:textId="585B4468" w:rsidR="003221B6" w:rsidRDefault="003221B6" w:rsidP="003221B6">
      <w:r>
        <w:t>From June 2023, the Health System Reform Roadmap provided the foundation to understand the progress of the system reform and the leadership’s confidence in achieving the reform objectives and shifts. In April 2024, however, the Joint Leaders Group (JLG)</w:t>
      </w:r>
      <w:r w:rsidR="00784C2F">
        <w:rPr>
          <w:rStyle w:val="FootnoteReference"/>
        </w:rPr>
        <w:footnoteReference w:id="3"/>
      </w:r>
      <w:r>
        <w:t xml:space="preserve"> retired the roadmap, deciding it was no longer useful because it was an outdated list of achievements rather than a plan to transform. The JLG agreed five critical transformation areas for focus.</w:t>
      </w:r>
    </w:p>
    <w:p w14:paraId="3EEAA0A4" w14:textId="7453D1BC" w:rsidR="003221B6" w:rsidRDefault="003221B6" w:rsidP="007123AC">
      <w:pPr>
        <w:pStyle w:val="Number"/>
        <w:numPr>
          <w:ilvl w:val="0"/>
          <w:numId w:val="11"/>
        </w:numPr>
        <w:ind w:left="426" w:hanging="426"/>
      </w:pPr>
      <w:r>
        <w:t>Ensuring the healthcare system improves equity for Māori and broader high needs populations.</w:t>
      </w:r>
    </w:p>
    <w:p w14:paraId="4A217DAF" w14:textId="2CFCAEC6" w:rsidR="003221B6" w:rsidRDefault="003221B6" w:rsidP="007123AC">
      <w:pPr>
        <w:pStyle w:val="Number"/>
        <w:numPr>
          <w:ilvl w:val="0"/>
          <w:numId w:val="11"/>
        </w:numPr>
        <w:ind w:left="426" w:hanging="426"/>
      </w:pPr>
      <w:r>
        <w:t>Workforce engagement in the transformation and confidence in the system.</w:t>
      </w:r>
    </w:p>
    <w:p w14:paraId="01DF6EB5" w14:textId="00A00553" w:rsidR="003221B6" w:rsidRDefault="003221B6" w:rsidP="007123AC">
      <w:pPr>
        <w:pStyle w:val="Number"/>
        <w:numPr>
          <w:ilvl w:val="0"/>
          <w:numId w:val="11"/>
        </w:numPr>
        <w:ind w:left="426" w:hanging="426"/>
      </w:pPr>
      <w:r>
        <w:t>Shifting care closer to home.</w:t>
      </w:r>
    </w:p>
    <w:p w14:paraId="73A6B7D8" w14:textId="58A18C6A" w:rsidR="003221B6" w:rsidRDefault="003221B6" w:rsidP="007123AC">
      <w:pPr>
        <w:pStyle w:val="Number"/>
        <w:numPr>
          <w:ilvl w:val="0"/>
          <w:numId w:val="11"/>
        </w:numPr>
        <w:ind w:left="426" w:hanging="426"/>
      </w:pPr>
      <w:r>
        <w:t>Establishing a clear and stable system operating model.</w:t>
      </w:r>
    </w:p>
    <w:p w14:paraId="68D75A78" w14:textId="52B67F84" w:rsidR="005F5CA5" w:rsidRDefault="003221B6" w:rsidP="007123AC">
      <w:pPr>
        <w:pStyle w:val="Number"/>
        <w:numPr>
          <w:ilvl w:val="0"/>
          <w:numId w:val="11"/>
        </w:numPr>
        <w:ind w:left="426" w:hanging="426"/>
      </w:pPr>
      <w:r>
        <w:t>Broader health system elements (eg, other health entities) are integrated across the health system to enable leveraging of joint effort.</w:t>
      </w:r>
    </w:p>
    <w:p w14:paraId="00F756A7" w14:textId="77777777" w:rsidR="005F5CA5" w:rsidRDefault="005F5CA5" w:rsidP="00762CBA"/>
    <w:p w14:paraId="2E72BC0F" w14:textId="77777777" w:rsidR="00784C2F" w:rsidRDefault="00784C2F" w:rsidP="00762CBA">
      <w:pPr>
        <w:sectPr w:rsidR="00784C2F" w:rsidSect="008F0115">
          <w:pgSz w:w="11907" w:h="16840" w:code="9"/>
          <w:pgMar w:top="1418" w:right="1701" w:bottom="1134" w:left="1843" w:header="284" w:footer="425" w:gutter="284"/>
          <w:cols w:space="720"/>
        </w:sectPr>
      </w:pPr>
    </w:p>
    <w:p w14:paraId="36A9E961" w14:textId="77777777" w:rsidR="00784C2F" w:rsidRDefault="00784C2F" w:rsidP="00784C2F">
      <w:pPr>
        <w:pStyle w:val="Heading3"/>
        <w:spacing w:before="0"/>
      </w:pPr>
      <w:r>
        <w:lastRenderedPageBreak/>
        <w:t>Hauora Māori Advisory Committee</w:t>
      </w:r>
    </w:p>
    <w:p w14:paraId="5629E31D" w14:textId="2E5D6179" w:rsidR="00784C2F" w:rsidRDefault="00784C2F" w:rsidP="00784C2F">
      <w:r>
        <w:t>The Hauora Māori Advisory Committee (HMAC), established under the Pae Ora (Healthy Futures) Act 2022, is a key element in strengthening the health system’s responsiveness to Māori health needs. It provides the Minister of Health with independent, tangible and actionable advice and guidance around Māori health priorities. It also helps to monitor Māori health outcomes and system performance. The Māori Health directorate within the Ministry provides secretariat support to the HMAC.</w:t>
      </w:r>
    </w:p>
    <w:p w14:paraId="4F7117C1" w14:textId="77777777" w:rsidR="00784C2F" w:rsidRDefault="00784C2F" w:rsidP="00784C2F"/>
    <w:p w14:paraId="3E0ABF85" w14:textId="77777777" w:rsidR="005F5CA5" w:rsidRDefault="00784C2F" w:rsidP="00784C2F">
      <w:r>
        <w:t>With members who are recognised and respected Māori leaders, including a range of Māori health experts, the HMAC has identified a suite of population priorities that it will use to oversee how the health system is performing for Māori. These population priorities will provide insights on system performance and population health trends. The HMAC can use them to focus its efforts on areas that are of the most significance to Māori and that can significantly reduce health inequities for Māori more broadly.</w:t>
      </w:r>
    </w:p>
    <w:p w14:paraId="67034C6A" w14:textId="41A2EC46" w:rsidR="00784C2F" w:rsidRDefault="00784C2F" w:rsidP="00784C2F">
      <w:pPr>
        <w:pStyle w:val="Heading3"/>
      </w:pPr>
      <w:r>
        <w:t>Iwi–Māori partnership boards</w:t>
      </w:r>
    </w:p>
    <w:p w14:paraId="4EBFCE72" w14:textId="77777777" w:rsidR="00784C2F" w:rsidRDefault="00784C2F" w:rsidP="00784C2F">
      <w:r>
        <w:t>Iwi–Māori partnership boards (IMPBs), also established under the Pae Ora (Healthy Futures) Act 2022, are an integral part of the health system. They represent local Māori perspectives on the needs and aspirations of Māori. IMPBs influence the commissioning of local health services and monitor how the health system is performing in relation to those needs and aspirations in their communities. To date, 15 IMPBs have been recognised under the Pae Ora (Healthy Futures) Act 2022 and two more are emerging.</w:t>
      </w:r>
    </w:p>
    <w:p w14:paraId="0B137CA8" w14:textId="77777777" w:rsidR="00784C2F" w:rsidRDefault="00784C2F" w:rsidP="00784C2F">
      <w:pPr>
        <w:pStyle w:val="Heading3"/>
      </w:pPr>
      <w:r>
        <w:t xml:space="preserve">Requirements for organisational change and to make savings from eligible </w:t>
      </w:r>
      <w:proofErr w:type="gramStart"/>
      <w:r>
        <w:t>baseline</w:t>
      </w:r>
      <w:proofErr w:type="gramEnd"/>
    </w:p>
    <w:p w14:paraId="5FF849AB" w14:textId="77777777" w:rsidR="00784C2F" w:rsidRDefault="00784C2F" w:rsidP="00784C2F">
      <w:r>
        <w:t>In April 2024, staff were consulted on proposals to change the Ministry’s organisational structure. These proposals were required due to the combined needs to:</w:t>
      </w:r>
    </w:p>
    <w:p w14:paraId="532F039B" w14:textId="6DA3B2C6" w:rsidR="00784C2F" w:rsidRDefault="00784C2F" w:rsidP="00784C2F">
      <w:pPr>
        <w:pStyle w:val="Bullet"/>
      </w:pPr>
      <w:r>
        <w:t xml:space="preserve">change further following the health system reform to enable the Ministry to carry out its system stewardship </w:t>
      </w:r>
      <w:proofErr w:type="gramStart"/>
      <w:r>
        <w:t>role</w:t>
      </w:r>
      <w:proofErr w:type="gramEnd"/>
    </w:p>
    <w:p w14:paraId="4DAA2D05" w14:textId="01FDCB73" w:rsidR="00784C2F" w:rsidRDefault="00784C2F" w:rsidP="00784C2F">
      <w:pPr>
        <w:pStyle w:val="Bullet"/>
      </w:pPr>
      <w:r>
        <w:t xml:space="preserve">make shifts in capacity and capability to meet the Government’s </w:t>
      </w:r>
      <w:proofErr w:type="gramStart"/>
      <w:r>
        <w:t>priorities</w:t>
      </w:r>
      <w:proofErr w:type="gramEnd"/>
    </w:p>
    <w:p w14:paraId="148DFF3F" w14:textId="0BDEEB84" w:rsidR="00784C2F" w:rsidRDefault="00784C2F" w:rsidP="00784C2F">
      <w:pPr>
        <w:pStyle w:val="Bullet"/>
      </w:pPr>
      <w:r>
        <w:t>make changes to meet our forecast budget, which was reduced following the end of time-limited funding and because of other changes such as the Government’s 6.5% savings target.</w:t>
      </w:r>
    </w:p>
    <w:p w14:paraId="4777891C" w14:textId="77777777" w:rsidR="00784C2F" w:rsidRDefault="00784C2F" w:rsidP="00784C2F"/>
    <w:p w14:paraId="0DFFE189" w14:textId="77777777" w:rsidR="00784C2F" w:rsidRDefault="00784C2F" w:rsidP="00784C2F">
      <w:r>
        <w:t>Decisions on the final organisational structure were communicated to staff on 13 June 2024. The changes resulted in a net decrease of 123 positions across the Ministry. Another 100 positions had minor changes such as to a reporting line and/or position title. The new organisational structure came into effect on 2 September 2024.</w:t>
      </w:r>
    </w:p>
    <w:p w14:paraId="29938A35" w14:textId="77777777" w:rsidR="00784C2F" w:rsidRDefault="00784C2F" w:rsidP="00784C2F"/>
    <w:p w14:paraId="0F65644D" w14:textId="77777777" w:rsidR="00784C2F" w:rsidRDefault="00784C2F" w:rsidP="00784C2F">
      <w:pPr>
        <w:sectPr w:rsidR="00784C2F" w:rsidSect="008F0115">
          <w:pgSz w:w="11907" w:h="16840" w:code="9"/>
          <w:pgMar w:top="1418" w:right="1701" w:bottom="1134" w:left="1843" w:header="284" w:footer="425" w:gutter="284"/>
          <w:cols w:space="720"/>
        </w:sectPr>
      </w:pPr>
    </w:p>
    <w:p w14:paraId="6EC6CF6D" w14:textId="1F824C74" w:rsidR="00784C2F" w:rsidRDefault="00784C2F" w:rsidP="00784C2F">
      <w:pPr>
        <w:pStyle w:val="Heading1"/>
      </w:pPr>
      <w:bookmarkStart w:id="16" w:name="_Toc180077015"/>
      <w:r w:rsidRPr="00784C2F">
        <w:lastRenderedPageBreak/>
        <w:t xml:space="preserve">Our performance story </w:t>
      </w:r>
      <w:r w:rsidR="002A6794">
        <w:t>–</w:t>
      </w:r>
      <w:r w:rsidRPr="00784C2F">
        <w:t xml:space="preserve"> Ngā kōrero mō ngā whakatutukinga</w:t>
      </w:r>
      <w:bookmarkEnd w:id="16"/>
    </w:p>
    <w:p w14:paraId="3BD5601D" w14:textId="77777777" w:rsidR="00784C2F" w:rsidRDefault="00784C2F" w:rsidP="00784C2F">
      <w:pPr>
        <w:pStyle w:val="Heading2"/>
      </w:pPr>
      <w:bookmarkStart w:id="17" w:name="_Toc180077016"/>
      <w:r w:rsidRPr="00784C2F">
        <w:t>Reporting against our priorities</w:t>
      </w:r>
      <w:bookmarkEnd w:id="17"/>
    </w:p>
    <w:p w14:paraId="37E83D7F" w14:textId="77777777" w:rsidR="00784C2F" w:rsidRDefault="00AE665C" w:rsidP="00784C2F">
      <w:r w:rsidRPr="00AE665C">
        <w:t>The Ministry’s operating environment has changed with the new Government, the Government’s priorities and our own transformation programme. The Ministry is focused on the delivery against our priorities to support Government priorities for health for 2023/24.</w:t>
      </w:r>
    </w:p>
    <w:p w14:paraId="0F5FC10E" w14:textId="77777777" w:rsidR="00AE665C" w:rsidRDefault="00AE665C" w:rsidP="00784C2F"/>
    <w:p w14:paraId="6E762B8E" w14:textId="39F64387" w:rsidR="00AE665C" w:rsidRDefault="00AE665C" w:rsidP="00AE665C">
      <w:r>
        <w:t xml:space="preserve">In this section, we report the Ministry’s performance against the activities in </w:t>
      </w:r>
      <w:r w:rsidRPr="00AE665C">
        <w:rPr>
          <w:i/>
          <w:iCs/>
        </w:rPr>
        <w:t>Developing the future Ministry of Health: Our strategy and strategic intentions, 2022 to 2026</w:t>
      </w:r>
      <w:r>
        <w:t xml:space="preserve"> (strategic intentions 2022–2026).</w:t>
      </w:r>
      <w:r>
        <w:rPr>
          <w:rStyle w:val="FootnoteReference"/>
        </w:rPr>
        <w:footnoteReference w:id="4"/>
      </w:r>
      <w:r>
        <w:t xml:space="preserve"> The activities had been set under the following four former priority areas in the strategic intentions 2022–2026.</w:t>
      </w:r>
    </w:p>
    <w:p w14:paraId="4671E98F" w14:textId="4F813AE8" w:rsidR="00AE665C" w:rsidRDefault="00AE665C" w:rsidP="007123AC">
      <w:pPr>
        <w:pStyle w:val="Number"/>
        <w:numPr>
          <w:ilvl w:val="0"/>
          <w:numId w:val="12"/>
        </w:numPr>
        <w:ind w:left="426" w:hanging="426"/>
      </w:pPr>
      <w:r>
        <w:t>We will drive the development of the reformed health system and our role within it.</w:t>
      </w:r>
    </w:p>
    <w:p w14:paraId="1B1A0046" w14:textId="3E7B4621" w:rsidR="00AE665C" w:rsidRDefault="00AE665C" w:rsidP="007123AC">
      <w:pPr>
        <w:pStyle w:val="Number"/>
        <w:numPr>
          <w:ilvl w:val="0"/>
          <w:numId w:val="12"/>
        </w:numPr>
        <w:ind w:left="426" w:hanging="426"/>
      </w:pPr>
      <w:r>
        <w:t>We will set the direction for health and the health system to achieve pae ora.</w:t>
      </w:r>
    </w:p>
    <w:p w14:paraId="4F89316E" w14:textId="5E1190CE" w:rsidR="00AE665C" w:rsidRDefault="00AE665C" w:rsidP="007123AC">
      <w:pPr>
        <w:pStyle w:val="Number"/>
        <w:numPr>
          <w:ilvl w:val="0"/>
          <w:numId w:val="12"/>
        </w:numPr>
        <w:ind w:left="426" w:hanging="426"/>
      </w:pPr>
      <w:r>
        <w:t>We will enable and support the ongoing improvement of health outcomes, quality and safety.</w:t>
      </w:r>
    </w:p>
    <w:p w14:paraId="5D3A250C" w14:textId="32050315" w:rsidR="00AE665C" w:rsidRDefault="00AE665C" w:rsidP="007123AC">
      <w:pPr>
        <w:pStyle w:val="Number"/>
        <w:numPr>
          <w:ilvl w:val="0"/>
          <w:numId w:val="12"/>
        </w:numPr>
        <w:ind w:left="426" w:hanging="426"/>
      </w:pPr>
      <w:r>
        <w:t>We will monitor health outcomes and the effective functioning of the system.</w:t>
      </w:r>
    </w:p>
    <w:p w14:paraId="058A2FCC" w14:textId="77777777" w:rsidR="00AE665C" w:rsidRDefault="00AE665C" w:rsidP="00AE665C"/>
    <w:p w14:paraId="1AAC2044" w14:textId="21584EEC" w:rsidR="00AE665C" w:rsidRDefault="00AE665C" w:rsidP="00AE665C">
      <w:r>
        <w:t>We reported against the activities under each of the four priority areas for the ‘Next 12 months’ in our annual report for the year ended 30 June 2023.</w:t>
      </w:r>
    </w:p>
    <w:p w14:paraId="53D874D9" w14:textId="77777777" w:rsidR="00AE665C" w:rsidRDefault="00AE665C" w:rsidP="00AE665C"/>
    <w:p w14:paraId="585EA18D" w14:textId="32077CC1" w:rsidR="00AE665C" w:rsidRDefault="00AE665C" w:rsidP="00AE665C">
      <w:r>
        <w:t>The tables that follow set out all the activities for the ’12 months to 2 years’ period. The activities have been mapped to the Ministry’s six new priorities. The former priority area for each activity is shown in brackets next to that activity.</w:t>
      </w:r>
    </w:p>
    <w:p w14:paraId="6449BC5F" w14:textId="77777777" w:rsidR="00AE665C" w:rsidRDefault="00AE665C" w:rsidP="00AE665C"/>
    <w:p w14:paraId="416877B0" w14:textId="7BCC748E" w:rsidR="00AE665C" w:rsidRDefault="00AE665C" w:rsidP="00AE665C">
      <w:r>
        <w:t>In addition to the activities set in the strategic intentions 2022–2026, this section reports other activities that reflect the Ministry’s performance for the year. These include activities as part of new reporting requirements (eg, supporting the Crown to meet its Tiriti settlement commitments), legislative requirements (eg, giving a long-term insights briefing to the appropriate Minister) and Government direction such as signing a Memorandum of Understanding with Waikato University to progress a third medical school.</w:t>
      </w:r>
    </w:p>
    <w:p w14:paraId="6DA068F0" w14:textId="77777777" w:rsidR="00AE665C" w:rsidRDefault="00AE665C" w:rsidP="00AE665C"/>
    <w:p w14:paraId="4D51DFA6" w14:textId="77777777" w:rsidR="00AE665C" w:rsidRDefault="00AE665C" w:rsidP="00AE665C">
      <w:r>
        <w:t>We are revising the Ministry’s strategic intentions, and will report progress against the new strategic intentions 2024–2028 in annual reports in the medium-term.</w:t>
      </w:r>
    </w:p>
    <w:p w14:paraId="197C040C" w14:textId="77777777" w:rsidR="00BE1F25" w:rsidRDefault="00BE1F25" w:rsidP="00AE665C"/>
    <w:p w14:paraId="252AD892" w14:textId="77777777" w:rsidR="00BE1F25" w:rsidRDefault="00BE1F25" w:rsidP="00AE665C"/>
    <w:p w14:paraId="6EA41944" w14:textId="77777777" w:rsidR="00BE1F25" w:rsidRDefault="00BE1F25" w:rsidP="00BE1F25">
      <w:pPr>
        <w:pStyle w:val="Heading3"/>
      </w:pPr>
      <w:r>
        <w:lastRenderedPageBreak/>
        <w:t>Performance overview</w:t>
      </w:r>
    </w:p>
    <w:p w14:paraId="6E6D959C" w14:textId="77777777" w:rsidR="00BE1F25" w:rsidRDefault="00BE1F25" w:rsidP="00BE1F25">
      <w:r>
        <w:t>More detailed information is provided in the section on each priority that follows.</w:t>
      </w:r>
    </w:p>
    <w:p w14:paraId="39FCBBB6" w14:textId="77777777" w:rsidR="00BE1F25" w:rsidRDefault="00BE1F25" w:rsidP="00BE1F25">
      <w:pPr>
        <w:pStyle w:val="Heading4"/>
      </w:pPr>
      <w:r w:rsidRPr="00BE1F25">
        <w:t xml:space="preserve">Priority 1: Provide system-level </w:t>
      </w:r>
      <w:proofErr w:type="gramStart"/>
      <w:r w:rsidRPr="00BE1F25">
        <w:t>leadership</w:t>
      </w:r>
      <w:proofErr w:type="gramEnd"/>
    </w:p>
    <w:p w14:paraId="62282289" w14:textId="7975ADA6" w:rsidR="00BE1F25" w:rsidRPr="00BE1F25" w:rsidRDefault="00BE1F25" w:rsidP="00BE1F25">
      <w:pPr>
        <w:spacing w:before="240" w:after="120"/>
        <w:rPr>
          <w:b/>
          <w:bCs/>
        </w:rPr>
      </w:pPr>
      <w:r w:rsidRPr="00BE1F25">
        <w:rPr>
          <w:b/>
          <w:bCs/>
        </w:rPr>
        <w:t>Our key result areas</w:t>
      </w:r>
    </w:p>
    <w:p w14:paraId="0C59324D" w14:textId="688D137D" w:rsidR="00BE1F25" w:rsidRDefault="00BE1F25" w:rsidP="00BE1F25">
      <w:pPr>
        <w:pStyle w:val="Bullet"/>
      </w:pPr>
      <w:r>
        <w:t>Setting the strategic direction for health, the health system and the people who work in it.</w:t>
      </w:r>
    </w:p>
    <w:p w14:paraId="20658C26" w14:textId="0D8ACBB0" w:rsidR="00BE1F25" w:rsidRDefault="00BE1F25" w:rsidP="00BE1F25">
      <w:pPr>
        <w:pStyle w:val="Bullet"/>
      </w:pPr>
      <w:r>
        <w:t>Assuring the overall design of the health system and the progress of system entities in developing their roles.</w:t>
      </w:r>
    </w:p>
    <w:p w14:paraId="0A6C8F1C" w14:textId="69B957DC" w:rsidR="00BE1F25" w:rsidRPr="00BE1F25" w:rsidRDefault="00BE1F25" w:rsidP="00BE1F25">
      <w:pPr>
        <w:spacing w:before="240" w:after="120"/>
        <w:rPr>
          <w:b/>
          <w:bCs/>
        </w:rPr>
      </w:pPr>
      <w:r w:rsidRPr="00BE1F25">
        <w:rPr>
          <w:b/>
          <w:bCs/>
        </w:rPr>
        <w:t>Intended activities for 2023–</w:t>
      </w:r>
      <w:proofErr w:type="gramStart"/>
      <w:r w:rsidRPr="00BE1F25">
        <w:rPr>
          <w:b/>
          <w:bCs/>
        </w:rPr>
        <w:t>2025</w:t>
      </w:r>
      <w:proofErr w:type="gramEnd"/>
    </w:p>
    <w:p w14:paraId="383EF6A3" w14:textId="730B173F" w:rsidR="00BE1F25" w:rsidRPr="002E5BF6" w:rsidRDefault="00BE1F25" w:rsidP="007123AC">
      <w:pPr>
        <w:pStyle w:val="Number"/>
        <w:numPr>
          <w:ilvl w:val="0"/>
          <w:numId w:val="13"/>
        </w:numPr>
        <w:ind w:left="426" w:hanging="426"/>
      </w:pPr>
      <w:r w:rsidRPr="002E5BF6">
        <w:t>Develop any further health strategies that Ministers agree to. (Former priority area two.)</w:t>
      </w:r>
    </w:p>
    <w:p w14:paraId="6288916C" w14:textId="303AC808" w:rsidR="00BE1F25" w:rsidRPr="002E5BF6" w:rsidRDefault="00BE1F25" w:rsidP="00381C8B">
      <w:pPr>
        <w:pStyle w:val="Number"/>
        <w:ind w:left="426" w:hanging="426"/>
      </w:pPr>
      <w:r w:rsidRPr="002E5BF6">
        <w:t>Agree the Ministry’s definition of stewardship and establish a stewardship framework.</w:t>
      </w:r>
    </w:p>
    <w:p w14:paraId="2C3FBDA5" w14:textId="4741C464" w:rsidR="00BE1F25" w:rsidRPr="002E5BF6" w:rsidRDefault="00BE1F25" w:rsidP="00381C8B">
      <w:pPr>
        <w:pStyle w:val="Number"/>
        <w:ind w:left="426" w:hanging="426"/>
      </w:pPr>
      <w:r w:rsidRPr="002E5BF6">
        <w:t>Strengthen relationships with other government agencies to achieve broader health goals, including undertaking opportunities for improvement.</w:t>
      </w:r>
    </w:p>
    <w:p w14:paraId="245B1B84" w14:textId="53D56149" w:rsidR="00BE1F25" w:rsidRPr="002E5BF6" w:rsidRDefault="00BE1F25" w:rsidP="00381C8B">
      <w:pPr>
        <w:pStyle w:val="Number"/>
        <w:ind w:left="426" w:hanging="426"/>
      </w:pPr>
      <w:r w:rsidRPr="002E5BF6">
        <w:t>Lead Māori–Crown relationships across the health sector.</w:t>
      </w:r>
    </w:p>
    <w:p w14:paraId="187AC713" w14:textId="78003456" w:rsidR="00BE1F25" w:rsidRDefault="00BE1F25" w:rsidP="00381C8B">
      <w:pPr>
        <w:pStyle w:val="Number"/>
        <w:ind w:left="426" w:hanging="426"/>
      </w:pPr>
      <w:r w:rsidRPr="002E5BF6">
        <w:t>Review the development of the wider health system and specific models and arrangements for health entities so that these deliver the Government’s intentions by July 2024.</w:t>
      </w:r>
      <w:r w:rsidR="002E5BF6">
        <w:rPr>
          <w:rStyle w:val="FootnoteReference"/>
        </w:rPr>
        <w:footnoteReference w:id="5"/>
      </w:r>
      <w:r w:rsidRPr="002E5BF6">
        <w:t xml:space="preserve"> (Former priority area one.)</w:t>
      </w:r>
    </w:p>
    <w:p w14:paraId="4F0C5B9F" w14:textId="77777777" w:rsidR="002E5BF6" w:rsidRDefault="002E5BF6" w:rsidP="002E5BF6">
      <w:pPr>
        <w:pStyle w:val="Heading4"/>
      </w:pPr>
      <w:r w:rsidRPr="002E5BF6">
        <w:t>Priority 2: Drive system strategy and performance</w:t>
      </w:r>
    </w:p>
    <w:p w14:paraId="374BB591" w14:textId="77777777" w:rsidR="002E5BF6" w:rsidRPr="00BE1F25" w:rsidRDefault="002E5BF6" w:rsidP="002E5BF6">
      <w:pPr>
        <w:spacing w:before="240" w:after="120"/>
        <w:rPr>
          <w:b/>
          <w:bCs/>
        </w:rPr>
      </w:pPr>
      <w:r w:rsidRPr="00BE1F25">
        <w:rPr>
          <w:b/>
          <w:bCs/>
        </w:rPr>
        <w:t>Our key result areas</w:t>
      </w:r>
    </w:p>
    <w:p w14:paraId="35074CC0" w14:textId="634C59E5" w:rsidR="002E5BF6" w:rsidRDefault="002E5BF6" w:rsidP="002E5BF6">
      <w:pPr>
        <w:pStyle w:val="Bullet"/>
      </w:pPr>
      <w:r>
        <w:t>Maintaining the strategic direction for health and the health system.</w:t>
      </w:r>
    </w:p>
    <w:p w14:paraId="74183EBC" w14:textId="0308A637" w:rsidR="002E5BF6" w:rsidRDefault="002E5BF6" w:rsidP="002E5BF6">
      <w:pPr>
        <w:pStyle w:val="Bullet"/>
      </w:pPr>
      <w:r>
        <w:t>Monitoring and reporting on health outcomes, system performance and Māori-Crown relationships.</w:t>
      </w:r>
    </w:p>
    <w:p w14:paraId="72643E81" w14:textId="7DDD3C28" w:rsidR="002E5BF6" w:rsidRDefault="002E5BF6" w:rsidP="002E5BF6">
      <w:pPr>
        <w:pStyle w:val="Bullet"/>
      </w:pPr>
      <w:r>
        <w:t>Monitoring and assessing the effectiveness of health entities in fulfilling their functions and steering collective actions where necessary.</w:t>
      </w:r>
    </w:p>
    <w:p w14:paraId="0ABEBCCC" w14:textId="77777777" w:rsidR="002E5BF6" w:rsidRPr="00BE1F25" w:rsidRDefault="002E5BF6" w:rsidP="002E5BF6">
      <w:pPr>
        <w:spacing w:before="240" w:after="120"/>
        <w:rPr>
          <w:b/>
          <w:bCs/>
        </w:rPr>
      </w:pPr>
      <w:r w:rsidRPr="00BE1F25">
        <w:rPr>
          <w:b/>
          <w:bCs/>
        </w:rPr>
        <w:t>Intended activities for 2023–</w:t>
      </w:r>
      <w:proofErr w:type="gramStart"/>
      <w:r w:rsidRPr="00BE1F25">
        <w:rPr>
          <w:b/>
          <w:bCs/>
        </w:rPr>
        <w:t>2025</w:t>
      </w:r>
      <w:proofErr w:type="gramEnd"/>
    </w:p>
    <w:p w14:paraId="581D52D4" w14:textId="0871BBA2" w:rsidR="002E5BF6" w:rsidRPr="002E5BF6" w:rsidRDefault="002E5BF6" w:rsidP="007123AC">
      <w:pPr>
        <w:pStyle w:val="Number"/>
        <w:numPr>
          <w:ilvl w:val="0"/>
          <w:numId w:val="14"/>
        </w:numPr>
        <w:ind w:left="426" w:hanging="426"/>
      </w:pPr>
      <w:r w:rsidRPr="002E5BF6">
        <w:t>Develop the Government Policy Statement 2024–2027. (Former priority area two.)</w:t>
      </w:r>
    </w:p>
    <w:p w14:paraId="77FF7271" w14:textId="516FE7E7" w:rsidR="002E5BF6" w:rsidRPr="002E5BF6" w:rsidRDefault="002E5BF6" w:rsidP="007123AC">
      <w:pPr>
        <w:pStyle w:val="Number"/>
        <w:numPr>
          <w:ilvl w:val="0"/>
          <w:numId w:val="14"/>
        </w:numPr>
        <w:ind w:left="426" w:hanging="426"/>
      </w:pPr>
      <w:r w:rsidRPr="002E5BF6">
        <w:t>Support the development and approval of the New Zealand Health Plan. (Former priority area two.)</w:t>
      </w:r>
    </w:p>
    <w:p w14:paraId="1DD65AAE" w14:textId="21F9B08D" w:rsidR="002E5BF6" w:rsidRPr="002E5BF6" w:rsidRDefault="002E5BF6" w:rsidP="007123AC">
      <w:pPr>
        <w:pStyle w:val="Number"/>
        <w:numPr>
          <w:ilvl w:val="0"/>
          <w:numId w:val="14"/>
        </w:numPr>
        <w:ind w:left="426" w:hanging="426"/>
      </w:pPr>
      <w:r w:rsidRPr="002E5BF6">
        <w:t>Lead the Budget 2024 process to agree funding and investment that enables the health system to support the Government Policy Statement on Health and the New Zealand Health Plan. (Former priority area two.)</w:t>
      </w:r>
    </w:p>
    <w:p w14:paraId="436181FA" w14:textId="75A8BDFC" w:rsidR="002E5BF6" w:rsidRPr="002E5BF6" w:rsidRDefault="002E5BF6" w:rsidP="007123AC">
      <w:pPr>
        <w:pStyle w:val="Number"/>
        <w:numPr>
          <w:ilvl w:val="0"/>
          <w:numId w:val="14"/>
        </w:numPr>
        <w:ind w:left="426" w:hanging="426"/>
      </w:pPr>
      <w:r w:rsidRPr="002E5BF6">
        <w:lastRenderedPageBreak/>
        <w:t>Develop a strategic monitoring framework that sets out the key long-term outcomes for people, whānau and the health system as an enduring basis for future priority actions and measurement.</w:t>
      </w:r>
    </w:p>
    <w:p w14:paraId="0EC43994" w14:textId="0C1BDEAD" w:rsidR="002E5BF6" w:rsidRPr="002E5BF6" w:rsidRDefault="002E5BF6" w:rsidP="007123AC">
      <w:pPr>
        <w:pStyle w:val="Number"/>
        <w:numPr>
          <w:ilvl w:val="0"/>
          <w:numId w:val="14"/>
        </w:numPr>
        <w:ind w:left="426" w:hanging="426"/>
      </w:pPr>
      <w:r w:rsidRPr="002E5BF6">
        <w:t>Embed and enhance the frameworks for system-wide and Crown entity monitoring with health entities. (Former priority area four.)</w:t>
      </w:r>
    </w:p>
    <w:p w14:paraId="18E18982" w14:textId="5624E5BD" w:rsidR="002E5BF6" w:rsidRPr="002E5BF6" w:rsidRDefault="002E5BF6" w:rsidP="007123AC">
      <w:pPr>
        <w:pStyle w:val="Number"/>
        <w:numPr>
          <w:ilvl w:val="0"/>
          <w:numId w:val="14"/>
        </w:numPr>
        <w:ind w:left="426" w:hanging="426"/>
      </w:pPr>
      <w:r w:rsidRPr="002E5BF6">
        <w:t>Establish processes for providing clinical expertise on and insights into the system performance and monitoring function, including from those who have lived experience of the health system. (Former priority area four.)</w:t>
      </w:r>
    </w:p>
    <w:p w14:paraId="64F59404" w14:textId="77777777" w:rsidR="002E5BF6" w:rsidRDefault="002E5BF6" w:rsidP="007123AC">
      <w:pPr>
        <w:pStyle w:val="Number"/>
        <w:numPr>
          <w:ilvl w:val="0"/>
          <w:numId w:val="14"/>
        </w:numPr>
        <w:ind w:left="426" w:hanging="426"/>
      </w:pPr>
      <w:r w:rsidRPr="002E5BF6">
        <w:t>Monitor the performance of the health sector for Māori.</w:t>
      </w:r>
      <w:r>
        <w:rPr>
          <w:rStyle w:val="FootnoteReference"/>
        </w:rPr>
        <w:footnoteReference w:id="6"/>
      </w:r>
      <w:r w:rsidRPr="002E5BF6">
        <w:t xml:space="preserve"> (Former priority area four.)</w:t>
      </w:r>
    </w:p>
    <w:p w14:paraId="52BEDA7B" w14:textId="1DC61D47" w:rsidR="002E5BF6" w:rsidRDefault="002E5BF6" w:rsidP="00890289">
      <w:pPr>
        <w:pStyle w:val="Heading4"/>
      </w:pPr>
      <w:r w:rsidRPr="002E5BF6">
        <w:t xml:space="preserve">Priority 3: Be the Government’s primary advisor on </w:t>
      </w:r>
      <w:proofErr w:type="gramStart"/>
      <w:r w:rsidRPr="002E5BF6">
        <w:t>health</w:t>
      </w:r>
      <w:proofErr w:type="gramEnd"/>
    </w:p>
    <w:p w14:paraId="5933C644" w14:textId="77777777" w:rsidR="002E5BF6" w:rsidRPr="002E5BF6" w:rsidRDefault="002E5BF6" w:rsidP="002E5BF6">
      <w:pPr>
        <w:spacing w:before="240" w:after="120"/>
        <w:rPr>
          <w:b/>
          <w:bCs/>
        </w:rPr>
      </w:pPr>
      <w:r w:rsidRPr="002E5BF6">
        <w:rPr>
          <w:b/>
          <w:bCs/>
        </w:rPr>
        <w:t>Our key result areas</w:t>
      </w:r>
    </w:p>
    <w:p w14:paraId="33A9AE47" w14:textId="02053AA3" w:rsidR="002E5BF6" w:rsidRDefault="002E5BF6" w:rsidP="002E5BF6">
      <w:pPr>
        <w:pStyle w:val="Bullet"/>
      </w:pPr>
      <w:r>
        <w:t>Developing policies to deliver the Government’s objectives for the health of the population, the role of the health system and the people who work within it.</w:t>
      </w:r>
    </w:p>
    <w:p w14:paraId="050B64C1" w14:textId="3DAC671F" w:rsidR="002E5BF6" w:rsidRDefault="002E5BF6" w:rsidP="002E5BF6">
      <w:pPr>
        <w:pStyle w:val="Bullet"/>
      </w:pPr>
      <w:r>
        <w:t>Keeping a consistent focus on Te Tiriti and equity in the priorities of the health system.</w:t>
      </w:r>
    </w:p>
    <w:p w14:paraId="2125002E" w14:textId="77777777" w:rsidR="002E5BF6" w:rsidRPr="002E5BF6" w:rsidRDefault="002E5BF6" w:rsidP="002E5BF6">
      <w:pPr>
        <w:spacing w:before="240" w:after="120"/>
        <w:rPr>
          <w:b/>
          <w:bCs/>
        </w:rPr>
      </w:pPr>
      <w:r w:rsidRPr="002E5BF6">
        <w:rPr>
          <w:b/>
          <w:bCs/>
        </w:rPr>
        <w:t>Intended activities for 2023–</w:t>
      </w:r>
      <w:proofErr w:type="gramStart"/>
      <w:r w:rsidRPr="002E5BF6">
        <w:rPr>
          <w:b/>
          <w:bCs/>
        </w:rPr>
        <w:t>2025</w:t>
      </w:r>
      <w:proofErr w:type="gramEnd"/>
    </w:p>
    <w:p w14:paraId="3304443F" w14:textId="5F506509" w:rsidR="002E5BF6" w:rsidRPr="002E5BF6" w:rsidRDefault="002E5BF6" w:rsidP="007123AC">
      <w:pPr>
        <w:pStyle w:val="Number"/>
        <w:numPr>
          <w:ilvl w:val="0"/>
          <w:numId w:val="15"/>
        </w:numPr>
        <w:ind w:left="426" w:hanging="426"/>
      </w:pPr>
      <w:r w:rsidRPr="002E5BF6">
        <w:t>Develop and deliver a rolling programme of strategic policy advice to provide insights into and options for continuously improving health and system settings. (Former priority area two.)</w:t>
      </w:r>
    </w:p>
    <w:p w14:paraId="45BAEFBD" w14:textId="3F445AF2" w:rsidR="002E5BF6" w:rsidRPr="002E5BF6" w:rsidRDefault="002E5BF6" w:rsidP="007123AC">
      <w:pPr>
        <w:pStyle w:val="Number"/>
        <w:numPr>
          <w:ilvl w:val="0"/>
          <w:numId w:val="15"/>
        </w:numPr>
        <w:ind w:left="426" w:hanging="426"/>
      </w:pPr>
      <w:r w:rsidRPr="002E5BF6">
        <w:t>Confirm policy decision for new mental health legislation.</w:t>
      </w:r>
    </w:p>
    <w:p w14:paraId="2F8C111C" w14:textId="50A7A3C1" w:rsidR="002E5BF6" w:rsidRPr="002E5BF6" w:rsidRDefault="002E5BF6" w:rsidP="007123AC">
      <w:pPr>
        <w:pStyle w:val="Number"/>
        <w:numPr>
          <w:ilvl w:val="0"/>
          <w:numId w:val="15"/>
        </w:numPr>
        <w:ind w:left="426" w:hanging="426"/>
      </w:pPr>
      <w:r w:rsidRPr="002E5BF6">
        <w:t>Prioritise equity for Māori, Pacific peoples, disabled people and other population groups who experience inequitable health outcomes within all policies, programmes and activities. (Former priority area two.)</w:t>
      </w:r>
    </w:p>
    <w:p w14:paraId="2B7924C8" w14:textId="010E9820" w:rsidR="002E5BF6" w:rsidRPr="002E5BF6" w:rsidRDefault="002E5BF6" w:rsidP="007123AC">
      <w:pPr>
        <w:pStyle w:val="Number"/>
        <w:numPr>
          <w:ilvl w:val="0"/>
          <w:numId w:val="15"/>
        </w:numPr>
        <w:ind w:left="426" w:hanging="426"/>
      </w:pPr>
      <w:r w:rsidRPr="002E5BF6">
        <w:t>Support the Crown to meet its Tiriti settlement commitments. (New Cabinet requirement (MCR-22-MIN-0023).)</w:t>
      </w:r>
    </w:p>
    <w:p w14:paraId="6184DCAE" w14:textId="1A1FB318" w:rsidR="002E5BF6" w:rsidRPr="002E5BF6" w:rsidRDefault="002E5BF6" w:rsidP="007123AC">
      <w:pPr>
        <w:pStyle w:val="Number"/>
        <w:numPr>
          <w:ilvl w:val="0"/>
          <w:numId w:val="15"/>
        </w:numPr>
        <w:ind w:left="426" w:hanging="426"/>
      </w:pPr>
      <w:r w:rsidRPr="002E5BF6">
        <w:t>Support the Therapeutic Products Bill to pass into legislation and plan for its implementation. (In November 2023, the new Government decided to repeal this legislation.) (Former priority area three.)</w:t>
      </w:r>
    </w:p>
    <w:p w14:paraId="23847748" w14:textId="20B29C50" w:rsidR="002E5BF6" w:rsidRPr="002E5BF6" w:rsidRDefault="002E5BF6" w:rsidP="007123AC">
      <w:pPr>
        <w:pStyle w:val="Number"/>
        <w:numPr>
          <w:ilvl w:val="0"/>
          <w:numId w:val="15"/>
        </w:numPr>
        <w:ind w:left="426" w:hanging="426"/>
        <w:rPr>
          <w:b/>
        </w:rPr>
      </w:pPr>
      <w:r w:rsidRPr="002E5BF6">
        <w:t>Deliver further legislation as agreed to strengthen the statutory basis for the health system. (Former priority area three.)</w:t>
      </w:r>
    </w:p>
    <w:p w14:paraId="2B702F01" w14:textId="55878705" w:rsidR="002E5BF6" w:rsidRPr="00890289" w:rsidRDefault="002E5BF6" w:rsidP="00890289">
      <w:pPr>
        <w:pStyle w:val="Heading4"/>
      </w:pPr>
      <w:r w:rsidRPr="00890289">
        <w:t>Priority 4: Future-proof our health system</w:t>
      </w:r>
    </w:p>
    <w:p w14:paraId="0162E91A" w14:textId="77777777" w:rsidR="002E5BF6" w:rsidRPr="002E5BF6" w:rsidRDefault="002E5BF6" w:rsidP="002E5BF6">
      <w:pPr>
        <w:spacing w:before="240" w:after="120"/>
        <w:rPr>
          <w:b/>
          <w:bCs/>
        </w:rPr>
      </w:pPr>
      <w:r w:rsidRPr="002E5BF6">
        <w:rPr>
          <w:b/>
          <w:bCs/>
        </w:rPr>
        <w:t>Our key result areas</w:t>
      </w:r>
    </w:p>
    <w:p w14:paraId="01131C4D" w14:textId="56580F10" w:rsidR="002E5BF6" w:rsidRDefault="002E5BF6" w:rsidP="002E5BF6">
      <w:pPr>
        <w:pStyle w:val="Bullet"/>
      </w:pPr>
      <w:r>
        <w:t>Considering opportunities to develop new policies and address risks we identify.</w:t>
      </w:r>
    </w:p>
    <w:p w14:paraId="57F7351E" w14:textId="33C770C1" w:rsidR="002E5BF6" w:rsidRDefault="002E5BF6" w:rsidP="002E5BF6">
      <w:pPr>
        <w:pStyle w:val="Bullet"/>
      </w:pPr>
      <w:r>
        <w:t>Working cohesively with sector partners, influencing trends and investment decisions.</w:t>
      </w:r>
    </w:p>
    <w:p w14:paraId="1E50CC71" w14:textId="044EC9CF" w:rsidR="002E5BF6" w:rsidRPr="002E5BF6" w:rsidRDefault="002E5BF6" w:rsidP="002E5BF6">
      <w:pPr>
        <w:spacing w:before="240" w:after="120"/>
        <w:rPr>
          <w:b/>
          <w:bCs/>
        </w:rPr>
      </w:pPr>
      <w:r w:rsidRPr="002E5BF6">
        <w:rPr>
          <w:b/>
          <w:bCs/>
        </w:rPr>
        <w:lastRenderedPageBreak/>
        <w:t>Intended activities for 2023–</w:t>
      </w:r>
      <w:proofErr w:type="gramStart"/>
      <w:r w:rsidRPr="002E5BF6">
        <w:rPr>
          <w:b/>
          <w:bCs/>
        </w:rPr>
        <w:t>2025</w:t>
      </w:r>
      <w:proofErr w:type="gramEnd"/>
    </w:p>
    <w:p w14:paraId="0A32B850" w14:textId="7FF2FAE0" w:rsidR="002E5BF6" w:rsidRDefault="002E5BF6" w:rsidP="007123AC">
      <w:pPr>
        <w:pStyle w:val="Number"/>
        <w:numPr>
          <w:ilvl w:val="0"/>
          <w:numId w:val="16"/>
        </w:numPr>
        <w:ind w:left="426" w:hanging="426"/>
      </w:pPr>
      <w:r>
        <w:t>Facilitate collaborative action on population health approaches across other sectors that have a direct influence on determinants of health. (Former priority area two.)</w:t>
      </w:r>
    </w:p>
    <w:p w14:paraId="56D58637" w14:textId="3C6B77F7" w:rsidR="002E5BF6" w:rsidRDefault="002E5BF6" w:rsidP="00381C8B">
      <w:pPr>
        <w:pStyle w:val="Number"/>
        <w:numPr>
          <w:ilvl w:val="0"/>
          <w:numId w:val="16"/>
        </w:numPr>
        <w:ind w:left="426" w:hanging="426"/>
      </w:pPr>
      <w:r>
        <w:t>Lift horizon scanning capabilities in the Ministry and bring a specific focus on horizon scanning through our revised Ministry governance arrangements.</w:t>
      </w:r>
    </w:p>
    <w:p w14:paraId="588ACBD0" w14:textId="2218A3E8" w:rsidR="002E5BF6" w:rsidRDefault="002E5BF6" w:rsidP="00381C8B">
      <w:pPr>
        <w:pStyle w:val="Number"/>
        <w:numPr>
          <w:ilvl w:val="0"/>
          <w:numId w:val="16"/>
        </w:numPr>
        <w:ind w:left="426" w:hanging="426"/>
      </w:pPr>
      <w:r>
        <w:t>Undertake a programme of work towards growing and retaining the health workforce, including work towards establishing a third medical school at the University of Waikato.</w:t>
      </w:r>
    </w:p>
    <w:p w14:paraId="5FB9D09D" w14:textId="7E0C409C" w:rsidR="002E5BF6" w:rsidRDefault="002E5BF6" w:rsidP="00381C8B">
      <w:pPr>
        <w:pStyle w:val="Number"/>
        <w:numPr>
          <w:ilvl w:val="0"/>
          <w:numId w:val="16"/>
        </w:numPr>
        <w:ind w:left="426" w:hanging="426"/>
      </w:pPr>
      <w:r>
        <w:t>Develop and present to the House of Representatives our long-term insights briefing on precision health.</w:t>
      </w:r>
    </w:p>
    <w:p w14:paraId="76850002" w14:textId="5B03D877" w:rsidR="002E5BF6" w:rsidRDefault="002E5BF6" w:rsidP="00381C8B">
      <w:pPr>
        <w:pStyle w:val="Number"/>
        <w:numPr>
          <w:ilvl w:val="0"/>
          <w:numId w:val="16"/>
        </w:numPr>
        <w:ind w:left="426" w:hanging="426"/>
      </w:pPr>
      <w:r>
        <w:t>Strengthen links between science, public health and policy, particularly in relation to surveillance and the role of laboratories. (Former priority area two.)</w:t>
      </w:r>
    </w:p>
    <w:p w14:paraId="675E38EC" w14:textId="25978AED" w:rsidR="002E5BF6" w:rsidRDefault="002E5BF6" w:rsidP="00381C8B">
      <w:pPr>
        <w:pStyle w:val="Number"/>
        <w:numPr>
          <w:ilvl w:val="0"/>
          <w:numId w:val="16"/>
        </w:numPr>
        <w:ind w:left="426" w:hanging="426"/>
      </w:pPr>
      <w:r>
        <w:t>Establish effective channels for proactively communicating evidence, insights and knowledge, in order to inform priority areas and decision-making within the Ministry and across the system. (Former priority area one.)</w:t>
      </w:r>
    </w:p>
    <w:p w14:paraId="2330181D" w14:textId="77777777" w:rsidR="002E5BF6" w:rsidRDefault="002E5BF6" w:rsidP="00381C8B">
      <w:pPr>
        <w:pStyle w:val="Number"/>
        <w:numPr>
          <w:ilvl w:val="0"/>
          <w:numId w:val="16"/>
        </w:numPr>
        <w:ind w:left="426" w:hanging="426"/>
      </w:pPr>
      <w:r>
        <w:t>Implement an evaluation of the impact of the Ministry’s science, research and innovation function by 30 June 2026. (Former priority area one.)</w:t>
      </w:r>
    </w:p>
    <w:p w14:paraId="18DDDE6A" w14:textId="77777777" w:rsidR="00C8582F" w:rsidRDefault="00C8582F" w:rsidP="00890289">
      <w:pPr>
        <w:pStyle w:val="Heading4"/>
      </w:pPr>
      <w:r w:rsidRPr="00C8582F">
        <w:t xml:space="preserve">Priority 5: Be the regulator of the health </w:t>
      </w:r>
      <w:proofErr w:type="gramStart"/>
      <w:r w:rsidRPr="00C8582F">
        <w:t>system</w:t>
      </w:r>
      <w:proofErr w:type="gramEnd"/>
    </w:p>
    <w:p w14:paraId="62066F21" w14:textId="77777777" w:rsidR="00C8582F" w:rsidRPr="002E5BF6" w:rsidRDefault="00C8582F" w:rsidP="00C8582F">
      <w:pPr>
        <w:spacing w:before="240" w:after="120"/>
        <w:rPr>
          <w:b/>
          <w:bCs/>
        </w:rPr>
      </w:pPr>
      <w:r w:rsidRPr="002E5BF6">
        <w:rPr>
          <w:b/>
          <w:bCs/>
        </w:rPr>
        <w:t>Our key result areas</w:t>
      </w:r>
    </w:p>
    <w:p w14:paraId="4FFB3CEF" w14:textId="1F78853D" w:rsidR="00C8582F" w:rsidRDefault="00C8582F" w:rsidP="00C8582F">
      <w:pPr>
        <w:pStyle w:val="Bullet"/>
      </w:pPr>
      <w:r>
        <w:t>Providing for effective regulation of health and care services and therapeutic products to maintain and improve quality and safety.</w:t>
      </w:r>
    </w:p>
    <w:p w14:paraId="1ED0A527" w14:textId="1A48337B" w:rsidR="00C8582F" w:rsidRDefault="00C8582F" w:rsidP="00C8582F">
      <w:pPr>
        <w:pStyle w:val="Bullet"/>
      </w:pPr>
      <w:r>
        <w:t>Maintaining the wider regulatory and legislative environment to support health entities to carry out their functions.</w:t>
      </w:r>
    </w:p>
    <w:p w14:paraId="455C8D6D" w14:textId="77777777" w:rsidR="00C8582F" w:rsidRPr="002E5BF6" w:rsidRDefault="00C8582F" w:rsidP="00C8582F">
      <w:pPr>
        <w:spacing w:before="240" w:after="120"/>
        <w:rPr>
          <w:b/>
          <w:bCs/>
        </w:rPr>
      </w:pPr>
      <w:r w:rsidRPr="002E5BF6">
        <w:rPr>
          <w:b/>
          <w:bCs/>
        </w:rPr>
        <w:t>Intended activities for 2023–</w:t>
      </w:r>
      <w:proofErr w:type="gramStart"/>
      <w:r w:rsidRPr="002E5BF6">
        <w:rPr>
          <w:b/>
          <w:bCs/>
        </w:rPr>
        <w:t>2025</w:t>
      </w:r>
      <w:proofErr w:type="gramEnd"/>
    </w:p>
    <w:p w14:paraId="45646793" w14:textId="71CD6D8F" w:rsidR="00C8582F" w:rsidRDefault="00C8582F" w:rsidP="007123AC">
      <w:pPr>
        <w:pStyle w:val="Number"/>
        <w:numPr>
          <w:ilvl w:val="0"/>
          <w:numId w:val="17"/>
        </w:numPr>
        <w:ind w:left="426" w:hanging="426"/>
      </w:pPr>
      <w:r>
        <w:t>Put in place a programme to conduct regular, twice-yearly reviews of the regulatory and legislative environment, monitoring the effectiveness of regulatory interventions and the broader landscape. Carry out the first full review by June 2025. (Former priority area three.)</w:t>
      </w:r>
    </w:p>
    <w:p w14:paraId="37E63EAE" w14:textId="5B6C5185" w:rsidR="00C8582F" w:rsidRDefault="00C8582F" w:rsidP="007123AC">
      <w:pPr>
        <w:pStyle w:val="Number"/>
        <w:numPr>
          <w:ilvl w:val="0"/>
          <w:numId w:val="17"/>
        </w:numPr>
        <w:ind w:left="426" w:hanging="426"/>
      </w:pPr>
      <w:r>
        <w:t>Support an independent formal review of the implementation of the assisted dying service. (Former priority area three.)</w:t>
      </w:r>
    </w:p>
    <w:p w14:paraId="16FF6F9B" w14:textId="7834BFD3" w:rsidR="00C8582F" w:rsidRDefault="00C8582F" w:rsidP="007123AC">
      <w:pPr>
        <w:pStyle w:val="Number"/>
        <w:numPr>
          <w:ilvl w:val="0"/>
          <w:numId w:val="17"/>
        </w:numPr>
        <w:ind w:left="426" w:hanging="426"/>
      </w:pPr>
      <w:r>
        <w:t>Amend the radiation safety regulations based on audit and advice from the new quality management system. (Former priority area three.)</w:t>
      </w:r>
    </w:p>
    <w:p w14:paraId="60695158" w14:textId="5EB9B4CD" w:rsidR="00C8582F" w:rsidRDefault="00C8582F" w:rsidP="007123AC">
      <w:pPr>
        <w:pStyle w:val="Number"/>
        <w:numPr>
          <w:ilvl w:val="0"/>
          <w:numId w:val="17"/>
        </w:numPr>
        <w:ind w:left="426" w:hanging="426"/>
      </w:pPr>
      <w:r>
        <w:t>Support the transition to Ngā Paerewa Health and Disability Services Standard. (Former priority area three.)</w:t>
      </w:r>
    </w:p>
    <w:p w14:paraId="4362741C" w14:textId="3C7FBBE0" w:rsidR="00C8582F" w:rsidRDefault="00C8582F" w:rsidP="007123AC">
      <w:pPr>
        <w:pStyle w:val="Number"/>
        <w:numPr>
          <w:ilvl w:val="0"/>
          <w:numId w:val="17"/>
        </w:numPr>
        <w:ind w:left="426" w:hanging="426"/>
      </w:pPr>
      <w:r>
        <w:t>Develop and implement a data analytics framework for certification and audit of health and disability services. (Former priority area three.)</w:t>
      </w:r>
    </w:p>
    <w:p w14:paraId="2893DB80" w14:textId="77777777" w:rsidR="00C8582F" w:rsidRDefault="00C8582F" w:rsidP="007123AC">
      <w:pPr>
        <w:pStyle w:val="Number"/>
        <w:numPr>
          <w:ilvl w:val="0"/>
          <w:numId w:val="17"/>
        </w:numPr>
        <w:ind w:left="426" w:hanging="426"/>
      </w:pPr>
      <w:r>
        <w:t xml:space="preserve">In partnership with health entities, develop an assurance framework and approach to </w:t>
      </w:r>
      <w:r w:rsidRPr="00C8582F">
        <w:t>determine the critical features of the reformed system that is to be delivered by July 2024, and how to monitor progress.</w:t>
      </w:r>
    </w:p>
    <w:p w14:paraId="6736E8A8" w14:textId="77777777" w:rsidR="00C8582F" w:rsidRDefault="00C8582F" w:rsidP="00890289">
      <w:pPr>
        <w:pStyle w:val="Heading4"/>
      </w:pPr>
      <w:r w:rsidRPr="00C8582F">
        <w:lastRenderedPageBreak/>
        <w:t xml:space="preserve">Priority 6: Transform </w:t>
      </w:r>
      <w:proofErr w:type="gramStart"/>
      <w:r w:rsidRPr="00C8582F">
        <w:t>ourselves</w:t>
      </w:r>
      <w:proofErr w:type="gramEnd"/>
    </w:p>
    <w:p w14:paraId="12DD516A" w14:textId="77777777" w:rsidR="00C8582F" w:rsidRPr="002E5BF6" w:rsidRDefault="00C8582F" w:rsidP="00C8582F">
      <w:pPr>
        <w:spacing w:before="240" w:after="120"/>
        <w:rPr>
          <w:b/>
          <w:bCs/>
        </w:rPr>
      </w:pPr>
      <w:r w:rsidRPr="002E5BF6">
        <w:rPr>
          <w:b/>
          <w:bCs/>
        </w:rPr>
        <w:t>Our key result areas</w:t>
      </w:r>
    </w:p>
    <w:p w14:paraId="313B8AA2" w14:textId="6D17D738" w:rsidR="00C8582F" w:rsidRDefault="00C8582F" w:rsidP="00C8582F">
      <w:pPr>
        <w:pStyle w:val="Bullet"/>
      </w:pPr>
      <w:r>
        <w:t xml:space="preserve">Developing and operating the new Ministry to harness the opportunity of the reformed health </w:t>
      </w:r>
      <w:proofErr w:type="gramStart"/>
      <w:r>
        <w:t>system</w:t>
      </w:r>
      <w:proofErr w:type="gramEnd"/>
    </w:p>
    <w:p w14:paraId="59778A5C" w14:textId="46CACB48" w:rsidR="00C8582F" w:rsidRDefault="00C8582F" w:rsidP="00C8582F">
      <w:pPr>
        <w:pStyle w:val="Bullet"/>
      </w:pPr>
      <w:r>
        <w:t>Making the shifts in the way we work to deliver on the priorities.</w:t>
      </w:r>
    </w:p>
    <w:p w14:paraId="5A03D392" w14:textId="77777777" w:rsidR="00C8582F" w:rsidRPr="002E5BF6" w:rsidRDefault="00C8582F" w:rsidP="00C8582F">
      <w:pPr>
        <w:spacing w:before="240" w:after="120"/>
        <w:rPr>
          <w:b/>
          <w:bCs/>
        </w:rPr>
      </w:pPr>
      <w:r w:rsidRPr="002E5BF6">
        <w:rPr>
          <w:b/>
          <w:bCs/>
        </w:rPr>
        <w:t>Intended activities for 2023–</w:t>
      </w:r>
      <w:proofErr w:type="gramStart"/>
      <w:r w:rsidRPr="002E5BF6">
        <w:rPr>
          <w:b/>
          <w:bCs/>
        </w:rPr>
        <w:t>2025</w:t>
      </w:r>
      <w:proofErr w:type="gramEnd"/>
    </w:p>
    <w:p w14:paraId="39528467" w14:textId="4078EDDA" w:rsidR="00C8582F" w:rsidRDefault="00C8582F" w:rsidP="007123AC">
      <w:pPr>
        <w:pStyle w:val="Number"/>
        <w:numPr>
          <w:ilvl w:val="0"/>
          <w:numId w:val="18"/>
        </w:numPr>
        <w:tabs>
          <w:tab w:val="left" w:pos="426"/>
        </w:tabs>
        <w:ind w:left="426" w:hanging="426"/>
      </w:pPr>
      <w:r>
        <w:t>Continue to implement the Ministry’s revised model and ways of working to reach ‘steady state’ by July 2024. Set in place processes for ongoing self-assessment and improvement beyond this date.</w:t>
      </w:r>
      <w:r>
        <w:rPr>
          <w:rStyle w:val="FootnoteReference"/>
        </w:rPr>
        <w:footnoteReference w:id="7"/>
      </w:r>
      <w:r>
        <w:t xml:space="preserve"> (Former priority area one.)</w:t>
      </w:r>
    </w:p>
    <w:p w14:paraId="2DAE46ED" w14:textId="5F28AEE4" w:rsidR="00C8582F" w:rsidRDefault="00C8582F" w:rsidP="007123AC">
      <w:pPr>
        <w:pStyle w:val="Number"/>
        <w:numPr>
          <w:ilvl w:val="0"/>
          <w:numId w:val="18"/>
        </w:numPr>
        <w:tabs>
          <w:tab w:val="left" w:pos="426"/>
        </w:tabs>
        <w:ind w:left="426" w:hanging="426"/>
      </w:pPr>
      <w:r>
        <w:t>Establish new executive structures to ensure senior leaders have sufficient time for strategic conversations and broader scope for decision-making.</w:t>
      </w:r>
    </w:p>
    <w:p w14:paraId="21FA9C56" w14:textId="77777777" w:rsidR="00C8582F" w:rsidRDefault="00C8582F" w:rsidP="007123AC">
      <w:pPr>
        <w:pStyle w:val="Number"/>
        <w:numPr>
          <w:ilvl w:val="0"/>
          <w:numId w:val="18"/>
        </w:numPr>
        <w:tabs>
          <w:tab w:val="left" w:pos="426"/>
        </w:tabs>
        <w:ind w:left="426" w:hanging="426"/>
      </w:pPr>
      <w:r>
        <w:t>Continue to ensure clarity on roles and responsibilities for Māori health following the Pae Ora (Disestablishment of Māori Health Authority) Amendment Act 2024.</w:t>
      </w:r>
    </w:p>
    <w:p w14:paraId="58298D2F" w14:textId="77777777" w:rsidR="005B2181" w:rsidRDefault="005B2181" w:rsidP="005B2181">
      <w:pPr>
        <w:pStyle w:val="Number"/>
        <w:numPr>
          <w:ilvl w:val="0"/>
          <w:numId w:val="0"/>
        </w:numPr>
        <w:tabs>
          <w:tab w:val="left" w:pos="426"/>
        </w:tabs>
        <w:ind w:left="426" w:hanging="426"/>
      </w:pPr>
    </w:p>
    <w:p w14:paraId="0164445E" w14:textId="77777777" w:rsidR="005B2181" w:rsidRDefault="005B2181" w:rsidP="005B2181">
      <w:pPr>
        <w:pStyle w:val="Number"/>
        <w:numPr>
          <w:ilvl w:val="0"/>
          <w:numId w:val="0"/>
        </w:numPr>
        <w:tabs>
          <w:tab w:val="left" w:pos="426"/>
        </w:tabs>
        <w:ind w:left="426" w:hanging="426"/>
      </w:pPr>
    </w:p>
    <w:p w14:paraId="498BDED0" w14:textId="77777777" w:rsidR="005B2181" w:rsidRDefault="005B2181" w:rsidP="005B2181">
      <w:pPr>
        <w:pStyle w:val="Number"/>
        <w:numPr>
          <w:ilvl w:val="0"/>
          <w:numId w:val="0"/>
        </w:numPr>
        <w:tabs>
          <w:tab w:val="left" w:pos="426"/>
        </w:tabs>
        <w:ind w:left="426" w:hanging="426"/>
        <w:sectPr w:rsidR="005B2181" w:rsidSect="008F0115">
          <w:pgSz w:w="11907" w:h="16840" w:code="9"/>
          <w:pgMar w:top="1418" w:right="1701" w:bottom="1134" w:left="1843" w:header="284" w:footer="425" w:gutter="284"/>
          <w:cols w:space="720"/>
        </w:sectPr>
      </w:pPr>
    </w:p>
    <w:p w14:paraId="1268E284" w14:textId="77777777" w:rsidR="005B2181" w:rsidRDefault="005B2181" w:rsidP="005B2181">
      <w:pPr>
        <w:pStyle w:val="Heading2"/>
        <w:spacing w:before="0"/>
      </w:pPr>
      <w:bookmarkStart w:id="18" w:name="_Toc180077017"/>
      <w:r w:rsidRPr="005B2181">
        <w:lastRenderedPageBreak/>
        <w:t xml:space="preserve">Priority 1: Provide system-level </w:t>
      </w:r>
      <w:proofErr w:type="gramStart"/>
      <w:r w:rsidRPr="005B2181">
        <w:t>leadership</w:t>
      </w:r>
      <w:bookmarkEnd w:id="18"/>
      <w:proofErr w:type="gramEnd"/>
    </w:p>
    <w:p w14:paraId="707B129A" w14:textId="77777777" w:rsidR="005B2181" w:rsidRPr="00613AC5" w:rsidRDefault="005B2181" w:rsidP="00613AC5">
      <w:pPr>
        <w:pStyle w:val="Box"/>
        <w:rPr>
          <w:sz w:val="22"/>
          <w:szCs w:val="22"/>
        </w:rPr>
      </w:pPr>
      <w:bookmarkStart w:id="19" w:name="_Hlk179297919"/>
      <w:r w:rsidRPr="00613AC5">
        <w:rPr>
          <w:sz w:val="22"/>
          <w:szCs w:val="22"/>
        </w:rPr>
        <w:t>We set the strategic direction for health and the health system to achieve better health outcomes for all New Zealanders.</w:t>
      </w:r>
    </w:p>
    <w:bookmarkEnd w:id="19"/>
    <w:p w14:paraId="579DFFE0" w14:textId="77777777" w:rsidR="005B2181" w:rsidRDefault="005B2181" w:rsidP="00375553">
      <w:pPr>
        <w:pStyle w:val="Heading4"/>
      </w:pPr>
      <w:r w:rsidRPr="005B2181">
        <w:t>Develop any further health strategies that Ministers agree to</w:t>
      </w:r>
    </w:p>
    <w:p w14:paraId="7EE3DC95" w14:textId="77777777" w:rsidR="005B2181" w:rsidRDefault="005B2181" w:rsidP="005B2181">
      <w:r>
        <w:t>On 12 July 2023, the Ministry published six strategies under the Pae Ora (Healthy Futures) Act 2022:</w:t>
      </w:r>
    </w:p>
    <w:p w14:paraId="06924162" w14:textId="7DCA6A15" w:rsidR="005B2181" w:rsidRDefault="005B2181" w:rsidP="005B2181">
      <w:pPr>
        <w:pStyle w:val="Bullet"/>
      </w:pPr>
      <w:r>
        <w:t>New Zealand Health Strategy</w:t>
      </w:r>
    </w:p>
    <w:p w14:paraId="33E30CD1" w14:textId="1C78AD94" w:rsidR="005B2181" w:rsidRDefault="005B2181" w:rsidP="005B2181">
      <w:pPr>
        <w:pStyle w:val="Bullet"/>
      </w:pPr>
      <w:r>
        <w:t>Pae Tū: Hauora Māori Strategy</w:t>
      </w:r>
    </w:p>
    <w:p w14:paraId="286F7AF4" w14:textId="2BE833F2" w:rsidR="005B2181" w:rsidRDefault="005B2181" w:rsidP="005B2181">
      <w:pPr>
        <w:pStyle w:val="Bullet"/>
      </w:pPr>
      <w:r>
        <w:t>Te Mana Ola: The Pacific Health Strategy</w:t>
      </w:r>
    </w:p>
    <w:p w14:paraId="57CCB1FD" w14:textId="3591E7F9" w:rsidR="005B2181" w:rsidRDefault="005B2181" w:rsidP="005B2181">
      <w:pPr>
        <w:pStyle w:val="Bullet"/>
      </w:pPr>
      <w:r>
        <w:t>Health of Disabled People Strategy</w:t>
      </w:r>
    </w:p>
    <w:p w14:paraId="62D51E76" w14:textId="0EA3F66A" w:rsidR="005B2181" w:rsidRDefault="005B2181" w:rsidP="005B2181">
      <w:pPr>
        <w:pStyle w:val="Bullet"/>
      </w:pPr>
      <w:r>
        <w:t>Rural Health Strategy</w:t>
      </w:r>
    </w:p>
    <w:p w14:paraId="24FE6FC2" w14:textId="371A6FC9" w:rsidR="005B2181" w:rsidRDefault="005B2181" w:rsidP="005B2181">
      <w:pPr>
        <w:pStyle w:val="Bullet"/>
      </w:pPr>
      <w:r>
        <w:t>Women’s Health Strategy.</w:t>
      </w:r>
      <w:r>
        <w:rPr>
          <w:rStyle w:val="FootnoteReference"/>
        </w:rPr>
        <w:footnoteReference w:id="8"/>
      </w:r>
    </w:p>
    <w:p w14:paraId="6F0E3974" w14:textId="77777777" w:rsidR="005B2181" w:rsidRDefault="005B2181" w:rsidP="005B2181"/>
    <w:p w14:paraId="5012259D" w14:textId="0FBF1C84" w:rsidR="005B2181" w:rsidRDefault="005B2181" w:rsidP="005B2181">
      <w:r>
        <w:t>The Pae Ora Strategies set out our health service priorities and system improvements over the next five to ten years. This was the first time Pacific peoples, rural communities and women have had their own health strategies. The Pae Ora Strategies have created a framework to guide activities and set the direction towards their 10-year vision.</w:t>
      </w:r>
    </w:p>
    <w:p w14:paraId="31B5B3B8" w14:textId="77777777" w:rsidR="005B2181" w:rsidRDefault="005B2181" w:rsidP="005B2181"/>
    <w:p w14:paraId="6339E474" w14:textId="22BC636D" w:rsidR="005B2181" w:rsidRDefault="005B2181" w:rsidP="005B2181">
      <w:r>
        <w:t>The Ministry is progressing work to implement the Pae Ora Strategies. Achievement of the vision and outcomes in these strategies is through the Government Policy Statement on Health 2024–2027 (GPS). The Pae Ora Strategies informed the priorities and expectations for the GPS from the views of communities. The GPS communicates what the Government will be delivering over the next three years, and the New Zealand Health Plan sets out how this will be delivered.</w:t>
      </w:r>
    </w:p>
    <w:p w14:paraId="303F0E50" w14:textId="77777777" w:rsidR="005B2181" w:rsidRDefault="005B2181" w:rsidP="005B2181"/>
    <w:p w14:paraId="1C0DBB44" w14:textId="7214D7DF" w:rsidR="005B2181" w:rsidRDefault="005B2181" w:rsidP="00C55AFB">
      <w:r>
        <w:t>In addition to the Pae Ora Strategies, the Ministry develops strategies focused on areas of specific need. In 2023/24, this has included the Aotearoa New Zealand Rare Disorders Strategy,</w:t>
      </w:r>
      <w:r>
        <w:rPr>
          <w:rStyle w:val="FootnoteReference"/>
        </w:rPr>
        <w:footnoteReference w:id="9"/>
      </w:r>
      <w:r>
        <w:t xml:space="preserve"> the first strategy led by the health system for people and their families living with rare disorders. It provides a framework to improve how the health system responds to and supports both the rare disorders community and service providers.</w:t>
      </w:r>
    </w:p>
    <w:p w14:paraId="0AE1D18B" w14:textId="77777777" w:rsidR="005B2181" w:rsidRDefault="005B2181" w:rsidP="005B2181"/>
    <w:p w14:paraId="254E803D" w14:textId="77777777" w:rsidR="005B2181" w:rsidRDefault="005B2181" w:rsidP="005B2181"/>
    <w:p w14:paraId="276E0960" w14:textId="77777777" w:rsidR="00C55AFB" w:rsidRDefault="00C55AFB" w:rsidP="005B2181">
      <w:pPr>
        <w:sectPr w:rsidR="00C55AFB" w:rsidSect="008F0115">
          <w:pgSz w:w="11907" w:h="16840" w:code="9"/>
          <w:pgMar w:top="1418" w:right="1701" w:bottom="1134" w:left="1843" w:header="284" w:footer="425" w:gutter="284"/>
          <w:cols w:space="720"/>
        </w:sectPr>
      </w:pPr>
    </w:p>
    <w:tbl>
      <w:tblPr>
        <w:tblStyle w:val="TableGrid"/>
        <w:tblW w:w="8359" w:type="dxa"/>
        <w:tblBorders>
          <w:top w:val="single" w:sz="4" w:space="0" w:color="0A6AB4"/>
          <w:left w:val="single" w:sz="4" w:space="0" w:color="0A6AB4"/>
          <w:bottom w:val="single" w:sz="4" w:space="0" w:color="0A6AB4"/>
          <w:right w:val="single" w:sz="4" w:space="0" w:color="0A6AB4"/>
          <w:insideH w:val="single" w:sz="4" w:space="0" w:color="0A6AB4"/>
          <w:insideV w:val="single" w:sz="4" w:space="0" w:color="0A6AB4"/>
        </w:tblBorders>
        <w:tblLook w:val="04A0" w:firstRow="1" w:lastRow="0" w:firstColumn="1" w:lastColumn="0" w:noHBand="0" w:noVBand="1"/>
      </w:tblPr>
      <w:tblGrid>
        <w:gridCol w:w="8359"/>
      </w:tblGrid>
      <w:tr w:rsidR="00C55AFB" w14:paraId="44970A62" w14:textId="77777777" w:rsidTr="00C55AFB">
        <w:tc>
          <w:tcPr>
            <w:tcW w:w="8359" w:type="dxa"/>
          </w:tcPr>
          <w:p w14:paraId="52C9EAD1" w14:textId="7DAE4CF7" w:rsidR="00C55AFB" w:rsidRDefault="00C55AFB" w:rsidP="00C55AFB">
            <w:pPr>
              <w:pStyle w:val="Heading4"/>
              <w:spacing w:before="120"/>
            </w:pPr>
            <w:r w:rsidRPr="006F5694">
              <w:rPr>
                <w:b/>
                <w:bCs/>
              </w:rPr>
              <w:lastRenderedPageBreak/>
              <w:t>Case study:</w:t>
            </w:r>
            <w:r w:rsidRPr="00C55AFB">
              <w:t xml:space="preserve"> Our stewardship role</w:t>
            </w:r>
          </w:p>
          <w:p w14:paraId="65D77D22" w14:textId="77777777" w:rsidR="00C55AFB" w:rsidRPr="00C55AFB" w:rsidRDefault="00C55AFB" w:rsidP="00C55AFB">
            <w:pPr>
              <w:spacing w:after="120" w:line="240" w:lineRule="auto"/>
              <w:rPr>
                <w:b/>
                <w:bCs/>
              </w:rPr>
            </w:pPr>
            <w:r w:rsidRPr="00C55AFB">
              <w:rPr>
                <w:b/>
                <w:bCs/>
              </w:rPr>
              <w:t>The health system reform refocused the Ministry’s efforts on its stewardship role. We have defined stewardship as:</w:t>
            </w:r>
          </w:p>
          <w:p w14:paraId="300DD372" w14:textId="693C5FBF" w:rsidR="00C55AFB" w:rsidRDefault="00C55AFB" w:rsidP="00C55AFB">
            <w:pPr>
              <w:spacing w:after="120" w:line="240" w:lineRule="auto"/>
              <w:rPr>
                <w:i/>
                <w:iCs/>
              </w:rPr>
            </w:pPr>
            <w:r w:rsidRPr="00C55AFB">
              <w:rPr>
                <w:i/>
                <w:iCs/>
              </w:rPr>
              <w:t>Taking decisions or actions today that mean we are collectively better off in the future than we would otherwise have been, and building and maintaining the relationships that enable us to do this.</w:t>
            </w:r>
          </w:p>
          <w:p w14:paraId="60E05546" w14:textId="77777777" w:rsidR="00C55AFB" w:rsidRDefault="00C55AFB" w:rsidP="00C55AFB">
            <w:pPr>
              <w:spacing w:after="120" w:line="240" w:lineRule="auto"/>
            </w:pPr>
            <w:r>
              <w:t>Our priorities as steward are:</w:t>
            </w:r>
          </w:p>
          <w:p w14:paraId="19345BB6" w14:textId="3F6AE305" w:rsidR="00C55AFB" w:rsidRDefault="00C55AFB" w:rsidP="007123AC">
            <w:pPr>
              <w:pStyle w:val="Number"/>
              <w:numPr>
                <w:ilvl w:val="0"/>
                <w:numId w:val="19"/>
              </w:numPr>
              <w:spacing w:line="240" w:lineRule="auto"/>
              <w:ind w:left="447" w:hanging="447"/>
            </w:pPr>
            <w:r>
              <w:t>Provide system-level leadership.</w:t>
            </w:r>
          </w:p>
          <w:p w14:paraId="08AF2392" w14:textId="59FEFB6B" w:rsidR="00C55AFB" w:rsidRDefault="00C55AFB" w:rsidP="007123AC">
            <w:pPr>
              <w:pStyle w:val="Number"/>
              <w:numPr>
                <w:ilvl w:val="0"/>
                <w:numId w:val="19"/>
              </w:numPr>
              <w:spacing w:line="240" w:lineRule="auto"/>
              <w:ind w:left="447" w:hanging="447"/>
            </w:pPr>
            <w:r>
              <w:t>Drive system strategy and performance.</w:t>
            </w:r>
          </w:p>
          <w:p w14:paraId="41F45255" w14:textId="4FF3362C" w:rsidR="00C55AFB" w:rsidRDefault="00C55AFB" w:rsidP="007123AC">
            <w:pPr>
              <w:pStyle w:val="Number"/>
              <w:numPr>
                <w:ilvl w:val="0"/>
                <w:numId w:val="19"/>
              </w:numPr>
              <w:spacing w:line="240" w:lineRule="auto"/>
              <w:ind w:left="447" w:hanging="447"/>
            </w:pPr>
            <w:r>
              <w:t>Be the Government’s primary advisor on health.</w:t>
            </w:r>
          </w:p>
          <w:p w14:paraId="55076CDB" w14:textId="7C9A0AFB" w:rsidR="00C55AFB" w:rsidRDefault="00C55AFB" w:rsidP="007123AC">
            <w:pPr>
              <w:pStyle w:val="Number"/>
              <w:numPr>
                <w:ilvl w:val="0"/>
                <w:numId w:val="19"/>
              </w:numPr>
              <w:spacing w:line="240" w:lineRule="auto"/>
              <w:ind w:left="447" w:hanging="447"/>
            </w:pPr>
            <w:r>
              <w:t>Future-proof our health system.</w:t>
            </w:r>
          </w:p>
          <w:p w14:paraId="18E7EF91" w14:textId="1ECF4182" w:rsidR="00C55AFB" w:rsidRDefault="00C55AFB" w:rsidP="007123AC">
            <w:pPr>
              <w:pStyle w:val="Number"/>
              <w:numPr>
                <w:ilvl w:val="0"/>
                <w:numId w:val="19"/>
              </w:numPr>
              <w:spacing w:line="240" w:lineRule="auto"/>
              <w:ind w:left="447" w:hanging="447"/>
            </w:pPr>
            <w:r>
              <w:t>Be the regulator of the health system.</w:t>
            </w:r>
          </w:p>
          <w:p w14:paraId="14DE57A2" w14:textId="5C822954" w:rsidR="00C55AFB" w:rsidRDefault="00C55AFB" w:rsidP="007123AC">
            <w:pPr>
              <w:pStyle w:val="Number"/>
              <w:numPr>
                <w:ilvl w:val="0"/>
                <w:numId w:val="19"/>
              </w:numPr>
              <w:spacing w:line="240" w:lineRule="auto"/>
              <w:ind w:left="447" w:hanging="447"/>
            </w:pPr>
            <w:r>
              <w:t>Transform ourselves.</w:t>
            </w:r>
          </w:p>
          <w:p w14:paraId="30D4A00B" w14:textId="77777777" w:rsidR="00C55AFB" w:rsidRDefault="00C55AFB" w:rsidP="00C55AFB">
            <w:pPr>
              <w:spacing w:before="120" w:line="240" w:lineRule="auto"/>
            </w:pPr>
            <w:r>
              <w:t>Five out of six of our priorities are based on Te Kawa Mataaho Public Service Commission’s description of stewardship and our priorities are aligned with actions to deliver stewardship.</w:t>
            </w:r>
          </w:p>
          <w:p w14:paraId="680C96B1" w14:textId="77777777" w:rsidR="00C55AFB" w:rsidRDefault="00C55AFB" w:rsidP="00C55AFB">
            <w:pPr>
              <w:spacing w:before="120" w:line="240" w:lineRule="auto"/>
            </w:pPr>
            <w:r>
              <w:t>The Ministry’s stewardship role has two aspects. Namely, we are steward of:</w:t>
            </w:r>
          </w:p>
          <w:p w14:paraId="45FDF631" w14:textId="4614B81A" w:rsidR="00C55AFB" w:rsidRDefault="00C55AFB" w:rsidP="00C55AFB">
            <w:pPr>
              <w:pStyle w:val="Bullet"/>
              <w:spacing w:line="240" w:lineRule="auto"/>
            </w:pPr>
            <w:r>
              <w:t xml:space="preserve">the health of the population of Aotearoa New Zealand, as we assess health outcomes and trends, identify determinants of health, and encourage partnerships and actions to protect and improve health across the public and private </w:t>
            </w:r>
            <w:proofErr w:type="gramStart"/>
            <w:r>
              <w:t>sectors</w:t>
            </w:r>
            <w:proofErr w:type="gramEnd"/>
          </w:p>
          <w:p w14:paraId="3ADA933D" w14:textId="12BE36A5" w:rsidR="00C55AFB" w:rsidRDefault="00C55AFB" w:rsidP="00C55AFB">
            <w:pPr>
              <w:pStyle w:val="Bullet"/>
              <w:spacing w:after="120" w:line="240" w:lineRule="auto"/>
            </w:pPr>
            <w:r>
              <w:t>the health system, focusing on how the system works, advising the Government on its strategic direction and performance, enabling the health entities to deliver in line with expectation and supporting their accountability to ministers, now and in the future.</w:t>
            </w:r>
          </w:p>
          <w:p w14:paraId="6E4F520A" w14:textId="77777777" w:rsidR="00C55AFB" w:rsidRDefault="00C55AFB" w:rsidP="00C55AFB">
            <w:pPr>
              <w:spacing w:after="120" w:line="240" w:lineRule="auto"/>
            </w:pPr>
            <w:r>
              <w:t>We support Ministers to set and maintain strategic direction across the health system so we and others can make informed decisions and prioritise accordingly. We advise the Government on health policy, and regulate and monitor the health system, to ensure it provides better health outcomes and equity for all. Our role is to create an environment where New Zealanders are supported to stay well and where all parts of the health system are supported to operate at their best.</w:t>
            </w:r>
          </w:p>
          <w:p w14:paraId="6F25339C" w14:textId="557FFBEB" w:rsidR="00C55AFB" w:rsidRDefault="00C55AFB" w:rsidP="00C55AFB">
            <w:pPr>
              <w:spacing w:after="120" w:line="240" w:lineRule="auto"/>
            </w:pPr>
            <w:r>
              <w:t>The Ministry established the Strategic Stewardship Team (SST) as part of its new governance structure. The SST enables the Ministry’s leaders and experts to spend time on new and emerging topics, and to determine the potential implications for the strategic direction of the health system and for the Ministry. The SST has subcommittees that steward specific elements of the system, such as regulatory stewardship, clinical leadership and innovation, system monitoring, and equity and Te Tiriti.</w:t>
            </w:r>
          </w:p>
          <w:p w14:paraId="50D2DDE2" w14:textId="29F05950" w:rsidR="00C55AFB" w:rsidRDefault="00C55AFB" w:rsidP="00C55AFB">
            <w:pPr>
              <w:spacing w:after="120" w:line="240" w:lineRule="auto"/>
            </w:pPr>
            <w:r>
              <w:t>Each year, the SST will set a small number of priority stewardship projects that are likely to have significant implications for the long-term wellbeing of people in Aotearoa New Zealand and are consistent with directions set in the Pae Ora Strategies and the Government Policy Statement on Health. The projects will also be informed by insights from communities and service users, be of importance at a system level and aim to generate new insights.</w:t>
            </w:r>
          </w:p>
        </w:tc>
      </w:tr>
    </w:tbl>
    <w:p w14:paraId="6953F6C9" w14:textId="14875900" w:rsidR="005B2181" w:rsidRPr="005B2181" w:rsidRDefault="005B2181" w:rsidP="005B2181">
      <w:pPr>
        <w:sectPr w:rsidR="005B2181" w:rsidRPr="005B2181" w:rsidSect="008F0115">
          <w:pgSz w:w="11907" w:h="16840" w:code="9"/>
          <w:pgMar w:top="1418" w:right="1701" w:bottom="1134" w:left="1843" w:header="284" w:footer="425" w:gutter="284"/>
          <w:cols w:space="720"/>
        </w:sectPr>
      </w:pPr>
    </w:p>
    <w:p w14:paraId="29FA7EF0" w14:textId="77777777" w:rsidR="00781B82" w:rsidRPr="00781B82" w:rsidRDefault="00781B82" w:rsidP="00375553">
      <w:pPr>
        <w:pStyle w:val="Heading4"/>
        <w:spacing w:before="0"/>
        <w:rPr>
          <w:w w:val="105"/>
        </w:rPr>
      </w:pPr>
      <w:r w:rsidRPr="00781B82">
        <w:rPr>
          <w:w w:val="105"/>
        </w:rPr>
        <w:lastRenderedPageBreak/>
        <w:t xml:space="preserve">Strengthen relationships with other government agencies to achieve broader health goals, including understanding opportunities for </w:t>
      </w:r>
      <w:proofErr w:type="gramStart"/>
      <w:r w:rsidRPr="00781B82">
        <w:rPr>
          <w:w w:val="105"/>
        </w:rPr>
        <w:t>improvement</w:t>
      </w:r>
      <w:proofErr w:type="gramEnd"/>
    </w:p>
    <w:p w14:paraId="0E9C0329" w14:textId="5ACA46BC" w:rsidR="00781B82" w:rsidRDefault="00781B82" w:rsidP="00781B82">
      <w:pPr>
        <w:rPr>
          <w:w w:val="105"/>
        </w:rPr>
      </w:pPr>
      <w:r w:rsidRPr="00781B82">
        <w:rPr>
          <w:w w:val="105"/>
        </w:rPr>
        <w:t>The Ministry’s objective is to be a future-focused, proactive kaitiaki of the health system with a great reputation. Fulfilling this role is key to increasing trust and confidence with groups that are important to the future of the health sector, which in turn helps us to be more effective in our role.</w:t>
      </w:r>
    </w:p>
    <w:p w14:paraId="1D08811A" w14:textId="77777777" w:rsidR="00781B82" w:rsidRPr="00781B82" w:rsidRDefault="00781B82" w:rsidP="00781B82">
      <w:pPr>
        <w:rPr>
          <w:w w:val="105"/>
        </w:rPr>
      </w:pPr>
    </w:p>
    <w:p w14:paraId="1231EAF4" w14:textId="6A4D7E03" w:rsidR="00781B82" w:rsidRDefault="00781B82" w:rsidP="00781B82">
      <w:pPr>
        <w:rPr>
          <w:w w:val="105"/>
        </w:rPr>
      </w:pPr>
      <w:r w:rsidRPr="00781B82">
        <w:rPr>
          <w:w w:val="105"/>
        </w:rPr>
        <w:t>We contacted more than 100 public sector chief executives and senior leaders with a survey or an invitation to participate in an interview. Our purpose was to learn about their awareness and knowledge of the Ministry’s role and work, their experiences with the Ministry and their views on areas we should focus on in the future.</w:t>
      </w:r>
    </w:p>
    <w:p w14:paraId="39E82271" w14:textId="77777777" w:rsidR="00781B82" w:rsidRPr="00781B82" w:rsidRDefault="00781B82" w:rsidP="00781B82">
      <w:pPr>
        <w:rPr>
          <w:w w:val="105"/>
        </w:rPr>
      </w:pPr>
    </w:p>
    <w:p w14:paraId="200F48D1" w14:textId="5023701A" w:rsidR="00781B82" w:rsidRDefault="00781B82" w:rsidP="00781B82">
      <w:pPr>
        <w:rPr>
          <w:w w:val="105"/>
        </w:rPr>
      </w:pPr>
      <w:r w:rsidRPr="00781B82">
        <w:rPr>
          <w:w w:val="105"/>
        </w:rPr>
        <w:t>Public sector respondents understood the Ministry’s role as kaitiaki of the health system and felt the Ministry was well-run. The majority (73%) were satisfied with how the Ministry had engaged with their organisation in the preceding year, an improvement (up 13%) on views of engagement during the previous three years. Most had a favourable opinion of the Ministry (74%) and agreed it has integrity (73%).</w:t>
      </w:r>
    </w:p>
    <w:p w14:paraId="1386BF1C" w14:textId="77777777" w:rsidR="00781B82" w:rsidRPr="00781B82" w:rsidRDefault="00781B82" w:rsidP="00781B82">
      <w:pPr>
        <w:rPr>
          <w:w w:val="105"/>
        </w:rPr>
      </w:pPr>
    </w:p>
    <w:p w14:paraId="30DFA47E" w14:textId="3D905CF9" w:rsidR="00781B82" w:rsidRDefault="00781B82" w:rsidP="00781B82">
      <w:pPr>
        <w:rPr>
          <w:w w:val="105"/>
        </w:rPr>
      </w:pPr>
      <w:r w:rsidRPr="00781B82">
        <w:rPr>
          <w:w w:val="105"/>
        </w:rPr>
        <w:t>Health sector respondents, most of whom (66%) were senior leaders at tier one or two, believed the Ministry has integrity (75%) and understood its new role (70%). Half (50%) had</w:t>
      </w:r>
      <w:r>
        <w:rPr>
          <w:w w:val="105"/>
        </w:rPr>
        <w:t xml:space="preserve"> </w:t>
      </w:r>
      <w:r w:rsidRPr="00781B82">
        <w:rPr>
          <w:w w:val="105"/>
        </w:rPr>
        <w:t>a favourable opinion of the Ministry, thinking that it works collaboratively, is respected and communicates well with stakeholders. The Ministry was an enabler of work programmes of more than half of the respondents.</w:t>
      </w:r>
    </w:p>
    <w:p w14:paraId="664BA175" w14:textId="77777777" w:rsidR="00781B82" w:rsidRPr="00781B82" w:rsidRDefault="00781B82" w:rsidP="00781B82">
      <w:pPr>
        <w:rPr>
          <w:w w:val="105"/>
        </w:rPr>
      </w:pPr>
    </w:p>
    <w:p w14:paraId="0EB6517D" w14:textId="7E7E0002" w:rsidR="00781B82" w:rsidRDefault="00781B82" w:rsidP="00781B82">
      <w:pPr>
        <w:rPr>
          <w:w w:val="105"/>
        </w:rPr>
      </w:pPr>
      <w:r w:rsidRPr="00781B82">
        <w:rPr>
          <w:w w:val="105"/>
        </w:rPr>
        <w:t>Health sector respondents said the Ministry could be clearer about its mandate and what being a steward means. They also thought it could articulate its leadership role better and set expectations. Respondents wanted a better understanding of the Ministry’s work programme, where their agency had an interest, and to be involved in the design and delivery of that work, or in developing advice.</w:t>
      </w:r>
    </w:p>
    <w:p w14:paraId="42D34C41" w14:textId="77777777" w:rsidR="00781B82" w:rsidRPr="00781B82" w:rsidRDefault="00781B82" w:rsidP="00781B82">
      <w:pPr>
        <w:rPr>
          <w:w w:val="105"/>
        </w:rPr>
      </w:pPr>
    </w:p>
    <w:p w14:paraId="78A5B077" w14:textId="77777777" w:rsidR="00781B82" w:rsidRDefault="00781B82" w:rsidP="00781B82">
      <w:pPr>
        <w:rPr>
          <w:w w:val="105"/>
        </w:rPr>
      </w:pPr>
      <w:r w:rsidRPr="00781B82">
        <w:rPr>
          <w:w w:val="105"/>
        </w:rPr>
        <w:t>The Ministry intends to conduct the survey and/or interviews annually so that we can assess progress against the baseline results.</w:t>
      </w:r>
    </w:p>
    <w:p w14:paraId="5E6C4CF4" w14:textId="77777777" w:rsidR="00781B82" w:rsidRDefault="00781B82" w:rsidP="00375553">
      <w:pPr>
        <w:pStyle w:val="Heading4"/>
        <w:rPr>
          <w:w w:val="105"/>
        </w:rPr>
      </w:pPr>
      <w:r w:rsidRPr="00781B82">
        <w:rPr>
          <w:w w:val="105"/>
        </w:rPr>
        <w:t xml:space="preserve">Lead Māori–Crown relationships across the health </w:t>
      </w:r>
      <w:proofErr w:type="gramStart"/>
      <w:r w:rsidRPr="00781B82">
        <w:rPr>
          <w:w w:val="105"/>
        </w:rPr>
        <w:t>sector</w:t>
      </w:r>
      <w:proofErr w:type="gramEnd"/>
    </w:p>
    <w:p w14:paraId="2600ECDC" w14:textId="60C763A4" w:rsidR="00781B82" w:rsidRDefault="00781B82" w:rsidP="00781B82">
      <w:r>
        <w:t>An important part of the Ministry’s role is to acknowledge and progress commitments outlined in post-settlement relationship instruments as well as those developed outside of the historical Tiriti settlement process. The Ministry plays a part in several Iwi– Crown Accords, which are cross-sector agreements between the Crown and iwi. Te Puni Kōkiri, Te Arawhiti – the Office for Māori Crown Relations and the Ministry of Social Development lead the accords. The Ministry leads on health-related topics.</w:t>
      </w:r>
    </w:p>
    <w:p w14:paraId="5C466816" w14:textId="77777777" w:rsidR="00781B82" w:rsidRDefault="00781B82" w:rsidP="00781B82"/>
    <w:p w14:paraId="627FBC91" w14:textId="1AF3F8C2" w:rsidR="00781B82" w:rsidRDefault="00781B82" w:rsidP="00781B82">
      <w:r>
        <w:t xml:space="preserve">Iwi–Crown Accords are being replaced by Māori Crown Relationship Agreements. These allow iwi to be more involved in tailoring relationships to suit local decision-making with a focus on solutions and services. The Ministry, as chief steward, leads the </w:t>
      </w:r>
      <w:r>
        <w:lastRenderedPageBreak/>
        <w:t>development of these relationship agreements, working with other health sector agencies, while Te Arawhiti facilitates the negotiations of these with iwi. In 2023/24, the Ministry supported six Iwi–Crown Accords and signed six hauora development agreements with various iwi across Aotearoa New Zealand.</w:t>
      </w:r>
    </w:p>
    <w:p w14:paraId="1C9AF2C9" w14:textId="77777777" w:rsidR="00781B82" w:rsidRDefault="00781B82" w:rsidP="00781B82"/>
    <w:p w14:paraId="272620DF" w14:textId="70E5B1C6" w:rsidR="00781B82" w:rsidRDefault="00781B82" w:rsidP="00781B82">
      <w:r>
        <w:t>The Ministry also supports a range of Māori–Crown relationships by working directly with groups such as Te Kāhui Taurikura (the Fetal Alcohol Spectrum Disorder (FASD) Advisory Group) in developing a case study on the state of FASD for whānau Māori. Another example is our work alongside the Ministry of Social Development to support the National Iwi Chairs Forum – Pou Tangata (Hauora Iwi Leaders Group) workstream to develop a hauora plan.</w:t>
      </w:r>
    </w:p>
    <w:p w14:paraId="36E1F037" w14:textId="77777777" w:rsidR="00781B82" w:rsidRDefault="00781B82" w:rsidP="00781B82"/>
    <w:p w14:paraId="09D20995" w14:textId="77777777" w:rsidR="00781B82" w:rsidRDefault="00781B82" w:rsidP="00781B82">
      <w:r>
        <w:t>The Ministry works alongside other health agencies, such as Health New Zealand, to support IMPBs to undertake their legislated responsibilities.</w:t>
      </w:r>
    </w:p>
    <w:p w14:paraId="4B75A9F6" w14:textId="77777777" w:rsidR="00781B82" w:rsidRDefault="00781B82" w:rsidP="00375553">
      <w:pPr>
        <w:pStyle w:val="Heading4"/>
      </w:pPr>
      <w:r w:rsidRPr="00781B82">
        <w:t>Clinical leadership</w:t>
      </w:r>
    </w:p>
    <w:p w14:paraId="297C5574" w14:textId="1D399171" w:rsidR="00781B82" w:rsidRDefault="00781B82" w:rsidP="00781B82">
      <w:r>
        <w:t>The health system is a complex, adaptive system. The Ministry needs to bring an understanding of the clinical aspects of our own system as well as draw on international insights into where advances, technology and ways of working are evolving. Clinical leadership is fundamental to our role as steward of the health system.</w:t>
      </w:r>
    </w:p>
    <w:p w14:paraId="448D6FAC" w14:textId="77777777" w:rsidR="00781B82" w:rsidRDefault="00781B82" w:rsidP="00781B82"/>
    <w:p w14:paraId="21E70D06" w14:textId="77777777" w:rsidR="00781B82" w:rsidRDefault="00781B82" w:rsidP="00781B82">
      <w:r>
        <w:t>In 2023/24, the clinical quality and safety team critically examined the value of clinical leadership in government. It has shown that clinical leadership leads to better outcomes by:</w:t>
      </w:r>
    </w:p>
    <w:p w14:paraId="37EB5667" w14:textId="41371BF7" w:rsidR="00781B82" w:rsidRDefault="00781B82" w:rsidP="00781B82">
      <w:pPr>
        <w:pStyle w:val="Bullet"/>
      </w:pPr>
      <w:r>
        <w:t>spanning boundaries between the Ministry and health services, and between government and the sector</w:t>
      </w:r>
    </w:p>
    <w:p w14:paraId="5A5E823C" w14:textId="6A9A81AC" w:rsidR="00781B82" w:rsidRDefault="00781B82" w:rsidP="00781B82">
      <w:pPr>
        <w:pStyle w:val="Bullet"/>
      </w:pPr>
      <w:r>
        <w:t>enhancing the credibility of and trust in the work of the Ministry</w:t>
      </w:r>
    </w:p>
    <w:p w14:paraId="76B7294F" w14:textId="3D3EA7D5" w:rsidR="00781B82" w:rsidRDefault="00781B82" w:rsidP="00781B82">
      <w:pPr>
        <w:pStyle w:val="Bullet"/>
      </w:pPr>
      <w:r>
        <w:t xml:space="preserve">working collaboratively internally, across government and across the sector to encourage improvements in a complex </w:t>
      </w:r>
      <w:proofErr w:type="gramStart"/>
      <w:r>
        <w:t>system</w:t>
      </w:r>
      <w:proofErr w:type="gramEnd"/>
    </w:p>
    <w:p w14:paraId="6BB8C304" w14:textId="49CFF3B1" w:rsidR="00781B82" w:rsidRDefault="00781B82" w:rsidP="00781B82">
      <w:pPr>
        <w:pStyle w:val="Bullet"/>
      </w:pPr>
      <w:r>
        <w:t>bringing deep and broad knowledge of the complex clinical system to policy, monitoring and stewardship to improve these functions.</w:t>
      </w:r>
    </w:p>
    <w:p w14:paraId="18E25B07" w14:textId="77777777" w:rsidR="00781B82" w:rsidRDefault="00781B82" w:rsidP="00781B82"/>
    <w:p w14:paraId="07C4E9DA" w14:textId="4EF0B955" w:rsidR="00781B82" w:rsidRDefault="00781B82" w:rsidP="00781B82">
      <w:r>
        <w:t>Following evidenced and collaborative work after June 2023, the Executive Leadership Team (since replaced by EGT) agreed the definition and principles for clinical leadership in the Ministry. We published these on the Ministry’s website.</w:t>
      </w:r>
      <w:r>
        <w:rPr>
          <w:rStyle w:val="FootnoteReference"/>
        </w:rPr>
        <w:footnoteReference w:id="10"/>
      </w:r>
      <w:r>
        <w:t xml:space="preserve"> We have also developed an internal model to explain and guide how clinical leadership is operationalised in day-to-day work, and to inform further work on prioritising time and resource for most value.</w:t>
      </w:r>
    </w:p>
    <w:p w14:paraId="63C56FFD" w14:textId="77777777" w:rsidR="00781B82" w:rsidRDefault="00781B82" w:rsidP="00375553">
      <w:pPr>
        <w:pStyle w:val="Heading5"/>
      </w:pPr>
      <w:r>
        <w:t>Sector Reference Groups</w:t>
      </w:r>
    </w:p>
    <w:p w14:paraId="28662822" w14:textId="2ED76697" w:rsidR="00781B82" w:rsidRDefault="00781B82" w:rsidP="00781B82">
      <w:r>
        <w:t>In 2023, the Chief Allied Health Professions Officer finished the convening process for allied health Sector Reference Groups (SRGs). Each SRG included representatives from across the sector, including unions, regulators, professional bodies, educators, tāngata whenua profession-specific groups and students.</w:t>
      </w:r>
    </w:p>
    <w:p w14:paraId="188769DD" w14:textId="5B21AD13" w:rsidR="00781B82" w:rsidRDefault="00781B82" w:rsidP="00781B82"/>
    <w:p w14:paraId="35F98945" w14:textId="77777777" w:rsidR="00375553" w:rsidRDefault="00375553" w:rsidP="00781B82"/>
    <w:p w14:paraId="721E776A" w14:textId="77777777" w:rsidR="00781B82" w:rsidRDefault="00781B82" w:rsidP="00781B82">
      <w:r>
        <w:lastRenderedPageBreak/>
        <w:t>The purpose of the SRGs was to understand:</w:t>
      </w:r>
    </w:p>
    <w:p w14:paraId="15D82043" w14:textId="5CC9149F" w:rsidR="00781B82" w:rsidRDefault="00781B82" w:rsidP="00781B82">
      <w:pPr>
        <w:pStyle w:val="Bullet"/>
      </w:pPr>
      <w:r>
        <w:t>the unique contribution that each profession makes to achieving pae ora (healthy futures) for all New Zealanders</w:t>
      </w:r>
    </w:p>
    <w:p w14:paraId="1F5A5C78" w14:textId="6BE25703" w:rsidR="00781B82" w:rsidRDefault="00781B82" w:rsidP="00781B82">
      <w:pPr>
        <w:pStyle w:val="Bullet"/>
      </w:pPr>
      <w:r>
        <w:t>key barriers and opportunities to realising each profession’s full potential to contribute to pae ora.</w:t>
      </w:r>
    </w:p>
    <w:p w14:paraId="247CF653" w14:textId="77777777" w:rsidR="00781B82" w:rsidRDefault="00781B82" w:rsidP="00781B82"/>
    <w:p w14:paraId="689A2EEC" w14:textId="7C1CBBAF" w:rsidR="00781B82" w:rsidRDefault="00781B82" w:rsidP="00781B82">
      <w:r>
        <w:t>This work led to a report in which we compiled the validated information from 14 professional SRGs, provided a high-level summary of the impact of allied health professions on pae ora and identified the opportunities for and barriers to each profession’s contribution. We published the Hauora Haumi Allied Health Report 2024 in June 2024.</w:t>
      </w:r>
      <w:r>
        <w:rPr>
          <w:rStyle w:val="FootnoteReference"/>
        </w:rPr>
        <w:footnoteReference w:id="11"/>
      </w:r>
    </w:p>
    <w:p w14:paraId="7E0710F0" w14:textId="77777777" w:rsidR="00781B82" w:rsidRDefault="00781B82" w:rsidP="00375553">
      <w:pPr>
        <w:pStyle w:val="Heading5"/>
      </w:pPr>
      <w:r>
        <w:t>National Medicines Steering Group</w:t>
      </w:r>
    </w:p>
    <w:p w14:paraId="7021B508" w14:textId="7BBFB770" w:rsidR="00781B82" w:rsidRDefault="00781B82" w:rsidP="00781B82">
      <w:r>
        <w:t>In May 2023, the National Medicines Steering Group (the group) was established to create governance for medicines across the health system. This initiative began in response to concerns raised at the National Quality Forum in November 2022.</w:t>
      </w:r>
    </w:p>
    <w:p w14:paraId="04ED4F5C" w14:textId="77777777" w:rsidR="00781B82" w:rsidRDefault="00781B82" w:rsidP="00781B82"/>
    <w:p w14:paraId="582AD8D5" w14:textId="1F0A1FB7" w:rsidR="00781B82" w:rsidRDefault="00781B82" w:rsidP="00781B82">
      <w:r>
        <w:t>The overall aim of the group is to improve health outcomes by identifying system-level change that will allow the optimal use of medicines. It is the first subcommittee of the National Quality Forum, and its terms of reference were confirmed in 2023.</w:t>
      </w:r>
    </w:p>
    <w:p w14:paraId="626F7829" w14:textId="77777777" w:rsidR="00781B82" w:rsidRDefault="00781B82" w:rsidP="00781B82"/>
    <w:p w14:paraId="7ECD56FD" w14:textId="1B18E788" w:rsidR="00781B82" w:rsidRDefault="00781B82" w:rsidP="00781B82">
      <w:r>
        <w:t>The group includes healthcare providers, consumers and representatives from stakeholder organisations. It engages independent subject matter experts as required.</w:t>
      </w:r>
    </w:p>
    <w:p w14:paraId="25770607" w14:textId="77777777" w:rsidR="00781B82" w:rsidRDefault="00781B82" w:rsidP="00781B82"/>
    <w:p w14:paraId="268F3288" w14:textId="77777777" w:rsidR="00781B82" w:rsidRDefault="00781B82" w:rsidP="00781B82">
      <w:r>
        <w:t>Progress to date has included:</w:t>
      </w:r>
    </w:p>
    <w:p w14:paraId="5E924061" w14:textId="60FA2F4B" w:rsidR="00781B82" w:rsidRDefault="00781B82" w:rsidP="00781B82">
      <w:pPr>
        <w:pStyle w:val="Bullet"/>
      </w:pPr>
      <w:r>
        <w:t xml:space="preserve">linking Health New Zealand’s data and digital work programme for medicines with the group to ensure alignment and sector </w:t>
      </w:r>
      <w:proofErr w:type="gramStart"/>
      <w:r>
        <w:t>input</w:t>
      </w:r>
      <w:proofErr w:type="gramEnd"/>
    </w:p>
    <w:p w14:paraId="2BBCB330" w14:textId="7302C124" w:rsidR="00781B82" w:rsidRDefault="00781B82" w:rsidP="00781B82">
      <w:pPr>
        <w:pStyle w:val="Bullet"/>
      </w:pPr>
      <w:r>
        <w:t xml:space="preserve">working across the sector to identify risk from medicines and minimise it where </w:t>
      </w:r>
      <w:proofErr w:type="gramStart"/>
      <w:r>
        <w:t>required</w:t>
      </w:r>
      <w:proofErr w:type="gramEnd"/>
    </w:p>
    <w:p w14:paraId="01330C23" w14:textId="7E59EDB2" w:rsidR="00781B82" w:rsidRDefault="00781B82" w:rsidP="00781B82">
      <w:pPr>
        <w:pStyle w:val="Bullet"/>
      </w:pPr>
      <w:r>
        <w:t xml:space="preserve">identifying cross-sector action plans to improve known areas of medicine-related </w:t>
      </w:r>
      <w:proofErr w:type="gramStart"/>
      <w:r>
        <w:t>harm</w:t>
      </w:r>
      <w:proofErr w:type="gramEnd"/>
    </w:p>
    <w:p w14:paraId="0402BEE9" w14:textId="4754CBBD" w:rsidR="00781B82" w:rsidRDefault="00781B82" w:rsidP="00781B82">
      <w:pPr>
        <w:pStyle w:val="Bullet"/>
      </w:pPr>
      <w:r>
        <w:t>creating a space for raising sector-wide issues related to medicines and for addressing those issues appropriately.</w:t>
      </w:r>
    </w:p>
    <w:p w14:paraId="4A61837C" w14:textId="77777777" w:rsidR="00462006" w:rsidRDefault="00462006" w:rsidP="00375553">
      <w:pPr>
        <w:pStyle w:val="Heading5"/>
      </w:pPr>
      <w:r>
        <w:t>Workshop with the New Zealand Blood and Organ Service</w:t>
      </w:r>
    </w:p>
    <w:p w14:paraId="19FE19AB" w14:textId="77777777" w:rsidR="00462006" w:rsidRDefault="00462006" w:rsidP="00462006">
      <w:r>
        <w:t>In June 2024, the Chief Nursing Officer facilitated a workshop with the New Zealand Blood and Organ Service nursing and technician workforce. This led to the development of the New Zealand Blood Service Nursing and Donor Technician Strategy. The document sets the direction for the next five years to 2029 and identifies six priority areas:</w:t>
      </w:r>
    </w:p>
    <w:p w14:paraId="442B84FF" w14:textId="2E2E06B6" w:rsidR="00462006" w:rsidRDefault="00462006" w:rsidP="00462006">
      <w:pPr>
        <w:pStyle w:val="Bullet"/>
      </w:pPr>
      <w:r>
        <w:t>embodiment of an inclusive culture</w:t>
      </w:r>
    </w:p>
    <w:p w14:paraId="5499F63D" w14:textId="22C48F21" w:rsidR="00462006" w:rsidRDefault="00462006" w:rsidP="00462006">
      <w:pPr>
        <w:pStyle w:val="Bullet"/>
      </w:pPr>
      <w:r>
        <w:t>promoting health and wellbeing of colleagues</w:t>
      </w:r>
    </w:p>
    <w:p w14:paraId="31886691" w14:textId="2AD8944D" w:rsidR="00462006" w:rsidRDefault="00462006" w:rsidP="00462006">
      <w:pPr>
        <w:pStyle w:val="Bullet"/>
      </w:pPr>
      <w:r>
        <w:t>maximising the professional contribution of nursing and donor technicians</w:t>
      </w:r>
    </w:p>
    <w:p w14:paraId="58D38B70" w14:textId="0252DE8E" w:rsidR="00462006" w:rsidRDefault="00462006" w:rsidP="00462006">
      <w:pPr>
        <w:pStyle w:val="Bullet"/>
      </w:pPr>
      <w:r>
        <w:lastRenderedPageBreak/>
        <w:t>creating a workforce ready for the future</w:t>
      </w:r>
    </w:p>
    <w:p w14:paraId="46991B75" w14:textId="253AED81" w:rsidR="00462006" w:rsidRDefault="00462006" w:rsidP="00462006">
      <w:pPr>
        <w:pStyle w:val="Bullet"/>
      </w:pPr>
      <w:r>
        <w:t>recruitment and retention of nurses and donor technicians</w:t>
      </w:r>
    </w:p>
    <w:p w14:paraId="7ABF3430" w14:textId="4AB04429" w:rsidR="00462006" w:rsidRDefault="00462006" w:rsidP="00462006">
      <w:pPr>
        <w:pStyle w:val="Bullet"/>
      </w:pPr>
      <w:r>
        <w:t>delivering safe, effective and compassionate care.</w:t>
      </w:r>
    </w:p>
    <w:p w14:paraId="439F1C04" w14:textId="77777777" w:rsidR="00462006" w:rsidRDefault="00462006" w:rsidP="00462006"/>
    <w:p w14:paraId="144209BB" w14:textId="6733A71E" w:rsidR="00462006" w:rsidRDefault="00462006" w:rsidP="00462006">
      <w:r>
        <w:t>The strategy will enable the workforce to develop their skills, work towards advanced nursing roles, build a culture of inclusion and reflect the communities they serve.</w:t>
      </w:r>
    </w:p>
    <w:p w14:paraId="447BFAD0" w14:textId="77777777" w:rsidR="00462006" w:rsidRDefault="00462006" w:rsidP="00375553">
      <w:pPr>
        <w:pStyle w:val="Heading5"/>
      </w:pPr>
      <w:r>
        <w:t>Career guidance document</w:t>
      </w:r>
    </w:p>
    <w:p w14:paraId="6351DA06" w14:textId="4A02916E" w:rsidR="00462006" w:rsidRDefault="00462006" w:rsidP="00462006">
      <w:r>
        <w:t>In 2023/24, in partnership with Ngā Pou Mana – Tangata Whenua Allied Health, the Chief Allied Health Professions Officer engaged with allied health professionals to understand their needs for career development guidance. Their feedback informed the development of a guidance document to support them at any stage of their career.</w:t>
      </w:r>
    </w:p>
    <w:p w14:paraId="5F9209D7" w14:textId="77777777" w:rsidR="00462006" w:rsidRDefault="00462006" w:rsidP="00462006"/>
    <w:p w14:paraId="5625F790" w14:textId="77777777" w:rsidR="00462006" w:rsidRDefault="00462006" w:rsidP="00462006">
      <w:r>
        <w:t>The document provides practical advice and guidance to support the career aspirations of allied health professionals and is not linked to employment agreements or remuneration rates. It also recognises the value of indigenous knowledge and cultural experience.</w:t>
      </w:r>
    </w:p>
    <w:p w14:paraId="099731EC" w14:textId="77777777" w:rsidR="00462006" w:rsidRDefault="00462006" w:rsidP="00375553">
      <w:pPr>
        <w:pStyle w:val="Heading5"/>
      </w:pPr>
      <w:r>
        <w:t>New Chief Clinical Maternity Officer</w:t>
      </w:r>
    </w:p>
    <w:p w14:paraId="0862DFB6" w14:textId="009077FE" w:rsidR="00462006" w:rsidRDefault="00462006" w:rsidP="00462006">
      <w:r>
        <w:t>This year, we introduced a new role of Chief Clinical Officer, Maternity, as part of Clinical, Community and Mental Health – Te Pou Whakakaha. This role provides expertise that influences healthcare strategies and priorities. It was established to ensure a maternity-focused approach across all Ministry initiatives and to promote equitable outcomes for high-needs groups.</w:t>
      </w:r>
    </w:p>
    <w:p w14:paraId="4157FA8E" w14:textId="77777777" w:rsidR="00462006" w:rsidRDefault="00462006" w:rsidP="00462006"/>
    <w:p w14:paraId="4CD83336" w14:textId="77777777" w:rsidR="00781B82" w:rsidRDefault="00462006" w:rsidP="00462006">
      <w:r>
        <w:t>Collaboration is at the core of this role, as the Chief Clinical Officer, Maternity leads inter-professional cooperation throughout the health system.</w:t>
      </w:r>
    </w:p>
    <w:p w14:paraId="0FDA5875" w14:textId="344CEB50" w:rsidR="00462006" w:rsidRDefault="00462006" w:rsidP="00375553">
      <w:pPr>
        <w:pStyle w:val="Heading4"/>
      </w:pPr>
      <w:r>
        <w:t>Strengthening immunisation oversight and coordination</w:t>
      </w:r>
    </w:p>
    <w:p w14:paraId="150B2017" w14:textId="54AC8378" w:rsidR="00462006" w:rsidRDefault="00462006" w:rsidP="00462006">
      <w:r>
        <w:t>Following approval by the Minister of Health on 26 June 2023, a cross-agency governance mechanism was established to support the National Immunisation Programme in Health New Zealand to achieve its strategic priorities. The following arrangements are part of that mechanism.</w:t>
      </w:r>
    </w:p>
    <w:p w14:paraId="66DAD437" w14:textId="21320C4E" w:rsidR="00462006" w:rsidRDefault="00462006" w:rsidP="00462006">
      <w:pPr>
        <w:pStyle w:val="Bullet"/>
      </w:pPr>
      <w:r>
        <w:t xml:space="preserve">The </w:t>
      </w:r>
      <w:r w:rsidRPr="00462006">
        <w:rPr>
          <w:b/>
          <w:bCs/>
        </w:rPr>
        <w:t>Immunisation Oversight Board</w:t>
      </w:r>
      <w:r>
        <w:t xml:space="preserve"> is responsible for strategic governance and is the principal point of contact between Ministers and officials on immunisation issues. The Immunisation Outcomes Collective (see below) reports to the board. The board, which includes representatives from the Public Health Agency, Health New Zealand, Whaikaha, Pharmac and Medsafe.</w:t>
      </w:r>
    </w:p>
    <w:p w14:paraId="740C3538" w14:textId="0ADB497A" w:rsidR="00462006" w:rsidRDefault="00462006" w:rsidP="00462006">
      <w:pPr>
        <w:pStyle w:val="Bullet"/>
      </w:pPr>
      <w:r>
        <w:t xml:space="preserve">The </w:t>
      </w:r>
      <w:r w:rsidRPr="00462006">
        <w:rPr>
          <w:b/>
          <w:bCs/>
        </w:rPr>
        <w:t>Immunisation Outcomes Collective</w:t>
      </w:r>
      <w:r>
        <w:t xml:space="preserve"> exercises operational governance over the immunisation system, coordinates health agency advice to Pharmac and contributes whānau voices to decision-making. Most of its members are senior managers from the Public Health Agency, Health New Zealand, Whaikaha, Pharmac and Medsafe. The collective meets monthly.</w:t>
      </w:r>
    </w:p>
    <w:p w14:paraId="13628D1F" w14:textId="71389E59" w:rsidR="00462006" w:rsidRDefault="00462006" w:rsidP="00462006">
      <w:pPr>
        <w:pStyle w:val="Bullet"/>
      </w:pPr>
      <w:r>
        <w:t xml:space="preserve">The </w:t>
      </w:r>
      <w:r w:rsidRPr="00462006">
        <w:rPr>
          <w:b/>
          <w:bCs/>
        </w:rPr>
        <w:t>National Immunisation Technical Advisory Group</w:t>
      </w:r>
      <w:r>
        <w:t xml:space="preserve"> (NITAG) was established to provide evidence-based recommendations to policy makers and immunisation programme managers. Although the NITAG has yet to formally agree its terms of reference, it is expected to meet six-monthly.</w:t>
      </w:r>
    </w:p>
    <w:p w14:paraId="6D8E482C" w14:textId="77777777" w:rsidR="00462006" w:rsidRDefault="00462006" w:rsidP="00462006"/>
    <w:p w14:paraId="216465FA" w14:textId="77777777" w:rsidR="00462006" w:rsidRDefault="00462006" w:rsidP="00462006">
      <w:r>
        <w:lastRenderedPageBreak/>
        <w:t>Both the Immunisation Oversight Board and the Immunisation Outcomes Collective have been meeting since late 2023. The NITAG held its first meeting in May 2024.</w:t>
      </w:r>
    </w:p>
    <w:p w14:paraId="72D1047E" w14:textId="77777777" w:rsidR="00462006" w:rsidRDefault="00462006" w:rsidP="00375553">
      <w:pPr>
        <w:pStyle w:val="Heading4"/>
      </w:pPr>
      <w:r>
        <w:t>Fostering public trust and confidence through increasing transparency of information and decision-making</w:t>
      </w:r>
    </w:p>
    <w:p w14:paraId="41329574" w14:textId="77777777" w:rsidR="00462006" w:rsidRDefault="00462006" w:rsidP="00462006">
      <w:r>
        <w:t>The Ministry values having the public’s trust and confidence. Throughout 2023/24, we have taken steps to build both trust and confidence in the following ways.</w:t>
      </w:r>
    </w:p>
    <w:p w14:paraId="4C9C636C" w14:textId="10C89B0E" w:rsidR="00462006" w:rsidRDefault="00462006" w:rsidP="00462006">
      <w:pPr>
        <w:pStyle w:val="Bullet"/>
      </w:pPr>
      <w:r>
        <w:t>We have grown the internal integrity function established in early 2023, with a focus on strengthening understanding of core public service principles. In 2024/25, we will release an integrity framework for the Ministry. A successful investigation into a leak of confidential Ministry information in early 2024 highlighted the significance of the integrity function.</w:t>
      </w:r>
    </w:p>
    <w:p w14:paraId="269F0FBC" w14:textId="0ED233F4" w:rsidR="00462006" w:rsidRDefault="00462006" w:rsidP="00462006">
      <w:pPr>
        <w:pStyle w:val="Bullet"/>
      </w:pPr>
      <w:r>
        <w:t>We expanded the information available to the public, recognising that access to information and transparency of decision-making allows the public to be informed on decisions that relate to them. In 2023/24, we:</w:t>
      </w:r>
    </w:p>
    <w:p w14:paraId="3F2B6F8C" w14:textId="547AF0F9" w:rsidR="00462006" w:rsidRDefault="00462006" w:rsidP="00462006">
      <w:pPr>
        <w:pStyle w:val="Dash"/>
      </w:pPr>
      <w:r>
        <w:t xml:space="preserve">responded to 1,542 requests for </w:t>
      </w:r>
      <w:proofErr w:type="gramStart"/>
      <w:r>
        <w:t>information</w:t>
      </w:r>
      <w:proofErr w:type="gramEnd"/>
    </w:p>
    <w:p w14:paraId="006315F2" w14:textId="1882CD6B" w:rsidR="00462006" w:rsidRDefault="00462006" w:rsidP="00462006">
      <w:pPr>
        <w:pStyle w:val="Dash"/>
      </w:pPr>
      <w:r>
        <w:t>established our approach to proactively releasing key decision-making documents in a timely manner.</w:t>
      </w:r>
    </w:p>
    <w:p w14:paraId="33640BF2" w14:textId="77777777" w:rsidR="00462006" w:rsidRDefault="00462006" w:rsidP="00462006">
      <w:pPr>
        <w:pStyle w:val="Bullet"/>
      </w:pPr>
      <w:r>
        <w:t>We developed a new website (launched in late 2024) that provides better accessibility and functionality and is supported on an existing platform.</w:t>
      </w:r>
    </w:p>
    <w:p w14:paraId="2DD904DF" w14:textId="77777777" w:rsidR="00191792" w:rsidRDefault="00191792" w:rsidP="00191792">
      <w:pPr>
        <w:pStyle w:val="Bullet"/>
        <w:numPr>
          <w:ilvl w:val="0"/>
          <w:numId w:val="0"/>
        </w:numPr>
        <w:ind w:left="284" w:hanging="284"/>
      </w:pPr>
    </w:p>
    <w:p w14:paraId="0AD4273C" w14:textId="77777777" w:rsidR="00191792" w:rsidRDefault="00191792" w:rsidP="00191792">
      <w:pPr>
        <w:pStyle w:val="Bullet"/>
        <w:numPr>
          <w:ilvl w:val="0"/>
          <w:numId w:val="0"/>
        </w:numPr>
        <w:ind w:left="284" w:hanging="284"/>
      </w:pPr>
    </w:p>
    <w:p w14:paraId="6600AB10" w14:textId="77777777" w:rsidR="00191792" w:rsidRDefault="00191792" w:rsidP="00191792">
      <w:pPr>
        <w:pStyle w:val="Bullet"/>
        <w:numPr>
          <w:ilvl w:val="0"/>
          <w:numId w:val="0"/>
        </w:numPr>
        <w:ind w:left="284" w:hanging="284"/>
        <w:sectPr w:rsidR="00191792" w:rsidSect="008F0115">
          <w:pgSz w:w="11907" w:h="16840" w:code="9"/>
          <w:pgMar w:top="1418" w:right="1701" w:bottom="1134" w:left="1843" w:header="284" w:footer="425" w:gutter="284"/>
          <w:cols w:space="720"/>
        </w:sectPr>
      </w:pPr>
    </w:p>
    <w:p w14:paraId="202A8A6F" w14:textId="47D67F17" w:rsidR="00191792" w:rsidRDefault="00191792" w:rsidP="00191792">
      <w:pPr>
        <w:pStyle w:val="Heading2"/>
        <w:spacing w:before="0"/>
      </w:pPr>
      <w:bookmarkStart w:id="20" w:name="_Toc180077018"/>
      <w:r>
        <w:lastRenderedPageBreak/>
        <w:t>Priority 2: Drive system strategy and performance</w:t>
      </w:r>
      <w:bookmarkEnd w:id="20"/>
    </w:p>
    <w:p w14:paraId="227790C6" w14:textId="689017A1" w:rsidR="00191792" w:rsidRPr="00AF55A3" w:rsidRDefault="00191792" w:rsidP="00AF55A3">
      <w:pPr>
        <w:pStyle w:val="Box"/>
        <w:rPr>
          <w:sz w:val="22"/>
          <w:szCs w:val="22"/>
        </w:rPr>
      </w:pPr>
      <w:bookmarkStart w:id="21" w:name="_Hlk179297932"/>
      <w:r w:rsidRPr="00AF55A3">
        <w:rPr>
          <w:sz w:val="22"/>
          <w:szCs w:val="22"/>
        </w:rPr>
        <w:t>As the chief steward of the health system, we are focused on improving system performance. We need to understand system performance, impacts and outcomes for people, whānau and communities over the short, medium and longer term. We also need to steer collective actions where necessary.</w:t>
      </w:r>
    </w:p>
    <w:bookmarkEnd w:id="21"/>
    <w:p w14:paraId="268256A6" w14:textId="7766C02F" w:rsidR="00191792" w:rsidRDefault="00191792" w:rsidP="00375553">
      <w:pPr>
        <w:pStyle w:val="Heading4"/>
      </w:pPr>
      <w:r w:rsidRPr="00191792">
        <w:t>Develop the Government Policy Statement on Health 2024–2027</w:t>
      </w:r>
    </w:p>
    <w:p w14:paraId="1B90EC86" w14:textId="6B756633" w:rsidR="00191792" w:rsidRDefault="00191792" w:rsidP="00191792">
      <w:r>
        <w:t>The Government Policy Statement on Health 2024–2027</w:t>
      </w:r>
      <w:r>
        <w:rPr>
          <w:rStyle w:val="FootnoteReference"/>
        </w:rPr>
        <w:footnoteReference w:id="12"/>
      </w:r>
      <w:r>
        <w:t xml:space="preserve"> is the Minister of Health’s instrument to set the direction and signal priorities and expectations for the health system over the next three years. The GPS confirms the parameters for the New Zealand Health Plan. It is a public statement of what the Government expects the health system to deliver and achieve, and how progress will be measured, monitored and reported on.</w:t>
      </w:r>
    </w:p>
    <w:p w14:paraId="1EA5E5F0" w14:textId="77777777" w:rsidR="00191792" w:rsidRDefault="00191792" w:rsidP="00191792"/>
    <w:p w14:paraId="21CE8F19" w14:textId="77777777" w:rsidR="00191792" w:rsidRDefault="00191792" w:rsidP="00191792">
      <w:r>
        <w:t>The GPS sets out five priority areas for the next three years.</w:t>
      </w:r>
    </w:p>
    <w:p w14:paraId="0C547153" w14:textId="5E45F2A0" w:rsidR="00191792" w:rsidRDefault="00191792" w:rsidP="007123AC">
      <w:pPr>
        <w:pStyle w:val="Number"/>
        <w:numPr>
          <w:ilvl w:val="0"/>
          <w:numId w:val="20"/>
        </w:numPr>
        <w:ind w:left="426" w:hanging="426"/>
      </w:pPr>
      <w:r>
        <w:t>Access: Ensuring that every person regardless of where they live in New Zealand, has equitable access to the healthcare services they need.</w:t>
      </w:r>
    </w:p>
    <w:p w14:paraId="1E8C3C52" w14:textId="2B4C9377" w:rsidR="00191792" w:rsidRDefault="00191792" w:rsidP="007123AC">
      <w:pPr>
        <w:pStyle w:val="Number"/>
        <w:numPr>
          <w:ilvl w:val="0"/>
          <w:numId w:val="20"/>
        </w:numPr>
        <w:ind w:left="426" w:hanging="426"/>
      </w:pPr>
      <w:r>
        <w:t>Timeliness: Ensuring that people can access the healthcare and services they need, when they need it in a prompt and efficient way.</w:t>
      </w:r>
    </w:p>
    <w:p w14:paraId="04F2CDFD" w14:textId="640EA53B" w:rsidR="00191792" w:rsidRDefault="00191792" w:rsidP="007123AC">
      <w:pPr>
        <w:pStyle w:val="Number"/>
        <w:numPr>
          <w:ilvl w:val="0"/>
          <w:numId w:val="20"/>
        </w:numPr>
        <w:ind w:left="426" w:hanging="426"/>
      </w:pPr>
      <w:r>
        <w:t>Quality: Ensuring that healthcare and services delivered in New Zealand are safe, easy to navigate, understandable and welcoming to users, and are continuously improving.</w:t>
      </w:r>
    </w:p>
    <w:p w14:paraId="71D51F3A" w14:textId="109541FB" w:rsidR="00191792" w:rsidRDefault="00191792" w:rsidP="007123AC">
      <w:pPr>
        <w:pStyle w:val="Number"/>
        <w:numPr>
          <w:ilvl w:val="0"/>
          <w:numId w:val="20"/>
        </w:numPr>
        <w:ind w:left="426" w:hanging="426"/>
      </w:pPr>
      <w:r>
        <w:t>Workforce: Having a skilled and culturally capable workforce who are accessible, responsive and supported to deliver safe and effective healthcare.</w:t>
      </w:r>
    </w:p>
    <w:p w14:paraId="181BD661" w14:textId="7CD9C525" w:rsidR="00191792" w:rsidRDefault="00191792" w:rsidP="007123AC">
      <w:pPr>
        <w:pStyle w:val="Number"/>
        <w:numPr>
          <w:ilvl w:val="0"/>
          <w:numId w:val="20"/>
        </w:numPr>
        <w:ind w:left="426" w:hanging="426"/>
      </w:pPr>
      <w:r>
        <w:t>Infrastructure: Ensuring that the health system is resilient and has the digital and physical infrastructure it needs to meet people’s needs now and into the future.</w:t>
      </w:r>
    </w:p>
    <w:p w14:paraId="76C61C28" w14:textId="77777777" w:rsidR="00191792" w:rsidRDefault="00191792" w:rsidP="00191792"/>
    <w:p w14:paraId="7EFC06B3" w14:textId="29331621" w:rsidR="00191792" w:rsidRDefault="00191792" w:rsidP="00191792">
      <w:r>
        <w:t>The GPS also outlines the priorities for mental health, addiction and suicide prevention.</w:t>
      </w:r>
    </w:p>
    <w:p w14:paraId="27E4C389" w14:textId="77777777" w:rsidR="00191792" w:rsidRDefault="00191792" w:rsidP="00191792"/>
    <w:p w14:paraId="34E43662" w14:textId="1E59500E" w:rsidR="00191792" w:rsidRDefault="00191792" w:rsidP="00191792">
      <w:r>
        <w:t>Further priorities are to take action on non-communicable diseases as leading causes of death in Aotearoa New Zealand and the five modifiable risk factors associated with them (alcohol, tobacco, poor nutrition, physical inactivity, and adverse social and environmental factors). Achieving the vision of longer life expectancy and improved quality of life for all New Zealanders requires cross-government action, including working in partnership with government agencies outside the health portfolio to address the broader determinants of health.</w:t>
      </w:r>
    </w:p>
    <w:p w14:paraId="6360DFDB" w14:textId="1678CC4C" w:rsidR="00191792" w:rsidRDefault="00191792" w:rsidP="00191792"/>
    <w:p w14:paraId="28D1DB4E" w14:textId="77777777" w:rsidR="00191792" w:rsidRDefault="00191792" w:rsidP="00191792">
      <w:r>
        <w:lastRenderedPageBreak/>
        <w:t>The Ministry undertook targeted engagement and consultation with health entities, advisory groups and government agencies to inform the development of the GPS. The final GPS was tabled in the House of Representatives on 30 June 2024.</w:t>
      </w:r>
    </w:p>
    <w:p w14:paraId="5ABAECDF" w14:textId="77EFA8CC" w:rsidR="00191792" w:rsidRDefault="00191792" w:rsidP="00375553">
      <w:pPr>
        <w:pStyle w:val="Heading4"/>
      </w:pPr>
      <w:r w:rsidRPr="00191792">
        <w:t>Support the development and approval of the New Zealand Health Plan</w:t>
      </w:r>
    </w:p>
    <w:p w14:paraId="5E9E6EB5" w14:textId="3C592AF3" w:rsidR="00191792" w:rsidRDefault="00191792" w:rsidP="00191792">
      <w:r>
        <w:t>For the first time, Health New Zealand will develop a costed New Zealand Health Plan that spans a three-year cycle. The plan will set out how Health New Zealand will give effect to the Government’s priorities as set out in the Letter of Expectations and GPS and outline delivery focus areas for publicly funded services over the next three years. The Ministry worked closely with Health New Zealand throughout the development of the GPS and will continue to work with Health New Zealand as it develops the New Zealand Health Plan to ensure the plan aligns to the expectations in the GPS.</w:t>
      </w:r>
    </w:p>
    <w:p w14:paraId="43D17A47" w14:textId="77777777" w:rsidR="00191792" w:rsidRDefault="00191792" w:rsidP="00191792"/>
    <w:p w14:paraId="3AE60FA4" w14:textId="43ACCA26" w:rsidR="00191792" w:rsidRDefault="00191792" w:rsidP="00191792">
      <w:r>
        <w:t>Health New Zealand continues to develop the plan in the current challenging context. As part of this context, the health system faces significant financial challenges and new governance arrangements for Health New Zealand. Its new Commissioner is tasked with implementing a turnaround plan that will include a savings plan, new operating model and entity performance framework.</w:t>
      </w:r>
    </w:p>
    <w:p w14:paraId="56D3F2E3" w14:textId="77777777" w:rsidR="00191792" w:rsidRDefault="00191792" w:rsidP="00191792"/>
    <w:p w14:paraId="2708E8C6" w14:textId="30197F6C" w:rsidR="00191792" w:rsidRDefault="00191792" w:rsidP="00191792">
      <w:r>
        <w:t>The New Zealand Health Plan must be audited by the Auditor-General before it is submitted to the Minister of Health. In addition, the Ministry is expected to review the New Zealand Health Plan against the requirements of the legislation and the GPS. After the Minister of Health approves the plan and presents it to the House of Representatives, the Ministry will monitor its delivery.</w:t>
      </w:r>
    </w:p>
    <w:p w14:paraId="708FE142" w14:textId="77777777" w:rsidR="00191792" w:rsidRDefault="00191792" w:rsidP="00375553">
      <w:pPr>
        <w:pStyle w:val="Heading4"/>
      </w:pPr>
      <w:r w:rsidRPr="00191792">
        <w:t>Lead the Budget 2024 process to agree funding and investment that enables the health system to support the GPS and the New Zealand Health Plan</w:t>
      </w:r>
    </w:p>
    <w:p w14:paraId="3D5A1B05" w14:textId="301E1CBB" w:rsidR="00191792" w:rsidRDefault="00191792" w:rsidP="00191792">
      <w:r>
        <w:t>Budget 2024 is a significant milestone for the health system as it is the first substantive Budget for Vote Health following the health system reform. It also confirmed a change in the way the Government funds health, with the provision of multi-year funding across three Budgets to address Health New Zealand’s cost pressures.</w:t>
      </w:r>
    </w:p>
    <w:p w14:paraId="0E41046F" w14:textId="77777777" w:rsidR="00191792" w:rsidRDefault="00191792" w:rsidP="00191792"/>
    <w:p w14:paraId="44CB61D6" w14:textId="6F53C946" w:rsidR="00191792" w:rsidRDefault="00191792" w:rsidP="00191792">
      <w:r>
        <w:t>With multi-year funding, Health New Zealand will know the amount of funding it has over three years, allowing it to better plan and deliver frontline health services. This certainty supports Health New Zealand’s development of the New Zealand Health Plan and is expected to contribute to financial sustainability and better long-term planning.</w:t>
      </w:r>
    </w:p>
    <w:p w14:paraId="7C5D700C" w14:textId="77777777" w:rsidR="00191792" w:rsidRDefault="00191792" w:rsidP="00191792"/>
    <w:p w14:paraId="515C0321" w14:textId="4C5C606D" w:rsidR="00191792" w:rsidRDefault="00191792" w:rsidP="00191792">
      <w:r>
        <w:t>Budget 2024 included funding for new spending initiatives, as well as targeted policy savings and baseline savings initiatives. Post-Budget, we reviewed our Budget 2024 process so that we can continue to improve.</w:t>
      </w:r>
    </w:p>
    <w:p w14:paraId="0EEC0061" w14:textId="0ED7475B" w:rsidR="00A6210E" w:rsidRDefault="00A6210E" w:rsidP="00191792"/>
    <w:p w14:paraId="135860B5" w14:textId="64B2C29D" w:rsidR="00191792" w:rsidRDefault="00191792" w:rsidP="00375553">
      <w:pPr>
        <w:pStyle w:val="Heading4"/>
      </w:pPr>
      <w:r w:rsidRPr="00191792">
        <w:lastRenderedPageBreak/>
        <w:t xml:space="preserve">Develop a strategic monitoring framework that sets out the key long-term outcomes for people, whānau and the health system as an enduring basis for future priority actions and </w:t>
      </w:r>
      <w:proofErr w:type="gramStart"/>
      <w:r w:rsidRPr="00191792">
        <w:t>measurement</w:t>
      </w:r>
      <w:proofErr w:type="gramEnd"/>
    </w:p>
    <w:p w14:paraId="068D4C52" w14:textId="77777777" w:rsidR="00191792" w:rsidRDefault="00191792" w:rsidP="00191792">
      <w:r>
        <w:t>As the chief steward of the health system, the Ministry is focused on improving system performance, with the goal of achieving better health outcomes for New Zealanders.</w:t>
      </w:r>
    </w:p>
    <w:p w14:paraId="75B58CAD" w14:textId="4F0DD4AD" w:rsidR="00191792" w:rsidRDefault="00191792" w:rsidP="00191792">
      <w:r>
        <w:t>To support this, we have developed a strategic monitoring framework to understand system performance and monitor short, medium and longer-term objectives and outcomes.</w:t>
      </w:r>
    </w:p>
    <w:p w14:paraId="60A4C6B7" w14:textId="77777777" w:rsidR="00191792" w:rsidRDefault="00191792" w:rsidP="00191792"/>
    <w:p w14:paraId="50E2AD1A" w14:textId="77777777" w:rsidR="00191792" w:rsidRDefault="00191792" w:rsidP="00191792">
      <w:r>
        <w:t>As Figure 5 shows, the framework has a dual focus on:</w:t>
      </w:r>
    </w:p>
    <w:p w14:paraId="231799C9" w14:textId="3597B4DB" w:rsidR="00191792" w:rsidRDefault="00191792" w:rsidP="00191792">
      <w:pPr>
        <w:pStyle w:val="Bullet"/>
      </w:pPr>
      <w:r>
        <w:t>the health system: health-led actions to protect, promote and improve health and wellbeing (the right-hand pyramid)</w:t>
      </w:r>
    </w:p>
    <w:p w14:paraId="5B73779A" w14:textId="231E01D5" w:rsidR="00191792" w:rsidRDefault="00191792" w:rsidP="00191792">
      <w:pPr>
        <w:pStyle w:val="Bullet"/>
      </w:pPr>
      <w:r>
        <w:t>people, population and the broader determinants of health, including health-led partnerships to take action across and influence the broader determinants (the left-hand pyramid).</w:t>
      </w:r>
    </w:p>
    <w:p w14:paraId="12BE0B40" w14:textId="77777777" w:rsidR="00191792" w:rsidRDefault="00191792" w:rsidP="00191792"/>
    <w:p w14:paraId="77C04900" w14:textId="1FC250EC" w:rsidR="00191792" w:rsidRDefault="00191792" w:rsidP="00191792">
      <w:r>
        <w:t>While the framework provides an overarching structure to understand health system performance, existing monitoring work will continue.</w:t>
      </w:r>
    </w:p>
    <w:p w14:paraId="7CA729D3" w14:textId="77777777" w:rsidR="00191792" w:rsidRDefault="00191792" w:rsidP="00191792"/>
    <w:p w14:paraId="777E0FC5" w14:textId="1F14D772" w:rsidR="00191792" w:rsidRDefault="00191792" w:rsidP="00191792">
      <w:r>
        <w:t>Over the short and medium term, we expect to see progress towards health targets and GPS priorities. Over the long term, we expect to see downward trends in heart disease, respiratory disease, diabetes, poor mental health and cancer. We also expect to see a financially resilient and sustainable health system, a workforce of the right size and with the right skills and, ultimately, improved health outcomes, and quality and length of life for all New Zealanders.</w:t>
      </w:r>
    </w:p>
    <w:p w14:paraId="7D99F4E5" w14:textId="77777777" w:rsidR="00A6210E" w:rsidRDefault="00A6210E" w:rsidP="00191792"/>
    <w:p w14:paraId="0FA2582E" w14:textId="761E9115" w:rsidR="00191792" w:rsidRDefault="00191792" w:rsidP="00191792">
      <w:pPr>
        <w:pStyle w:val="Figure"/>
      </w:pPr>
      <w:r>
        <w:t xml:space="preserve">Figure </w:t>
      </w:r>
      <w:r>
        <w:fldChar w:fldCharType="begin"/>
      </w:r>
      <w:r>
        <w:instrText xml:space="preserve"> SEQ Figure \* ARABIC </w:instrText>
      </w:r>
      <w:r>
        <w:fldChar w:fldCharType="separate"/>
      </w:r>
      <w:r w:rsidR="00AA10BF">
        <w:rPr>
          <w:noProof/>
        </w:rPr>
        <w:t>5</w:t>
      </w:r>
      <w:r>
        <w:rPr>
          <w:noProof/>
        </w:rPr>
        <w:fldChar w:fldCharType="end"/>
      </w:r>
      <w:r>
        <w:t xml:space="preserve">: </w:t>
      </w:r>
      <w:r w:rsidRPr="00191792">
        <w:t>Strategic monitoring framework in the GPS (July 2024)</w:t>
      </w:r>
    </w:p>
    <w:p w14:paraId="01B90D88" w14:textId="77777777" w:rsidR="00191792" w:rsidRDefault="00191792" w:rsidP="00191792">
      <w:r>
        <w:rPr>
          <w:noProof/>
        </w:rPr>
        <w:drawing>
          <wp:inline distT="0" distB="0" distL="0" distR="0" wp14:anchorId="30E28606" wp14:editId="3B351964">
            <wp:extent cx="5196431" cy="3308350"/>
            <wp:effectExtent l="0" t="0" r="4445" b="635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9741" cy="3342290"/>
                    </a:xfrm>
                    <a:prstGeom prst="rect">
                      <a:avLst/>
                    </a:prstGeom>
                    <a:noFill/>
                  </pic:spPr>
                </pic:pic>
              </a:graphicData>
            </a:graphic>
          </wp:inline>
        </w:drawing>
      </w:r>
    </w:p>
    <w:p w14:paraId="0CCF949B" w14:textId="77777777" w:rsidR="00191792" w:rsidRDefault="00191792" w:rsidP="00191792"/>
    <w:p w14:paraId="06AB28F2" w14:textId="77777777" w:rsidR="00191792" w:rsidRDefault="00191792" w:rsidP="00191792"/>
    <w:tbl>
      <w:tblPr>
        <w:tblStyle w:val="TableGrid"/>
        <w:tblW w:w="8359" w:type="dxa"/>
        <w:tblBorders>
          <w:top w:val="single" w:sz="4" w:space="0" w:color="0A6AB4"/>
          <w:left w:val="single" w:sz="4" w:space="0" w:color="0A6AB4"/>
          <w:bottom w:val="single" w:sz="4" w:space="0" w:color="0A6AB4"/>
          <w:right w:val="single" w:sz="4" w:space="0" w:color="0A6AB4"/>
          <w:insideH w:val="single" w:sz="4" w:space="0" w:color="0A6AB4"/>
          <w:insideV w:val="single" w:sz="4" w:space="0" w:color="0A6AB4"/>
        </w:tblBorders>
        <w:tblLook w:val="04A0" w:firstRow="1" w:lastRow="0" w:firstColumn="1" w:lastColumn="0" w:noHBand="0" w:noVBand="1"/>
      </w:tblPr>
      <w:tblGrid>
        <w:gridCol w:w="8359"/>
      </w:tblGrid>
      <w:tr w:rsidR="006F5694" w14:paraId="4B576323" w14:textId="77777777" w:rsidTr="0082664F">
        <w:tc>
          <w:tcPr>
            <w:tcW w:w="8359" w:type="dxa"/>
          </w:tcPr>
          <w:p w14:paraId="3B0F228F" w14:textId="69EF1527" w:rsidR="006F5694" w:rsidRDefault="006F5694" w:rsidP="006F5694">
            <w:pPr>
              <w:pStyle w:val="Heading4"/>
              <w:keepNext w:val="0"/>
              <w:spacing w:before="120"/>
            </w:pPr>
            <w:r w:rsidRPr="006F5694">
              <w:rPr>
                <w:b/>
                <w:bCs/>
              </w:rPr>
              <w:lastRenderedPageBreak/>
              <w:t>Case study:</w:t>
            </w:r>
            <w:r w:rsidRPr="00C55AFB">
              <w:t xml:space="preserve"> </w:t>
            </w:r>
            <w:r w:rsidRPr="006F5694">
              <w:t xml:space="preserve">The Ministry’s role of monitoring the health system and Crown </w:t>
            </w:r>
            <w:proofErr w:type="gramStart"/>
            <w:r w:rsidRPr="006F5694">
              <w:t>entities</w:t>
            </w:r>
            <w:proofErr w:type="gramEnd"/>
          </w:p>
          <w:p w14:paraId="4EAD8C82" w14:textId="48A4D1D2" w:rsidR="006F5694" w:rsidRPr="00C55AFB" w:rsidRDefault="006F5694" w:rsidP="006F5694">
            <w:pPr>
              <w:spacing w:after="120" w:line="240" w:lineRule="auto"/>
              <w:rPr>
                <w:b/>
                <w:bCs/>
              </w:rPr>
            </w:pPr>
            <w:r w:rsidRPr="006F5694">
              <w:rPr>
                <w:b/>
                <w:bCs/>
              </w:rPr>
              <w:t>The Ministry’s monitoring function is a long-standing and critical aspect of its stewardship role. The health system reform of 2022 changed the context for monitoring, leading the Ministry to refocus its approach.</w:t>
            </w:r>
          </w:p>
          <w:p w14:paraId="2076215F" w14:textId="77777777" w:rsidR="006F5694" w:rsidRDefault="006F5694" w:rsidP="006F5694">
            <w:pPr>
              <w:spacing w:after="120" w:line="240" w:lineRule="auto"/>
            </w:pPr>
            <w:r>
              <w:t>Our monitoring involves assessing how the system and the entities within it are operating and delivering priorities and outcomes. This assessment helps to identify performance improvement actions, as well as informing ongoing strategy and policy development.</w:t>
            </w:r>
          </w:p>
          <w:p w14:paraId="6EEB0616" w14:textId="77777777" w:rsidR="006F5694" w:rsidRDefault="006F5694" w:rsidP="006F5694">
            <w:pPr>
              <w:spacing w:after="120" w:line="240" w:lineRule="auto"/>
            </w:pPr>
            <w:r>
              <w:t>The Government sets its expectations for the health system through the GPS. In June 2022, the previous Government published the interim Government Policy Statement on Health 2022–2024 (interim GPS) outlining what it expected the new health system to deliver and achieve. The Ministry has released the year one results across more than 30 measures set out in the interim GPS. The results show areas where performance is steady, such as people reporting being involved in decision-making in their care. The results also highlight where further work is needed, for example, in the areas of waitlist management, childhood immunisation and health workforce.</w:t>
            </w:r>
          </w:p>
          <w:p w14:paraId="1E333D88" w14:textId="4CD98479" w:rsidR="006F5694" w:rsidRDefault="006F5694" w:rsidP="006F5694">
            <w:pPr>
              <w:spacing w:after="120" w:line="240" w:lineRule="auto"/>
            </w:pPr>
            <w:r>
              <w:t>The new GPS includes a range of measures that will indicate how delivery of the current Government’s health priorities is tracking. The GPS will tie in with the new health targets and mental health and addiction targets.</w:t>
            </w:r>
          </w:p>
          <w:p w14:paraId="4FBBE455" w14:textId="64EC0549" w:rsidR="006F5694" w:rsidRDefault="006F5694" w:rsidP="006F5694">
            <w:pPr>
              <w:pStyle w:val="Heading5"/>
              <w:keepNext w:val="0"/>
            </w:pPr>
            <w:r w:rsidRPr="006F5694">
              <w:t>Health system monitoring</w:t>
            </w:r>
          </w:p>
          <w:p w14:paraId="45B17466" w14:textId="6BD2B37C" w:rsidR="006F5694" w:rsidRDefault="006F5694" w:rsidP="006F5694">
            <w:pPr>
              <w:spacing w:line="240" w:lineRule="auto"/>
            </w:pPr>
            <w:r>
              <w:t>The Ministry’s strategic monitoring framework will build on to Health New Zealand’s monitoring cycle to align Crown entity and health system monitoring. Giving effect to this framework requires a whole-of-Ministry response. The Ministry is strengthening internal structures so that our approach is coordinated and integrated. We are implementing processes to improve engagement and information sharing with other agencies that undertake a monitoring role, such as the Treasury.</w:t>
            </w:r>
          </w:p>
          <w:p w14:paraId="0D3C9BF4" w14:textId="77777777" w:rsidR="00381C8B" w:rsidRDefault="00381C8B" w:rsidP="006F5694">
            <w:pPr>
              <w:spacing w:line="240" w:lineRule="auto"/>
            </w:pPr>
          </w:p>
          <w:p w14:paraId="43CB3A75" w14:textId="77777777" w:rsidR="006F5694" w:rsidRDefault="006F5694" w:rsidP="006F5694">
            <w:pPr>
              <w:spacing w:line="240" w:lineRule="auto"/>
            </w:pPr>
            <w:r>
              <w:t>The Ministry has established an EGT Strategic Monitoring Subcommittee, whose responsibilities include:</w:t>
            </w:r>
          </w:p>
          <w:p w14:paraId="668E6654" w14:textId="0CB29241" w:rsidR="006F5694" w:rsidRDefault="006F5694" w:rsidP="006F5694">
            <w:pPr>
              <w:pStyle w:val="Bullet"/>
              <w:spacing w:line="240" w:lineRule="auto"/>
            </w:pPr>
            <w:r>
              <w:t>providing advice, oversight and governance of our monitoring role within the health system</w:t>
            </w:r>
          </w:p>
          <w:p w14:paraId="7FF89DD2" w14:textId="05F5B0C3" w:rsidR="006F5694" w:rsidRDefault="006F5694" w:rsidP="006F5694">
            <w:pPr>
              <w:pStyle w:val="Bullet"/>
              <w:spacing w:line="240" w:lineRule="auto"/>
            </w:pPr>
            <w:r>
              <w:t>commissioning targeted work on critical system issues</w:t>
            </w:r>
          </w:p>
          <w:p w14:paraId="7FCB8469" w14:textId="1072A0C9" w:rsidR="006F5694" w:rsidRDefault="006F5694" w:rsidP="006F5694">
            <w:pPr>
              <w:pStyle w:val="Bullet"/>
              <w:spacing w:line="240" w:lineRule="auto"/>
            </w:pPr>
            <w:r>
              <w:t>analysing and evaluating progress against system priorities and needs</w:t>
            </w:r>
          </w:p>
          <w:p w14:paraId="3DA3AB8D" w14:textId="40BD0F81" w:rsidR="006F5694" w:rsidRDefault="006F5694" w:rsidP="006F5694">
            <w:pPr>
              <w:pStyle w:val="Bullet"/>
              <w:spacing w:line="240" w:lineRule="auto"/>
            </w:pPr>
            <w:r>
              <w:t>identifying areas for strategic thought</w:t>
            </w:r>
          </w:p>
          <w:p w14:paraId="4A84B44B" w14:textId="77777777" w:rsidR="006F5694" w:rsidRDefault="006F5694" w:rsidP="006F5694">
            <w:pPr>
              <w:pStyle w:val="Bullet"/>
              <w:spacing w:after="120" w:line="240" w:lineRule="auto"/>
            </w:pPr>
            <w:r>
              <w:t>generating appropriate courses of action and intervention.</w:t>
            </w:r>
          </w:p>
          <w:p w14:paraId="4FD96F70" w14:textId="75BC1936" w:rsidR="006F5694" w:rsidRDefault="006F5694" w:rsidP="006F5694">
            <w:pPr>
              <w:pStyle w:val="Heading5"/>
            </w:pPr>
            <w:r w:rsidRPr="006F5694">
              <w:t>Crown entity monitoring</w:t>
            </w:r>
          </w:p>
          <w:p w14:paraId="6614D832" w14:textId="77777777" w:rsidR="006F5694" w:rsidRDefault="006F5694" w:rsidP="00381C8B">
            <w:pPr>
              <w:spacing w:after="120" w:line="240" w:lineRule="auto"/>
            </w:pPr>
            <w:r>
              <w:t>A significant proportion of the Ministry’s work on Crown entity monitoring is dedicated to monitoring Health New Zealand. The Ministry monitors the effective exercise of board functions. This in turn supports the board chair’s accountability to the Minister.</w:t>
            </w:r>
          </w:p>
          <w:p w14:paraId="2CAEF5FD" w14:textId="38E0E66A" w:rsidR="006F5694" w:rsidRDefault="006F5694" w:rsidP="00381C8B">
            <w:pPr>
              <w:spacing w:after="120" w:line="240" w:lineRule="auto"/>
            </w:pPr>
            <w:r>
              <w:t xml:space="preserve">In 2023/24, the Ministry embedded Health New Zealand-specific initiatives into its Crown entity quarterly monitoring cycle. This specified which assurance domains we </w:t>
            </w:r>
            <w:r>
              <w:lastRenderedPageBreak/>
              <w:t>would cover, the types of questions we would ask, and what information we required to fulfil our monitoring role.</w:t>
            </w:r>
            <w:r w:rsidR="00381C8B">
              <w:t xml:space="preserve"> </w:t>
            </w:r>
            <w:r>
              <w:t>Quarterly monitoring reports to the Minister focused on Health New Zealand Board assurance, delivery of ministerial priorities, and service and financial performance to support the Minister to identify key issues to discuss with the board chair.</w:t>
            </w:r>
          </w:p>
          <w:p w14:paraId="4F1FAE58" w14:textId="77777777" w:rsidR="006F5694" w:rsidRDefault="006F5694" w:rsidP="00381C8B">
            <w:pPr>
              <w:spacing w:after="120" w:line="240" w:lineRule="auto"/>
            </w:pPr>
            <w:r>
              <w:t>The Ministry monitors six other specialist Crown entities (Health Research Council, Pharmac, Health Quality &amp; Safety Commission, the Health and Disability Commissioner, Mental Health and Wellbeing Commission and the New Zealand Blood and Organ Service). The Ministry has a quarterly monitoring meeting with each of the entity chairs and chief executives and provides quarterly advice to the Minister. We also have informal engagements with Crown entity staff about performance and emerging issues.</w:t>
            </w:r>
          </w:p>
          <w:p w14:paraId="0D705218" w14:textId="77777777" w:rsidR="006F5694" w:rsidRDefault="006F5694" w:rsidP="00381C8B">
            <w:pPr>
              <w:spacing w:after="120" w:line="240" w:lineRule="auto"/>
            </w:pPr>
            <w:r>
              <w:t>Throughout 2023/24, the Ministry monitored the performance of Te Aka Whai Ora, which is now disestablished.</w:t>
            </w:r>
          </w:p>
          <w:p w14:paraId="290A1A51" w14:textId="77777777" w:rsidR="006F5694" w:rsidRDefault="006F5694" w:rsidP="00381C8B">
            <w:pPr>
              <w:spacing w:after="120" w:line="240" w:lineRule="auto"/>
            </w:pPr>
            <w:r>
              <w:t>The Ministry has supported the Minister in 2023/24 by:</w:t>
            </w:r>
          </w:p>
          <w:p w14:paraId="03A066BA" w14:textId="41836636" w:rsidR="006F5694" w:rsidRDefault="006F5694" w:rsidP="00381C8B">
            <w:pPr>
              <w:pStyle w:val="Number"/>
              <w:numPr>
                <w:ilvl w:val="0"/>
                <w:numId w:val="21"/>
              </w:numPr>
              <w:spacing w:line="240" w:lineRule="auto"/>
              <w:ind w:left="447" w:hanging="447"/>
            </w:pPr>
            <w:r>
              <w:t>helping to set expectations for the entities through mechanisms such as Letters of Expectation and the GPS</w:t>
            </w:r>
          </w:p>
          <w:p w14:paraId="3B91A41E" w14:textId="38D1D0FB" w:rsidR="006F5694" w:rsidRDefault="006F5694" w:rsidP="00381C8B">
            <w:pPr>
              <w:pStyle w:val="Number"/>
              <w:numPr>
                <w:ilvl w:val="0"/>
                <w:numId w:val="21"/>
              </w:numPr>
              <w:spacing w:line="240" w:lineRule="auto"/>
              <w:ind w:left="447" w:hanging="447"/>
            </w:pPr>
            <w:r>
              <w:t xml:space="preserve">reviewing entity plans and accountability documents and providing advice to support ministerial feedback and </w:t>
            </w:r>
            <w:proofErr w:type="gramStart"/>
            <w:r>
              <w:t>approval</w:t>
            </w:r>
            <w:proofErr w:type="gramEnd"/>
          </w:p>
          <w:p w14:paraId="4C201F2F" w14:textId="11CA62B5" w:rsidR="006F5694" w:rsidRDefault="006F5694" w:rsidP="00381C8B">
            <w:pPr>
              <w:pStyle w:val="Number"/>
              <w:numPr>
                <w:ilvl w:val="0"/>
                <w:numId w:val="21"/>
              </w:numPr>
              <w:spacing w:line="240" w:lineRule="auto"/>
              <w:ind w:left="447" w:hanging="447"/>
            </w:pPr>
            <w:r>
              <w:t>administering the process of appointing and inducting board members.</w:t>
            </w:r>
          </w:p>
          <w:p w14:paraId="62F2A0DA" w14:textId="481D0DC2" w:rsidR="006F5694" w:rsidRDefault="006F5694" w:rsidP="006F5694">
            <w:pPr>
              <w:pStyle w:val="Heading5"/>
            </w:pPr>
            <w:r w:rsidRPr="006F5694">
              <w:t xml:space="preserve">Board </w:t>
            </w:r>
            <w:proofErr w:type="gramStart"/>
            <w:r w:rsidRPr="006F5694">
              <w:t>appointments</w:t>
            </w:r>
            <w:proofErr w:type="gramEnd"/>
            <w:r w:rsidRPr="006F5694">
              <w:tab/>
            </w:r>
          </w:p>
          <w:p w14:paraId="53003E00" w14:textId="63E37982" w:rsidR="006F5694" w:rsidRDefault="006F5694" w:rsidP="00381C8B">
            <w:pPr>
              <w:spacing w:after="120" w:line="240" w:lineRule="auto"/>
            </w:pPr>
            <w:r>
              <w:t>The Minister is accountable to Parliament and the public for Crown entity performance. As the Minister’s agent, the Ministry in its formal monitoring role needs to ensure that Crown entity boards are performing as expected. Support for successful performance and monitoring of Crown entities comes through strong boards, to which appropriate and successful statutory appointments are made. In 2023/24, the Ministry supported Ministers to make a range of statutory appointments to various Crown entities, including new chairs for both Pharmac and Health New Zealand.</w:t>
            </w:r>
          </w:p>
        </w:tc>
      </w:tr>
    </w:tbl>
    <w:p w14:paraId="7DACDA85" w14:textId="77777777" w:rsidR="00C80E16" w:rsidRDefault="00C80E16" w:rsidP="00A6210E">
      <w:pPr>
        <w:pStyle w:val="Heading4"/>
      </w:pPr>
      <w:r w:rsidRPr="00C80E16">
        <w:lastRenderedPageBreak/>
        <w:t xml:space="preserve">Establish processes for providing clinical expertise on and insights into the system performance and monitoring function, including from those who have lived experience of the health </w:t>
      </w:r>
      <w:proofErr w:type="gramStart"/>
      <w:r w:rsidRPr="00C80E16">
        <w:t>system</w:t>
      </w:r>
      <w:proofErr w:type="gramEnd"/>
    </w:p>
    <w:p w14:paraId="122FD95C" w14:textId="77777777" w:rsidR="00C80E16" w:rsidRDefault="00C80E16" w:rsidP="00C80E16">
      <w:r>
        <w:t>Mental health and addiction, clinical and lived experience experts contribute to the work across the Ministry, including in our strategy, policy and monitoring functions. The Ministry is building stronger connections between mental health and</w:t>
      </w:r>
    </w:p>
    <w:p w14:paraId="0770084B" w14:textId="77777777" w:rsidR="00C80E16" w:rsidRDefault="00C80E16" w:rsidP="00C80E16">
      <w:r>
        <w:t>addiction, clinical and lived experience expertise to gain robust advice on our work from different perspectives. An example of this approach is our current work to repeal and replace the Mental Health (Compulsory Assessment and Treatment) Act 1992. We have established a dedicated project team that brings together lived experience and clinical leads alongside policy experts, while providing opportunities to amplify the voices of tāngata whaiora and the families and whānau affected by this legislation.</w:t>
      </w:r>
    </w:p>
    <w:p w14:paraId="4C35100E" w14:textId="77777777" w:rsidR="00C80E16" w:rsidRDefault="00C80E16" w:rsidP="00A6210E">
      <w:pPr>
        <w:pStyle w:val="Heading4"/>
      </w:pPr>
      <w:r w:rsidRPr="00C80E16">
        <w:lastRenderedPageBreak/>
        <w:t xml:space="preserve">Monitor the performance of the health sector for </w:t>
      </w:r>
      <w:proofErr w:type="gramStart"/>
      <w:r w:rsidRPr="00C80E16">
        <w:t>Māori</w:t>
      </w:r>
      <w:proofErr w:type="gramEnd"/>
    </w:p>
    <w:p w14:paraId="5CD2F54C" w14:textId="50A38CAC" w:rsidR="00C80E16" w:rsidRDefault="00C80E16" w:rsidP="00C80E16">
      <w:r>
        <w:t>The Ministry continued monitoring performance of the health sector for Māori. This year, our monitoring focused on Te Pae Tata – Interim New Zealand Health Plan 2022,</w:t>
      </w:r>
      <w:r>
        <w:rPr>
          <w:rStyle w:val="FootnoteReference"/>
        </w:rPr>
        <w:footnoteReference w:id="13"/>
      </w:r>
      <w:r>
        <w:t xml:space="preserve"> the interim GPS</w:t>
      </w:r>
      <w:r>
        <w:rPr>
          <w:rStyle w:val="FootnoteReference"/>
        </w:rPr>
        <w:footnoteReference w:id="14"/>
      </w:r>
      <w:r>
        <w:t xml:space="preserve"> and Whakamaua: Māori Health Action Plan 2020–2025</w:t>
      </w:r>
    </w:p>
    <w:p w14:paraId="241950A8" w14:textId="34987068" w:rsidR="00C80E16" w:rsidRDefault="00C80E16" w:rsidP="00C80E16">
      <w:r>
        <w:t>(Whakamaua)</w:t>
      </w:r>
      <w:r>
        <w:rPr>
          <w:rStyle w:val="FootnoteReference"/>
        </w:rPr>
        <w:footnoteReference w:id="15"/>
      </w:r>
      <w:r>
        <w:t xml:space="preserve"> while the health sector agencies continue work to finalise their strategic plans.</w:t>
      </w:r>
    </w:p>
    <w:p w14:paraId="41AE6D1E" w14:textId="77777777" w:rsidR="00C80E16" w:rsidRDefault="00C80E16" w:rsidP="00C80E16"/>
    <w:p w14:paraId="0DEA72A1" w14:textId="77777777" w:rsidR="00C80E16" w:rsidRDefault="00C80E16" w:rsidP="00C80E16">
      <w:r>
        <w:t xml:space="preserve">One of the findings that the Waitangi Tribunal identified in </w:t>
      </w:r>
      <w:r w:rsidRPr="00C80E16">
        <w:rPr>
          <w:i/>
          <w:iCs/>
        </w:rPr>
        <w:t>Hauora: Report on Stage One of the Health Services and Outcomes Kaupapa Inquiry</w:t>
      </w:r>
      <w:r>
        <w:rPr>
          <w:rStyle w:val="FootnoteReference"/>
        </w:rPr>
        <w:footnoteReference w:id="16"/>
      </w:r>
      <w:r>
        <w:t xml:space="preserve"> is the need to improve the collection and publication of quantitative and qualitative information used to assess how effectively the health system is improving Māori health outcomes. To address this finding, the Ministry is working to develop measures that will improve our understanding of progress towards addressing inequities, as well as improving system monitoring for Māori. The Ministry is commissioning a kaupapa Māori research approach to develop these measures so that they are grounded in te ao Māori and have both cultural and technical integrity.</w:t>
      </w:r>
    </w:p>
    <w:p w14:paraId="08C31831" w14:textId="77777777" w:rsidR="001147D0" w:rsidRDefault="001147D0" w:rsidP="00C80E16"/>
    <w:tbl>
      <w:tblPr>
        <w:tblStyle w:val="TableGrid"/>
        <w:tblW w:w="8359" w:type="dxa"/>
        <w:tblBorders>
          <w:top w:val="single" w:sz="4" w:space="0" w:color="0A6AB4"/>
          <w:left w:val="single" w:sz="4" w:space="0" w:color="0A6AB4"/>
          <w:bottom w:val="single" w:sz="4" w:space="0" w:color="0A6AB4"/>
          <w:right w:val="single" w:sz="4" w:space="0" w:color="0A6AB4"/>
          <w:insideH w:val="single" w:sz="4" w:space="0" w:color="0A6AB4"/>
          <w:insideV w:val="single" w:sz="4" w:space="0" w:color="0A6AB4"/>
        </w:tblBorders>
        <w:tblLook w:val="04A0" w:firstRow="1" w:lastRow="0" w:firstColumn="1" w:lastColumn="0" w:noHBand="0" w:noVBand="1"/>
      </w:tblPr>
      <w:tblGrid>
        <w:gridCol w:w="8359"/>
      </w:tblGrid>
      <w:tr w:rsidR="001147D0" w14:paraId="13307A5E" w14:textId="77777777" w:rsidTr="0082664F">
        <w:tc>
          <w:tcPr>
            <w:tcW w:w="8359" w:type="dxa"/>
          </w:tcPr>
          <w:p w14:paraId="3F83D496" w14:textId="2153AB1F" w:rsidR="001147D0" w:rsidRDefault="001147D0" w:rsidP="0082664F">
            <w:pPr>
              <w:pStyle w:val="Heading4"/>
              <w:keepNext w:val="0"/>
              <w:spacing w:before="120"/>
            </w:pPr>
            <w:bookmarkStart w:id="22" w:name="_Hlk179299004"/>
            <w:r w:rsidRPr="006F5694">
              <w:rPr>
                <w:b/>
                <w:bCs/>
              </w:rPr>
              <w:t>Case study:</w:t>
            </w:r>
            <w:r w:rsidRPr="00C55AFB">
              <w:t xml:space="preserve"> </w:t>
            </w:r>
            <w:r w:rsidRPr="001147D0">
              <w:t>Update on overall progress and monitoring of Whakamaua</w:t>
            </w:r>
          </w:p>
          <w:p w14:paraId="3F7F4E97" w14:textId="3E23C233" w:rsidR="001147D0" w:rsidRDefault="001147D0" w:rsidP="0082664F">
            <w:pPr>
              <w:spacing w:after="120" w:line="240" w:lineRule="auto"/>
              <w:rPr>
                <w:b/>
                <w:bCs/>
              </w:rPr>
            </w:pPr>
            <w:r w:rsidRPr="001147D0">
              <w:rPr>
                <w:b/>
                <w:bCs/>
              </w:rPr>
              <w:t>Whakamaua sets out outcomes, objectives and priority areas for action that ensure the health system works together towards pae ora for Māori. The scope of Whakamaua spans across the health and wider government sectors. Monitoring the implementation of Whakamaua includes:</w:t>
            </w:r>
          </w:p>
          <w:p w14:paraId="533512E3" w14:textId="73A2F7EE" w:rsidR="001147D0" w:rsidRDefault="001147D0" w:rsidP="001147D0">
            <w:pPr>
              <w:pStyle w:val="Bullet"/>
            </w:pPr>
            <w:r>
              <w:t>tracking delivery against the 46 actions in Whakamaua</w:t>
            </w:r>
          </w:p>
          <w:p w14:paraId="36228215" w14:textId="171496E4" w:rsidR="001147D0" w:rsidRDefault="001147D0" w:rsidP="001147D0">
            <w:pPr>
              <w:pStyle w:val="Bullet"/>
            </w:pPr>
            <w:r>
              <w:t xml:space="preserve">reporting on a set of 13 quantitative indicators to measure broad system </w:t>
            </w:r>
            <w:proofErr w:type="gramStart"/>
            <w:r>
              <w:t>change</w:t>
            </w:r>
            <w:proofErr w:type="gramEnd"/>
          </w:p>
          <w:p w14:paraId="7CDE071B" w14:textId="2C768873" w:rsidR="001147D0" w:rsidRPr="00C55AFB" w:rsidRDefault="001147D0" w:rsidP="001147D0">
            <w:pPr>
              <w:pStyle w:val="Bullet"/>
              <w:spacing w:after="120"/>
            </w:pPr>
            <w:r>
              <w:t>an independent evaluation looking at the impact of Whakamaua on the health sector.</w:t>
            </w:r>
          </w:p>
          <w:p w14:paraId="1222712F" w14:textId="77777777" w:rsidR="001147D0" w:rsidRDefault="001147D0" w:rsidP="001147D0">
            <w:pPr>
              <w:spacing w:after="120" w:line="240" w:lineRule="auto"/>
            </w:pPr>
            <w:r>
              <w:t>The implementation of Whakamaua over the past four years has been successful, with most actions on track or completed. An external evaluation has shown improvements in the system-focused quantitative measures. However, outcome-specific indicators have highlighted that inequities persist.</w:t>
            </w:r>
          </w:p>
          <w:p w14:paraId="4E5CC003" w14:textId="77777777" w:rsidR="001147D0" w:rsidRDefault="001147D0" w:rsidP="001147D0">
            <w:pPr>
              <w:spacing w:after="120" w:line="240" w:lineRule="auto"/>
            </w:pPr>
            <w:r>
              <w:t xml:space="preserve">The evaluation also found that Whakamaua ‘is of significant benefit for Māori health and was considered a transformative document with its focus on actionable change for the benefit of hauora whānau, iwi and hapori Māori’. Challenges to implementation have included influencing cross-government areas and making change in the face of </w:t>
            </w:r>
            <w:r>
              <w:lastRenderedPageBreak/>
              <w:t>other system pressures. The Ministry is working through these challenges with other agencies.</w:t>
            </w:r>
          </w:p>
          <w:p w14:paraId="11F6D75E" w14:textId="02FADAB7" w:rsidR="001147D0" w:rsidRDefault="001147D0" w:rsidP="001147D0">
            <w:pPr>
              <w:spacing w:after="120" w:line="240" w:lineRule="auto"/>
            </w:pPr>
            <w:r>
              <w:t>Whakamaua is seen as a valuable reference document for several local and national organisations, and a mechanism to ensure people and organisations are acting in ways that reflect the plan. This is evident through their willingness to engage in the implementation of the 46 actions. Over the past four years, four actions have been completed, and 37 actions are on track, while four are being monitored and one is being re-scoped.</w:t>
            </w:r>
          </w:p>
          <w:p w14:paraId="6CA55327" w14:textId="2FFAB945" w:rsidR="00172A00" w:rsidRDefault="00172A00" w:rsidP="00172A00">
            <w:pPr>
              <w:pStyle w:val="Heading5"/>
            </w:pPr>
            <w:r w:rsidRPr="00172A00">
              <w:t>Priority area 3: Māori health and disability workforce</w:t>
            </w:r>
          </w:p>
          <w:p w14:paraId="07A4719F" w14:textId="77777777" w:rsidR="00172A00" w:rsidRDefault="00172A00" w:rsidP="00172A00">
            <w:pPr>
              <w:spacing w:after="120" w:line="240" w:lineRule="auto"/>
            </w:pPr>
            <w:r>
              <w:t xml:space="preserve">The external evaluation viewed Whakamaua as beneficial for growing the Māori health workforce by increasing health-related career paths among vocational, allied and clinical roles. Programmes such as the Nursing Workforce Programme, Earn As You </w:t>
            </w:r>
            <w:proofErr w:type="gramStart"/>
            <w:r>
              <w:t>Learn</w:t>
            </w:r>
            <w:proofErr w:type="gramEnd"/>
            <w:r>
              <w:t xml:space="preserve"> and the Hauora Māori Training Fund are all successfully under way and reaching kaimahi Māori across Aotearoa New Zealand.</w:t>
            </w:r>
          </w:p>
          <w:p w14:paraId="4AA789E6" w14:textId="77777777" w:rsidR="00172A00" w:rsidRDefault="00172A00" w:rsidP="00172A00">
            <w:pPr>
              <w:spacing w:after="120" w:line="240" w:lineRule="auto"/>
            </w:pPr>
            <w:r>
              <w:t>The actions are reflected in the 2024 update of the quantitative measures. These measures showed:</w:t>
            </w:r>
          </w:p>
          <w:p w14:paraId="18620BAF" w14:textId="13EFE6E5" w:rsidR="00172A00" w:rsidRDefault="00172A00" w:rsidP="00172A00">
            <w:pPr>
              <w:pStyle w:val="Bullet"/>
            </w:pPr>
            <w:r>
              <w:t xml:space="preserve">the percentage of midwives who were Māori rose from 10% in 2020 to 12.5% in </w:t>
            </w:r>
            <w:proofErr w:type="gramStart"/>
            <w:r>
              <w:t>2023</w:t>
            </w:r>
            <w:proofErr w:type="gramEnd"/>
          </w:p>
          <w:p w14:paraId="0466E4DC" w14:textId="530546EA" w:rsidR="00172A00" w:rsidRDefault="00172A00" w:rsidP="00172A00">
            <w:pPr>
              <w:pStyle w:val="Bullet"/>
            </w:pPr>
            <w:r>
              <w:t xml:space="preserve">the percentage of doctors who were Māori increased from 3.9% in 2020 to 5% in </w:t>
            </w:r>
            <w:proofErr w:type="gramStart"/>
            <w:r>
              <w:t>2023</w:t>
            </w:r>
            <w:proofErr w:type="gramEnd"/>
          </w:p>
          <w:p w14:paraId="7A668CCE" w14:textId="6770BF80" w:rsidR="00172A00" w:rsidRDefault="00172A00" w:rsidP="00172A00">
            <w:pPr>
              <w:pStyle w:val="Bullet"/>
            </w:pPr>
            <w:r>
              <w:t>around 7.5% of nurses identified as Māori between 2020 and 2023</w:t>
            </w:r>
          </w:p>
          <w:p w14:paraId="40A24875" w14:textId="09BBBDAA" w:rsidR="00172A00" w:rsidRDefault="00172A00" w:rsidP="00172A00">
            <w:pPr>
              <w:pStyle w:val="Bullet"/>
            </w:pPr>
            <w:r>
              <w:t>the growth in Māori trained in social work, enrolled nursing and medicine now exceeds the proportion of Māori in the population.</w:t>
            </w:r>
          </w:p>
          <w:p w14:paraId="0267E30D" w14:textId="2D1F2336" w:rsidR="00172A00" w:rsidRDefault="00172A00" w:rsidP="00172A00">
            <w:pPr>
              <w:pStyle w:val="Heading5"/>
            </w:pPr>
            <w:r w:rsidRPr="00172A00">
              <w:t>Priority area 4: Māori health sector development</w:t>
            </w:r>
          </w:p>
          <w:p w14:paraId="0A654FB4" w14:textId="1E57C238" w:rsidR="00172A00" w:rsidRDefault="00172A00" w:rsidP="00172A00">
            <w:pPr>
              <w:spacing w:after="120" w:line="240" w:lineRule="auto"/>
            </w:pPr>
            <w:r>
              <w:t>Actions under this priority area have improved access to mātauranga Māori services and the capacity and capability of the Māori health sector. Funds such as the Māori Provider Development Scheme reached 101 providers in 2020/21 and the refreshed programme, Provider Innovation and Sustainability Fund reached 149 providers between April 2022 and March 2023. Key benefits are that:</w:t>
            </w:r>
          </w:p>
          <w:p w14:paraId="6BAF6ABB" w14:textId="0B64E64E" w:rsidR="00172A00" w:rsidRDefault="00172A00" w:rsidP="00172A00">
            <w:pPr>
              <w:pStyle w:val="Bullet"/>
            </w:pPr>
            <w:r>
              <w:t xml:space="preserve">the number of Māori providers increased from 240 in 2019/20 to 310 in </w:t>
            </w:r>
            <w:proofErr w:type="gramStart"/>
            <w:r>
              <w:t>2022/23</w:t>
            </w:r>
            <w:proofErr w:type="gramEnd"/>
          </w:p>
          <w:p w14:paraId="439E6691" w14:textId="26399DBB" w:rsidR="00172A00" w:rsidRDefault="00172A00" w:rsidP="00172A00">
            <w:pPr>
              <w:pStyle w:val="Bullet"/>
              <w:spacing w:after="120"/>
            </w:pPr>
            <w:r>
              <w:t>funding increased from $579.4 million to $812.8 million between 2019/20 and 2022/23.</w:t>
            </w:r>
          </w:p>
          <w:p w14:paraId="3DB5D835" w14:textId="496F304A" w:rsidR="00172A00" w:rsidRDefault="00172A00" w:rsidP="00172A00">
            <w:pPr>
              <w:spacing w:after="120" w:line="240" w:lineRule="auto"/>
            </w:pPr>
            <w:r>
              <w:t>Of notable success has been the work under Action 4.2: Strengthen evidence and expand access to rongoā Māori services, in parallel with developing the rongoā Māori workforce. Among the outcomes, Te Aka Whai Ora developed the Rongoā Māori Action Plan</w:t>
            </w:r>
            <w:r>
              <w:rPr>
                <w:rStyle w:val="FootnoteReference"/>
              </w:rPr>
              <w:footnoteReference w:id="17"/>
            </w:r>
            <w:r>
              <w:t xml:space="preserve"> and the number of funded rongoā providers increased across Aotearoa New Zealand from 20 providers in 2019/20 to 41 providers in 2022/23. As a result, the number of people accessing rongoā services increased from 14,200 rongoā contacts in 2019/20 to 26,290 rongoā contacts in 2022/23.</w:t>
            </w:r>
          </w:p>
          <w:p w14:paraId="1E9693EE" w14:textId="04344B57" w:rsidR="00172A00" w:rsidRPr="00172A00" w:rsidRDefault="00172A00" w:rsidP="00172A00">
            <w:pPr>
              <w:spacing w:after="120" w:line="240" w:lineRule="auto"/>
            </w:pPr>
            <w:r>
              <w:lastRenderedPageBreak/>
              <w:t>The importance of supporting rangatahi Māori through mental health services is evident throughout Whakamaua. Following the implementation of Action 4.4: Increase access to and choice of kaupapa Māori primary mental health and addiction services, 72 kaupapa Māori Access and Choice service providers have delivered more than 110,000 sessions. An estimated 68,000 adults and 11,000 children accessed Māori mental health services in 2022/23 (an increase from 38,000 adults in 2016/17).</w:t>
            </w:r>
          </w:p>
          <w:p w14:paraId="344DF0E4" w14:textId="344631AB" w:rsidR="00172A00" w:rsidRDefault="00172A00" w:rsidP="00172A00">
            <w:pPr>
              <w:pStyle w:val="Heading5"/>
            </w:pPr>
            <w:r w:rsidRPr="00172A00">
              <w:t>Concluding remarks on Whakamaua</w:t>
            </w:r>
          </w:p>
          <w:p w14:paraId="33C1D48B" w14:textId="77777777" w:rsidR="00172A00" w:rsidRDefault="00172A00" w:rsidP="00381C8B">
            <w:pPr>
              <w:spacing w:after="120" w:line="240" w:lineRule="auto"/>
            </w:pPr>
            <w:r>
              <w:t>Overall, the Ministry believes organisations across the health system and government sector have taken on board the aims and actions in Whakamaua. Collectively we are working to achieve them.</w:t>
            </w:r>
          </w:p>
          <w:p w14:paraId="3951D3A0" w14:textId="1FDCA4FC" w:rsidR="001147D0" w:rsidRDefault="00172A00" w:rsidP="00381C8B">
            <w:pPr>
              <w:spacing w:after="120" w:line="240" w:lineRule="auto"/>
            </w:pPr>
            <w:r>
              <w:t>The foundations of Pae Tū: Hauora Māori Strategy</w:t>
            </w:r>
            <w:r>
              <w:rPr>
                <w:rStyle w:val="FootnoteReference"/>
              </w:rPr>
              <w:footnoteReference w:id="18"/>
            </w:r>
            <w:r>
              <w:t xml:space="preserve"> come from Whakamaua, which has provided an interim pathway until 2025. Pae Tū enhances the direction of </w:t>
            </w:r>
            <w:proofErr w:type="spellStart"/>
            <w:r>
              <w:t>He</w:t>
            </w:r>
            <w:proofErr w:type="spellEnd"/>
            <w:r>
              <w:t xml:space="preserve"> Korowai </w:t>
            </w:r>
            <w:proofErr w:type="spellStart"/>
            <w:r>
              <w:t>Oranga</w:t>
            </w:r>
            <w:proofErr w:type="spellEnd"/>
            <w:r>
              <w:t>: Māori Health Strategy, and its implementation plan, Whakamaua, to ensure both reflect the new health system and remain fit for purpose.</w:t>
            </w:r>
          </w:p>
        </w:tc>
      </w:tr>
      <w:bookmarkEnd w:id="22"/>
    </w:tbl>
    <w:p w14:paraId="5FB772ED" w14:textId="77777777" w:rsidR="001147D0" w:rsidRDefault="001147D0" w:rsidP="00C80E16"/>
    <w:p w14:paraId="47C76782" w14:textId="77777777" w:rsidR="0082664F" w:rsidRDefault="0082664F" w:rsidP="0082664F">
      <w:pPr>
        <w:sectPr w:rsidR="0082664F" w:rsidSect="008F0115">
          <w:pgSz w:w="11907" w:h="16840" w:code="9"/>
          <w:pgMar w:top="1418" w:right="1701" w:bottom="1134" w:left="1843" w:header="284" w:footer="425" w:gutter="284"/>
          <w:cols w:space="720"/>
        </w:sectPr>
      </w:pPr>
    </w:p>
    <w:p w14:paraId="52100254" w14:textId="12CC0C78" w:rsidR="0082664F" w:rsidRPr="007D17C1" w:rsidRDefault="0082664F" w:rsidP="007D17C1">
      <w:pPr>
        <w:pStyle w:val="Heading2"/>
        <w:spacing w:before="0"/>
      </w:pPr>
      <w:bookmarkStart w:id="23" w:name="_Toc180077019"/>
      <w:r w:rsidRPr="007D17C1">
        <w:lastRenderedPageBreak/>
        <w:t xml:space="preserve">Priority 3: Be the Government’s primary advisor on </w:t>
      </w:r>
      <w:proofErr w:type="gramStart"/>
      <w:r w:rsidRPr="007D17C1">
        <w:t>health</w:t>
      </w:r>
      <w:bookmarkEnd w:id="23"/>
      <w:proofErr w:type="gramEnd"/>
    </w:p>
    <w:p w14:paraId="390722AC" w14:textId="6070D2EB" w:rsidR="007D17C1" w:rsidRPr="00AF55A3" w:rsidRDefault="007D17C1" w:rsidP="00AF55A3">
      <w:pPr>
        <w:pStyle w:val="Box"/>
        <w:rPr>
          <w:sz w:val="22"/>
          <w:szCs w:val="22"/>
        </w:rPr>
      </w:pPr>
      <w:r w:rsidRPr="00AF55A3">
        <w:rPr>
          <w:sz w:val="22"/>
          <w:szCs w:val="22"/>
        </w:rPr>
        <w:t>A key part of our work is delivering advice to support Government decision-making to deliver better health outcomes. Providing high-quality advice helps to build our Ministers’ trust and confidence in our work.</w:t>
      </w:r>
    </w:p>
    <w:p w14:paraId="70E69A46" w14:textId="77777777" w:rsidR="0082664F" w:rsidRDefault="0082664F" w:rsidP="00A6210E">
      <w:pPr>
        <w:pStyle w:val="Heading4"/>
        <w:rPr>
          <w:w w:val="105"/>
        </w:rPr>
      </w:pPr>
      <w:r w:rsidRPr="0082664F">
        <w:rPr>
          <w:w w:val="105"/>
        </w:rPr>
        <w:t>Develop and deliver a rolling programme of strategic</w:t>
      </w:r>
      <w:r>
        <w:rPr>
          <w:w w:val="105"/>
        </w:rPr>
        <w:t xml:space="preserve"> </w:t>
      </w:r>
      <w:r w:rsidRPr="0082664F">
        <w:rPr>
          <w:w w:val="105"/>
        </w:rPr>
        <w:t>policy advice to provide insights into and options for continuously</w:t>
      </w:r>
      <w:r>
        <w:rPr>
          <w:w w:val="105"/>
        </w:rPr>
        <w:t xml:space="preserve"> </w:t>
      </w:r>
      <w:r w:rsidRPr="0082664F">
        <w:rPr>
          <w:w w:val="105"/>
        </w:rPr>
        <w:t xml:space="preserve">improving health and system </w:t>
      </w:r>
      <w:proofErr w:type="gramStart"/>
      <w:r w:rsidRPr="0082664F">
        <w:rPr>
          <w:w w:val="105"/>
        </w:rPr>
        <w:t>settings</w:t>
      </w:r>
      <w:proofErr w:type="gramEnd"/>
    </w:p>
    <w:p w14:paraId="1B6AF9A1" w14:textId="25C03484" w:rsidR="0082664F" w:rsidRDefault="0082664F" w:rsidP="0082664F">
      <w:r>
        <w:t>We are the principal advisor on health to Government, and support Ministers to fulfil their role and achieve their priorities for health. After the new Government was formed, the Ministry undertook a significant amount of work to service and brief our new Ministers, including by supporting the establishment of the new mental health ministerial portfolio.</w:t>
      </w:r>
    </w:p>
    <w:p w14:paraId="59AB844B" w14:textId="77777777" w:rsidR="0082664F" w:rsidRDefault="0082664F" w:rsidP="0082664F"/>
    <w:p w14:paraId="396BBE3C" w14:textId="1F682C83" w:rsidR="0082664F" w:rsidRDefault="0082664F" w:rsidP="0082664F">
      <w:r>
        <w:t>Aotearoa New Zealand’s health system is founded on collaboration, partnership and shared leadership. We work with health entities and wider government agencies to provide effective advice to Ministers. In 2023/24, developing this advice involved assessing and analysing population health outcomes and the performance of the health system against Government objectives. We used our insights to provide advice on the legislative, regulatory, budgetary, policy and outcome settings that determine the health landscape and the way it operates – as well as advice on how these settings should change over time.</w:t>
      </w:r>
    </w:p>
    <w:p w14:paraId="7A80630C" w14:textId="77777777" w:rsidR="0082664F" w:rsidRDefault="0082664F" w:rsidP="0082664F"/>
    <w:p w14:paraId="756DE187" w14:textId="77777777" w:rsidR="0082664F" w:rsidRDefault="0082664F" w:rsidP="0082664F">
      <w:r>
        <w:t>Policy advice over the past 12 months has covered:</w:t>
      </w:r>
    </w:p>
    <w:p w14:paraId="1372012A" w14:textId="73200621" w:rsidR="0082664F" w:rsidRDefault="0082664F" w:rsidP="0082664F">
      <w:pPr>
        <w:pStyle w:val="Bullet"/>
      </w:pPr>
      <w:r>
        <w:t>a work programme to examine the foundational settings that underpin how primary and community healthcare services are organised, financed and provided in Aotearoa New Zealand</w:t>
      </w:r>
    </w:p>
    <w:p w14:paraId="17A36B52" w14:textId="19AB1112" w:rsidR="0082664F" w:rsidRDefault="0082664F" w:rsidP="0082664F">
      <w:pPr>
        <w:pStyle w:val="Bullet"/>
      </w:pPr>
      <w:r>
        <w:t>development of health targets, mental health and addiction targets and milestone measures</w:t>
      </w:r>
    </w:p>
    <w:p w14:paraId="7358F211" w14:textId="5B506A7E" w:rsidR="0082664F" w:rsidRDefault="0082664F" w:rsidP="0082664F">
      <w:pPr>
        <w:pStyle w:val="Bullet"/>
      </w:pPr>
      <w:r>
        <w:t>reducing substance-related harms</w:t>
      </w:r>
    </w:p>
    <w:p w14:paraId="364B68BE" w14:textId="558FB6A4" w:rsidR="0082664F" w:rsidRDefault="0082664F" w:rsidP="0082664F">
      <w:pPr>
        <w:pStyle w:val="Bullet"/>
      </w:pPr>
      <w:r>
        <w:t xml:space="preserve">transition to a multi-agency response to 111 calls related to mental </w:t>
      </w:r>
      <w:proofErr w:type="gramStart"/>
      <w:r>
        <w:t>distress</w:t>
      </w:r>
      <w:proofErr w:type="gramEnd"/>
    </w:p>
    <w:p w14:paraId="05FE1087" w14:textId="18566B31" w:rsidR="0082664F" w:rsidRDefault="0082664F" w:rsidP="0082664F">
      <w:pPr>
        <w:pStyle w:val="Bullet"/>
      </w:pPr>
      <w:r>
        <w:t xml:space="preserve">work with other social sector agencies on issues such as family and sexual violence, child protection, housing and the health needs of different population </w:t>
      </w:r>
      <w:proofErr w:type="gramStart"/>
      <w:r>
        <w:t>groups</w:t>
      </w:r>
      <w:proofErr w:type="gramEnd"/>
    </w:p>
    <w:p w14:paraId="7ECCB3CD" w14:textId="29395333" w:rsidR="0082664F" w:rsidRDefault="0082664F" w:rsidP="0082664F">
      <w:pPr>
        <w:pStyle w:val="Bullet"/>
      </w:pPr>
      <w:r>
        <w:t xml:space="preserve">initial work to inform a review of the </w:t>
      </w:r>
      <w:proofErr w:type="gramStart"/>
      <w:r>
        <w:t>End of Life</w:t>
      </w:r>
      <w:proofErr w:type="gramEnd"/>
      <w:r>
        <w:t xml:space="preserve"> Choice Act 2019</w:t>
      </w:r>
    </w:p>
    <w:p w14:paraId="0E1AB87C" w14:textId="16569DAE" w:rsidR="0082664F" w:rsidRDefault="0082664F" w:rsidP="0082664F">
      <w:pPr>
        <w:pStyle w:val="Bullet"/>
      </w:pPr>
      <w:r>
        <w:t>smokefree and vaping regulation</w:t>
      </w:r>
    </w:p>
    <w:p w14:paraId="32242E03" w14:textId="5C039CA5" w:rsidR="0082664F" w:rsidRDefault="0082664F" w:rsidP="0082664F">
      <w:pPr>
        <w:pStyle w:val="Bullet"/>
      </w:pPr>
      <w:r>
        <w:t>communicable disease and pandemic preparedness</w:t>
      </w:r>
    </w:p>
    <w:p w14:paraId="3105EF13" w14:textId="5D3698B1" w:rsidR="0082664F" w:rsidRDefault="0082664F" w:rsidP="0082664F">
      <w:pPr>
        <w:pStyle w:val="Bullet"/>
      </w:pPr>
      <w:r>
        <w:t>prevention and the broader determinants of health</w:t>
      </w:r>
    </w:p>
    <w:p w14:paraId="4BB17867" w14:textId="383F3D08" w:rsidR="0082664F" w:rsidRDefault="0082664F" w:rsidP="0082664F">
      <w:pPr>
        <w:pStyle w:val="Bullet"/>
      </w:pPr>
      <w:r>
        <w:t>global health initiatives</w:t>
      </w:r>
    </w:p>
    <w:p w14:paraId="1473EC64" w14:textId="77777777" w:rsidR="0082664F" w:rsidRDefault="0082664F" w:rsidP="0082664F">
      <w:pPr>
        <w:pStyle w:val="Bullet"/>
      </w:pPr>
      <w:r>
        <w:t>alcohol harm reduction.</w:t>
      </w:r>
    </w:p>
    <w:p w14:paraId="58DB113C" w14:textId="77777777" w:rsidR="0082664F" w:rsidRDefault="0082664F" w:rsidP="00A6210E">
      <w:pPr>
        <w:pStyle w:val="Heading4"/>
      </w:pPr>
      <w:r w:rsidRPr="0082664F">
        <w:lastRenderedPageBreak/>
        <w:t>Confirming policy decision for new mental health legislation</w:t>
      </w:r>
    </w:p>
    <w:p w14:paraId="43BA4274" w14:textId="4829936E" w:rsidR="0082664F" w:rsidRDefault="0082664F" w:rsidP="0082664F">
      <w:r>
        <w:t>We continued work to repeal and replace the Mental Health (Compulsory Assessment and Treatment) Act 1992. This piece of legislation sets out the rules for when the government may intervene in a person’s life to provide mental health treatment without consent.</w:t>
      </w:r>
    </w:p>
    <w:p w14:paraId="7E09B8FA" w14:textId="77777777" w:rsidR="0082664F" w:rsidRDefault="0082664F" w:rsidP="0082664F"/>
    <w:p w14:paraId="5B943DEC" w14:textId="560A53BE" w:rsidR="0082664F" w:rsidRDefault="0082664F" w:rsidP="0082664F">
      <w:r>
        <w:t>In 2023/24, we completed the policy development phase of the work, with Cabinet agreeing to a second suite of policy proposals in July 2023. The policy proposals for new legislation are intended to shift compulsory mental healthcare towards an approach that is more rights-based and directed towards recovery, providing care that better meets the needs of people and their family and whānau and uses intervention only as a last resort.</w:t>
      </w:r>
    </w:p>
    <w:p w14:paraId="653B82DA" w14:textId="77777777" w:rsidR="0082664F" w:rsidRDefault="0082664F" w:rsidP="0082664F"/>
    <w:p w14:paraId="61187926" w14:textId="3717D570" w:rsidR="0082664F" w:rsidRDefault="0082664F" w:rsidP="0082664F">
      <w:r>
        <w:t>The materials setting out Cabinet’s agreed policy for new legislation were proactively released on the Ministry’s website in August 2023. Since then, we have been working with the Parliamentary Counsel Office to draft a bill.</w:t>
      </w:r>
    </w:p>
    <w:p w14:paraId="28640746" w14:textId="77777777" w:rsidR="0082664F" w:rsidRDefault="0082664F" w:rsidP="0082664F"/>
    <w:p w14:paraId="316FAB67" w14:textId="09BCD0E0" w:rsidR="0082664F" w:rsidRDefault="0082664F" w:rsidP="0082664F">
      <w:r>
        <w:t>We are also planning for implementation. In April 2024, we completed a series of meetings across the Health New Zealand regions to better understand the implications of implementing some of the key areas of new mental health legislation. Among these areas are capacity assessments, supported decision-making, cultural approaches and reducing restricted practices.</w:t>
      </w:r>
    </w:p>
    <w:p w14:paraId="0D8A8C5D" w14:textId="77777777" w:rsidR="0082664F" w:rsidRDefault="0082664F" w:rsidP="00A6210E">
      <w:pPr>
        <w:pStyle w:val="Heading4"/>
      </w:pPr>
      <w:r>
        <w:t>Prioritise equity for Māori, Pacific peoples, disabled people and other population groups who experience inequitable health</w:t>
      </w:r>
      <w:r w:rsidR="00F355C6">
        <w:t xml:space="preserve"> </w:t>
      </w:r>
      <w:r>
        <w:t xml:space="preserve">outcomes within all policies, programmes and </w:t>
      </w:r>
      <w:proofErr w:type="gramStart"/>
      <w:r>
        <w:t>activities</w:t>
      </w:r>
      <w:proofErr w:type="gramEnd"/>
    </w:p>
    <w:p w14:paraId="3F909195" w14:textId="77777777" w:rsidR="00F355C6" w:rsidRPr="00F355C6" w:rsidRDefault="00F355C6" w:rsidP="00A6210E">
      <w:pPr>
        <w:pStyle w:val="Heading5"/>
      </w:pPr>
      <w:r w:rsidRPr="00F355C6">
        <w:t xml:space="preserve">Building organisational capability to support improvements in Māori health outcomes through a focus on prevention and </w:t>
      </w:r>
      <w:proofErr w:type="gramStart"/>
      <w:r w:rsidRPr="00F355C6">
        <w:t>equity</w:t>
      </w:r>
      <w:proofErr w:type="gramEnd"/>
    </w:p>
    <w:p w14:paraId="282DE516" w14:textId="6C368AA1" w:rsidR="00F355C6" w:rsidRDefault="00F355C6" w:rsidP="00F355C6">
      <w:r>
        <w:t>The work of the Public Health Agency is grounded in the recognition that significant inequities in health outcomes exist for Māori and Pacific communities and that these inequities arise because the communities are disadvantaged in the socioeconomic factors that affect health. To reduce ill health and disease and achieve health equity for Māori in the most effective way, we have directed our efforts towards preventing ill health and addressing underlying amenable health-related risk factors.</w:t>
      </w:r>
    </w:p>
    <w:p w14:paraId="03713F3F" w14:textId="77777777" w:rsidR="00381C8B" w:rsidRDefault="00381C8B" w:rsidP="00F355C6"/>
    <w:p w14:paraId="03BA3C50" w14:textId="77777777" w:rsidR="00F355C6" w:rsidRDefault="00F355C6" w:rsidP="00F355C6">
      <w:r>
        <w:t>The Public Health Agency is committed to ongoing organisational development to improve our capability to understand, respond to and implement our obligations under Te Tiriti and in relation to Māori health equity. In the past 12 months we have:</w:t>
      </w:r>
    </w:p>
    <w:p w14:paraId="1AA868D6" w14:textId="7C8A48C1" w:rsidR="00F355C6" w:rsidRDefault="00F355C6" w:rsidP="00F355C6">
      <w:pPr>
        <w:pStyle w:val="Bullet"/>
      </w:pPr>
      <w:r>
        <w:t xml:space="preserve">implemented and maintained Te Tiriti and Equity communities of practice across the Public Health Agency to support individual and collective understanding in developing effective public health policy for </w:t>
      </w:r>
      <w:proofErr w:type="gramStart"/>
      <w:r>
        <w:t>Māori</w:t>
      </w:r>
      <w:proofErr w:type="gramEnd"/>
    </w:p>
    <w:p w14:paraId="5EFE543F" w14:textId="4B440B85" w:rsidR="00F355C6" w:rsidRDefault="00F355C6" w:rsidP="00F355C6">
      <w:pPr>
        <w:pStyle w:val="Bullet"/>
      </w:pPr>
      <w:r>
        <w:t xml:space="preserve">partnered with Māori public health leaders from Te Aka Whai Ora (now part of Health New Zealand) and the National Public Health Service (also within Health New Zealand), along with the Ministry’s Māori Health directorate to develop public health strategies and on key public health focus areas such as healthy food environments, pandemic and emergency preparedness, measles outbreak </w:t>
      </w:r>
      <w:r>
        <w:lastRenderedPageBreak/>
        <w:t>preparedness, health natural adaptation planning, immunisation, housing, smoking and vaping, and addressing alcohol harm</w:t>
      </w:r>
    </w:p>
    <w:p w14:paraId="5DF2E7D3" w14:textId="5B8ACE79" w:rsidR="00F355C6" w:rsidRDefault="00F355C6" w:rsidP="00F355C6">
      <w:pPr>
        <w:pStyle w:val="Bullet"/>
      </w:pPr>
      <w:r>
        <w:t xml:space="preserve">developed an internal organisation plan to enable the Public Health Agency to respond to and meet expectations for Māori–Crown relations under the Public Service Act 2020 in relation to Te Tiriti and </w:t>
      </w:r>
      <w:proofErr w:type="gramStart"/>
      <w:r>
        <w:t>equity</w:t>
      </w:r>
      <w:proofErr w:type="gramEnd"/>
    </w:p>
    <w:p w14:paraId="4AB47BEB" w14:textId="1AB7B12C" w:rsidR="00F355C6" w:rsidRDefault="00F355C6" w:rsidP="00F355C6">
      <w:pPr>
        <w:pStyle w:val="Bullet"/>
      </w:pPr>
      <w:r>
        <w:t xml:space="preserve">developed and implemented tools to enable public health staff to consider equity and Te Tiriti in planning and developing public health </w:t>
      </w:r>
      <w:proofErr w:type="gramStart"/>
      <w:r>
        <w:t>policy</w:t>
      </w:r>
      <w:proofErr w:type="gramEnd"/>
    </w:p>
    <w:p w14:paraId="12A4866D" w14:textId="77777777" w:rsidR="00F355C6" w:rsidRDefault="00F355C6" w:rsidP="00F355C6">
      <w:pPr>
        <w:pStyle w:val="Bullet"/>
      </w:pPr>
      <w:r>
        <w:t>engaged with Ministry-wide and cross-government initiatives to improve capability around Te Tiriti, Māori health equity and anti-racism. These initiatives include cross-government Whāinga Amorangi work, Ao Mai Te Rā – the Anti-Racism Kaupapa and Tū Tira – an equity, Te Tiriti and anti-racism community of practice. We have also undertaken language development with Te Taura Whiri i te Reo Māori – Māori Language Commission.</w:t>
      </w:r>
    </w:p>
    <w:p w14:paraId="64A26783" w14:textId="77777777" w:rsidR="00F355C6" w:rsidRPr="00F355C6" w:rsidRDefault="00F355C6" w:rsidP="00A6210E">
      <w:pPr>
        <w:pStyle w:val="Heading5"/>
      </w:pPr>
      <w:r w:rsidRPr="00F355C6">
        <w:t>Engaging with Pacific communities on Te Mana Ola: The Pacific Health Strategy</w:t>
      </w:r>
    </w:p>
    <w:p w14:paraId="4569E920" w14:textId="0F817476" w:rsidR="00F355C6" w:rsidRDefault="00F355C6" w:rsidP="00F355C6">
      <w:r>
        <w:t>Throughout the year, the Pacific Health team has been engaging with a diverse range of Pacific peoples. This involved sharing progress and reinforcing relationships built during the development of Te Mana Ola: The Pacific Health Strategy.</w:t>
      </w:r>
      <w:r>
        <w:rPr>
          <w:rStyle w:val="FootnoteReference"/>
        </w:rPr>
        <w:footnoteReference w:id="19"/>
      </w:r>
    </w:p>
    <w:p w14:paraId="745D843E" w14:textId="77777777" w:rsidR="00F355C6" w:rsidRDefault="00F355C6" w:rsidP="00F355C6"/>
    <w:p w14:paraId="1912934F" w14:textId="23E71C0E" w:rsidR="00F355C6" w:rsidRDefault="00F355C6" w:rsidP="00F355C6">
      <w:r>
        <w:t>Following the publication of Te Mana Ola, Te Mana Ola Engagement Report was published in July 2023.</w:t>
      </w:r>
      <w:r>
        <w:rPr>
          <w:rStyle w:val="FootnoteReference"/>
        </w:rPr>
        <w:footnoteReference w:id="20"/>
      </w:r>
      <w:r>
        <w:t xml:space="preserve"> The report provides a detailed summary of community insights shared with the Ministry throughout the engagement process for Te Mana Ola. Its purpose is to create a feedback loop in which we report publicly on what we heard from Pacific peoples. The report highlights the diverse experiences of Pacific peoples and aims to amplify the voices of under-represented groups, including tagata sa’ilimalo (Pacific disabled people and their families and carers), youth, women, rural communities, Pasifika Rainbow+/MVPFAFF+</w:t>
      </w:r>
      <w:r>
        <w:rPr>
          <w:rStyle w:val="FootnoteReference"/>
        </w:rPr>
        <w:footnoteReference w:id="21"/>
      </w:r>
      <w:r>
        <w:t xml:space="preserve"> and people with lived experience of a mental health condition.</w:t>
      </w:r>
    </w:p>
    <w:p w14:paraId="1BB1A9FE" w14:textId="77777777" w:rsidR="00F355C6" w:rsidRDefault="00F355C6" w:rsidP="00F355C6"/>
    <w:p w14:paraId="08D15142" w14:textId="368D44A2" w:rsidR="00F355C6" w:rsidRDefault="00F355C6" w:rsidP="00F355C6">
      <w:r>
        <w:t>In the first half of 2024, the Pacific Health team reconnected with the Pacific health sector and community groups nationwide to update them on progress on Te Mana Ola. The purpose of the fono was to talk about the strategy and its alignment with the Government’s priorities, and to share how Pacific voices and insights were integral to shaping Te Mana Ola.</w:t>
      </w:r>
    </w:p>
    <w:p w14:paraId="648EDA15" w14:textId="575152A9" w:rsidR="00F355C6" w:rsidRDefault="00F355C6" w:rsidP="00F355C6"/>
    <w:p w14:paraId="65DD00F9" w14:textId="37C41FD4" w:rsidR="00F355C6" w:rsidRDefault="00F355C6" w:rsidP="00F355C6">
      <w:r w:rsidRPr="00F355C6">
        <w:t xml:space="preserve">Throughout the engagement, the Pacific teams and staff from the Ministry and Health New Zealand were able to talanoa to communities to introduce themselves, explain their functions and demonstrate the synergies of the strategy across different parts of the health system. We chose to take this collective approach to engagement so that we </w:t>
      </w:r>
      <w:r w:rsidRPr="00F355C6">
        <w:lastRenderedPageBreak/>
        <w:t>reduced engagement burden on communities. The fono have been well received by communities, who have appreciated that the Ministry returned to them with updates.</w:t>
      </w:r>
    </w:p>
    <w:p w14:paraId="7A05D171" w14:textId="2B11106D" w:rsidR="00F355C6" w:rsidRDefault="00F355C6" w:rsidP="00A6210E">
      <w:pPr>
        <w:pStyle w:val="Heading4"/>
      </w:pPr>
      <w:r w:rsidRPr="00F355C6">
        <w:t xml:space="preserve">Support the Crown to meet its Tiriti settlement </w:t>
      </w:r>
      <w:proofErr w:type="gramStart"/>
      <w:r w:rsidRPr="00F355C6">
        <w:t>commitments</w:t>
      </w:r>
      <w:proofErr w:type="gramEnd"/>
    </w:p>
    <w:p w14:paraId="477A9240" w14:textId="637F0EF0" w:rsidR="00F355C6" w:rsidRDefault="00F355C6" w:rsidP="00F355C6">
      <w:r>
        <w:t>The Ministry is responsible for supporting the Crown to meet its Tiriti settlement commitments relating to health services and outcomes for Māori. He Korowai Whakamana, a Cabinet-agreed framework, enhances the Crown’s accountability for its Tiriti settlement commitments. It requires the Ministry to record, track and report the status of our settlement commitments every year.</w:t>
      </w:r>
    </w:p>
    <w:p w14:paraId="1C6CF5CA" w14:textId="77777777" w:rsidR="00F355C6" w:rsidRDefault="00F355C6" w:rsidP="00F355C6"/>
    <w:p w14:paraId="48AFDED8" w14:textId="2513FDCE" w:rsidR="00F355C6" w:rsidRDefault="00F355C6" w:rsidP="00F355C6">
      <w:r>
        <w:t>In 2023/24, the Ministry used Te Haeata – the Settlement Portal to record whether each of our commitments is complete, on track, yet to be triggered or has delivery issues. As of 20 June 2024, the Ministry is responsible for 19 Tiriti settlement commitments. These include commitments relating to relationship redress, bespoke arrangements and participation arrangements over natural resources. Figure 6 summarises the status of the 19 commitments as of 30 June 2024.</w:t>
      </w:r>
    </w:p>
    <w:p w14:paraId="0AFC8548" w14:textId="77777777" w:rsidR="00F355C6" w:rsidRDefault="00F355C6" w:rsidP="00F355C6"/>
    <w:p w14:paraId="3306AC09" w14:textId="633C5AA7" w:rsidR="00F355C6" w:rsidRDefault="00F355C6" w:rsidP="00F355C6">
      <w:pPr>
        <w:pStyle w:val="Figure"/>
      </w:pPr>
      <w:r>
        <w:t xml:space="preserve">Figure </w:t>
      </w:r>
      <w:r>
        <w:fldChar w:fldCharType="begin"/>
      </w:r>
      <w:r>
        <w:instrText xml:space="preserve"> SEQ Figure \* ARABIC </w:instrText>
      </w:r>
      <w:r>
        <w:fldChar w:fldCharType="separate"/>
      </w:r>
      <w:r w:rsidR="00AA10BF">
        <w:rPr>
          <w:noProof/>
        </w:rPr>
        <w:t>6</w:t>
      </w:r>
      <w:r>
        <w:rPr>
          <w:noProof/>
        </w:rPr>
        <w:fldChar w:fldCharType="end"/>
      </w:r>
      <w:r>
        <w:t xml:space="preserve">: </w:t>
      </w:r>
      <w:r w:rsidRPr="00F355C6">
        <w:t>The status of our Tiriti settlement commitments as of 30 June 2024</w:t>
      </w:r>
    </w:p>
    <w:p w14:paraId="38607225" w14:textId="353D17B2" w:rsidR="00F355C6" w:rsidRDefault="00F355C6" w:rsidP="00F355C6">
      <w:r>
        <w:rPr>
          <w:noProof/>
        </w:rPr>
        <w:drawing>
          <wp:inline distT="0" distB="0" distL="0" distR="0" wp14:anchorId="6827151C" wp14:editId="7F1BE3D2">
            <wp:extent cx="4458202" cy="876300"/>
            <wp:effectExtent l="0" t="0" r="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4626249" cy="909331"/>
                    </a:xfrm>
                    <a:prstGeom prst="rect">
                      <a:avLst/>
                    </a:prstGeom>
                  </pic:spPr>
                </pic:pic>
              </a:graphicData>
            </a:graphic>
          </wp:inline>
        </w:drawing>
      </w:r>
    </w:p>
    <w:p w14:paraId="03C2E0FC" w14:textId="75636C6E" w:rsidR="00F355C6" w:rsidRDefault="00F355C6" w:rsidP="00F355C6"/>
    <w:p w14:paraId="08BBB762" w14:textId="01771CD1" w:rsidR="00F355C6" w:rsidRDefault="00F355C6" w:rsidP="00F355C6">
      <w:r>
        <w:t>Most of the commitments are on track (63%) or yet to be triggered (32%). A small proportion of our commitments (5%) is complete. For most of our Tiriti commitments, the Crown does not have a set timeframe in which to meet them. Our work towards them requires ongoing negotiations and fulfilling specific legal and procedural requirements.</w:t>
      </w:r>
    </w:p>
    <w:p w14:paraId="51993C7D" w14:textId="77777777" w:rsidR="00F355C6" w:rsidRDefault="00F355C6" w:rsidP="00F355C6"/>
    <w:p w14:paraId="2023A508" w14:textId="1654F625" w:rsidR="00F355C6" w:rsidRDefault="00F355C6" w:rsidP="000A1102">
      <w:pPr>
        <w:ind w:right="-143"/>
      </w:pPr>
      <w:r>
        <w:t>The Tiriti settlements that are on track demonstrate the Ministry’s determination to fulfil our commitments, foster trust and build positive relationships with our Tiriti partners. We aspire to achieve this level of progress and partnership with all Tiriti partners.</w:t>
      </w:r>
    </w:p>
    <w:p w14:paraId="26BDA06A" w14:textId="2B46CABE" w:rsidR="00F355C6" w:rsidRDefault="00F355C6" w:rsidP="00A6210E">
      <w:pPr>
        <w:pStyle w:val="Heading4"/>
      </w:pPr>
      <w:r w:rsidRPr="00F355C6">
        <w:t>Wai 2575 and other kaupapa inquiries</w:t>
      </w:r>
    </w:p>
    <w:p w14:paraId="595E1BBC" w14:textId="7D39D83C" w:rsidR="00F355C6" w:rsidRDefault="00F355C6" w:rsidP="00F355C6">
      <w:r>
        <w:t>The Ministry has continued to lead the Crown’s response to Wai 2575, a thematic inquiry into health-related claims concerning nationally significant issues that affect Māori as a whole or a section of Māori across Aotearoa New Zealand in similar ways. This year, the Ministry supported claimant hearings as well as presenting evidence at the first week of the Crown response hearing for stage two, phase one (known as the disability phase). This work has involved providing information to update claimants’ evidence, responding to requests from claimants and the Waitangi Tribunal, leading the Crown response to claimant evidence through the development of 19 briefs of evidence, and leading or supporting other agencies to furnish evidence in response to queries.</w:t>
      </w:r>
    </w:p>
    <w:p w14:paraId="2F296298" w14:textId="77777777" w:rsidR="00F355C6" w:rsidRDefault="00F355C6" w:rsidP="00F355C6"/>
    <w:p w14:paraId="0A5AE2ED" w14:textId="61B8312A" w:rsidR="00F355C6" w:rsidRDefault="00F355C6" w:rsidP="00F355C6">
      <w:r>
        <w:t xml:space="preserve">The Ministry has continued to work with claimants to address the recommendations from the Waitangi Tribunal. This has included starting research into the potential for establishing a capital investment for Māori health providers to enable more sustainable </w:t>
      </w:r>
      <w:r>
        <w:lastRenderedPageBreak/>
        <w:t>means of delivering primary and community healthcare that is centred on whānau and works for Māori.</w:t>
      </w:r>
    </w:p>
    <w:p w14:paraId="72431130" w14:textId="77777777" w:rsidR="00F355C6" w:rsidRDefault="00F355C6" w:rsidP="00F355C6"/>
    <w:p w14:paraId="55DCB084" w14:textId="11F76516" w:rsidR="00F355C6" w:rsidRDefault="00F355C6" w:rsidP="00F355C6">
      <w:r>
        <w:t>The Ministry has also engaged in and provided information and guidance to other kaupapa inquiries (including those on military veterans, housing and justice), as required. In December 2023, the Ministry responded to the Waitangi Tribunal on Wai 3307, the urgent hearing about the disestablishment of Te Aka Whai Ora, and Wai 3315, the urgent inquiry into smokefree legislation.</w:t>
      </w:r>
    </w:p>
    <w:p w14:paraId="2D079022" w14:textId="3E5DD249" w:rsidR="00F355C6" w:rsidRDefault="00F355C6" w:rsidP="00A6210E">
      <w:pPr>
        <w:pStyle w:val="Heading4"/>
      </w:pPr>
      <w:r>
        <w:t xml:space="preserve">Repeal the Therapeutic Products Act 2023 and develop new proposals for the regulation of medicines, medical devices and natural health </w:t>
      </w:r>
      <w:proofErr w:type="gramStart"/>
      <w:r>
        <w:t>products</w:t>
      </w:r>
      <w:proofErr w:type="gramEnd"/>
    </w:p>
    <w:p w14:paraId="2F41CEE6" w14:textId="5747B13A" w:rsidR="00F355C6" w:rsidRDefault="00F355C6" w:rsidP="00F355C6">
      <w:r>
        <w:t>In July 2023, Parliament enacted the Therapeutic Products Act 2023 (TPA). The TPA was intended to replace the Medicines Act 1981, which is out of date, and provide for the comprehensive regulation of medicines, medical devices and natural health products.</w:t>
      </w:r>
    </w:p>
    <w:p w14:paraId="7466D74F" w14:textId="77777777" w:rsidR="00F355C6" w:rsidRDefault="00F355C6" w:rsidP="00F355C6"/>
    <w:p w14:paraId="0AAB1ACF" w14:textId="285ED85A" w:rsidR="00F355C6" w:rsidRDefault="00F355C6" w:rsidP="00F355C6">
      <w:r>
        <w:t>Following the enactment of the TPA, the Ministry began work on its implementation. This included starting work on developing secondary legislation, building a new regulator within the Ministry and procuring a new information technology (IT) system.</w:t>
      </w:r>
    </w:p>
    <w:p w14:paraId="599EC8D7" w14:textId="77777777" w:rsidR="00F355C6" w:rsidRDefault="00F355C6" w:rsidP="00F355C6"/>
    <w:p w14:paraId="61303517" w14:textId="3B8BB945" w:rsidR="00F355C6" w:rsidRDefault="00F355C6" w:rsidP="00F355C6">
      <w:r>
        <w:t>In November 2023, following the October 2023 election, the new Government announced it would repeal the TPA. At this point, all work on implementing the TPA ceased. Since November 2023, the relevant teams in the Ministry have supported the Government to progress its commitment to repealing the TPA.</w:t>
      </w:r>
    </w:p>
    <w:p w14:paraId="7A4F6BBF" w14:textId="77777777" w:rsidR="00F355C6" w:rsidRDefault="00F355C6" w:rsidP="00F355C6"/>
    <w:p w14:paraId="11718E8C" w14:textId="53E57CDD" w:rsidR="00F355C6" w:rsidRDefault="00F355C6" w:rsidP="00F355C6">
      <w:r>
        <w:t>In May 2024, the Government announced that it would introduce a Bill to repeal the TPA, with the repeal to be complete before the end of 2024. The Government also announced it would develop new proposals to regulate medicines, medical devices and natural health products.</w:t>
      </w:r>
    </w:p>
    <w:p w14:paraId="25F41B81" w14:textId="77777777" w:rsidR="00F355C6" w:rsidRDefault="00F355C6" w:rsidP="00F355C6"/>
    <w:p w14:paraId="30590F0A" w14:textId="228C0F7E" w:rsidR="00F355C6" w:rsidRDefault="00F355C6" w:rsidP="00F355C6">
      <w:r>
        <w:t>We began work to repeal the TPA to better respond and put in place a modern comprehensive regulatory regime for therapeutic products. Work is also underway to develop policy settings for a new regulatory regime, which can provide New Zealanders with safe and timely access to medicines, medical devices and natural health products.</w:t>
      </w:r>
    </w:p>
    <w:p w14:paraId="49EB9FB6" w14:textId="3EF1D870" w:rsidR="00F355C6" w:rsidRDefault="00F355C6" w:rsidP="00A6210E">
      <w:pPr>
        <w:pStyle w:val="Heading4"/>
      </w:pPr>
      <w:r w:rsidRPr="00F355C6">
        <w:t xml:space="preserve">Deliver further legislation as agreed to strengthen the statutory basis for the health </w:t>
      </w:r>
      <w:proofErr w:type="gramStart"/>
      <w:r w:rsidRPr="00F355C6">
        <w:t>system</w:t>
      </w:r>
      <w:proofErr w:type="gramEnd"/>
    </w:p>
    <w:p w14:paraId="0747F845" w14:textId="77777777" w:rsidR="00F355C6" w:rsidRDefault="00F355C6" w:rsidP="00F355C6">
      <w:r>
        <w:t>As steward of the health system, we play a lead role in contributing to a coherent legislative framework for the health system. Following a period of legislative reform of the system, in 2023/24 we have focused on targeted and specific changes to give effect to Government direction, including:</w:t>
      </w:r>
    </w:p>
    <w:p w14:paraId="6F0C1E1E" w14:textId="3663E439" w:rsidR="00F355C6" w:rsidRDefault="00F355C6" w:rsidP="00F355C6">
      <w:pPr>
        <w:pStyle w:val="Bullet"/>
      </w:pPr>
      <w:r>
        <w:t xml:space="preserve">amending the Pae Ora (Healthy Futures) Act 2022 to disestablish Te Aka Whai Ora on 28 February 2024, enabling decisions to be made closer to the community, the home and </w:t>
      </w:r>
      <w:proofErr w:type="gramStart"/>
      <w:r>
        <w:t>hapū</w:t>
      </w:r>
      <w:proofErr w:type="gramEnd"/>
    </w:p>
    <w:p w14:paraId="5F091475" w14:textId="2E2AE86A" w:rsidR="00F355C6" w:rsidRPr="00F355C6" w:rsidRDefault="00F355C6" w:rsidP="00F355C6">
      <w:pPr>
        <w:pStyle w:val="Bullet"/>
      </w:pPr>
      <w:r>
        <w:t>repealing amendments to the Smokefree Environments and Regulated Products Act 1990 including the retail reduction scheme, denicotinisation and the smokefree generation measures.</w:t>
      </w:r>
    </w:p>
    <w:p w14:paraId="00217371" w14:textId="77777777" w:rsidR="00463D30" w:rsidRDefault="00463D30" w:rsidP="00F355C6">
      <w:pPr>
        <w:sectPr w:rsidR="00463D30" w:rsidSect="008F0115">
          <w:pgSz w:w="11907" w:h="16840" w:code="9"/>
          <w:pgMar w:top="1418" w:right="1701" w:bottom="1134" w:left="1843" w:header="284" w:footer="425" w:gutter="284"/>
          <w:cols w:space="720"/>
        </w:sectPr>
      </w:pPr>
    </w:p>
    <w:p w14:paraId="185CF6A9" w14:textId="7B1B4CA3" w:rsidR="00463D30" w:rsidRDefault="00463D30" w:rsidP="00463D30">
      <w:pPr>
        <w:pStyle w:val="Heading2"/>
        <w:spacing w:before="0"/>
      </w:pPr>
      <w:bookmarkStart w:id="24" w:name="_Toc180077020"/>
      <w:r>
        <w:lastRenderedPageBreak/>
        <w:t>Priority 4: Future-proof our health system</w:t>
      </w:r>
      <w:bookmarkEnd w:id="24"/>
    </w:p>
    <w:p w14:paraId="61581122" w14:textId="64B7665B" w:rsidR="007D17C1" w:rsidRPr="00AF55A3" w:rsidRDefault="007D17C1" w:rsidP="00AF55A3">
      <w:pPr>
        <w:pStyle w:val="Box"/>
        <w:rPr>
          <w:sz w:val="22"/>
          <w:szCs w:val="22"/>
        </w:rPr>
      </w:pPr>
      <w:r w:rsidRPr="00AF55A3">
        <w:rPr>
          <w:sz w:val="22"/>
          <w:szCs w:val="22"/>
        </w:rPr>
        <w:t>Aotearoa New Zealand is changing (for example, because of an ageing population), which means the health system needs to change to meet New Zealanders’ needs both now and in the future. We need to better prepare for emerging issues and opportunities, and to address risks we identify. Healthcare must adapt and learn to use new tools.</w:t>
      </w:r>
    </w:p>
    <w:p w14:paraId="6107B107" w14:textId="0F938164" w:rsidR="00463D30" w:rsidRDefault="00463D30" w:rsidP="00A6210E">
      <w:pPr>
        <w:pStyle w:val="Heading4"/>
      </w:pPr>
      <w:r w:rsidRPr="00463D30">
        <w:t xml:space="preserve">Facilitate collaborative action on population health approaches across other sectors that have a direct influence on determinants of </w:t>
      </w:r>
      <w:proofErr w:type="gramStart"/>
      <w:r w:rsidRPr="00463D30">
        <w:t>health</w:t>
      </w:r>
      <w:proofErr w:type="gramEnd"/>
    </w:p>
    <w:p w14:paraId="26444925" w14:textId="4CB0EF07" w:rsidR="00463D30" w:rsidRDefault="00463D30" w:rsidP="00463D30">
      <w:r>
        <w:t>Fetal alcohol syndrome disorder (FASD) is a leading cause of preventable intellectual and neurodevelopmental disability. While the true prevalence of FASD in Aotearoa New Zealand is unknown, an estimated 1,800 to 3,000 children in Aotearoa New Zealand are born with FASD each year. People with FASD can experience lifelong physical, behavioural, learning and mental health problems. The condition also has significant economic and social costs.</w:t>
      </w:r>
    </w:p>
    <w:p w14:paraId="3ACEAEE5" w14:textId="77777777" w:rsidR="00463D30" w:rsidRDefault="00463D30" w:rsidP="00463D30"/>
    <w:p w14:paraId="24B6CDF6" w14:textId="77777777" w:rsidR="00463D30" w:rsidRDefault="00463D30" w:rsidP="00463D30">
      <w:r>
        <w:t>In 2023/24, the Public Health Agency helped to coordinate a health system response to FASD by:</w:t>
      </w:r>
    </w:p>
    <w:p w14:paraId="14080EB7" w14:textId="0C9D8C21" w:rsidR="00463D30" w:rsidRDefault="00463D30" w:rsidP="00463D30">
      <w:pPr>
        <w:pStyle w:val="Bullet"/>
      </w:pPr>
      <w:r>
        <w:t xml:space="preserve">establishing a cross-agency approach to refresh the FASD strategic action plan, which will create a joined-up response and long-term direction for addressing </w:t>
      </w:r>
      <w:proofErr w:type="gramStart"/>
      <w:r>
        <w:t>FASD</w:t>
      </w:r>
      <w:proofErr w:type="gramEnd"/>
    </w:p>
    <w:p w14:paraId="14294CBD" w14:textId="3CFA4E0C" w:rsidR="00463D30" w:rsidRDefault="00463D30" w:rsidP="00463D30">
      <w:pPr>
        <w:pStyle w:val="Bullet"/>
      </w:pPr>
      <w:r>
        <w:t xml:space="preserve">establishing an alcohol harm reduction steering group, which includes health agency, community and sector representatives, to support collaboration and inform harm reduction activities, including to address </w:t>
      </w:r>
      <w:proofErr w:type="gramStart"/>
      <w:r>
        <w:t>FASD</w:t>
      </w:r>
      <w:proofErr w:type="gramEnd"/>
    </w:p>
    <w:p w14:paraId="0F71A25D" w14:textId="7933AD30" w:rsidR="00463D30" w:rsidRDefault="00463D30" w:rsidP="00463D30">
      <w:pPr>
        <w:pStyle w:val="Bullet"/>
      </w:pPr>
      <w:r>
        <w:t xml:space="preserve">using the alcohol levy-setting process to secure targeted funding for FASD activities aimed at preventing FASD and improving our understanding of FASD </w:t>
      </w:r>
      <w:proofErr w:type="gramStart"/>
      <w:r>
        <w:t>prevalence</w:t>
      </w:r>
      <w:proofErr w:type="gramEnd"/>
    </w:p>
    <w:p w14:paraId="28D78FA7" w14:textId="59A336F8" w:rsidR="00463D30" w:rsidRDefault="00463D30" w:rsidP="00463D30">
      <w:pPr>
        <w:pStyle w:val="Bullet"/>
      </w:pPr>
      <w:r>
        <w:t>advising the Minister of Health on renewing the Government’s focus on supporting people with FASD.</w:t>
      </w:r>
    </w:p>
    <w:p w14:paraId="18F43021" w14:textId="041F3C77" w:rsidR="00463D30" w:rsidRDefault="00463D30" w:rsidP="00A6210E">
      <w:pPr>
        <w:pStyle w:val="Heading4"/>
      </w:pPr>
      <w:r>
        <w:t xml:space="preserve">Lift horizon scanning capabilities in the Ministry and bring a specific focus on horizon scanning through our revised Ministry governance </w:t>
      </w:r>
      <w:proofErr w:type="gramStart"/>
      <w:r>
        <w:t>arrangements</w:t>
      </w:r>
      <w:proofErr w:type="gramEnd"/>
    </w:p>
    <w:p w14:paraId="302575FF" w14:textId="60D313B3" w:rsidR="00463D30" w:rsidRDefault="00463D30" w:rsidP="00463D30">
      <w:r>
        <w:t>As system steward, the Ministry is accountable and responsible for providing clarity and leadership on how the health system should best operate and its future direction. The Ministry</w:t>
      </w:r>
      <w:r w:rsidR="005325C8">
        <w:t xml:space="preserve"> </w:t>
      </w:r>
      <w:r>
        <w:t>has established new roles and governance groups to lift our capability and capacity to undertake future-focused, long-term strategic thinking and support the Ministry’s system stewardship function. These are important given the intersection of trends and disruptors, from demographics to</w:t>
      </w:r>
      <w:r w:rsidR="005325C8">
        <w:t xml:space="preserve"> </w:t>
      </w:r>
      <w:r>
        <w:t>pharmaceuticals to technology, which are rapidly changing our health environment.</w:t>
      </w:r>
    </w:p>
    <w:p w14:paraId="1CA79ECF" w14:textId="77777777" w:rsidR="005325C8" w:rsidRDefault="005325C8" w:rsidP="00463D30"/>
    <w:p w14:paraId="282C9560" w14:textId="77777777" w:rsidR="00463D30" w:rsidRDefault="00463D30" w:rsidP="00463D30">
      <w:r>
        <w:lastRenderedPageBreak/>
        <w:t xml:space="preserve">This year, the Ministry established a dedicated horizon scanning function so that we can be better prepared for emerging issues and opportunities. We also lifted the </w:t>
      </w:r>
      <w:proofErr w:type="gramStart"/>
      <w:r>
        <w:t>senior</w:t>
      </w:r>
      <w:proofErr w:type="gramEnd"/>
    </w:p>
    <w:p w14:paraId="1D63444D" w14:textId="65842A70" w:rsidR="00463D30" w:rsidRDefault="00463D30" w:rsidP="00463D30">
      <w:r>
        <w:t>capability in new and emerging technologies and treatments in genomics, precision health and artificial intelligence, and enhanced oversight of regulatory platforms. The purpose of all these measures is to enable innovation and appropriately integrate new methods into the Aotearoa New Zealand health system.</w:t>
      </w:r>
    </w:p>
    <w:p w14:paraId="1A5CF038" w14:textId="77777777" w:rsidR="005325C8" w:rsidRDefault="005325C8" w:rsidP="00463D30"/>
    <w:p w14:paraId="044009F4" w14:textId="7A784C89" w:rsidR="00463D30" w:rsidRDefault="00463D30" w:rsidP="00463D30">
      <w:r>
        <w:t>Within the Ministry’s new governance system, the Clinical Leadership and Innovation Committee (CLI) has been established as a strategic subcommittee of both the EGT and the Strategic Stewardship Team (SST). CLI and SST are complementary bodies that mutually reinforce thought leadership, bringing a robust, future-focused approach to decisions on strategic prioritisation.</w:t>
      </w:r>
    </w:p>
    <w:p w14:paraId="741D2CCF" w14:textId="77777777" w:rsidR="005325C8" w:rsidRDefault="005325C8" w:rsidP="00463D30"/>
    <w:p w14:paraId="3D5F5ADA" w14:textId="5A4EEC25" w:rsidR="00463D30" w:rsidRDefault="00463D30" w:rsidP="00463D30">
      <w:r>
        <w:t>As the arrangements are implemented and embedded in the coming year, they will support the Ministry to achieve its priority of future-proofing the health system and taking a government-level leadership role.</w:t>
      </w:r>
    </w:p>
    <w:p w14:paraId="67A5423D" w14:textId="77777777" w:rsidR="00463D30" w:rsidRDefault="005325C8" w:rsidP="00A6210E">
      <w:pPr>
        <w:pStyle w:val="Heading4"/>
      </w:pPr>
      <w:r w:rsidRPr="005325C8">
        <w:t>Undertake a programme of work towards growing and retaining the health workforce, including work towards establishing a third medical school at the University of Waikato</w:t>
      </w:r>
    </w:p>
    <w:p w14:paraId="4495477E" w14:textId="38D642D4" w:rsidR="005325C8" w:rsidRDefault="005325C8" w:rsidP="005325C8">
      <w:r>
        <w:t>The Ministry has had a key role in progressing a new medical school at the University of Waikato, which will lift our training capacity for Aotearoa New Zealand doctors. We signed a Memorandum of Understanding with the University of Waikato to establish a work programme, which includes creating and leading governance arrangements with other agencies.</w:t>
      </w:r>
    </w:p>
    <w:p w14:paraId="0ECEA2AC" w14:textId="77777777" w:rsidR="005325C8" w:rsidRDefault="005325C8" w:rsidP="005325C8"/>
    <w:p w14:paraId="2DE48929" w14:textId="28436A4A" w:rsidR="005325C8" w:rsidRDefault="005325C8" w:rsidP="005325C8">
      <w:r>
        <w:t>With key stakeholders, we are now gathering information about the medical school and its wider system impacts, drafting programme and detailed business cases, developing an independent cost–benefit analysis and commissioning independent quality assurance of the work programme. This work plays an important role in providing decision-makers with assurance of the feasibility of the work programme as it progresses.</w:t>
      </w:r>
    </w:p>
    <w:p w14:paraId="3D516F80" w14:textId="77777777" w:rsidR="005325C8" w:rsidRDefault="005325C8" w:rsidP="005325C8"/>
    <w:p w14:paraId="336EC250" w14:textId="77777777" w:rsidR="005325C8" w:rsidRDefault="005325C8" w:rsidP="005325C8">
      <w:r>
        <w:t>Additionally, to address workforce challenges, the Ministry has:</w:t>
      </w:r>
    </w:p>
    <w:p w14:paraId="3B21376D" w14:textId="4BAD6BD4" w:rsidR="005325C8" w:rsidRDefault="005325C8" w:rsidP="005325C8">
      <w:pPr>
        <w:pStyle w:val="Bullet"/>
      </w:pPr>
      <w:r>
        <w:t>lifted annual training capacity by funding 25 additional medical places across the University of Auckland and the University of Otago</w:t>
      </w:r>
    </w:p>
    <w:p w14:paraId="04582B91" w14:textId="639CF99B" w:rsidR="005325C8" w:rsidRDefault="005325C8" w:rsidP="005325C8">
      <w:pPr>
        <w:pStyle w:val="Bullet"/>
      </w:pPr>
      <w:r>
        <w:t xml:space="preserve">enhanced long-term strategic insights by establishing the Health Workforce and Systems Efficiencies Committee to advise the Minister of Health on managing health workforce </w:t>
      </w:r>
      <w:proofErr w:type="gramStart"/>
      <w:r>
        <w:t>challenges</w:t>
      </w:r>
      <w:proofErr w:type="gramEnd"/>
    </w:p>
    <w:p w14:paraId="458BFA6B" w14:textId="3636E614" w:rsidR="005325C8" w:rsidRDefault="005325C8" w:rsidP="005325C8">
      <w:pPr>
        <w:pStyle w:val="Bullet"/>
      </w:pPr>
      <w:r>
        <w:t>supported the Government to set its workforce priorities by providing advice on the challenges, aspirations and levers for the health workforce in the Ministry’s Health Workforce Strategic Framework</w:t>
      </w:r>
    </w:p>
    <w:p w14:paraId="304E1A1D" w14:textId="77777777" w:rsidR="005325C8" w:rsidRDefault="005325C8" w:rsidP="005325C8">
      <w:pPr>
        <w:pStyle w:val="Bullet"/>
      </w:pPr>
      <w:r>
        <w:t>improved system-wide health workforce planning by providing strategic direction to Health New Zealand and other agencies through the Health Workforce Strategic Framework.</w:t>
      </w:r>
    </w:p>
    <w:p w14:paraId="5861AFDF" w14:textId="77777777" w:rsidR="005325C8" w:rsidRDefault="005325C8" w:rsidP="005325C8">
      <w:pPr>
        <w:pStyle w:val="Bullet"/>
        <w:numPr>
          <w:ilvl w:val="0"/>
          <w:numId w:val="0"/>
        </w:numPr>
      </w:pPr>
    </w:p>
    <w:tbl>
      <w:tblPr>
        <w:tblStyle w:val="TableGrid"/>
        <w:tblW w:w="8359" w:type="dxa"/>
        <w:tblBorders>
          <w:top w:val="single" w:sz="4" w:space="0" w:color="0A6AB4"/>
          <w:left w:val="single" w:sz="4" w:space="0" w:color="0A6AB4"/>
          <w:bottom w:val="single" w:sz="4" w:space="0" w:color="0A6AB4"/>
          <w:right w:val="single" w:sz="4" w:space="0" w:color="0A6AB4"/>
          <w:insideH w:val="single" w:sz="4" w:space="0" w:color="0A6AB4"/>
          <w:insideV w:val="single" w:sz="4" w:space="0" w:color="0A6AB4"/>
        </w:tblBorders>
        <w:tblLook w:val="04A0" w:firstRow="1" w:lastRow="0" w:firstColumn="1" w:lastColumn="0" w:noHBand="0" w:noVBand="1"/>
      </w:tblPr>
      <w:tblGrid>
        <w:gridCol w:w="8359"/>
      </w:tblGrid>
      <w:tr w:rsidR="005325C8" w14:paraId="37616CC5" w14:textId="77777777" w:rsidTr="007D17C1">
        <w:tc>
          <w:tcPr>
            <w:tcW w:w="8359" w:type="dxa"/>
          </w:tcPr>
          <w:p w14:paraId="527CA9EE" w14:textId="1B7FD3C5" w:rsidR="005325C8" w:rsidRDefault="005325C8" w:rsidP="007D17C1">
            <w:pPr>
              <w:pStyle w:val="Heading4"/>
              <w:keepNext w:val="0"/>
              <w:spacing w:before="120"/>
            </w:pPr>
            <w:r w:rsidRPr="006F5694">
              <w:rPr>
                <w:b/>
                <w:bCs/>
              </w:rPr>
              <w:lastRenderedPageBreak/>
              <w:t>Case study:</w:t>
            </w:r>
            <w:r w:rsidRPr="00C55AFB">
              <w:t xml:space="preserve"> </w:t>
            </w:r>
            <w:r w:rsidRPr="005325C8">
              <w:t xml:space="preserve">Develop and present to the House of Representatives our long-term insights briefing on precision </w:t>
            </w:r>
            <w:proofErr w:type="gramStart"/>
            <w:r w:rsidRPr="005325C8">
              <w:t>health</w:t>
            </w:r>
            <w:proofErr w:type="gramEnd"/>
          </w:p>
          <w:p w14:paraId="11EBFC71" w14:textId="184755FD" w:rsidR="00381C8B" w:rsidRPr="00381C8B" w:rsidRDefault="00381C8B" w:rsidP="00381C8B">
            <w:pPr>
              <w:spacing w:after="120"/>
              <w:rPr>
                <w:b/>
                <w:bCs/>
              </w:rPr>
            </w:pPr>
            <w:r w:rsidRPr="00381C8B">
              <w:rPr>
                <w:b/>
                <w:bCs/>
              </w:rPr>
              <w:t>The Public Service Act 2020 requires government departments to prepare a long-term insights briefing (LTIB) at least once every three years. The purpose of an LTIB is to increase the public service’s focus on the long-term trends, risks and opportunities that may affect Aotearoa New Zealand and our society.</w:t>
            </w:r>
          </w:p>
          <w:p w14:paraId="62C4656C" w14:textId="184755FD" w:rsidR="005325C8" w:rsidRDefault="005325C8" w:rsidP="005325C8">
            <w:pPr>
              <w:spacing w:after="120" w:line="240" w:lineRule="auto"/>
            </w:pPr>
            <w:r>
              <w:t xml:space="preserve">The Ministry’s first LTIB topic was </w:t>
            </w:r>
            <w:r w:rsidRPr="005325C8">
              <w:rPr>
                <w:i/>
                <w:iCs/>
              </w:rPr>
              <w:t>Precision health: Exploring opportunities and challenges to predict, prevent, diagnose, and treat disease more precisely in Aotearoa New Zealand</w:t>
            </w:r>
            <w:r>
              <w:t>.</w:t>
            </w:r>
            <w:r>
              <w:rPr>
                <w:rStyle w:val="FootnoteReference"/>
              </w:rPr>
              <w:footnoteReference w:id="22"/>
            </w:r>
            <w:r>
              <w:t xml:space="preserve"> Precision health is an umbrella term for the use of technology and information to develop more precise ways to keep people healthy. This LTIB explored opportunities and challenges present in precision health through two areas of particular interest to stakeholders – genomics and artificial intelligence (AI).</w:t>
            </w:r>
          </w:p>
          <w:p w14:paraId="2373CC35" w14:textId="77777777" w:rsidR="005325C8" w:rsidRDefault="005325C8" w:rsidP="00381C8B">
            <w:pPr>
              <w:spacing w:after="120" w:line="240" w:lineRule="auto"/>
            </w:pPr>
            <w:r>
              <w:t>Genomics and AI technologies are developing rapidly and present a range of new ways to think about prevention and treatment of health issues, disease and health promotion. However, they also create challenges and risks that must be considered and mitigated.</w:t>
            </w:r>
          </w:p>
          <w:p w14:paraId="2C6DDD47" w14:textId="77777777" w:rsidR="005325C8" w:rsidRDefault="005325C8" w:rsidP="00381C8B">
            <w:pPr>
              <w:spacing w:after="120" w:line="240" w:lineRule="auto"/>
            </w:pPr>
            <w:r>
              <w:t>The LTIB identified several areas where changes to the health system and wider landscape for precision health will be needed over the long term. For example, we will need to:</w:t>
            </w:r>
          </w:p>
          <w:p w14:paraId="0DCEC656" w14:textId="30AAFD99" w:rsidR="005325C8" w:rsidRDefault="005325C8" w:rsidP="00381C8B">
            <w:pPr>
              <w:pStyle w:val="Bullet"/>
              <w:spacing w:line="240" w:lineRule="auto"/>
            </w:pPr>
            <w:r>
              <w:t>explore potential barriers and opportunities for safely expanding precision health in Aotearoa New Zealand</w:t>
            </w:r>
          </w:p>
          <w:p w14:paraId="509B870A" w14:textId="79DB917E" w:rsidR="005325C8" w:rsidRDefault="005325C8" w:rsidP="00381C8B">
            <w:pPr>
              <w:pStyle w:val="Bullet"/>
              <w:spacing w:line="240" w:lineRule="auto"/>
            </w:pPr>
            <w:r>
              <w:t xml:space="preserve">put in place the workforce, governance arrangements, data and physical infrastructure and investment assessment frameworks necessary to deliver precision </w:t>
            </w:r>
            <w:proofErr w:type="gramStart"/>
            <w:r>
              <w:t>health</w:t>
            </w:r>
            <w:proofErr w:type="gramEnd"/>
          </w:p>
          <w:p w14:paraId="79987481" w14:textId="27F51AB0" w:rsidR="005325C8" w:rsidRDefault="005325C8" w:rsidP="00381C8B">
            <w:pPr>
              <w:pStyle w:val="Bullet"/>
              <w:spacing w:after="120" w:line="240" w:lineRule="auto"/>
            </w:pPr>
            <w:r>
              <w:t>make legal and regulation arrangements to mitigate risks and use tools for collective benefit.</w:t>
            </w:r>
          </w:p>
          <w:p w14:paraId="57A03015" w14:textId="68BA6BF3" w:rsidR="005325C8" w:rsidRDefault="005325C8" w:rsidP="00381C8B">
            <w:pPr>
              <w:spacing w:after="120" w:line="240" w:lineRule="auto"/>
            </w:pPr>
            <w:r>
              <w:t>The Ministry’s LTIB was tabled in the House of Representatives on 7 August 2023, as required under the Public Service Act 2020. The Health Select Committee examined the LTIB in March 2024 and we continue to identify how to progress this work in line with Government priorities.</w:t>
            </w:r>
          </w:p>
        </w:tc>
      </w:tr>
    </w:tbl>
    <w:p w14:paraId="3E473FFA" w14:textId="5CC71168" w:rsidR="006947B9" w:rsidRDefault="006947B9" w:rsidP="00A6210E">
      <w:pPr>
        <w:pStyle w:val="Heading4"/>
      </w:pPr>
      <w:r w:rsidRPr="006947B9">
        <w:t xml:space="preserve">Strengthen links between science, public health and policy, particularly in relation to surveillance and the role of </w:t>
      </w:r>
      <w:proofErr w:type="gramStart"/>
      <w:r w:rsidRPr="006947B9">
        <w:t>laboratories</w:t>
      </w:r>
      <w:proofErr w:type="gramEnd"/>
    </w:p>
    <w:p w14:paraId="5D0CB3C2" w14:textId="5D865B60" w:rsidR="006947B9" w:rsidRDefault="006947B9" w:rsidP="006947B9">
      <w:r>
        <w:t>The Public Health Agency provides public health leadership across the sector and influences the broader determinants of population health to enable people and their whānau to live healthy lives. In part, it does this by strengthening the links between science, public health and policy so that Government decisions are informed by evidence and evaluated once implemented.</w:t>
      </w:r>
    </w:p>
    <w:p w14:paraId="4B590021" w14:textId="77777777" w:rsidR="006947B9" w:rsidRDefault="006947B9" w:rsidP="006947B9">
      <w:r>
        <w:lastRenderedPageBreak/>
        <w:t>Over the past year, evidence-led policy has informed the following work programmes:</w:t>
      </w:r>
    </w:p>
    <w:p w14:paraId="3066C5FC" w14:textId="7F78136D" w:rsidR="006947B9" w:rsidRDefault="006947B9" w:rsidP="006947B9">
      <w:pPr>
        <w:pStyle w:val="Bullet"/>
      </w:pPr>
      <w:r>
        <w:t>the ongoing strategic approach to COVID-19 surveillance in Aotearoa New Zealand</w:t>
      </w:r>
    </w:p>
    <w:p w14:paraId="71C61FC6" w14:textId="3591AF4F" w:rsidR="006947B9" w:rsidRDefault="006947B9" w:rsidP="006947B9">
      <w:pPr>
        <w:pStyle w:val="Bullet"/>
      </w:pPr>
      <w:r>
        <w:t xml:space="preserve">assessing the readiness of the health system’s ability to respond to a measles </w:t>
      </w:r>
      <w:proofErr w:type="gramStart"/>
      <w:r>
        <w:t>epidemic</w:t>
      </w:r>
      <w:proofErr w:type="gramEnd"/>
    </w:p>
    <w:p w14:paraId="58BDD6DB" w14:textId="4BDD3628" w:rsidR="006947B9" w:rsidRDefault="006947B9" w:rsidP="006947B9">
      <w:pPr>
        <w:pStyle w:val="Bullet"/>
      </w:pPr>
      <w:r>
        <w:t xml:space="preserve">horizon scanning of new and emerging public health threats, such as the highly pathogenic avian influenza (HPAI), which has been detected </w:t>
      </w:r>
      <w:proofErr w:type="gramStart"/>
      <w:r>
        <w:t>internationally</w:t>
      </w:r>
      <w:proofErr w:type="gramEnd"/>
    </w:p>
    <w:p w14:paraId="05E86701" w14:textId="6B28EE4F" w:rsidR="006947B9" w:rsidRDefault="006947B9" w:rsidP="006947B9">
      <w:pPr>
        <w:pStyle w:val="Bullet"/>
      </w:pPr>
      <w:r>
        <w:t xml:space="preserve">developing a national Public Health Surveillance Strategic Plan 2024–2029 to set the direction for strengthening the </w:t>
      </w:r>
      <w:proofErr w:type="gramStart"/>
      <w:r>
        <w:t>system</w:t>
      </w:r>
      <w:proofErr w:type="gramEnd"/>
    </w:p>
    <w:p w14:paraId="3FC443DE" w14:textId="0B122DD6" w:rsidR="006947B9" w:rsidRDefault="006947B9" w:rsidP="006947B9">
      <w:pPr>
        <w:pStyle w:val="Bullet"/>
      </w:pPr>
      <w:r>
        <w:t>Government decisions on smoking, vaping and other heated tobacco products</w:t>
      </w:r>
    </w:p>
    <w:p w14:paraId="676C5F75" w14:textId="51626181" w:rsidR="006947B9" w:rsidRDefault="006947B9" w:rsidP="006947B9">
      <w:pPr>
        <w:pStyle w:val="Bullet"/>
      </w:pPr>
      <w:r>
        <w:t xml:space="preserve">the ongoing work to maximise laboratory science and expertise in supporting the wider public health knowledge and surveillance </w:t>
      </w:r>
      <w:proofErr w:type="gramStart"/>
      <w:r>
        <w:t>system</w:t>
      </w:r>
      <w:proofErr w:type="gramEnd"/>
    </w:p>
    <w:p w14:paraId="5BF3BABD" w14:textId="2356CC43" w:rsidR="006947B9" w:rsidRPr="006947B9" w:rsidRDefault="006947B9" w:rsidP="006947B9">
      <w:pPr>
        <w:pStyle w:val="Bullet"/>
      </w:pPr>
      <w:r>
        <w:t>advice on the potential of innovations in cancer screening technologies, modalities and approaches to prostate, ovarian and lung cancers.</w:t>
      </w:r>
    </w:p>
    <w:p w14:paraId="68C11326" w14:textId="77777777" w:rsidR="006947B9" w:rsidRDefault="006947B9" w:rsidP="00A6210E">
      <w:pPr>
        <w:pStyle w:val="Heading4"/>
      </w:pPr>
      <w:r>
        <w:t xml:space="preserve">Establish effective channels for proactively communicating evidence, insights and knowledge, in order to inform priority areas and decision-making within the Ministry and across the </w:t>
      </w:r>
      <w:proofErr w:type="gramStart"/>
      <w:r>
        <w:t>system</w:t>
      </w:r>
      <w:proofErr w:type="gramEnd"/>
    </w:p>
    <w:p w14:paraId="21F04A1F" w14:textId="77777777" w:rsidR="006947B9" w:rsidRDefault="006947B9" w:rsidP="00A6210E">
      <w:pPr>
        <w:pStyle w:val="Heading5"/>
      </w:pPr>
      <w:r>
        <w:t>Making evidence accessible and available</w:t>
      </w:r>
    </w:p>
    <w:p w14:paraId="1A5844A1" w14:textId="3AD80AE7" w:rsidR="006947B9" w:rsidRDefault="006947B9" w:rsidP="006947B9">
      <w:r>
        <w:t>The Health and Independence Report is required each year under the Health Act 1956, as the Director-General of Health’s report to the Minister of Health on the state of public health in Aotearoa New Zealand. The Pae Ora Strategies published in 2023/24 cover the many factors that influence people’s health and wellbeing, including the role of health services.</w:t>
      </w:r>
    </w:p>
    <w:p w14:paraId="0D270202" w14:textId="77777777" w:rsidR="006947B9" w:rsidRDefault="006947B9" w:rsidP="006947B9"/>
    <w:p w14:paraId="08C9CDD7" w14:textId="20C623AE" w:rsidR="006947B9" w:rsidRDefault="006947B9" w:rsidP="006947B9">
      <w:r>
        <w:t>In 2023/24, we published the Health and Independence Report 2022</w:t>
      </w:r>
      <w:r>
        <w:rPr>
          <w:rStyle w:val="FootnoteReference"/>
        </w:rPr>
        <w:footnoteReference w:id="23"/>
      </w:r>
      <w:r>
        <w:t xml:space="preserve"> alongside the Pae Ora Strategies using a shared evidence base. The evidence base comprised health and non-health data that we used to assess the current state and set its future direction.</w:t>
      </w:r>
    </w:p>
    <w:p w14:paraId="2CB2B42F" w14:textId="77777777" w:rsidR="006947B9" w:rsidRDefault="006947B9" w:rsidP="006947B9"/>
    <w:p w14:paraId="7B0D5AB4" w14:textId="65D2D09E" w:rsidR="006947B9" w:rsidRDefault="006947B9" w:rsidP="006947B9">
      <w:r>
        <w:t>The Health and Independence Report 2022 and Pae Ora Strategies play core roles within the Ministry’s accountability and direction-setting landscape, as well as providing a foundation for developing evidence-informed policy. Recognising this, the Ministry took additional steps to make the evidence accessible and available to the public.</w:t>
      </w:r>
    </w:p>
    <w:p w14:paraId="639A2758" w14:textId="77777777" w:rsidR="006947B9" w:rsidRDefault="006947B9" w:rsidP="006947B9"/>
    <w:p w14:paraId="4A5DA1A1" w14:textId="77777777" w:rsidR="006947B9" w:rsidRDefault="006947B9" w:rsidP="006947B9">
      <w:r>
        <w:t>We have compiled the data underpinning these documents into an evidence base that is available on the Ministry’s website. With this easy access, data users and members of the public can consult statistics, navigate indicators and produce further analysis. The evidence base includes:</w:t>
      </w:r>
    </w:p>
    <w:p w14:paraId="050E693F" w14:textId="609405F0" w:rsidR="006947B9" w:rsidRDefault="006947B9" w:rsidP="007123AC">
      <w:pPr>
        <w:pStyle w:val="Number"/>
        <w:numPr>
          <w:ilvl w:val="0"/>
          <w:numId w:val="22"/>
        </w:numPr>
        <w:ind w:left="426" w:hanging="426"/>
      </w:pPr>
      <w:r w:rsidRPr="006947B9">
        <w:rPr>
          <w:b/>
          <w:bCs/>
        </w:rPr>
        <w:t>user-friendly interactive and machine-readable data tables</w:t>
      </w:r>
      <w:r>
        <w:t xml:space="preserve">, with previously unpublished data from the Minister of Health and Health New Zealand, available </w:t>
      </w:r>
      <w:r>
        <w:lastRenderedPageBreak/>
        <w:t>on the Ministry’s GitHub webpage (</w:t>
      </w:r>
      <w:hyperlink r:id="rId35" w:history="1">
        <w:r w:rsidRPr="006947B9">
          <w:rPr>
            <w:rStyle w:val="Hyperlink"/>
          </w:rPr>
          <w:t>github.com/minhealthnz/health-and- independence-report</w:t>
        </w:r>
      </w:hyperlink>
      <w:r>
        <w:t>)</w:t>
      </w:r>
    </w:p>
    <w:p w14:paraId="73B32562" w14:textId="45673286" w:rsidR="006947B9" w:rsidRPr="005A2ABD" w:rsidRDefault="006947B9" w:rsidP="007123AC">
      <w:pPr>
        <w:pStyle w:val="Number"/>
        <w:numPr>
          <w:ilvl w:val="0"/>
          <w:numId w:val="22"/>
        </w:numPr>
        <w:ind w:left="426" w:hanging="426"/>
        <w:rPr>
          <w:rStyle w:val="Hyperlink"/>
          <w:b w:val="0"/>
          <w:color w:val="auto"/>
        </w:rPr>
      </w:pPr>
      <w:r w:rsidRPr="006947B9">
        <w:rPr>
          <w:b/>
          <w:bCs/>
        </w:rPr>
        <w:t>reference lists</w:t>
      </w:r>
      <w:r>
        <w:t xml:space="preserve"> of all published evidence used to inform the direction of the Pae Ora Strategies, which are accessible in one document (</w:t>
      </w:r>
      <w:hyperlink r:id="rId36" w:history="1">
        <w:r w:rsidRPr="006947B9">
          <w:rPr>
            <w:rStyle w:val="Hyperlink"/>
          </w:rPr>
          <w:t>health.govt.nz/system/files/2023-07/evidence_base_for_the_health_and_independence_ report_2022.pdf</w:t>
        </w:r>
      </w:hyperlink>
      <w:r>
        <w:t>).</w:t>
      </w:r>
    </w:p>
    <w:p w14:paraId="620ED754" w14:textId="77777777" w:rsidR="005A2ABD" w:rsidRDefault="005A2ABD" w:rsidP="00A6210E">
      <w:pPr>
        <w:pStyle w:val="Heading5"/>
      </w:pPr>
      <w:r>
        <w:t>Problem gambling research commissioning</w:t>
      </w:r>
    </w:p>
    <w:p w14:paraId="6E6792D8" w14:textId="0341767E" w:rsidR="005A2ABD" w:rsidRDefault="005A2ABD" w:rsidP="005A2ABD">
      <w:pPr>
        <w:tabs>
          <w:tab w:val="left" w:pos="738"/>
        </w:tabs>
      </w:pPr>
      <w:r>
        <w:t>We commissioned 18 gambling-related harm research projects as part of the research programme for the Strategy to Prevent and Minimise Gambling Harm 2022/23 to 2024/25.</w:t>
      </w:r>
      <w:r w:rsidR="008533B4">
        <w:rPr>
          <w:rStyle w:val="FootnoteReference"/>
        </w:rPr>
        <w:footnoteReference w:id="24"/>
      </w:r>
      <w:r>
        <w:t xml:space="preserve"> The projects, funded by the gambling levy, cover a range of topics from a prevalence survey through to literature reviews and financial and economic analysis. They include:</w:t>
      </w:r>
    </w:p>
    <w:p w14:paraId="167966CD" w14:textId="225F0C95" w:rsidR="005A2ABD" w:rsidRDefault="005A2ABD" w:rsidP="005A2ABD">
      <w:pPr>
        <w:pStyle w:val="Bullet"/>
      </w:pPr>
      <w:r>
        <w:t>exploring gambling among older New Zealanders</w:t>
      </w:r>
    </w:p>
    <w:p w14:paraId="4A69838A" w14:textId="478655EB" w:rsidR="005A2ABD" w:rsidRDefault="005A2ABD" w:rsidP="005A2ABD">
      <w:pPr>
        <w:pStyle w:val="Bullet"/>
      </w:pPr>
      <w:r>
        <w:t>economic and social costing of gambling in Aotearoa New Zealand</w:t>
      </w:r>
    </w:p>
    <w:p w14:paraId="4CE82065" w14:textId="5F16EA1B" w:rsidR="005A2ABD" w:rsidRDefault="005A2ABD" w:rsidP="005A2ABD">
      <w:pPr>
        <w:pStyle w:val="Bullet"/>
      </w:pPr>
      <w:r>
        <w:t xml:space="preserve">a longitudinal approach to understanding gambling relapse and associated </w:t>
      </w:r>
      <w:proofErr w:type="gramStart"/>
      <w:r>
        <w:t>factors</w:t>
      </w:r>
      <w:proofErr w:type="gramEnd"/>
    </w:p>
    <w:p w14:paraId="002FA5AD" w14:textId="1E1A650E" w:rsidR="005A2ABD" w:rsidRDefault="005A2ABD" w:rsidP="005A2ABD">
      <w:pPr>
        <w:pStyle w:val="Bullet"/>
      </w:pPr>
      <w:r>
        <w:t xml:space="preserve">measuring gambling-related financial harms that whānau and affected others experience and identifying practice to mitigate these </w:t>
      </w:r>
      <w:proofErr w:type="gramStart"/>
      <w:r>
        <w:t>harms</w:t>
      </w:r>
      <w:proofErr w:type="gramEnd"/>
    </w:p>
    <w:p w14:paraId="3EF38F4D" w14:textId="1CBE675B" w:rsidR="005A2ABD" w:rsidRDefault="005A2ABD" w:rsidP="005A2ABD">
      <w:pPr>
        <w:pStyle w:val="Bullet"/>
      </w:pPr>
      <w:r>
        <w:t>children and stakeholders’ views on gambling, its impact on children’s health and wellbeing, and public health measures to protect children from harm.</w:t>
      </w:r>
    </w:p>
    <w:p w14:paraId="5CC08B3F" w14:textId="77777777" w:rsidR="005A2ABD" w:rsidRDefault="005A2ABD" w:rsidP="005A2ABD">
      <w:pPr>
        <w:tabs>
          <w:tab w:val="left" w:pos="738"/>
        </w:tabs>
      </w:pPr>
    </w:p>
    <w:p w14:paraId="244FA53D" w14:textId="3E041CF8" w:rsidR="005A2ABD" w:rsidRDefault="005A2ABD" w:rsidP="005A2ABD">
      <w:pPr>
        <w:tabs>
          <w:tab w:val="left" w:pos="738"/>
        </w:tabs>
      </w:pPr>
      <w:r>
        <w:t>These projects contribute to the goals of the strategy of improving equity, shifting social and cultural norms, supporting harm prevention and ensuring effective services provision. They also provide data and insights for emerging and critical research questions on gambling harm to support decision-making at the operational, service, policy and strategy levels. Projects are scheduled to be completed in mid-2025, and we will publish the reports on the Ministry’s website.</w:t>
      </w:r>
    </w:p>
    <w:p w14:paraId="1D4BE4E0" w14:textId="77777777" w:rsidR="008533B4" w:rsidRDefault="008533B4" w:rsidP="005A2ABD">
      <w:pPr>
        <w:tabs>
          <w:tab w:val="left" w:pos="738"/>
        </w:tabs>
      </w:pPr>
    </w:p>
    <w:p w14:paraId="0139E41E" w14:textId="77777777" w:rsidR="008533B4" w:rsidRDefault="008533B4" w:rsidP="005A2ABD">
      <w:pPr>
        <w:tabs>
          <w:tab w:val="left" w:pos="738"/>
        </w:tabs>
      </w:pPr>
    </w:p>
    <w:p w14:paraId="4AA0244D" w14:textId="77777777" w:rsidR="008533B4" w:rsidRDefault="008533B4" w:rsidP="005A2ABD">
      <w:pPr>
        <w:tabs>
          <w:tab w:val="left" w:pos="738"/>
        </w:tabs>
        <w:sectPr w:rsidR="008533B4" w:rsidSect="008F0115">
          <w:pgSz w:w="11907" w:h="16840" w:code="9"/>
          <w:pgMar w:top="1418" w:right="1701" w:bottom="1134" w:left="1843" w:header="284" w:footer="425" w:gutter="284"/>
          <w:cols w:space="720"/>
        </w:sectPr>
      </w:pPr>
    </w:p>
    <w:tbl>
      <w:tblPr>
        <w:tblStyle w:val="TableGrid"/>
        <w:tblW w:w="8359" w:type="dxa"/>
        <w:tblBorders>
          <w:top w:val="single" w:sz="4" w:space="0" w:color="0A6AB4"/>
          <w:left w:val="single" w:sz="4" w:space="0" w:color="0A6AB4"/>
          <w:bottom w:val="single" w:sz="4" w:space="0" w:color="0A6AB4"/>
          <w:right w:val="single" w:sz="4" w:space="0" w:color="0A6AB4"/>
          <w:insideH w:val="single" w:sz="4" w:space="0" w:color="0A6AB4"/>
          <w:insideV w:val="single" w:sz="4" w:space="0" w:color="0A6AB4"/>
        </w:tblBorders>
        <w:tblLook w:val="04A0" w:firstRow="1" w:lastRow="0" w:firstColumn="1" w:lastColumn="0" w:noHBand="0" w:noVBand="1"/>
      </w:tblPr>
      <w:tblGrid>
        <w:gridCol w:w="8359"/>
      </w:tblGrid>
      <w:tr w:rsidR="008533B4" w14:paraId="70821231" w14:textId="77777777" w:rsidTr="007D17C1">
        <w:tc>
          <w:tcPr>
            <w:tcW w:w="8359" w:type="dxa"/>
          </w:tcPr>
          <w:p w14:paraId="3E22E659" w14:textId="7DFD0B44" w:rsidR="008533B4" w:rsidRDefault="008533B4" w:rsidP="007D17C1">
            <w:pPr>
              <w:pStyle w:val="Heading4"/>
              <w:keepNext w:val="0"/>
              <w:spacing w:before="120"/>
            </w:pPr>
            <w:r w:rsidRPr="006F5694">
              <w:rPr>
                <w:b/>
                <w:bCs/>
              </w:rPr>
              <w:lastRenderedPageBreak/>
              <w:t>Case study:</w:t>
            </w:r>
            <w:r w:rsidRPr="00C55AFB">
              <w:t xml:space="preserve"> </w:t>
            </w:r>
            <w:r w:rsidRPr="008533B4">
              <w:t>The establishment and ongoing evaluation of the Ministry’s Research and Evaluation Fund</w:t>
            </w:r>
          </w:p>
          <w:p w14:paraId="5BEBC6F0" w14:textId="1B84CE14" w:rsidR="008533B4" w:rsidRDefault="008533B4" w:rsidP="008533B4">
            <w:pPr>
              <w:spacing w:after="120"/>
              <w:rPr>
                <w:b/>
                <w:bCs/>
              </w:rPr>
            </w:pPr>
            <w:r w:rsidRPr="008533B4">
              <w:rPr>
                <w:b/>
                <w:bCs/>
              </w:rPr>
              <w:t>The Ministry’s Research and Evaluation Fund (the Fund) was established during 2023/24. It provides an avenue for strategically investing in evidence generation, aligned with the Ministry’s priorities. The Evidence, Research and Innovation – Te Pou Whakamārama (ERI) directorate provides operational support for the Fund. Two Ministry-wide advisory and governance groups</w:t>
            </w:r>
            <w:r>
              <w:rPr>
                <w:b/>
                <w:bCs/>
              </w:rPr>
              <w:t xml:space="preserve"> </w:t>
            </w:r>
            <w:r w:rsidRPr="008533B4">
              <w:rPr>
                <w:b/>
                <w:bCs/>
              </w:rPr>
              <w:t>support the development of robust and transparent advice on fund allocation for the Deputy Director-General ERI.</w:t>
            </w:r>
          </w:p>
          <w:p w14:paraId="0856728A" w14:textId="1DA4ECC0" w:rsidR="008533B4" w:rsidRDefault="008533B4" w:rsidP="007D17C1">
            <w:pPr>
              <w:spacing w:after="120" w:line="240" w:lineRule="auto"/>
            </w:pPr>
            <w:r w:rsidRPr="008533B4">
              <w:t>The Fund’s first round saw 10 of 22 submissions approved. The approved submissions, by category, are:</w:t>
            </w:r>
          </w:p>
          <w:p w14:paraId="4495C309" w14:textId="36841DDC" w:rsidR="008533B4" w:rsidRDefault="008533B4" w:rsidP="008533B4">
            <w:pPr>
              <w:pStyle w:val="Bullet"/>
            </w:pPr>
            <w:r w:rsidRPr="008533B4">
              <w:rPr>
                <w:b/>
                <w:bCs/>
                <w:color w:val="00226A"/>
              </w:rPr>
              <w:t>Research</w:t>
            </w:r>
            <w:r>
              <w:t>: Capital investment for Māori health providers</w:t>
            </w:r>
          </w:p>
          <w:p w14:paraId="40680769" w14:textId="3DDCABD8" w:rsidR="008533B4" w:rsidRDefault="008533B4" w:rsidP="008533B4">
            <w:pPr>
              <w:pStyle w:val="Bullet"/>
            </w:pPr>
            <w:r w:rsidRPr="008533B4">
              <w:rPr>
                <w:b/>
                <w:bCs/>
                <w:color w:val="00226A"/>
              </w:rPr>
              <w:t>Research</w:t>
            </w:r>
            <w:r>
              <w:t>: Exploring the experiences and impact of vaping among Pacific youth in New Zealand</w:t>
            </w:r>
          </w:p>
          <w:p w14:paraId="71F12A7F" w14:textId="4417AF32" w:rsidR="008533B4" w:rsidRDefault="008533B4" w:rsidP="008533B4">
            <w:pPr>
              <w:pStyle w:val="Bullet"/>
            </w:pPr>
            <w:r w:rsidRPr="008533B4">
              <w:rPr>
                <w:b/>
                <w:bCs/>
                <w:color w:val="00226A"/>
              </w:rPr>
              <w:t>Research</w:t>
            </w:r>
            <w:r>
              <w:t>: Improving the quality of Pacific peoples’ health data</w:t>
            </w:r>
          </w:p>
          <w:p w14:paraId="4BF844CB" w14:textId="7B9F87C5" w:rsidR="008533B4" w:rsidRDefault="008533B4" w:rsidP="008533B4">
            <w:pPr>
              <w:pStyle w:val="Bullet"/>
            </w:pPr>
            <w:r w:rsidRPr="008533B4">
              <w:rPr>
                <w:b/>
                <w:bCs/>
                <w:color w:val="1E826D"/>
              </w:rPr>
              <w:t>Evaluation</w:t>
            </w:r>
            <w:r>
              <w:t>: Drug and substance checking legislation</w:t>
            </w:r>
          </w:p>
          <w:p w14:paraId="0E7406ED" w14:textId="5B12929F" w:rsidR="008533B4" w:rsidRDefault="008533B4" w:rsidP="008533B4">
            <w:pPr>
              <w:pStyle w:val="Bullet"/>
            </w:pPr>
            <w:r w:rsidRPr="008533B4">
              <w:rPr>
                <w:b/>
                <w:bCs/>
                <w:color w:val="1E826D"/>
              </w:rPr>
              <w:t>Evaluation</w:t>
            </w:r>
            <w:r>
              <w:t>: Dementia Mate Wareware Action Plan</w:t>
            </w:r>
          </w:p>
          <w:p w14:paraId="143A6A26" w14:textId="1EDF9807" w:rsidR="008533B4" w:rsidRDefault="008533B4" w:rsidP="008533B4">
            <w:pPr>
              <w:pStyle w:val="Bullet"/>
            </w:pPr>
            <w:r w:rsidRPr="008533B4">
              <w:rPr>
                <w:b/>
                <w:bCs/>
                <w:color w:val="1E826D"/>
              </w:rPr>
              <w:t>Evaluation</w:t>
            </w:r>
            <w:r>
              <w:t>: Allied health – care capacity demand methodology (CCDM) pilot</w:t>
            </w:r>
          </w:p>
          <w:p w14:paraId="2006E230" w14:textId="48AE2FA7" w:rsidR="008533B4" w:rsidRDefault="008533B4" w:rsidP="008533B4">
            <w:pPr>
              <w:pStyle w:val="Bullet"/>
            </w:pPr>
            <w:r w:rsidRPr="008533B4">
              <w:rPr>
                <w:b/>
                <w:bCs/>
                <w:color w:val="EF8A00"/>
              </w:rPr>
              <w:t>Research/Evaluation</w:t>
            </w:r>
            <w:r>
              <w:t>: Showing impact and innovation: Māori-led primary-care delivery at the Porirua Health Hub</w:t>
            </w:r>
          </w:p>
          <w:p w14:paraId="43200F9F" w14:textId="539E0815" w:rsidR="008533B4" w:rsidRDefault="008533B4" w:rsidP="008533B4">
            <w:pPr>
              <w:pStyle w:val="Bullet"/>
            </w:pPr>
            <w:r w:rsidRPr="008533B4">
              <w:rPr>
                <w:b/>
                <w:bCs/>
                <w:color w:val="EF8A00"/>
              </w:rPr>
              <w:t>Research/Evaluation</w:t>
            </w:r>
            <w:r>
              <w:t xml:space="preserve">: Measures of pae </w:t>
            </w:r>
            <w:proofErr w:type="gramStart"/>
            <w:r>
              <w:t>ora</w:t>
            </w:r>
            <w:proofErr w:type="gramEnd"/>
          </w:p>
          <w:p w14:paraId="40042BD7" w14:textId="1D513AE9" w:rsidR="008533B4" w:rsidRDefault="008533B4" w:rsidP="008533B4">
            <w:pPr>
              <w:pStyle w:val="Bullet"/>
            </w:pPr>
            <w:r w:rsidRPr="008533B4">
              <w:rPr>
                <w:b/>
                <w:bCs/>
                <w:color w:val="EF8A00"/>
              </w:rPr>
              <w:t>Research/Evaluation</w:t>
            </w:r>
            <w:r>
              <w:t xml:space="preserve">: A Māori health research </w:t>
            </w:r>
            <w:proofErr w:type="gramStart"/>
            <w:r>
              <w:t>agenda</w:t>
            </w:r>
            <w:proofErr w:type="gramEnd"/>
          </w:p>
          <w:p w14:paraId="62A30A22" w14:textId="3A347BA8" w:rsidR="008533B4" w:rsidRPr="00C55AFB" w:rsidRDefault="008533B4" w:rsidP="008533B4">
            <w:pPr>
              <w:pStyle w:val="Bullet"/>
              <w:spacing w:after="120"/>
            </w:pPr>
            <w:r w:rsidRPr="008533B4">
              <w:rPr>
                <w:b/>
                <w:bCs/>
                <w:color w:val="EF8A00"/>
              </w:rPr>
              <w:t>Research/Evaluation</w:t>
            </w:r>
            <w:r>
              <w:t>: Climate and health vulnerability and adaption assessment.</w:t>
            </w:r>
          </w:p>
          <w:p w14:paraId="7BA64417" w14:textId="4407E575" w:rsidR="008533B4" w:rsidRDefault="008533B4" w:rsidP="007D17C1">
            <w:pPr>
              <w:spacing w:after="120" w:line="240" w:lineRule="auto"/>
            </w:pPr>
            <w:r w:rsidRPr="008533B4">
              <w:t>In addition, the Fund directly contributes to our learning health system in the following ways.</w:t>
            </w:r>
          </w:p>
          <w:p w14:paraId="1ACA85FB" w14:textId="543474BF" w:rsidR="008533B4" w:rsidRDefault="008533B4" w:rsidP="008533B4">
            <w:pPr>
              <w:pStyle w:val="Bullet"/>
            </w:pPr>
            <w:r w:rsidRPr="008533B4">
              <w:rPr>
                <w:b/>
                <w:bCs/>
              </w:rPr>
              <w:t>Structures</w:t>
            </w:r>
            <w:r>
              <w:t>: Ministry-wide representation on the Fund advisory groups keeps the Ministry connected and aware of evidence needs at a strategic level.</w:t>
            </w:r>
          </w:p>
          <w:p w14:paraId="6682A734" w14:textId="07DABE9C" w:rsidR="008533B4" w:rsidRDefault="008533B4" w:rsidP="008533B4">
            <w:pPr>
              <w:pStyle w:val="Bullet"/>
            </w:pPr>
            <w:r w:rsidRPr="008533B4">
              <w:rPr>
                <w:b/>
                <w:bCs/>
              </w:rPr>
              <w:t>Processes</w:t>
            </w:r>
            <w:r>
              <w:t>: Ongoing evaluation of the Fund enables rapid improvement and sharing of learnings.</w:t>
            </w:r>
          </w:p>
          <w:p w14:paraId="69DE58F2" w14:textId="7A8206DE" w:rsidR="008533B4" w:rsidRDefault="008533B4" w:rsidP="007D17C1">
            <w:pPr>
              <w:pStyle w:val="Bullet"/>
              <w:spacing w:after="120"/>
            </w:pPr>
            <w:r w:rsidRPr="008533B4">
              <w:rPr>
                <w:b/>
                <w:bCs/>
              </w:rPr>
              <w:t>Tools</w:t>
            </w:r>
            <w:r>
              <w:t>: A prioritisation tool based on known research and evaluation success factors helps in making recommendations for how to use the Fund and guides the development of impactful evidence.</w:t>
            </w:r>
          </w:p>
          <w:p w14:paraId="5E07E8FD" w14:textId="200F3545" w:rsidR="008533B4" w:rsidRDefault="007D17C1" w:rsidP="007D17C1">
            <w:pPr>
              <w:spacing w:after="120" w:line="240" w:lineRule="auto"/>
            </w:pPr>
            <w:r w:rsidRPr="007D17C1">
              <w:t>Evaluation of the Fund’s first round shows the Fund’s processes, and its advisory and decision-making structures have worked well. As the Fund is in its establishment phase, evaluation has mostly been concerned with how to improve the process for later Fund rounds. Over time, the focus of the Fund evaluation will shift to assessing the impact of funded projects, and how the Fund can contribute to a learning Ministry and a wider learning health system.</w:t>
            </w:r>
          </w:p>
        </w:tc>
      </w:tr>
    </w:tbl>
    <w:p w14:paraId="4F670129" w14:textId="77777777" w:rsidR="008533B4" w:rsidRDefault="008533B4" w:rsidP="005A2ABD">
      <w:pPr>
        <w:tabs>
          <w:tab w:val="left" w:pos="738"/>
        </w:tabs>
      </w:pPr>
    </w:p>
    <w:p w14:paraId="2CA57BB5" w14:textId="77777777" w:rsidR="007D17C1" w:rsidRDefault="007D17C1" w:rsidP="007D17C1">
      <w:pPr>
        <w:sectPr w:rsidR="007D17C1" w:rsidSect="008F0115">
          <w:pgSz w:w="11907" w:h="16840" w:code="9"/>
          <w:pgMar w:top="1418" w:right="1701" w:bottom="1134" w:left="1843" w:header="284" w:footer="425" w:gutter="284"/>
          <w:cols w:space="720"/>
        </w:sectPr>
      </w:pPr>
    </w:p>
    <w:p w14:paraId="63691A9A" w14:textId="530125E5" w:rsidR="007D17C1" w:rsidRDefault="007D17C1" w:rsidP="00A6210E">
      <w:pPr>
        <w:pStyle w:val="Heading4"/>
        <w:spacing w:before="0"/>
      </w:pPr>
      <w:r w:rsidRPr="007D17C1">
        <w:lastRenderedPageBreak/>
        <w:t xml:space="preserve">Preparedness to respond to future major catastrophic events or </w:t>
      </w:r>
      <w:proofErr w:type="gramStart"/>
      <w:r w:rsidRPr="007D17C1">
        <w:t>emergencies</w:t>
      </w:r>
      <w:proofErr w:type="gramEnd"/>
    </w:p>
    <w:p w14:paraId="28E2C6C0" w14:textId="147E6B5E" w:rsidR="007D17C1" w:rsidRDefault="007D17C1" w:rsidP="007D17C1">
      <w:r>
        <w:t>The New Zealand Medical Assistance Team (NZMAT) is a group of health professionals, including doctors, nurses, public health staff and paramedics. They are specifically trained to be deployed to areas affected by health emergencies, such as natural disasters (eg, earthquakes and cyclones) and public health outbreaks (eg, measles and COVID-19).</w:t>
      </w:r>
    </w:p>
    <w:p w14:paraId="50E9B7AF" w14:textId="77777777" w:rsidR="007D17C1" w:rsidRDefault="007D17C1" w:rsidP="007D17C1"/>
    <w:p w14:paraId="2A115EEB" w14:textId="3ED82717" w:rsidR="007D17C1" w:rsidRDefault="007D17C1" w:rsidP="007D17C1">
      <w:r>
        <w:t>NZMAT is an emergency medical team that the World Health Organization (WHO) has accredited and then re-verified in November 2023. As part of its re-verification, the WHO commended NZMAT for providing healthcare well beyond the minimum requirements. The review panel members acknowledged NZMAT’s contributions to the WHO emergency medical team initiative at both regional and global levels, by responding to health emergencies as part of an all-of-government humanitarian response to the Pacific region and through our mentorship role with other countries developing emergency medical teams.</w:t>
      </w:r>
    </w:p>
    <w:p w14:paraId="17DAFE28" w14:textId="77777777" w:rsidR="007D17C1" w:rsidRDefault="007D17C1" w:rsidP="007D17C1"/>
    <w:p w14:paraId="247896D8" w14:textId="77777777" w:rsidR="007D17C1" w:rsidRDefault="007D17C1" w:rsidP="007D17C1"/>
    <w:p w14:paraId="42FA151D" w14:textId="77777777" w:rsidR="007D17C1" w:rsidRDefault="007D17C1" w:rsidP="007D17C1">
      <w:pPr>
        <w:sectPr w:rsidR="007D17C1" w:rsidSect="008F0115">
          <w:pgSz w:w="11907" w:h="16840" w:code="9"/>
          <w:pgMar w:top="1418" w:right="1701" w:bottom="1134" w:left="1843" w:header="284" w:footer="425" w:gutter="284"/>
          <w:cols w:space="720"/>
        </w:sectPr>
      </w:pPr>
    </w:p>
    <w:p w14:paraId="0F16639A" w14:textId="77777777" w:rsidR="007D17C1" w:rsidRDefault="007D17C1" w:rsidP="007D17C1">
      <w:pPr>
        <w:pStyle w:val="Heading2"/>
        <w:spacing w:before="0"/>
      </w:pPr>
      <w:bookmarkStart w:id="25" w:name="_Toc180077021"/>
      <w:r w:rsidRPr="007D17C1">
        <w:lastRenderedPageBreak/>
        <w:t xml:space="preserve">Priority 5: Be the regulator of the health </w:t>
      </w:r>
      <w:proofErr w:type="gramStart"/>
      <w:r w:rsidRPr="007D17C1">
        <w:t>system</w:t>
      </w:r>
      <w:bookmarkEnd w:id="25"/>
      <w:proofErr w:type="gramEnd"/>
    </w:p>
    <w:p w14:paraId="39B04E63" w14:textId="77777777" w:rsidR="007D17C1" w:rsidRPr="00AF55A3" w:rsidRDefault="007D17C1" w:rsidP="00AF55A3">
      <w:pPr>
        <w:pStyle w:val="Box"/>
        <w:rPr>
          <w:sz w:val="22"/>
          <w:szCs w:val="22"/>
        </w:rPr>
      </w:pPr>
      <w:r w:rsidRPr="00AF55A3">
        <w:rPr>
          <w:sz w:val="22"/>
          <w:szCs w:val="22"/>
        </w:rPr>
        <w:t>The Ministry is responsible for ensuring public safety and quality through our regulatory functions and activities. Fulfilling this responsibility includes promoting the safe provision of health services to the public, monitoring the safety of medicines and enabling innovative ways of working to improve health outcomes.</w:t>
      </w:r>
    </w:p>
    <w:p w14:paraId="5C901D9A" w14:textId="77777777" w:rsidR="007D17C1" w:rsidRDefault="007D17C1" w:rsidP="00A6210E">
      <w:pPr>
        <w:pStyle w:val="Heading4"/>
      </w:pPr>
      <w:r>
        <w:t xml:space="preserve">Strengthen our approach to regulatory </w:t>
      </w:r>
      <w:proofErr w:type="gramStart"/>
      <w:r>
        <w:t>stewardship</w:t>
      </w:r>
      <w:proofErr w:type="gramEnd"/>
    </w:p>
    <w:p w14:paraId="062BBE33" w14:textId="77777777" w:rsidR="007D17C1" w:rsidRDefault="007D17C1" w:rsidP="007D17C1">
      <w:r>
        <w:t>In 2023/24, we strengthened our approach to regulatory stewardship by:</w:t>
      </w:r>
    </w:p>
    <w:p w14:paraId="2547A32C" w14:textId="1ED02F95" w:rsidR="007D17C1" w:rsidRDefault="007D17C1" w:rsidP="007D17C1">
      <w:pPr>
        <w:pStyle w:val="Bullet"/>
      </w:pPr>
      <w:r>
        <w:t>appointing a new chief regulatory officer</w:t>
      </w:r>
    </w:p>
    <w:p w14:paraId="6870D54A" w14:textId="6CC19C47" w:rsidR="007D17C1" w:rsidRDefault="007D17C1" w:rsidP="007D17C1">
      <w:pPr>
        <w:pStyle w:val="Bullet"/>
      </w:pPr>
      <w:r>
        <w:t>establishing a new executive subcommittee</w:t>
      </w:r>
    </w:p>
    <w:p w14:paraId="33BE3761" w14:textId="5FEBF5BA" w:rsidR="007D17C1" w:rsidRDefault="007D17C1" w:rsidP="007D17C1">
      <w:pPr>
        <w:pStyle w:val="Bullet"/>
      </w:pPr>
      <w:r>
        <w:t>starting to conduct regular reviews of the regulatory and legislative environment, where we monitor the effectiveness of regulatory interventions and the broader landscape.</w:t>
      </w:r>
    </w:p>
    <w:p w14:paraId="55E964A0" w14:textId="77777777" w:rsidR="007D17C1" w:rsidRDefault="007D17C1" w:rsidP="007D17C1"/>
    <w:p w14:paraId="0CE52871" w14:textId="75C636A6" w:rsidR="007D17C1" w:rsidRDefault="007D17C1" w:rsidP="007D17C1">
      <w:r>
        <w:t>The establishment of the chief regulatory officer role will strengthen the Ministry’s approach to regulatory stewardship. This role includes taking initiatives that support the Regulatory Stewardship Subcommittee.</w:t>
      </w:r>
    </w:p>
    <w:p w14:paraId="502B670E" w14:textId="77777777" w:rsidR="007D17C1" w:rsidRDefault="007D17C1" w:rsidP="007D17C1"/>
    <w:p w14:paraId="4E4D3504" w14:textId="2C1D5B87" w:rsidR="007D17C1" w:rsidRDefault="007D17C1" w:rsidP="007D17C1">
      <w:r>
        <w:t>The purpose of the Regulatory Stewardship Subcommittee is to provide assurance oversight and a strategic perspective on regulatory stewardship for the Ministry. Since the Subcommittee’s establishment, a work programme has been implemented, which includes trialling the application of a Regulatory Review Framework endorsed by G-Reg, the government regulatory best practice forum. The first review began in June 2024.</w:t>
      </w:r>
    </w:p>
    <w:p w14:paraId="7D4D22E8" w14:textId="77777777" w:rsidR="007D17C1" w:rsidRDefault="007D17C1" w:rsidP="007D17C1"/>
    <w:p w14:paraId="1642035A" w14:textId="13410875" w:rsidR="007D17C1" w:rsidRDefault="007D17C1" w:rsidP="007D17C1">
      <w:r>
        <w:t>We are also developing a Regulatory Stewardship Governance operating model to guide the implementation of upcoming regulatory changes across the Ministry. Among the areas of regulatory changes are mental health and medicinal products and devices.</w:t>
      </w:r>
    </w:p>
    <w:p w14:paraId="2B1A024D" w14:textId="26362501" w:rsidR="007D17C1" w:rsidRDefault="007D17C1" w:rsidP="00A6210E">
      <w:pPr>
        <w:pStyle w:val="Heading4"/>
      </w:pPr>
      <w:r w:rsidRPr="007D17C1">
        <w:t xml:space="preserve">Support an independent formal review of the implementation of the assisted dying </w:t>
      </w:r>
      <w:proofErr w:type="gramStart"/>
      <w:r w:rsidRPr="007D17C1">
        <w:t>service</w:t>
      </w:r>
      <w:proofErr w:type="gramEnd"/>
    </w:p>
    <w:p w14:paraId="2CEB19CD" w14:textId="138AB0D5" w:rsidR="007D17C1" w:rsidRDefault="007D17C1" w:rsidP="007D17C1">
      <w:r>
        <w:t>The Ministry commissioned an independent review of the assisted dying service in early 2023. The review covered the period from 7 November 2021 to 6 November 2022. Its purpose was to provide feedback to inform the ongoing development of the assisted dying service. The review took place over a three-month period.</w:t>
      </w:r>
    </w:p>
    <w:p w14:paraId="49C5382F" w14:textId="77777777" w:rsidR="007D17C1" w:rsidRDefault="007D17C1" w:rsidP="007D17C1"/>
    <w:p w14:paraId="5249A583" w14:textId="77777777" w:rsidR="007D17C1" w:rsidRDefault="007D17C1" w:rsidP="007D17C1">
      <w:r>
        <w:t>The key objectives of the review were to indicate whether the service had been implemented in a way that:</w:t>
      </w:r>
    </w:p>
    <w:p w14:paraId="6E5F7CD6" w14:textId="6540D0C3" w:rsidR="007D17C1" w:rsidRDefault="007D17C1" w:rsidP="007123AC">
      <w:pPr>
        <w:pStyle w:val="Number"/>
        <w:numPr>
          <w:ilvl w:val="0"/>
          <w:numId w:val="23"/>
        </w:numPr>
        <w:ind w:left="426" w:hanging="426"/>
      </w:pPr>
      <w:r>
        <w:t>reflects the Ministry’s obligations under Te Tiriti</w:t>
      </w:r>
    </w:p>
    <w:p w14:paraId="60450D4F" w14:textId="68F7DF3A" w:rsidR="007D17C1" w:rsidRDefault="007D17C1" w:rsidP="007123AC">
      <w:pPr>
        <w:pStyle w:val="Number"/>
        <w:numPr>
          <w:ilvl w:val="0"/>
          <w:numId w:val="23"/>
        </w:numPr>
        <w:ind w:left="426" w:hanging="426"/>
      </w:pPr>
      <w:r>
        <w:t xml:space="preserve">upholds the intention of the </w:t>
      </w:r>
      <w:proofErr w:type="gramStart"/>
      <w:r>
        <w:t>End of Life</w:t>
      </w:r>
      <w:proofErr w:type="gramEnd"/>
      <w:r>
        <w:t xml:space="preserve"> Choice Act 2019 (the 2019 Act).</w:t>
      </w:r>
    </w:p>
    <w:p w14:paraId="63B5C606" w14:textId="0FD1FD9C" w:rsidR="007D17C1" w:rsidRDefault="007D17C1" w:rsidP="007D17C1">
      <w:r>
        <w:lastRenderedPageBreak/>
        <w:t>The review found that the Ministry had established a process for assisted dying that is robust and trusted, upholding the intention of the 2019 Act. It identified several opportunities for improvement, including by separating the regulation of assisted dying services from service delivery and by making improvements to the IT platform. The review also found that the assisted dying service has been well developed to provide protection for Māori seeking assisted dying, and that an equity perspective was applied in implementing the 2019 Act. Another significant outcome of the review was to identify opportunities continue the momentum of engagement with Māori.</w:t>
      </w:r>
    </w:p>
    <w:p w14:paraId="05FB0372" w14:textId="77777777" w:rsidR="00A56E6D" w:rsidRDefault="00A56E6D" w:rsidP="007D17C1"/>
    <w:p w14:paraId="213F1C87" w14:textId="77777777" w:rsidR="007D17C1" w:rsidRDefault="007D17C1" w:rsidP="007D17C1">
      <w:r>
        <w:t>The Ministry administers the 2019 Act. As part of the wider health system reform, the operational components of the assisted dying service were transferred to Health New Zealand on 6 March 2023, along with operational-related recommendations from the review. Work to develop a new IT platform continued throughout 2023/24 and is ongoing.</w:t>
      </w:r>
    </w:p>
    <w:p w14:paraId="656A1CC1" w14:textId="77777777" w:rsidR="00A56E6D" w:rsidRDefault="00A56E6D" w:rsidP="00A6210E">
      <w:pPr>
        <w:pStyle w:val="Heading4"/>
      </w:pPr>
      <w:r w:rsidRPr="00A56E6D">
        <w:t xml:space="preserve">Amend the radiation safety regulations based on audit and advice from the new quality management </w:t>
      </w:r>
      <w:proofErr w:type="gramStart"/>
      <w:r w:rsidRPr="00A56E6D">
        <w:t>system</w:t>
      </w:r>
      <w:proofErr w:type="gramEnd"/>
    </w:p>
    <w:p w14:paraId="5E8D8B26" w14:textId="77777777" w:rsidR="00A56E6D" w:rsidRDefault="00A56E6D" w:rsidP="00A56E6D">
      <w:r>
        <w:t xml:space="preserve">The Office of Radiation Safety (ORS) conducted a review of the Radiation Safety Regulations 2016, with input from our quality management system and compliance monitoring programme. The review found that it was necessary to make changes to the fees paid under the Radiation Safety Regulations 2016 and other minor technical changes. </w:t>
      </w:r>
    </w:p>
    <w:p w14:paraId="23172FAF" w14:textId="77777777" w:rsidR="00A56E6D" w:rsidRDefault="00A56E6D" w:rsidP="00A56E6D"/>
    <w:p w14:paraId="2065A92C" w14:textId="77200971" w:rsidR="00A56E6D" w:rsidRDefault="00A56E6D" w:rsidP="00A56E6D">
      <w:r>
        <w:t>The fees that were originally set in 2016 did not cover the costs to administer the Radiation Safety Act 2016. The review pointed to the need to increase them in order to meet the original intent of fully recovering the direct and indirect costs of administering the legislation.</w:t>
      </w:r>
    </w:p>
    <w:p w14:paraId="44460BE8" w14:textId="77777777" w:rsidR="00A56E6D" w:rsidRDefault="00A56E6D" w:rsidP="00A56E6D"/>
    <w:p w14:paraId="7717CE5A" w14:textId="4B8D1B53" w:rsidR="00A56E6D" w:rsidRDefault="00A56E6D" w:rsidP="00A56E6D">
      <w:r>
        <w:t>The review also found that some radiation practices did not fall into the correct (risk-based) compliance monitoring category. On this basis, they were not paying the appropriate fee.</w:t>
      </w:r>
    </w:p>
    <w:p w14:paraId="7F5E1551" w14:textId="77777777" w:rsidR="00A56E6D" w:rsidRDefault="00A56E6D" w:rsidP="00A56E6D"/>
    <w:p w14:paraId="67545CF0" w14:textId="5764C048" w:rsidR="00A56E6D" w:rsidRDefault="00A56E6D" w:rsidP="00A56E6D">
      <w:r>
        <w:t>These changes, as well as other minor amendments that were required for technical accuracy and proportionality, were established by the Radiation Safety Amendment Regulations 2023, which came into force on 28 June 2023.</w:t>
      </w:r>
    </w:p>
    <w:p w14:paraId="4F316DBC" w14:textId="77777777" w:rsidR="00A56E6D" w:rsidRDefault="00A56E6D" w:rsidP="00A56E6D"/>
    <w:p w14:paraId="107218E1" w14:textId="77777777" w:rsidR="00A56E6D" w:rsidRDefault="00A56E6D" w:rsidP="00A56E6D">
      <w:r>
        <w:t>The ORS prioritised the implementation of these changes during 2023/24. Its work in this area reinforced our commitment to maintaining a high standard of regulatory practice and assurance.</w:t>
      </w:r>
    </w:p>
    <w:p w14:paraId="7A4D3023" w14:textId="77777777" w:rsidR="00A56E6D" w:rsidRDefault="00A56E6D" w:rsidP="00A6210E">
      <w:pPr>
        <w:pStyle w:val="Heading4"/>
      </w:pPr>
      <w:r w:rsidRPr="00A56E6D">
        <w:t>Support the transition to Ngā Paerewa Health and Disability Services Standard</w:t>
      </w:r>
    </w:p>
    <w:p w14:paraId="2B81EE96" w14:textId="5C3AFAE5" w:rsidR="00A56E6D" w:rsidRDefault="00A56E6D" w:rsidP="00A56E6D">
      <w:r>
        <w:t>Ngā Paerewa Health and Disability Services Standard NZS8134:2021 (Ngā Paerewa) came into effect for all regulated providers on 28 February 2022 and for Home and Community Support Services on 1 July 2023. HealthCERT supported the transition to the new standard through mechanisms such as a non-punitive grace period, online e-learning training modules and sector guidance, sector surveys, and regular meetings and conversations with the sector.</w:t>
      </w:r>
    </w:p>
    <w:p w14:paraId="5DB8135C" w14:textId="77777777" w:rsidR="00A56E6D" w:rsidRDefault="00A56E6D" w:rsidP="00A56E6D"/>
    <w:p w14:paraId="17BEA44C" w14:textId="77777777" w:rsidR="00A56E6D" w:rsidRDefault="00A56E6D" w:rsidP="00A56E6D">
      <w:r>
        <w:lastRenderedPageBreak/>
        <w:t>After the grace period ended, in August 2023 the Ministry commissioned an independent evaluation of HealthCERT’s implementation of Ngā Paerewa. This evaluation, completed in March 2024, concluded that HealthCERT provided effective communication and developed useful training and resources to support the sector.</w:t>
      </w:r>
      <w:r>
        <w:rPr>
          <w:rStyle w:val="FootnoteReference"/>
        </w:rPr>
        <w:footnoteReference w:id="25"/>
      </w:r>
    </w:p>
    <w:p w14:paraId="3B0E4169" w14:textId="41BE6CDA" w:rsidR="00A56E6D" w:rsidRDefault="00A56E6D" w:rsidP="00A6210E">
      <w:pPr>
        <w:pStyle w:val="Heading4"/>
      </w:pPr>
      <w:r w:rsidRPr="00A56E6D">
        <w:t xml:space="preserve">Develop and implement a data analytics framework for certification and audit of health and disability </w:t>
      </w:r>
      <w:proofErr w:type="gramStart"/>
      <w:r w:rsidRPr="00A56E6D">
        <w:t>services</w:t>
      </w:r>
      <w:proofErr w:type="gramEnd"/>
    </w:p>
    <w:p w14:paraId="557CE894" w14:textId="68490833" w:rsidR="00A56E6D" w:rsidRDefault="00A56E6D" w:rsidP="00A56E6D">
      <w:r>
        <w:t>HealthCERT completed the development of a data analytics framework in early 2023 to provide high-quality data products related to the quality of health and disability services in Aotearoa New Zealand. This framework facilitated structured data collection, management, analysis and reporting that led to the creation of the HealthCERT Data Profile Dashboard.</w:t>
      </w:r>
    </w:p>
    <w:p w14:paraId="54CC69BD" w14:textId="77777777" w:rsidR="00A56E6D" w:rsidRDefault="00A56E6D" w:rsidP="00A56E6D"/>
    <w:p w14:paraId="4162AD7A" w14:textId="0A08C490" w:rsidR="00A56E6D" w:rsidRDefault="00A56E6D" w:rsidP="00A56E6D">
      <w:r>
        <w:t>This comprehensive tool provides an overview of all available HealthCERT data collected under its certification scheme. It has been integrated into the HealthCERT team's core operations. Throughout 2023/24, it provided access to HealthCERT data such as case-level information and overall trends, enabling users to quickly and easily view data related to complaints, audit results and corrective action. The resulting insights informed operational decision-making by the HealthCERT team.</w:t>
      </w:r>
    </w:p>
    <w:p w14:paraId="21973AFB" w14:textId="02424CB2" w:rsidR="00A56E6D" w:rsidRDefault="00A56E6D" w:rsidP="00A6210E">
      <w:pPr>
        <w:pStyle w:val="Heading4"/>
      </w:pPr>
      <w:r w:rsidRPr="00A56E6D">
        <w:t xml:space="preserve">In partnership with health entities, develop an assurance framework and approach to determine the critical features of the reformed system that is to be delivered by July 2024, and how to monitor </w:t>
      </w:r>
      <w:proofErr w:type="gramStart"/>
      <w:r w:rsidRPr="00A56E6D">
        <w:t>progress</w:t>
      </w:r>
      <w:proofErr w:type="gramEnd"/>
    </w:p>
    <w:p w14:paraId="21ACD72E" w14:textId="64586C79" w:rsidR="00A56E6D" w:rsidRDefault="00A56E6D" w:rsidP="00A56E6D">
      <w:r>
        <w:t>The System Reform Assurance Office (SRAO) was established for a period of 12 months in December 2023. The SRAO’s role is to provide assurance as to how the health agencies are achieving the outcomes intended by the health reform. It provides advice independent of the views of any individual health agency.</w:t>
      </w:r>
    </w:p>
    <w:p w14:paraId="2F4638EC" w14:textId="77777777" w:rsidR="00A56E6D" w:rsidRDefault="00A56E6D" w:rsidP="00A56E6D"/>
    <w:p w14:paraId="75D2CCF3" w14:textId="77777777" w:rsidR="00A6210E" w:rsidRDefault="00A56E6D" w:rsidP="00A56E6D">
      <w:pPr>
        <w:sectPr w:rsidR="00A6210E" w:rsidSect="008F0115">
          <w:pgSz w:w="11907" w:h="16840" w:code="9"/>
          <w:pgMar w:top="1418" w:right="1701" w:bottom="1134" w:left="1843" w:header="284" w:footer="425" w:gutter="284"/>
          <w:cols w:space="720"/>
        </w:sectPr>
      </w:pPr>
      <w:r>
        <w:t>The SRAO is working to an assurance framework that was agreed in early 2024. Its work includes carrying out focused assurance exercises on important elements of reform such as system governance and leadership, direction-setting and planning, operating models and performance monitoring and management. By the end of 2024, the SRAO will also have provided advice on how the Director-General of Health and the health agencies can meet their ongoing needs for assurance on health system reform and transformation.</w:t>
      </w:r>
    </w:p>
    <w:tbl>
      <w:tblPr>
        <w:tblStyle w:val="TableGrid"/>
        <w:tblW w:w="8359" w:type="dxa"/>
        <w:tblBorders>
          <w:top w:val="single" w:sz="4" w:space="0" w:color="0A6AB4"/>
          <w:left w:val="single" w:sz="4" w:space="0" w:color="0A6AB4"/>
          <w:bottom w:val="single" w:sz="4" w:space="0" w:color="0A6AB4"/>
          <w:right w:val="single" w:sz="4" w:space="0" w:color="0A6AB4"/>
          <w:insideH w:val="single" w:sz="4" w:space="0" w:color="0A6AB4"/>
          <w:insideV w:val="single" w:sz="4" w:space="0" w:color="0A6AB4"/>
        </w:tblBorders>
        <w:tblLook w:val="04A0" w:firstRow="1" w:lastRow="0" w:firstColumn="1" w:lastColumn="0" w:noHBand="0" w:noVBand="1"/>
      </w:tblPr>
      <w:tblGrid>
        <w:gridCol w:w="8359"/>
      </w:tblGrid>
      <w:tr w:rsidR="005F587D" w14:paraId="28A69875" w14:textId="77777777" w:rsidTr="00EC5D95">
        <w:tc>
          <w:tcPr>
            <w:tcW w:w="8359" w:type="dxa"/>
          </w:tcPr>
          <w:p w14:paraId="48D2752A" w14:textId="18A9AE41" w:rsidR="005F587D" w:rsidRDefault="005F587D" w:rsidP="00EC5D95">
            <w:pPr>
              <w:pStyle w:val="Heading4"/>
              <w:keepNext w:val="0"/>
              <w:spacing w:before="120"/>
            </w:pPr>
            <w:r w:rsidRPr="006F5694">
              <w:rPr>
                <w:b/>
                <w:bCs/>
              </w:rPr>
              <w:lastRenderedPageBreak/>
              <w:t>Case study:</w:t>
            </w:r>
            <w:r w:rsidRPr="00C55AFB">
              <w:t xml:space="preserve"> </w:t>
            </w:r>
            <w:r w:rsidRPr="005F587D">
              <w:t xml:space="preserve">Ensuring safety standards for </w:t>
            </w:r>
            <w:proofErr w:type="gramStart"/>
            <w:r w:rsidRPr="005F587D">
              <w:t>services</w:t>
            </w:r>
            <w:proofErr w:type="gramEnd"/>
          </w:p>
          <w:p w14:paraId="4CE59C48" w14:textId="644328ED" w:rsidR="005F587D" w:rsidRDefault="005F587D" w:rsidP="00EC5D95">
            <w:pPr>
              <w:spacing w:after="120"/>
              <w:rPr>
                <w:b/>
                <w:bCs/>
              </w:rPr>
            </w:pPr>
            <w:r w:rsidRPr="005F587D">
              <w:rPr>
                <w:b/>
                <w:bCs/>
              </w:rPr>
              <w:t>HealthCERT administers the Health and Disability Services (Safety) Act 2001 (the 2001 Act). The aim of the Act is to:</w:t>
            </w:r>
          </w:p>
          <w:p w14:paraId="15E10EF4" w14:textId="6CC7EF58" w:rsidR="005F587D" w:rsidRPr="005F587D" w:rsidRDefault="005F587D" w:rsidP="007C0172">
            <w:pPr>
              <w:pStyle w:val="Number"/>
              <w:numPr>
                <w:ilvl w:val="0"/>
                <w:numId w:val="24"/>
              </w:numPr>
              <w:spacing w:before="60" w:after="80"/>
              <w:ind w:left="460" w:hanging="425"/>
            </w:pPr>
            <w:r w:rsidRPr="005F587D">
              <w:t xml:space="preserve">promote the safe provision of health and disability services to the </w:t>
            </w:r>
            <w:proofErr w:type="gramStart"/>
            <w:r w:rsidRPr="005F587D">
              <w:t>public</w:t>
            </w:r>
            <w:proofErr w:type="gramEnd"/>
          </w:p>
          <w:p w14:paraId="76075B03" w14:textId="17616E00" w:rsidR="005F587D" w:rsidRPr="005F587D" w:rsidRDefault="005F587D" w:rsidP="007C0172">
            <w:pPr>
              <w:pStyle w:val="Number"/>
              <w:numPr>
                <w:ilvl w:val="0"/>
                <w:numId w:val="24"/>
              </w:numPr>
              <w:spacing w:before="60" w:after="80"/>
              <w:ind w:left="460" w:hanging="425"/>
            </w:pPr>
            <w:r w:rsidRPr="005F587D">
              <w:t xml:space="preserve">enable the establishment of consistent and reasonable sector </w:t>
            </w:r>
            <w:proofErr w:type="gramStart"/>
            <w:r w:rsidRPr="005F587D">
              <w:t>standards</w:t>
            </w:r>
            <w:proofErr w:type="gramEnd"/>
          </w:p>
          <w:p w14:paraId="7F85ED93" w14:textId="6A39E082" w:rsidR="005F587D" w:rsidRDefault="005F587D" w:rsidP="007C0172">
            <w:pPr>
              <w:pStyle w:val="Number"/>
              <w:numPr>
                <w:ilvl w:val="0"/>
                <w:numId w:val="24"/>
              </w:numPr>
              <w:spacing w:before="60" w:after="80"/>
              <w:ind w:left="460" w:hanging="425"/>
            </w:pPr>
            <w:r w:rsidRPr="005F587D">
              <w:t>encourage health and disability service providers to take responsibility for providing those services safely to the public and undertake continuous quality improvement.</w:t>
            </w:r>
          </w:p>
          <w:p w14:paraId="74B22917" w14:textId="77777777" w:rsidR="005F587D" w:rsidRDefault="005F587D" w:rsidP="005F587D">
            <w:pPr>
              <w:spacing w:after="120" w:line="240" w:lineRule="auto"/>
            </w:pPr>
            <w:r>
              <w:t xml:space="preserve">A total of 581 legal entities </w:t>
            </w:r>
            <w:proofErr w:type="gramStart"/>
            <w:r>
              <w:t>hold</w:t>
            </w:r>
            <w:proofErr w:type="gramEnd"/>
            <w:r>
              <w:t xml:space="preserve"> 891 active certificates of regulated providers. The 2001 Act requires regulated providers to be audited against Ngā Paerewa Health and Disability Services Standard. Ngā Paerewa came into effect in February 2022, replacing previous standards, and reflects the shift towards health and disability services that are centred on people and whānau. Other significant changes included strengthened infection prevention and antimicrobial stewardship, and a greater focus on supporting service providers to meet Te Tiriti obligations.</w:t>
            </w:r>
          </w:p>
          <w:p w14:paraId="4284B570" w14:textId="3E893C86" w:rsidR="005F587D" w:rsidRDefault="005F587D" w:rsidP="005F587D">
            <w:pPr>
              <w:spacing w:after="120" w:line="240" w:lineRule="auto"/>
            </w:pPr>
            <w:r>
              <w:t>HealthCERT’s core work for 2023/24 included the following:</w:t>
            </w:r>
          </w:p>
          <w:p w14:paraId="40229DBC" w14:textId="058321D2" w:rsidR="005F587D" w:rsidRDefault="005F587D" w:rsidP="00277DE3">
            <w:pPr>
              <w:pStyle w:val="Bullet"/>
              <w:spacing w:line="240" w:lineRule="auto"/>
            </w:pPr>
            <w:r>
              <w:t>HealthCERT processed 5,551 notifications under section 31(5) of the 2001 Act (which requires a person certified to provide healthcare services to promptly give the</w:t>
            </w:r>
            <w:r w:rsidR="007C0172">
              <w:t xml:space="preserve"> </w:t>
            </w:r>
            <w:r>
              <w:t>Director-General of Health certain information such as any at-risk incident or situation, investigation or death).</w:t>
            </w:r>
          </w:p>
          <w:p w14:paraId="0B0A155C" w14:textId="5BD91B62" w:rsidR="005F587D" w:rsidRDefault="005F587D" w:rsidP="005F587D">
            <w:pPr>
              <w:pStyle w:val="Bullet"/>
              <w:spacing w:line="240" w:lineRule="auto"/>
            </w:pPr>
            <w:r>
              <w:t>HealthCERT received 122 complaints about healthcare providers. Of this total:</w:t>
            </w:r>
          </w:p>
          <w:p w14:paraId="1CE218A8" w14:textId="17B6E342" w:rsidR="005F587D" w:rsidRDefault="005F587D" w:rsidP="005F587D">
            <w:pPr>
              <w:pStyle w:val="Dash"/>
              <w:spacing w:line="240" w:lineRule="auto"/>
            </w:pPr>
            <w:r>
              <w:t xml:space="preserve"> 66 complaints came directly to HealthCERT or via the </w:t>
            </w:r>
            <w:proofErr w:type="gramStart"/>
            <w:r>
              <w:t>funder</w:t>
            </w:r>
            <w:proofErr w:type="gramEnd"/>
          </w:p>
          <w:p w14:paraId="28D89B48" w14:textId="72D9A134" w:rsidR="005F587D" w:rsidRDefault="005F587D" w:rsidP="005F587D">
            <w:pPr>
              <w:pStyle w:val="Dash"/>
              <w:spacing w:line="240" w:lineRule="auto"/>
            </w:pPr>
            <w:r>
              <w:t>6 complaints were referred from the Health and Disability Commissioner. Currently these complaints are at various stages of investigation.</w:t>
            </w:r>
          </w:p>
          <w:p w14:paraId="31E3A9BC" w14:textId="15D3C9D5" w:rsidR="005F587D" w:rsidRDefault="005F587D" w:rsidP="005F587D">
            <w:pPr>
              <w:pStyle w:val="Bullet"/>
              <w:spacing w:line="240" w:lineRule="auto"/>
            </w:pPr>
            <w:r>
              <w:t>HealthCERT received and processed 614 audits.</w:t>
            </w:r>
          </w:p>
          <w:p w14:paraId="78F2B383" w14:textId="77777777" w:rsidR="005F587D" w:rsidRDefault="005F587D" w:rsidP="005F587D"/>
          <w:p w14:paraId="3C742811" w14:textId="77777777" w:rsidR="005F587D" w:rsidRDefault="005F587D" w:rsidP="00EC5D95">
            <w:pPr>
              <w:spacing w:after="120" w:line="240" w:lineRule="auto"/>
            </w:pPr>
            <w:r>
              <w:rPr>
                <w:noProof/>
              </w:rPr>
              <w:drawing>
                <wp:inline distT="0" distB="0" distL="0" distR="0" wp14:anchorId="21D980B5" wp14:editId="6BFFEEF7">
                  <wp:extent cx="4160520" cy="1669049"/>
                  <wp:effectExtent l="0" t="0" r="0" b="762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79672" cy="1676732"/>
                          </a:xfrm>
                          <a:prstGeom prst="rect">
                            <a:avLst/>
                          </a:prstGeom>
                        </pic:spPr>
                      </pic:pic>
                    </a:graphicData>
                  </a:graphic>
                </wp:inline>
              </w:drawing>
            </w:r>
          </w:p>
          <w:p w14:paraId="2374F753" w14:textId="77777777" w:rsidR="005F587D" w:rsidRDefault="005F587D" w:rsidP="005F587D">
            <w:pPr>
              <w:spacing w:after="120" w:line="240" w:lineRule="auto"/>
            </w:pPr>
            <w:r>
              <w:t>HealthCERT has undertaken a significant project to revise the public hospital audit framework. The Pae Ora (Healthy Futures) Act 2022 amalgamated 20 district health boards into one national entity, Health New Zealand. The new structure requires a review of how public hospital services are certified under the 2001 Act and audited against Ngā Paerewa.</w:t>
            </w:r>
          </w:p>
          <w:p w14:paraId="0C0B4D71" w14:textId="5D784BFE" w:rsidR="005F587D" w:rsidRDefault="005F587D" w:rsidP="005F587D">
            <w:pPr>
              <w:spacing w:after="120" w:line="240" w:lineRule="auto"/>
            </w:pPr>
            <w:r>
              <w:t>The review of the public hospital audit framework began in July 2023 and a revised audit framework was submitted to the Director-General of Health in July 2024. The next phase of this project will be to plan the implementation of the changes.</w:t>
            </w:r>
          </w:p>
        </w:tc>
      </w:tr>
    </w:tbl>
    <w:p w14:paraId="0C9DB7A6" w14:textId="77777777" w:rsidR="005F587D" w:rsidRDefault="005F587D" w:rsidP="005F587D">
      <w:pPr>
        <w:ind w:firstLine="567"/>
        <w:sectPr w:rsidR="005F587D" w:rsidSect="008F0115">
          <w:pgSz w:w="11907" w:h="16840" w:code="9"/>
          <w:pgMar w:top="1418" w:right="1701" w:bottom="1134" w:left="1843" w:header="284" w:footer="425" w:gutter="284"/>
          <w:cols w:space="720"/>
        </w:sectPr>
      </w:pPr>
    </w:p>
    <w:p w14:paraId="760512D2" w14:textId="77777777" w:rsidR="005F587D" w:rsidRDefault="005F587D" w:rsidP="005F587D">
      <w:pPr>
        <w:pStyle w:val="Heading2"/>
        <w:spacing w:before="0"/>
      </w:pPr>
      <w:bookmarkStart w:id="26" w:name="_Toc180077022"/>
      <w:r>
        <w:lastRenderedPageBreak/>
        <w:t xml:space="preserve">Priority 6: Transform </w:t>
      </w:r>
      <w:proofErr w:type="gramStart"/>
      <w:r>
        <w:t>ourselves</w:t>
      </w:r>
      <w:bookmarkEnd w:id="26"/>
      <w:proofErr w:type="gramEnd"/>
    </w:p>
    <w:p w14:paraId="260A6972" w14:textId="77777777" w:rsidR="005F587D" w:rsidRPr="00AF55A3" w:rsidRDefault="005F587D" w:rsidP="00AF55A3">
      <w:pPr>
        <w:pStyle w:val="Box"/>
        <w:rPr>
          <w:sz w:val="22"/>
          <w:szCs w:val="22"/>
        </w:rPr>
      </w:pPr>
      <w:r w:rsidRPr="00AF55A3">
        <w:rPr>
          <w:sz w:val="22"/>
          <w:szCs w:val="22"/>
        </w:rPr>
        <w:t>The Ministry has needed to make shifts in our own ways of working, structure, functions and activities so that we are well positioned in our role in the reformed health system.</w:t>
      </w:r>
    </w:p>
    <w:p w14:paraId="69F039DD" w14:textId="0BDE82C2" w:rsidR="005F587D" w:rsidRDefault="005F587D" w:rsidP="00A6210E">
      <w:pPr>
        <w:pStyle w:val="Heading4"/>
      </w:pPr>
      <w:r w:rsidRPr="005F587D">
        <w:t>Future-focused Ministry transformation programme</w:t>
      </w:r>
    </w:p>
    <w:p w14:paraId="1550C1C0" w14:textId="2A5474A6" w:rsidR="005F587D" w:rsidRDefault="005F587D" w:rsidP="005F587D">
      <w:r>
        <w:t>In August 2023, the Ministry established a 12</w:t>
      </w:r>
      <w:r w:rsidR="00AC29C2">
        <w:t>-</w:t>
      </w:r>
      <w:r>
        <w:t xml:space="preserve"> to 18-month transformation programme to deliver a longer-term programme of work that will grow our capability and continue to develop and embed improved ways of working. The programme will ensure the Ministry has the right capabilities and size to be in line with our core role as steward of the health system.</w:t>
      </w:r>
    </w:p>
    <w:p w14:paraId="5EE6015C" w14:textId="77777777" w:rsidR="005F587D" w:rsidRDefault="005F587D" w:rsidP="005F587D"/>
    <w:p w14:paraId="5625921B" w14:textId="77777777" w:rsidR="005F587D" w:rsidRDefault="005F587D" w:rsidP="005F587D">
      <w:r>
        <w:t>The programme’s objectives are for the Ministry to:</w:t>
      </w:r>
    </w:p>
    <w:p w14:paraId="7A62E7DA" w14:textId="79860DC8" w:rsidR="005F587D" w:rsidRDefault="005F587D" w:rsidP="005F587D">
      <w:pPr>
        <w:pStyle w:val="Bullet"/>
      </w:pPr>
      <w:r>
        <w:t xml:space="preserve">be a future-focused and proactive kaitiaki of the health system with a great reputation for engaging with our public service, health system, and Te Tiriti and community </w:t>
      </w:r>
      <w:proofErr w:type="gramStart"/>
      <w:r>
        <w:t>partners</w:t>
      </w:r>
      <w:proofErr w:type="gramEnd"/>
    </w:p>
    <w:p w14:paraId="3F65926D" w14:textId="70700B49" w:rsidR="005F587D" w:rsidRDefault="005F587D" w:rsidP="005F587D">
      <w:pPr>
        <w:pStyle w:val="Bullet"/>
      </w:pPr>
      <w:r>
        <w:t xml:space="preserve">have fit-for-purpose structures, processes and tools that reduce duplication, remove barriers, are affordable within reducing baselines and foster a high-trust </w:t>
      </w:r>
      <w:proofErr w:type="gramStart"/>
      <w:r>
        <w:t>environment</w:t>
      </w:r>
      <w:proofErr w:type="gramEnd"/>
    </w:p>
    <w:p w14:paraId="36AF3FBB" w14:textId="33F190C8" w:rsidR="005F587D" w:rsidRDefault="005F587D" w:rsidP="005F587D">
      <w:pPr>
        <w:pStyle w:val="Bullet"/>
      </w:pPr>
      <w:r>
        <w:t xml:space="preserve">have people with the right skill set to deliver on our strategic priorities through effective workforce planning and investment in capability </w:t>
      </w:r>
      <w:proofErr w:type="gramStart"/>
      <w:r>
        <w:t>development</w:t>
      </w:r>
      <w:proofErr w:type="gramEnd"/>
    </w:p>
    <w:p w14:paraId="7C2CC47E" w14:textId="6469D897" w:rsidR="005F587D" w:rsidRDefault="005F587D" w:rsidP="005F587D">
      <w:pPr>
        <w:pStyle w:val="Bullet"/>
      </w:pPr>
      <w:r>
        <w:t xml:space="preserve">have a highly collaborative environment where organisational hierarchy plays less of a role in how people interact and solve </w:t>
      </w:r>
      <w:proofErr w:type="gramStart"/>
      <w:r>
        <w:t>problems</w:t>
      </w:r>
      <w:proofErr w:type="gramEnd"/>
    </w:p>
    <w:p w14:paraId="5C7B14A0" w14:textId="64428894" w:rsidR="005F587D" w:rsidRDefault="005F587D" w:rsidP="005F587D">
      <w:pPr>
        <w:pStyle w:val="Bullet"/>
      </w:pPr>
      <w:r>
        <w:t>be recognised as a great place to work.</w:t>
      </w:r>
    </w:p>
    <w:p w14:paraId="78B77D0A" w14:textId="77777777" w:rsidR="005F587D" w:rsidRDefault="005F587D" w:rsidP="005F587D"/>
    <w:p w14:paraId="78D32BE4" w14:textId="3244D0EF" w:rsidR="005F587D" w:rsidRDefault="005F587D" w:rsidP="005F587D">
      <w:r>
        <w:t>On 2 October 2023, phase one of the transformation programme was complete. This work had involved establishing the right directorate structures and leadership for our refocused role in the health system.</w:t>
      </w:r>
    </w:p>
    <w:p w14:paraId="151034AC" w14:textId="77777777" w:rsidR="005F587D" w:rsidRDefault="005F587D" w:rsidP="005F587D"/>
    <w:p w14:paraId="7BB70718" w14:textId="77777777" w:rsidR="005F587D" w:rsidRDefault="005F587D" w:rsidP="005F587D">
      <w:r>
        <w:t>The programme pivoted in December 2023 to support the development of proposals for organisational change that addressed the Ministry’s size and structure. Despite the significant focus on change, the programme continued to lead work on implementing key capabilities that will support the Ministry to undertake its stewardship role.</w:t>
      </w:r>
    </w:p>
    <w:p w14:paraId="551660C8" w14:textId="77777777" w:rsidR="005F587D" w:rsidRDefault="005F587D" w:rsidP="005F587D"/>
    <w:p w14:paraId="4829394D" w14:textId="5F9E4052" w:rsidR="005F587D" w:rsidRDefault="005F587D" w:rsidP="005F587D">
      <w:r>
        <w:t>This work included:</w:t>
      </w:r>
    </w:p>
    <w:p w14:paraId="7088288B" w14:textId="47A1EB70" w:rsidR="005F587D" w:rsidRDefault="005F587D" w:rsidP="005F587D">
      <w:pPr>
        <w:pStyle w:val="Bullet"/>
      </w:pPr>
      <w:r>
        <w:t xml:space="preserve">establishing new governance arrangements to provide sufficient time for strategic conversations and to empower senior leaders with a broader scope for </w:t>
      </w:r>
      <w:proofErr w:type="gramStart"/>
      <w:r>
        <w:t>decision-making</w:t>
      </w:r>
      <w:proofErr w:type="gramEnd"/>
    </w:p>
    <w:p w14:paraId="32885A14" w14:textId="7A71741D" w:rsidR="005F587D" w:rsidRDefault="005F587D" w:rsidP="005F587D">
      <w:pPr>
        <w:pStyle w:val="Bullet"/>
      </w:pPr>
      <w:r>
        <w:t>lifting capability in key areas such as maternity, horizon scanning and system reform</w:t>
      </w:r>
    </w:p>
    <w:p w14:paraId="33F4753A" w14:textId="61EF7EBB" w:rsidR="005F587D" w:rsidRDefault="005F587D" w:rsidP="005F587D">
      <w:pPr>
        <w:pStyle w:val="Bullet"/>
      </w:pPr>
      <w:r>
        <w:t xml:space="preserve">refreshing the Ministry’s organisational strategy, which will inform the development of new strategic </w:t>
      </w:r>
      <w:proofErr w:type="gramStart"/>
      <w:r>
        <w:t>intentions</w:t>
      </w:r>
      <w:proofErr w:type="gramEnd"/>
    </w:p>
    <w:p w14:paraId="4442023E" w14:textId="430A9922" w:rsidR="005F587D" w:rsidRDefault="005F587D" w:rsidP="005F587D">
      <w:pPr>
        <w:pStyle w:val="Bullet"/>
      </w:pPr>
      <w:r>
        <w:t xml:space="preserve">designing a new business planning and reporting approach to be implemented in </w:t>
      </w:r>
      <w:proofErr w:type="gramStart"/>
      <w:r>
        <w:t>2024/25</w:t>
      </w:r>
      <w:proofErr w:type="gramEnd"/>
    </w:p>
    <w:p w14:paraId="335CEC00" w14:textId="38B22A21" w:rsidR="005F587D" w:rsidRDefault="005F587D" w:rsidP="005F587D">
      <w:pPr>
        <w:pStyle w:val="Bullet"/>
      </w:pPr>
      <w:r>
        <w:lastRenderedPageBreak/>
        <w:t>delivering a rolling programme of process improvement initiatives, including digitising manual processes.</w:t>
      </w:r>
    </w:p>
    <w:p w14:paraId="742F37C7" w14:textId="77777777" w:rsidR="005F587D" w:rsidRDefault="005F587D" w:rsidP="005F587D"/>
    <w:p w14:paraId="0ED68FEC" w14:textId="527BB238" w:rsidR="005F587D" w:rsidRDefault="005F587D" w:rsidP="005F587D">
      <w:r>
        <w:t>The Ministry adopted a new approach to business planning to enhance our prioritisation, collaboration and delivery. From 1 July 2024, the Ministry moved from a directorate-based annual business plan to priority-led business planning that has 90-day cycles based on medium-term and long-term priorities. This change will allow us to be more agile with our resources.</w:t>
      </w:r>
    </w:p>
    <w:p w14:paraId="6E7101F5" w14:textId="77777777" w:rsidR="005F587D" w:rsidRDefault="005F587D" w:rsidP="005F587D"/>
    <w:p w14:paraId="3C94D751" w14:textId="77777777" w:rsidR="005F587D" w:rsidRDefault="005F587D" w:rsidP="005F587D">
      <w:r>
        <w:t>Six deputy directors-general oversee this approach in convening roles. They have responsibility for building plans that span directorates, facilitate greater cross-directorate collaboration, realise our priorities and support the new organisational structure.</w:t>
      </w:r>
    </w:p>
    <w:p w14:paraId="76B52FA4" w14:textId="77777777" w:rsidR="005F587D" w:rsidRDefault="005F587D" w:rsidP="00A6210E">
      <w:pPr>
        <w:pStyle w:val="Heading4"/>
      </w:pPr>
      <w:r>
        <w:t xml:space="preserve">Establish new structures to ensure senior leaders have sufficient time for strategic conversations and broader scope for </w:t>
      </w:r>
      <w:proofErr w:type="gramStart"/>
      <w:r>
        <w:t>decision-making</w:t>
      </w:r>
      <w:proofErr w:type="gramEnd"/>
    </w:p>
    <w:p w14:paraId="3509183E" w14:textId="0CC3CA51" w:rsidR="005F587D" w:rsidRDefault="005F587D" w:rsidP="005F587D">
      <w:r>
        <w:t>As the scope and role of the Ministry have changed following the enactment of the Pae Ora (Healthy Futures) Act 2022, our governance, leadership and decision-making arrangements have been redesigned to enable us to fulfil our role as health system steward.</w:t>
      </w:r>
    </w:p>
    <w:p w14:paraId="4E354EA1" w14:textId="77777777" w:rsidR="005F587D" w:rsidRDefault="005F587D" w:rsidP="005F587D"/>
    <w:p w14:paraId="38F3CEF3" w14:textId="6E166215" w:rsidR="005F587D" w:rsidRDefault="005F587D" w:rsidP="005F587D">
      <w:r>
        <w:t>The Executive Leadership Team has been replaced by the EGT and the Strategic Stewardship Team (SST). Both governance forums are designed to provide the Ministry’s leadership with sufficient time for strategic conversations on Ministry and health sector priorities. The EGT is about strategy, performance and risk.</w:t>
      </w:r>
    </w:p>
    <w:p w14:paraId="6BBDB989" w14:textId="77777777" w:rsidR="005F587D" w:rsidRDefault="005F587D" w:rsidP="005F587D"/>
    <w:p w14:paraId="7C57249A" w14:textId="6883AAFD" w:rsidR="005F587D" w:rsidRDefault="005F587D" w:rsidP="005F587D">
      <w:r>
        <w:t>The OLT has been redesigned to focus on organisational planning, reporting, policies, processes and guidelines. This allows EGT and SST to have sufficient time for higher-level strategic discussions.</w:t>
      </w:r>
    </w:p>
    <w:p w14:paraId="1E438D3F" w14:textId="77777777" w:rsidR="005F587D" w:rsidRDefault="005F587D" w:rsidP="005F587D"/>
    <w:p w14:paraId="2F18E159" w14:textId="77777777" w:rsidR="005F587D" w:rsidRDefault="005F587D" w:rsidP="005F587D">
      <w:r>
        <w:t>The Ministry’s refreshed governance system also broadens the scope of decision-making by establishing strategic subcommittees. The membership of the subcommittees comprises non-executive leadership, drawing on the breadth of expertise and knowledge from across the Ministry. Subcommittees support the EGT and SST by providing detailed information on strategic priority areas, such as equity and Te Tiriti, and system monitoring.</w:t>
      </w:r>
    </w:p>
    <w:p w14:paraId="326463D9" w14:textId="77777777" w:rsidR="005F587D" w:rsidRDefault="005F587D" w:rsidP="00A6210E">
      <w:pPr>
        <w:pStyle w:val="Heading4"/>
      </w:pPr>
      <w:r>
        <w:t>Continue to ensure clarity on roles and responsibilities for Māori health following the Pae Ora (Disestablishment of Māori Health Authority) Amendment Act 2024</w:t>
      </w:r>
    </w:p>
    <w:p w14:paraId="302C2377" w14:textId="49238D4F" w:rsidR="005F587D" w:rsidRDefault="005F587D" w:rsidP="005F587D">
      <w:r>
        <w:t>One of the initiatives in the Government’s 100-day plan was to introduce legislation to disestablish Te Aka Whai Ora. The Pae Ora (Disestablishment of Māori Health Authority) Amendment Act 2024 (the 2024 Amendment Act) saw 13 positions from</w:t>
      </w:r>
      <w:r w:rsidR="007C0172">
        <w:t xml:space="preserve"> </w:t>
      </w:r>
      <w:r>
        <w:t xml:space="preserve">Te Aka Whai Ora transferred to the Ministry under the Health Sector (Transfers) Act 1993. The transferred positions relate to Māori health policy and monitoring functions and align with the Ministry’s leadership and chief steward responsibilities as principal advisor on health policy, strategy and monitoring for Māori. The Ministry provided new </w:t>
      </w:r>
      <w:r>
        <w:lastRenderedPageBreak/>
        <w:t>team members with a tailored orientation programme including facilitated workshops to support their understanding of the Ministry’s role, stewardship responsibilities, functions and priorities.</w:t>
      </w:r>
    </w:p>
    <w:p w14:paraId="28978EF5" w14:textId="77777777" w:rsidR="005F587D" w:rsidRDefault="005F587D" w:rsidP="005F587D"/>
    <w:p w14:paraId="4B2157A9" w14:textId="77777777" w:rsidR="005F587D" w:rsidRDefault="005F587D" w:rsidP="005F587D">
      <w:r>
        <w:t>Under the 2024 Amendment Act, the Director-General of Health also assumes responsibility for recognition of IMPBs from 1 July 2024. The Ministry has supported work to establish IMPBs previously and is well placed to take up this function.</w:t>
      </w:r>
    </w:p>
    <w:p w14:paraId="270A4BF6" w14:textId="77777777" w:rsidR="006D5289" w:rsidRDefault="006D5289" w:rsidP="005F587D"/>
    <w:p w14:paraId="2E47F8F8" w14:textId="77777777" w:rsidR="006D5289" w:rsidRDefault="006D5289" w:rsidP="005F587D"/>
    <w:p w14:paraId="0F77E6D2" w14:textId="61A266A0" w:rsidR="00DD3379" w:rsidRDefault="00DD3379" w:rsidP="005F587D">
      <w:pPr>
        <w:sectPr w:rsidR="00DD3379" w:rsidSect="008F0115">
          <w:pgSz w:w="11907" w:h="16840" w:code="9"/>
          <w:pgMar w:top="1418" w:right="1701" w:bottom="1134" w:left="1843" w:header="284" w:footer="425" w:gutter="284"/>
          <w:cols w:space="720"/>
        </w:sectPr>
      </w:pPr>
    </w:p>
    <w:p w14:paraId="68D48F29" w14:textId="77777777" w:rsidR="006D5289" w:rsidRDefault="006D5289" w:rsidP="006D5289">
      <w:pPr>
        <w:pStyle w:val="Heading2"/>
        <w:spacing w:before="0"/>
      </w:pPr>
      <w:bookmarkStart w:id="27" w:name="_Toc180077023"/>
      <w:r>
        <w:lastRenderedPageBreak/>
        <w:t>Results from outcome measures and interim system measures</w:t>
      </w:r>
      <w:bookmarkEnd w:id="27"/>
    </w:p>
    <w:p w14:paraId="54245C13" w14:textId="4DC0304D" w:rsidR="006D5289" w:rsidRPr="00AF55A3" w:rsidRDefault="006D5289" w:rsidP="00613AC5">
      <w:r w:rsidRPr="00AF55A3">
        <w:t>In this section, we report on both outcome measures and measures for system performance. These measures reflect the Ministry’s role as steward of both the health of the population of Aotearoa New Zealand, where we assess health outcomes and trends, and the health system, where we focus on how the system works.</w:t>
      </w:r>
    </w:p>
    <w:p w14:paraId="6109C978" w14:textId="4F82F615" w:rsidR="006D5289" w:rsidRDefault="006D5289" w:rsidP="00613AC5"/>
    <w:p w14:paraId="0AB1A7E7" w14:textId="28A939E6" w:rsidR="006D5289" w:rsidRDefault="006D5289" w:rsidP="006D5289">
      <w:r>
        <w:t xml:space="preserve">The Ministry has used an interim set of measures for system performance for the year ended 30 June 2024. The Health System Indicators (HSI) framework, which the Ministry previously reported against, was disestablished in 2023/24, and targets came into effect from 1 July 2024 (for more details, see </w:t>
      </w:r>
      <w:r w:rsidRPr="00AF55A3">
        <w:rPr>
          <w:i/>
          <w:iCs/>
        </w:rPr>
        <w:t>Interim measures for system performance).</w:t>
      </w:r>
    </w:p>
    <w:p w14:paraId="7F1EF7B4" w14:textId="77777777" w:rsidR="006D5289" w:rsidRDefault="006D5289" w:rsidP="006D5289"/>
    <w:p w14:paraId="6E275646" w14:textId="5C830024" w:rsidR="006D5289" w:rsidRDefault="006D5289" w:rsidP="006D5289">
      <w:r>
        <w:t>As Health New Zealand is responsible for the day-to-day running of the public health system, including hospital and specialist services, and primary and community care, it is through our stewardship role that the Ministry contributes to the specific measures. The measures below represent key elements and evidence for monitoring the performance of the health system and are relevant to the Ministry’s own functions and objectives.</w:t>
      </w:r>
    </w:p>
    <w:p w14:paraId="4373CCD3" w14:textId="446239C6" w:rsidR="006D5289" w:rsidRDefault="006D5289" w:rsidP="006D5289">
      <w:pPr>
        <w:pStyle w:val="Heading3"/>
      </w:pPr>
      <w:r w:rsidRPr="006D5289">
        <w:t>Outcome measures</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84"/>
        <w:gridCol w:w="623"/>
        <w:gridCol w:w="106"/>
        <w:gridCol w:w="730"/>
        <w:gridCol w:w="729"/>
        <w:gridCol w:w="730"/>
        <w:gridCol w:w="729"/>
        <w:gridCol w:w="730"/>
        <w:gridCol w:w="729"/>
        <w:gridCol w:w="730"/>
        <w:gridCol w:w="729"/>
        <w:gridCol w:w="720"/>
        <w:gridCol w:w="10"/>
      </w:tblGrid>
      <w:tr w:rsidR="006D5289" w14:paraId="13CD2BAA" w14:textId="77777777" w:rsidTr="006D5289">
        <w:trPr>
          <w:gridAfter w:val="1"/>
          <w:wAfter w:w="10" w:type="dxa"/>
        </w:trPr>
        <w:tc>
          <w:tcPr>
            <w:tcW w:w="8069" w:type="dxa"/>
            <w:gridSpan w:val="12"/>
            <w:tcBorders>
              <w:top w:val="nil"/>
              <w:left w:val="nil"/>
              <w:bottom w:val="nil"/>
              <w:right w:val="nil"/>
            </w:tcBorders>
            <w:shd w:val="clear" w:color="auto" w:fill="D9D9D9" w:themeFill="background1" w:themeFillShade="D9"/>
            <w:hideMark/>
          </w:tcPr>
          <w:p w14:paraId="34CF67C8" w14:textId="77777777" w:rsidR="006D5289" w:rsidRDefault="006D5289">
            <w:pPr>
              <w:pStyle w:val="TableText"/>
              <w:rPr>
                <w:b/>
                <w:bCs/>
              </w:rPr>
            </w:pPr>
            <w:r>
              <w:rPr>
                <w:b/>
                <w:bCs/>
              </w:rPr>
              <w:t>Health-adjusted life expectancy improves over time</w:t>
            </w:r>
          </w:p>
        </w:tc>
      </w:tr>
      <w:tr w:rsidR="006D5289" w14:paraId="23F516D3" w14:textId="77777777" w:rsidTr="006D5289">
        <w:trPr>
          <w:gridAfter w:val="1"/>
          <w:wAfter w:w="10" w:type="dxa"/>
        </w:trPr>
        <w:tc>
          <w:tcPr>
            <w:tcW w:w="1407" w:type="dxa"/>
            <w:gridSpan w:val="2"/>
            <w:tcBorders>
              <w:top w:val="nil"/>
              <w:left w:val="nil"/>
              <w:bottom w:val="single" w:sz="4" w:space="0" w:color="A6A6A6" w:themeColor="background1" w:themeShade="A6"/>
              <w:right w:val="nil"/>
            </w:tcBorders>
            <w:hideMark/>
          </w:tcPr>
          <w:p w14:paraId="4110E197" w14:textId="77777777" w:rsidR="006D5289" w:rsidRDefault="006D5289" w:rsidP="006D5289">
            <w:pPr>
              <w:pStyle w:val="TableText"/>
              <w:rPr>
                <w:b/>
                <w:bCs/>
              </w:rPr>
            </w:pPr>
            <w:r>
              <w:rPr>
                <w:b/>
                <w:bCs/>
              </w:rPr>
              <w:t>Measures</w:t>
            </w:r>
          </w:p>
        </w:tc>
        <w:tc>
          <w:tcPr>
            <w:tcW w:w="6662" w:type="dxa"/>
            <w:gridSpan w:val="10"/>
            <w:tcBorders>
              <w:top w:val="nil"/>
              <w:left w:val="nil"/>
              <w:bottom w:val="single" w:sz="4" w:space="0" w:color="A6A6A6" w:themeColor="background1" w:themeShade="A6"/>
              <w:right w:val="nil"/>
            </w:tcBorders>
            <w:hideMark/>
          </w:tcPr>
          <w:p w14:paraId="3FAB269C" w14:textId="72B47758" w:rsidR="006D5289" w:rsidRPr="006D5289" w:rsidRDefault="006D5289" w:rsidP="006D5289">
            <w:pPr>
              <w:pStyle w:val="TableText"/>
            </w:pPr>
            <w:r w:rsidRPr="006D5289">
              <w:t>Health-adjusted life expectancy is the number of years a person at birth can expect to live at a given age in good health taking into account mortality and disability.</w:t>
            </w:r>
          </w:p>
        </w:tc>
      </w:tr>
      <w:tr w:rsidR="006D5289" w14:paraId="168594E4" w14:textId="77777777" w:rsidTr="006D5289">
        <w:trPr>
          <w:gridAfter w:val="1"/>
          <w:wAfter w:w="10" w:type="dxa"/>
        </w:trPr>
        <w:tc>
          <w:tcPr>
            <w:tcW w:w="1407" w:type="dxa"/>
            <w:gridSpan w:val="2"/>
            <w:tcBorders>
              <w:top w:val="single" w:sz="4" w:space="0" w:color="A6A6A6" w:themeColor="background1" w:themeShade="A6"/>
              <w:left w:val="nil"/>
              <w:bottom w:val="single" w:sz="4" w:space="0" w:color="A6A6A6" w:themeColor="background1" w:themeShade="A6"/>
              <w:right w:val="nil"/>
            </w:tcBorders>
            <w:hideMark/>
          </w:tcPr>
          <w:p w14:paraId="0C796290" w14:textId="77777777" w:rsidR="006D5289" w:rsidRDefault="006D5289" w:rsidP="006D5289">
            <w:pPr>
              <w:pStyle w:val="TableText"/>
              <w:rPr>
                <w:b/>
                <w:bCs/>
              </w:rPr>
            </w:pPr>
            <w:r>
              <w:rPr>
                <w:b/>
                <w:bCs/>
              </w:rPr>
              <w:t>Target</w:t>
            </w:r>
          </w:p>
        </w:tc>
        <w:tc>
          <w:tcPr>
            <w:tcW w:w="6662" w:type="dxa"/>
            <w:gridSpan w:val="10"/>
            <w:tcBorders>
              <w:top w:val="single" w:sz="4" w:space="0" w:color="A6A6A6" w:themeColor="background1" w:themeShade="A6"/>
              <w:left w:val="nil"/>
              <w:bottom w:val="single" w:sz="4" w:space="0" w:color="A6A6A6" w:themeColor="background1" w:themeShade="A6"/>
              <w:right w:val="nil"/>
            </w:tcBorders>
            <w:hideMark/>
          </w:tcPr>
          <w:p w14:paraId="27C6F3D9" w14:textId="679752F2" w:rsidR="006D5289" w:rsidRPr="006D5289" w:rsidRDefault="006D5289" w:rsidP="006D5289">
            <w:pPr>
              <w:pStyle w:val="TableText"/>
            </w:pPr>
            <w:r w:rsidRPr="006D5289">
              <w:t>Improved results for males and females.</w:t>
            </w:r>
          </w:p>
        </w:tc>
      </w:tr>
      <w:tr w:rsidR="006D5289" w14:paraId="6A35AA8A" w14:textId="77777777" w:rsidTr="006D5289">
        <w:trPr>
          <w:gridAfter w:val="1"/>
          <w:wAfter w:w="10" w:type="dxa"/>
        </w:trPr>
        <w:tc>
          <w:tcPr>
            <w:tcW w:w="1407" w:type="dxa"/>
            <w:gridSpan w:val="2"/>
            <w:tcBorders>
              <w:top w:val="single" w:sz="4" w:space="0" w:color="A6A6A6" w:themeColor="background1" w:themeShade="A6"/>
              <w:left w:val="nil"/>
              <w:bottom w:val="single" w:sz="4" w:space="0" w:color="A6A6A6" w:themeColor="background1" w:themeShade="A6"/>
              <w:right w:val="nil"/>
            </w:tcBorders>
            <w:hideMark/>
          </w:tcPr>
          <w:p w14:paraId="1DADA621" w14:textId="77777777" w:rsidR="006D5289" w:rsidRDefault="006D5289" w:rsidP="006D5289">
            <w:pPr>
              <w:pStyle w:val="TableText"/>
              <w:rPr>
                <w:b/>
                <w:bCs/>
              </w:rPr>
            </w:pPr>
            <w:r>
              <w:rPr>
                <w:b/>
                <w:bCs/>
              </w:rPr>
              <w:t>Results</w:t>
            </w:r>
          </w:p>
        </w:tc>
        <w:tc>
          <w:tcPr>
            <w:tcW w:w="6662" w:type="dxa"/>
            <w:gridSpan w:val="10"/>
            <w:tcBorders>
              <w:top w:val="single" w:sz="4" w:space="0" w:color="A6A6A6" w:themeColor="background1" w:themeShade="A6"/>
              <w:left w:val="nil"/>
              <w:bottom w:val="single" w:sz="4" w:space="0" w:color="A6A6A6" w:themeColor="background1" w:themeShade="A6"/>
              <w:right w:val="nil"/>
            </w:tcBorders>
            <w:hideMark/>
          </w:tcPr>
          <w:p w14:paraId="29CAF56A" w14:textId="02524129" w:rsidR="006D5289" w:rsidRPr="006D5289" w:rsidRDefault="006D5289" w:rsidP="006D5289">
            <w:pPr>
              <w:pStyle w:val="TableText"/>
            </w:pPr>
            <w:r w:rsidRPr="006D5289">
              <w:t>People in New Zealand live longer in good health but spend a higher proportion of their lives with disability.</w:t>
            </w:r>
          </w:p>
        </w:tc>
      </w:tr>
      <w:tr w:rsidR="006D5289" w14:paraId="4A2E1A32" w14:textId="77777777" w:rsidTr="006D5289">
        <w:trPr>
          <w:gridAfter w:val="1"/>
          <w:wAfter w:w="10" w:type="dxa"/>
        </w:trPr>
        <w:tc>
          <w:tcPr>
            <w:tcW w:w="8069" w:type="dxa"/>
            <w:gridSpan w:val="12"/>
            <w:tcBorders>
              <w:top w:val="single" w:sz="4" w:space="0" w:color="A6A6A6" w:themeColor="background1" w:themeShade="A6"/>
              <w:left w:val="nil"/>
              <w:bottom w:val="single" w:sz="4" w:space="0" w:color="A6A6A6" w:themeColor="background1" w:themeShade="A6"/>
              <w:right w:val="nil"/>
            </w:tcBorders>
            <w:shd w:val="clear" w:color="auto" w:fill="FFFFFF" w:themeFill="background1"/>
            <w:hideMark/>
          </w:tcPr>
          <w:p w14:paraId="27DC5177" w14:textId="5003C989" w:rsidR="006D5289" w:rsidRDefault="00240F96">
            <w:pPr>
              <w:pStyle w:val="TableText"/>
              <w:rPr>
                <w:b/>
                <w:bCs/>
              </w:rPr>
            </w:pPr>
            <w:r w:rsidRPr="00240F96">
              <w:rPr>
                <w:b/>
                <w:bCs/>
              </w:rPr>
              <w:t xml:space="preserve">Health-adjusted life expectancy (years) </w:t>
            </w:r>
            <w:r w:rsidR="006D5289">
              <w:rPr>
                <w:rStyle w:val="FootnoteReference"/>
                <w:b/>
                <w:bCs/>
              </w:rPr>
              <w:footnoteReference w:id="26"/>
            </w:r>
            <w:r w:rsidR="006D5289" w:rsidRPr="006D5289">
              <w:rPr>
                <w:b/>
                <w:bCs/>
                <w:vertAlign w:val="superscript"/>
              </w:rPr>
              <w:t>,</w:t>
            </w:r>
            <w:r w:rsidR="006D5289">
              <w:rPr>
                <w:b/>
                <w:bCs/>
              </w:rPr>
              <w:t xml:space="preserve"> </w:t>
            </w:r>
            <w:r w:rsidR="006D5289">
              <w:rPr>
                <w:rStyle w:val="FootnoteReference"/>
                <w:b/>
                <w:bCs/>
              </w:rPr>
              <w:footnoteReference w:id="27"/>
            </w:r>
          </w:p>
        </w:tc>
      </w:tr>
      <w:tr w:rsidR="006D5289" w14:paraId="5A435948" w14:textId="25FF9510" w:rsidTr="006D5289">
        <w:tc>
          <w:tcPr>
            <w:tcW w:w="78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65AFD371" w14:textId="77777777" w:rsidR="006D5289" w:rsidRPr="004F1B86" w:rsidRDefault="006D5289" w:rsidP="006D5289">
            <w:pPr>
              <w:pStyle w:val="TableText"/>
              <w:rPr>
                <w:sz w:val="16"/>
                <w:szCs w:val="16"/>
              </w:rPr>
            </w:pPr>
          </w:p>
        </w:tc>
        <w:tc>
          <w:tcPr>
            <w:tcW w:w="729"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254F89BE" w14:textId="215BD340" w:rsidR="006D5289" w:rsidRPr="004F1B86" w:rsidRDefault="006D5289" w:rsidP="006D5289">
            <w:pPr>
              <w:pStyle w:val="TableText"/>
              <w:jc w:val="right"/>
              <w:rPr>
                <w:b/>
                <w:bCs/>
                <w:sz w:val="16"/>
                <w:szCs w:val="16"/>
              </w:rPr>
            </w:pPr>
            <w:r w:rsidRPr="004F1B86">
              <w:rPr>
                <w:b/>
                <w:bCs/>
                <w:sz w:val="16"/>
                <w:szCs w:val="16"/>
              </w:rPr>
              <w:t>1990</w:t>
            </w:r>
          </w:p>
        </w:tc>
        <w:tc>
          <w:tcPr>
            <w:tcW w:w="73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776402E1" w14:textId="2C8D022E" w:rsidR="006D5289" w:rsidRPr="004F1B86" w:rsidRDefault="006D5289" w:rsidP="006D5289">
            <w:pPr>
              <w:pStyle w:val="TableText"/>
              <w:jc w:val="right"/>
              <w:rPr>
                <w:b/>
                <w:bCs/>
                <w:sz w:val="16"/>
                <w:szCs w:val="16"/>
              </w:rPr>
            </w:pPr>
            <w:r w:rsidRPr="004F1B86">
              <w:rPr>
                <w:b/>
                <w:bCs/>
                <w:sz w:val="16"/>
                <w:szCs w:val="16"/>
              </w:rPr>
              <w:t>2000</w:t>
            </w:r>
          </w:p>
        </w:tc>
        <w:tc>
          <w:tcPr>
            <w:tcW w:w="729"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52CF6F2B" w14:textId="70D8403B" w:rsidR="006D5289" w:rsidRPr="004F1B86" w:rsidRDefault="006D5289" w:rsidP="006D5289">
            <w:pPr>
              <w:pStyle w:val="TableText"/>
              <w:jc w:val="right"/>
              <w:rPr>
                <w:b/>
                <w:bCs/>
                <w:sz w:val="16"/>
                <w:szCs w:val="16"/>
              </w:rPr>
            </w:pPr>
            <w:r w:rsidRPr="004F1B86">
              <w:rPr>
                <w:b/>
                <w:bCs/>
                <w:sz w:val="16"/>
                <w:szCs w:val="16"/>
              </w:rPr>
              <w:t>2010</w:t>
            </w:r>
          </w:p>
        </w:tc>
        <w:tc>
          <w:tcPr>
            <w:tcW w:w="73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7AE8A127" w14:textId="2F620CE6" w:rsidR="006D5289" w:rsidRPr="004F1B86" w:rsidRDefault="006D5289" w:rsidP="006D5289">
            <w:pPr>
              <w:pStyle w:val="TableText"/>
              <w:jc w:val="right"/>
              <w:rPr>
                <w:b/>
                <w:bCs/>
                <w:sz w:val="16"/>
                <w:szCs w:val="16"/>
              </w:rPr>
            </w:pPr>
            <w:r w:rsidRPr="004F1B86">
              <w:rPr>
                <w:b/>
                <w:bCs/>
                <w:sz w:val="16"/>
                <w:szCs w:val="16"/>
              </w:rPr>
              <w:t>2015</w:t>
            </w:r>
          </w:p>
        </w:tc>
        <w:tc>
          <w:tcPr>
            <w:tcW w:w="729"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497B61E2" w14:textId="0AE4FBFB" w:rsidR="006D5289" w:rsidRPr="004F1B86" w:rsidRDefault="006D5289" w:rsidP="006D5289">
            <w:pPr>
              <w:pStyle w:val="TableText"/>
              <w:jc w:val="right"/>
              <w:rPr>
                <w:b/>
                <w:bCs/>
                <w:sz w:val="16"/>
                <w:szCs w:val="16"/>
              </w:rPr>
            </w:pPr>
            <w:r w:rsidRPr="004F1B86">
              <w:rPr>
                <w:b/>
                <w:bCs/>
                <w:sz w:val="16"/>
                <w:szCs w:val="16"/>
              </w:rPr>
              <w:t>2016</w:t>
            </w:r>
          </w:p>
        </w:tc>
        <w:tc>
          <w:tcPr>
            <w:tcW w:w="73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1D66F9BD" w14:textId="55201FA9" w:rsidR="006D5289" w:rsidRPr="004F1B86" w:rsidRDefault="006D5289" w:rsidP="006D5289">
            <w:pPr>
              <w:pStyle w:val="TableText"/>
              <w:jc w:val="right"/>
              <w:rPr>
                <w:b/>
                <w:bCs/>
                <w:sz w:val="16"/>
                <w:szCs w:val="16"/>
              </w:rPr>
            </w:pPr>
            <w:r w:rsidRPr="004F1B86">
              <w:rPr>
                <w:b/>
                <w:bCs/>
                <w:sz w:val="16"/>
                <w:szCs w:val="16"/>
              </w:rPr>
              <w:t>2017</w:t>
            </w:r>
          </w:p>
        </w:tc>
        <w:tc>
          <w:tcPr>
            <w:tcW w:w="729"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12878AF3" w14:textId="50C61F14" w:rsidR="006D5289" w:rsidRPr="004F1B86" w:rsidRDefault="006D5289" w:rsidP="006D5289">
            <w:pPr>
              <w:pStyle w:val="TableText"/>
              <w:jc w:val="right"/>
              <w:rPr>
                <w:b/>
                <w:bCs/>
                <w:sz w:val="16"/>
                <w:szCs w:val="16"/>
              </w:rPr>
            </w:pPr>
            <w:r w:rsidRPr="004F1B86">
              <w:rPr>
                <w:b/>
                <w:bCs/>
                <w:sz w:val="16"/>
                <w:szCs w:val="16"/>
              </w:rPr>
              <w:t>2018</w:t>
            </w:r>
          </w:p>
        </w:tc>
        <w:tc>
          <w:tcPr>
            <w:tcW w:w="73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74EA4419" w14:textId="1F4E3D62" w:rsidR="006D5289" w:rsidRPr="004F1B86" w:rsidRDefault="006D5289" w:rsidP="006D5289">
            <w:pPr>
              <w:pStyle w:val="TableText"/>
              <w:jc w:val="right"/>
              <w:rPr>
                <w:b/>
                <w:bCs/>
                <w:sz w:val="16"/>
                <w:szCs w:val="16"/>
              </w:rPr>
            </w:pPr>
            <w:r w:rsidRPr="004F1B86">
              <w:rPr>
                <w:b/>
                <w:bCs/>
                <w:sz w:val="16"/>
                <w:szCs w:val="16"/>
              </w:rPr>
              <w:t>2019</w:t>
            </w:r>
          </w:p>
        </w:tc>
        <w:tc>
          <w:tcPr>
            <w:tcW w:w="729"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59064F0B" w14:textId="0D31676E" w:rsidR="006D5289" w:rsidRPr="004F1B86" w:rsidRDefault="006D5289" w:rsidP="006D5289">
            <w:pPr>
              <w:pStyle w:val="TableText"/>
              <w:jc w:val="right"/>
              <w:rPr>
                <w:b/>
                <w:bCs/>
                <w:sz w:val="16"/>
                <w:szCs w:val="16"/>
              </w:rPr>
            </w:pPr>
            <w:r w:rsidRPr="004F1B86">
              <w:rPr>
                <w:b/>
                <w:bCs/>
                <w:sz w:val="16"/>
                <w:szCs w:val="16"/>
              </w:rPr>
              <w:t>2020</w:t>
            </w:r>
          </w:p>
        </w:tc>
        <w:tc>
          <w:tcPr>
            <w:tcW w:w="730"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621336BB" w14:textId="3B59ACB8" w:rsidR="006D5289" w:rsidRPr="004F1B86" w:rsidRDefault="006D5289" w:rsidP="006D5289">
            <w:pPr>
              <w:pStyle w:val="TableText"/>
              <w:jc w:val="right"/>
              <w:rPr>
                <w:b/>
                <w:bCs/>
                <w:sz w:val="16"/>
                <w:szCs w:val="16"/>
              </w:rPr>
            </w:pPr>
            <w:r w:rsidRPr="004F1B86">
              <w:rPr>
                <w:b/>
                <w:bCs/>
                <w:sz w:val="16"/>
                <w:szCs w:val="16"/>
              </w:rPr>
              <w:t>2021</w:t>
            </w:r>
          </w:p>
        </w:tc>
      </w:tr>
      <w:tr w:rsidR="006D5289" w14:paraId="401BCD95" w14:textId="162786B1" w:rsidTr="006D5289">
        <w:tc>
          <w:tcPr>
            <w:tcW w:w="784" w:type="dxa"/>
            <w:tcBorders>
              <w:top w:val="single" w:sz="4" w:space="0" w:color="A6A6A6" w:themeColor="background1" w:themeShade="A6"/>
              <w:left w:val="nil"/>
              <w:bottom w:val="single" w:sz="4" w:space="0" w:color="A6A6A6" w:themeColor="background1" w:themeShade="A6"/>
              <w:right w:val="nil"/>
            </w:tcBorders>
            <w:hideMark/>
          </w:tcPr>
          <w:p w14:paraId="64C51611" w14:textId="77777777" w:rsidR="006D5289" w:rsidRPr="004F1B86" w:rsidRDefault="006D5289" w:rsidP="006D5289">
            <w:pPr>
              <w:pStyle w:val="TableText"/>
              <w:rPr>
                <w:sz w:val="16"/>
                <w:szCs w:val="16"/>
              </w:rPr>
            </w:pPr>
            <w:r w:rsidRPr="004F1B86">
              <w:rPr>
                <w:sz w:val="16"/>
                <w:szCs w:val="16"/>
              </w:rPr>
              <w:t>Female</w:t>
            </w:r>
          </w:p>
        </w:tc>
        <w:tc>
          <w:tcPr>
            <w:tcW w:w="729" w:type="dxa"/>
            <w:gridSpan w:val="2"/>
            <w:tcBorders>
              <w:top w:val="single" w:sz="4" w:space="0" w:color="A6A6A6" w:themeColor="background1" w:themeShade="A6"/>
              <w:left w:val="nil"/>
              <w:bottom w:val="single" w:sz="4" w:space="0" w:color="A6A6A6" w:themeColor="background1" w:themeShade="A6"/>
              <w:right w:val="nil"/>
            </w:tcBorders>
            <w:hideMark/>
          </w:tcPr>
          <w:p w14:paraId="77EC6E21" w14:textId="6139B545" w:rsidR="006D5289" w:rsidRPr="004F1B86" w:rsidRDefault="006D5289" w:rsidP="006D5289">
            <w:pPr>
              <w:pStyle w:val="TableText"/>
              <w:jc w:val="right"/>
              <w:rPr>
                <w:sz w:val="16"/>
                <w:szCs w:val="16"/>
              </w:rPr>
            </w:pPr>
            <w:r w:rsidRPr="004F1B86">
              <w:rPr>
                <w:sz w:val="16"/>
                <w:szCs w:val="16"/>
              </w:rPr>
              <w:t>65.8</w:t>
            </w:r>
          </w:p>
        </w:tc>
        <w:tc>
          <w:tcPr>
            <w:tcW w:w="730" w:type="dxa"/>
            <w:tcBorders>
              <w:top w:val="single" w:sz="4" w:space="0" w:color="A6A6A6" w:themeColor="background1" w:themeShade="A6"/>
              <w:left w:val="nil"/>
              <w:bottom w:val="single" w:sz="4" w:space="0" w:color="A6A6A6" w:themeColor="background1" w:themeShade="A6"/>
              <w:right w:val="nil"/>
            </w:tcBorders>
            <w:hideMark/>
          </w:tcPr>
          <w:p w14:paraId="4449CDAB" w14:textId="6191ED18" w:rsidR="006D5289" w:rsidRPr="004F1B86" w:rsidRDefault="006D5289" w:rsidP="006D5289">
            <w:pPr>
              <w:pStyle w:val="TableText"/>
              <w:jc w:val="right"/>
              <w:rPr>
                <w:sz w:val="16"/>
                <w:szCs w:val="16"/>
              </w:rPr>
            </w:pPr>
            <w:r w:rsidRPr="004F1B86">
              <w:rPr>
                <w:sz w:val="16"/>
                <w:szCs w:val="16"/>
              </w:rPr>
              <w:t>68.1</w:t>
            </w:r>
          </w:p>
        </w:tc>
        <w:tc>
          <w:tcPr>
            <w:tcW w:w="729" w:type="dxa"/>
            <w:tcBorders>
              <w:top w:val="single" w:sz="4" w:space="0" w:color="A6A6A6" w:themeColor="background1" w:themeShade="A6"/>
              <w:left w:val="nil"/>
              <w:bottom w:val="single" w:sz="4" w:space="0" w:color="A6A6A6" w:themeColor="background1" w:themeShade="A6"/>
              <w:right w:val="nil"/>
            </w:tcBorders>
            <w:hideMark/>
          </w:tcPr>
          <w:p w14:paraId="5E63DF54" w14:textId="10620746" w:rsidR="006D5289" w:rsidRPr="004F1B86" w:rsidRDefault="006D5289" w:rsidP="006D5289">
            <w:pPr>
              <w:pStyle w:val="TableText"/>
              <w:jc w:val="right"/>
              <w:rPr>
                <w:sz w:val="16"/>
                <w:szCs w:val="16"/>
              </w:rPr>
            </w:pPr>
            <w:r w:rsidRPr="004F1B86">
              <w:rPr>
                <w:sz w:val="16"/>
                <w:szCs w:val="16"/>
              </w:rPr>
              <w:t>69.6</w:t>
            </w:r>
          </w:p>
        </w:tc>
        <w:tc>
          <w:tcPr>
            <w:tcW w:w="730" w:type="dxa"/>
            <w:tcBorders>
              <w:top w:val="single" w:sz="4" w:space="0" w:color="A6A6A6" w:themeColor="background1" w:themeShade="A6"/>
              <w:left w:val="nil"/>
              <w:bottom w:val="single" w:sz="4" w:space="0" w:color="A6A6A6" w:themeColor="background1" w:themeShade="A6"/>
              <w:right w:val="nil"/>
            </w:tcBorders>
            <w:hideMark/>
          </w:tcPr>
          <w:p w14:paraId="387B7AEC" w14:textId="58EFC42D" w:rsidR="006D5289" w:rsidRPr="004F1B86" w:rsidRDefault="006D5289" w:rsidP="006D5289">
            <w:pPr>
              <w:pStyle w:val="TableText"/>
              <w:jc w:val="right"/>
              <w:rPr>
                <w:sz w:val="16"/>
                <w:szCs w:val="16"/>
              </w:rPr>
            </w:pPr>
            <w:r w:rsidRPr="004F1B86">
              <w:rPr>
                <w:sz w:val="16"/>
                <w:szCs w:val="16"/>
              </w:rPr>
              <w:t>69.9</w:t>
            </w:r>
          </w:p>
        </w:tc>
        <w:tc>
          <w:tcPr>
            <w:tcW w:w="729" w:type="dxa"/>
            <w:tcBorders>
              <w:top w:val="single" w:sz="4" w:space="0" w:color="A6A6A6" w:themeColor="background1" w:themeShade="A6"/>
              <w:left w:val="nil"/>
              <w:bottom w:val="single" w:sz="4" w:space="0" w:color="A6A6A6" w:themeColor="background1" w:themeShade="A6"/>
              <w:right w:val="nil"/>
            </w:tcBorders>
            <w:hideMark/>
          </w:tcPr>
          <w:p w14:paraId="74278EAA" w14:textId="6FB10858" w:rsidR="006D5289" w:rsidRPr="004F1B86" w:rsidRDefault="006D5289" w:rsidP="006D5289">
            <w:pPr>
              <w:pStyle w:val="TableText"/>
              <w:jc w:val="right"/>
              <w:rPr>
                <w:sz w:val="16"/>
                <w:szCs w:val="16"/>
              </w:rPr>
            </w:pPr>
            <w:r w:rsidRPr="004F1B86">
              <w:rPr>
                <w:sz w:val="16"/>
                <w:szCs w:val="16"/>
              </w:rPr>
              <w:t>70.1</w:t>
            </w:r>
          </w:p>
        </w:tc>
        <w:tc>
          <w:tcPr>
            <w:tcW w:w="730" w:type="dxa"/>
            <w:tcBorders>
              <w:top w:val="single" w:sz="4" w:space="0" w:color="A6A6A6" w:themeColor="background1" w:themeShade="A6"/>
              <w:left w:val="nil"/>
              <w:bottom w:val="single" w:sz="4" w:space="0" w:color="A6A6A6" w:themeColor="background1" w:themeShade="A6"/>
              <w:right w:val="nil"/>
            </w:tcBorders>
            <w:hideMark/>
          </w:tcPr>
          <w:p w14:paraId="2C991548" w14:textId="3416E7D7" w:rsidR="006D5289" w:rsidRPr="004F1B86" w:rsidRDefault="006D5289" w:rsidP="006D5289">
            <w:pPr>
              <w:pStyle w:val="TableText"/>
              <w:jc w:val="right"/>
              <w:rPr>
                <w:sz w:val="16"/>
                <w:szCs w:val="16"/>
              </w:rPr>
            </w:pPr>
            <w:r w:rsidRPr="004F1B86">
              <w:rPr>
                <w:sz w:val="16"/>
                <w:szCs w:val="16"/>
              </w:rPr>
              <w:t>70.0</w:t>
            </w:r>
          </w:p>
        </w:tc>
        <w:tc>
          <w:tcPr>
            <w:tcW w:w="729" w:type="dxa"/>
            <w:tcBorders>
              <w:top w:val="single" w:sz="4" w:space="0" w:color="A6A6A6" w:themeColor="background1" w:themeShade="A6"/>
              <w:left w:val="nil"/>
              <w:bottom w:val="single" w:sz="4" w:space="0" w:color="A6A6A6" w:themeColor="background1" w:themeShade="A6"/>
              <w:right w:val="nil"/>
            </w:tcBorders>
            <w:hideMark/>
          </w:tcPr>
          <w:p w14:paraId="07D23903" w14:textId="508039E6" w:rsidR="006D5289" w:rsidRPr="004F1B86" w:rsidRDefault="006D5289" w:rsidP="006D5289">
            <w:pPr>
              <w:pStyle w:val="TableText"/>
              <w:jc w:val="right"/>
              <w:rPr>
                <w:sz w:val="16"/>
                <w:szCs w:val="16"/>
              </w:rPr>
            </w:pPr>
            <w:r w:rsidRPr="004F1B86">
              <w:rPr>
                <w:sz w:val="16"/>
                <w:szCs w:val="16"/>
              </w:rPr>
              <w:t>70.1</w:t>
            </w:r>
          </w:p>
        </w:tc>
        <w:tc>
          <w:tcPr>
            <w:tcW w:w="730" w:type="dxa"/>
            <w:tcBorders>
              <w:top w:val="single" w:sz="4" w:space="0" w:color="A6A6A6" w:themeColor="background1" w:themeShade="A6"/>
              <w:left w:val="nil"/>
              <w:bottom w:val="single" w:sz="4" w:space="0" w:color="A6A6A6" w:themeColor="background1" w:themeShade="A6"/>
              <w:right w:val="nil"/>
            </w:tcBorders>
            <w:hideMark/>
          </w:tcPr>
          <w:p w14:paraId="26E1D101" w14:textId="682815F2" w:rsidR="006D5289" w:rsidRPr="004F1B86" w:rsidRDefault="006D5289" w:rsidP="006D5289">
            <w:pPr>
              <w:pStyle w:val="TableText"/>
              <w:jc w:val="right"/>
              <w:rPr>
                <w:sz w:val="16"/>
                <w:szCs w:val="16"/>
              </w:rPr>
            </w:pPr>
            <w:r w:rsidRPr="004F1B86">
              <w:rPr>
                <w:sz w:val="16"/>
                <w:szCs w:val="16"/>
              </w:rPr>
              <w:t>70.2</w:t>
            </w:r>
          </w:p>
        </w:tc>
        <w:tc>
          <w:tcPr>
            <w:tcW w:w="729" w:type="dxa"/>
            <w:tcBorders>
              <w:top w:val="single" w:sz="4" w:space="0" w:color="A6A6A6" w:themeColor="background1" w:themeShade="A6"/>
              <w:left w:val="nil"/>
              <w:bottom w:val="single" w:sz="4" w:space="0" w:color="A6A6A6" w:themeColor="background1" w:themeShade="A6"/>
              <w:right w:val="nil"/>
            </w:tcBorders>
          </w:tcPr>
          <w:p w14:paraId="0566F737" w14:textId="7A43ECCD" w:rsidR="006D5289" w:rsidRPr="004F1B86" w:rsidRDefault="006D5289" w:rsidP="006D5289">
            <w:pPr>
              <w:pStyle w:val="TableText"/>
              <w:jc w:val="right"/>
              <w:rPr>
                <w:sz w:val="16"/>
                <w:szCs w:val="16"/>
              </w:rPr>
            </w:pPr>
            <w:r w:rsidRPr="004F1B86">
              <w:rPr>
                <w:sz w:val="16"/>
                <w:szCs w:val="16"/>
              </w:rPr>
              <w:t>70.7</w:t>
            </w:r>
          </w:p>
        </w:tc>
        <w:tc>
          <w:tcPr>
            <w:tcW w:w="730" w:type="dxa"/>
            <w:gridSpan w:val="2"/>
            <w:tcBorders>
              <w:top w:val="single" w:sz="4" w:space="0" w:color="A6A6A6" w:themeColor="background1" w:themeShade="A6"/>
              <w:left w:val="nil"/>
              <w:bottom w:val="single" w:sz="4" w:space="0" w:color="A6A6A6" w:themeColor="background1" w:themeShade="A6"/>
              <w:right w:val="nil"/>
            </w:tcBorders>
          </w:tcPr>
          <w:p w14:paraId="5A26B453" w14:textId="1AE06C23" w:rsidR="006D5289" w:rsidRPr="004F1B86" w:rsidRDefault="006D5289" w:rsidP="006D5289">
            <w:pPr>
              <w:pStyle w:val="TableText"/>
              <w:jc w:val="right"/>
              <w:rPr>
                <w:sz w:val="16"/>
                <w:szCs w:val="16"/>
              </w:rPr>
            </w:pPr>
            <w:r w:rsidRPr="004F1B86">
              <w:rPr>
                <w:sz w:val="16"/>
                <w:szCs w:val="16"/>
              </w:rPr>
              <w:t>70.4</w:t>
            </w:r>
          </w:p>
        </w:tc>
      </w:tr>
      <w:tr w:rsidR="006D5289" w14:paraId="04A798D5" w14:textId="19E0A899" w:rsidTr="006D5289">
        <w:tc>
          <w:tcPr>
            <w:tcW w:w="784" w:type="dxa"/>
            <w:tcBorders>
              <w:top w:val="single" w:sz="4" w:space="0" w:color="A6A6A6" w:themeColor="background1" w:themeShade="A6"/>
              <w:left w:val="nil"/>
              <w:bottom w:val="single" w:sz="4" w:space="0" w:color="A6A6A6" w:themeColor="background1" w:themeShade="A6"/>
              <w:right w:val="nil"/>
            </w:tcBorders>
            <w:hideMark/>
          </w:tcPr>
          <w:p w14:paraId="05AAAC24" w14:textId="77777777" w:rsidR="006D5289" w:rsidRPr="004F1B86" w:rsidRDefault="006D5289" w:rsidP="006D5289">
            <w:pPr>
              <w:pStyle w:val="TableText"/>
              <w:rPr>
                <w:sz w:val="16"/>
                <w:szCs w:val="16"/>
              </w:rPr>
            </w:pPr>
            <w:r w:rsidRPr="004F1B86">
              <w:rPr>
                <w:sz w:val="16"/>
                <w:szCs w:val="16"/>
              </w:rPr>
              <w:t>Male</w:t>
            </w:r>
          </w:p>
        </w:tc>
        <w:tc>
          <w:tcPr>
            <w:tcW w:w="729" w:type="dxa"/>
            <w:gridSpan w:val="2"/>
            <w:tcBorders>
              <w:top w:val="single" w:sz="4" w:space="0" w:color="A6A6A6" w:themeColor="background1" w:themeShade="A6"/>
              <w:left w:val="nil"/>
              <w:bottom w:val="single" w:sz="4" w:space="0" w:color="A6A6A6" w:themeColor="background1" w:themeShade="A6"/>
              <w:right w:val="nil"/>
            </w:tcBorders>
            <w:hideMark/>
          </w:tcPr>
          <w:p w14:paraId="7F9AA0D7" w14:textId="542B570A" w:rsidR="006D5289" w:rsidRPr="004F1B86" w:rsidRDefault="006D5289" w:rsidP="006D5289">
            <w:pPr>
              <w:pStyle w:val="TableText"/>
              <w:jc w:val="right"/>
              <w:rPr>
                <w:sz w:val="16"/>
                <w:szCs w:val="16"/>
              </w:rPr>
            </w:pPr>
            <w:r w:rsidRPr="004F1B86">
              <w:rPr>
                <w:sz w:val="16"/>
                <w:szCs w:val="16"/>
              </w:rPr>
              <w:t>63.2</w:t>
            </w:r>
          </w:p>
        </w:tc>
        <w:tc>
          <w:tcPr>
            <w:tcW w:w="730" w:type="dxa"/>
            <w:tcBorders>
              <w:top w:val="single" w:sz="4" w:space="0" w:color="A6A6A6" w:themeColor="background1" w:themeShade="A6"/>
              <w:left w:val="nil"/>
              <w:bottom w:val="single" w:sz="4" w:space="0" w:color="A6A6A6" w:themeColor="background1" w:themeShade="A6"/>
              <w:right w:val="nil"/>
            </w:tcBorders>
            <w:hideMark/>
          </w:tcPr>
          <w:p w14:paraId="6A19480C" w14:textId="0DC52388" w:rsidR="006D5289" w:rsidRPr="004F1B86" w:rsidRDefault="006D5289" w:rsidP="006D5289">
            <w:pPr>
              <w:pStyle w:val="TableText"/>
              <w:jc w:val="right"/>
              <w:rPr>
                <w:sz w:val="16"/>
                <w:szCs w:val="16"/>
              </w:rPr>
            </w:pPr>
            <w:r w:rsidRPr="004F1B86">
              <w:rPr>
                <w:sz w:val="16"/>
                <w:szCs w:val="16"/>
              </w:rPr>
              <w:t>66.2</w:t>
            </w:r>
          </w:p>
        </w:tc>
        <w:tc>
          <w:tcPr>
            <w:tcW w:w="729" w:type="dxa"/>
            <w:tcBorders>
              <w:top w:val="single" w:sz="4" w:space="0" w:color="A6A6A6" w:themeColor="background1" w:themeShade="A6"/>
              <w:left w:val="nil"/>
              <w:bottom w:val="single" w:sz="4" w:space="0" w:color="A6A6A6" w:themeColor="background1" w:themeShade="A6"/>
              <w:right w:val="nil"/>
            </w:tcBorders>
            <w:hideMark/>
          </w:tcPr>
          <w:p w14:paraId="66EDDC95" w14:textId="560CB74F" w:rsidR="006D5289" w:rsidRPr="004F1B86" w:rsidRDefault="006D5289" w:rsidP="006D5289">
            <w:pPr>
              <w:pStyle w:val="TableText"/>
              <w:jc w:val="right"/>
              <w:rPr>
                <w:sz w:val="16"/>
                <w:szCs w:val="16"/>
              </w:rPr>
            </w:pPr>
            <w:r w:rsidRPr="004F1B86">
              <w:rPr>
                <w:sz w:val="16"/>
                <w:szCs w:val="16"/>
              </w:rPr>
              <w:t>68.7</w:t>
            </w:r>
          </w:p>
        </w:tc>
        <w:tc>
          <w:tcPr>
            <w:tcW w:w="730" w:type="dxa"/>
            <w:tcBorders>
              <w:top w:val="single" w:sz="4" w:space="0" w:color="A6A6A6" w:themeColor="background1" w:themeShade="A6"/>
              <w:left w:val="nil"/>
              <w:bottom w:val="single" w:sz="4" w:space="0" w:color="A6A6A6" w:themeColor="background1" w:themeShade="A6"/>
              <w:right w:val="nil"/>
            </w:tcBorders>
            <w:hideMark/>
          </w:tcPr>
          <w:p w14:paraId="4E34335E" w14:textId="19C319A2" w:rsidR="006D5289" w:rsidRPr="004F1B86" w:rsidRDefault="006D5289" w:rsidP="006D5289">
            <w:pPr>
              <w:pStyle w:val="TableText"/>
              <w:jc w:val="right"/>
              <w:rPr>
                <w:sz w:val="16"/>
                <w:szCs w:val="16"/>
              </w:rPr>
            </w:pPr>
            <w:r w:rsidRPr="004F1B86">
              <w:rPr>
                <w:sz w:val="16"/>
                <w:szCs w:val="16"/>
              </w:rPr>
              <w:t>69.2</w:t>
            </w:r>
          </w:p>
        </w:tc>
        <w:tc>
          <w:tcPr>
            <w:tcW w:w="729" w:type="dxa"/>
            <w:tcBorders>
              <w:top w:val="single" w:sz="4" w:space="0" w:color="A6A6A6" w:themeColor="background1" w:themeShade="A6"/>
              <w:left w:val="nil"/>
              <w:bottom w:val="single" w:sz="4" w:space="0" w:color="A6A6A6" w:themeColor="background1" w:themeShade="A6"/>
              <w:right w:val="nil"/>
            </w:tcBorders>
            <w:hideMark/>
          </w:tcPr>
          <w:p w14:paraId="43A384ED" w14:textId="63416D67" w:rsidR="006D5289" w:rsidRPr="004F1B86" w:rsidRDefault="006D5289" w:rsidP="006D5289">
            <w:pPr>
              <w:pStyle w:val="TableText"/>
              <w:jc w:val="right"/>
              <w:rPr>
                <w:sz w:val="16"/>
                <w:szCs w:val="16"/>
              </w:rPr>
            </w:pPr>
            <w:r w:rsidRPr="004F1B86">
              <w:rPr>
                <w:sz w:val="16"/>
                <w:szCs w:val="16"/>
              </w:rPr>
              <w:t>69.4</w:t>
            </w:r>
          </w:p>
        </w:tc>
        <w:tc>
          <w:tcPr>
            <w:tcW w:w="730" w:type="dxa"/>
            <w:tcBorders>
              <w:top w:val="single" w:sz="4" w:space="0" w:color="A6A6A6" w:themeColor="background1" w:themeShade="A6"/>
              <w:left w:val="nil"/>
              <w:bottom w:val="single" w:sz="4" w:space="0" w:color="A6A6A6" w:themeColor="background1" w:themeShade="A6"/>
              <w:right w:val="nil"/>
            </w:tcBorders>
            <w:hideMark/>
          </w:tcPr>
          <w:p w14:paraId="732F4186" w14:textId="3B911005" w:rsidR="006D5289" w:rsidRPr="004F1B86" w:rsidRDefault="006D5289" w:rsidP="006D5289">
            <w:pPr>
              <w:pStyle w:val="TableText"/>
              <w:jc w:val="right"/>
              <w:rPr>
                <w:sz w:val="16"/>
                <w:szCs w:val="16"/>
              </w:rPr>
            </w:pPr>
            <w:r w:rsidRPr="004F1B86">
              <w:rPr>
                <w:sz w:val="16"/>
                <w:szCs w:val="16"/>
              </w:rPr>
              <w:t>69.4</w:t>
            </w:r>
          </w:p>
        </w:tc>
        <w:tc>
          <w:tcPr>
            <w:tcW w:w="729" w:type="dxa"/>
            <w:tcBorders>
              <w:top w:val="single" w:sz="4" w:space="0" w:color="A6A6A6" w:themeColor="background1" w:themeShade="A6"/>
              <w:left w:val="nil"/>
              <w:bottom w:val="single" w:sz="4" w:space="0" w:color="A6A6A6" w:themeColor="background1" w:themeShade="A6"/>
              <w:right w:val="nil"/>
            </w:tcBorders>
            <w:hideMark/>
          </w:tcPr>
          <w:p w14:paraId="76F1B22E" w14:textId="424B5AA7" w:rsidR="006D5289" w:rsidRPr="004F1B86" w:rsidRDefault="006D5289" w:rsidP="006D5289">
            <w:pPr>
              <w:pStyle w:val="TableText"/>
              <w:jc w:val="right"/>
              <w:rPr>
                <w:sz w:val="16"/>
                <w:szCs w:val="16"/>
              </w:rPr>
            </w:pPr>
            <w:r w:rsidRPr="004F1B86">
              <w:rPr>
                <w:sz w:val="16"/>
                <w:szCs w:val="16"/>
              </w:rPr>
              <w:t>69.5</w:t>
            </w:r>
          </w:p>
        </w:tc>
        <w:tc>
          <w:tcPr>
            <w:tcW w:w="730" w:type="dxa"/>
            <w:tcBorders>
              <w:top w:val="single" w:sz="4" w:space="0" w:color="A6A6A6" w:themeColor="background1" w:themeShade="A6"/>
              <w:left w:val="nil"/>
              <w:bottom w:val="single" w:sz="4" w:space="0" w:color="A6A6A6" w:themeColor="background1" w:themeShade="A6"/>
              <w:right w:val="nil"/>
            </w:tcBorders>
            <w:hideMark/>
          </w:tcPr>
          <w:p w14:paraId="314D7C55" w14:textId="68B07A13" w:rsidR="006D5289" w:rsidRPr="004F1B86" w:rsidRDefault="006D5289" w:rsidP="006D5289">
            <w:pPr>
              <w:pStyle w:val="TableText"/>
              <w:jc w:val="right"/>
              <w:rPr>
                <w:sz w:val="16"/>
                <w:szCs w:val="16"/>
              </w:rPr>
            </w:pPr>
            <w:r w:rsidRPr="004F1B86">
              <w:rPr>
                <w:sz w:val="16"/>
                <w:szCs w:val="16"/>
              </w:rPr>
              <w:t>69.4</w:t>
            </w:r>
          </w:p>
        </w:tc>
        <w:tc>
          <w:tcPr>
            <w:tcW w:w="729" w:type="dxa"/>
            <w:tcBorders>
              <w:top w:val="single" w:sz="4" w:space="0" w:color="A6A6A6" w:themeColor="background1" w:themeShade="A6"/>
              <w:left w:val="nil"/>
              <w:bottom w:val="single" w:sz="4" w:space="0" w:color="A6A6A6" w:themeColor="background1" w:themeShade="A6"/>
              <w:right w:val="nil"/>
            </w:tcBorders>
          </w:tcPr>
          <w:p w14:paraId="5AB0C441" w14:textId="2EA13157" w:rsidR="006D5289" w:rsidRPr="004F1B86" w:rsidRDefault="006D5289" w:rsidP="006D5289">
            <w:pPr>
              <w:pStyle w:val="TableText"/>
              <w:jc w:val="right"/>
              <w:rPr>
                <w:sz w:val="16"/>
                <w:szCs w:val="16"/>
              </w:rPr>
            </w:pPr>
            <w:r w:rsidRPr="004F1B86">
              <w:rPr>
                <w:sz w:val="16"/>
                <w:szCs w:val="16"/>
              </w:rPr>
              <w:t>69.8</w:t>
            </w:r>
          </w:p>
        </w:tc>
        <w:tc>
          <w:tcPr>
            <w:tcW w:w="730" w:type="dxa"/>
            <w:gridSpan w:val="2"/>
            <w:tcBorders>
              <w:top w:val="single" w:sz="4" w:space="0" w:color="A6A6A6" w:themeColor="background1" w:themeShade="A6"/>
              <w:left w:val="nil"/>
              <w:bottom w:val="single" w:sz="4" w:space="0" w:color="A6A6A6" w:themeColor="background1" w:themeShade="A6"/>
              <w:right w:val="nil"/>
            </w:tcBorders>
          </w:tcPr>
          <w:p w14:paraId="4A65E72D" w14:textId="78EE9A0A" w:rsidR="006D5289" w:rsidRPr="004F1B86" w:rsidRDefault="006D5289" w:rsidP="006D5289">
            <w:pPr>
              <w:pStyle w:val="TableText"/>
              <w:jc w:val="right"/>
              <w:rPr>
                <w:sz w:val="16"/>
                <w:szCs w:val="16"/>
              </w:rPr>
            </w:pPr>
            <w:r w:rsidRPr="004F1B86">
              <w:rPr>
                <w:sz w:val="16"/>
                <w:szCs w:val="16"/>
              </w:rPr>
              <w:t>69.9</w:t>
            </w:r>
          </w:p>
        </w:tc>
      </w:tr>
    </w:tbl>
    <w:p w14:paraId="7E397529" w14:textId="77777777" w:rsidR="006D5289" w:rsidRDefault="006D5289" w:rsidP="006D5289"/>
    <w:p w14:paraId="1BA1AC01" w14:textId="77777777" w:rsidR="00240F96" w:rsidRDefault="00240F96" w:rsidP="00240F96"/>
    <w:p w14:paraId="5E96B936" w14:textId="77777777" w:rsidR="00240F96" w:rsidRDefault="00240F96" w:rsidP="00240F96">
      <w:pPr>
        <w:ind w:firstLine="567"/>
        <w:sectPr w:rsidR="00240F96" w:rsidSect="008F0115">
          <w:pgSz w:w="11907" w:h="16840" w:code="9"/>
          <w:pgMar w:top="1418" w:right="1701" w:bottom="1134" w:left="1843" w:header="284" w:footer="425" w:gutter="284"/>
          <w:cols w:space="720"/>
        </w:sectPr>
      </w:pPr>
    </w:p>
    <w:tbl>
      <w:tblPr>
        <w:tblStyle w:val="TableGrid"/>
        <w:tblW w:w="8371"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83"/>
        <w:gridCol w:w="318"/>
        <w:gridCol w:w="601"/>
        <w:gridCol w:w="920"/>
        <w:gridCol w:w="920"/>
        <w:gridCol w:w="920"/>
        <w:gridCol w:w="920"/>
        <w:gridCol w:w="920"/>
        <w:gridCol w:w="1069"/>
        <w:gridCol w:w="1000"/>
      </w:tblGrid>
      <w:tr w:rsidR="00240F96" w:rsidRPr="00240F96" w14:paraId="2A5B86B4" w14:textId="77777777" w:rsidTr="00EC5D95">
        <w:tc>
          <w:tcPr>
            <w:tcW w:w="8369" w:type="dxa"/>
            <w:gridSpan w:val="10"/>
            <w:tcBorders>
              <w:top w:val="nil"/>
              <w:left w:val="nil"/>
              <w:bottom w:val="nil"/>
              <w:right w:val="nil"/>
            </w:tcBorders>
            <w:shd w:val="clear" w:color="auto" w:fill="D9D9D9" w:themeFill="background1" w:themeFillShade="D9"/>
            <w:hideMark/>
          </w:tcPr>
          <w:p w14:paraId="48A984E1" w14:textId="77777777" w:rsidR="00240F96" w:rsidRPr="00240F96" w:rsidRDefault="00240F96" w:rsidP="00240F96">
            <w:pPr>
              <w:pStyle w:val="TableText"/>
              <w:rPr>
                <w:b/>
                <w:bCs/>
              </w:rPr>
            </w:pPr>
            <w:r w:rsidRPr="00240F96">
              <w:rPr>
                <w:b/>
                <w:bCs/>
              </w:rPr>
              <w:lastRenderedPageBreak/>
              <w:t>Life expectancy increases over time</w:t>
            </w:r>
          </w:p>
        </w:tc>
      </w:tr>
      <w:tr w:rsidR="00240F96" w:rsidRPr="00240F96" w14:paraId="4CDC73CE" w14:textId="77777777" w:rsidTr="00EC5D95">
        <w:tc>
          <w:tcPr>
            <w:tcW w:w="1101" w:type="dxa"/>
            <w:gridSpan w:val="2"/>
            <w:tcBorders>
              <w:top w:val="nil"/>
              <w:left w:val="nil"/>
              <w:bottom w:val="single" w:sz="4" w:space="0" w:color="A6A6A6" w:themeColor="background1" w:themeShade="A6"/>
              <w:right w:val="nil"/>
            </w:tcBorders>
          </w:tcPr>
          <w:p w14:paraId="144B79F7" w14:textId="114E56F8" w:rsidR="00240F96" w:rsidRPr="00240F96" w:rsidRDefault="00240F96" w:rsidP="00240F96">
            <w:pPr>
              <w:pStyle w:val="TableText"/>
              <w:rPr>
                <w:b/>
                <w:bCs/>
              </w:rPr>
            </w:pPr>
            <w:r w:rsidRPr="00240F96">
              <w:rPr>
                <w:b/>
                <w:bCs/>
              </w:rPr>
              <w:t>Measure</w:t>
            </w:r>
          </w:p>
        </w:tc>
        <w:tc>
          <w:tcPr>
            <w:tcW w:w="7268" w:type="dxa"/>
            <w:gridSpan w:val="8"/>
            <w:tcBorders>
              <w:top w:val="nil"/>
              <w:left w:val="nil"/>
              <w:bottom w:val="single" w:sz="4" w:space="0" w:color="A6A6A6" w:themeColor="background1" w:themeShade="A6"/>
              <w:right w:val="nil"/>
            </w:tcBorders>
          </w:tcPr>
          <w:p w14:paraId="2E92B2A7" w14:textId="056B35CC" w:rsidR="00240F96" w:rsidRPr="00240F96" w:rsidRDefault="00240F96" w:rsidP="00240F96">
            <w:pPr>
              <w:pStyle w:val="TableText"/>
            </w:pPr>
            <w:r w:rsidRPr="00240F96">
              <w:t>Life expectancy at birth as an indicator of the number of years a person can expect to live, based on population mortality rates at each age in a given year/ period.</w:t>
            </w:r>
          </w:p>
        </w:tc>
      </w:tr>
      <w:tr w:rsidR="00240F96" w:rsidRPr="00240F96" w14:paraId="7C8492B3" w14:textId="77777777" w:rsidTr="00EC5D95">
        <w:tc>
          <w:tcPr>
            <w:tcW w:w="1101" w:type="dxa"/>
            <w:gridSpan w:val="2"/>
            <w:tcBorders>
              <w:top w:val="single" w:sz="4" w:space="0" w:color="A6A6A6" w:themeColor="background1" w:themeShade="A6"/>
              <w:left w:val="nil"/>
              <w:bottom w:val="single" w:sz="4" w:space="0" w:color="A6A6A6" w:themeColor="background1" w:themeShade="A6"/>
              <w:right w:val="nil"/>
            </w:tcBorders>
          </w:tcPr>
          <w:p w14:paraId="40537616" w14:textId="7CFB9472" w:rsidR="00240F96" w:rsidRPr="00240F96" w:rsidRDefault="00240F96" w:rsidP="00240F96">
            <w:pPr>
              <w:pStyle w:val="TableText"/>
              <w:rPr>
                <w:b/>
                <w:bCs/>
              </w:rPr>
            </w:pPr>
            <w:r w:rsidRPr="00240F96">
              <w:rPr>
                <w:b/>
                <w:bCs/>
              </w:rPr>
              <w:t>Target</w:t>
            </w:r>
          </w:p>
        </w:tc>
        <w:tc>
          <w:tcPr>
            <w:tcW w:w="7268" w:type="dxa"/>
            <w:gridSpan w:val="8"/>
            <w:tcBorders>
              <w:top w:val="single" w:sz="4" w:space="0" w:color="A6A6A6" w:themeColor="background1" w:themeShade="A6"/>
              <w:left w:val="nil"/>
              <w:bottom w:val="single" w:sz="4" w:space="0" w:color="A6A6A6" w:themeColor="background1" w:themeShade="A6"/>
              <w:right w:val="nil"/>
            </w:tcBorders>
          </w:tcPr>
          <w:p w14:paraId="5CE5F212" w14:textId="5A7AC23D" w:rsidR="00240F96" w:rsidRPr="00240F96" w:rsidRDefault="00240F96" w:rsidP="00240F96">
            <w:pPr>
              <w:pStyle w:val="TableText"/>
            </w:pPr>
            <w:r w:rsidRPr="00240F96">
              <w:t>Improved results for male/female and Māori/non-Māori.</w:t>
            </w:r>
          </w:p>
        </w:tc>
      </w:tr>
      <w:tr w:rsidR="00240F96" w:rsidRPr="00240F96" w14:paraId="3DE0C024" w14:textId="77777777" w:rsidTr="00EC5D95">
        <w:tc>
          <w:tcPr>
            <w:tcW w:w="1101" w:type="dxa"/>
            <w:gridSpan w:val="2"/>
            <w:tcBorders>
              <w:top w:val="single" w:sz="4" w:space="0" w:color="A6A6A6" w:themeColor="background1" w:themeShade="A6"/>
              <w:left w:val="nil"/>
              <w:bottom w:val="single" w:sz="4" w:space="0" w:color="A6A6A6" w:themeColor="background1" w:themeShade="A6"/>
              <w:right w:val="nil"/>
            </w:tcBorders>
          </w:tcPr>
          <w:p w14:paraId="04FCC807" w14:textId="327A7C7F" w:rsidR="00240F96" w:rsidRPr="00240F96" w:rsidRDefault="00240F96" w:rsidP="00240F96">
            <w:pPr>
              <w:pStyle w:val="TableText"/>
              <w:rPr>
                <w:b/>
                <w:bCs/>
              </w:rPr>
            </w:pPr>
            <w:r w:rsidRPr="00240F96">
              <w:rPr>
                <w:b/>
                <w:bCs/>
              </w:rPr>
              <w:t>Result</w:t>
            </w:r>
          </w:p>
        </w:tc>
        <w:tc>
          <w:tcPr>
            <w:tcW w:w="7268" w:type="dxa"/>
            <w:gridSpan w:val="8"/>
            <w:tcBorders>
              <w:top w:val="single" w:sz="4" w:space="0" w:color="A6A6A6" w:themeColor="background1" w:themeShade="A6"/>
              <w:left w:val="nil"/>
              <w:bottom w:val="single" w:sz="4" w:space="0" w:color="A6A6A6" w:themeColor="background1" w:themeShade="A6"/>
              <w:right w:val="nil"/>
            </w:tcBorders>
          </w:tcPr>
          <w:p w14:paraId="709276B4" w14:textId="2006E1EA" w:rsidR="00240F96" w:rsidRPr="00240F96" w:rsidRDefault="00240F96" w:rsidP="00240F96">
            <w:pPr>
              <w:pStyle w:val="TableText"/>
            </w:pPr>
            <w:r w:rsidRPr="00240F96">
              <w:t>Life expectancy is a summary measure of mortality. Although the long-term trend for New Zealand continues to be upward, the rate of growth has slowed markedly for women since 2010 and for men since 2018. Improvements in Māori life expectancy at birth since 1995–97 have narrowed the gap between Māori and non-Māori.</w:t>
            </w:r>
          </w:p>
        </w:tc>
      </w:tr>
      <w:tr w:rsidR="00240F96" w:rsidRPr="00240F96" w14:paraId="68DF532E" w14:textId="77777777" w:rsidTr="00EC5D95">
        <w:tc>
          <w:tcPr>
            <w:tcW w:w="8369" w:type="dxa"/>
            <w:gridSpan w:val="10"/>
            <w:tcBorders>
              <w:top w:val="single" w:sz="4" w:space="0" w:color="A6A6A6" w:themeColor="background1" w:themeShade="A6"/>
              <w:left w:val="nil"/>
              <w:bottom w:val="single" w:sz="4" w:space="0" w:color="A6A6A6" w:themeColor="background1" w:themeShade="A6"/>
              <w:right w:val="nil"/>
            </w:tcBorders>
          </w:tcPr>
          <w:p w14:paraId="7237FC84" w14:textId="07A09A25" w:rsidR="00240F96" w:rsidRPr="00240F96" w:rsidRDefault="00240F96" w:rsidP="00240F96">
            <w:pPr>
              <w:pStyle w:val="TableText"/>
              <w:rPr>
                <w:b/>
                <w:bCs/>
              </w:rPr>
            </w:pPr>
            <w:r w:rsidRPr="00240F96">
              <w:rPr>
                <w:b/>
                <w:bCs/>
              </w:rPr>
              <w:t>Life expectancy at birth (years of life)</w:t>
            </w:r>
            <w:r>
              <w:rPr>
                <w:rStyle w:val="FootnoteReference"/>
                <w:b/>
                <w:bCs/>
              </w:rPr>
              <w:footnoteReference w:id="28"/>
            </w:r>
          </w:p>
        </w:tc>
      </w:tr>
      <w:tr w:rsidR="00240F96" w:rsidRPr="004F1B86" w14:paraId="7F6A959F" w14:textId="7E93A9AE" w:rsidTr="00EC5D95">
        <w:tc>
          <w:tcPr>
            <w:tcW w:w="783"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5A86F608" w14:textId="77777777" w:rsidR="00240F96" w:rsidRPr="004F1B86" w:rsidRDefault="00240F96" w:rsidP="00240F96">
            <w:pPr>
              <w:pStyle w:val="TableText"/>
              <w:rPr>
                <w:sz w:val="16"/>
                <w:szCs w:val="16"/>
              </w:rPr>
            </w:pPr>
          </w:p>
        </w:tc>
        <w:tc>
          <w:tcPr>
            <w:tcW w:w="919"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06998772" w14:textId="77E764E0" w:rsidR="00240F96" w:rsidRPr="004F1B86" w:rsidRDefault="00240F96" w:rsidP="00240F96">
            <w:pPr>
              <w:pStyle w:val="TableText"/>
              <w:ind w:left="-57"/>
              <w:jc w:val="right"/>
              <w:rPr>
                <w:b/>
                <w:bCs/>
                <w:sz w:val="16"/>
                <w:szCs w:val="16"/>
              </w:rPr>
            </w:pPr>
            <w:r w:rsidRPr="004F1B86">
              <w:rPr>
                <w:b/>
                <w:bCs/>
                <w:sz w:val="16"/>
                <w:szCs w:val="16"/>
              </w:rPr>
              <w:t>1995–97</w:t>
            </w:r>
          </w:p>
        </w:tc>
        <w:tc>
          <w:tcPr>
            <w:tcW w:w="92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4AEDE187" w14:textId="0315E941" w:rsidR="00240F96" w:rsidRPr="004F1B86" w:rsidRDefault="00240F96" w:rsidP="00240F96">
            <w:pPr>
              <w:pStyle w:val="TableText"/>
              <w:ind w:left="-57"/>
              <w:jc w:val="right"/>
              <w:rPr>
                <w:b/>
                <w:bCs/>
                <w:sz w:val="16"/>
                <w:szCs w:val="16"/>
              </w:rPr>
            </w:pPr>
            <w:r w:rsidRPr="004F1B86">
              <w:rPr>
                <w:b/>
                <w:bCs/>
                <w:sz w:val="16"/>
                <w:szCs w:val="16"/>
              </w:rPr>
              <w:t>2000–02</w:t>
            </w:r>
          </w:p>
        </w:tc>
        <w:tc>
          <w:tcPr>
            <w:tcW w:w="92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22F1CBF7" w14:textId="7AA20A19" w:rsidR="00240F96" w:rsidRPr="004F1B86" w:rsidRDefault="00240F96" w:rsidP="00240F96">
            <w:pPr>
              <w:pStyle w:val="TableText"/>
              <w:ind w:left="-57"/>
              <w:jc w:val="right"/>
              <w:rPr>
                <w:b/>
                <w:bCs/>
                <w:sz w:val="16"/>
                <w:szCs w:val="16"/>
              </w:rPr>
            </w:pPr>
            <w:r w:rsidRPr="004F1B86">
              <w:rPr>
                <w:b/>
                <w:bCs/>
                <w:sz w:val="16"/>
                <w:szCs w:val="16"/>
              </w:rPr>
              <w:t>2005–07</w:t>
            </w:r>
          </w:p>
        </w:tc>
        <w:tc>
          <w:tcPr>
            <w:tcW w:w="92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312A86FE" w14:textId="356A56B9" w:rsidR="00240F96" w:rsidRPr="004F1B86" w:rsidRDefault="00240F96" w:rsidP="00240F96">
            <w:pPr>
              <w:pStyle w:val="TableText"/>
              <w:ind w:left="-57"/>
              <w:jc w:val="right"/>
              <w:rPr>
                <w:b/>
                <w:bCs/>
                <w:sz w:val="16"/>
                <w:szCs w:val="16"/>
              </w:rPr>
            </w:pPr>
            <w:r w:rsidRPr="004F1B86">
              <w:rPr>
                <w:b/>
                <w:bCs/>
                <w:sz w:val="16"/>
                <w:szCs w:val="16"/>
              </w:rPr>
              <w:t>2012– 14</w:t>
            </w:r>
          </w:p>
        </w:tc>
        <w:tc>
          <w:tcPr>
            <w:tcW w:w="92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478983F5" w14:textId="4B8DC881" w:rsidR="00240F96" w:rsidRPr="004F1B86" w:rsidRDefault="00240F96" w:rsidP="00240F96">
            <w:pPr>
              <w:pStyle w:val="TableText"/>
              <w:ind w:left="-57"/>
              <w:jc w:val="right"/>
              <w:rPr>
                <w:b/>
                <w:bCs/>
                <w:sz w:val="16"/>
                <w:szCs w:val="16"/>
              </w:rPr>
            </w:pPr>
            <w:r w:rsidRPr="004F1B86">
              <w:rPr>
                <w:b/>
                <w:bCs/>
                <w:sz w:val="16"/>
                <w:szCs w:val="16"/>
              </w:rPr>
              <w:t>2017– 19</w:t>
            </w:r>
          </w:p>
        </w:tc>
        <w:tc>
          <w:tcPr>
            <w:tcW w:w="92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01982500" w14:textId="1951D9C7" w:rsidR="00240F96" w:rsidRPr="004F1B86" w:rsidRDefault="00240F96" w:rsidP="00240F96">
            <w:pPr>
              <w:pStyle w:val="TableText"/>
              <w:ind w:left="-57"/>
              <w:jc w:val="right"/>
              <w:rPr>
                <w:b/>
                <w:bCs/>
                <w:sz w:val="16"/>
                <w:szCs w:val="16"/>
              </w:rPr>
            </w:pPr>
            <w:r w:rsidRPr="004F1B86">
              <w:rPr>
                <w:b/>
                <w:bCs/>
                <w:sz w:val="16"/>
                <w:szCs w:val="16"/>
              </w:rPr>
              <w:t>2019–21</w:t>
            </w:r>
          </w:p>
        </w:tc>
        <w:tc>
          <w:tcPr>
            <w:tcW w:w="1069"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44D0200E" w14:textId="741C63C2" w:rsidR="00240F96" w:rsidRPr="004F1B86" w:rsidRDefault="00240F96" w:rsidP="00240F96">
            <w:pPr>
              <w:pStyle w:val="TableText"/>
              <w:ind w:left="-57"/>
              <w:jc w:val="right"/>
              <w:rPr>
                <w:b/>
                <w:bCs/>
                <w:sz w:val="16"/>
                <w:szCs w:val="16"/>
              </w:rPr>
            </w:pPr>
            <w:r w:rsidRPr="004F1B86">
              <w:rPr>
                <w:b/>
                <w:bCs/>
                <w:sz w:val="16"/>
                <w:szCs w:val="16"/>
              </w:rPr>
              <w:t>2020–22</w:t>
            </w:r>
          </w:p>
        </w:tc>
        <w:tc>
          <w:tcPr>
            <w:tcW w:w="100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3F00ECD8" w14:textId="5A373A78" w:rsidR="00240F96" w:rsidRPr="004F1B86" w:rsidRDefault="00240F96" w:rsidP="00240F96">
            <w:pPr>
              <w:pStyle w:val="TableText"/>
              <w:ind w:left="-57"/>
              <w:jc w:val="right"/>
              <w:rPr>
                <w:b/>
                <w:bCs/>
                <w:sz w:val="16"/>
                <w:szCs w:val="16"/>
              </w:rPr>
            </w:pPr>
            <w:r w:rsidRPr="004F1B86">
              <w:rPr>
                <w:b/>
                <w:bCs/>
                <w:sz w:val="16"/>
                <w:szCs w:val="16"/>
              </w:rPr>
              <w:t>2021–23</w:t>
            </w:r>
          </w:p>
        </w:tc>
      </w:tr>
      <w:tr w:rsidR="00240F96" w:rsidRPr="004F1B86" w14:paraId="58D19DE1" w14:textId="218AFD87" w:rsidTr="00EC5D95">
        <w:tc>
          <w:tcPr>
            <w:tcW w:w="783" w:type="dxa"/>
            <w:tcBorders>
              <w:top w:val="single" w:sz="4" w:space="0" w:color="A6A6A6" w:themeColor="background1" w:themeShade="A6"/>
              <w:left w:val="nil"/>
              <w:bottom w:val="single" w:sz="4" w:space="0" w:color="A6A6A6" w:themeColor="background1" w:themeShade="A6"/>
              <w:right w:val="nil"/>
            </w:tcBorders>
          </w:tcPr>
          <w:p w14:paraId="36FAE694" w14:textId="2D3C4F60" w:rsidR="00240F96" w:rsidRPr="004F1B86" w:rsidRDefault="00240F96" w:rsidP="00240F96">
            <w:pPr>
              <w:pStyle w:val="TableText"/>
              <w:rPr>
                <w:sz w:val="16"/>
                <w:szCs w:val="16"/>
              </w:rPr>
            </w:pPr>
            <w:r w:rsidRPr="004F1B86">
              <w:rPr>
                <w:sz w:val="16"/>
                <w:szCs w:val="16"/>
              </w:rPr>
              <w:t>Female</w:t>
            </w:r>
          </w:p>
        </w:tc>
        <w:tc>
          <w:tcPr>
            <w:tcW w:w="919" w:type="dxa"/>
            <w:gridSpan w:val="2"/>
            <w:tcBorders>
              <w:top w:val="single" w:sz="4" w:space="0" w:color="A6A6A6" w:themeColor="background1" w:themeShade="A6"/>
              <w:left w:val="nil"/>
              <w:bottom w:val="single" w:sz="4" w:space="0" w:color="A6A6A6" w:themeColor="background1" w:themeShade="A6"/>
              <w:right w:val="nil"/>
            </w:tcBorders>
          </w:tcPr>
          <w:p w14:paraId="526C924F" w14:textId="79715EDC" w:rsidR="00240F96" w:rsidRPr="004F1B86" w:rsidRDefault="00240F96" w:rsidP="00240F96">
            <w:pPr>
              <w:pStyle w:val="TableText"/>
              <w:jc w:val="right"/>
              <w:rPr>
                <w:sz w:val="16"/>
                <w:szCs w:val="16"/>
              </w:rPr>
            </w:pPr>
            <w:r w:rsidRPr="004F1B86">
              <w:rPr>
                <w:sz w:val="16"/>
                <w:szCs w:val="16"/>
              </w:rPr>
              <w:t>79.7</w:t>
            </w:r>
          </w:p>
        </w:tc>
        <w:tc>
          <w:tcPr>
            <w:tcW w:w="920" w:type="dxa"/>
            <w:tcBorders>
              <w:top w:val="single" w:sz="4" w:space="0" w:color="A6A6A6" w:themeColor="background1" w:themeShade="A6"/>
              <w:left w:val="nil"/>
              <w:bottom w:val="single" w:sz="4" w:space="0" w:color="A6A6A6" w:themeColor="background1" w:themeShade="A6"/>
              <w:right w:val="nil"/>
            </w:tcBorders>
          </w:tcPr>
          <w:p w14:paraId="2A35B2AC" w14:textId="7865ACC1" w:rsidR="00240F96" w:rsidRPr="004F1B86" w:rsidRDefault="00240F96" w:rsidP="00240F96">
            <w:pPr>
              <w:pStyle w:val="TableText"/>
              <w:jc w:val="right"/>
              <w:rPr>
                <w:sz w:val="16"/>
                <w:szCs w:val="16"/>
              </w:rPr>
            </w:pPr>
            <w:r w:rsidRPr="004F1B86">
              <w:rPr>
                <w:sz w:val="16"/>
                <w:szCs w:val="16"/>
              </w:rPr>
              <w:t>81.1</w:t>
            </w:r>
          </w:p>
        </w:tc>
        <w:tc>
          <w:tcPr>
            <w:tcW w:w="920" w:type="dxa"/>
            <w:tcBorders>
              <w:top w:val="single" w:sz="4" w:space="0" w:color="A6A6A6" w:themeColor="background1" w:themeShade="A6"/>
              <w:left w:val="nil"/>
              <w:bottom w:val="single" w:sz="4" w:space="0" w:color="A6A6A6" w:themeColor="background1" w:themeShade="A6"/>
              <w:right w:val="nil"/>
            </w:tcBorders>
          </w:tcPr>
          <w:p w14:paraId="69143F62" w14:textId="1B8DFB62" w:rsidR="00240F96" w:rsidRPr="004F1B86" w:rsidRDefault="00240F96" w:rsidP="00240F96">
            <w:pPr>
              <w:pStyle w:val="TableText"/>
              <w:jc w:val="right"/>
              <w:rPr>
                <w:sz w:val="16"/>
                <w:szCs w:val="16"/>
              </w:rPr>
            </w:pPr>
            <w:r w:rsidRPr="004F1B86">
              <w:rPr>
                <w:sz w:val="16"/>
                <w:szCs w:val="16"/>
              </w:rPr>
              <w:t>82.2</w:t>
            </w:r>
          </w:p>
        </w:tc>
        <w:tc>
          <w:tcPr>
            <w:tcW w:w="920" w:type="dxa"/>
            <w:tcBorders>
              <w:top w:val="single" w:sz="4" w:space="0" w:color="A6A6A6" w:themeColor="background1" w:themeShade="A6"/>
              <w:left w:val="nil"/>
              <w:bottom w:val="single" w:sz="4" w:space="0" w:color="A6A6A6" w:themeColor="background1" w:themeShade="A6"/>
              <w:right w:val="nil"/>
            </w:tcBorders>
          </w:tcPr>
          <w:p w14:paraId="48D076B5" w14:textId="40B14197" w:rsidR="00240F96" w:rsidRPr="004F1B86" w:rsidRDefault="00240F96" w:rsidP="00240F96">
            <w:pPr>
              <w:pStyle w:val="TableText"/>
              <w:jc w:val="right"/>
              <w:rPr>
                <w:sz w:val="16"/>
                <w:szCs w:val="16"/>
              </w:rPr>
            </w:pPr>
            <w:r w:rsidRPr="004F1B86">
              <w:rPr>
                <w:sz w:val="16"/>
                <w:szCs w:val="16"/>
              </w:rPr>
              <w:t>83.2</w:t>
            </w:r>
          </w:p>
        </w:tc>
        <w:tc>
          <w:tcPr>
            <w:tcW w:w="920" w:type="dxa"/>
            <w:tcBorders>
              <w:top w:val="single" w:sz="4" w:space="0" w:color="A6A6A6" w:themeColor="background1" w:themeShade="A6"/>
              <w:left w:val="nil"/>
              <w:bottom w:val="single" w:sz="4" w:space="0" w:color="A6A6A6" w:themeColor="background1" w:themeShade="A6"/>
              <w:right w:val="nil"/>
            </w:tcBorders>
          </w:tcPr>
          <w:p w14:paraId="0066CB02" w14:textId="61EE1DBB" w:rsidR="00240F96" w:rsidRPr="004F1B86" w:rsidRDefault="00240F96" w:rsidP="00240F96">
            <w:pPr>
              <w:pStyle w:val="TableText"/>
              <w:jc w:val="right"/>
              <w:rPr>
                <w:sz w:val="16"/>
                <w:szCs w:val="16"/>
              </w:rPr>
            </w:pPr>
            <w:r w:rsidRPr="004F1B86">
              <w:rPr>
                <w:sz w:val="16"/>
                <w:szCs w:val="16"/>
              </w:rPr>
              <w:t>83.5</w:t>
            </w:r>
          </w:p>
        </w:tc>
        <w:tc>
          <w:tcPr>
            <w:tcW w:w="920" w:type="dxa"/>
            <w:tcBorders>
              <w:top w:val="single" w:sz="4" w:space="0" w:color="A6A6A6" w:themeColor="background1" w:themeShade="A6"/>
              <w:left w:val="nil"/>
              <w:bottom w:val="single" w:sz="4" w:space="0" w:color="A6A6A6" w:themeColor="background1" w:themeShade="A6"/>
              <w:right w:val="nil"/>
            </w:tcBorders>
          </w:tcPr>
          <w:p w14:paraId="0286C99F" w14:textId="602A1B2E" w:rsidR="00240F96" w:rsidRPr="004F1B86" w:rsidRDefault="00240F96" w:rsidP="00240F96">
            <w:pPr>
              <w:pStyle w:val="TableText"/>
              <w:jc w:val="right"/>
              <w:rPr>
                <w:sz w:val="16"/>
                <w:szCs w:val="16"/>
              </w:rPr>
            </w:pPr>
            <w:r w:rsidRPr="004F1B86">
              <w:rPr>
                <w:sz w:val="16"/>
                <w:szCs w:val="16"/>
              </w:rPr>
              <w:t>84.1</w:t>
            </w:r>
          </w:p>
        </w:tc>
        <w:tc>
          <w:tcPr>
            <w:tcW w:w="1069" w:type="dxa"/>
            <w:tcBorders>
              <w:top w:val="single" w:sz="4" w:space="0" w:color="A6A6A6" w:themeColor="background1" w:themeShade="A6"/>
              <w:left w:val="nil"/>
              <w:bottom w:val="single" w:sz="4" w:space="0" w:color="A6A6A6" w:themeColor="background1" w:themeShade="A6"/>
              <w:right w:val="nil"/>
            </w:tcBorders>
          </w:tcPr>
          <w:p w14:paraId="07F18D97" w14:textId="1FD5B9FA" w:rsidR="00240F96" w:rsidRPr="004F1B86" w:rsidRDefault="00240F96" w:rsidP="00240F96">
            <w:pPr>
              <w:pStyle w:val="TableText"/>
              <w:jc w:val="right"/>
              <w:rPr>
                <w:sz w:val="16"/>
                <w:szCs w:val="16"/>
              </w:rPr>
            </w:pPr>
            <w:r w:rsidRPr="004F1B86">
              <w:rPr>
                <w:sz w:val="16"/>
                <w:szCs w:val="16"/>
              </w:rPr>
              <w:t>84.0</w:t>
            </w:r>
          </w:p>
        </w:tc>
        <w:tc>
          <w:tcPr>
            <w:tcW w:w="1000" w:type="dxa"/>
            <w:tcBorders>
              <w:top w:val="single" w:sz="4" w:space="0" w:color="A6A6A6" w:themeColor="background1" w:themeShade="A6"/>
              <w:left w:val="nil"/>
              <w:bottom w:val="single" w:sz="4" w:space="0" w:color="A6A6A6" w:themeColor="background1" w:themeShade="A6"/>
              <w:right w:val="nil"/>
            </w:tcBorders>
          </w:tcPr>
          <w:p w14:paraId="13850AC1" w14:textId="13CAECE8" w:rsidR="00240F96" w:rsidRPr="004F1B86" w:rsidRDefault="00240F96" w:rsidP="00240F96">
            <w:pPr>
              <w:pStyle w:val="TableText"/>
              <w:jc w:val="right"/>
              <w:rPr>
                <w:sz w:val="16"/>
                <w:szCs w:val="16"/>
              </w:rPr>
            </w:pPr>
            <w:r w:rsidRPr="004F1B86">
              <w:rPr>
                <w:sz w:val="16"/>
                <w:szCs w:val="16"/>
              </w:rPr>
              <w:t>83.7</w:t>
            </w:r>
          </w:p>
        </w:tc>
      </w:tr>
      <w:tr w:rsidR="00240F96" w:rsidRPr="004F1B86" w14:paraId="42CDB28B" w14:textId="71FA3E97" w:rsidTr="00EC5D95">
        <w:tc>
          <w:tcPr>
            <w:tcW w:w="783" w:type="dxa"/>
            <w:tcBorders>
              <w:top w:val="single" w:sz="4" w:space="0" w:color="A6A6A6" w:themeColor="background1" w:themeShade="A6"/>
              <w:left w:val="nil"/>
              <w:bottom w:val="single" w:sz="4" w:space="0" w:color="A6A6A6" w:themeColor="background1" w:themeShade="A6"/>
              <w:right w:val="nil"/>
            </w:tcBorders>
          </w:tcPr>
          <w:p w14:paraId="7CA297FD" w14:textId="40F3159F" w:rsidR="00240F96" w:rsidRPr="004F1B86" w:rsidRDefault="00240F96" w:rsidP="00240F96">
            <w:pPr>
              <w:pStyle w:val="TableText"/>
              <w:rPr>
                <w:sz w:val="16"/>
                <w:szCs w:val="16"/>
              </w:rPr>
            </w:pPr>
            <w:r w:rsidRPr="004F1B86">
              <w:rPr>
                <w:sz w:val="16"/>
                <w:szCs w:val="16"/>
              </w:rPr>
              <w:t>Male</w:t>
            </w:r>
          </w:p>
        </w:tc>
        <w:tc>
          <w:tcPr>
            <w:tcW w:w="919" w:type="dxa"/>
            <w:gridSpan w:val="2"/>
            <w:tcBorders>
              <w:top w:val="single" w:sz="4" w:space="0" w:color="A6A6A6" w:themeColor="background1" w:themeShade="A6"/>
              <w:left w:val="nil"/>
              <w:bottom w:val="single" w:sz="4" w:space="0" w:color="A6A6A6" w:themeColor="background1" w:themeShade="A6"/>
              <w:right w:val="nil"/>
            </w:tcBorders>
          </w:tcPr>
          <w:p w14:paraId="04ADC5F1" w14:textId="0AA66E6E" w:rsidR="00240F96" w:rsidRPr="004F1B86" w:rsidRDefault="00240F96" w:rsidP="00240F96">
            <w:pPr>
              <w:pStyle w:val="TableText"/>
              <w:jc w:val="right"/>
              <w:rPr>
                <w:sz w:val="16"/>
                <w:szCs w:val="16"/>
              </w:rPr>
            </w:pPr>
            <w:r w:rsidRPr="004F1B86">
              <w:rPr>
                <w:sz w:val="16"/>
                <w:szCs w:val="16"/>
              </w:rPr>
              <w:t>74.4</w:t>
            </w:r>
          </w:p>
        </w:tc>
        <w:tc>
          <w:tcPr>
            <w:tcW w:w="920" w:type="dxa"/>
            <w:tcBorders>
              <w:top w:val="single" w:sz="4" w:space="0" w:color="A6A6A6" w:themeColor="background1" w:themeShade="A6"/>
              <w:left w:val="nil"/>
              <w:bottom w:val="single" w:sz="4" w:space="0" w:color="A6A6A6" w:themeColor="background1" w:themeShade="A6"/>
              <w:right w:val="nil"/>
            </w:tcBorders>
          </w:tcPr>
          <w:p w14:paraId="198F59F0" w14:textId="17C2094B" w:rsidR="00240F96" w:rsidRPr="004F1B86" w:rsidRDefault="00240F96" w:rsidP="00240F96">
            <w:pPr>
              <w:pStyle w:val="TableText"/>
              <w:jc w:val="right"/>
              <w:rPr>
                <w:sz w:val="16"/>
                <w:szCs w:val="16"/>
              </w:rPr>
            </w:pPr>
            <w:r w:rsidRPr="004F1B86">
              <w:rPr>
                <w:sz w:val="16"/>
                <w:szCs w:val="16"/>
              </w:rPr>
              <w:t>76.3</w:t>
            </w:r>
          </w:p>
        </w:tc>
        <w:tc>
          <w:tcPr>
            <w:tcW w:w="920" w:type="dxa"/>
            <w:tcBorders>
              <w:top w:val="single" w:sz="4" w:space="0" w:color="A6A6A6" w:themeColor="background1" w:themeShade="A6"/>
              <w:left w:val="nil"/>
              <w:bottom w:val="single" w:sz="4" w:space="0" w:color="A6A6A6" w:themeColor="background1" w:themeShade="A6"/>
              <w:right w:val="nil"/>
            </w:tcBorders>
          </w:tcPr>
          <w:p w14:paraId="2B7A062F" w14:textId="21057A09" w:rsidR="00240F96" w:rsidRPr="004F1B86" w:rsidRDefault="00240F96" w:rsidP="00240F96">
            <w:pPr>
              <w:pStyle w:val="TableText"/>
              <w:jc w:val="right"/>
              <w:rPr>
                <w:sz w:val="16"/>
                <w:szCs w:val="16"/>
              </w:rPr>
            </w:pPr>
            <w:r w:rsidRPr="004F1B86">
              <w:rPr>
                <w:sz w:val="16"/>
                <w:szCs w:val="16"/>
              </w:rPr>
              <w:t>78.0</w:t>
            </w:r>
          </w:p>
        </w:tc>
        <w:tc>
          <w:tcPr>
            <w:tcW w:w="920" w:type="dxa"/>
            <w:tcBorders>
              <w:top w:val="single" w:sz="4" w:space="0" w:color="A6A6A6" w:themeColor="background1" w:themeShade="A6"/>
              <w:left w:val="nil"/>
              <w:bottom w:val="single" w:sz="4" w:space="0" w:color="A6A6A6" w:themeColor="background1" w:themeShade="A6"/>
              <w:right w:val="nil"/>
            </w:tcBorders>
          </w:tcPr>
          <w:p w14:paraId="034C032F" w14:textId="045C0C33" w:rsidR="00240F96" w:rsidRPr="004F1B86" w:rsidRDefault="00240F96" w:rsidP="00240F96">
            <w:pPr>
              <w:pStyle w:val="TableText"/>
              <w:jc w:val="right"/>
              <w:rPr>
                <w:sz w:val="16"/>
                <w:szCs w:val="16"/>
              </w:rPr>
            </w:pPr>
            <w:r w:rsidRPr="004F1B86">
              <w:rPr>
                <w:sz w:val="16"/>
                <w:szCs w:val="16"/>
              </w:rPr>
              <w:t>79.5</w:t>
            </w:r>
          </w:p>
        </w:tc>
        <w:tc>
          <w:tcPr>
            <w:tcW w:w="920" w:type="dxa"/>
            <w:tcBorders>
              <w:top w:val="single" w:sz="4" w:space="0" w:color="A6A6A6" w:themeColor="background1" w:themeShade="A6"/>
              <w:left w:val="nil"/>
              <w:bottom w:val="single" w:sz="4" w:space="0" w:color="A6A6A6" w:themeColor="background1" w:themeShade="A6"/>
              <w:right w:val="nil"/>
            </w:tcBorders>
          </w:tcPr>
          <w:p w14:paraId="1622C7D7" w14:textId="4B6E9E5D" w:rsidR="00240F96" w:rsidRPr="004F1B86" w:rsidRDefault="00240F96" w:rsidP="00240F96">
            <w:pPr>
              <w:pStyle w:val="TableText"/>
              <w:jc w:val="right"/>
              <w:rPr>
                <w:sz w:val="16"/>
                <w:szCs w:val="16"/>
              </w:rPr>
            </w:pPr>
            <w:r w:rsidRPr="004F1B86">
              <w:rPr>
                <w:sz w:val="16"/>
                <w:szCs w:val="16"/>
              </w:rPr>
              <w:t>80.0</w:t>
            </w:r>
          </w:p>
        </w:tc>
        <w:tc>
          <w:tcPr>
            <w:tcW w:w="920" w:type="dxa"/>
            <w:tcBorders>
              <w:top w:val="single" w:sz="4" w:space="0" w:color="A6A6A6" w:themeColor="background1" w:themeShade="A6"/>
              <w:left w:val="nil"/>
              <w:bottom w:val="single" w:sz="4" w:space="0" w:color="A6A6A6" w:themeColor="background1" w:themeShade="A6"/>
              <w:right w:val="nil"/>
            </w:tcBorders>
          </w:tcPr>
          <w:p w14:paraId="4F594B90" w14:textId="33C2E3F9" w:rsidR="00240F96" w:rsidRPr="004F1B86" w:rsidRDefault="00240F96" w:rsidP="00240F96">
            <w:pPr>
              <w:pStyle w:val="TableText"/>
              <w:jc w:val="right"/>
              <w:rPr>
                <w:sz w:val="16"/>
                <w:szCs w:val="16"/>
              </w:rPr>
            </w:pPr>
            <w:r w:rsidRPr="004F1B86">
              <w:rPr>
                <w:sz w:val="16"/>
                <w:szCs w:val="16"/>
              </w:rPr>
              <w:t>80.5</w:t>
            </w:r>
          </w:p>
        </w:tc>
        <w:tc>
          <w:tcPr>
            <w:tcW w:w="1069" w:type="dxa"/>
            <w:tcBorders>
              <w:top w:val="single" w:sz="4" w:space="0" w:color="A6A6A6" w:themeColor="background1" w:themeShade="A6"/>
              <w:left w:val="nil"/>
              <w:bottom w:val="single" w:sz="4" w:space="0" w:color="A6A6A6" w:themeColor="background1" w:themeShade="A6"/>
              <w:right w:val="nil"/>
            </w:tcBorders>
          </w:tcPr>
          <w:p w14:paraId="2FB4B698" w14:textId="4D12615B" w:rsidR="00240F96" w:rsidRPr="004F1B86" w:rsidRDefault="00240F96" w:rsidP="00240F96">
            <w:pPr>
              <w:pStyle w:val="TableText"/>
              <w:jc w:val="right"/>
              <w:rPr>
                <w:sz w:val="16"/>
                <w:szCs w:val="16"/>
              </w:rPr>
            </w:pPr>
            <w:r w:rsidRPr="004F1B86">
              <w:rPr>
                <w:sz w:val="16"/>
                <w:szCs w:val="16"/>
              </w:rPr>
              <w:t>80.5</w:t>
            </w:r>
          </w:p>
        </w:tc>
        <w:tc>
          <w:tcPr>
            <w:tcW w:w="1000" w:type="dxa"/>
            <w:tcBorders>
              <w:top w:val="single" w:sz="4" w:space="0" w:color="A6A6A6" w:themeColor="background1" w:themeShade="A6"/>
              <w:left w:val="nil"/>
              <w:bottom w:val="single" w:sz="4" w:space="0" w:color="A6A6A6" w:themeColor="background1" w:themeShade="A6"/>
              <w:right w:val="nil"/>
            </w:tcBorders>
          </w:tcPr>
          <w:p w14:paraId="3D66FBF5" w14:textId="6AEF358E" w:rsidR="00240F96" w:rsidRPr="004F1B86" w:rsidRDefault="00240F96" w:rsidP="00240F96">
            <w:pPr>
              <w:pStyle w:val="TableText"/>
              <w:jc w:val="right"/>
              <w:rPr>
                <w:sz w:val="16"/>
                <w:szCs w:val="16"/>
              </w:rPr>
            </w:pPr>
            <w:r w:rsidRPr="004F1B86">
              <w:rPr>
                <w:sz w:val="16"/>
                <w:szCs w:val="16"/>
              </w:rPr>
              <w:t>80.3</w:t>
            </w:r>
          </w:p>
        </w:tc>
      </w:tr>
    </w:tbl>
    <w:p w14:paraId="600B3BDD" w14:textId="2A0467F3" w:rsidR="00CB10A6" w:rsidRPr="004F1B86" w:rsidRDefault="00240F96" w:rsidP="00CB10A6">
      <w:pPr>
        <w:pStyle w:val="TableText"/>
        <w:rPr>
          <w:b/>
          <w:bCs/>
          <w:sz w:val="16"/>
          <w:szCs w:val="16"/>
        </w:rPr>
      </w:pPr>
      <w:r w:rsidRPr="004F1B86">
        <w:rPr>
          <w:b/>
          <w:bCs/>
          <w:sz w:val="16"/>
          <w:szCs w:val="16"/>
        </w:rPr>
        <w:t>Ethnicity and sex</w:t>
      </w:r>
      <w:r w:rsidRPr="004F1B86">
        <w:rPr>
          <w:rStyle w:val="FootnoteReference"/>
          <w:b/>
          <w:bCs/>
          <w:sz w:val="16"/>
          <w:szCs w:val="16"/>
        </w:rPr>
        <w:footnoteReference w:id="29"/>
      </w:r>
    </w:p>
    <w:tbl>
      <w:tblPr>
        <w:tblStyle w:val="TableGrid"/>
        <w:tblW w:w="8364"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43"/>
        <w:gridCol w:w="1304"/>
        <w:gridCol w:w="1304"/>
        <w:gridCol w:w="1304"/>
        <w:gridCol w:w="1304"/>
        <w:gridCol w:w="1305"/>
      </w:tblGrid>
      <w:tr w:rsidR="00240F96" w:rsidRPr="004F1B86" w14:paraId="6CD473CF" w14:textId="77777777" w:rsidTr="004F1B86">
        <w:tc>
          <w:tcPr>
            <w:tcW w:w="1843"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680A5D07" w14:textId="77777777" w:rsidR="00240F96" w:rsidRPr="004F1B86" w:rsidRDefault="00240F96" w:rsidP="00240F96">
            <w:pPr>
              <w:pStyle w:val="TableText"/>
              <w:rPr>
                <w:b/>
                <w:bCs/>
                <w:sz w:val="16"/>
                <w:szCs w:val="16"/>
              </w:rPr>
            </w:pPr>
          </w:p>
        </w:tc>
        <w:tc>
          <w:tcPr>
            <w:tcW w:w="130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709FD452" w14:textId="22C13677" w:rsidR="00240F96" w:rsidRPr="004F1B86" w:rsidRDefault="00240F96" w:rsidP="00240F96">
            <w:pPr>
              <w:pStyle w:val="TableText"/>
              <w:jc w:val="right"/>
              <w:rPr>
                <w:b/>
                <w:bCs/>
                <w:sz w:val="16"/>
                <w:szCs w:val="16"/>
              </w:rPr>
            </w:pPr>
            <w:r w:rsidRPr="004F1B86">
              <w:rPr>
                <w:b/>
                <w:bCs/>
                <w:sz w:val="16"/>
                <w:szCs w:val="16"/>
              </w:rPr>
              <w:t>1995–97</w:t>
            </w:r>
          </w:p>
        </w:tc>
        <w:tc>
          <w:tcPr>
            <w:tcW w:w="130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3EA13484" w14:textId="69533906" w:rsidR="00240F96" w:rsidRPr="004F1B86" w:rsidRDefault="00240F96" w:rsidP="00240F96">
            <w:pPr>
              <w:pStyle w:val="TableText"/>
              <w:jc w:val="right"/>
              <w:rPr>
                <w:b/>
                <w:bCs/>
                <w:sz w:val="16"/>
                <w:szCs w:val="16"/>
              </w:rPr>
            </w:pPr>
            <w:r w:rsidRPr="004F1B86">
              <w:rPr>
                <w:b/>
                <w:bCs/>
                <w:sz w:val="16"/>
                <w:szCs w:val="16"/>
              </w:rPr>
              <w:t>2000–02</w:t>
            </w:r>
          </w:p>
        </w:tc>
        <w:tc>
          <w:tcPr>
            <w:tcW w:w="130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496886FE" w14:textId="38BF8FCE" w:rsidR="00240F96" w:rsidRPr="004F1B86" w:rsidRDefault="00240F96" w:rsidP="00240F96">
            <w:pPr>
              <w:pStyle w:val="TableText"/>
              <w:jc w:val="right"/>
              <w:rPr>
                <w:b/>
                <w:bCs/>
                <w:sz w:val="16"/>
                <w:szCs w:val="16"/>
              </w:rPr>
            </w:pPr>
            <w:r w:rsidRPr="004F1B86">
              <w:rPr>
                <w:b/>
                <w:bCs/>
                <w:sz w:val="16"/>
                <w:szCs w:val="16"/>
              </w:rPr>
              <w:t>2005–07</w:t>
            </w:r>
          </w:p>
        </w:tc>
        <w:tc>
          <w:tcPr>
            <w:tcW w:w="130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4A0F8C59" w14:textId="27FCB44B" w:rsidR="00240F96" w:rsidRPr="004F1B86" w:rsidRDefault="00240F96" w:rsidP="00240F96">
            <w:pPr>
              <w:pStyle w:val="TableText"/>
              <w:jc w:val="right"/>
              <w:rPr>
                <w:b/>
                <w:bCs/>
                <w:sz w:val="16"/>
                <w:szCs w:val="16"/>
              </w:rPr>
            </w:pPr>
            <w:r w:rsidRPr="004F1B86">
              <w:rPr>
                <w:b/>
                <w:bCs/>
                <w:sz w:val="16"/>
                <w:szCs w:val="16"/>
              </w:rPr>
              <w:t>2012–14</w:t>
            </w:r>
          </w:p>
        </w:tc>
        <w:tc>
          <w:tcPr>
            <w:tcW w:w="1305"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51881683" w14:textId="249D6EA6" w:rsidR="00240F96" w:rsidRPr="004F1B86" w:rsidRDefault="00240F96" w:rsidP="00240F96">
            <w:pPr>
              <w:pStyle w:val="TableText"/>
              <w:jc w:val="right"/>
              <w:rPr>
                <w:b/>
                <w:bCs/>
                <w:sz w:val="16"/>
                <w:szCs w:val="16"/>
              </w:rPr>
            </w:pPr>
            <w:r w:rsidRPr="004F1B86">
              <w:rPr>
                <w:b/>
                <w:bCs/>
                <w:sz w:val="16"/>
                <w:szCs w:val="16"/>
              </w:rPr>
              <w:t>2017–19</w:t>
            </w:r>
          </w:p>
        </w:tc>
      </w:tr>
      <w:tr w:rsidR="00240F96" w:rsidRPr="004F1B86" w14:paraId="78A5AF2D" w14:textId="77777777" w:rsidTr="004F1B86">
        <w:tc>
          <w:tcPr>
            <w:tcW w:w="1843" w:type="dxa"/>
            <w:tcBorders>
              <w:top w:val="single" w:sz="4" w:space="0" w:color="A6A6A6" w:themeColor="background1" w:themeShade="A6"/>
              <w:left w:val="nil"/>
              <w:bottom w:val="single" w:sz="4" w:space="0" w:color="A6A6A6" w:themeColor="background1" w:themeShade="A6"/>
              <w:right w:val="nil"/>
            </w:tcBorders>
          </w:tcPr>
          <w:p w14:paraId="2D6BAC55" w14:textId="46AAA222" w:rsidR="00240F96" w:rsidRPr="004F1B86" w:rsidRDefault="00240F96" w:rsidP="00240F96">
            <w:pPr>
              <w:pStyle w:val="TableText"/>
              <w:rPr>
                <w:sz w:val="16"/>
                <w:szCs w:val="16"/>
              </w:rPr>
            </w:pPr>
            <w:r w:rsidRPr="004F1B86">
              <w:rPr>
                <w:sz w:val="16"/>
                <w:szCs w:val="16"/>
              </w:rPr>
              <w:t>Māori female</w:t>
            </w:r>
          </w:p>
        </w:tc>
        <w:tc>
          <w:tcPr>
            <w:tcW w:w="1304" w:type="dxa"/>
            <w:tcBorders>
              <w:top w:val="single" w:sz="4" w:space="0" w:color="A6A6A6" w:themeColor="background1" w:themeShade="A6"/>
              <w:left w:val="nil"/>
              <w:bottom w:val="single" w:sz="4" w:space="0" w:color="A6A6A6" w:themeColor="background1" w:themeShade="A6"/>
              <w:right w:val="nil"/>
            </w:tcBorders>
          </w:tcPr>
          <w:p w14:paraId="16BF1485" w14:textId="1B1AC54D" w:rsidR="00240F96" w:rsidRPr="004F1B86" w:rsidRDefault="00240F96" w:rsidP="00240F96">
            <w:pPr>
              <w:pStyle w:val="TableText"/>
              <w:jc w:val="right"/>
              <w:rPr>
                <w:sz w:val="16"/>
                <w:szCs w:val="16"/>
              </w:rPr>
            </w:pPr>
            <w:r w:rsidRPr="004F1B86">
              <w:rPr>
                <w:sz w:val="16"/>
                <w:szCs w:val="16"/>
              </w:rPr>
              <w:t>71.3</w:t>
            </w:r>
          </w:p>
        </w:tc>
        <w:tc>
          <w:tcPr>
            <w:tcW w:w="1304" w:type="dxa"/>
            <w:tcBorders>
              <w:top w:val="single" w:sz="4" w:space="0" w:color="A6A6A6" w:themeColor="background1" w:themeShade="A6"/>
              <w:left w:val="nil"/>
              <w:bottom w:val="single" w:sz="4" w:space="0" w:color="A6A6A6" w:themeColor="background1" w:themeShade="A6"/>
              <w:right w:val="nil"/>
            </w:tcBorders>
          </w:tcPr>
          <w:p w14:paraId="3B82EB6A" w14:textId="6D0FD15E" w:rsidR="00240F96" w:rsidRPr="004F1B86" w:rsidRDefault="00240F96" w:rsidP="00240F96">
            <w:pPr>
              <w:pStyle w:val="TableText"/>
              <w:jc w:val="right"/>
              <w:rPr>
                <w:sz w:val="16"/>
                <w:szCs w:val="16"/>
              </w:rPr>
            </w:pPr>
            <w:r w:rsidRPr="004F1B86">
              <w:rPr>
                <w:sz w:val="16"/>
                <w:szCs w:val="16"/>
              </w:rPr>
              <w:t>73.2</w:t>
            </w:r>
          </w:p>
        </w:tc>
        <w:tc>
          <w:tcPr>
            <w:tcW w:w="1304" w:type="dxa"/>
            <w:tcBorders>
              <w:top w:val="single" w:sz="4" w:space="0" w:color="A6A6A6" w:themeColor="background1" w:themeShade="A6"/>
              <w:left w:val="nil"/>
              <w:bottom w:val="single" w:sz="4" w:space="0" w:color="A6A6A6" w:themeColor="background1" w:themeShade="A6"/>
              <w:right w:val="nil"/>
            </w:tcBorders>
          </w:tcPr>
          <w:p w14:paraId="288E04B8" w14:textId="12DFFE69" w:rsidR="00240F96" w:rsidRPr="004F1B86" w:rsidRDefault="00240F96" w:rsidP="00240F96">
            <w:pPr>
              <w:pStyle w:val="TableText"/>
              <w:jc w:val="right"/>
              <w:rPr>
                <w:sz w:val="16"/>
                <w:szCs w:val="16"/>
              </w:rPr>
            </w:pPr>
            <w:r w:rsidRPr="004F1B86">
              <w:rPr>
                <w:sz w:val="16"/>
                <w:szCs w:val="16"/>
              </w:rPr>
              <w:t>75.1</w:t>
            </w:r>
          </w:p>
        </w:tc>
        <w:tc>
          <w:tcPr>
            <w:tcW w:w="1304" w:type="dxa"/>
            <w:tcBorders>
              <w:top w:val="single" w:sz="4" w:space="0" w:color="A6A6A6" w:themeColor="background1" w:themeShade="A6"/>
              <w:left w:val="nil"/>
              <w:bottom w:val="single" w:sz="4" w:space="0" w:color="A6A6A6" w:themeColor="background1" w:themeShade="A6"/>
              <w:right w:val="nil"/>
            </w:tcBorders>
          </w:tcPr>
          <w:p w14:paraId="6B57DE0F" w14:textId="362FADFA" w:rsidR="00240F96" w:rsidRPr="004F1B86" w:rsidRDefault="00240F96" w:rsidP="00240F96">
            <w:pPr>
              <w:pStyle w:val="TableText"/>
              <w:jc w:val="right"/>
              <w:rPr>
                <w:sz w:val="16"/>
                <w:szCs w:val="16"/>
              </w:rPr>
            </w:pPr>
            <w:r w:rsidRPr="004F1B86">
              <w:rPr>
                <w:sz w:val="16"/>
                <w:szCs w:val="16"/>
              </w:rPr>
              <w:t>77.1</w:t>
            </w:r>
          </w:p>
        </w:tc>
        <w:tc>
          <w:tcPr>
            <w:tcW w:w="1305" w:type="dxa"/>
            <w:tcBorders>
              <w:top w:val="single" w:sz="4" w:space="0" w:color="A6A6A6" w:themeColor="background1" w:themeShade="A6"/>
              <w:left w:val="nil"/>
              <w:bottom w:val="single" w:sz="4" w:space="0" w:color="A6A6A6" w:themeColor="background1" w:themeShade="A6"/>
              <w:right w:val="nil"/>
            </w:tcBorders>
          </w:tcPr>
          <w:p w14:paraId="24EECFC6" w14:textId="5E3233A0" w:rsidR="00240F96" w:rsidRPr="004F1B86" w:rsidRDefault="00240F96" w:rsidP="00240F96">
            <w:pPr>
              <w:pStyle w:val="TableText"/>
              <w:jc w:val="right"/>
              <w:rPr>
                <w:sz w:val="16"/>
                <w:szCs w:val="16"/>
              </w:rPr>
            </w:pPr>
            <w:r w:rsidRPr="004F1B86">
              <w:rPr>
                <w:sz w:val="16"/>
                <w:szCs w:val="16"/>
              </w:rPr>
              <w:t>77.2</w:t>
            </w:r>
          </w:p>
        </w:tc>
      </w:tr>
      <w:tr w:rsidR="00240F96" w:rsidRPr="004F1B86" w14:paraId="629BD0A0" w14:textId="77777777" w:rsidTr="004F1B86">
        <w:tc>
          <w:tcPr>
            <w:tcW w:w="1843" w:type="dxa"/>
            <w:tcBorders>
              <w:top w:val="single" w:sz="4" w:space="0" w:color="A6A6A6" w:themeColor="background1" w:themeShade="A6"/>
              <w:left w:val="nil"/>
              <w:bottom w:val="single" w:sz="4" w:space="0" w:color="A6A6A6" w:themeColor="background1" w:themeShade="A6"/>
              <w:right w:val="nil"/>
            </w:tcBorders>
          </w:tcPr>
          <w:p w14:paraId="073E3FCC" w14:textId="46F358DE" w:rsidR="00240F96" w:rsidRPr="004F1B86" w:rsidRDefault="00240F96" w:rsidP="00240F96">
            <w:pPr>
              <w:pStyle w:val="TableText"/>
              <w:rPr>
                <w:sz w:val="16"/>
                <w:szCs w:val="16"/>
              </w:rPr>
            </w:pPr>
            <w:r w:rsidRPr="004F1B86">
              <w:rPr>
                <w:sz w:val="16"/>
                <w:szCs w:val="16"/>
              </w:rPr>
              <w:t>Māori male</w:t>
            </w:r>
          </w:p>
        </w:tc>
        <w:tc>
          <w:tcPr>
            <w:tcW w:w="1304" w:type="dxa"/>
            <w:tcBorders>
              <w:top w:val="single" w:sz="4" w:space="0" w:color="A6A6A6" w:themeColor="background1" w:themeShade="A6"/>
              <w:left w:val="nil"/>
              <w:bottom w:val="single" w:sz="4" w:space="0" w:color="A6A6A6" w:themeColor="background1" w:themeShade="A6"/>
              <w:right w:val="nil"/>
            </w:tcBorders>
          </w:tcPr>
          <w:p w14:paraId="7A221EB1" w14:textId="00A50B07" w:rsidR="00240F96" w:rsidRPr="004F1B86" w:rsidRDefault="00240F96" w:rsidP="00240F96">
            <w:pPr>
              <w:pStyle w:val="TableText"/>
              <w:jc w:val="right"/>
              <w:rPr>
                <w:sz w:val="16"/>
                <w:szCs w:val="16"/>
              </w:rPr>
            </w:pPr>
            <w:r w:rsidRPr="004F1B86">
              <w:rPr>
                <w:sz w:val="16"/>
                <w:szCs w:val="16"/>
              </w:rPr>
              <w:t>66.6</w:t>
            </w:r>
          </w:p>
        </w:tc>
        <w:tc>
          <w:tcPr>
            <w:tcW w:w="1304" w:type="dxa"/>
            <w:tcBorders>
              <w:top w:val="single" w:sz="4" w:space="0" w:color="A6A6A6" w:themeColor="background1" w:themeShade="A6"/>
              <w:left w:val="nil"/>
              <w:bottom w:val="single" w:sz="4" w:space="0" w:color="A6A6A6" w:themeColor="background1" w:themeShade="A6"/>
              <w:right w:val="nil"/>
            </w:tcBorders>
          </w:tcPr>
          <w:p w14:paraId="0A00653D" w14:textId="56A4BEDE" w:rsidR="00240F96" w:rsidRPr="004F1B86" w:rsidRDefault="00240F96" w:rsidP="00240F96">
            <w:pPr>
              <w:pStyle w:val="TableText"/>
              <w:jc w:val="right"/>
              <w:rPr>
                <w:sz w:val="16"/>
                <w:szCs w:val="16"/>
              </w:rPr>
            </w:pPr>
            <w:r w:rsidRPr="004F1B86">
              <w:rPr>
                <w:sz w:val="16"/>
                <w:szCs w:val="16"/>
              </w:rPr>
              <w:t>69.0</w:t>
            </w:r>
          </w:p>
        </w:tc>
        <w:tc>
          <w:tcPr>
            <w:tcW w:w="1304" w:type="dxa"/>
            <w:tcBorders>
              <w:top w:val="single" w:sz="4" w:space="0" w:color="A6A6A6" w:themeColor="background1" w:themeShade="A6"/>
              <w:left w:val="nil"/>
              <w:bottom w:val="single" w:sz="4" w:space="0" w:color="A6A6A6" w:themeColor="background1" w:themeShade="A6"/>
              <w:right w:val="nil"/>
            </w:tcBorders>
          </w:tcPr>
          <w:p w14:paraId="4C388F3B" w14:textId="093B34C0" w:rsidR="00240F96" w:rsidRPr="004F1B86" w:rsidRDefault="00240F96" w:rsidP="00240F96">
            <w:pPr>
              <w:pStyle w:val="TableText"/>
              <w:jc w:val="right"/>
              <w:rPr>
                <w:sz w:val="16"/>
                <w:szCs w:val="16"/>
              </w:rPr>
            </w:pPr>
            <w:r w:rsidRPr="004F1B86">
              <w:rPr>
                <w:sz w:val="16"/>
                <w:szCs w:val="16"/>
              </w:rPr>
              <w:t>70.4</w:t>
            </w:r>
          </w:p>
        </w:tc>
        <w:tc>
          <w:tcPr>
            <w:tcW w:w="1304" w:type="dxa"/>
            <w:tcBorders>
              <w:top w:val="single" w:sz="4" w:space="0" w:color="A6A6A6" w:themeColor="background1" w:themeShade="A6"/>
              <w:left w:val="nil"/>
              <w:bottom w:val="single" w:sz="4" w:space="0" w:color="A6A6A6" w:themeColor="background1" w:themeShade="A6"/>
              <w:right w:val="nil"/>
            </w:tcBorders>
          </w:tcPr>
          <w:p w14:paraId="30DB9B82" w14:textId="3F63707C" w:rsidR="00240F96" w:rsidRPr="004F1B86" w:rsidRDefault="00240F96" w:rsidP="00240F96">
            <w:pPr>
              <w:pStyle w:val="TableText"/>
              <w:jc w:val="right"/>
              <w:rPr>
                <w:sz w:val="16"/>
                <w:szCs w:val="16"/>
              </w:rPr>
            </w:pPr>
            <w:r w:rsidRPr="004F1B86">
              <w:rPr>
                <w:sz w:val="16"/>
                <w:szCs w:val="16"/>
              </w:rPr>
              <w:t>73.0</w:t>
            </w:r>
          </w:p>
        </w:tc>
        <w:tc>
          <w:tcPr>
            <w:tcW w:w="1305" w:type="dxa"/>
            <w:tcBorders>
              <w:top w:val="single" w:sz="4" w:space="0" w:color="A6A6A6" w:themeColor="background1" w:themeShade="A6"/>
              <w:left w:val="nil"/>
              <w:bottom w:val="single" w:sz="4" w:space="0" w:color="A6A6A6" w:themeColor="background1" w:themeShade="A6"/>
              <w:right w:val="nil"/>
            </w:tcBorders>
          </w:tcPr>
          <w:p w14:paraId="73E9923B" w14:textId="64DF0A81" w:rsidR="00240F96" w:rsidRPr="004F1B86" w:rsidRDefault="00240F96" w:rsidP="00240F96">
            <w:pPr>
              <w:pStyle w:val="TableText"/>
              <w:jc w:val="right"/>
              <w:rPr>
                <w:sz w:val="16"/>
                <w:szCs w:val="16"/>
              </w:rPr>
            </w:pPr>
            <w:r w:rsidRPr="004F1B86">
              <w:rPr>
                <w:sz w:val="16"/>
                <w:szCs w:val="16"/>
              </w:rPr>
              <w:t>73.5</w:t>
            </w:r>
          </w:p>
        </w:tc>
      </w:tr>
      <w:tr w:rsidR="00240F96" w:rsidRPr="004F1B86" w14:paraId="68F4A73B" w14:textId="77777777" w:rsidTr="004F1B86">
        <w:tc>
          <w:tcPr>
            <w:tcW w:w="1843" w:type="dxa"/>
            <w:tcBorders>
              <w:top w:val="single" w:sz="4" w:space="0" w:color="A6A6A6" w:themeColor="background1" w:themeShade="A6"/>
              <w:left w:val="nil"/>
              <w:bottom w:val="single" w:sz="4" w:space="0" w:color="A6A6A6" w:themeColor="background1" w:themeShade="A6"/>
              <w:right w:val="nil"/>
            </w:tcBorders>
          </w:tcPr>
          <w:p w14:paraId="0E9F793F" w14:textId="5BA2DF50" w:rsidR="00240F96" w:rsidRPr="004F1B86" w:rsidRDefault="00240F96" w:rsidP="00240F96">
            <w:pPr>
              <w:pStyle w:val="TableText"/>
              <w:rPr>
                <w:sz w:val="16"/>
                <w:szCs w:val="16"/>
              </w:rPr>
            </w:pPr>
            <w:r w:rsidRPr="004F1B86">
              <w:rPr>
                <w:sz w:val="16"/>
                <w:szCs w:val="16"/>
              </w:rPr>
              <w:t>Non-Māori female</w:t>
            </w:r>
          </w:p>
        </w:tc>
        <w:tc>
          <w:tcPr>
            <w:tcW w:w="1304" w:type="dxa"/>
            <w:tcBorders>
              <w:top w:val="single" w:sz="4" w:space="0" w:color="A6A6A6" w:themeColor="background1" w:themeShade="A6"/>
              <w:left w:val="nil"/>
              <w:bottom w:val="single" w:sz="4" w:space="0" w:color="A6A6A6" w:themeColor="background1" w:themeShade="A6"/>
              <w:right w:val="nil"/>
            </w:tcBorders>
          </w:tcPr>
          <w:p w14:paraId="16FB27AD" w14:textId="125DE1D9" w:rsidR="00240F96" w:rsidRPr="004F1B86" w:rsidRDefault="00240F96" w:rsidP="00240F96">
            <w:pPr>
              <w:pStyle w:val="TableText"/>
              <w:jc w:val="right"/>
              <w:rPr>
                <w:sz w:val="16"/>
                <w:szCs w:val="16"/>
              </w:rPr>
            </w:pPr>
            <w:r w:rsidRPr="004F1B86">
              <w:rPr>
                <w:sz w:val="16"/>
                <w:szCs w:val="16"/>
              </w:rPr>
              <w:t>80.6</w:t>
            </w:r>
          </w:p>
        </w:tc>
        <w:tc>
          <w:tcPr>
            <w:tcW w:w="1304" w:type="dxa"/>
            <w:tcBorders>
              <w:top w:val="single" w:sz="4" w:space="0" w:color="A6A6A6" w:themeColor="background1" w:themeShade="A6"/>
              <w:left w:val="nil"/>
              <w:bottom w:val="single" w:sz="4" w:space="0" w:color="A6A6A6" w:themeColor="background1" w:themeShade="A6"/>
              <w:right w:val="nil"/>
            </w:tcBorders>
          </w:tcPr>
          <w:p w14:paraId="3C2DDDC2" w14:textId="36ADF6E2" w:rsidR="00240F96" w:rsidRPr="004F1B86" w:rsidRDefault="00240F96" w:rsidP="00240F96">
            <w:pPr>
              <w:pStyle w:val="TableText"/>
              <w:jc w:val="right"/>
              <w:rPr>
                <w:sz w:val="16"/>
                <w:szCs w:val="16"/>
              </w:rPr>
            </w:pPr>
            <w:r w:rsidRPr="004F1B86">
              <w:rPr>
                <w:sz w:val="16"/>
                <w:szCs w:val="16"/>
              </w:rPr>
              <w:t>81.9</w:t>
            </w:r>
          </w:p>
        </w:tc>
        <w:tc>
          <w:tcPr>
            <w:tcW w:w="1304" w:type="dxa"/>
            <w:tcBorders>
              <w:top w:val="single" w:sz="4" w:space="0" w:color="A6A6A6" w:themeColor="background1" w:themeShade="A6"/>
              <w:left w:val="nil"/>
              <w:bottom w:val="single" w:sz="4" w:space="0" w:color="A6A6A6" w:themeColor="background1" w:themeShade="A6"/>
              <w:right w:val="nil"/>
            </w:tcBorders>
          </w:tcPr>
          <w:p w14:paraId="46A12103" w14:textId="4AE506A8" w:rsidR="00240F96" w:rsidRPr="004F1B86" w:rsidRDefault="00240F96" w:rsidP="00240F96">
            <w:pPr>
              <w:pStyle w:val="TableText"/>
              <w:jc w:val="right"/>
              <w:rPr>
                <w:sz w:val="16"/>
                <w:szCs w:val="16"/>
              </w:rPr>
            </w:pPr>
            <w:r w:rsidRPr="004F1B86">
              <w:rPr>
                <w:sz w:val="16"/>
                <w:szCs w:val="16"/>
              </w:rPr>
              <w:t>83.0</w:t>
            </w:r>
          </w:p>
        </w:tc>
        <w:tc>
          <w:tcPr>
            <w:tcW w:w="1304" w:type="dxa"/>
            <w:tcBorders>
              <w:top w:val="single" w:sz="4" w:space="0" w:color="A6A6A6" w:themeColor="background1" w:themeShade="A6"/>
              <w:left w:val="nil"/>
              <w:bottom w:val="single" w:sz="4" w:space="0" w:color="A6A6A6" w:themeColor="background1" w:themeShade="A6"/>
              <w:right w:val="nil"/>
            </w:tcBorders>
          </w:tcPr>
          <w:p w14:paraId="2E7C3925" w14:textId="4F3D2A9B" w:rsidR="00240F96" w:rsidRPr="004F1B86" w:rsidRDefault="00240F96" w:rsidP="00240F96">
            <w:pPr>
              <w:pStyle w:val="TableText"/>
              <w:jc w:val="right"/>
              <w:rPr>
                <w:sz w:val="16"/>
                <w:szCs w:val="16"/>
              </w:rPr>
            </w:pPr>
            <w:r w:rsidRPr="004F1B86">
              <w:rPr>
                <w:sz w:val="16"/>
                <w:szCs w:val="16"/>
              </w:rPr>
              <w:t>83.9</w:t>
            </w:r>
          </w:p>
        </w:tc>
        <w:tc>
          <w:tcPr>
            <w:tcW w:w="1305" w:type="dxa"/>
            <w:tcBorders>
              <w:top w:val="single" w:sz="4" w:space="0" w:color="A6A6A6" w:themeColor="background1" w:themeShade="A6"/>
              <w:left w:val="nil"/>
              <w:bottom w:val="single" w:sz="4" w:space="0" w:color="A6A6A6" w:themeColor="background1" w:themeShade="A6"/>
              <w:right w:val="nil"/>
            </w:tcBorders>
          </w:tcPr>
          <w:p w14:paraId="6EA91E19" w14:textId="78985266" w:rsidR="00240F96" w:rsidRPr="004F1B86" w:rsidRDefault="00240F96" w:rsidP="00240F96">
            <w:pPr>
              <w:pStyle w:val="TableText"/>
              <w:jc w:val="right"/>
              <w:rPr>
                <w:sz w:val="16"/>
                <w:szCs w:val="16"/>
              </w:rPr>
            </w:pPr>
            <w:r w:rsidRPr="004F1B86">
              <w:rPr>
                <w:sz w:val="16"/>
                <w:szCs w:val="16"/>
              </w:rPr>
              <w:t>84.4</w:t>
            </w:r>
          </w:p>
        </w:tc>
      </w:tr>
      <w:tr w:rsidR="00240F96" w:rsidRPr="004F1B86" w14:paraId="41BC677B" w14:textId="77777777" w:rsidTr="004F1B86">
        <w:tc>
          <w:tcPr>
            <w:tcW w:w="1843" w:type="dxa"/>
            <w:tcBorders>
              <w:top w:val="single" w:sz="4" w:space="0" w:color="A6A6A6" w:themeColor="background1" w:themeShade="A6"/>
              <w:left w:val="nil"/>
              <w:bottom w:val="single" w:sz="4" w:space="0" w:color="A6A6A6" w:themeColor="background1" w:themeShade="A6"/>
              <w:right w:val="nil"/>
            </w:tcBorders>
          </w:tcPr>
          <w:p w14:paraId="0CC06FE8" w14:textId="069E07F2" w:rsidR="00240F96" w:rsidRPr="004F1B86" w:rsidRDefault="00240F96" w:rsidP="00240F96">
            <w:pPr>
              <w:pStyle w:val="TableText"/>
              <w:rPr>
                <w:sz w:val="16"/>
                <w:szCs w:val="16"/>
              </w:rPr>
            </w:pPr>
            <w:r w:rsidRPr="004F1B86">
              <w:rPr>
                <w:sz w:val="16"/>
                <w:szCs w:val="16"/>
              </w:rPr>
              <w:t>Non-Māori male</w:t>
            </w:r>
          </w:p>
        </w:tc>
        <w:tc>
          <w:tcPr>
            <w:tcW w:w="1304" w:type="dxa"/>
            <w:tcBorders>
              <w:top w:val="single" w:sz="4" w:space="0" w:color="A6A6A6" w:themeColor="background1" w:themeShade="A6"/>
              <w:left w:val="nil"/>
              <w:bottom w:val="single" w:sz="4" w:space="0" w:color="A6A6A6" w:themeColor="background1" w:themeShade="A6"/>
              <w:right w:val="nil"/>
            </w:tcBorders>
          </w:tcPr>
          <w:p w14:paraId="4D91D938" w14:textId="77A3902C" w:rsidR="00240F96" w:rsidRPr="004F1B86" w:rsidRDefault="00240F96" w:rsidP="00240F96">
            <w:pPr>
              <w:pStyle w:val="TableText"/>
              <w:jc w:val="right"/>
              <w:rPr>
                <w:sz w:val="16"/>
                <w:szCs w:val="16"/>
              </w:rPr>
            </w:pPr>
            <w:r w:rsidRPr="004F1B86">
              <w:rPr>
                <w:sz w:val="16"/>
                <w:szCs w:val="16"/>
              </w:rPr>
              <w:t>75.4</w:t>
            </w:r>
          </w:p>
        </w:tc>
        <w:tc>
          <w:tcPr>
            <w:tcW w:w="1304" w:type="dxa"/>
            <w:tcBorders>
              <w:top w:val="single" w:sz="4" w:space="0" w:color="A6A6A6" w:themeColor="background1" w:themeShade="A6"/>
              <w:left w:val="nil"/>
              <w:bottom w:val="single" w:sz="4" w:space="0" w:color="A6A6A6" w:themeColor="background1" w:themeShade="A6"/>
              <w:right w:val="nil"/>
            </w:tcBorders>
          </w:tcPr>
          <w:p w14:paraId="6F470D30" w14:textId="58DEF034" w:rsidR="00240F96" w:rsidRPr="004F1B86" w:rsidRDefault="00240F96" w:rsidP="00240F96">
            <w:pPr>
              <w:pStyle w:val="TableText"/>
              <w:jc w:val="right"/>
              <w:rPr>
                <w:sz w:val="16"/>
                <w:szCs w:val="16"/>
              </w:rPr>
            </w:pPr>
            <w:r w:rsidRPr="004F1B86">
              <w:rPr>
                <w:sz w:val="16"/>
                <w:szCs w:val="16"/>
              </w:rPr>
              <w:t>77.2</w:t>
            </w:r>
          </w:p>
        </w:tc>
        <w:tc>
          <w:tcPr>
            <w:tcW w:w="1304" w:type="dxa"/>
            <w:tcBorders>
              <w:top w:val="single" w:sz="4" w:space="0" w:color="A6A6A6" w:themeColor="background1" w:themeShade="A6"/>
              <w:left w:val="nil"/>
              <w:bottom w:val="single" w:sz="4" w:space="0" w:color="A6A6A6" w:themeColor="background1" w:themeShade="A6"/>
              <w:right w:val="nil"/>
            </w:tcBorders>
          </w:tcPr>
          <w:p w14:paraId="13D1CE18" w14:textId="7BB1DD6B" w:rsidR="00240F96" w:rsidRPr="004F1B86" w:rsidRDefault="00240F96" w:rsidP="00240F96">
            <w:pPr>
              <w:pStyle w:val="TableText"/>
              <w:jc w:val="right"/>
              <w:rPr>
                <w:sz w:val="16"/>
                <w:szCs w:val="16"/>
              </w:rPr>
            </w:pPr>
            <w:r w:rsidRPr="004F1B86">
              <w:rPr>
                <w:sz w:val="16"/>
                <w:szCs w:val="16"/>
              </w:rPr>
              <w:t>79.0</w:t>
            </w:r>
          </w:p>
        </w:tc>
        <w:tc>
          <w:tcPr>
            <w:tcW w:w="1304" w:type="dxa"/>
            <w:tcBorders>
              <w:top w:val="single" w:sz="4" w:space="0" w:color="A6A6A6" w:themeColor="background1" w:themeShade="A6"/>
              <w:left w:val="nil"/>
              <w:bottom w:val="single" w:sz="4" w:space="0" w:color="A6A6A6" w:themeColor="background1" w:themeShade="A6"/>
              <w:right w:val="nil"/>
            </w:tcBorders>
          </w:tcPr>
          <w:p w14:paraId="72DC38AC" w14:textId="71884C9A" w:rsidR="00240F96" w:rsidRPr="004F1B86" w:rsidRDefault="00240F96" w:rsidP="00240F96">
            <w:pPr>
              <w:pStyle w:val="TableText"/>
              <w:jc w:val="right"/>
              <w:rPr>
                <w:sz w:val="16"/>
                <w:szCs w:val="16"/>
              </w:rPr>
            </w:pPr>
            <w:r w:rsidRPr="004F1B86">
              <w:rPr>
                <w:sz w:val="16"/>
                <w:szCs w:val="16"/>
              </w:rPr>
              <w:t>80.3</w:t>
            </w:r>
          </w:p>
        </w:tc>
        <w:tc>
          <w:tcPr>
            <w:tcW w:w="1305" w:type="dxa"/>
            <w:tcBorders>
              <w:top w:val="single" w:sz="4" w:space="0" w:color="A6A6A6" w:themeColor="background1" w:themeShade="A6"/>
              <w:left w:val="nil"/>
              <w:bottom w:val="single" w:sz="4" w:space="0" w:color="A6A6A6" w:themeColor="background1" w:themeShade="A6"/>
              <w:right w:val="nil"/>
            </w:tcBorders>
          </w:tcPr>
          <w:p w14:paraId="0577030B" w14:textId="14EF9E2B" w:rsidR="00240F96" w:rsidRPr="004F1B86" w:rsidRDefault="00240F96" w:rsidP="00240F96">
            <w:pPr>
              <w:pStyle w:val="TableText"/>
              <w:jc w:val="right"/>
              <w:rPr>
                <w:sz w:val="16"/>
                <w:szCs w:val="16"/>
              </w:rPr>
            </w:pPr>
            <w:r w:rsidRPr="004F1B86">
              <w:rPr>
                <w:sz w:val="16"/>
                <w:szCs w:val="16"/>
              </w:rPr>
              <w:t>80.9</w:t>
            </w:r>
          </w:p>
        </w:tc>
      </w:tr>
    </w:tbl>
    <w:p w14:paraId="68DE0611" w14:textId="454A4F87" w:rsidR="00240F96" w:rsidRDefault="00240F96" w:rsidP="00A66B6E">
      <w:pPr>
        <w:pStyle w:val="Note"/>
        <w:tabs>
          <w:tab w:val="left" w:pos="709"/>
        </w:tabs>
        <w:ind w:left="709" w:hanging="709"/>
      </w:pPr>
      <w:r>
        <w:t xml:space="preserve">Note: </w:t>
      </w:r>
      <w:r w:rsidR="00A66B6E">
        <w:tab/>
      </w:r>
      <w:r>
        <w:t>Please take care when making comparisons to 2012–14 period life tables, particularly for the Māori ethnic group. The revised Māori population estimates suggest an apparent underestimation of the Māori ethnic group.</w:t>
      </w:r>
    </w:p>
    <w:p w14:paraId="739F674E" w14:textId="4ED9BFCA" w:rsidR="00240F96" w:rsidRDefault="00A66B6E" w:rsidP="00A66B6E">
      <w:pPr>
        <w:pStyle w:val="Note"/>
        <w:tabs>
          <w:tab w:val="left" w:pos="709"/>
        </w:tabs>
        <w:ind w:left="709" w:hanging="709"/>
      </w:pPr>
      <w:r>
        <w:tab/>
      </w:r>
      <w:r w:rsidR="00240F96">
        <w:t xml:space="preserve">Life expectancy figures for 2019–21 and 2020–22 </w:t>
      </w:r>
      <w:proofErr w:type="gramStart"/>
      <w:r w:rsidR="00240F96">
        <w:t>are</w:t>
      </w:r>
      <w:proofErr w:type="gramEnd"/>
      <w:r w:rsidR="00240F96">
        <w:t xml:space="preserve"> an interim indication of trends from abridged period life tables. All other figures are based on complete period life tables.</w:t>
      </w:r>
    </w:p>
    <w:p w14:paraId="6BF97FA3" w14:textId="77777777" w:rsidR="00EC5D95" w:rsidRPr="00EC5D95" w:rsidRDefault="00EC5D95" w:rsidP="00EC5D95"/>
    <w:p w14:paraId="3BFEFF12" w14:textId="77777777" w:rsidR="00EC5D95" w:rsidRPr="00EC5D95" w:rsidRDefault="00EC5D95" w:rsidP="00EC5D95"/>
    <w:p w14:paraId="6C9BF106" w14:textId="77777777" w:rsidR="00DC1132" w:rsidRDefault="00DC1132" w:rsidP="00EC5D95">
      <w:pPr>
        <w:sectPr w:rsidR="00DC1132" w:rsidSect="008F0115">
          <w:pgSz w:w="11907" w:h="16840" w:code="9"/>
          <w:pgMar w:top="1418" w:right="1701" w:bottom="1134" w:left="1843" w:header="284" w:footer="425" w:gutter="284"/>
          <w:cols w:space="720"/>
        </w:sectPr>
      </w:pP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79"/>
        <w:gridCol w:w="22"/>
        <w:gridCol w:w="711"/>
        <w:gridCol w:w="727"/>
        <w:gridCol w:w="726"/>
        <w:gridCol w:w="726"/>
        <w:gridCol w:w="726"/>
        <w:gridCol w:w="726"/>
        <w:gridCol w:w="631"/>
        <w:gridCol w:w="631"/>
        <w:gridCol w:w="696"/>
        <w:gridCol w:w="668"/>
        <w:gridCol w:w="11"/>
      </w:tblGrid>
      <w:tr w:rsidR="00DC1132" w14:paraId="547E77F3" w14:textId="77777777" w:rsidTr="00DC1132">
        <w:tc>
          <w:tcPr>
            <w:tcW w:w="8080" w:type="dxa"/>
            <w:gridSpan w:val="13"/>
            <w:tcBorders>
              <w:top w:val="nil"/>
              <w:left w:val="nil"/>
              <w:bottom w:val="nil"/>
              <w:right w:val="nil"/>
            </w:tcBorders>
            <w:shd w:val="clear" w:color="auto" w:fill="D9D9D9" w:themeFill="background1" w:themeFillShade="D9"/>
            <w:hideMark/>
          </w:tcPr>
          <w:p w14:paraId="38634C9A" w14:textId="4E2470D5" w:rsidR="00DC1132" w:rsidRDefault="00DC1132">
            <w:pPr>
              <w:pStyle w:val="TableText"/>
              <w:rPr>
                <w:b/>
                <w:bCs/>
              </w:rPr>
            </w:pPr>
            <w:r w:rsidRPr="00DC1132">
              <w:rPr>
                <w:b/>
                <w:bCs/>
              </w:rPr>
              <w:lastRenderedPageBreak/>
              <w:t>Decrease age-standardised disability-adjusted life years (DALYs) per 1,000 people</w:t>
            </w:r>
          </w:p>
        </w:tc>
      </w:tr>
      <w:tr w:rsidR="00DC1132" w14:paraId="512A70F9" w14:textId="77777777" w:rsidTr="00DC1132">
        <w:tc>
          <w:tcPr>
            <w:tcW w:w="1101" w:type="dxa"/>
            <w:gridSpan w:val="2"/>
            <w:tcBorders>
              <w:top w:val="nil"/>
              <w:left w:val="nil"/>
              <w:bottom w:val="single" w:sz="4" w:space="0" w:color="A6A6A6" w:themeColor="background1" w:themeShade="A6"/>
              <w:right w:val="nil"/>
            </w:tcBorders>
            <w:hideMark/>
          </w:tcPr>
          <w:p w14:paraId="12CC9479" w14:textId="77777777" w:rsidR="00DC1132" w:rsidRDefault="00DC1132" w:rsidP="00DC1132">
            <w:pPr>
              <w:pStyle w:val="TableText"/>
              <w:rPr>
                <w:b/>
                <w:bCs/>
              </w:rPr>
            </w:pPr>
            <w:r>
              <w:rPr>
                <w:b/>
                <w:bCs/>
              </w:rPr>
              <w:t>Measures</w:t>
            </w:r>
          </w:p>
        </w:tc>
        <w:tc>
          <w:tcPr>
            <w:tcW w:w="6979" w:type="dxa"/>
            <w:gridSpan w:val="11"/>
            <w:tcBorders>
              <w:top w:val="nil"/>
              <w:left w:val="nil"/>
              <w:bottom w:val="single" w:sz="4" w:space="0" w:color="A6A6A6" w:themeColor="background1" w:themeShade="A6"/>
              <w:right w:val="nil"/>
            </w:tcBorders>
            <w:hideMark/>
          </w:tcPr>
          <w:p w14:paraId="75591C74" w14:textId="77777777" w:rsidR="00DC1132" w:rsidRDefault="00DC1132" w:rsidP="00DC1132">
            <w:pPr>
              <w:pStyle w:val="TableText"/>
              <w:rPr>
                <w:rFonts w:ascii="Lucida Sans Unicode" w:hAnsi="Lucida Sans Unicode"/>
                <w:lang w:eastAsia="en-US"/>
              </w:rPr>
            </w:pPr>
            <w:r>
              <w:t xml:space="preserve">DALY is an abbreviation for disability-adjusted life year. One DALY represents the </w:t>
            </w:r>
            <w:r>
              <w:rPr>
                <w:w w:val="105"/>
              </w:rPr>
              <w:t>loss</w:t>
            </w:r>
            <w:r>
              <w:rPr>
                <w:spacing w:val="-15"/>
                <w:w w:val="105"/>
              </w:rPr>
              <w:t xml:space="preserve"> </w:t>
            </w:r>
            <w:r>
              <w:rPr>
                <w:w w:val="105"/>
              </w:rPr>
              <w:t>of</w:t>
            </w:r>
            <w:r>
              <w:rPr>
                <w:spacing w:val="-15"/>
                <w:w w:val="105"/>
              </w:rPr>
              <w:t xml:space="preserve"> </w:t>
            </w:r>
            <w:r>
              <w:rPr>
                <w:w w:val="105"/>
              </w:rPr>
              <w:t>one</w:t>
            </w:r>
            <w:r>
              <w:rPr>
                <w:spacing w:val="-15"/>
                <w:w w:val="105"/>
              </w:rPr>
              <w:t xml:space="preserve"> </w:t>
            </w:r>
            <w:r>
              <w:rPr>
                <w:w w:val="105"/>
              </w:rPr>
              <w:t>year</w:t>
            </w:r>
            <w:r>
              <w:rPr>
                <w:spacing w:val="-15"/>
                <w:w w:val="105"/>
              </w:rPr>
              <w:t xml:space="preserve"> </w:t>
            </w:r>
            <w:r>
              <w:rPr>
                <w:w w:val="105"/>
              </w:rPr>
              <w:t>lived</w:t>
            </w:r>
            <w:r>
              <w:rPr>
                <w:spacing w:val="-15"/>
                <w:w w:val="105"/>
              </w:rPr>
              <w:t xml:space="preserve"> </w:t>
            </w:r>
            <w:r>
              <w:rPr>
                <w:w w:val="105"/>
              </w:rPr>
              <w:t>in</w:t>
            </w:r>
            <w:r>
              <w:rPr>
                <w:spacing w:val="-15"/>
                <w:w w:val="105"/>
              </w:rPr>
              <w:t xml:space="preserve"> </w:t>
            </w:r>
            <w:r>
              <w:rPr>
                <w:w w:val="105"/>
              </w:rPr>
              <w:t>full</w:t>
            </w:r>
            <w:r>
              <w:rPr>
                <w:spacing w:val="-15"/>
                <w:w w:val="105"/>
              </w:rPr>
              <w:t xml:space="preserve"> </w:t>
            </w:r>
            <w:r>
              <w:rPr>
                <w:w w:val="105"/>
              </w:rPr>
              <w:t>health.</w:t>
            </w:r>
            <w:r>
              <w:rPr>
                <w:spacing w:val="-15"/>
                <w:w w:val="105"/>
              </w:rPr>
              <w:t xml:space="preserve"> </w:t>
            </w:r>
            <w:r>
              <w:rPr>
                <w:w w:val="105"/>
              </w:rPr>
              <w:t>DALYs</w:t>
            </w:r>
            <w:r>
              <w:rPr>
                <w:spacing w:val="-15"/>
                <w:w w:val="105"/>
              </w:rPr>
              <w:t xml:space="preserve"> </w:t>
            </w:r>
            <w:r>
              <w:rPr>
                <w:w w:val="105"/>
              </w:rPr>
              <w:t>include</w:t>
            </w:r>
            <w:r>
              <w:rPr>
                <w:spacing w:val="-15"/>
                <w:w w:val="105"/>
              </w:rPr>
              <w:t xml:space="preserve"> </w:t>
            </w:r>
            <w:r>
              <w:rPr>
                <w:w w:val="105"/>
              </w:rPr>
              <w:t>health</w:t>
            </w:r>
            <w:r>
              <w:rPr>
                <w:spacing w:val="-15"/>
                <w:w w:val="105"/>
              </w:rPr>
              <w:t xml:space="preserve"> </w:t>
            </w:r>
            <w:r>
              <w:rPr>
                <w:w w:val="105"/>
              </w:rPr>
              <w:t>losses</w:t>
            </w:r>
            <w:r>
              <w:rPr>
                <w:spacing w:val="-15"/>
                <w:w w:val="105"/>
              </w:rPr>
              <w:t xml:space="preserve"> </w:t>
            </w:r>
            <w:r>
              <w:rPr>
                <w:w w:val="105"/>
              </w:rPr>
              <w:t>from</w:t>
            </w:r>
            <w:r>
              <w:rPr>
                <w:spacing w:val="-15"/>
                <w:w w:val="105"/>
              </w:rPr>
              <w:t xml:space="preserve"> </w:t>
            </w:r>
            <w:r>
              <w:rPr>
                <w:w w:val="105"/>
              </w:rPr>
              <w:t>premature mortality</w:t>
            </w:r>
            <w:r>
              <w:rPr>
                <w:spacing w:val="-3"/>
                <w:w w:val="105"/>
              </w:rPr>
              <w:t xml:space="preserve"> </w:t>
            </w:r>
            <w:r>
              <w:rPr>
                <w:w w:val="105"/>
              </w:rPr>
              <w:t>and</w:t>
            </w:r>
            <w:r>
              <w:rPr>
                <w:spacing w:val="-3"/>
                <w:w w:val="105"/>
              </w:rPr>
              <w:t xml:space="preserve"> </w:t>
            </w:r>
            <w:r>
              <w:rPr>
                <w:w w:val="105"/>
              </w:rPr>
              <w:t>years</w:t>
            </w:r>
            <w:r>
              <w:rPr>
                <w:spacing w:val="-3"/>
                <w:w w:val="105"/>
              </w:rPr>
              <w:t xml:space="preserve"> </w:t>
            </w:r>
            <w:r>
              <w:rPr>
                <w:w w:val="105"/>
              </w:rPr>
              <w:t>lived</w:t>
            </w:r>
            <w:r>
              <w:rPr>
                <w:spacing w:val="-2"/>
                <w:w w:val="105"/>
              </w:rPr>
              <w:t xml:space="preserve"> </w:t>
            </w:r>
            <w:r>
              <w:rPr>
                <w:w w:val="105"/>
              </w:rPr>
              <w:t>with</w:t>
            </w:r>
            <w:r>
              <w:rPr>
                <w:spacing w:val="-3"/>
                <w:w w:val="105"/>
              </w:rPr>
              <w:t xml:space="preserve"> </w:t>
            </w:r>
            <w:r>
              <w:rPr>
                <w:w w:val="105"/>
              </w:rPr>
              <w:t>a</w:t>
            </w:r>
            <w:r>
              <w:rPr>
                <w:spacing w:val="-3"/>
                <w:w w:val="105"/>
              </w:rPr>
              <w:t xml:space="preserve"> </w:t>
            </w:r>
            <w:r>
              <w:rPr>
                <w:w w:val="105"/>
              </w:rPr>
              <w:t>disability</w:t>
            </w:r>
            <w:r>
              <w:rPr>
                <w:spacing w:val="-3"/>
                <w:w w:val="105"/>
              </w:rPr>
              <w:t xml:space="preserve"> </w:t>
            </w:r>
            <w:r>
              <w:rPr>
                <w:w w:val="105"/>
              </w:rPr>
              <w:t>based</w:t>
            </w:r>
            <w:r>
              <w:rPr>
                <w:spacing w:val="-2"/>
                <w:w w:val="105"/>
              </w:rPr>
              <w:t xml:space="preserve"> </w:t>
            </w:r>
            <w:r>
              <w:rPr>
                <w:w w:val="105"/>
              </w:rPr>
              <w:t>on</w:t>
            </w:r>
            <w:r>
              <w:rPr>
                <w:spacing w:val="-3"/>
                <w:w w:val="105"/>
              </w:rPr>
              <w:t xml:space="preserve"> </w:t>
            </w:r>
            <w:r>
              <w:rPr>
                <w:w w:val="105"/>
              </w:rPr>
              <w:t>severity.</w:t>
            </w:r>
            <w:r>
              <w:rPr>
                <w:spacing w:val="-3"/>
                <w:w w:val="105"/>
              </w:rPr>
              <w:t xml:space="preserve"> </w:t>
            </w:r>
            <w:r>
              <w:rPr>
                <w:w w:val="105"/>
              </w:rPr>
              <w:t>It</w:t>
            </w:r>
            <w:r>
              <w:rPr>
                <w:spacing w:val="-3"/>
                <w:w w:val="105"/>
              </w:rPr>
              <w:t xml:space="preserve"> </w:t>
            </w:r>
            <w:r>
              <w:rPr>
                <w:w w:val="105"/>
              </w:rPr>
              <w:t>allows</w:t>
            </w:r>
            <w:r>
              <w:rPr>
                <w:spacing w:val="-2"/>
                <w:w w:val="105"/>
              </w:rPr>
              <w:t xml:space="preserve"> </w:t>
            </w:r>
            <w:r>
              <w:rPr>
                <w:w w:val="105"/>
              </w:rPr>
              <w:t xml:space="preserve">policy </w:t>
            </w:r>
            <w:r>
              <w:rPr>
                <w:spacing w:val="-2"/>
                <w:w w:val="105"/>
              </w:rPr>
              <w:t>makers,</w:t>
            </w:r>
            <w:r>
              <w:rPr>
                <w:spacing w:val="-16"/>
                <w:w w:val="105"/>
              </w:rPr>
              <w:t xml:space="preserve"> </w:t>
            </w:r>
            <w:r>
              <w:rPr>
                <w:spacing w:val="-2"/>
                <w:w w:val="105"/>
              </w:rPr>
              <w:t>researchers</w:t>
            </w:r>
            <w:r>
              <w:rPr>
                <w:spacing w:val="-16"/>
                <w:w w:val="105"/>
              </w:rPr>
              <w:t xml:space="preserve"> </w:t>
            </w:r>
            <w:r>
              <w:rPr>
                <w:spacing w:val="-2"/>
                <w:w w:val="105"/>
              </w:rPr>
              <w:t>and</w:t>
            </w:r>
            <w:r>
              <w:rPr>
                <w:spacing w:val="-16"/>
                <w:w w:val="105"/>
              </w:rPr>
              <w:t xml:space="preserve"> </w:t>
            </w:r>
            <w:r>
              <w:rPr>
                <w:spacing w:val="-2"/>
                <w:w w:val="105"/>
              </w:rPr>
              <w:t>others</w:t>
            </w:r>
            <w:r>
              <w:rPr>
                <w:spacing w:val="-16"/>
                <w:w w:val="105"/>
              </w:rPr>
              <w:t xml:space="preserve"> </w:t>
            </w:r>
            <w:r>
              <w:rPr>
                <w:spacing w:val="-2"/>
                <w:w w:val="105"/>
              </w:rPr>
              <w:t>to</w:t>
            </w:r>
            <w:r>
              <w:rPr>
                <w:spacing w:val="-16"/>
                <w:w w:val="105"/>
              </w:rPr>
              <w:t xml:space="preserve"> </w:t>
            </w:r>
            <w:r>
              <w:rPr>
                <w:spacing w:val="-2"/>
                <w:w w:val="105"/>
              </w:rPr>
              <w:t>compare</w:t>
            </w:r>
            <w:r>
              <w:rPr>
                <w:spacing w:val="-15"/>
                <w:w w:val="105"/>
              </w:rPr>
              <w:t xml:space="preserve"> </w:t>
            </w:r>
            <w:r>
              <w:rPr>
                <w:spacing w:val="-2"/>
                <w:w w:val="105"/>
              </w:rPr>
              <w:t>very</w:t>
            </w:r>
            <w:r>
              <w:rPr>
                <w:spacing w:val="-16"/>
                <w:w w:val="105"/>
              </w:rPr>
              <w:t xml:space="preserve"> </w:t>
            </w:r>
            <w:r>
              <w:rPr>
                <w:spacing w:val="-2"/>
                <w:w w:val="105"/>
              </w:rPr>
              <w:t>different</w:t>
            </w:r>
            <w:r>
              <w:rPr>
                <w:spacing w:val="-16"/>
                <w:w w:val="105"/>
              </w:rPr>
              <w:t xml:space="preserve"> </w:t>
            </w:r>
            <w:r>
              <w:rPr>
                <w:spacing w:val="-2"/>
                <w:w w:val="105"/>
              </w:rPr>
              <w:t>populations</w:t>
            </w:r>
            <w:r>
              <w:rPr>
                <w:spacing w:val="-16"/>
                <w:w w:val="105"/>
              </w:rPr>
              <w:t xml:space="preserve"> </w:t>
            </w:r>
            <w:r>
              <w:rPr>
                <w:spacing w:val="-2"/>
                <w:w w:val="105"/>
              </w:rPr>
              <w:t>and</w:t>
            </w:r>
            <w:r>
              <w:rPr>
                <w:spacing w:val="-16"/>
                <w:w w:val="105"/>
              </w:rPr>
              <w:t xml:space="preserve"> </w:t>
            </w:r>
            <w:r>
              <w:rPr>
                <w:spacing w:val="-2"/>
                <w:w w:val="105"/>
              </w:rPr>
              <w:t xml:space="preserve">health </w:t>
            </w:r>
            <w:r>
              <w:rPr>
                <w:w w:val="105"/>
              </w:rPr>
              <w:t>conditions</w:t>
            </w:r>
            <w:r>
              <w:rPr>
                <w:spacing w:val="-8"/>
                <w:w w:val="105"/>
              </w:rPr>
              <w:t xml:space="preserve"> </w:t>
            </w:r>
            <w:r>
              <w:rPr>
                <w:w w:val="105"/>
              </w:rPr>
              <w:t>across</w:t>
            </w:r>
            <w:r>
              <w:rPr>
                <w:spacing w:val="-8"/>
                <w:w w:val="105"/>
              </w:rPr>
              <w:t xml:space="preserve"> </w:t>
            </w:r>
            <w:r>
              <w:rPr>
                <w:w w:val="105"/>
              </w:rPr>
              <w:t>time.</w:t>
            </w:r>
            <w:r>
              <w:rPr>
                <w:spacing w:val="-8"/>
                <w:w w:val="105"/>
              </w:rPr>
              <w:t xml:space="preserve"> </w:t>
            </w:r>
            <w:r>
              <w:rPr>
                <w:w w:val="105"/>
              </w:rPr>
              <w:t>DALYs</w:t>
            </w:r>
            <w:r>
              <w:rPr>
                <w:spacing w:val="-8"/>
                <w:w w:val="105"/>
              </w:rPr>
              <w:t xml:space="preserve"> </w:t>
            </w:r>
            <w:r>
              <w:rPr>
                <w:w w:val="105"/>
              </w:rPr>
              <w:t>allow</w:t>
            </w:r>
            <w:r>
              <w:rPr>
                <w:spacing w:val="-8"/>
                <w:w w:val="105"/>
              </w:rPr>
              <w:t xml:space="preserve"> </w:t>
            </w:r>
            <w:r>
              <w:rPr>
                <w:w w:val="105"/>
              </w:rPr>
              <w:t>us</w:t>
            </w:r>
            <w:r>
              <w:rPr>
                <w:spacing w:val="-8"/>
                <w:w w:val="105"/>
              </w:rPr>
              <w:t xml:space="preserve"> </w:t>
            </w:r>
            <w:r>
              <w:rPr>
                <w:w w:val="105"/>
              </w:rPr>
              <w:t>to</w:t>
            </w:r>
            <w:r>
              <w:rPr>
                <w:spacing w:val="-8"/>
                <w:w w:val="105"/>
              </w:rPr>
              <w:t xml:space="preserve"> </w:t>
            </w:r>
            <w:r>
              <w:rPr>
                <w:w w:val="105"/>
              </w:rPr>
              <w:t>estimate</w:t>
            </w:r>
            <w:r>
              <w:rPr>
                <w:spacing w:val="-8"/>
                <w:w w:val="105"/>
              </w:rPr>
              <w:t xml:space="preserve"> </w:t>
            </w:r>
            <w:r>
              <w:rPr>
                <w:w w:val="105"/>
              </w:rPr>
              <w:t>the</w:t>
            </w:r>
            <w:r>
              <w:rPr>
                <w:spacing w:val="-8"/>
                <w:w w:val="105"/>
              </w:rPr>
              <w:t xml:space="preserve"> </w:t>
            </w:r>
            <w:r>
              <w:rPr>
                <w:w w:val="105"/>
              </w:rPr>
              <w:t>total</w:t>
            </w:r>
            <w:r>
              <w:rPr>
                <w:spacing w:val="-8"/>
                <w:w w:val="105"/>
              </w:rPr>
              <w:t xml:space="preserve"> </w:t>
            </w:r>
            <w:r>
              <w:rPr>
                <w:w w:val="105"/>
              </w:rPr>
              <w:t>number</w:t>
            </w:r>
            <w:r>
              <w:rPr>
                <w:spacing w:val="-8"/>
                <w:w w:val="105"/>
              </w:rPr>
              <w:t xml:space="preserve"> </w:t>
            </w:r>
            <w:r>
              <w:rPr>
                <w:w w:val="105"/>
              </w:rPr>
              <w:t>of</w:t>
            </w:r>
            <w:r>
              <w:rPr>
                <w:spacing w:val="-8"/>
                <w:w w:val="105"/>
              </w:rPr>
              <w:t xml:space="preserve"> </w:t>
            </w:r>
            <w:r>
              <w:rPr>
                <w:w w:val="105"/>
              </w:rPr>
              <w:t>healthy years of life lost due to specific causes and risk factors.</w:t>
            </w:r>
          </w:p>
          <w:p w14:paraId="44036445" w14:textId="76A590AA" w:rsidR="00DC1132" w:rsidRDefault="00DC1132" w:rsidP="00DC1132">
            <w:pPr>
              <w:pStyle w:val="TableText"/>
            </w:pPr>
            <w:r>
              <w:t>The</w:t>
            </w:r>
            <w:r>
              <w:rPr>
                <w:spacing w:val="-8"/>
              </w:rPr>
              <w:t xml:space="preserve"> </w:t>
            </w:r>
            <w:r>
              <w:t>age</w:t>
            </w:r>
            <w:r>
              <w:rPr>
                <w:spacing w:val="-8"/>
              </w:rPr>
              <w:t xml:space="preserve"> </w:t>
            </w:r>
            <w:r>
              <w:t>standardised</w:t>
            </w:r>
            <w:r>
              <w:rPr>
                <w:spacing w:val="-8"/>
              </w:rPr>
              <w:t xml:space="preserve"> </w:t>
            </w:r>
            <w:r>
              <w:t>DALY</w:t>
            </w:r>
            <w:r>
              <w:rPr>
                <w:spacing w:val="-8"/>
              </w:rPr>
              <w:t xml:space="preserve"> </w:t>
            </w:r>
            <w:r>
              <w:t>rate</w:t>
            </w:r>
            <w:r>
              <w:rPr>
                <w:spacing w:val="-8"/>
              </w:rPr>
              <w:t xml:space="preserve"> </w:t>
            </w:r>
            <w:r>
              <w:t>is</w:t>
            </w:r>
            <w:r>
              <w:rPr>
                <w:spacing w:val="-8"/>
              </w:rPr>
              <w:t xml:space="preserve"> </w:t>
            </w:r>
            <w:r>
              <w:t>the</w:t>
            </w:r>
            <w:r>
              <w:rPr>
                <w:spacing w:val="-8"/>
              </w:rPr>
              <w:t xml:space="preserve"> </w:t>
            </w:r>
            <w:r>
              <w:t>raw</w:t>
            </w:r>
            <w:r>
              <w:rPr>
                <w:spacing w:val="-8"/>
              </w:rPr>
              <w:t xml:space="preserve"> </w:t>
            </w:r>
            <w:r>
              <w:t>DALY</w:t>
            </w:r>
            <w:r>
              <w:rPr>
                <w:spacing w:val="-8"/>
              </w:rPr>
              <w:t xml:space="preserve"> </w:t>
            </w:r>
            <w:r>
              <w:t>rate</w:t>
            </w:r>
            <w:r>
              <w:rPr>
                <w:spacing w:val="-8"/>
              </w:rPr>
              <w:t xml:space="preserve"> </w:t>
            </w:r>
            <w:r>
              <w:t>adjusted</w:t>
            </w:r>
            <w:r>
              <w:rPr>
                <w:spacing w:val="-8"/>
              </w:rPr>
              <w:t xml:space="preserve"> </w:t>
            </w:r>
            <w:r>
              <w:t>for</w:t>
            </w:r>
            <w:r>
              <w:rPr>
                <w:spacing w:val="-8"/>
              </w:rPr>
              <w:t xml:space="preserve"> </w:t>
            </w:r>
            <w:r>
              <w:t>differences</w:t>
            </w:r>
            <w:r>
              <w:rPr>
                <w:spacing w:val="-8"/>
              </w:rPr>
              <w:t xml:space="preserve"> </w:t>
            </w:r>
            <w:r>
              <w:t>in</w:t>
            </w:r>
            <w:r>
              <w:rPr>
                <w:spacing w:val="-8"/>
              </w:rPr>
              <w:t xml:space="preserve"> </w:t>
            </w:r>
            <w:r>
              <w:t xml:space="preserve">the </w:t>
            </w:r>
            <w:r>
              <w:rPr>
                <w:spacing w:val="-2"/>
                <w:w w:val="105"/>
              </w:rPr>
              <w:t>age</w:t>
            </w:r>
            <w:r>
              <w:rPr>
                <w:spacing w:val="-11"/>
                <w:w w:val="105"/>
              </w:rPr>
              <w:t xml:space="preserve"> </w:t>
            </w:r>
            <w:r>
              <w:rPr>
                <w:spacing w:val="-2"/>
                <w:w w:val="105"/>
              </w:rPr>
              <w:t>distribution</w:t>
            </w:r>
            <w:r>
              <w:rPr>
                <w:spacing w:val="-11"/>
                <w:w w:val="105"/>
              </w:rPr>
              <w:t xml:space="preserve"> </w:t>
            </w:r>
            <w:r>
              <w:rPr>
                <w:spacing w:val="-2"/>
                <w:w w:val="105"/>
              </w:rPr>
              <w:t>of</w:t>
            </w:r>
            <w:r>
              <w:rPr>
                <w:spacing w:val="-11"/>
                <w:w w:val="105"/>
              </w:rPr>
              <w:t xml:space="preserve"> </w:t>
            </w:r>
            <w:r>
              <w:rPr>
                <w:spacing w:val="-2"/>
                <w:w w:val="105"/>
              </w:rPr>
              <w:t>different</w:t>
            </w:r>
            <w:r>
              <w:rPr>
                <w:spacing w:val="-11"/>
                <w:w w:val="105"/>
              </w:rPr>
              <w:t xml:space="preserve"> </w:t>
            </w:r>
            <w:r>
              <w:rPr>
                <w:spacing w:val="-2"/>
                <w:w w:val="105"/>
              </w:rPr>
              <w:t>populations</w:t>
            </w:r>
            <w:r>
              <w:rPr>
                <w:spacing w:val="-11"/>
                <w:w w:val="105"/>
              </w:rPr>
              <w:t xml:space="preserve"> </w:t>
            </w:r>
            <w:r>
              <w:rPr>
                <w:spacing w:val="-2"/>
                <w:w w:val="105"/>
              </w:rPr>
              <w:t>and</w:t>
            </w:r>
            <w:r>
              <w:rPr>
                <w:spacing w:val="-11"/>
                <w:w w:val="105"/>
              </w:rPr>
              <w:t xml:space="preserve"> </w:t>
            </w:r>
            <w:r>
              <w:rPr>
                <w:spacing w:val="-2"/>
                <w:w w:val="105"/>
              </w:rPr>
              <w:t>is</w:t>
            </w:r>
            <w:r>
              <w:rPr>
                <w:spacing w:val="-11"/>
                <w:w w:val="105"/>
              </w:rPr>
              <w:t xml:space="preserve"> </w:t>
            </w:r>
            <w:r>
              <w:rPr>
                <w:spacing w:val="-2"/>
                <w:w w:val="105"/>
              </w:rPr>
              <w:t>used</w:t>
            </w:r>
            <w:r>
              <w:rPr>
                <w:spacing w:val="-11"/>
                <w:w w:val="105"/>
              </w:rPr>
              <w:t xml:space="preserve"> </w:t>
            </w:r>
            <w:r>
              <w:rPr>
                <w:spacing w:val="-2"/>
                <w:w w:val="105"/>
              </w:rPr>
              <w:t>for</w:t>
            </w:r>
            <w:r>
              <w:rPr>
                <w:spacing w:val="-11"/>
                <w:w w:val="105"/>
              </w:rPr>
              <w:t xml:space="preserve"> </w:t>
            </w:r>
            <w:r>
              <w:rPr>
                <w:spacing w:val="-2"/>
                <w:w w:val="105"/>
              </w:rPr>
              <w:t>population</w:t>
            </w:r>
            <w:r>
              <w:rPr>
                <w:spacing w:val="-11"/>
                <w:w w:val="105"/>
              </w:rPr>
              <w:t xml:space="preserve"> </w:t>
            </w:r>
            <w:r>
              <w:rPr>
                <w:spacing w:val="-2"/>
                <w:w w:val="105"/>
              </w:rPr>
              <w:t xml:space="preserve">comparisons, </w:t>
            </w:r>
            <w:r>
              <w:rPr>
                <w:w w:val="105"/>
              </w:rPr>
              <w:t>for</w:t>
            </w:r>
            <w:r>
              <w:rPr>
                <w:spacing w:val="-6"/>
                <w:w w:val="105"/>
              </w:rPr>
              <w:t xml:space="preserve"> </w:t>
            </w:r>
            <w:r>
              <w:rPr>
                <w:w w:val="105"/>
              </w:rPr>
              <w:t>example,</w:t>
            </w:r>
            <w:r>
              <w:rPr>
                <w:spacing w:val="-6"/>
                <w:w w:val="105"/>
              </w:rPr>
              <w:t xml:space="preserve"> </w:t>
            </w:r>
            <w:r>
              <w:rPr>
                <w:w w:val="105"/>
              </w:rPr>
              <w:t>between</w:t>
            </w:r>
            <w:r>
              <w:rPr>
                <w:spacing w:val="-6"/>
                <w:w w:val="105"/>
              </w:rPr>
              <w:t xml:space="preserve"> </w:t>
            </w:r>
            <w:r>
              <w:rPr>
                <w:w w:val="105"/>
              </w:rPr>
              <w:t>different</w:t>
            </w:r>
            <w:r>
              <w:rPr>
                <w:spacing w:val="-6"/>
                <w:w w:val="105"/>
              </w:rPr>
              <w:t xml:space="preserve"> </w:t>
            </w:r>
            <w:r>
              <w:rPr>
                <w:w w:val="105"/>
              </w:rPr>
              <w:t>periods</w:t>
            </w:r>
            <w:r>
              <w:rPr>
                <w:spacing w:val="-6"/>
                <w:w w:val="105"/>
              </w:rPr>
              <w:t xml:space="preserve"> </w:t>
            </w:r>
            <w:r>
              <w:rPr>
                <w:w w:val="105"/>
              </w:rPr>
              <w:t>or</w:t>
            </w:r>
            <w:r>
              <w:rPr>
                <w:spacing w:val="-6"/>
                <w:w w:val="105"/>
              </w:rPr>
              <w:t xml:space="preserve"> </w:t>
            </w:r>
            <w:r>
              <w:rPr>
                <w:w w:val="105"/>
              </w:rPr>
              <w:t>different</w:t>
            </w:r>
            <w:r>
              <w:rPr>
                <w:spacing w:val="-6"/>
                <w:w w:val="105"/>
              </w:rPr>
              <w:t xml:space="preserve"> </w:t>
            </w:r>
            <w:r>
              <w:rPr>
                <w:w w:val="105"/>
              </w:rPr>
              <w:t>countries.</w:t>
            </w:r>
          </w:p>
        </w:tc>
      </w:tr>
      <w:tr w:rsidR="00DC1132" w14:paraId="21C3BE33" w14:textId="77777777" w:rsidTr="00DC1132">
        <w:tc>
          <w:tcPr>
            <w:tcW w:w="1101" w:type="dxa"/>
            <w:gridSpan w:val="2"/>
            <w:tcBorders>
              <w:top w:val="single" w:sz="4" w:space="0" w:color="A6A6A6" w:themeColor="background1" w:themeShade="A6"/>
              <w:left w:val="nil"/>
              <w:bottom w:val="single" w:sz="4" w:space="0" w:color="A6A6A6" w:themeColor="background1" w:themeShade="A6"/>
              <w:right w:val="nil"/>
            </w:tcBorders>
            <w:hideMark/>
          </w:tcPr>
          <w:p w14:paraId="643CEC5A" w14:textId="77777777" w:rsidR="00DC1132" w:rsidRDefault="00DC1132" w:rsidP="00DC1132">
            <w:pPr>
              <w:pStyle w:val="TableText"/>
              <w:rPr>
                <w:b/>
                <w:bCs/>
              </w:rPr>
            </w:pPr>
            <w:r>
              <w:rPr>
                <w:b/>
                <w:bCs/>
              </w:rPr>
              <w:t>Target</w:t>
            </w:r>
          </w:p>
        </w:tc>
        <w:tc>
          <w:tcPr>
            <w:tcW w:w="6979" w:type="dxa"/>
            <w:gridSpan w:val="11"/>
            <w:tcBorders>
              <w:top w:val="single" w:sz="4" w:space="0" w:color="A6A6A6" w:themeColor="background1" w:themeShade="A6"/>
              <w:left w:val="nil"/>
              <w:bottom w:val="single" w:sz="4" w:space="0" w:color="A6A6A6" w:themeColor="background1" w:themeShade="A6"/>
              <w:right w:val="nil"/>
            </w:tcBorders>
            <w:hideMark/>
          </w:tcPr>
          <w:p w14:paraId="1044281E" w14:textId="7E1CDA64" w:rsidR="00DC1132" w:rsidRDefault="00DC1132" w:rsidP="00DC1132">
            <w:pPr>
              <w:pStyle w:val="TableText"/>
            </w:pPr>
            <w:r>
              <w:rPr>
                <w:spacing w:val="-2"/>
                <w:w w:val="105"/>
              </w:rPr>
              <w:t>Decrease.</w:t>
            </w:r>
          </w:p>
        </w:tc>
      </w:tr>
      <w:tr w:rsidR="00DC1132" w14:paraId="2DEED9D1" w14:textId="77777777" w:rsidTr="00DC1132">
        <w:tc>
          <w:tcPr>
            <w:tcW w:w="1101" w:type="dxa"/>
            <w:gridSpan w:val="2"/>
            <w:tcBorders>
              <w:top w:val="single" w:sz="4" w:space="0" w:color="A6A6A6" w:themeColor="background1" w:themeShade="A6"/>
              <w:left w:val="nil"/>
              <w:bottom w:val="single" w:sz="4" w:space="0" w:color="A6A6A6" w:themeColor="background1" w:themeShade="A6"/>
              <w:right w:val="nil"/>
            </w:tcBorders>
            <w:hideMark/>
          </w:tcPr>
          <w:p w14:paraId="6D645FF3" w14:textId="77777777" w:rsidR="00DC1132" w:rsidRDefault="00DC1132" w:rsidP="00DC1132">
            <w:pPr>
              <w:pStyle w:val="TableText"/>
              <w:rPr>
                <w:b/>
                <w:bCs/>
              </w:rPr>
            </w:pPr>
            <w:r>
              <w:rPr>
                <w:b/>
                <w:bCs/>
              </w:rPr>
              <w:t>Results</w:t>
            </w:r>
          </w:p>
        </w:tc>
        <w:tc>
          <w:tcPr>
            <w:tcW w:w="6979" w:type="dxa"/>
            <w:gridSpan w:val="11"/>
            <w:tcBorders>
              <w:top w:val="single" w:sz="4" w:space="0" w:color="A6A6A6" w:themeColor="background1" w:themeShade="A6"/>
              <w:left w:val="nil"/>
              <w:bottom w:val="single" w:sz="4" w:space="0" w:color="A6A6A6" w:themeColor="background1" w:themeShade="A6"/>
              <w:right w:val="nil"/>
            </w:tcBorders>
            <w:hideMark/>
          </w:tcPr>
          <w:p w14:paraId="3EC1DAAC" w14:textId="131C0B6E" w:rsidR="00DC1132" w:rsidRDefault="00DC1132" w:rsidP="00DC1132">
            <w:pPr>
              <w:pStyle w:val="TableText"/>
            </w:pPr>
            <w:r>
              <w:t>Age-standardised</w:t>
            </w:r>
            <w:r>
              <w:rPr>
                <w:spacing w:val="-15"/>
              </w:rPr>
              <w:t xml:space="preserve"> </w:t>
            </w:r>
            <w:r>
              <w:t>DALY</w:t>
            </w:r>
            <w:r>
              <w:rPr>
                <w:spacing w:val="-15"/>
              </w:rPr>
              <w:t xml:space="preserve"> </w:t>
            </w:r>
            <w:r>
              <w:t>rates</w:t>
            </w:r>
            <w:r>
              <w:rPr>
                <w:spacing w:val="-14"/>
              </w:rPr>
              <w:t xml:space="preserve"> </w:t>
            </w:r>
            <w:r>
              <w:t>per</w:t>
            </w:r>
            <w:r>
              <w:rPr>
                <w:spacing w:val="-14"/>
              </w:rPr>
              <w:t xml:space="preserve"> </w:t>
            </w:r>
            <w:r>
              <w:t>1,000</w:t>
            </w:r>
            <w:r>
              <w:rPr>
                <w:spacing w:val="-15"/>
              </w:rPr>
              <w:t xml:space="preserve"> </w:t>
            </w:r>
            <w:r>
              <w:t>decreased</w:t>
            </w:r>
            <w:r>
              <w:rPr>
                <w:spacing w:val="-14"/>
              </w:rPr>
              <w:t xml:space="preserve"> </w:t>
            </w:r>
            <w:r>
              <w:t>from</w:t>
            </w:r>
            <w:r>
              <w:rPr>
                <w:spacing w:val="-15"/>
              </w:rPr>
              <w:t xml:space="preserve"> </w:t>
            </w:r>
            <w:r>
              <w:t>1990</w:t>
            </w:r>
            <w:r>
              <w:rPr>
                <w:spacing w:val="-14"/>
              </w:rPr>
              <w:t xml:space="preserve"> </w:t>
            </w:r>
            <w:r>
              <w:t>until</w:t>
            </w:r>
            <w:r>
              <w:rPr>
                <w:spacing w:val="-15"/>
              </w:rPr>
              <w:t xml:space="preserve"> </w:t>
            </w:r>
            <w:r>
              <w:t>2019.</w:t>
            </w:r>
            <w:r>
              <w:rPr>
                <w:spacing w:val="-14"/>
              </w:rPr>
              <w:t xml:space="preserve"> </w:t>
            </w:r>
            <w:r>
              <w:t>As</w:t>
            </w:r>
            <w:r>
              <w:rPr>
                <w:spacing w:val="-14"/>
              </w:rPr>
              <w:t xml:space="preserve"> </w:t>
            </w:r>
            <w:r>
              <w:t>the population is growing and ageing, the absolute number of DALYs has slowly increased</w:t>
            </w:r>
            <w:r>
              <w:rPr>
                <w:spacing w:val="-13"/>
              </w:rPr>
              <w:t xml:space="preserve"> </w:t>
            </w:r>
            <w:r>
              <w:t>from</w:t>
            </w:r>
            <w:r>
              <w:rPr>
                <w:spacing w:val="-13"/>
              </w:rPr>
              <w:t xml:space="preserve"> </w:t>
            </w:r>
            <w:r>
              <w:t>1,074,208</w:t>
            </w:r>
            <w:r>
              <w:rPr>
                <w:spacing w:val="-13"/>
              </w:rPr>
              <w:t xml:space="preserve"> </w:t>
            </w:r>
            <w:r>
              <w:t>in</w:t>
            </w:r>
            <w:r>
              <w:rPr>
                <w:spacing w:val="-13"/>
              </w:rPr>
              <w:t xml:space="preserve"> </w:t>
            </w:r>
            <w:r>
              <w:t>1990</w:t>
            </w:r>
            <w:r>
              <w:rPr>
                <w:spacing w:val="-13"/>
              </w:rPr>
              <w:t xml:space="preserve"> </w:t>
            </w:r>
            <w:r>
              <w:t>to</w:t>
            </w:r>
            <w:r>
              <w:rPr>
                <w:spacing w:val="-13"/>
              </w:rPr>
              <w:t xml:space="preserve"> </w:t>
            </w:r>
            <w:r>
              <w:t>1,348,336</w:t>
            </w:r>
            <w:r>
              <w:rPr>
                <w:spacing w:val="-13"/>
              </w:rPr>
              <w:t xml:space="preserve"> </w:t>
            </w:r>
            <w:r>
              <w:t>in</w:t>
            </w:r>
            <w:r>
              <w:rPr>
                <w:spacing w:val="-13"/>
              </w:rPr>
              <w:t xml:space="preserve"> </w:t>
            </w:r>
            <w:r>
              <w:t>2021.</w:t>
            </w:r>
          </w:p>
        </w:tc>
      </w:tr>
      <w:tr w:rsidR="00DC1132" w14:paraId="560D541B" w14:textId="77777777" w:rsidTr="00DC1132">
        <w:trPr>
          <w:gridAfter w:val="1"/>
          <w:wAfter w:w="11" w:type="dxa"/>
        </w:trPr>
        <w:tc>
          <w:tcPr>
            <w:tcW w:w="8069" w:type="dxa"/>
            <w:gridSpan w:val="12"/>
            <w:tcBorders>
              <w:top w:val="single" w:sz="4" w:space="0" w:color="A6A6A6" w:themeColor="background1" w:themeShade="A6"/>
              <w:left w:val="nil"/>
              <w:bottom w:val="single" w:sz="4" w:space="0" w:color="A6A6A6" w:themeColor="background1" w:themeShade="A6"/>
              <w:right w:val="nil"/>
            </w:tcBorders>
            <w:shd w:val="clear" w:color="auto" w:fill="FFFFFF" w:themeFill="background1"/>
            <w:hideMark/>
          </w:tcPr>
          <w:p w14:paraId="3F26FEE4" w14:textId="7B6401B7" w:rsidR="00DC1132" w:rsidRDefault="00DC1132">
            <w:pPr>
              <w:pStyle w:val="TableText"/>
              <w:rPr>
                <w:b/>
                <w:bCs/>
              </w:rPr>
            </w:pPr>
            <w:r w:rsidRPr="00DC1132">
              <w:rPr>
                <w:b/>
                <w:bCs/>
              </w:rPr>
              <w:t>Disability-adjusted life years (DALYs) per 1,000 people</w:t>
            </w:r>
            <w:r>
              <w:rPr>
                <w:rStyle w:val="FootnoteReference"/>
                <w:b/>
                <w:bCs/>
              </w:rPr>
              <w:footnoteReference w:id="30"/>
            </w:r>
          </w:p>
        </w:tc>
      </w:tr>
      <w:tr w:rsidR="00DC1132" w:rsidRPr="00DC1132" w14:paraId="2737831F" w14:textId="77777777" w:rsidTr="00DC1132">
        <w:tc>
          <w:tcPr>
            <w:tcW w:w="1079"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5860837F" w14:textId="77777777" w:rsidR="00DC1132" w:rsidRPr="004F1B86" w:rsidRDefault="00DC1132" w:rsidP="00DC1132">
            <w:pPr>
              <w:pStyle w:val="TableText"/>
              <w:rPr>
                <w:b/>
                <w:bCs/>
                <w:sz w:val="16"/>
                <w:szCs w:val="16"/>
              </w:rPr>
            </w:pPr>
          </w:p>
        </w:tc>
        <w:tc>
          <w:tcPr>
            <w:tcW w:w="733"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09A18A5D" w14:textId="0142C0CE" w:rsidR="00DC1132" w:rsidRPr="004F1B86" w:rsidRDefault="00DC1132" w:rsidP="004F1B86">
            <w:pPr>
              <w:pStyle w:val="TableText"/>
              <w:jc w:val="right"/>
              <w:rPr>
                <w:b/>
                <w:bCs/>
                <w:sz w:val="16"/>
                <w:szCs w:val="16"/>
              </w:rPr>
            </w:pPr>
            <w:r w:rsidRPr="004F1B86">
              <w:rPr>
                <w:b/>
                <w:bCs/>
                <w:sz w:val="16"/>
                <w:szCs w:val="16"/>
              </w:rPr>
              <w:t>1990</w:t>
            </w:r>
          </w:p>
        </w:tc>
        <w:tc>
          <w:tcPr>
            <w:tcW w:w="727"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1545C27E" w14:textId="74A810EB" w:rsidR="00DC1132" w:rsidRPr="004F1B86" w:rsidRDefault="00DC1132" w:rsidP="004F1B86">
            <w:pPr>
              <w:pStyle w:val="TableText"/>
              <w:jc w:val="right"/>
              <w:rPr>
                <w:b/>
                <w:bCs/>
                <w:sz w:val="16"/>
                <w:szCs w:val="16"/>
              </w:rPr>
            </w:pPr>
            <w:r w:rsidRPr="004F1B86">
              <w:rPr>
                <w:b/>
                <w:bCs/>
                <w:sz w:val="16"/>
                <w:szCs w:val="16"/>
              </w:rPr>
              <w:t>2000</w:t>
            </w:r>
          </w:p>
        </w:tc>
        <w:tc>
          <w:tcPr>
            <w:tcW w:w="72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304311CC" w14:textId="3C034D46" w:rsidR="00DC1132" w:rsidRPr="004F1B86" w:rsidRDefault="00DC1132" w:rsidP="004F1B86">
            <w:pPr>
              <w:pStyle w:val="TableText"/>
              <w:jc w:val="right"/>
              <w:rPr>
                <w:b/>
                <w:bCs/>
                <w:sz w:val="16"/>
                <w:szCs w:val="16"/>
              </w:rPr>
            </w:pPr>
            <w:r w:rsidRPr="004F1B86">
              <w:rPr>
                <w:b/>
                <w:bCs/>
                <w:sz w:val="16"/>
                <w:szCs w:val="16"/>
              </w:rPr>
              <w:t>2010</w:t>
            </w:r>
          </w:p>
        </w:tc>
        <w:tc>
          <w:tcPr>
            <w:tcW w:w="72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180E9787" w14:textId="6CD4E2C0" w:rsidR="00DC1132" w:rsidRPr="004F1B86" w:rsidRDefault="00DC1132" w:rsidP="004F1B86">
            <w:pPr>
              <w:pStyle w:val="TableText"/>
              <w:jc w:val="right"/>
              <w:rPr>
                <w:b/>
                <w:bCs/>
                <w:sz w:val="16"/>
                <w:szCs w:val="16"/>
              </w:rPr>
            </w:pPr>
            <w:r w:rsidRPr="004F1B86">
              <w:rPr>
                <w:b/>
                <w:bCs/>
                <w:sz w:val="16"/>
                <w:szCs w:val="16"/>
              </w:rPr>
              <w:t>2015</w:t>
            </w:r>
          </w:p>
        </w:tc>
        <w:tc>
          <w:tcPr>
            <w:tcW w:w="72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02D7D669" w14:textId="6708F77E" w:rsidR="00DC1132" w:rsidRPr="004F1B86" w:rsidRDefault="00DC1132" w:rsidP="004F1B86">
            <w:pPr>
              <w:pStyle w:val="TableText"/>
              <w:jc w:val="right"/>
              <w:rPr>
                <w:b/>
                <w:bCs/>
                <w:sz w:val="16"/>
                <w:szCs w:val="16"/>
              </w:rPr>
            </w:pPr>
            <w:r w:rsidRPr="004F1B86">
              <w:rPr>
                <w:b/>
                <w:bCs/>
                <w:sz w:val="16"/>
                <w:szCs w:val="16"/>
              </w:rPr>
              <w:t>2016</w:t>
            </w:r>
          </w:p>
        </w:tc>
        <w:tc>
          <w:tcPr>
            <w:tcW w:w="72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2D492EBF" w14:textId="7A05C8DE" w:rsidR="00DC1132" w:rsidRPr="004F1B86" w:rsidRDefault="00DC1132" w:rsidP="004F1B86">
            <w:pPr>
              <w:pStyle w:val="TableText"/>
              <w:jc w:val="right"/>
              <w:rPr>
                <w:b/>
                <w:bCs/>
                <w:sz w:val="16"/>
                <w:szCs w:val="16"/>
              </w:rPr>
            </w:pPr>
            <w:r w:rsidRPr="004F1B86">
              <w:rPr>
                <w:b/>
                <w:bCs/>
                <w:sz w:val="16"/>
                <w:szCs w:val="16"/>
              </w:rPr>
              <w:t>2017</w:t>
            </w:r>
          </w:p>
        </w:tc>
        <w:tc>
          <w:tcPr>
            <w:tcW w:w="631"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24432F87" w14:textId="4AF7D972" w:rsidR="00DC1132" w:rsidRPr="004F1B86" w:rsidRDefault="00DC1132" w:rsidP="004F1B86">
            <w:pPr>
              <w:pStyle w:val="TableText"/>
              <w:jc w:val="right"/>
              <w:rPr>
                <w:b/>
                <w:bCs/>
                <w:sz w:val="16"/>
                <w:szCs w:val="16"/>
              </w:rPr>
            </w:pPr>
            <w:r w:rsidRPr="004F1B86">
              <w:rPr>
                <w:b/>
                <w:bCs/>
                <w:sz w:val="16"/>
                <w:szCs w:val="16"/>
              </w:rPr>
              <w:t>2018</w:t>
            </w:r>
          </w:p>
        </w:tc>
        <w:tc>
          <w:tcPr>
            <w:tcW w:w="631"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40832197" w14:textId="215DBA5D" w:rsidR="00DC1132" w:rsidRPr="004F1B86" w:rsidRDefault="00DC1132" w:rsidP="004F1B86">
            <w:pPr>
              <w:pStyle w:val="TableText"/>
              <w:jc w:val="right"/>
              <w:rPr>
                <w:b/>
                <w:bCs/>
                <w:sz w:val="16"/>
                <w:szCs w:val="16"/>
              </w:rPr>
            </w:pPr>
            <w:r w:rsidRPr="004F1B86">
              <w:rPr>
                <w:b/>
                <w:bCs/>
                <w:sz w:val="16"/>
                <w:szCs w:val="16"/>
              </w:rPr>
              <w:t>2019</w:t>
            </w:r>
          </w:p>
        </w:tc>
        <w:tc>
          <w:tcPr>
            <w:tcW w:w="69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6B931C7E" w14:textId="17880758" w:rsidR="00DC1132" w:rsidRPr="004F1B86" w:rsidRDefault="00DC1132" w:rsidP="004F1B86">
            <w:pPr>
              <w:pStyle w:val="TableText"/>
              <w:jc w:val="right"/>
              <w:rPr>
                <w:b/>
                <w:bCs/>
                <w:sz w:val="16"/>
                <w:szCs w:val="16"/>
              </w:rPr>
            </w:pPr>
            <w:r w:rsidRPr="004F1B86">
              <w:rPr>
                <w:b/>
                <w:bCs/>
                <w:sz w:val="16"/>
                <w:szCs w:val="16"/>
              </w:rPr>
              <w:t>2020</w:t>
            </w:r>
          </w:p>
        </w:tc>
        <w:tc>
          <w:tcPr>
            <w:tcW w:w="678"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05B90D15" w14:textId="6D88A20E" w:rsidR="00DC1132" w:rsidRPr="004F1B86" w:rsidRDefault="00DC1132" w:rsidP="004F1B86">
            <w:pPr>
              <w:pStyle w:val="TableText"/>
              <w:jc w:val="right"/>
              <w:rPr>
                <w:b/>
                <w:bCs/>
                <w:sz w:val="16"/>
                <w:szCs w:val="16"/>
              </w:rPr>
            </w:pPr>
            <w:r w:rsidRPr="004F1B86">
              <w:rPr>
                <w:b/>
                <w:bCs/>
                <w:sz w:val="16"/>
                <w:szCs w:val="16"/>
              </w:rPr>
              <w:t>2021</w:t>
            </w:r>
          </w:p>
        </w:tc>
      </w:tr>
      <w:tr w:rsidR="00DC1132" w14:paraId="1F0B2F8F" w14:textId="77777777" w:rsidTr="00DC1132">
        <w:tc>
          <w:tcPr>
            <w:tcW w:w="1079" w:type="dxa"/>
            <w:tcBorders>
              <w:top w:val="single" w:sz="4" w:space="0" w:color="A6A6A6" w:themeColor="background1" w:themeShade="A6"/>
              <w:left w:val="nil"/>
              <w:bottom w:val="single" w:sz="4" w:space="0" w:color="A6A6A6" w:themeColor="background1" w:themeShade="A6"/>
              <w:right w:val="nil"/>
            </w:tcBorders>
            <w:hideMark/>
          </w:tcPr>
          <w:p w14:paraId="17AE0159" w14:textId="6881EE5A" w:rsidR="00DC1132" w:rsidRPr="004F1B86" w:rsidRDefault="00DC1132" w:rsidP="00DC1132">
            <w:pPr>
              <w:pStyle w:val="TableText"/>
              <w:rPr>
                <w:sz w:val="16"/>
                <w:szCs w:val="16"/>
              </w:rPr>
            </w:pPr>
            <w:r w:rsidRPr="004F1B86">
              <w:rPr>
                <w:sz w:val="16"/>
                <w:szCs w:val="16"/>
              </w:rPr>
              <w:t>Female</w:t>
            </w:r>
          </w:p>
        </w:tc>
        <w:tc>
          <w:tcPr>
            <w:tcW w:w="733" w:type="dxa"/>
            <w:gridSpan w:val="2"/>
            <w:tcBorders>
              <w:top w:val="single" w:sz="4" w:space="0" w:color="A6A6A6" w:themeColor="background1" w:themeShade="A6"/>
              <w:left w:val="nil"/>
              <w:bottom w:val="single" w:sz="4" w:space="0" w:color="A6A6A6" w:themeColor="background1" w:themeShade="A6"/>
              <w:right w:val="nil"/>
            </w:tcBorders>
            <w:hideMark/>
          </w:tcPr>
          <w:p w14:paraId="097678F2" w14:textId="6DD95FC5" w:rsidR="00DC1132" w:rsidRPr="004F1B86" w:rsidRDefault="00DC1132" w:rsidP="004F1B86">
            <w:pPr>
              <w:pStyle w:val="TableText"/>
              <w:jc w:val="right"/>
              <w:rPr>
                <w:sz w:val="16"/>
                <w:szCs w:val="16"/>
              </w:rPr>
            </w:pPr>
            <w:r w:rsidRPr="004F1B86">
              <w:rPr>
                <w:sz w:val="16"/>
                <w:szCs w:val="16"/>
              </w:rPr>
              <w:t>265</w:t>
            </w:r>
          </w:p>
        </w:tc>
        <w:tc>
          <w:tcPr>
            <w:tcW w:w="727" w:type="dxa"/>
            <w:tcBorders>
              <w:top w:val="single" w:sz="4" w:space="0" w:color="A6A6A6" w:themeColor="background1" w:themeShade="A6"/>
              <w:left w:val="nil"/>
              <w:bottom w:val="single" w:sz="4" w:space="0" w:color="A6A6A6" w:themeColor="background1" w:themeShade="A6"/>
              <w:right w:val="nil"/>
            </w:tcBorders>
            <w:hideMark/>
          </w:tcPr>
          <w:p w14:paraId="210A8594" w14:textId="61C2466C" w:rsidR="00DC1132" w:rsidRPr="004F1B86" w:rsidRDefault="00DC1132" w:rsidP="004F1B86">
            <w:pPr>
              <w:pStyle w:val="TableText"/>
              <w:jc w:val="right"/>
              <w:rPr>
                <w:sz w:val="16"/>
                <w:szCs w:val="16"/>
              </w:rPr>
            </w:pPr>
            <w:r w:rsidRPr="004F1B86">
              <w:rPr>
                <w:sz w:val="16"/>
                <w:szCs w:val="16"/>
              </w:rPr>
              <w:t>231</w:t>
            </w:r>
          </w:p>
        </w:tc>
        <w:tc>
          <w:tcPr>
            <w:tcW w:w="726" w:type="dxa"/>
            <w:tcBorders>
              <w:top w:val="single" w:sz="4" w:space="0" w:color="A6A6A6" w:themeColor="background1" w:themeShade="A6"/>
              <w:left w:val="nil"/>
              <w:bottom w:val="single" w:sz="4" w:space="0" w:color="A6A6A6" w:themeColor="background1" w:themeShade="A6"/>
              <w:right w:val="nil"/>
            </w:tcBorders>
            <w:hideMark/>
          </w:tcPr>
          <w:p w14:paraId="2BB331F1" w14:textId="303F6203" w:rsidR="00DC1132" w:rsidRPr="004F1B86" w:rsidRDefault="00DC1132" w:rsidP="004F1B86">
            <w:pPr>
              <w:pStyle w:val="TableText"/>
              <w:jc w:val="right"/>
              <w:rPr>
                <w:sz w:val="16"/>
                <w:szCs w:val="16"/>
              </w:rPr>
            </w:pPr>
            <w:r w:rsidRPr="004F1B86">
              <w:rPr>
                <w:sz w:val="16"/>
                <w:szCs w:val="16"/>
              </w:rPr>
              <w:t>211</w:t>
            </w:r>
          </w:p>
        </w:tc>
        <w:tc>
          <w:tcPr>
            <w:tcW w:w="726" w:type="dxa"/>
            <w:tcBorders>
              <w:top w:val="single" w:sz="4" w:space="0" w:color="A6A6A6" w:themeColor="background1" w:themeShade="A6"/>
              <w:left w:val="nil"/>
              <w:bottom w:val="single" w:sz="4" w:space="0" w:color="A6A6A6" w:themeColor="background1" w:themeShade="A6"/>
              <w:right w:val="nil"/>
            </w:tcBorders>
            <w:hideMark/>
          </w:tcPr>
          <w:p w14:paraId="148FC6B7" w14:textId="30406E9B" w:rsidR="00DC1132" w:rsidRPr="004F1B86" w:rsidRDefault="00DC1132" w:rsidP="004F1B86">
            <w:pPr>
              <w:pStyle w:val="TableText"/>
              <w:jc w:val="right"/>
              <w:rPr>
                <w:sz w:val="16"/>
                <w:szCs w:val="16"/>
              </w:rPr>
            </w:pPr>
            <w:r w:rsidRPr="004F1B86">
              <w:rPr>
                <w:sz w:val="16"/>
                <w:szCs w:val="16"/>
              </w:rPr>
              <w:t>205</w:t>
            </w:r>
          </w:p>
        </w:tc>
        <w:tc>
          <w:tcPr>
            <w:tcW w:w="726" w:type="dxa"/>
            <w:tcBorders>
              <w:top w:val="single" w:sz="4" w:space="0" w:color="A6A6A6" w:themeColor="background1" w:themeShade="A6"/>
              <w:left w:val="nil"/>
              <w:bottom w:val="single" w:sz="4" w:space="0" w:color="A6A6A6" w:themeColor="background1" w:themeShade="A6"/>
              <w:right w:val="nil"/>
            </w:tcBorders>
            <w:hideMark/>
          </w:tcPr>
          <w:p w14:paraId="6AC71DFD" w14:textId="53D05511" w:rsidR="00DC1132" w:rsidRPr="004F1B86" w:rsidRDefault="00DC1132" w:rsidP="004F1B86">
            <w:pPr>
              <w:pStyle w:val="TableText"/>
              <w:jc w:val="right"/>
              <w:rPr>
                <w:sz w:val="16"/>
                <w:szCs w:val="16"/>
              </w:rPr>
            </w:pPr>
            <w:r w:rsidRPr="004F1B86">
              <w:rPr>
                <w:sz w:val="16"/>
                <w:szCs w:val="16"/>
              </w:rPr>
              <w:t>204</w:t>
            </w:r>
          </w:p>
        </w:tc>
        <w:tc>
          <w:tcPr>
            <w:tcW w:w="726" w:type="dxa"/>
            <w:tcBorders>
              <w:top w:val="single" w:sz="4" w:space="0" w:color="A6A6A6" w:themeColor="background1" w:themeShade="A6"/>
              <w:left w:val="nil"/>
              <w:bottom w:val="single" w:sz="4" w:space="0" w:color="A6A6A6" w:themeColor="background1" w:themeShade="A6"/>
              <w:right w:val="nil"/>
            </w:tcBorders>
            <w:hideMark/>
          </w:tcPr>
          <w:p w14:paraId="73D665FF" w14:textId="4419D3B9" w:rsidR="00DC1132" w:rsidRPr="004F1B86" w:rsidRDefault="00DC1132" w:rsidP="004F1B86">
            <w:pPr>
              <w:pStyle w:val="TableText"/>
              <w:jc w:val="right"/>
              <w:rPr>
                <w:sz w:val="16"/>
                <w:szCs w:val="16"/>
              </w:rPr>
            </w:pPr>
            <w:r w:rsidRPr="004F1B86">
              <w:rPr>
                <w:sz w:val="16"/>
                <w:szCs w:val="16"/>
              </w:rPr>
              <w:t>204</w:t>
            </w:r>
          </w:p>
        </w:tc>
        <w:tc>
          <w:tcPr>
            <w:tcW w:w="631" w:type="dxa"/>
            <w:tcBorders>
              <w:top w:val="single" w:sz="4" w:space="0" w:color="A6A6A6" w:themeColor="background1" w:themeShade="A6"/>
              <w:left w:val="nil"/>
              <w:bottom w:val="single" w:sz="4" w:space="0" w:color="A6A6A6" w:themeColor="background1" w:themeShade="A6"/>
              <w:right w:val="nil"/>
            </w:tcBorders>
          </w:tcPr>
          <w:p w14:paraId="4DC3F881" w14:textId="2DDC49EF" w:rsidR="00DC1132" w:rsidRPr="004F1B86" w:rsidRDefault="00DC1132" w:rsidP="004F1B86">
            <w:pPr>
              <w:pStyle w:val="TableText"/>
              <w:jc w:val="right"/>
              <w:rPr>
                <w:sz w:val="16"/>
                <w:szCs w:val="16"/>
              </w:rPr>
            </w:pPr>
            <w:r w:rsidRPr="004F1B86">
              <w:rPr>
                <w:sz w:val="16"/>
                <w:szCs w:val="16"/>
              </w:rPr>
              <w:t>202</w:t>
            </w:r>
          </w:p>
        </w:tc>
        <w:tc>
          <w:tcPr>
            <w:tcW w:w="631" w:type="dxa"/>
            <w:tcBorders>
              <w:top w:val="single" w:sz="4" w:space="0" w:color="A6A6A6" w:themeColor="background1" w:themeShade="A6"/>
              <w:left w:val="nil"/>
              <w:bottom w:val="single" w:sz="4" w:space="0" w:color="A6A6A6" w:themeColor="background1" w:themeShade="A6"/>
              <w:right w:val="nil"/>
            </w:tcBorders>
          </w:tcPr>
          <w:p w14:paraId="722141FB" w14:textId="770D149C" w:rsidR="00DC1132" w:rsidRPr="004F1B86" w:rsidRDefault="00DC1132" w:rsidP="004F1B86">
            <w:pPr>
              <w:pStyle w:val="TableText"/>
              <w:jc w:val="right"/>
              <w:rPr>
                <w:sz w:val="16"/>
                <w:szCs w:val="16"/>
              </w:rPr>
            </w:pPr>
            <w:r w:rsidRPr="004F1B86">
              <w:rPr>
                <w:sz w:val="16"/>
                <w:szCs w:val="16"/>
              </w:rPr>
              <w:t>203</w:t>
            </w:r>
          </w:p>
        </w:tc>
        <w:tc>
          <w:tcPr>
            <w:tcW w:w="696" w:type="dxa"/>
            <w:tcBorders>
              <w:top w:val="single" w:sz="4" w:space="0" w:color="A6A6A6" w:themeColor="background1" w:themeShade="A6"/>
              <w:left w:val="nil"/>
              <w:bottom w:val="single" w:sz="4" w:space="0" w:color="A6A6A6" w:themeColor="background1" w:themeShade="A6"/>
              <w:right w:val="nil"/>
            </w:tcBorders>
            <w:hideMark/>
          </w:tcPr>
          <w:p w14:paraId="0313E7D8" w14:textId="6BEA28E5" w:rsidR="00DC1132" w:rsidRPr="004F1B86" w:rsidRDefault="00DC1132" w:rsidP="004F1B86">
            <w:pPr>
              <w:pStyle w:val="TableText"/>
              <w:jc w:val="right"/>
              <w:rPr>
                <w:sz w:val="16"/>
                <w:szCs w:val="16"/>
              </w:rPr>
            </w:pPr>
            <w:r w:rsidRPr="004F1B86">
              <w:rPr>
                <w:sz w:val="16"/>
                <w:szCs w:val="16"/>
              </w:rPr>
              <w:t>197</w:t>
            </w:r>
          </w:p>
        </w:tc>
        <w:tc>
          <w:tcPr>
            <w:tcW w:w="678" w:type="dxa"/>
            <w:gridSpan w:val="2"/>
            <w:tcBorders>
              <w:top w:val="single" w:sz="4" w:space="0" w:color="A6A6A6" w:themeColor="background1" w:themeShade="A6"/>
              <w:left w:val="nil"/>
              <w:bottom w:val="single" w:sz="4" w:space="0" w:color="A6A6A6" w:themeColor="background1" w:themeShade="A6"/>
              <w:right w:val="nil"/>
            </w:tcBorders>
            <w:hideMark/>
          </w:tcPr>
          <w:p w14:paraId="2DB1F4DB" w14:textId="6FFC542B" w:rsidR="00DC1132" w:rsidRPr="004F1B86" w:rsidRDefault="00DC1132" w:rsidP="004F1B86">
            <w:pPr>
              <w:pStyle w:val="TableText"/>
              <w:jc w:val="right"/>
              <w:rPr>
                <w:sz w:val="16"/>
                <w:szCs w:val="16"/>
              </w:rPr>
            </w:pPr>
            <w:r w:rsidRPr="004F1B86">
              <w:rPr>
                <w:sz w:val="16"/>
                <w:szCs w:val="16"/>
              </w:rPr>
              <w:t>200</w:t>
            </w:r>
          </w:p>
        </w:tc>
      </w:tr>
      <w:tr w:rsidR="00DC1132" w14:paraId="4F8C2003" w14:textId="77777777" w:rsidTr="00DC1132">
        <w:tc>
          <w:tcPr>
            <w:tcW w:w="1079" w:type="dxa"/>
            <w:tcBorders>
              <w:top w:val="single" w:sz="4" w:space="0" w:color="A6A6A6" w:themeColor="background1" w:themeShade="A6"/>
              <w:left w:val="nil"/>
              <w:bottom w:val="single" w:sz="4" w:space="0" w:color="A6A6A6" w:themeColor="background1" w:themeShade="A6"/>
              <w:right w:val="nil"/>
            </w:tcBorders>
            <w:hideMark/>
          </w:tcPr>
          <w:p w14:paraId="0B2C3BB2" w14:textId="3486AF9C" w:rsidR="00DC1132" w:rsidRPr="004F1B86" w:rsidRDefault="00DC1132" w:rsidP="00DC1132">
            <w:pPr>
              <w:pStyle w:val="TableText"/>
              <w:rPr>
                <w:sz w:val="16"/>
                <w:szCs w:val="16"/>
              </w:rPr>
            </w:pPr>
            <w:r w:rsidRPr="004F1B86">
              <w:rPr>
                <w:sz w:val="16"/>
                <w:szCs w:val="16"/>
              </w:rPr>
              <w:t>Male</w:t>
            </w:r>
          </w:p>
        </w:tc>
        <w:tc>
          <w:tcPr>
            <w:tcW w:w="733" w:type="dxa"/>
            <w:gridSpan w:val="2"/>
            <w:tcBorders>
              <w:top w:val="single" w:sz="4" w:space="0" w:color="A6A6A6" w:themeColor="background1" w:themeShade="A6"/>
              <w:left w:val="nil"/>
              <w:bottom w:val="single" w:sz="4" w:space="0" w:color="A6A6A6" w:themeColor="background1" w:themeShade="A6"/>
              <w:right w:val="nil"/>
            </w:tcBorders>
            <w:hideMark/>
          </w:tcPr>
          <w:p w14:paraId="3AFADEBA" w14:textId="1248B543" w:rsidR="00DC1132" w:rsidRPr="004F1B86" w:rsidRDefault="00DC1132" w:rsidP="004F1B86">
            <w:pPr>
              <w:pStyle w:val="TableText"/>
              <w:jc w:val="right"/>
              <w:rPr>
                <w:sz w:val="16"/>
                <w:szCs w:val="16"/>
              </w:rPr>
            </w:pPr>
            <w:r w:rsidRPr="004F1B86">
              <w:rPr>
                <w:sz w:val="16"/>
                <w:szCs w:val="16"/>
              </w:rPr>
              <w:t>328</w:t>
            </w:r>
          </w:p>
        </w:tc>
        <w:tc>
          <w:tcPr>
            <w:tcW w:w="727" w:type="dxa"/>
            <w:tcBorders>
              <w:top w:val="single" w:sz="4" w:space="0" w:color="A6A6A6" w:themeColor="background1" w:themeShade="A6"/>
              <w:left w:val="nil"/>
              <w:bottom w:val="single" w:sz="4" w:space="0" w:color="A6A6A6" w:themeColor="background1" w:themeShade="A6"/>
              <w:right w:val="nil"/>
            </w:tcBorders>
            <w:hideMark/>
          </w:tcPr>
          <w:p w14:paraId="453F4EDA" w14:textId="667046E1" w:rsidR="00DC1132" w:rsidRPr="004F1B86" w:rsidRDefault="00DC1132" w:rsidP="004F1B86">
            <w:pPr>
              <w:pStyle w:val="TableText"/>
              <w:jc w:val="right"/>
              <w:rPr>
                <w:sz w:val="16"/>
                <w:szCs w:val="16"/>
              </w:rPr>
            </w:pPr>
            <w:r w:rsidRPr="004F1B86">
              <w:rPr>
                <w:sz w:val="16"/>
                <w:szCs w:val="16"/>
              </w:rPr>
              <w:t>269</w:t>
            </w:r>
          </w:p>
        </w:tc>
        <w:tc>
          <w:tcPr>
            <w:tcW w:w="726" w:type="dxa"/>
            <w:tcBorders>
              <w:top w:val="single" w:sz="4" w:space="0" w:color="A6A6A6" w:themeColor="background1" w:themeShade="A6"/>
              <w:left w:val="nil"/>
              <w:bottom w:val="single" w:sz="4" w:space="0" w:color="A6A6A6" w:themeColor="background1" w:themeShade="A6"/>
              <w:right w:val="nil"/>
            </w:tcBorders>
            <w:hideMark/>
          </w:tcPr>
          <w:p w14:paraId="28C0CD66" w14:textId="749E91F0" w:rsidR="00DC1132" w:rsidRPr="004F1B86" w:rsidRDefault="00DC1132" w:rsidP="004F1B86">
            <w:pPr>
              <w:pStyle w:val="TableText"/>
              <w:jc w:val="right"/>
              <w:rPr>
                <w:sz w:val="16"/>
                <w:szCs w:val="16"/>
              </w:rPr>
            </w:pPr>
            <w:r w:rsidRPr="004F1B86">
              <w:rPr>
                <w:sz w:val="16"/>
                <w:szCs w:val="16"/>
              </w:rPr>
              <w:t>228</w:t>
            </w:r>
          </w:p>
        </w:tc>
        <w:tc>
          <w:tcPr>
            <w:tcW w:w="726" w:type="dxa"/>
            <w:tcBorders>
              <w:top w:val="single" w:sz="4" w:space="0" w:color="A6A6A6" w:themeColor="background1" w:themeShade="A6"/>
              <w:left w:val="nil"/>
              <w:bottom w:val="single" w:sz="4" w:space="0" w:color="A6A6A6" w:themeColor="background1" w:themeShade="A6"/>
              <w:right w:val="nil"/>
            </w:tcBorders>
            <w:hideMark/>
          </w:tcPr>
          <w:p w14:paraId="0794917C" w14:textId="0F6D357A" w:rsidR="00DC1132" w:rsidRPr="004F1B86" w:rsidRDefault="00DC1132" w:rsidP="004F1B86">
            <w:pPr>
              <w:pStyle w:val="TableText"/>
              <w:jc w:val="right"/>
              <w:rPr>
                <w:sz w:val="16"/>
                <w:szCs w:val="16"/>
              </w:rPr>
            </w:pPr>
            <w:r w:rsidRPr="004F1B86">
              <w:rPr>
                <w:sz w:val="16"/>
                <w:szCs w:val="16"/>
              </w:rPr>
              <w:t>219</w:t>
            </w:r>
          </w:p>
        </w:tc>
        <w:tc>
          <w:tcPr>
            <w:tcW w:w="726" w:type="dxa"/>
            <w:tcBorders>
              <w:top w:val="single" w:sz="4" w:space="0" w:color="A6A6A6" w:themeColor="background1" w:themeShade="A6"/>
              <w:left w:val="nil"/>
              <w:bottom w:val="single" w:sz="4" w:space="0" w:color="A6A6A6" w:themeColor="background1" w:themeShade="A6"/>
              <w:right w:val="nil"/>
            </w:tcBorders>
            <w:hideMark/>
          </w:tcPr>
          <w:p w14:paraId="699DE3D6" w14:textId="582F1408" w:rsidR="00DC1132" w:rsidRPr="004F1B86" w:rsidRDefault="00DC1132" w:rsidP="004F1B86">
            <w:pPr>
              <w:pStyle w:val="TableText"/>
              <w:jc w:val="right"/>
              <w:rPr>
                <w:sz w:val="16"/>
                <w:szCs w:val="16"/>
              </w:rPr>
            </w:pPr>
            <w:r w:rsidRPr="004F1B86">
              <w:rPr>
                <w:sz w:val="16"/>
                <w:szCs w:val="16"/>
              </w:rPr>
              <w:t>216</w:t>
            </w:r>
          </w:p>
        </w:tc>
        <w:tc>
          <w:tcPr>
            <w:tcW w:w="726" w:type="dxa"/>
            <w:tcBorders>
              <w:top w:val="single" w:sz="4" w:space="0" w:color="A6A6A6" w:themeColor="background1" w:themeShade="A6"/>
              <w:left w:val="nil"/>
              <w:bottom w:val="single" w:sz="4" w:space="0" w:color="A6A6A6" w:themeColor="background1" w:themeShade="A6"/>
              <w:right w:val="nil"/>
            </w:tcBorders>
            <w:hideMark/>
          </w:tcPr>
          <w:p w14:paraId="693A85DF" w14:textId="70CEF528" w:rsidR="00DC1132" w:rsidRPr="004F1B86" w:rsidRDefault="00DC1132" w:rsidP="004F1B86">
            <w:pPr>
              <w:pStyle w:val="TableText"/>
              <w:jc w:val="right"/>
              <w:rPr>
                <w:sz w:val="16"/>
                <w:szCs w:val="16"/>
              </w:rPr>
            </w:pPr>
            <w:r w:rsidRPr="004F1B86">
              <w:rPr>
                <w:sz w:val="16"/>
                <w:szCs w:val="16"/>
              </w:rPr>
              <w:t>217</w:t>
            </w:r>
          </w:p>
        </w:tc>
        <w:tc>
          <w:tcPr>
            <w:tcW w:w="631" w:type="dxa"/>
            <w:tcBorders>
              <w:top w:val="single" w:sz="4" w:space="0" w:color="A6A6A6" w:themeColor="background1" w:themeShade="A6"/>
              <w:left w:val="nil"/>
              <w:bottom w:val="single" w:sz="4" w:space="0" w:color="A6A6A6" w:themeColor="background1" w:themeShade="A6"/>
              <w:right w:val="nil"/>
            </w:tcBorders>
          </w:tcPr>
          <w:p w14:paraId="27925D8A" w14:textId="4EA003C7" w:rsidR="00DC1132" w:rsidRPr="004F1B86" w:rsidRDefault="00DC1132" w:rsidP="004F1B86">
            <w:pPr>
              <w:pStyle w:val="TableText"/>
              <w:jc w:val="right"/>
              <w:rPr>
                <w:sz w:val="16"/>
                <w:szCs w:val="16"/>
              </w:rPr>
            </w:pPr>
            <w:r w:rsidRPr="004F1B86">
              <w:rPr>
                <w:sz w:val="16"/>
                <w:szCs w:val="16"/>
              </w:rPr>
              <w:t>214</w:t>
            </w:r>
          </w:p>
        </w:tc>
        <w:tc>
          <w:tcPr>
            <w:tcW w:w="631" w:type="dxa"/>
            <w:tcBorders>
              <w:top w:val="single" w:sz="4" w:space="0" w:color="A6A6A6" w:themeColor="background1" w:themeShade="A6"/>
              <w:left w:val="nil"/>
              <w:bottom w:val="single" w:sz="4" w:space="0" w:color="A6A6A6" w:themeColor="background1" w:themeShade="A6"/>
              <w:right w:val="nil"/>
            </w:tcBorders>
          </w:tcPr>
          <w:p w14:paraId="351B3C85" w14:textId="6BBDDA0F" w:rsidR="00DC1132" w:rsidRPr="004F1B86" w:rsidRDefault="00DC1132" w:rsidP="004F1B86">
            <w:pPr>
              <w:pStyle w:val="TableText"/>
              <w:jc w:val="right"/>
              <w:rPr>
                <w:sz w:val="16"/>
                <w:szCs w:val="16"/>
              </w:rPr>
            </w:pPr>
            <w:r w:rsidRPr="004F1B86">
              <w:rPr>
                <w:sz w:val="16"/>
                <w:szCs w:val="16"/>
              </w:rPr>
              <w:t>216</w:t>
            </w:r>
          </w:p>
        </w:tc>
        <w:tc>
          <w:tcPr>
            <w:tcW w:w="696" w:type="dxa"/>
            <w:tcBorders>
              <w:top w:val="single" w:sz="4" w:space="0" w:color="A6A6A6" w:themeColor="background1" w:themeShade="A6"/>
              <w:left w:val="nil"/>
              <w:bottom w:val="single" w:sz="4" w:space="0" w:color="A6A6A6" w:themeColor="background1" w:themeShade="A6"/>
              <w:right w:val="nil"/>
            </w:tcBorders>
            <w:hideMark/>
          </w:tcPr>
          <w:p w14:paraId="052EA2E4" w14:textId="176B6F1D" w:rsidR="00DC1132" w:rsidRPr="004F1B86" w:rsidRDefault="00DC1132" w:rsidP="004F1B86">
            <w:pPr>
              <w:pStyle w:val="TableText"/>
              <w:jc w:val="right"/>
              <w:rPr>
                <w:sz w:val="16"/>
                <w:szCs w:val="16"/>
              </w:rPr>
            </w:pPr>
            <w:r w:rsidRPr="004F1B86">
              <w:rPr>
                <w:sz w:val="16"/>
                <w:szCs w:val="16"/>
              </w:rPr>
              <w:t>209</w:t>
            </w:r>
          </w:p>
        </w:tc>
        <w:tc>
          <w:tcPr>
            <w:tcW w:w="678" w:type="dxa"/>
            <w:gridSpan w:val="2"/>
            <w:tcBorders>
              <w:top w:val="single" w:sz="4" w:space="0" w:color="A6A6A6" w:themeColor="background1" w:themeShade="A6"/>
              <w:left w:val="nil"/>
              <w:bottom w:val="single" w:sz="4" w:space="0" w:color="A6A6A6" w:themeColor="background1" w:themeShade="A6"/>
              <w:right w:val="nil"/>
            </w:tcBorders>
            <w:hideMark/>
          </w:tcPr>
          <w:p w14:paraId="692BC75D" w14:textId="01479A3E" w:rsidR="00DC1132" w:rsidRPr="004F1B86" w:rsidRDefault="00DC1132" w:rsidP="004F1B86">
            <w:pPr>
              <w:pStyle w:val="TableText"/>
              <w:jc w:val="right"/>
              <w:rPr>
                <w:sz w:val="16"/>
                <w:szCs w:val="16"/>
              </w:rPr>
            </w:pPr>
            <w:r w:rsidRPr="004F1B86">
              <w:rPr>
                <w:sz w:val="16"/>
                <w:szCs w:val="16"/>
              </w:rPr>
              <w:t>209</w:t>
            </w:r>
          </w:p>
        </w:tc>
      </w:tr>
      <w:tr w:rsidR="00DC1132" w14:paraId="0AD10494" w14:textId="77777777" w:rsidTr="00DC1132">
        <w:tc>
          <w:tcPr>
            <w:tcW w:w="1079" w:type="dxa"/>
            <w:tcBorders>
              <w:top w:val="single" w:sz="4" w:space="0" w:color="A6A6A6" w:themeColor="background1" w:themeShade="A6"/>
              <w:left w:val="nil"/>
              <w:bottom w:val="single" w:sz="4" w:space="0" w:color="A6A6A6" w:themeColor="background1" w:themeShade="A6"/>
              <w:right w:val="nil"/>
            </w:tcBorders>
            <w:hideMark/>
          </w:tcPr>
          <w:p w14:paraId="4DB4FC24" w14:textId="7AAAB608" w:rsidR="00DC1132" w:rsidRPr="004F1B86" w:rsidRDefault="00DC1132" w:rsidP="00DC1132">
            <w:pPr>
              <w:pStyle w:val="TableText"/>
              <w:rPr>
                <w:sz w:val="16"/>
                <w:szCs w:val="16"/>
              </w:rPr>
            </w:pPr>
            <w:r w:rsidRPr="004F1B86">
              <w:rPr>
                <w:sz w:val="16"/>
                <w:szCs w:val="16"/>
              </w:rPr>
              <w:t>Total</w:t>
            </w:r>
          </w:p>
        </w:tc>
        <w:tc>
          <w:tcPr>
            <w:tcW w:w="733" w:type="dxa"/>
            <w:gridSpan w:val="2"/>
            <w:tcBorders>
              <w:top w:val="single" w:sz="4" w:space="0" w:color="A6A6A6" w:themeColor="background1" w:themeShade="A6"/>
              <w:left w:val="nil"/>
              <w:bottom w:val="single" w:sz="4" w:space="0" w:color="A6A6A6" w:themeColor="background1" w:themeShade="A6"/>
              <w:right w:val="nil"/>
            </w:tcBorders>
            <w:hideMark/>
          </w:tcPr>
          <w:p w14:paraId="3339BDE1" w14:textId="2B035A1D" w:rsidR="00DC1132" w:rsidRPr="004F1B86" w:rsidRDefault="00DC1132" w:rsidP="004F1B86">
            <w:pPr>
              <w:pStyle w:val="TableText"/>
              <w:jc w:val="right"/>
              <w:rPr>
                <w:sz w:val="16"/>
                <w:szCs w:val="16"/>
              </w:rPr>
            </w:pPr>
            <w:r w:rsidRPr="004F1B86">
              <w:rPr>
                <w:sz w:val="16"/>
                <w:szCs w:val="16"/>
              </w:rPr>
              <w:t>294</w:t>
            </w:r>
          </w:p>
        </w:tc>
        <w:tc>
          <w:tcPr>
            <w:tcW w:w="727" w:type="dxa"/>
            <w:tcBorders>
              <w:top w:val="single" w:sz="4" w:space="0" w:color="A6A6A6" w:themeColor="background1" w:themeShade="A6"/>
              <w:left w:val="nil"/>
              <w:bottom w:val="single" w:sz="4" w:space="0" w:color="A6A6A6" w:themeColor="background1" w:themeShade="A6"/>
              <w:right w:val="nil"/>
            </w:tcBorders>
            <w:hideMark/>
          </w:tcPr>
          <w:p w14:paraId="4936418C" w14:textId="5DFD778C" w:rsidR="00DC1132" w:rsidRPr="004F1B86" w:rsidRDefault="00DC1132" w:rsidP="004F1B86">
            <w:pPr>
              <w:pStyle w:val="TableText"/>
              <w:jc w:val="right"/>
              <w:rPr>
                <w:sz w:val="16"/>
                <w:szCs w:val="16"/>
              </w:rPr>
            </w:pPr>
            <w:r w:rsidRPr="004F1B86">
              <w:rPr>
                <w:sz w:val="16"/>
                <w:szCs w:val="16"/>
              </w:rPr>
              <w:t>249</w:t>
            </w:r>
          </w:p>
        </w:tc>
        <w:tc>
          <w:tcPr>
            <w:tcW w:w="726" w:type="dxa"/>
            <w:tcBorders>
              <w:top w:val="single" w:sz="4" w:space="0" w:color="A6A6A6" w:themeColor="background1" w:themeShade="A6"/>
              <w:left w:val="nil"/>
              <w:bottom w:val="single" w:sz="4" w:space="0" w:color="A6A6A6" w:themeColor="background1" w:themeShade="A6"/>
              <w:right w:val="nil"/>
            </w:tcBorders>
            <w:hideMark/>
          </w:tcPr>
          <w:p w14:paraId="417D6569" w14:textId="334E061D" w:rsidR="00DC1132" w:rsidRPr="004F1B86" w:rsidRDefault="00DC1132" w:rsidP="004F1B86">
            <w:pPr>
              <w:pStyle w:val="TableText"/>
              <w:jc w:val="right"/>
              <w:rPr>
                <w:sz w:val="16"/>
                <w:szCs w:val="16"/>
              </w:rPr>
            </w:pPr>
            <w:r w:rsidRPr="004F1B86">
              <w:rPr>
                <w:sz w:val="16"/>
                <w:szCs w:val="16"/>
              </w:rPr>
              <w:t>219</w:t>
            </w:r>
          </w:p>
        </w:tc>
        <w:tc>
          <w:tcPr>
            <w:tcW w:w="726" w:type="dxa"/>
            <w:tcBorders>
              <w:top w:val="single" w:sz="4" w:space="0" w:color="A6A6A6" w:themeColor="background1" w:themeShade="A6"/>
              <w:left w:val="nil"/>
              <w:bottom w:val="single" w:sz="4" w:space="0" w:color="A6A6A6" w:themeColor="background1" w:themeShade="A6"/>
              <w:right w:val="nil"/>
            </w:tcBorders>
            <w:hideMark/>
          </w:tcPr>
          <w:p w14:paraId="02A846EA" w14:textId="56E4FDAC" w:rsidR="00DC1132" w:rsidRPr="004F1B86" w:rsidRDefault="00DC1132" w:rsidP="004F1B86">
            <w:pPr>
              <w:pStyle w:val="TableText"/>
              <w:jc w:val="right"/>
              <w:rPr>
                <w:sz w:val="16"/>
                <w:szCs w:val="16"/>
              </w:rPr>
            </w:pPr>
            <w:r w:rsidRPr="004F1B86">
              <w:rPr>
                <w:sz w:val="16"/>
                <w:szCs w:val="16"/>
              </w:rPr>
              <w:t>211</w:t>
            </w:r>
          </w:p>
        </w:tc>
        <w:tc>
          <w:tcPr>
            <w:tcW w:w="726" w:type="dxa"/>
            <w:tcBorders>
              <w:top w:val="single" w:sz="4" w:space="0" w:color="A6A6A6" w:themeColor="background1" w:themeShade="A6"/>
              <w:left w:val="nil"/>
              <w:bottom w:val="single" w:sz="4" w:space="0" w:color="A6A6A6" w:themeColor="background1" w:themeShade="A6"/>
              <w:right w:val="nil"/>
            </w:tcBorders>
            <w:hideMark/>
          </w:tcPr>
          <w:p w14:paraId="0CB5235A" w14:textId="404F7CFF" w:rsidR="00DC1132" w:rsidRPr="004F1B86" w:rsidRDefault="00DC1132" w:rsidP="004F1B86">
            <w:pPr>
              <w:pStyle w:val="TableText"/>
              <w:jc w:val="right"/>
              <w:rPr>
                <w:sz w:val="16"/>
                <w:szCs w:val="16"/>
              </w:rPr>
            </w:pPr>
            <w:r w:rsidRPr="004F1B86">
              <w:rPr>
                <w:sz w:val="16"/>
                <w:szCs w:val="16"/>
              </w:rPr>
              <w:t>210</w:t>
            </w:r>
          </w:p>
        </w:tc>
        <w:tc>
          <w:tcPr>
            <w:tcW w:w="726" w:type="dxa"/>
            <w:tcBorders>
              <w:top w:val="single" w:sz="4" w:space="0" w:color="A6A6A6" w:themeColor="background1" w:themeShade="A6"/>
              <w:left w:val="nil"/>
              <w:bottom w:val="single" w:sz="4" w:space="0" w:color="A6A6A6" w:themeColor="background1" w:themeShade="A6"/>
              <w:right w:val="nil"/>
            </w:tcBorders>
            <w:hideMark/>
          </w:tcPr>
          <w:p w14:paraId="1C19EAD9" w14:textId="40FD91A2" w:rsidR="00DC1132" w:rsidRPr="004F1B86" w:rsidRDefault="00DC1132" w:rsidP="004F1B86">
            <w:pPr>
              <w:pStyle w:val="TableText"/>
              <w:jc w:val="right"/>
              <w:rPr>
                <w:sz w:val="16"/>
                <w:szCs w:val="16"/>
              </w:rPr>
            </w:pPr>
            <w:r w:rsidRPr="004F1B86">
              <w:rPr>
                <w:sz w:val="16"/>
                <w:szCs w:val="16"/>
              </w:rPr>
              <w:t>210</w:t>
            </w:r>
          </w:p>
        </w:tc>
        <w:tc>
          <w:tcPr>
            <w:tcW w:w="631" w:type="dxa"/>
            <w:tcBorders>
              <w:top w:val="single" w:sz="4" w:space="0" w:color="A6A6A6" w:themeColor="background1" w:themeShade="A6"/>
              <w:left w:val="nil"/>
              <w:bottom w:val="single" w:sz="4" w:space="0" w:color="A6A6A6" w:themeColor="background1" w:themeShade="A6"/>
              <w:right w:val="nil"/>
            </w:tcBorders>
          </w:tcPr>
          <w:p w14:paraId="62784560" w14:textId="5AC8C080" w:rsidR="00DC1132" w:rsidRPr="004F1B86" w:rsidRDefault="00DC1132" w:rsidP="004F1B86">
            <w:pPr>
              <w:pStyle w:val="TableText"/>
              <w:jc w:val="right"/>
              <w:rPr>
                <w:sz w:val="16"/>
                <w:szCs w:val="16"/>
              </w:rPr>
            </w:pPr>
            <w:r w:rsidRPr="004F1B86">
              <w:rPr>
                <w:sz w:val="16"/>
                <w:szCs w:val="16"/>
              </w:rPr>
              <w:t>208</w:t>
            </w:r>
          </w:p>
        </w:tc>
        <w:tc>
          <w:tcPr>
            <w:tcW w:w="631" w:type="dxa"/>
            <w:tcBorders>
              <w:top w:val="single" w:sz="4" w:space="0" w:color="A6A6A6" w:themeColor="background1" w:themeShade="A6"/>
              <w:left w:val="nil"/>
              <w:bottom w:val="single" w:sz="4" w:space="0" w:color="A6A6A6" w:themeColor="background1" w:themeShade="A6"/>
              <w:right w:val="nil"/>
            </w:tcBorders>
          </w:tcPr>
          <w:p w14:paraId="3B0A4F5D" w14:textId="628DE7BB" w:rsidR="00DC1132" w:rsidRPr="004F1B86" w:rsidRDefault="00DC1132" w:rsidP="004F1B86">
            <w:pPr>
              <w:pStyle w:val="TableText"/>
              <w:jc w:val="right"/>
              <w:rPr>
                <w:sz w:val="16"/>
                <w:szCs w:val="16"/>
              </w:rPr>
            </w:pPr>
            <w:r w:rsidRPr="004F1B86">
              <w:rPr>
                <w:sz w:val="16"/>
                <w:szCs w:val="16"/>
              </w:rPr>
              <w:t>209</w:t>
            </w:r>
          </w:p>
        </w:tc>
        <w:tc>
          <w:tcPr>
            <w:tcW w:w="696" w:type="dxa"/>
            <w:tcBorders>
              <w:top w:val="single" w:sz="4" w:space="0" w:color="A6A6A6" w:themeColor="background1" w:themeShade="A6"/>
              <w:left w:val="nil"/>
              <w:bottom w:val="single" w:sz="4" w:space="0" w:color="A6A6A6" w:themeColor="background1" w:themeShade="A6"/>
              <w:right w:val="nil"/>
            </w:tcBorders>
            <w:hideMark/>
          </w:tcPr>
          <w:p w14:paraId="29534551" w14:textId="0D376460" w:rsidR="00DC1132" w:rsidRPr="004F1B86" w:rsidRDefault="00DC1132" w:rsidP="004F1B86">
            <w:pPr>
              <w:pStyle w:val="TableText"/>
              <w:jc w:val="right"/>
              <w:rPr>
                <w:sz w:val="16"/>
                <w:szCs w:val="16"/>
              </w:rPr>
            </w:pPr>
            <w:r w:rsidRPr="004F1B86">
              <w:rPr>
                <w:sz w:val="16"/>
                <w:szCs w:val="16"/>
              </w:rPr>
              <w:t>202</w:t>
            </w:r>
          </w:p>
        </w:tc>
        <w:tc>
          <w:tcPr>
            <w:tcW w:w="678" w:type="dxa"/>
            <w:gridSpan w:val="2"/>
            <w:tcBorders>
              <w:top w:val="single" w:sz="4" w:space="0" w:color="A6A6A6" w:themeColor="background1" w:themeShade="A6"/>
              <w:left w:val="nil"/>
              <w:bottom w:val="single" w:sz="4" w:space="0" w:color="A6A6A6" w:themeColor="background1" w:themeShade="A6"/>
              <w:right w:val="nil"/>
            </w:tcBorders>
            <w:hideMark/>
          </w:tcPr>
          <w:p w14:paraId="7A96EB62" w14:textId="59505E55" w:rsidR="00DC1132" w:rsidRPr="004F1B86" w:rsidRDefault="00DC1132" w:rsidP="004F1B86">
            <w:pPr>
              <w:pStyle w:val="TableText"/>
              <w:jc w:val="right"/>
              <w:rPr>
                <w:sz w:val="16"/>
                <w:szCs w:val="16"/>
              </w:rPr>
            </w:pPr>
            <w:r w:rsidRPr="004F1B86">
              <w:rPr>
                <w:sz w:val="16"/>
                <w:szCs w:val="16"/>
              </w:rPr>
              <w:t>204</w:t>
            </w:r>
          </w:p>
        </w:tc>
      </w:tr>
    </w:tbl>
    <w:p w14:paraId="5C309759" w14:textId="6FBACEC9" w:rsidR="00EC5D95" w:rsidRPr="00EC5D95" w:rsidRDefault="00EC5D95" w:rsidP="00EC5D95"/>
    <w:p w14:paraId="461E11B1" w14:textId="77777777" w:rsidR="00EC5D95" w:rsidRPr="00EC5D95" w:rsidRDefault="00EC5D95" w:rsidP="00EC5D95"/>
    <w:p w14:paraId="5644B7D5" w14:textId="77777777" w:rsidR="00DC1132" w:rsidRDefault="00DC1132" w:rsidP="00EC5D95">
      <w:pPr>
        <w:rPr>
          <w:sz w:val="17"/>
        </w:rPr>
        <w:sectPr w:rsidR="00DC1132" w:rsidSect="008F0115">
          <w:pgSz w:w="11907" w:h="16840" w:code="9"/>
          <w:pgMar w:top="1418" w:right="1701" w:bottom="1134" w:left="1843" w:header="284" w:footer="425" w:gutter="284"/>
          <w:cols w:space="720"/>
        </w:sectPr>
      </w:pP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01"/>
        <w:gridCol w:w="207"/>
        <w:gridCol w:w="752"/>
        <w:gridCol w:w="752"/>
        <w:gridCol w:w="753"/>
        <w:gridCol w:w="752"/>
        <w:gridCol w:w="752"/>
        <w:gridCol w:w="753"/>
        <w:gridCol w:w="752"/>
        <w:gridCol w:w="752"/>
        <w:gridCol w:w="743"/>
        <w:gridCol w:w="11"/>
      </w:tblGrid>
      <w:tr w:rsidR="00DC1132" w14:paraId="64D609EE" w14:textId="77777777" w:rsidTr="00971872">
        <w:tc>
          <w:tcPr>
            <w:tcW w:w="8080" w:type="dxa"/>
            <w:gridSpan w:val="12"/>
            <w:tcBorders>
              <w:top w:val="nil"/>
              <w:left w:val="nil"/>
              <w:bottom w:val="nil"/>
              <w:right w:val="nil"/>
            </w:tcBorders>
            <w:shd w:val="clear" w:color="auto" w:fill="D9D9D9" w:themeFill="background1" w:themeFillShade="D9"/>
            <w:hideMark/>
          </w:tcPr>
          <w:p w14:paraId="7DACAF82" w14:textId="6A2CA6EF" w:rsidR="00DC1132" w:rsidRDefault="00DC1132">
            <w:pPr>
              <w:pStyle w:val="TableText"/>
              <w:rPr>
                <w:b/>
                <w:bCs/>
              </w:rPr>
            </w:pPr>
            <w:r w:rsidRPr="00DC1132">
              <w:rPr>
                <w:b/>
                <w:bCs/>
              </w:rPr>
              <w:lastRenderedPageBreak/>
              <w:t>Life expectancy by health spending per capita compares well within the OECD</w:t>
            </w:r>
          </w:p>
        </w:tc>
      </w:tr>
      <w:tr w:rsidR="00DC1132" w14:paraId="3EAF117A" w14:textId="77777777" w:rsidTr="00971872">
        <w:tc>
          <w:tcPr>
            <w:tcW w:w="1101" w:type="dxa"/>
            <w:tcBorders>
              <w:top w:val="nil"/>
              <w:left w:val="nil"/>
              <w:bottom w:val="single" w:sz="4" w:space="0" w:color="A6A6A6" w:themeColor="background1" w:themeShade="A6"/>
              <w:right w:val="nil"/>
            </w:tcBorders>
            <w:hideMark/>
          </w:tcPr>
          <w:p w14:paraId="0247EB79" w14:textId="77777777" w:rsidR="00DC1132" w:rsidRDefault="00DC1132" w:rsidP="00DC1132">
            <w:pPr>
              <w:pStyle w:val="TableText"/>
              <w:rPr>
                <w:b/>
                <w:bCs/>
              </w:rPr>
            </w:pPr>
            <w:r>
              <w:rPr>
                <w:b/>
                <w:bCs/>
              </w:rPr>
              <w:t>Measures</w:t>
            </w:r>
          </w:p>
        </w:tc>
        <w:tc>
          <w:tcPr>
            <w:tcW w:w="6979" w:type="dxa"/>
            <w:gridSpan w:val="11"/>
            <w:tcBorders>
              <w:top w:val="nil"/>
              <w:left w:val="nil"/>
              <w:bottom w:val="single" w:sz="4" w:space="0" w:color="A6A6A6" w:themeColor="background1" w:themeShade="A6"/>
              <w:right w:val="nil"/>
            </w:tcBorders>
            <w:hideMark/>
          </w:tcPr>
          <w:p w14:paraId="1C2125AD" w14:textId="7A5F6065" w:rsidR="00DC1132" w:rsidRPr="00DC1132" w:rsidRDefault="00DC1132" w:rsidP="00DC1132">
            <w:pPr>
              <w:pStyle w:val="TableText"/>
            </w:pPr>
            <w:r w:rsidRPr="00DC1132">
              <w:t>New Zealand maintains its position within the Organisation for Economic Co-operation and Development (OECD), balancing relatively high life expectancy outcomes with relatively modest health expenditure.</w:t>
            </w:r>
          </w:p>
        </w:tc>
      </w:tr>
      <w:tr w:rsidR="00DC1132" w14:paraId="4594070F" w14:textId="77777777" w:rsidTr="00971872">
        <w:tc>
          <w:tcPr>
            <w:tcW w:w="1101" w:type="dxa"/>
            <w:tcBorders>
              <w:top w:val="single" w:sz="4" w:space="0" w:color="A6A6A6" w:themeColor="background1" w:themeShade="A6"/>
              <w:left w:val="nil"/>
              <w:bottom w:val="single" w:sz="4" w:space="0" w:color="A6A6A6" w:themeColor="background1" w:themeShade="A6"/>
              <w:right w:val="nil"/>
            </w:tcBorders>
            <w:hideMark/>
          </w:tcPr>
          <w:p w14:paraId="5D3E4591" w14:textId="77777777" w:rsidR="00DC1132" w:rsidRDefault="00DC1132" w:rsidP="00DC1132">
            <w:pPr>
              <w:pStyle w:val="TableText"/>
              <w:rPr>
                <w:b/>
                <w:bCs/>
              </w:rPr>
            </w:pPr>
            <w:r>
              <w:rPr>
                <w:b/>
                <w:bCs/>
              </w:rPr>
              <w:t>Target</w:t>
            </w:r>
          </w:p>
        </w:tc>
        <w:tc>
          <w:tcPr>
            <w:tcW w:w="6979" w:type="dxa"/>
            <w:gridSpan w:val="11"/>
            <w:tcBorders>
              <w:top w:val="single" w:sz="4" w:space="0" w:color="A6A6A6" w:themeColor="background1" w:themeShade="A6"/>
              <w:left w:val="nil"/>
              <w:bottom w:val="single" w:sz="4" w:space="0" w:color="A6A6A6" w:themeColor="background1" w:themeShade="A6"/>
              <w:right w:val="nil"/>
            </w:tcBorders>
            <w:hideMark/>
          </w:tcPr>
          <w:p w14:paraId="38FFBA1F" w14:textId="18241912" w:rsidR="00DC1132" w:rsidRPr="00DC1132" w:rsidRDefault="00DC1132" w:rsidP="00DC1132">
            <w:pPr>
              <w:pStyle w:val="TableText"/>
            </w:pPr>
            <w:r w:rsidRPr="00DC1132">
              <w:t>Maintain OECD position.</w:t>
            </w:r>
          </w:p>
        </w:tc>
      </w:tr>
      <w:tr w:rsidR="00DC1132" w14:paraId="75E9E5EF" w14:textId="77777777" w:rsidTr="00971872">
        <w:tc>
          <w:tcPr>
            <w:tcW w:w="1101" w:type="dxa"/>
            <w:tcBorders>
              <w:top w:val="single" w:sz="4" w:space="0" w:color="A6A6A6" w:themeColor="background1" w:themeShade="A6"/>
              <w:left w:val="nil"/>
              <w:bottom w:val="single" w:sz="4" w:space="0" w:color="A6A6A6" w:themeColor="background1" w:themeShade="A6"/>
              <w:right w:val="nil"/>
            </w:tcBorders>
            <w:hideMark/>
          </w:tcPr>
          <w:p w14:paraId="5ADFB572" w14:textId="77777777" w:rsidR="00DC1132" w:rsidRDefault="00DC1132" w:rsidP="00DC1132">
            <w:pPr>
              <w:pStyle w:val="TableText"/>
              <w:rPr>
                <w:b/>
                <w:bCs/>
              </w:rPr>
            </w:pPr>
            <w:r>
              <w:rPr>
                <w:b/>
                <w:bCs/>
              </w:rPr>
              <w:t>Results</w:t>
            </w:r>
          </w:p>
        </w:tc>
        <w:tc>
          <w:tcPr>
            <w:tcW w:w="6979" w:type="dxa"/>
            <w:gridSpan w:val="11"/>
            <w:tcBorders>
              <w:top w:val="single" w:sz="4" w:space="0" w:color="A6A6A6" w:themeColor="background1" w:themeShade="A6"/>
              <w:left w:val="nil"/>
              <w:bottom w:val="single" w:sz="4" w:space="0" w:color="A6A6A6" w:themeColor="background1" w:themeShade="A6"/>
              <w:right w:val="nil"/>
            </w:tcBorders>
            <w:hideMark/>
          </w:tcPr>
          <w:p w14:paraId="7B2013EA" w14:textId="77777777" w:rsidR="00DC1132" w:rsidRPr="00DC1132" w:rsidRDefault="00DC1132" w:rsidP="00DC1132">
            <w:pPr>
              <w:pStyle w:val="TableText"/>
            </w:pPr>
            <w:r w:rsidRPr="00DC1132">
              <w:t>In 2021, New Zealand ranked 14th out of the 35 OECD countries that reported on life expectancy at birth. For this indicator, New Zealand continues to maintain a relatively high life expectancy among other comparable countries and is ranked in the top half of countries within the OECD. Fluctuations in the rank position of New Zealand among similar countries over time do not necessarily reflect an improving or declining life expectancy relative to the other OECD countries.</w:t>
            </w:r>
          </w:p>
          <w:p w14:paraId="5340BEF0" w14:textId="47DC50D0" w:rsidR="00DC1132" w:rsidRDefault="00DC1132" w:rsidP="00DC1132">
            <w:pPr>
              <w:pStyle w:val="TableText"/>
            </w:pPr>
            <w:r w:rsidRPr="00DC1132">
              <w:t>In 2022, New Zealand ranked 16th out of 38 OECD countries for health expenditure. Health expenditure is measured per capita in terms of constant prices and 2015 purchasing power parities.</w:t>
            </w:r>
            <w:r>
              <w:rPr>
                <w:rStyle w:val="FootnoteReference"/>
              </w:rPr>
              <w:footnoteReference w:id="31"/>
            </w:r>
          </w:p>
        </w:tc>
      </w:tr>
      <w:tr w:rsidR="00DC1132" w14:paraId="5823DCB0" w14:textId="77777777" w:rsidTr="00971872">
        <w:trPr>
          <w:gridAfter w:val="1"/>
          <w:wAfter w:w="11" w:type="dxa"/>
        </w:trPr>
        <w:tc>
          <w:tcPr>
            <w:tcW w:w="8069" w:type="dxa"/>
            <w:gridSpan w:val="11"/>
            <w:tcBorders>
              <w:top w:val="single" w:sz="4" w:space="0" w:color="A6A6A6" w:themeColor="background1" w:themeShade="A6"/>
              <w:left w:val="nil"/>
              <w:bottom w:val="single" w:sz="4" w:space="0" w:color="A6A6A6" w:themeColor="background1" w:themeShade="A6"/>
              <w:right w:val="nil"/>
            </w:tcBorders>
            <w:shd w:val="clear" w:color="auto" w:fill="FFFFFF" w:themeFill="background1"/>
            <w:hideMark/>
          </w:tcPr>
          <w:p w14:paraId="2926FF7B" w14:textId="7B8F1613" w:rsidR="00DC1132" w:rsidRDefault="00DC1132">
            <w:pPr>
              <w:pStyle w:val="TableText"/>
              <w:keepNext/>
              <w:rPr>
                <w:b/>
                <w:bCs/>
              </w:rPr>
            </w:pPr>
            <w:r w:rsidRPr="00DC1132">
              <w:rPr>
                <w:b/>
                <w:bCs/>
              </w:rPr>
              <w:t>OECD Life expectancy and health expenditure – position among OECD countries</w:t>
            </w:r>
            <w:r>
              <w:rPr>
                <w:rStyle w:val="FootnoteReference"/>
                <w:b/>
                <w:bCs/>
              </w:rPr>
              <w:footnoteReference w:id="32"/>
            </w:r>
          </w:p>
        </w:tc>
      </w:tr>
      <w:tr w:rsidR="00DC1132" w:rsidRPr="00DC1132" w14:paraId="35EADC36" w14:textId="77777777" w:rsidTr="00971872">
        <w:tc>
          <w:tcPr>
            <w:tcW w:w="1308"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72D61EF5" w14:textId="77777777" w:rsidR="00DC1132" w:rsidRPr="004F1B86" w:rsidRDefault="00DC1132" w:rsidP="00DC1132">
            <w:pPr>
              <w:pStyle w:val="TableText"/>
              <w:rPr>
                <w:b/>
                <w:bCs/>
                <w:sz w:val="16"/>
                <w:szCs w:val="16"/>
              </w:rPr>
            </w:pPr>
          </w:p>
        </w:tc>
        <w:tc>
          <w:tcPr>
            <w:tcW w:w="752"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1B6E80BC" w14:textId="4283331B" w:rsidR="00DC1132" w:rsidRPr="004F1B86" w:rsidRDefault="00DC1132" w:rsidP="00971872">
            <w:pPr>
              <w:pStyle w:val="TableText"/>
              <w:rPr>
                <w:b/>
                <w:bCs/>
                <w:sz w:val="16"/>
                <w:szCs w:val="16"/>
              </w:rPr>
            </w:pPr>
            <w:r w:rsidRPr="004F1B86">
              <w:rPr>
                <w:b/>
                <w:bCs/>
                <w:sz w:val="16"/>
                <w:szCs w:val="16"/>
              </w:rPr>
              <w:t>2005</w:t>
            </w:r>
          </w:p>
        </w:tc>
        <w:tc>
          <w:tcPr>
            <w:tcW w:w="752"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794D7D24" w14:textId="143EB5FF" w:rsidR="00DC1132" w:rsidRPr="004F1B86" w:rsidRDefault="00DC1132" w:rsidP="00971872">
            <w:pPr>
              <w:pStyle w:val="TableText"/>
              <w:rPr>
                <w:b/>
                <w:bCs/>
                <w:sz w:val="16"/>
                <w:szCs w:val="16"/>
              </w:rPr>
            </w:pPr>
            <w:r w:rsidRPr="004F1B86">
              <w:rPr>
                <w:b/>
                <w:bCs/>
                <w:sz w:val="16"/>
                <w:szCs w:val="16"/>
              </w:rPr>
              <w:t>2010</w:t>
            </w:r>
          </w:p>
        </w:tc>
        <w:tc>
          <w:tcPr>
            <w:tcW w:w="753"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2CC6CDE8" w14:textId="4AE39E45" w:rsidR="00DC1132" w:rsidRPr="004F1B86" w:rsidRDefault="00DC1132" w:rsidP="00971872">
            <w:pPr>
              <w:pStyle w:val="TableText"/>
              <w:rPr>
                <w:b/>
                <w:bCs/>
                <w:sz w:val="16"/>
                <w:szCs w:val="16"/>
              </w:rPr>
            </w:pPr>
            <w:r w:rsidRPr="004F1B86">
              <w:rPr>
                <w:b/>
                <w:bCs/>
                <w:sz w:val="16"/>
                <w:szCs w:val="16"/>
              </w:rPr>
              <w:t>2015</w:t>
            </w:r>
          </w:p>
        </w:tc>
        <w:tc>
          <w:tcPr>
            <w:tcW w:w="752"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61D6129F" w14:textId="1FF63E7D" w:rsidR="00DC1132" w:rsidRPr="004F1B86" w:rsidRDefault="00DC1132" w:rsidP="00971872">
            <w:pPr>
              <w:pStyle w:val="TableText"/>
              <w:rPr>
                <w:b/>
                <w:bCs/>
                <w:sz w:val="16"/>
                <w:szCs w:val="16"/>
              </w:rPr>
            </w:pPr>
            <w:r w:rsidRPr="004F1B86">
              <w:rPr>
                <w:b/>
                <w:bCs/>
                <w:sz w:val="16"/>
                <w:szCs w:val="16"/>
              </w:rPr>
              <w:t>2017</w:t>
            </w:r>
          </w:p>
        </w:tc>
        <w:tc>
          <w:tcPr>
            <w:tcW w:w="752"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6C9559B1" w14:textId="46F06FCA" w:rsidR="00DC1132" w:rsidRPr="004F1B86" w:rsidRDefault="00DC1132" w:rsidP="00971872">
            <w:pPr>
              <w:pStyle w:val="TableText"/>
              <w:rPr>
                <w:b/>
                <w:bCs/>
                <w:sz w:val="16"/>
                <w:szCs w:val="16"/>
              </w:rPr>
            </w:pPr>
            <w:r w:rsidRPr="004F1B86">
              <w:rPr>
                <w:b/>
                <w:bCs/>
                <w:sz w:val="16"/>
                <w:szCs w:val="16"/>
              </w:rPr>
              <w:t>2018</w:t>
            </w:r>
          </w:p>
        </w:tc>
        <w:tc>
          <w:tcPr>
            <w:tcW w:w="753"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389EC5C6" w14:textId="68586C41" w:rsidR="00DC1132" w:rsidRPr="004F1B86" w:rsidRDefault="00DC1132" w:rsidP="00971872">
            <w:pPr>
              <w:pStyle w:val="TableText"/>
              <w:rPr>
                <w:b/>
                <w:bCs/>
                <w:sz w:val="16"/>
                <w:szCs w:val="16"/>
              </w:rPr>
            </w:pPr>
            <w:r w:rsidRPr="004F1B86">
              <w:rPr>
                <w:b/>
                <w:bCs/>
                <w:sz w:val="16"/>
                <w:szCs w:val="16"/>
              </w:rPr>
              <w:t>2019</w:t>
            </w:r>
          </w:p>
        </w:tc>
        <w:tc>
          <w:tcPr>
            <w:tcW w:w="752"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3E161B1D" w14:textId="178F47AD" w:rsidR="00DC1132" w:rsidRPr="004F1B86" w:rsidRDefault="00DC1132" w:rsidP="00971872">
            <w:pPr>
              <w:pStyle w:val="TableText"/>
              <w:rPr>
                <w:b/>
                <w:bCs/>
                <w:sz w:val="16"/>
                <w:szCs w:val="16"/>
              </w:rPr>
            </w:pPr>
            <w:r w:rsidRPr="004F1B86">
              <w:rPr>
                <w:b/>
                <w:bCs/>
                <w:sz w:val="16"/>
                <w:szCs w:val="16"/>
              </w:rPr>
              <w:t>2020</w:t>
            </w:r>
          </w:p>
        </w:tc>
        <w:tc>
          <w:tcPr>
            <w:tcW w:w="752"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411443F4" w14:textId="6EBD6EC4" w:rsidR="00DC1132" w:rsidRPr="004F1B86" w:rsidRDefault="00DC1132" w:rsidP="00971872">
            <w:pPr>
              <w:pStyle w:val="TableText"/>
              <w:rPr>
                <w:b/>
                <w:bCs/>
                <w:sz w:val="16"/>
                <w:szCs w:val="16"/>
              </w:rPr>
            </w:pPr>
            <w:r w:rsidRPr="004F1B86">
              <w:rPr>
                <w:b/>
                <w:bCs/>
                <w:sz w:val="16"/>
                <w:szCs w:val="16"/>
              </w:rPr>
              <w:t>2021</w:t>
            </w:r>
          </w:p>
        </w:tc>
        <w:tc>
          <w:tcPr>
            <w:tcW w:w="753"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711B0DBC" w14:textId="235E1F04" w:rsidR="00DC1132" w:rsidRPr="004F1B86" w:rsidRDefault="00DC1132" w:rsidP="00971872">
            <w:pPr>
              <w:pStyle w:val="TableText"/>
              <w:rPr>
                <w:b/>
                <w:bCs/>
                <w:sz w:val="16"/>
                <w:szCs w:val="16"/>
              </w:rPr>
            </w:pPr>
            <w:r w:rsidRPr="004F1B86">
              <w:rPr>
                <w:b/>
                <w:bCs/>
                <w:sz w:val="16"/>
                <w:szCs w:val="16"/>
              </w:rPr>
              <w:t>2022</w:t>
            </w:r>
          </w:p>
        </w:tc>
      </w:tr>
      <w:tr w:rsidR="00DC1132" w14:paraId="5CD09C0D" w14:textId="77777777" w:rsidTr="00971872">
        <w:tc>
          <w:tcPr>
            <w:tcW w:w="1308" w:type="dxa"/>
            <w:gridSpan w:val="2"/>
            <w:tcBorders>
              <w:top w:val="single" w:sz="4" w:space="0" w:color="A6A6A6" w:themeColor="background1" w:themeShade="A6"/>
              <w:left w:val="nil"/>
              <w:bottom w:val="single" w:sz="4" w:space="0" w:color="A6A6A6" w:themeColor="background1" w:themeShade="A6"/>
              <w:right w:val="nil"/>
            </w:tcBorders>
            <w:hideMark/>
          </w:tcPr>
          <w:p w14:paraId="0E0EC149" w14:textId="77777777" w:rsidR="00DC1132" w:rsidRPr="004F1B86" w:rsidRDefault="00DC1132">
            <w:pPr>
              <w:pStyle w:val="TableText"/>
              <w:rPr>
                <w:sz w:val="16"/>
                <w:szCs w:val="16"/>
              </w:rPr>
            </w:pPr>
            <w:r w:rsidRPr="004F1B86">
              <w:rPr>
                <w:sz w:val="16"/>
                <w:szCs w:val="16"/>
              </w:rPr>
              <w:t>Life expectancy at birth</w:t>
            </w:r>
          </w:p>
        </w:tc>
        <w:tc>
          <w:tcPr>
            <w:tcW w:w="752" w:type="dxa"/>
            <w:tcBorders>
              <w:top w:val="single" w:sz="4" w:space="0" w:color="A6A6A6" w:themeColor="background1" w:themeShade="A6"/>
              <w:left w:val="nil"/>
              <w:bottom w:val="single" w:sz="4" w:space="0" w:color="A6A6A6" w:themeColor="background1" w:themeShade="A6"/>
              <w:right w:val="nil"/>
            </w:tcBorders>
            <w:hideMark/>
          </w:tcPr>
          <w:p w14:paraId="6719D3CD" w14:textId="3E6EE77D" w:rsidR="00DC1132" w:rsidRPr="004F1B86" w:rsidRDefault="00DC1132" w:rsidP="00971872">
            <w:pPr>
              <w:pStyle w:val="TableText"/>
              <w:rPr>
                <w:sz w:val="16"/>
                <w:szCs w:val="16"/>
              </w:rPr>
            </w:pPr>
            <w:r w:rsidRPr="004F1B86">
              <w:rPr>
                <w:sz w:val="16"/>
                <w:szCs w:val="16"/>
              </w:rPr>
              <w:t>12th of 38</w:t>
            </w:r>
          </w:p>
        </w:tc>
        <w:tc>
          <w:tcPr>
            <w:tcW w:w="752" w:type="dxa"/>
            <w:tcBorders>
              <w:top w:val="single" w:sz="4" w:space="0" w:color="A6A6A6" w:themeColor="background1" w:themeShade="A6"/>
              <w:left w:val="nil"/>
              <w:bottom w:val="single" w:sz="4" w:space="0" w:color="A6A6A6" w:themeColor="background1" w:themeShade="A6"/>
              <w:right w:val="nil"/>
            </w:tcBorders>
            <w:hideMark/>
          </w:tcPr>
          <w:p w14:paraId="64DF47D9" w14:textId="626E8238" w:rsidR="00DC1132" w:rsidRPr="004F1B86" w:rsidRDefault="00DC1132" w:rsidP="00971872">
            <w:pPr>
              <w:pStyle w:val="TableText"/>
              <w:rPr>
                <w:sz w:val="16"/>
                <w:szCs w:val="16"/>
              </w:rPr>
            </w:pPr>
            <w:r w:rsidRPr="004F1B86">
              <w:rPr>
                <w:sz w:val="16"/>
                <w:szCs w:val="16"/>
              </w:rPr>
              <w:t>13th of 38</w:t>
            </w:r>
          </w:p>
        </w:tc>
        <w:tc>
          <w:tcPr>
            <w:tcW w:w="753" w:type="dxa"/>
            <w:tcBorders>
              <w:top w:val="single" w:sz="4" w:space="0" w:color="A6A6A6" w:themeColor="background1" w:themeShade="A6"/>
              <w:left w:val="nil"/>
              <w:bottom w:val="single" w:sz="4" w:space="0" w:color="A6A6A6" w:themeColor="background1" w:themeShade="A6"/>
              <w:right w:val="nil"/>
            </w:tcBorders>
            <w:hideMark/>
          </w:tcPr>
          <w:p w14:paraId="64D42AA5" w14:textId="610A676C" w:rsidR="00DC1132" w:rsidRPr="004F1B86" w:rsidRDefault="00DC1132" w:rsidP="00971872">
            <w:pPr>
              <w:pStyle w:val="TableText"/>
              <w:rPr>
                <w:sz w:val="16"/>
                <w:szCs w:val="16"/>
              </w:rPr>
            </w:pPr>
            <w:r w:rsidRPr="004F1B86">
              <w:rPr>
                <w:sz w:val="16"/>
                <w:szCs w:val="16"/>
              </w:rPr>
              <w:t>16th of 38</w:t>
            </w:r>
          </w:p>
        </w:tc>
        <w:tc>
          <w:tcPr>
            <w:tcW w:w="752" w:type="dxa"/>
            <w:tcBorders>
              <w:top w:val="single" w:sz="4" w:space="0" w:color="A6A6A6" w:themeColor="background1" w:themeShade="A6"/>
              <w:left w:val="nil"/>
              <w:bottom w:val="single" w:sz="4" w:space="0" w:color="A6A6A6" w:themeColor="background1" w:themeShade="A6"/>
              <w:right w:val="nil"/>
            </w:tcBorders>
            <w:hideMark/>
          </w:tcPr>
          <w:p w14:paraId="3A74DB7A" w14:textId="11D636E0" w:rsidR="00DC1132" w:rsidRPr="004F1B86" w:rsidRDefault="00971872" w:rsidP="00971872">
            <w:pPr>
              <w:pStyle w:val="TableText"/>
              <w:rPr>
                <w:sz w:val="16"/>
                <w:szCs w:val="16"/>
              </w:rPr>
            </w:pPr>
            <w:r w:rsidRPr="004F1B86">
              <w:rPr>
                <w:sz w:val="16"/>
                <w:szCs w:val="16"/>
              </w:rPr>
              <w:t>16th of 38</w:t>
            </w:r>
          </w:p>
        </w:tc>
        <w:tc>
          <w:tcPr>
            <w:tcW w:w="752" w:type="dxa"/>
            <w:tcBorders>
              <w:top w:val="single" w:sz="4" w:space="0" w:color="A6A6A6" w:themeColor="background1" w:themeShade="A6"/>
              <w:left w:val="nil"/>
              <w:bottom w:val="single" w:sz="4" w:space="0" w:color="A6A6A6" w:themeColor="background1" w:themeShade="A6"/>
              <w:right w:val="nil"/>
            </w:tcBorders>
          </w:tcPr>
          <w:p w14:paraId="3014A180" w14:textId="551BD819" w:rsidR="00DC1132" w:rsidRPr="004F1B86" w:rsidRDefault="00971872" w:rsidP="00971872">
            <w:pPr>
              <w:pStyle w:val="TableText"/>
              <w:rPr>
                <w:sz w:val="16"/>
                <w:szCs w:val="16"/>
              </w:rPr>
            </w:pPr>
            <w:r w:rsidRPr="004F1B86">
              <w:rPr>
                <w:sz w:val="16"/>
                <w:szCs w:val="16"/>
              </w:rPr>
              <w:t>19th of 38</w:t>
            </w:r>
          </w:p>
        </w:tc>
        <w:tc>
          <w:tcPr>
            <w:tcW w:w="753" w:type="dxa"/>
            <w:tcBorders>
              <w:top w:val="single" w:sz="4" w:space="0" w:color="A6A6A6" w:themeColor="background1" w:themeShade="A6"/>
              <w:left w:val="nil"/>
              <w:bottom w:val="single" w:sz="4" w:space="0" w:color="A6A6A6" w:themeColor="background1" w:themeShade="A6"/>
              <w:right w:val="nil"/>
            </w:tcBorders>
          </w:tcPr>
          <w:p w14:paraId="22847E99" w14:textId="21FFAE07" w:rsidR="00DC1132" w:rsidRPr="004F1B86" w:rsidRDefault="00971872" w:rsidP="00971872">
            <w:pPr>
              <w:pStyle w:val="TableText"/>
              <w:rPr>
                <w:sz w:val="16"/>
                <w:szCs w:val="16"/>
              </w:rPr>
            </w:pPr>
            <w:r w:rsidRPr="004F1B86">
              <w:rPr>
                <w:sz w:val="16"/>
                <w:szCs w:val="16"/>
              </w:rPr>
              <w:t>16th of 38</w:t>
            </w:r>
          </w:p>
        </w:tc>
        <w:tc>
          <w:tcPr>
            <w:tcW w:w="752" w:type="dxa"/>
            <w:tcBorders>
              <w:top w:val="single" w:sz="4" w:space="0" w:color="A6A6A6" w:themeColor="background1" w:themeShade="A6"/>
              <w:left w:val="nil"/>
              <w:bottom w:val="single" w:sz="4" w:space="0" w:color="A6A6A6" w:themeColor="background1" w:themeShade="A6"/>
              <w:right w:val="nil"/>
            </w:tcBorders>
          </w:tcPr>
          <w:p w14:paraId="4FF977EA" w14:textId="7606B884" w:rsidR="00DC1132" w:rsidRPr="004F1B86" w:rsidRDefault="00971872" w:rsidP="00971872">
            <w:pPr>
              <w:pStyle w:val="TableText"/>
              <w:rPr>
                <w:sz w:val="16"/>
                <w:szCs w:val="16"/>
              </w:rPr>
            </w:pPr>
            <w:r w:rsidRPr="004F1B86">
              <w:rPr>
                <w:sz w:val="16"/>
                <w:szCs w:val="16"/>
              </w:rPr>
              <w:t>11th equal of 37</w:t>
            </w:r>
          </w:p>
        </w:tc>
        <w:tc>
          <w:tcPr>
            <w:tcW w:w="752" w:type="dxa"/>
            <w:tcBorders>
              <w:top w:val="single" w:sz="4" w:space="0" w:color="A6A6A6" w:themeColor="background1" w:themeShade="A6"/>
              <w:left w:val="nil"/>
              <w:bottom w:val="single" w:sz="4" w:space="0" w:color="A6A6A6" w:themeColor="background1" w:themeShade="A6"/>
              <w:right w:val="nil"/>
            </w:tcBorders>
          </w:tcPr>
          <w:p w14:paraId="5BFACB31" w14:textId="7F7F8C84" w:rsidR="00DC1132" w:rsidRPr="004F1B86" w:rsidRDefault="00971872" w:rsidP="00971872">
            <w:pPr>
              <w:pStyle w:val="TableText"/>
              <w:rPr>
                <w:sz w:val="16"/>
                <w:szCs w:val="16"/>
              </w:rPr>
            </w:pPr>
            <w:r w:rsidRPr="004F1B86">
              <w:rPr>
                <w:sz w:val="16"/>
                <w:szCs w:val="16"/>
              </w:rPr>
              <w:t>14th of 36</w:t>
            </w:r>
          </w:p>
        </w:tc>
        <w:tc>
          <w:tcPr>
            <w:tcW w:w="753" w:type="dxa"/>
            <w:gridSpan w:val="2"/>
            <w:tcBorders>
              <w:top w:val="single" w:sz="4" w:space="0" w:color="A6A6A6" w:themeColor="background1" w:themeShade="A6"/>
              <w:left w:val="nil"/>
              <w:bottom w:val="single" w:sz="4" w:space="0" w:color="A6A6A6" w:themeColor="background1" w:themeShade="A6"/>
              <w:right w:val="nil"/>
            </w:tcBorders>
          </w:tcPr>
          <w:p w14:paraId="307A3F06" w14:textId="628D0A62" w:rsidR="00DC1132" w:rsidRPr="004F1B86" w:rsidRDefault="00971872" w:rsidP="00971872">
            <w:pPr>
              <w:pStyle w:val="TableText"/>
              <w:rPr>
                <w:sz w:val="16"/>
                <w:szCs w:val="16"/>
              </w:rPr>
            </w:pPr>
            <w:r w:rsidRPr="004F1B86">
              <w:rPr>
                <w:sz w:val="16"/>
                <w:szCs w:val="16"/>
              </w:rPr>
              <w:t>No data</w:t>
            </w:r>
            <w:r w:rsidRPr="004F1B86">
              <w:rPr>
                <w:rStyle w:val="FootnoteReference"/>
                <w:sz w:val="16"/>
                <w:szCs w:val="16"/>
              </w:rPr>
              <w:footnoteReference w:id="33"/>
            </w:r>
          </w:p>
        </w:tc>
      </w:tr>
      <w:tr w:rsidR="00DC1132" w14:paraId="19449152" w14:textId="77777777" w:rsidTr="00971872">
        <w:tc>
          <w:tcPr>
            <w:tcW w:w="1308" w:type="dxa"/>
            <w:gridSpan w:val="2"/>
            <w:tcBorders>
              <w:top w:val="single" w:sz="4" w:space="0" w:color="A6A6A6" w:themeColor="background1" w:themeShade="A6"/>
              <w:left w:val="nil"/>
              <w:bottom w:val="single" w:sz="4" w:space="0" w:color="A6A6A6" w:themeColor="background1" w:themeShade="A6"/>
              <w:right w:val="nil"/>
            </w:tcBorders>
            <w:hideMark/>
          </w:tcPr>
          <w:p w14:paraId="49FF7484" w14:textId="77777777" w:rsidR="00DC1132" w:rsidRPr="004F1B86" w:rsidRDefault="00DC1132">
            <w:pPr>
              <w:pStyle w:val="TableText"/>
              <w:rPr>
                <w:sz w:val="16"/>
                <w:szCs w:val="16"/>
              </w:rPr>
            </w:pPr>
            <w:r w:rsidRPr="004F1B86">
              <w:rPr>
                <w:sz w:val="16"/>
                <w:szCs w:val="16"/>
              </w:rPr>
              <w:t>Health expenditure</w:t>
            </w:r>
          </w:p>
        </w:tc>
        <w:tc>
          <w:tcPr>
            <w:tcW w:w="752" w:type="dxa"/>
            <w:tcBorders>
              <w:top w:val="single" w:sz="4" w:space="0" w:color="A6A6A6" w:themeColor="background1" w:themeShade="A6"/>
              <w:left w:val="nil"/>
              <w:bottom w:val="single" w:sz="4" w:space="0" w:color="A6A6A6" w:themeColor="background1" w:themeShade="A6"/>
              <w:right w:val="nil"/>
            </w:tcBorders>
          </w:tcPr>
          <w:p w14:paraId="6825C4F7" w14:textId="2A4F644D" w:rsidR="00DC1132" w:rsidRPr="004F1B86" w:rsidRDefault="00971872" w:rsidP="00971872">
            <w:pPr>
              <w:pStyle w:val="TableText"/>
              <w:rPr>
                <w:sz w:val="16"/>
                <w:szCs w:val="16"/>
              </w:rPr>
            </w:pPr>
            <w:r w:rsidRPr="004F1B86">
              <w:rPr>
                <w:sz w:val="16"/>
                <w:szCs w:val="16"/>
              </w:rPr>
              <w:t>21st of 38</w:t>
            </w:r>
          </w:p>
        </w:tc>
        <w:tc>
          <w:tcPr>
            <w:tcW w:w="752" w:type="dxa"/>
            <w:tcBorders>
              <w:top w:val="single" w:sz="4" w:space="0" w:color="A6A6A6" w:themeColor="background1" w:themeShade="A6"/>
              <w:left w:val="nil"/>
              <w:bottom w:val="single" w:sz="4" w:space="0" w:color="A6A6A6" w:themeColor="background1" w:themeShade="A6"/>
              <w:right w:val="nil"/>
            </w:tcBorders>
          </w:tcPr>
          <w:p w14:paraId="0C022FD8" w14:textId="7CECBE11" w:rsidR="00DC1132" w:rsidRPr="004F1B86" w:rsidRDefault="00971872" w:rsidP="00971872">
            <w:pPr>
              <w:pStyle w:val="TableText"/>
              <w:rPr>
                <w:sz w:val="16"/>
                <w:szCs w:val="16"/>
              </w:rPr>
            </w:pPr>
            <w:r w:rsidRPr="004F1B86">
              <w:rPr>
                <w:sz w:val="16"/>
                <w:szCs w:val="16"/>
              </w:rPr>
              <w:t>20th of 38</w:t>
            </w:r>
          </w:p>
        </w:tc>
        <w:tc>
          <w:tcPr>
            <w:tcW w:w="753" w:type="dxa"/>
            <w:tcBorders>
              <w:top w:val="single" w:sz="4" w:space="0" w:color="A6A6A6" w:themeColor="background1" w:themeShade="A6"/>
              <w:left w:val="nil"/>
              <w:bottom w:val="single" w:sz="4" w:space="0" w:color="A6A6A6" w:themeColor="background1" w:themeShade="A6"/>
              <w:right w:val="nil"/>
            </w:tcBorders>
          </w:tcPr>
          <w:p w14:paraId="4AF22B77" w14:textId="3BAA4D44" w:rsidR="00DC1132" w:rsidRPr="004F1B86" w:rsidRDefault="00971872" w:rsidP="00971872">
            <w:pPr>
              <w:pStyle w:val="TableText"/>
              <w:rPr>
                <w:sz w:val="16"/>
                <w:szCs w:val="16"/>
              </w:rPr>
            </w:pPr>
            <w:r w:rsidRPr="004F1B86">
              <w:rPr>
                <w:sz w:val="16"/>
                <w:szCs w:val="16"/>
              </w:rPr>
              <w:t>19th of 38</w:t>
            </w:r>
          </w:p>
        </w:tc>
        <w:tc>
          <w:tcPr>
            <w:tcW w:w="752" w:type="dxa"/>
            <w:tcBorders>
              <w:top w:val="single" w:sz="4" w:space="0" w:color="A6A6A6" w:themeColor="background1" w:themeShade="A6"/>
              <w:left w:val="nil"/>
              <w:bottom w:val="single" w:sz="4" w:space="0" w:color="A6A6A6" w:themeColor="background1" w:themeShade="A6"/>
              <w:right w:val="nil"/>
            </w:tcBorders>
          </w:tcPr>
          <w:p w14:paraId="477A3E56" w14:textId="0F6301E6" w:rsidR="00DC1132" w:rsidRPr="004F1B86" w:rsidRDefault="00971872" w:rsidP="00971872">
            <w:pPr>
              <w:pStyle w:val="TableText"/>
              <w:rPr>
                <w:sz w:val="16"/>
                <w:szCs w:val="16"/>
              </w:rPr>
            </w:pPr>
            <w:r w:rsidRPr="004F1B86">
              <w:rPr>
                <w:sz w:val="16"/>
                <w:szCs w:val="16"/>
              </w:rPr>
              <w:t>19th of 38</w:t>
            </w:r>
          </w:p>
        </w:tc>
        <w:tc>
          <w:tcPr>
            <w:tcW w:w="752" w:type="dxa"/>
            <w:tcBorders>
              <w:top w:val="single" w:sz="4" w:space="0" w:color="A6A6A6" w:themeColor="background1" w:themeShade="A6"/>
              <w:left w:val="nil"/>
              <w:bottom w:val="single" w:sz="4" w:space="0" w:color="A6A6A6" w:themeColor="background1" w:themeShade="A6"/>
              <w:right w:val="nil"/>
            </w:tcBorders>
          </w:tcPr>
          <w:p w14:paraId="37B6355F" w14:textId="644C8003" w:rsidR="00DC1132" w:rsidRPr="004F1B86" w:rsidRDefault="00971872" w:rsidP="00971872">
            <w:pPr>
              <w:pStyle w:val="TableText"/>
              <w:rPr>
                <w:sz w:val="16"/>
                <w:szCs w:val="16"/>
              </w:rPr>
            </w:pPr>
            <w:r w:rsidRPr="004F1B86">
              <w:rPr>
                <w:sz w:val="16"/>
                <w:szCs w:val="16"/>
              </w:rPr>
              <w:t>19th of 38</w:t>
            </w:r>
          </w:p>
        </w:tc>
        <w:tc>
          <w:tcPr>
            <w:tcW w:w="753" w:type="dxa"/>
            <w:tcBorders>
              <w:top w:val="single" w:sz="4" w:space="0" w:color="A6A6A6" w:themeColor="background1" w:themeShade="A6"/>
              <w:left w:val="nil"/>
              <w:bottom w:val="single" w:sz="4" w:space="0" w:color="A6A6A6" w:themeColor="background1" w:themeShade="A6"/>
              <w:right w:val="nil"/>
            </w:tcBorders>
          </w:tcPr>
          <w:p w14:paraId="642A45F7" w14:textId="65D7DA6A" w:rsidR="00DC1132" w:rsidRPr="004F1B86" w:rsidRDefault="00971872" w:rsidP="00971872">
            <w:pPr>
              <w:pStyle w:val="TableText"/>
              <w:rPr>
                <w:sz w:val="16"/>
                <w:szCs w:val="16"/>
              </w:rPr>
            </w:pPr>
            <w:r w:rsidRPr="004F1B86">
              <w:rPr>
                <w:sz w:val="16"/>
                <w:szCs w:val="16"/>
              </w:rPr>
              <w:t>19th of 38</w:t>
            </w:r>
          </w:p>
        </w:tc>
        <w:tc>
          <w:tcPr>
            <w:tcW w:w="752" w:type="dxa"/>
            <w:tcBorders>
              <w:top w:val="single" w:sz="4" w:space="0" w:color="A6A6A6" w:themeColor="background1" w:themeShade="A6"/>
              <w:left w:val="nil"/>
              <w:bottom w:val="single" w:sz="4" w:space="0" w:color="A6A6A6" w:themeColor="background1" w:themeShade="A6"/>
              <w:right w:val="nil"/>
            </w:tcBorders>
          </w:tcPr>
          <w:p w14:paraId="44CB075F" w14:textId="24E300DB" w:rsidR="00DC1132" w:rsidRPr="004F1B86" w:rsidRDefault="00971872" w:rsidP="00971872">
            <w:pPr>
              <w:pStyle w:val="TableText"/>
              <w:rPr>
                <w:sz w:val="16"/>
                <w:szCs w:val="16"/>
              </w:rPr>
            </w:pPr>
            <w:r w:rsidRPr="004F1B86">
              <w:rPr>
                <w:sz w:val="16"/>
                <w:szCs w:val="16"/>
              </w:rPr>
              <w:t>19th of 38</w:t>
            </w:r>
          </w:p>
        </w:tc>
        <w:tc>
          <w:tcPr>
            <w:tcW w:w="752" w:type="dxa"/>
            <w:tcBorders>
              <w:top w:val="single" w:sz="4" w:space="0" w:color="A6A6A6" w:themeColor="background1" w:themeShade="A6"/>
              <w:left w:val="nil"/>
              <w:bottom w:val="single" w:sz="4" w:space="0" w:color="A6A6A6" w:themeColor="background1" w:themeShade="A6"/>
              <w:right w:val="nil"/>
            </w:tcBorders>
          </w:tcPr>
          <w:p w14:paraId="484F954E" w14:textId="33A49E10" w:rsidR="00DC1132" w:rsidRPr="004F1B86" w:rsidRDefault="00971872" w:rsidP="00971872">
            <w:pPr>
              <w:pStyle w:val="TableText"/>
              <w:rPr>
                <w:sz w:val="16"/>
                <w:szCs w:val="16"/>
              </w:rPr>
            </w:pPr>
            <w:r w:rsidRPr="004F1B86">
              <w:rPr>
                <w:sz w:val="16"/>
                <w:szCs w:val="16"/>
              </w:rPr>
              <w:t>19th of 38</w:t>
            </w:r>
          </w:p>
        </w:tc>
        <w:tc>
          <w:tcPr>
            <w:tcW w:w="753" w:type="dxa"/>
            <w:gridSpan w:val="2"/>
            <w:tcBorders>
              <w:top w:val="single" w:sz="4" w:space="0" w:color="A6A6A6" w:themeColor="background1" w:themeShade="A6"/>
              <w:left w:val="nil"/>
              <w:bottom w:val="single" w:sz="4" w:space="0" w:color="A6A6A6" w:themeColor="background1" w:themeShade="A6"/>
              <w:right w:val="nil"/>
            </w:tcBorders>
          </w:tcPr>
          <w:p w14:paraId="3BE69DE8" w14:textId="404E8080" w:rsidR="00DC1132" w:rsidRPr="004F1B86" w:rsidRDefault="00971872" w:rsidP="00971872">
            <w:pPr>
              <w:pStyle w:val="TableText"/>
              <w:rPr>
                <w:sz w:val="16"/>
                <w:szCs w:val="16"/>
              </w:rPr>
            </w:pPr>
            <w:r w:rsidRPr="004F1B86">
              <w:rPr>
                <w:sz w:val="16"/>
                <w:szCs w:val="16"/>
              </w:rPr>
              <w:t>16th of 38</w:t>
            </w:r>
          </w:p>
        </w:tc>
      </w:tr>
    </w:tbl>
    <w:p w14:paraId="3D3B9A7C" w14:textId="77777777" w:rsidR="00971872" w:rsidRDefault="00971872" w:rsidP="00971872">
      <w:pPr>
        <w:pStyle w:val="Heading4"/>
      </w:pPr>
      <w:r>
        <w:t>Independent life expectancy</w:t>
      </w:r>
    </w:p>
    <w:p w14:paraId="68A833D1" w14:textId="77777777" w:rsidR="00EC5D95" w:rsidRDefault="00971872" w:rsidP="00971872">
      <w:r>
        <w:t>We have not reported the outcome measure ‘independent life expectancy’ because updated results from the 2023 Household Disability Survey are not yet available. Data was last collected in 2023 and results are expected by around November 2024. The Ministry and Stats NZ calculate the update of independent life expectancy following the release of the survey results. The last results are from 2013.</w:t>
      </w:r>
    </w:p>
    <w:p w14:paraId="215E0F0E" w14:textId="77777777" w:rsidR="00971872" w:rsidRDefault="00971872" w:rsidP="00971872">
      <w:pPr>
        <w:pStyle w:val="Heading3"/>
      </w:pPr>
      <w:r w:rsidRPr="00971872">
        <w:t>Interim measures for system performance</w:t>
      </w:r>
    </w:p>
    <w:p w14:paraId="0EF0C640" w14:textId="77777777" w:rsidR="00971872" w:rsidRDefault="00971872" w:rsidP="00971872">
      <w:r>
        <w:t>In this section, we use the following interim set of measures to report on system performance:</w:t>
      </w:r>
    </w:p>
    <w:p w14:paraId="45F24ED4" w14:textId="0EB4049E" w:rsidR="00971872" w:rsidRDefault="00971872" w:rsidP="007123AC">
      <w:pPr>
        <w:pStyle w:val="Number"/>
        <w:numPr>
          <w:ilvl w:val="0"/>
          <w:numId w:val="25"/>
        </w:numPr>
        <w:ind w:left="426" w:hanging="426"/>
      </w:pPr>
      <w:r>
        <w:t>immunisation rates for children of 24 months of age</w:t>
      </w:r>
    </w:p>
    <w:p w14:paraId="7BC70316" w14:textId="315517B8" w:rsidR="00971872" w:rsidRDefault="00971872" w:rsidP="007123AC">
      <w:pPr>
        <w:pStyle w:val="Number"/>
        <w:numPr>
          <w:ilvl w:val="0"/>
          <w:numId w:val="25"/>
        </w:numPr>
        <w:ind w:left="426" w:hanging="426"/>
      </w:pPr>
      <w:r>
        <w:t>ambulatory sensitive hospitalisations (ASH) for:</w:t>
      </w:r>
    </w:p>
    <w:p w14:paraId="1CCE6EA9" w14:textId="786E32A9" w:rsidR="00971872" w:rsidRDefault="00971872" w:rsidP="007123AC">
      <w:pPr>
        <w:pStyle w:val="ListParagraph"/>
        <w:numPr>
          <w:ilvl w:val="7"/>
          <w:numId w:val="26"/>
        </w:numPr>
        <w:spacing w:before="90"/>
        <w:ind w:left="850" w:hanging="425"/>
        <w:contextualSpacing w:val="0"/>
      </w:pPr>
      <w:r>
        <w:t>children (aged 0–4 years)</w:t>
      </w:r>
    </w:p>
    <w:p w14:paraId="3678130D" w14:textId="795C52E1" w:rsidR="00971872" w:rsidRDefault="00971872" w:rsidP="007123AC">
      <w:pPr>
        <w:pStyle w:val="ListParagraph"/>
        <w:numPr>
          <w:ilvl w:val="7"/>
          <w:numId w:val="26"/>
        </w:numPr>
        <w:spacing w:before="90"/>
        <w:ind w:left="850" w:hanging="425"/>
        <w:contextualSpacing w:val="0"/>
      </w:pPr>
      <w:r>
        <w:t>adults (aged 45–64 years)</w:t>
      </w:r>
    </w:p>
    <w:p w14:paraId="377FA267" w14:textId="3553571A" w:rsidR="00971872" w:rsidRDefault="00971872" w:rsidP="007123AC">
      <w:pPr>
        <w:pStyle w:val="Number"/>
        <w:numPr>
          <w:ilvl w:val="0"/>
          <w:numId w:val="25"/>
        </w:numPr>
        <w:ind w:left="426" w:hanging="426"/>
      </w:pPr>
      <w:r>
        <w:t>shorter stays in emergency departments</w:t>
      </w:r>
    </w:p>
    <w:p w14:paraId="36862A9A" w14:textId="302AC4E2" w:rsidR="00971872" w:rsidRDefault="00971872" w:rsidP="007123AC">
      <w:pPr>
        <w:pStyle w:val="Number"/>
        <w:numPr>
          <w:ilvl w:val="0"/>
          <w:numId w:val="25"/>
        </w:numPr>
        <w:ind w:left="426" w:hanging="426"/>
      </w:pPr>
      <w:r>
        <w:lastRenderedPageBreak/>
        <w:t>under 25-year-olds able to access specialist mental health services within three weeks of referral</w:t>
      </w:r>
    </w:p>
    <w:p w14:paraId="541D1FF9" w14:textId="6224038D" w:rsidR="00971872" w:rsidRDefault="00971872" w:rsidP="007123AC">
      <w:pPr>
        <w:pStyle w:val="Number"/>
        <w:numPr>
          <w:ilvl w:val="0"/>
          <w:numId w:val="25"/>
        </w:numPr>
        <w:ind w:left="426" w:hanging="426"/>
      </w:pPr>
      <w:r>
        <w:t xml:space="preserve">funding received by kaupapa Māori health service </w:t>
      </w:r>
      <w:proofErr w:type="gramStart"/>
      <w:r>
        <w:t>providers</w:t>
      </w:r>
      <w:proofErr w:type="gramEnd"/>
    </w:p>
    <w:p w14:paraId="7C607EFA" w14:textId="2D93AD2C" w:rsidR="00971872" w:rsidRDefault="00971872" w:rsidP="007123AC">
      <w:pPr>
        <w:pStyle w:val="Number"/>
        <w:numPr>
          <w:ilvl w:val="0"/>
          <w:numId w:val="25"/>
        </w:numPr>
        <w:ind w:left="426" w:hanging="426"/>
      </w:pPr>
      <w:r>
        <w:t>people report they can get primary healthcare when they need it.</w:t>
      </w:r>
    </w:p>
    <w:p w14:paraId="37214D27" w14:textId="77777777" w:rsidR="00971872" w:rsidRDefault="00971872" w:rsidP="00971872"/>
    <w:p w14:paraId="1CF42FC3" w14:textId="15674DD3" w:rsidR="00971872" w:rsidRDefault="00971872" w:rsidP="00971872">
      <w:r>
        <w:t>The strategic intentions 2022–2026 included the health system indicators (HSI) framework to measure the performance of the Aotearoa New Zealand health system. These health system indicators included:</w:t>
      </w:r>
    </w:p>
    <w:p w14:paraId="5ED917E4" w14:textId="077C11D6" w:rsidR="00971872" w:rsidRDefault="00971872" w:rsidP="00971872">
      <w:pPr>
        <w:pStyle w:val="Bullet"/>
      </w:pPr>
      <w:r>
        <w:t>immunisation rates for children at 24 months of age</w:t>
      </w:r>
    </w:p>
    <w:p w14:paraId="49766DAE" w14:textId="4753A29A" w:rsidR="00971872" w:rsidRDefault="00971872" w:rsidP="00971872">
      <w:pPr>
        <w:pStyle w:val="Bullet"/>
      </w:pPr>
      <w:r>
        <w:t>ASH for children (aged 0–4 years)</w:t>
      </w:r>
    </w:p>
    <w:p w14:paraId="5F5A7C9B" w14:textId="6A7372A3" w:rsidR="00971872" w:rsidRDefault="00971872" w:rsidP="00971872">
      <w:pPr>
        <w:pStyle w:val="Bullet"/>
      </w:pPr>
      <w:r>
        <w:t>under 25-year-olds able to access specialist mental health services within three weeks of referral</w:t>
      </w:r>
    </w:p>
    <w:p w14:paraId="2D6B42B1" w14:textId="60A418B8" w:rsidR="00971872" w:rsidRDefault="00971872" w:rsidP="00971872">
      <w:pPr>
        <w:pStyle w:val="Bullet"/>
      </w:pPr>
      <w:r>
        <w:t>access to primary mental health and addiction services (in development)</w:t>
      </w:r>
    </w:p>
    <w:p w14:paraId="06EA47DC" w14:textId="689DD189" w:rsidR="00971872" w:rsidRDefault="00971872" w:rsidP="00971872">
      <w:pPr>
        <w:pStyle w:val="Bullet"/>
      </w:pPr>
      <w:r>
        <w:t>ASH for adults (aged 45–64 years)</w:t>
      </w:r>
    </w:p>
    <w:p w14:paraId="64D3884E" w14:textId="0455E084" w:rsidR="00971872" w:rsidRDefault="00971872" w:rsidP="00971872">
      <w:pPr>
        <w:pStyle w:val="Bullet"/>
      </w:pPr>
      <w:r>
        <w:t>participation in the bowel screening programme</w:t>
      </w:r>
    </w:p>
    <w:p w14:paraId="2220F9D2" w14:textId="3569231A" w:rsidR="00971872" w:rsidRDefault="00971872" w:rsidP="00971872">
      <w:pPr>
        <w:pStyle w:val="Bullet"/>
      </w:pPr>
      <w:r>
        <w:t>acute hospital bed day rate</w:t>
      </w:r>
    </w:p>
    <w:p w14:paraId="661CACD4" w14:textId="143BCA9D" w:rsidR="00971872" w:rsidRDefault="00971872" w:rsidP="00971872">
      <w:pPr>
        <w:pStyle w:val="Bullet"/>
      </w:pPr>
      <w:r>
        <w:t xml:space="preserve">access to planned </w:t>
      </w:r>
      <w:proofErr w:type="gramStart"/>
      <w:r>
        <w:t>care</w:t>
      </w:r>
      <w:proofErr w:type="gramEnd"/>
    </w:p>
    <w:p w14:paraId="751F1C0D" w14:textId="1640D085" w:rsidR="00971872" w:rsidRDefault="00971872" w:rsidP="00971872">
      <w:pPr>
        <w:pStyle w:val="Bullet"/>
      </w:pPr>
      <w:r>
        <w:t xml:space="preserve">people report they can get primary care when they need </w:t>
      </w:r>
      <w:proofErr w:type="gramStart"/>
      <w:r>
        <w:t>it</w:t>
      </w:r>
      <w:proofErr w:type="gramEnd"/>
    </w:p>
    <w:p w14:paraId="45841329" w14:textId="54A35946" w:rsidR="00971872" w:rsidRDefault="00971872" w:rsidP="00971872">
      <w:pPr>
        <w:pStyle w:val="Bullet"/>
      </w:pPr>
      <w:r>
        <w:t xml:space="preserve">people report being involved in the decisions about their care and </w:t>
      </w:r>
      <w:proofErr w:type="gramStart"/>
      <w:r>
        <w:t>treatment</w:t>
      </w:r>
      <w:proofErr w:type="gramEnd"/>
    </w:p>
    <w:p w14:paraId="76DFF038" w14:textId="343DC1CB" w:rsidR="00971872" w:rsidRDefault="00971872" w:rsidP="00971872">
      <w:pPr>
        <w:pStyle w:val="Bullet"/>
      </w:pPr>
      <w:r>
        <w:t>annual surplus/deficit at financial year-end</w:t>
      </w:r>
    </w:p>
    <w:p w14:paraId="77985693" w14:textId="77777777" w:rsidR="00971872" w:rsidRDefault="00971872" w:rsidP="00971872">
      <w:pPr>
        <w:pStyle w:val="Bullet"/>
      </w:pPr>
      <w:r>
        <w:t>variance between planned budget and year-end actuals.</w:t>
      </w:r>
    </w:p>
    <w:p w14:paraId="32F851EF" w14:textId="77777777" w:rsidR="00971872" w:rsidRDefault="00971872" w:rsidP="00971872">
      <w:pPr>
        <w:pStyle w:val="Bullet"/>
        <w:numPr>
          <w:ilvl w:val="0"/>
          <w:numId w:val="0"/>
        </w:numPr>
        <w:ind w:left="284" w:hanging="284"/>
      </w:pPr>
    </w:p>
    <w:p w14:paraId="5EDCAF1E" w14:textId="6DB9AAD8" w:rsidR="00971872" w:rsidRDefault="00971872" w:rsidP="00971872">
      <w:r>
        <w:t>The Ministry previously reported against these health system indicators. However, in 2023/24, the HSI framework was disestablished. The new suite of health targets and mental health and addiction targets came into effect from 1 July 2024, replacing the HSI framework. Given the gap in 2023/24, the Ministry developed the interim set of system measures to report against for the year ended 30 June 2024.</w:t>
      </w:r>
    </w:p>
    <w:p w14:paraId="06DC0CF8" w14:textId="77777777" w:rsidR="00971872" w:rsidRDefault="00971872" w:rsidP="00971872"/>
    <w:p w14:paraId="566CD003" w14:textId="25F93C48" w:rsidR="00971872" w:rsidRDefault="00971872" w:rsidP="00971872">
      <w:r>
        <w:t>Key considerations in developing the interim set of measures included whether measures were material to system performance, quality of data available, and a set that includes both measures that look backwards (eg, indicators in the HSI framework and Whakamaua) and measures that are future focused (eg, aligned to Government Targets or health targets). The resulting interim set contains the following health system indicators from the HSI framework:</w:t>
      </w:r>
    </w:p>
    <w:p w14:paraId="3C6EEFCB" w14:textId="0A81809D" w:rsidR="00971872" w:rsidRDefault="00971872" w:rsidP="00971872">
      <w:pPr>
        <w:pStyle w:val="Bullet"/>
      </w:pPr>
      <w:r>
        <w:t>immunisation rates for children at 24 months of age</w:t>
      </w:r>
    </w:p>
    <w:p w14:paraId="06F2166A" w14:textId="3554CB45" w:rsidR="00971872" w:rsidRDefault="00971872" w:rsidP="00971872">
      <w:pPr>
        <w:pStyle w:val="Bullet"/>
      </w:pPr>
      <w:r>
        <w:t>ASH for children (aged 0–4 years)</w:t>
      </w:r>
    </w:p>
    <w:p w14:paraId="1052A7EB" w14:textId="4EB630EA" w:rsidR="00971872" w:rsidRDefault="00971872" w:rsidP="00971872">
      <w:pPr>
        <w:pStyle w:val="Bullet"/>
      </w:pPr>
      <w:r>
        <w:t>under 25-year-olds able to access specialist mental health services within three weeks of referral</w:t>
      </w:r>
    </w:p>
    <w:p w14:paraId="4E0099D1" w14:textId="37D85C7A" w:rsidR="00971872" w:rsidRDefault="00971872" w:rsidP="00971872">
      <w:pPr>
        <w:pStyle w:val="Bullet"/>
      </w:pPr>
      <w:r>
        <w:t>ASH for adults (aged 45–64 years)</w:t>
      </w:r>
    </w:p>
    <w:p w14:paraId="659ED133" w14:textId="77777777" w:rsidR="00971872" w:rsidRDefault="00971872" w:rsidP="00971872">
      <w:pPr>
        <w:pStyle w:val="Bullet"/>
      </w:pPr>
      <w:r>
        <w:t>people report they can get primary healthcare when they need it.</w:t>
      </w:r>
    </w:p>
    <w:p w14:paraId="2B0F5DF3" w14:textId="77777777" w:rsidR="00E24D67" w:rsidRDefault="00E24D67" w:rsidP="00971872"/>
    <w:p w14:paraId="017D2014" w14:textId="3A4603DF" w:rsidR="00971872" w:rsidRDefault="00971872" w:rsidP="00971872">
      <w:r>
        <w:t>Health New Zealand will report on all the health system indicators from the HSI framework in its annual report.</w:t>
      </w:r>
    </w:p>
    <w:p w14:paraId="2AE64F08" w14:textId="77777777" w:rsidR="00971872" w:rsidRDefault="00971872" w:rsidP="00971872"/>
    <w:p w14:paraId="38445045" w14:textId="77777777" w:rsidR="00971872" w:rsidRDefault="00971872" w:rsidP="00971872">
      <w:r>
        <w:lastRenderedPageBreak/>
        <w:t>For several of the measures, data for the year ending 30 June 2024 is not available. In these cases, we report here on data for the 12 months to March 2024, which is the most up-to-date information available at the date of publication.</w:t>
      </w:r>
    </w:p>
    <w:p w14:paraId="2F3E2F21" w14:textId="66EF605D" w:rsidR="00971872" w:rsidRDefault="00971872" w:rsidP="00971872">
      <w:r>
        <w:t>This reflects the time required to take important process steps, including in collecting, processing and validating data to reduce the risk of errors and provide confidence in publicly reported performance information.</w:t>
      </w:r>
    </w:p>
    <w:p w14:paraId="0850B58B" w14:textId="77777777" w:rsidR="00971872" w:rsidRDefault="00971872" w:rsidP="00971872"/>
    <w:p w14:paraId="7FA2BED4" w14:textId="77777777" w:rsidR="00971872" w:rsidRDefault="00971872" w:rsidP="00971872">
      <w:r>
        <w:t>Where the most up-to-date information available for a measure is for 12 months to March 2024, data for the year to March has been included across the time series to provide consistency and for ease of comparison. In these instances, we have</w:t>
      </w:r>
    </w:p>
    <w:p w14:paraId="1680A01E" w14:textId="77777777" w:rsidR="00971872" w:rsidRDefault="00971872" w:rsidP="00971872">
      <w:r>
        <w:t>used baseline data to March rather than the baselines in the strategic intentions 2022–2026.</w:t>
      </w:r>
    </w:p>
    <w:p w14:paraId="1788F16F" w14:textId="77777777" w:rsidR="00971872" w:rsidRDefault="00971872" w:rsidP="00971872"/>
    <w:tbl>
      <w:tblPr>
        <w:tblStyle w:val="TableGrid"/>
        <w:tblW w:w="822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88"/>
        <w:gridCol w:w="77"/>
        <w:gridCol w:w="1127"/>
        <w:gridCol w:w="1186"/>
        <w:gridCol w:w="1186"/>
        <w:gridCol w:w="1186"/>
        <w:gridCol w:w="1186"/>
        <w:gridCol w:w="1186"/>
      </w:tblGrid>
      <w:tr w:rsidR="00971872" w14:paraId="2A04C96F" w14:textId="77777777" w:rsidTr="008D5FB2">
        <w:tc>
          <w:tcPr>
            <w:tcW w:w="8222" w:type="dxa"/>
            <w:gridSpan w:val="8"/>
            <w:tcBorders>
              <w:top w:val="nil"/>
              <w:left w:val="nil"/>
              <w:bottom w:val="nil"/>
              <w:right w:val="nil"/>
            </w:tcBorders>
            <w:shd w:val="clear" w:color="auto" w:fill="D9D9D9" w:themeFill="background1" w:themeFillShade="D9"/>
            <w:hideMark/>
          </w:tcPr>
          <w:p w14:paraId="2095B31B" w14:textId="431719EC" w:rsidR="00971872" w:rsidRDefault="008D5FB2">
            <w:pPr>
              <w:pStyle w:val="TableText"/>
              <w:rPr>
                <w:b/>
                <w:bCs/>
              </w:rPr>
            </w:pPr>
            <w:r w:rsidRPr="008D5FB2">
              <w:rPr>
                <w:b/>
                <w:bCs/>
              </w:rPr>
              <w:t>Immunisation rates for children of 24 months of age</w:t>
            </w:r>
          </w:p>
        </w:tc>
      </w:tr>
      <w:tr w:rsidR="008D5FB2" w14:paraId="47DE4B8B" w14:textId="77777777" w:rsidTr="008D5FB2">
        <w:tc>
          <w:tcPr>
            <w:tcW w:w="1165" w:type="dxa"/>
            <w:gridSpan w:val="2"/>
            <w:tcBorders>
              <w:top w:val="nil"/>
              <w:left w:val="nil"/>
              <w:bottom w:val="single" w:sz="4" w:space="0" w:color="A6A6A6" w:themeColor="background1" w:themeShade="A6"/>
              <w:right w:val="nil"/>
            </w:tcBorders>
            <w:hideMark/>
          </w:tcPr>
          <w:p w14:paraId="14B06AC3" w14:textId="77777777" w:rsidR="008D5FB2" w:rsidRDefault="008D5FB2" w:rsidP="008D5FB2">
            <w:pPr>
              <w:pStyle w:val="TableText"/>
              <w:rPr>
                <w:b/>
                <w:bCs/>
              </w:rPr>
            </w:pPr>
            <w:r>
              <w:rPr>
                <w:b/>
                <w:bCs/>
              </w:rPr>
              <w:t>Indicator description</w:t>
            </w:r>
          </w:p>
        </w:tc>
        <w:tc>
          <w:tcPr>
            <w:tcW w:w="7057" w:type="dxa"/>
            <w:gridSpan w:val="6"/>
            <w:tcBorders>
              <w:top w:val="nil"/>
              <w:left w:val="nil"/>
              <w:bottom w:val="single" w:sz="4" w:space="0" w:color="A6A6A6" w:themeColor="background1" w:themeShade="A6"/>
              <w:right w:val="nil"/>
            </w:tcBorders>
            <w:hideMark/>
          </w:tcPr>
          <w:p w14:paraId="4EFC8099" w14:textId="5CF8DBA7" w:rsidR="008D5FB2" w:rsidRPr="008D5FB2" w:rsidRDefault="008D5FB2" w:rsidP="008D5FB2">
            <w:pPr>
              <w:pStyle w:val="TableText"/>
            </w:pPr>
            <w:r w:rsidRPr="008D5FB2">
              <w:t>Percentage of children who have had all their age-appropriate scheduled vaccinations by the time they are two years old.</w:t>
            </w:r>
          </w:p>
        </w:tc>
      </w:tr>
      <w:tr w:rsidR="008D5FB2" w14:paraId="08BA3BDE" w14:textId="77777777" w:rsidTr="008D5FB2">
        <w:tc>
          <w:tcPr>
            <w:tcW w:w="1165" w:type="dxa"/>
            <w:gridSpan w:val="2"/>
            <w:tcBorders>
              <w:top w:val="single" w:sz="4" w:space="0" w:color="A6A6A6" w:themeColor="background1" w:themeShade="A6"/>
              <w:left w:val="nil"/>
              <w:bottom w:val="single" w:sz="4" w:space="0" w:color="A6A6A6" w:themeColor="background1" w:themeShade="A6"/>
              <w:right w:val="nil"/>
            </w:tcBorders>
            <w:hideMark/>
          </w:tcPr>
          <w:p w14:paraId="3604E4CB" w14:textId="77777777" w:rsidR="008D5FB2" w:rsidRDefault="008D5FB2" w:rsidP="008D5FB2">
            <w:pPr>
              <w:pStyle w:val="TableText"/>
              <w:rPr>
                <w:b/>
                <w:bCs/>
              </w:rPr>
            </w:pPr>
            <w:r>
              <w:rPr>
                <w:b/>
                <w:bCs/>
              </w:rPr>
              <w:t>Baseline data</w:t>
            </w:r>
          </w:p>
        </w:tc>
        <w:tc>
          <w:tcPr>
            <w:tcW w:w="7057" w:type="dxa"/>
            <w:gridSpan w:val="6"/>
            <w:tcBorders>
              <w:top w:val="single" w:sz="4" w:space="0" w:color="A6A6A6" w:themeColor="background1" w:themeShade="A6"/>
              <w:left w:val="nil"/>
              <w:bottom w:val="single" w:sz="4" w:space="0" w:color="A6A6A6" w:themeColor="background1" w:themeShade="A6"/>
              <w:right w:val="nil"/>
            </w:tcBorders>
            <w:hideMark/>
          </w:tcPr>
          <w:p w14:paraId="74CA1CA7" w14:textId="09D9BB43" w:rsidR="008D5FB2" w:rsidRPr="008D5FB2" w:rsidRDefault="008D5FB2" w:rsidP="008D5FB2">
            <w:pPr>
              <w:pStyle w:val="TableText"/>
            </w:pPr>
            <w:r w:rsidRPr="008D5FB2">
              <w:t>14,146 two-year-old children fully immunised (91.9% of children of 24 months of age).</w:t>
            </w:r>
            <w:r>
              <w:rPr>
                <w:rStyle w:val="FootnoteReference"/>
              </w:rPr>
              <w:footnoteReference w:id="34"/>
            </w:r>
          </w:p>
        </w:tc>
      </w:tr>
      <w:tr w:rsidR="00971872" w14:paraId="27FAA3B7" w14:textId="77777777" w:rsidTr="008D5FB2">
        <w:tc>
          <w:tcPr>
            <w:tcW w:w="8222" w:type="dxa"/>
            <w:gridSpan w:val="8"/>
            <w:tcBorders>
              <w:top w:val="single" w:sz="4" w:space="0" w:color="A6A6A6" w:themeColor="background1" w:themeShade="A6"/>
              <w:left w:val="nil"/>
              <w:bottom w:val="single" w:sz="4" w:space="0" w:color="A6A6A6" w:themeColor="background1" w:themeShade="A6"/>
              <w:right w:val="nil"/>
            </w:tcBorders>
            <w:shd w:val="clear" w:color="auto" w:fill="FFFFFF" w:themeFill="background1"/>
            <w:hideMark/>
          </w:tcPr>
          <w:p w14:paraId="6B97573D" w14:textId="77777777" w:rsidR="00971872" w:rsidRDefault="00971872">
            <w:pPr>
              <w:pStyle w:val="TableText"/>
              <w:keepNext/>
              <w:rPr>
                <w:b/>
                <w:bCs/>
              </w:rPr>
            </w:pPr>
            <w:r>
              <w:rPr>
                <w:b/>
                <w:bCs/>
              </w:rPr>
              <w:t>Results (Percent of children fully immunised at age 24 months for the year ending 30 June)</w:t>
            </w:r>
          </w:p>
        </w:tc>
      </w:tr>
      <w:tr w:rsidR="008D5FB2" w14:paraId="5DED22EB" w14:textId="77777777" w:rsidTr="008D5FB2">
        <w:tc>
          <w:tcPr>
            <w:tcW w:w="1088"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55677454" w14:textId="77777777" w:rsidR="008D5FB2" w:rsidRPr="004F1B86" w:rsidRDefault="008D5FB2">
            <w:pPr>
              <w:pStyle w:val="TableText"/>
              <w:rPr>
                <w:b/>
                <w:bCs/>
                <w:sz w:val="16"/>
                <w:szCs w:val="16"/>
              </w:rPr>
            </w:pPr>
          </w:p>
        </w:tc>
        <w:tc>
          <w:tcPr>
            <w:tcW w:w="120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7CE693FA" w14:textId="77777777" w:rsidR="008D5FB2" w:rsidRPr="004F1B86" w:rsidRDefault="008D5FB2">
            <w:pPr>
              <w:pStyle w:val="TableText"/>
              <w:jc w:val="right"/>
              <w:rPr>
                <w:b/>
                <w:bCs/>
                <w:sz w:val="16"/>
                <w:szCs w:val="16"/>
              </w:rPr>
            </w:pPr>
            <w:r w:rsidRPr="004F1B86">
              <w:rPr>
                <w:b/>
                <w:bCs/>
                <w:sz w:val="16"/>
                <w:szCs w:val="16"/>
              </w:rPr>
              <w:t>Baseline (Oct  to Dec 2019)</w:t>
            </w:r>
          </w:p>
        </w:tc>
        <w:tc>
          <w:tcPr>
            <w:tcW w:w="11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34C7D961" w14:textId="77777777" w:rsidR="008D5FB2" w:rsidRPr="004F1B86" w:rsidRDefault="008D5FB2">
            <w:pPr>
              <w:pStyle w:val="TableText"/>
              <w:jc w:val="right"/>
              <w:rPr>
                <w:b/>
                <w:bCs/>
                <w:sz w:val="16"/>
                <w:szCs w:val="16"/>
              </w:rPr>
            </w:pPr>
            <w:r w:rsidRPr="004F1B86">
              <w:rPr>
                <w:b/>
                <w:bCs/>
                <w:sz w:val="16"/>
                <w:szCs w:val="16"/>
              </w:rPr>
              <w:t>12 months to Jun 2020</w:t>
            </w:r>
          </w:p>
        </w:tc>
        <w:tc>
          <w:tcPr>
            <w:tcW w:w="11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71EB25F1" w14:textId="77777777" w:rsidR="008D5FB2" w:rsidRPr="004F1B86" w:rsidRDefault="008D5FB2">
            <w:pPr>
              <w:pStyle w:val="TableText"/>
              <w:jc w:val="right"/>
              <w:rPr>
                <w:b/>
                <w:bCs/>
                <w:sz w:val="16"/>
                <w:szCs w:val="16"/>
              </w:rPr>
            </w:pPr>
            <w:r w:rsidRPr="004F1B86">
              <w:rPr>
                <w:b/>
                <w:bCs/>
                <w:sz w:val="16"/>
                <w:szCs w:val="16"/>
              </w:rPr>
              <w:t>12 months to Jun 2021</w:t>
            </w:r>
          </w:p>
        </w:tc>
        <w:tc>
          <w:tcPr>
            <w:tcW w:w="11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651B883B" w14:textId="77777777" w:rsidR="008D5FB2" w:rsidRPr="004F1B86" w:rsidRDefault="008D5FB2">
            <w:pPr>
              <w:pStyle w:val="TableText"/>
              <w:jc w:val="right"/>
              <w:rPr>
                <w:b/>
                <w:bCs/>
                <w:sz w:val="16"/>
                <w:szCs w:val="16"/>
              </w:rPr>
            </w:pPr>
            <w:r w:rsidRPr="004F1B86">
              <w:rPr>
                <w:b/>
                <w:bCs/>
                <w:sz w:val="16"/>
                <w:szCs w:val="16"/>
              </w:rPr>
              <w:t>12 months to Jun 2022</w:t>
            </w:r>
          </w:p>
        </w:tc>
        <w:tc>
          <w:tcPr>
            <w:tcW w:w="11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51BA1FE5" w14:textId="09EC587E" w:rsidR="008D5FB2" w:rsidRPr="004F1B86" w:rsidRDefault="008D5FB2">
            <w:pPr>
              <w:pStyle w:val="TableText"/>
              <w:jc w:val="right"/>
              <w:rPr>
                <w:b/>
                <w:bCs/>
                <w:sz w:val="16"/>
                <w:szCs w:val="16"/>
              </w:rPr>
            </w:pPr>
            <w:r w:rsidRPr="004F1B86">
              <w:rPr>
                <w:b/>
                <w:bCs/>
                <w:sz w:val="16"/>
                <w:szCs w:val="16"/>
              </w:rPr>
              <w:t>12 months to Jun 2023</w:t>
            </w:r>
          </w:p>
        </w:tc>
        <w:tc>
          <w:tcPr>
            <w:tcW w:w="11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6C463F09" w14:textId="175BA939" w:rsidR="008D5FB2" w:rsidRPr="004F1B86" w:rsidRDefault="008D5FB2">
            <w:pPr>
              <w:pStyle w:val="TableText"/>
              <w:jc w:val="right"/>
              <w:rPr>
                <w:b/>
                <w:bCs/>
                <w:sz w:val="16"/>
                <w:szCs w:val="16"/>
              </w:rPr>
            </w:pPr>
            <w:r w:rsidRPr="004F1B86">
              <w:rPr>
                <w:b/>
                <w:bCs/>
                <w:sz w:val="16"/>
                <w:szCs w:val="16"/>
              </w:rPr>
              <w:t>12 months to Jun 2024</w:t>
            </w:r>
          </w:p>
        </w:tc>
      </w:tr>
      <w:tr w:rsidR="008D5FB2" w14:paraId="45A62662" w14:textId="77777777" w:rsidTr="008D5FB2">
        <w:tc>
          <w:tcPr>
            <w:tcW w:w="1088" w:type="dxa"/>
            <w:tcBorders>
              <w:top w:val="single" w:sz="4" w:space="0" w:color="A6A6A6" w:themeColor="background1" w:themeShade="A6"/>
              <w:left w:val="nil"/>
              <w:bottom w:val="single" w:sz="4" w:space="0" w:color="A6A6A6" w:themeColor="background1" w:themeShade="A6"/>
              <w:right w:val="nil"/>
            </w:tcBorders>
            <w:hideMark/>
          </w:tcPr>
          <w:p w14:paraId="6D618BE0" w14:textId="77777777" w:rsidR="008D5FB2" w:rsidRPr="004F1B86" w:rsidRDefault="008D5FB2" w:rsidP="00874C6C">
            <w:pPr>
              <w:pStyle w:val="TableText"/>
              <w:ind w:right="-154"/>
              <w:rPr>
                <w:sz w:val="16"/>
                <w:szCs w:val="16"/>
              </w:rPr>
            </w:pPr>
            <w:r w:rsidRPr="004F1B86">
              <w:rPr>
                <w:sz w:val="16"/>
                <w:szCs w:val="16"/>
              </w:rPr>
              <w:t>All Ethnicities</w:t>
            </w:r>
          </w:p>
        </w:tc>
        <w:tc>
          <w:tcPr>
            <w:tcW w:w="1204" w:type="dxa"/>
            <w:gridSpan w:val="2"/>
            <w:tcBorders>
              <w:top w:val="single" w:sz="4" w:space="0" w:color="A6A6A6" w:themeColor="background1" w:themeShade="A6"/>
              <w:left w:val="nil"/>
              <w:bottom w:val="single" w:sz="4" w:space="0" w:color="A6A6A6" w:themeColor="background1" w:themeShade="A6"/>
              <w:right w:val="nil"/>
            </w:tcBorders>
            <w:hideMark/>
          </w:tcPr>
          <w:p w14:paraId="52400FE7" w14:textId="0B337028" w:rsidR="008D5FB2" w:rsidRPr="004F1B86" w:rsidRDefault="008D5FB2" w:rsidP="008D5FB2">
            <w:pPr>
              <w:pStyle w:val="TableText"/>
              <w:jc w:val="right"/>
              <w:rPr>
                <w:sz w:val="16"/>
                <w:szCs w:val="16"/>
              </w:rPr>
            </w:pPr>
            <w:r w:rsidRPr="004F1B86">
              <w:rPr>
                <w:sz w:val="16"/>
                <w:szCs w:val="16"/>
              </w:rPr>
              <w:t>91.9%</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7EAEF0BF" w14:textId="7D3FD985" w:rsidR="008D5FB2" w:rsidRPr="004F1B86" w:rsidRDefault="008D5FB2" w:rsidP="008D5FB2">
            <w:pPr>
              <w:pStyle w:val="TableText"/>
              <w:jc w:val="right"/>
              <w:rPr>
                <w:sz w:val="16"/>
                <w:szCs w:val="16"/>
              </w:rPr>
            </w:pPr>
            <w:r w:rsidRPr="004F1B86">
              <w:rPr>
                <w:sz w:val="16"/>
                <w:szCs w:val="16"/>
              </w:rPr>
              <w:t>91.3%</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1856DBCE" w14:textId="6B058333" w:rsidR="008D5FB2" w:rsidRPr="004F1B86" w:rsidRDefault="008D5FB2" w:rsidP="008D5FB2">
            <w:pPr>
              <w:pStyle w:val="TableText"/>
              <w:jc w:val="right"/>
              <w:rPr>
                <w:sz w:val="16"/>
                <w:szCs w:val="16"/>
              </w:rPr>
            </w:pPr>
            <w:r w:rsidRPr="004F1B86">
              <w:rPr>
                <w:sz w:val="16"/>
                <w:szCs w:val="16"/>
              </w:rPr>
              <w:t>83.3%</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573B3099" w14:textId="3027621D" w:rsidR="008D5FB2" w:rsidRPr="004F1B86" w:rsidRDefault="008D5FB2" w:rsidP="008D5FB2">
            <w:pPr>
              <w:pStyle w:val="TableText"/>
              <w:jc w:val="right"/>
              <w:rPr>
                <w:sz w:val="16"/>
                <w:szCs w:val="16"/>
              </w:rPr>
            </w:pPr>
            <w:r w:rsidRPr="004F1B86">
              <w:rPr>
                <w:sz w:val="16"/>
                <w:szCs w:val="16"/>
              </w:rPr>
              <w:t>83.7%</w:t>
            </w:r>
          </w:p>
        </w:tc>
        <w:tc>
          <w:tcPr>
            <w:tcW w:w="1186" w:type="dxa"/>
            <w:tcBorders>
              <w:top w:val="single" w:sz="4" w:space="0" w:color="A6A6A6" w:themeColor="background1" w:themeShade="A6"/>
              <w:left w:val="nil"/>
              <w:bottom w:val="single" w:sz="4" w:space="0" w:color="A6A6A6" w:themeColor="background1" w:themeShade="A6"/>
              <w:right w:val="nil"/>
            </w:tcBorders>
          </w:tcPr>
          <w:p w14:paraId="31EE0B31" w14:textId="3FE72007" w:rsidR="008D5FB2" w:rsidRPr="004F1B86" w:rsidRDefault="008D5FB2" w:rsidP="008D5FB2">
            <w:pPr>
              <w:pStyle w:val="TableText"/>
              <w:jc w:val="right"/>
              <w:rPr>
                <w:sz w:val="16"/>
                <w:szCs w:val="16"/>
              </w:rPr>
            </w:pPr>
            <w:r w:rsidRPr="004F1B86">
              <w:rPr>
                <w:sz w:val="16"/>
                <w:szCs w:val="16"/>
              </w:rPr>
              <w:t>82.4%</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14C4315B" w14:textId="2876D367" w:rsidR="008D5FB2" w:rsidRPr="004F1B86" w:rsidRDefault="008D5FB2" w:rsidP="008D5FB2">
            <w:pPr>
              <w:pStyle w:val="TableText"/>
              <w:jc w:val="right"/>
              <w:rPr>
                <w:sz w:val="16"/>
                <w:szCs w:val="16"/>
              </w:rPr>
            </w:pPr>
            <w:r w:rsidRPr="004F1B86">
              <w:rPr>
                <w:sz w:val="16"/>
                <w:szCs w:val="16"/>
              </w:rPr>
              <w:t>77.3%</w:t>
            </w:r>
          </w:p>
        </w:tc>
      </w:tr>
      <w:tr w:rsidR="008D5FB2" w14:paraId="2F5C09B9" w14:textId="77777777" w:rsidTr="008D5FB2">
        <w:tc>
          <w:tcPr>
            <w:tcW w:w="1088" w:type="dxa"/>
            <w:tcBorders>
              <w:top w:val="single" w:sz="4" w:space="0" w:color="A6A6A6" w:themeColor="background1" w:themeShade="A6"/>
              <w:left w:val="nil"/>
              <w:bottom w:val="single" w:sz="4" w:space="0" w:color="A6A6A6" w:themeColor="background1" w:themeShade="A6"/>
              <w:right w:val="nil"/>
            </w:tcBorders>
            <w:hideMark/>
          </w:tcPr>
          <w:p w14:paraId="121B4B88" w14:textId="77777777" w:rsidR="008D5FB2" w:rsidRPr="004F1B86" w:rsidRDefault="008D5FB2" w:rsidP="00874C6C">
            <w:pPr>
              <w:pStyle w:val="TableText"/>
              <w:ind w:right="-154"/>
              <w:rPr>
                <w:sz w:val="16"/>
                <w:szCs w:val="16"/>
              </w:rPr>
            </w:pPr>
            <w:r w:rsidRPr="004F1B86">
              <w:rPr>
                <w:sz w:val="16"/>
                <w:szCs w:val="16"/>
              </w:rPr>
              <w:t>Māori</w:t>
            </w:r>
          </w:p>
        </w:tc>
        <w:tc>
          <w:tcPr>
            <w:tcW w:w="1204" w:type="dxa"/>
            <w:gridSpan w:val="2"/>
            <w:tcBorders>
              <w:top w:val="single" w:sz="4" w:space="0" w:color="A6A6A6" w:themeColor="background1" w:themeShade="A6"/>
              <w:left w:val="nil"/>
              <w:bottom w:val="single" w:sz="4" w:space="0" w:color="A6A6A6" w:themeColor="background1" w:themeShade="A6"/>
              <w:right w:val="nil"/>
            </w:tcBorders>
            <w:hideMark/>
          </w:tcPr>
          <w:p w14:paraId="3C2D5049" w14:textId="0DE9264C" w:rsidR="008D5FB2" w:rsidRPr="004F1B86" w:rsidRDefault="008D5FB2" w:rsidP="008D5FB2">
            <w:pPr>
              <w:pStyle w:val="TableText"/>
              <w:jc w:val="right"/>
              <w:rPr>
                <w:sz w:val="16"/>
                <w:szCs w:val="16"/>
              </w:rPr>
            </w:pPr>
            <w:r w:rsidRPr="004F1B86">
              <w:rPr>
                <w:sz w:val="16"/>
                <w:szCs w:val="16"/>
              </w:rPr>
              <w:t>87.5%</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316DDCFB" w14:textId="3990E4C6" w:rsidR="008D5FB2" w:rsidRPr="004F1B86" w:rsidRDefault="008D5FB2" w:rsidP="008D5FB2">
            <w:pPr>
              <w:pStyle w:val="TableText"/>
              <w:jc w:val="right"/>
              <w:rPr>
                <w:sz w:val="16"/>
                <w:szCs w:val="16"/>
              </w:rPr>
            </w:pPr>
            <w:r w:rsidRPr="004F1B86">
              <w:rPr>
                <w:sz w:val="16"/>
                <w:szCs w:val="16"/>
              </w:rPr>
              <w:t>87.1%</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5EC36891" w14:textId="53C9D79E" w:rsidR="008D5FB2" w:rsidRPr="004F1B86" w:rsidRDefault="008D5FB2" w:rsidP="008D5FB2">
            <w:pPr>
              <w:pStyle w:val="TableText"/>
              <w:jc w:val="right"/>
              <w:rPr>
                <w:sz w:val="16"/>
                <w:szCs w:val="16"/>
              </w:rPr>
            </w:pPr>
            <w:r w:rsidRPr="004F1B86">
              <w:rPr>
                <w:sz w:val="16"/>
                <w:szCs w:val="16"/>
              </w:rPr>
              <w:t>79.3%</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098F6549" w14:textId="7DE6F23A" w:rsidR="008D5FB2" w:rsidRPr="004F1B86" w:rsidRDefault="008D5FB2" w:rsidP="008D5FB2">
            <w:pPr>
              <w:pStyle w:val="TableText"/>
              <w:jc w:val="right"/>
              <w:rPr>
                <w:sz w:val="16"/>
                <w:szCs w:val="16"/>
              </w:rPr>
            </w:pPr>
            <w:r w:rsidRPr="004F1B86">
              <w:rPr>
                <w:sz w:val="16"/>
                <w:szCs w:val="16"/>
              </w:rPr>
              <w:t>69.5%</w:t>
            </w:r>
          </w:p>
        </w:tc>
        <w:tc>
          <w:tcPr>
            <w:tcW w:w="1186" w:type="dxa"/>
            <w:tcBorders>
              <w:top w:val="single" w:sz="4" w:space="0" w:color="A6A6A6" w:themeColor="background1" w:themeShade="A6"/>
              <w:left w:val="nil"/>
              <w:bottom w:val="single" w:sz="4" w:space="0" w:color="A6A6A6" w:themeColor="background1" w:themeShade="A6"/>
              <w:right w:val="nil"/>
            </w:tcBorders>
          </w:tcPr>
          <w:p w14:paraId="1337C9C2" w14:textId="20C482F0" w:rsidR="008D5FB2" w:rsidRPr="004F1B86" w:rsidRDefault="008D5FB2" w:rsidP="008D5FB2">
            <w:pPr>
              <w:pStyle w:val="TableText"/>
              <w:jc w:val="right"/>
              <w:rPr>
                <w:sz w:val="16"/>
                <w:szCs w:val="16"/>
              </w:rPr>
            </w:pPr>
            <w:r w:rsidRPr="004F1B86">
              <w:rPr>
                <w:sz w:val="16"/>
                <w:szCs w:val="16"/>
              </w:rPr>
              <w:t>68.2%</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5D2D567E" w14:textId="0F6BF203" w:rsidR="008D5FB2" w:rsidRPr="004F1B86" w:rsidRDefault="008D5FB2" w:rsidP="008D5FB2">
            <w:pPr>
              <w:pStyle w:val="TableText"/>
              <w:jc w:val="right"/>
              <w:rPr>
                <w:sz w:val="16"/>
                <w:szCs w:val="16"/>
              </w:rPr>
            </w:pPr>
            <w:r w:rsidRPr="004F1B86">
              <w:rPr>
                <w:sz w:val="16"/>
                <w:szCs w:val="16"/>
              </w:rPr>
              <w:t>64.9%</w:t>
            </w:r>
          </w:p>
        </w:tc>
      </w:tr>
      <w:tr w:rsidR="008D5FB2" w14:paraId="78BA2888" w14:textId="77777777" w:rsidTr="008D5FB2">
        <w:tc>
          <w:tcPr>
            <w:tcW w:w="1088" w:type="dxa"/>
            <w:tcBorders>
              <w:top w:val="single" w:sz="4" w:space="0" w:color="A6A6A6" w:themeColor="background1" w:themeShade="A6"/>
              <w:left w:val="nil"/>
              <w:bottom w:val="single" w:sz="4" w:space="0" w:color="A6A6A6" w:themeColor="background1" w:themeShade="A6"/>
              <w:right w:val="nil"/>
            </w:tcBorders>
            <w:hideMark/>
          </w:tcPr>
          <w:p w14:paraId="78EDD1E6" w14:textId="189FFB63" w:rsidR="008D5FB2" w:rsidRPr="004F1B86" w:rsidRDefault="008D5FB2" w:rsidP="00874C6C">
            <w:pPr>
              <w:pStyle w:val="TableText"/>
              <w:ind w:right="-154"/>
              <w:rPr>
                <w:sz w:val="16"/>
                <w:szCs w:val="16"/>
              </w:rPr>
            </w:pPr>
            <w:r w:rsidRPr="004F1B86">
              <w:rPr>
                <w:sz w:val="16"/>
                <w:szCs w:val="16"/>
              </w:rPr>
              <w:t>Pacific peoples</w:t>
            </w:r>
          </w:p>
        </w:tc>
        <w:tc>
          <w:tcPr>
            <w:tcW w:w="1204" w:type="dxa"/>
            <w:gridSpan w:val="2"/>
            <w:tcBorders>
              <w:top w:val="single" w:sz="4" w:space="0" w:color="A6A6A6" w:themeColor="background1" w:themeShade="A6"/>
              <w:left w:val="nil"/>
              <w:bottom w:val="single" w:sz="4" w:space="0" w:color="A6A6A6" w:themeColor="background1" w:themeShade="A6"/>
              <w:right w:val="nil"/>
            </w:tcBorders>
            <w:hideMark/>
          </w:tcPr>
          <w:p w14:paraId="569A60A3" w14:textId="6D0C9206" w:rsidR="008D5FB2" w:rsidRPr="004F1B86" w:rsidRDefault="008D5FB2" w:rsidP="008D5FB2">
            <w:pPr>
              <w:pStyle w:val="TableText"/>
              <w:jc w:val="right"/>
              <w:rPr>
                <w:sz w:val="16"/>
                <w:szCs w:val="16"/>
              </w:rPr>
            </w:pPr>
            <w:r w:rsidRPr="004F1B86">
              <w:rPr>
                <w:sz w:val="16"/>
                <w:szCs w:val="16"/>
              </w:rPr>
              <w:t>93.8%</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7B7A1F42" w14:textId="0DE52999" w:rsidR="008D5FB2" w:rsidRPr="004F1B86" w:rsidRDefault="008D5FB2" w:rsidP="008D5FB2">
            <w:pPr>
              <w:pStyle w:val="TableText"/>
              <w:jc w:val="right"/>
              <w:rPr>
                <w:sz w:val="16"/>
                <w:szCs w:val="16"/>
              </w:rPr>
            </w:pPr>
            <w:r w:rsidRPr="004F1B86">
              <w:rPr>
                <w:sz w:val="16"/>
                <w:szCs w:val="16"/>
              </w:rPr>
              <w:t>93.5%</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170E2336" w14:textId="1DA1C168" w:rsidR="008D5FB2" w:rsidRPr="004F1B86" w:rsidRDefault="008D5FB2" w:rsidP="008D5FB2">
            <w:pPr>
              <w:pStyle w:val="TableText"/>
              <w:jc w:val="right"/>
              <w:rPr>
                <w:sz w:val="16"/>
                <w:szCs w:val="16"/>
              </w:rPr>
            </w:pPr>
            <w:r w:rsidRPr="004F1B86">
              <w:rPr>
                <w:sz w:val="16"/>
                <w:szCs w:val="16"/>
              </w:rPr>
              <w:t>88.1%</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14698864" w14:textId="0FB606CA" w:rsidR="008D5FB2" w:rsidRPr="004F1B86" w:rsidRDefault="008D5FB2" w:rsidP="008D5FB2">
            <w:pPr>
              <w:pStyle w:val="TableText"/>
              <w:jc w:val="right"/>
              <w:rPr>
                <w:sz w:val="16"/>
                <w:szCs w:val="16"/>
              </w:rPr>
            </w:pPr>
            <w:r w:rsidRPr="004F1B86">
              <w:rPr>
                <w:sz w:val="16"/>
                <w:szCs w:val="16"/>
              </w:rPr>
              <w:t>82.2%</w:t>
            </w:r>
          </w:p>
        </w:tc>
        <w:tc>
          <w:tcPr>
            <w:tcW w:w="1186" w:type="dxa"/>
            <w:tcBorders>
              <w:top w:val="single" w:sz="4" w:space="0" w:color="A6A6A6" w:themeColor="background1" w:themeShade="A6"/>
              <w:left w:val="nil"/>
              <w:bottom w:val="single" w:sz="4" w:space="0" w:color="A6A6A6" w:themeColor="background1" w:themeShade="A6"/>
              <w:right w:val="nil"/>
            </w:tcBorders>
          </w:tcPr>
          <w:p w14:paraId="6D431C7A" w14:textId="2DDFF539" w:rsidR="008D5FB2" w:rsidRPr="004F1B86" w:rsidRDefault="008D5FB2" w:rsidP="008D5FB2">
            <w:pPr>
              <w:pStyle w:val="TableText"/>
              <w:jc w:val="right"/>
              <w:rPr>
                <w:sz w:val="16"/>
                <w:szCs w:val="16"/>
              </w:rPr>
            </w:pPr>
            <w:r w:rsidRPr="004F1B86">
              <w:rPr>
                <w:sz w:val="16"/>
                <w:szCs w:val="16"/>
              </w:rPr>
              <w:t>80.6%</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2FA21987" w14:textId="3D06E736" w:rsidR="008D5FB2" w:rsidRPr="004F1B86" w:rsidRDefault="008D5FB2" w:rsidP="008D5FB2">
            <w:pPr>
              <w:pStyle w:val="TableText"/>
              <w:jc w:val="right"/>
              <w:rPr>
                <w:sz w:val="16"/>
                <w:szCs w:val="16"/>
              </w:rPr>
            </w:pPr>
            <w:r w:rsidRPr="004F1B86">
              <w:rPr>
                <w:sz w:val="16"/>
                <w:szCs w:val="16"/>
              </w:rPr>
              <w:t>73.3%</w:t>
            </w:r>
          </w:p>
        </w:tc>
      </w:tr>
      <w:tr w:rsidR="008D5FB2" w14:paraId="4D3CB720" w14:textId="77777777" w:rsidTr="008D5FB2">
        <w:tc>
          <w:tcPr>
            <w:tcW w:w="1088" w:type="dxa"/>
            <w:tcBorders>
              <w:top w:val="single" w:sz="4" w:space="0" w:color="A6A6A6" w:themeColor="background1" w:themeShade="A6"/>
              <w:left w:val="nil"/>
              <w:bottom w:val="single" w:sz="4" w:space="0" w:color="A6A6A6" w:themeColor="background1" w:themeShade="A6"/>
              <w:right w:val="nil"/>
            </w:tcBorders>
          </w:tcPr>
          <w:p w14:paraId="516D460A" w14:textId="0F9689FE" w:rsidR="008D5FB2" w:rsidRPr="004F1B86" w:rsidRDefault="008D5FB2" w:rsidP="00874C6C">
            <w:pPr>
              <w:pStyle w:val="TableText"/>
              <w:ind w:right="-154"/>
              <w:rPr>
                <w:sz w:val="16"/>
                <w:szCs w:val="16"/>
              </w:rPr>
            </w:pPr>
            <w:r w:rsidRPr="004F1B86">
              <w:rPr>
                <w:sz w:val="16"/>
                <w:szCs w:val="16"/>
              </w:rPr>
              <w:t>Asian</w:t>
            </w:r>
          </w:p>
        </w:tc>
        <w:tc>
          <w:tcPr>
            <w:tcW w:w="1204" w:type="dxa"/>
            <w:gridSpan w:val="2"/>
            <w:tcBorders>
              <w:top w:val="single" w:sz="4" w:space="0" w:color="A6A6A6" w:themeColor="background1" w:themeShade="A6"/>
              <w:left w:val="nil"/>
              <w:bottom w:val="single" w:sz="4" w:space="0" w:color="A6A6A6" w:themeColor="background1" w:themeShade="A6"/>
              <w:right w:val="nil"/>
            </w:tcBorders>
          </w:tcPr>
          <w:p w14:paraId="6824D8EE" w14:textId="164AE7FE" w:rsidR="008D5FB2" w:rsidRPr="004F1B86" w:rsidRDefault="008D5FB2" w:rsidP="008D5FB2">
            <w:pPr>
              <w:pStyle w:val="TableText"/>
              <w:jc w:val="right"/>
              <w:rPr>
                <w:sz w:val="16"/>
                <w:szCs w:val="16"/>
              </w:rPr>
            </w:pPr>
            <w:r w:rsidRPr="004F1B86">
              <w:rPr>
                <w:sz w:val="16"/>
                <w:szCs w:val="16"/>
              </w:rPr>
              <w:t>–</w:t>
            </w:r>
          </w:p>
        </w:tc>
        <w:tc>
          <w:tcPr>
            <w:tcW w:w="1186" w:type="dxa"/>
            <w:tcBorders>
              <w:top w:val="single" w:sz="4" w:space="0" w:color="A6A6A6" w:themeColor="background1" w:themeShade="A6"/>
              <w:left w:val="nil"/>
              <w:bottom w:val="single" w:sz="4" w:space="0" w:color="A6A6A6" w:themeColor="background1" w:themeShade="A6"/>
              <w:right w:val="nil"/>
            </w:tcBorders>
          </w:tcPr>
          <w:p w14:paraId="68A3007E" w14:textId="2B79945F" w:rsidR="008D5FB2" w:rsidRPr="004F1B86" w:rsidRDefault="008D5FB2" w:rsidP="008D5FB2">
            <w:pPr>
              <w:pStyle w:val="TableText"/>
              <w:jc w:val="right"/>
              <w:rPr>
                <w:sz w:val="16"/>
                <w:szCs w:val="16"/>
              </w:rPr>
            </w:pPr>
            <w:r w:rsidRPr="004F1B86">
              <w:rPr>
                <w:sz w:val="16"/>
                <w:szCs w:val="16"/>
              </w:rPr>
              <w:t>–</w:t>
            </w:r>
          </w:p>
        </w:tc>
        <w:tc>
          <w:tcPr>
            <w:tcW w:w="1186" w:type="dxa"/>
            <w:tcBorders>
              <w:top w:val="single" w:sz="4" w:space="0" w:color="A6A6A6" w:themeColor="background1" w:themeShade="A6"/>
              <w:left w:val="nil"/>
              <w:bottom w:val="single" w:sz="4" w:space="0" w:color="A6A6A6" w:themeColor="background1" w:themeShade="A6"/>
              <w:right w:val="nil"/>
            </w:tcBorders>
          </w:tcPr>
          <w:p w14:paraId="5056E067" w14:textId="61857684" w:rsidR="008D5FB2" w:rsidRPr="004F1B86" w:rsidRDefault="008D5FB2" w:rsidP="008D5FB2">
            <w:pPr>
              <w:pStyle w:val="TableText"/>
              <w:jc w:val="right"/>
              <w:rPr>
                <w:sz w:val="16"/>
                <w:szCs w:val="16"/>
              </w:rPr>
            </w:pPr>
            <w:r w:rsidRPr="004F1B86">
              <w:rPr>
                <w:sz w:val="16"/>
                <w:szCs w:val="16"/>
              </w:rPr>
              <w:t>–</w:t>
            </w:r>
          </w:p>
        </w:tc>
        <w:tc>
          <w:tcPr>
            <w:tcW w:w="1186" w:type="dxa"/>
            <w:tcBorders>
              <w:top w:val="single" w:sz="4" w:space="0" w:color="A6A6A6" w:themeColor="background1" w:themeShade="A6"/>
              <w:left w:val="nil"/>
              <w:bottom w:val="single" w:sz="4" w:space="0" w:color="A6A6A6" w:themeColor="background1" w:themeShade="A6"/>
              <w:right w:val="nil"/>
            </w:tcBorders>
          </w:tcPr>
          <w:p w14:paraId="2FEBA836" w14:textId="552F2309" w:rsidR="008D5FB2" w:rsidRPr="004F1B86" w:rsidRDefault="008D5FB2" w:rsidP="008D5FB2">
            <w:pPr>
              <w:pStyle w:val="TableText"/>
              <w:jc w:val="right"/>
              <w:rPr>
                <w:sz w:val="16"/>
                <w:szCs w:val="16"/>
              </w:rPr>
            </w:pPr>
            <w:r w:rsidRPr="004F1B86">
              <w:rPr>
                <w:sz w:val="16"/>
                <w:szCs w:val="16"/>
              </w:rPr>
              <w:t>–</w:t>
            </w:r>
          </w:p>
        </w:tc>
        <w:tc>
          <w:tcPr>
            <w:tcW w:w="1186" w:type="dxa"/>
            <w:tcBorders>
              <w:top w:val="single" w:sz="4" w:space="0" w:color="A6A6A6" w:themeColor="background1" w:themeShade="A6"/>
              <w:left w:val="nil"/>
              <w:bottom w:val="single" w:sz="4" w:space="0" w:color="A6A6A6" w:themeColor="background1" w:themeShade="A6"/>
              <w:right w:val="nil"/>
            </w:tcBorders>
          </w:tcPr>
          <w:p w14:paraId="7EA0DC75" w14:textId="03CF62DA" w:rsidR="008D5FB2" w:rsidRPr="004F1B86" w:rsidRDefault="008D5FB2" w:rsidP="008D5FB2">
            <w:pPr>
              <w:pStyle w:val="TableText"/>
              <w:jc w:val="right"/>
              <w:rPr>
                <w:sz w:val="16"/>
                <w:szCs w:val="16"/>
              </w:rPr>
            </w:pPr>
            <w:r w:rsidRPr="004F1B86">
              <w:rPr>
                <w:sz w:val="16"/>
                <w:szCs w:val="16"/>
              </w:rPr>
              <w:t>93.0%</w:t>
            </w:r>
          </w:p>
        </w:tc>
        <w:tc>
          <w:tcPr>
            <w:tcW w:w="1186" w:type="dxa"/>
            <w:tcBorders>
              <w:top w:val="single" w:sz="4" w:space="0" w:color="A6A6A6" w:themeColor="background1" w:themeShade="A6"/>
              <w:left w:val="nil"/>
              <w:bottom w:val="single" w:sz="4" w:space="0" w:color="A6A6A6" w:themeColor="background1" w:themeShade="A6"/>
              <w:right w:val="nil"/>
            </w:tcBorders>
          </w:tcPr>
          <w:p w14:paraId="7C366139" w14:textId="4CE0DCE8" w:rsidR="008D5FB2" w:rsidRPr="004F1B86" w:rsidRDefault="008D5FB2" w:rsidP="008D5FB2">
            <w:pPr>
              <w:pStyle w:val="TableText"/>
              <w:jc w:val="right"/>
              <w:rPr>
                <w:sz w:val="16"/>
                <w:szCs w:val="16"/>
              </w:rPr>
            </w:pPr>
            <w:r w:rsidRPr="004F1B86">
              <w:rPr>
                <w:sz w:val="16"/>
                <w:szCs w:val="16"/>
              </w:rPr>
              <w:t>83.7%</w:t>
            </w:r>
          </w:p>
        </w:tc>
      </w:tr>
      <w:tr w:rsidR="008D5FB2" w14:paraId="67FE9100" w14:textId="77777777" w:rsidTr="008D5FB2">
        <w:tc>
          <w:tcPr>
            <w:tcW w:w="1088" w:type="dxa"/>
            <w:tcBorders>
              <w:top w:val="single" w:sz="4" w:space="0" w:color="A6A6A6" w:themeColor="background1" w:themeShade="A6"/>
              <w:left w:val="nil"/>
              <w:bottom w:val="single" w:sz="4" w:space="0" w:color="A6A6A6" w:themeColor="background1" w:themeShade="A6"/>
              <w:right w:val="nil"/>
            </w:tcBorders>
          </w:tcPr>
          <w:p w14:paraId="315DDBE1" w14:textId="1282F2B3" w:rsidR="008D5FB2" w:rsidRPr="004F1B86" w:rsidRDefault="008D5FB2" w:rsidP="00874C6C">
            <w:pPr>
              <w:pStyle w:val="TableText"/>
              <w:ind w:right="-154"/>
              <w:rPr>
                <w:sz w:val="16"/>
                <w:szCs w:val="16"/>
              </w:rPr>
            </w:pPr>
            <w:r w:rsidRPr="004F1B86">
              <w:rPr>
                <w:sz w:val="16"/>
                <w:szCs w:val="16"/>
              </w:rPr>
              <w:t>Non-Māori non-Pacific non-Asian</w:t>
            </w:r>
          </w:p>
        </w:tc>
        <w:tc>
          <w:tcPr>
            <w:tcW w:w="1204" w:type="dxa"/>
            <w:gridSpan w:val="2"/>
            <w:tcBorders>
              <w:top w:val="single" w:sz="4" w:space="0" w:color="A6A6A6" w:themeColor="background1" w:themeShade="A6"/>
              <w:left w:val="nil"/>
              <w:bottom w:val="single" w:sz="4" w:space="0" w:color="A6A6A6" w:themeColor="background1" w:themeShade="A6"/>
              <w:right w:val="nil"/>
            </w:tcBorders>
          </w:tcPr>
          <w:p w14:paraId="78C921FF" w14:textId="52B2BFD5" w:rsidR="008D5FB2" w:rsidRPr="004F1B86" w:rsidRDefault="008D5FB2" w:rsidP="008D5FB2">
            <w:pPr>
              <w:pStyle w:val="TableText"/>
              <w:jc w:val="right"/>
              <w:rPr>
                <w:sz w:val="16"/>
                <w:szCs w:val="16"/>
              </w:rPr>
            </w:pPr>
            <w:r w:rsidRPr="004F1B86">
              <w:rPr>
                <w:sz w:val="16"/>
                <w:szCs w:val="16"/>
              </w:rPr>
              <w:t>–</w:t>
            </w:r>
          </w:p>
        </w:tc>
        <w:tc>
          <w:tcPr>
            <w:tcW w:w="1186" w:type="dxa"/>
            <w:tcBorders>
              <w:top w:val="single" w:sz="4" w:space="0" w:color="A6A6A6" w:themeColor="background1" w:themeShade="A6"/>
              <w:left w:val="nil"/>
              <w:bottom w:val="single" w:sz="4" w:space="0" w:color="A6A6A6" w:themeColor="background1" w:themeShade="A6"/>
              <w:right w:val="nil"/>
            </w:tcBorders>
          </w:tcPr>
          <w:p w14:paraId="572A3CFB" w14:textId="723DC66B" w:rsidR="008D5FB2" w:rsidRPr="004F1B86" w:rsidRDefault="008D5FB2" w:rsidP="008D5FB2">
            <w:pPr>
              <w:pStyle w:val="TableText"/>
              <w:jc w:val="right"/>
              <w:rPr>
                <w:sz w:val="16"/>
                <w:szCs w:val="16"/>
              </w:rPr>
            </w:pPr>
            <w:r w:rsidRPr="004F1B86">
              <w:rPr>
                <w:sz w:val="16"/>
                <w:szCs w:val="16"/>
              </w:rPr>
              <w:t>–</w:t>
            </w:r>
          </w:p>
        </w:tc>
        <w:tc>
          <w:tcPr>
            <w:tcW w:w="1186" w:type="dxa"/>
            <w:tcBorders>
              <w:top w:val="single" w:sz="4" w:space="0" w:color="A6A6A6" w:themeColor="background1" w:themeShade="A6"/>
              <w:left w:val="nil"/>
              <w:bottom w:val="single" w:sz="4" w:space="0" w:color="A6A6A6" w:themeColor="background1" w:themeShade="A6"/>
              <w:right w:val="nil"/>
            </w:tcBorders>
          </w:tcPr>
          <w:p w14:paraId="0A724114" w14:textId="58209316" w:rsidR="008D5FB2" w:rsidRPr="004F1B86" w:rsidRDefault="008D5FB2" w:rsidP="008D5FB2">
            <w:pPr>
              <w:pStyle w:val="TableText"/>
              <w:jc w:val="right"/>
              <w:rPr>
                <w:sz w:val="16"/>
                <w:szCs w:val="16"/>
              </w:rPr>
            </w:pPr>
            <w:r w:rsidRPr="004F1B86">
              <w:rPr>
                <w:sz w:val="16"/>
                <w:szCs w:val="16"/>
              </w:rPr>
              <w:t>–</w:t>
            </w:r>
          </w:p>
        </w:tc>
        <w:tc>
          <w:tcPr>
            <w:tcW w:w="1186" w:type="dxa"/>
            <w:tcBorders>
              <w:top w:val="single" w:sz="4" w:space="0" w:color="A6A6A6" w:themeColor="background1" w:themeShade="A6"/>
              <w:left w:val="nil"/>
              <w:bottom w:val="single" w:sz="4" w:space="0" w:color="A6A6A6" w:themeColor="background1" w:themeShade="A6"/>
              <w:right w:val="nil"/>
            </w:tcBorders>
          </w:tcPr>
          <w:p w14:paraId="5C375236" w14:textId="0C5FFE31" w:rsidR="008D5FB2" w:rsidRPr="004F1B86" w:rsidRDefault="008D5FB2" w:rsidP="008D5FB2">
            <w:pPr>
              <w:pStyle w:val="TableText"/>
              <w:jc w:val="right"/>
              <w:rPr>
                <w:sz w:val="16"/>
                <w:szCs w:val="16"/>
              </w:rPr>
            </w:pPr>
            <w:r w:rsidRPr="004F1B86">
              <w:rPr>
                <w:sz w:val="16"/>
                <w:szCs w:val="16"/>
              </w:rPr>
              <w:t>–</w:t>
            </w:r>
          </w:p>
        </w:tc>
        <w:tc>
          <w:tcPr>
            <w:tcW w:w="1186" w:type="dxa"/>
            <w:tcBorders>
              <w:top w:val="single" w:sz="4" w:space="0" w:color="A6A6A6" w:themeColor="background1" w:themeShade="A6"/>
              <w:left w:val="nil"/>
              <w:bottom w:val="single" w:sz="4" w:space="0" w:color="A6A6A6" w:themeColor="background1" w:themeShade="A6"/>
              <w:right w:val="nil"/>
            </w:tcBorders>
          </w:tcPr>
          <w:p w14:paraId="5159D96D" w14:textId="46100230" w:rsidR="008D5FB2" w:rsidRPr="004F1B86" w:rsidRDefault="008D5FB2" w:rsidP="008D5FB2">
            <w:pPr>
              <w:pStyle w:val="TableText"/>
              <w:jc w:val="right"/>
              <w:rPr>
                <w:sz w:val="16"/>
                <w:szCs w:val="16"/>
              </w:rPr>
            </w:pPr>
            <w:r w:rsidRPr="004F1B86">
              <w:rPr>
                <w:sz w:val="16"/>
                <w:szCs w:val="16"/>
              </w:rPr>
              <w:t>86.0%</w:t>
            </w:r>
          </w:p>
        </w:tc>
        <w:tc>
          <w:tcPr>
            <w:tcW w:w="1186" w:type="dxa"/>
            <w:tcBorders>
              <w:top w:val="single" w:sz="4" w:space="0" w:color="A6A6A6" w:themeColor="background1" w:themeShade="A6"/>
              <w:left w:val="nil"/>
              <w:bottom w:val="single" w:sz="4" w:space="0" w:color="A6A6A6" w:themeColor="background1" w:themeShade="A6"/>
              <w:right w:val="nil"/>
            </w:tcBorders>
          </w:tcPr>
          <w:p w14:paraId="7EF71571" w14:textId="69878566" w:rsidR="008D5FB2" w:rsidRPr="004F1B86" w:rsidRDefault="008D5FB2" w:rsidP="008D5FB2">
            <w:pPr>
              <w:pStyle w:val="TableText"/>
              <w:jc w:val="right"/>
              <w:rPr>
                <w:sz w:val="16"/>
                <w:szCs w:val="16"/>
              </w:rPr>
            </w:pPr>
            <w:r w:rsidRPr="004F1B86">
              <w:rPr>
                <w:sz w:val="16"/>
                <w:szCs w:val="16"/>
              </w:rPr>
              <w:t>82.4%</w:t>
            </w:r>
          </w:p>
        </w:tc>
      </w:tr>
    </w:tbl>
    <w:p w14:paraId="61869C04" w14:textId="77777777" w:rsidR="008D5FB2" w:rsidRDefault="008D5FB2" w:rsidP="008D5FB2">
      <w:pPr>
        <w:rPr>
          <w:b/>
          <w:bCs/>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222"/>
      </w:tblGrid>
      <w:tr w:rsidR="008D5FB2" w14:paraId="64AA7F06" w14:textId="77777777" w:rsidTr="008D5FB2">
        <w:tc>
          <w:tcPr>
            <w:tcW w:w="8222" w:type="dxa"/>
            <w:shd w:val="clear" w:color="auto" w:fill="F2F2F2" w:themeFill="background1" w:themeFillShade="F2"/>
          </w:tcPr>
          <w:p w14:paraId="09A0460B" w14:textId="77777777" w:rsidR="008D5FB2" w:rsidRPr="008D5FB2" w:rsidRDefault="008D5FB2" w:rsidP="008D5FB2">
            <w:pPr>
              <w:spacing w:before="120" w:after="120"/>
              <w:rPr>
                <w:b/>
                <w:bCs/>
              </w:rPr>
            </w:pPr>
            <w:r w:rsidRPr="008D5FB2">
              <w:rPr>
                <w:b/>
                <w:bCs/>
              </w:rPr>
              <w:t>Comment</w:t>
            </w:r>
          </w:p>
          <w:p w14:paraId="64ABDC86" w14:textId="77777777" w:rsidR="008D5FB2" w:rsidRDefault="008D5FB2" w:rsidP="008D5FB2">
            <w:pPr>
              <w:spacing w:after="120" w:line="240" w:lineRule="auto"/>
            </w:pPr>
            <w:r>
              <w:t>Timely immunisations protect children against harmful and avoidable diseases. When community immunisation coverage is below 95%, the risk of vaccine-preventable diseases increases, particularly for measles and pertussis (whooping cough). The National Immunisation Schedule is a series of vaccines offered free as part of the National Immunisation Programme, with the aim of protecting children from serious diseases when they are most vulnerable.</w:t>
            </w:r>
          </w:p>
          <w:p w14:paraId="6E89BB27" w14:textId="77777777" w:rsidR="008D5FB2" w:rsidRDefault="008D5FB2" w:rsidP="008D5FB2">
            <w:pPr>
              <w:spacing w:after="120" w:line="240" w:lineRule="auto"/>
            </w:pPr>
            <w:r>
              <w:t>This indicator counts the children enrolled on the Aotearoa Immunisation Register (AIR) who turn 24 months old during the reporting period and have completed all age-appropriate immunisations according to the National Immunisation Schedule (events currently at 6 weeks, 3 months, 5 months, 12 months and 15 months) by the age of 24 months.</w:t>
            </w:r>
          </w:p>
          <w:p w14:paraId="38003E3F" w14:textId="77777777" w:rsidR="008D5FB2" w:rsidRDefault="008D5FB2" w:rsidP="008D5FB2">
            <w:pPr>
              <w:spacing w:after="120" w:line="240" w:lineRule="auto"/>
            </w:pPr>
            <w:r>
              <w:lastRenderedPageBreak/>
              <w:t>Note: Immunisation status does not indicate whether the vaccinations were given on time. It shows only whether a child has had all the recommended vaccinations by that age.</w:t>
            </w:r>
          </w:p>
          <w:p w14:paraId="2896285B" w14:textId="77777777" w:rsidR="008D5FB2" w:rsidRDefault="008D5FB2" w:rsidP="008D5FB2">
            <w:pPr>
              <w:spacing w:after="120" w:line="240" w:lineRule="auto"/>
            </w:pPr>
            <w:r>
              <w:t>During the 2023/24 financial year, Health NZ transitioned immunisation reporting from the retired National Immunisation Register (NIR) to the Aotearoa Immunisation Register (AIR). The AIR denominator incorporates individuals from the NIR and COVID-19 Immunisation Registers (CIR) and is validated against the National Health Index. This has identified an increase in active consumers of AIR, resulting in a reduction in reported immunisation rates (as these would generally not be included in the numerator). This is considered an improvement in data collection methodology.</w:t>
            </w:r>
          </w:p>
          <w:p w14:paraId="730E43F3" w14:textId="26594AE3" w:rsidR="008D5FB2" w:rsidRDefault="008D5FB2" w:rsidP="008D5FB2">
            <w:pPr>
              <w:spacing w:after="120" w:line="240" w:lineRule="auto"/>
            </w:pPr>
            <w:r>
              <w:t xml:space="preserve">A comparison for the 12 months ended June 2023 between the reported prior year figures from NIR and the updated </w:t>
            </w:r>
            <w:proofErr w:type="gramStart"/>
            <w:r>
              <w:t>figures</w:t>
            </w:r>
            <w:proofErr w:type="gramEnd"/>
            <w:r>
              <w:t xml:space="preserve"> from the AIR is:</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6" w:space="0" w:color="A6A6A6" w:themeColor="background1" w:themeShade="A6"/>
                <w:insideV w:val="none" w:sz="0" w:space="0" w:color="auto"/>
              </w:tblBorders>
              <w:tblLook w:val="04A0" w:firstRow="1" w:lastRow="0" w:firstColumn="1" w:lastColumn="0" w:noHBand="0" w:noVBand="1"/>
            </w:tblPr>
            <w:tblGrid>
              <w:gridCol w:w="3998"/>
              <w:gridCol w:w="3998"/>
            </w:tblGrid>
            <w:tr w:rsidR="008D5FB2" w14:paraId="60F99461" w14:textId="77777777" w:rsidTr="008D5FB2">
              <w:tc>
                <w:tcPr>
                  <w:tcW w:w="3998" w:type="dxa"/>
                  <w:shd w:val="clear" w:color="auto" w:fill="D9D9D9" w:themeFill="background1" w:themeFillShade="D9"/>
                </w:tcPr>
                <w:p w14:paraId="6CF6AB92" w14:textId="58EB1290" w:rsidR="008D5FB2" w:rsidRPr="008D5FB2" w:rsidRDefault="008D5FB2" w:rsidP="008D5FB2">
                  <w:pPr>
                    <w:pStyle w:val="TableText"/>
                    <w:rPr>
                      <w:b/>
                      <w:bCs/>
                    </w:rPr>
                  </w:pPr>
                  <w:r w:rsidRPr="008D5FB2">
                    <w:rPr>
                      <w:b/>
                      <w:bCs/>
                    </w:rPr>
                    <w:t>NIR:</w:t>
                  </w:r>
                </w:p>
              </w:tc>
              <w:tc>
                <w:tcPr>
                  <w:tcW w:w="3998" w:type="dxa"/>
                  <w:shd w:val="clear" w:color="auto" w:fill="D9D9D9" w:themeFill="background1" w:themeFillShade="D9"/>
                </w:tcPr>
                <w:p w14:paraId="4E20F23B" w14:textId="4D340C88" w:rsidR="008D5FB2" w:rsidRPr="008D5FB2" w:rsidRDefault="008D5FB2" w:rsidP="008D5FB2">
                  <w:pPr>
                    <w:pStyle w:val="TableText"/>
                    <w:rPr>
                      <w:b/>
                      <w:bCs/>
                    </w:rPr>
                  </w:pPr>
                  <w:r w:rsidRPr="008D5FB2">
                    <w:rPr>
                      <w:b/>
                      <w:bCs/>
                    </w:rPr>
                    <w:t>AIR:</w:t>
                  </w:r>
                </w:p>
              </w:tc>
            </w:tr>
            <w:tr w:rsidR="008D5FB2" w14:paraId="4FA12150" w14:textId="77777777" w:rsidTr="008D5FB2">
              <w:tc>
                <w:tcPr>
                  <w:tcW w:w="3998" w:type="dxa"/>
                </w:tcPr>
                <w:p w14:paraId="01A366F8" w14:textId="77777777" w:rsidR="008D5FB2" w:rsidRPr="008D5FB2" w:rsidRDefault="008D5FB2" w:rsidP="008D5FB2">
                  <w:pPr>
                    <w:pStyle w:val="TableText"/>
                  </w:pPr>
                  <w:r w:rsidRPr="008D5FB2">
                    <w:t>Population*: 62,090</w:t>
                  </w:r>
                </w:p>
                <w:p w14:paraId="61BE29FF" w14:textId="74B1ECEB" w:rsidR="008D5FB2" w:rsidRPr="008D5FB2" w:rsidRDefault="008D5FB2" w:rsidP="008D5FB2">
                  <w:pPr>
                    <w:pStyle w:val="TableText"/>
                  </w:pPr>
                  <w:r w:rsidRPr="008D5FB2">
                    <w:t>Completed milestone: 50,997</w:t>
                  </w:r>
                </w:p>
              </w:tc>
              <w:tc>
                <w:tcPr>
                  <w:tcW w:w="3998" w:type="dxa"/>
                </w:tcPr>
                <w:p w14:paraId="762EDED3" w14:textId="77777777" w:rsidR="008D5FB2" w:rsidRPr="008D5FB2" w:rsidRDefault="008D5FB2" w:rsidP="008D5FB2">
                  <w:pPr>
                    <w:pStyle w:val="TableText"/>
                  </w:pPr>
                  <w:r w:rsidRPr="008D5FB2">
                    <w:t xml:space="preserve">Population#:65,943 </w:t>
                  </w:r>
                </w:p>
                <w:p w14:paraId="575E16E5" w14:textId="2F0BE3CC" w:rsidR="008D5FB2" w:rsidRPr="008D5FB2" w:rsidRDefault="008D5FB2" w:rsidP="008D5FB2">
                  <w:pPr>
                    <w:pStyle w:val="TableText"/>
                  </w:pPr>
                  <w:r w:rsidRPr="008D5FB2">
                    <w:t>Completed milestone: 50,128</w:t>
                  </w:r>
                </w:p>
              </w:tc>
            </w:tr>
            <w:tr w:rsidR="008D5FB2" w14:paraId="2A450406" w14:textId="77777777" w:rsidTr="008D5FB2">
              <w:tc>
                <w:tcPr>
                  <w:tcW w:w="3998" w:type="dxa"/>
                </w:tcPr>
                <w:p w14:paraId="7387D6E5" w14:textId="469D5FB1" w:rsidR="008D5FB2" w:rsidRPr="008D5FB2" w:rsidRDefault="008D5FB2" w:rsidP="008D5FB2">
                  <w:pPr>
                    <w:pStyle w:val="TableText"/>
                  </w:pPr>
                  <w:r w:rsidRPr="008D5FB2">
                    <w:rPr>
                      <w:b/>
                      <w:bCs/>
                    </w:rPr>
                    <w:t>Result:</w:t>
                  </w:r>
                  <w:r w:rsidRPr="008D5FB2">
                    <w:br/>
                    <w:t>NIR: 82.13%</w:t>
                  </w:r>
                </w:p>
              </w:tc>
              <w:tc>
                <w:tcPr>
                  <w:tcW w:w="3998" w:type="dxa"/>
                </w:tcPr>
                <w:p w14:paraId="3D4C116B" w14:textId="706E5DB3" w:rsidR="008D5FB2" w:rsidRPr="008D5FB2" w:rsidRDefault="008D5FB2" w:rsidP="008D5FB2">
                  <w:pPr>
                    <w:pStyle w:val="TableText"/>
                  </w:pPr>
                  <w:r w:rsidRPr="008D5FB2">
                    <w:br/>
                    <w:t>AIR: 76.02%</w:t>
                  </w:r>
                </w:p>
              </w:tc>
            </w:tr>
          </w:tbl>
          <w:p w14:paraId="446425AC" w14:textId="77777777" w:rsidR="008D5FB2" w:rsidRDefault="008D5FB2" w:rsidP="008D5FB2">
            <w:pPr>
              <w:pStyle w:val="Note"/>
            </w:pPr>
            <w:r>
              <w:t>* Children (2-year-olds) registered at the time of vaccination</w:t>
            </w:r>
          </w:p>
          <w:p w14:paraId="52140256" w14:textId="7265DCB7" w:rsidR="008D5FB2" w:rsidRPr="008D5FB2" w:rsidRDefault="008D5FB2" w:rsidP="008D5FB2">
            <w:pPr>
              <w:pStyle w:val="Note"/>
              <w:spacing w:after="120"/>
            </w:pPr>
            <w:r>
              <w:t># All children (registered and unregistered) are now counted in the denominator</w:t>
            </w:r>
          </w:p>
        </w:tc>
      </w:tr>
    </w:tbl>
    <w:p w14:paraId="49E2E423" w14:textId="77777777" w:rsidR="008D5FB2" w:rsidRDefault="008D5FB2" w:rsidP="008D5FB2">
      <w:pPr>
        <w:spacing w:before="120" w:after="120"/>
        <w:rPr>
          <w:b/>
          <w:bCs/>
        </w:rPr>
      </w:pPr>
    </w:p>
    <w:p w14:paraId="34A95DE6" w14:textId="77777777" w:rsidR="00085055" w:rsidRDefault="00085055" w:rsidP="008D5FB2">
      <w:pPr>
        <w:sectPr w:rsidR="00085055" w:rsidSect="008F0115">
          <w:pgSz w:w="11907" w:h="16840" w:code="9"/>
          <w:pgMar w:top="1418" w:right="1701" w:bottom="1134" w:left="1843" w:header="284" w:footer="425" w:gutter="284"/>
          <w:cols w:space="720"/>
        </w:sectPr>
      </w:pPr>
    </w:p>
    <w:tbl>
      <w:tblPr>
        <w:tblStyle w:val="TableGrid"/>
        <w:tblW w:w="822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88"/>
        <w:gridCol w:w="77"/>
        <w:gridCol w:w="1127"/>
        <w:gridCol w:w="1186"/>
        <w:gridCol w:w="1186"/>
        <w:gridCol w:w="1186"/>
        <w:gridCol w:w="1186"/>
        <w:gridCol w:w="1044"/>
        <w:gridCol w:w="142"/>
      </w:tblGrid>
      <w:tr w:rsidR="00085055" w14:paraId="7102B080" w14:textId="77777777" w:rsidTr="00874C6C">
        <w:trPr>
          <w:gridAfter w:val="1"/>
          <w:wAfter w:w="142" w:type="dxa"/>
        </w:trPr>
        <w:tc>
          <w:tcPr>
            <w:tcW w:w="8080" w:type="dxa"/>
            <w:gridSpan w:val="8"/>
            <w:tcBorders>
              <w:top w:val="nil"/>
              <w:left w:val="nil"/>
              <w:bottom w:val="nil"/>
              <w:right w:val="nil"/>
            </w:tcBorders>
            <w:shd w:val="clear" w:color="auto" w:fill="D9D9D9" w:themeFill="background1" w:themeFillShade="D9"/>
            <w:hideMark/>
          </w:tcPr>
          <w:p w14:paraId="6E55EA19" w14:textId="77777777" w:rsidR="00085055" w:rsidRDefault="00085055">
            <w:pPr>
              <w:pStyle w:val="TableText"/>
              <w:rPr>
                <w:b/>
                <w:bCs/>
              </w:rPr>
            </w:pPr>
            <w:r>
              <w:rPr>
                <w:b/>
                <w:bCs/>
              </w:rPr>
              <w:lastRenderedPageBreak/>
              <w:t>Ambulatory sensitive hospitalisations (ASH) for children (age range 0–4 years)</w:t>
            </w:r>
          </w:p>
        </w:tc>
      </w:tr>
      <w:tr w:rsidR="00874C6C" w14:paraId="3B864240" w14:textId="77777777" w:rsidTr="00874C6C">
        <w:trPr>
          <w:gridAfter w:val="1"/>
          <w:wAfter w:w="142" w:type="dxa"/>
        </w:trPr>
        <w:tc>
          <w:tcPr>
            <w:tcW w:w="1165" w:type="dxa"/>
            <w:gridSpan w:val="2"/>
            <w:tcBorders>
              <w:top w:val="nil"/>
              <w:left w:val="nil"/>
              <w:bottom w:val="single" w:sz="4" w:space="0" w:color="A6A6A6" w:themeColor="background1" w:themeShade="A6"/>
              <w:right w:val="nil"/>
            </w:tcBorders>
            <w:hideMark/>
          </w:tcPr>
          <w:p w14:paraId="0F3A0A07" w14:textId="77777777" w:rsidR="00874C6C" w:rsidRDefault="00874C6C" w:rsidP="00874C6C">
            <w:pPr>
              <w:pStyle w:val="TableText"/>
              <w:rPr>
                <w:b/>
                <w:bCs/>
              </w:rPr>
            </w:pPr>
            <w:r>
              <w:rPr>
                <w:b/>
                <w:bCs/>
              </w:rPr>
              <w:t>Indicator description</w:t>
            </w:r>
          </w:p>
        </w:tc>
        <w:tc>
          <w:tcPr>
            <w:tcW w:w="6915" w:type="dxa"/>
            <w:gridSpan w:val="6"/>
            <w:tcBorders>
              <w:top w:val="nil"/>
              <w:left w:val="nil"/>
              <w:bottom w:val="single" w:sz="4" w:space="0" w:color="A6A6A6" w:themeColor="background1" w:themeShade="A6"/>
              <w:right w:val="nil"/>
            </w:tcBorders>
            <w:hideMark/>
          </w:tcPr>
          <w:p w14:paraId="409F54D5" w14:textId="0C0D86A3" w:rsidR="00874C6C" w:rsidRPr="00874C6C" w:rsidRDefault="00874C6C" w:rsidP="00874C6C">
            <w:pPr>
              <w:pStyle w:val="TableText"/>
            </w:pPr>
            <w:r w:rsidRPr="00874C6C">
              <w:t>Rate of hospital admissions for children under five years old for an illness that might have been prevented or better managed in the community.</w:t>
            </w:r>
          </w:p>
        </w:tc>
      </w:tr>
      <w:tr w:rsidR="00874C6C" w14:paraId="2F6F46D7" w14:textId="77777777" w:rsidTr="00874C6C">
        <w:trPr>
          <w:gridAfter w:val="1"/>
          <w:wAfter w:w="142" w:type="dxa"/>
        </w:trPr>
        <w:tc>
          <w:tcPr>
            <w:tcW w:w="1165" w:type="dxa"/>
            <w:gridSpan w:val="2"/>
            <w:tcBorders>
              <w:top w:val="single" w:sz="4" w:space="0" w:color="A6A6A6" w:themeColor="background1" w:themeShade="A6"/>
              <w:left w:val="nil"/>
              <w:bottom w:val="single" w:sz="4" w:space="0" w:color="A6A6A6" w:themeColor="background1" w:themeShade="A6"/>
              <w:right w:val="nil"/>
            </w:tcBorders>
            <w:hideMark/>
          </w:tcPr>
          <w:p w14:paraId="28A8670B" w14:textId="77777777" w:rsidR="00874C6C" w:rsidRDefault="00874C6C" w:rsidP="00874C6C">
            <w:pPr>
              <w:pStyle w:val="TableText"/>
              <w:rPr>
                <w:b/>
                <w:bCs/>
              </w:rPr>
            </w:pPr>
            <w:r>
              <w:rPr>
                <w:b/>
                <w:bCs/>
              </w:rPr>
              <w:t>Baseline data</w:t>
            </w:r>
          </w:p>
        </w:tc>
        <w:tc>
          <w:tcPr>
            <w:tcW w:w="6915" w:type="dxa"/>
            <w:gridSpan w:val="6"/>
            <w:tcBorders>
              <w:top w:val="single" w:sz="4" w:space="0" w:color="A6A6A6" w:themeColor="background1" w:themeShade="A6"/>
              <w:left w:val="nil"/>
              <w:bottom w:val="single" w:sz="4" w:space="0" w:color="A6A6A6" w:themeColor="background1" w:themeShade="A6"/>
              <w:right w:val="nil"/>
            </w:tcBorders>
            <w:hideMark/>
          </w:tcPr>
          <w:p w14:paraId="5F85EA02" w14:textId="398FFA6D" w:rsidR="00874C6C" w:rsidRPr="00874C6C" w:rsidRDefault="00874C6C" w:rsidP="00874C6C">
            <w:pPr>
              <w:pStyle w:val="TableText"/>
            </w:pPr>
            <w:r w:rsidRPr="00874C6C">
              <w:t>21,559 ambulatory sensitive hospital admissions for children under five years old (7,066 per 100,000 children under five years old).</w:t>
            </w:r>
            <w:r>
              <w:rPr>
                <w:rStyle w:val="FootnoteReference"/>
              </w:rPr>
              <w:footnoteReference w:id="35"/>
            </w:r>
          </w:p>
        </w:tc>
      </w:tr>
      <w:tr w:rsidR="00085055" w14:paraId="455C8F8D" w14:textId="77777777" w:rsidTr="00874C6C">
        <w:trPr>
          <w:gridAfter w:val="1"/>
          <w:wAfter w:w="142" w:type="dxa"/>
        </w:trPr>
        <w:tc>
          <w:tcPr>
            <w:tcW w:w="8080" w:type="dxa"/>
            <w:gridSpan w:val="8"/>
            <w:tcBorders>
              <w:top w:val="single" w:sz="4" w:space="0" w:color="A6A6A6" w:themeColor="background1" w:themeShade="A6"/>
              <w:left w:val="nil"/>
              <w:bottom w:val="single" w:sz="4" w:space="0" w:color="A6A6A6" w:themeColor="background1" w:themeShade="A6"/>
              <w:right w:val="nil"/>
            </w:tcBorders>
            <w:shd w:val="clear" w:color="auto" w:fill="FFFFFF" w:themeFill="background1"/>
            <w:hideMark/>
          </w:tcPr>
          <w:p w14:paraId="5AFD6019" w14:textId="79DE6745" w:rsidR="00085055" w:rsidRDefault="00874C6C">
            <w:pPr>
              <w:pStyle w:val="TableText"/>
              <w:keepNext/>
              <w:rPr>
                <w:b/>
                <w:bCs/>
              </w:rPr>
            </w:pPr>
            <w:r w:rsidRPr="00874C6C">
              <w:rPr>
                <w:b/>
                <w:bCs/>
              </w:rPr>
              <w:t>Results (ASH rate per 100,000 children 0 to 4-year-olds for 12-months ending 31 March*)</w:t>
            </w:r>
          </w:p>
        </w:tc>
      </w:tr>
      <w:tr w:rsidR="00874C6C" w14:paraId="62129B6E" w14:textId="77777777" w:rsidTr="00874C6C">
        <w:tc>
          <w:tcPr>
            <w:tcW w:w="1088"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56F86112" w14:textId="77777777" w:rsidR="00874C6C" w:rsidRDefault="00874C6C" w:rsidP="009177DD">
            <w:pPr>
              <w:pStyle w:val="TableText"/>
              <w:rPr>
                <w:b/>
                <w:bCs/>
                <w:sz w:val="16"/>
                <w:szCs w:val="18"/>
              </w:rPr>
            </w:pPr>
          </w:p>
        </w:tc>
        <w:tc>
          <w:tcPr>
            <w:tcW w:w="120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11B0D55F" w14:textId="5F801E8B" w:rsidR="00874C6C" w:rsidRDefault="00874C6C" w:rsidP="00874C6C">
            <w:pPr>
              <w:pStyle w:val="TableText"/>
              <w:jc w:val="right"/>
              <w:rPr>
                <w:b/>
                <w:bCs/>
                <w:sz w:val="16"/>
                <w:szCs w:val="18"/>
              </w:rPr>
            </w:pPr>
            <w:r w:rsidRPr="00874C6C">
              <w:rPr>
                <w:b/>
                <w:bCs/>
                <w:sz w:val="16"/>
                <w:szCs w:val="18"/>
              </w:rPr>
              <w:t>Baseline (12 months to March</w:t>
            </w:r>
            <w:r>
              <w:rPr>
                <w:b/>
                <w:bCs/>
                <w:sz w:val="16"/>
                <w:szCs w:val="18"/>
              </w:rPr>
              <w:t xml:space="preserve"> </w:t>
            </w:r>
            <w:r w:rsidRPr="00874C6C">
              <w:rPr>
                <w:b/>
                <w:bCs/>
                <w:sz w:val="16"/>
                <w:szCs w:val="18"/>
              </w:rPr>
              <w:t>2019)</w:t>
            </w:r>
          </w:p>
        </w:tc>
        <w:tc>
          <w:tcPr>
            <w:tcW w:w="11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47F64B38" w14:textId="57C20C9B" w:rsidR="00874C6C" w:rsidRDefault="00874C6C" w:rsidP="009177DD">
            <w:pPr>
              <w:pStyle w:val="TableText"/>
              <w:jc w:val="right"/>
              <w:rPr>
                <w:b/>
                <w:bCs/>
                <w:sz w:val="16"/>
                <w:szCs w:val="18"/>
              </w:rPr>
            </w:pPr>
            <w:r>
              <w:rPr>
                <w:b/>
                <w:bCs/>
                <w:sz w:val="16"/>
                <w:szCs w:val="18"/>
              </w:rPr>
              <w:t>12 months to March 2020</w:t>
            </w:r>
          </w:p>
        </w:tc>
        <w:tc>
          <w:tcPr>
            <w:tcW w:w="11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4EB0758A" w14:textId="46798DF2" w:rsidR="00874C6C" w:rsidRDefault="00874C6C" w:rsidP="009177DD">
            <w:pPr>
              <w:pStyle w:val="TableText"/>
              <w:jc w:val="right"/>
              <w:rPr>
                <w:b/>
                <w:bCs/>
                <w:sz w:val="16"/>
                <w:szCs w:val="18"/>
              </w:rPr>
            </w:pPr>
            <w:r>
              <w:rPr>
                <w:b/>
                <w:bCs/>
                <w:sz w:val="16"/>
                <w:szCs w:val="18"/>
              </w:rPr>
              <w:t>12 months to March 2021</w:t>
            </w:r>
          </w:p>
        </w:tc>
        <w:tc>
          <w:tcPr>
            <w:tcW w:w="11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629A12EF" w14:textId="0A7F0B4F" w:rsidR="00874C6C" w:rsidRDefault="00874C6C" w:rsidP="009177DD">
            <w:pPr>
              <w:pStyle w:val="TableText"/>
              <w:jc w:val="right"/>
              <w:rPr>
                <w:b/>
                <w:bCs/>
                <w:sz w:val="16"/>
                <w:szCs w:val="18"/>
              </w:rPr>
            </w:pPr>
            <w:r>
              <w:rPr>
                <w:b/>
                <w:bCs/>
                <w:sz w:val="16"/>
                <w:szCs w:val="18"/>
              </w:rPr>
              <w:t>12 months to March 2022</w:t>
            </w:r>
          </w:p>
        </w:tc>
        <w:tc>
          <w:tcPr>
            <w:tcW w:w="11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4BD558EE" w14:textId="54A61D09" w:rsidR="00874C6C" w:rsidRDefault="00874C6C" w:rsidP="009177DD">
            <w:pPr>
              <w:pStyle w:val="TableText"/>
              <w:jc w:val="right"/>
              <w:rPr>
                <w:b/>
                <w:bCs/>
                <w:sz w:val="16"/>
                <w:szCs w:val="18"/>
              </w:rPr>
            </w:pPr>
            <w:r>
              <w:rPr>
                <w:b/>
                <w:bCs/>
                <w:sz w:val="16"/>
                <w:szCs w:val="18"/>
              </w:rPr>
              <w:t>12 months to March 2023</w:t>
            </w:r>
          </w:p>
        </w:tc>
        <w:tc>
          <w:tcPr>
            <w:tcW w:w="1186"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52C170D6" w14:textId="15D23E90" w:rsidR="00874C6C" w:rsidRDefault="00874C6C" w:rsidP="009177DD">
            <w:pPr>
              <w:pStyle w:val="TableText"/>
              <w:jc w:val="right"/>
              <w:rPr>
                <w:b/>
                <w:bCs/>
                <w:sz w:val="16"/>
                <w:szCs w:val="18"/>
              </w:rPr>
            </w:pPr>
            <w:r>
              <w:rPr>
                <w:b/>
                <w:bCs/>
                <w:sz w:val="16"/>
                <w:szCs w:val="18"/>
              </w:rPr>
              <w:t>12 months to March 2024*</w:t>
            </w:r>
          </w:p>
        </w:tc>
      </w:tr>
      <w:tr w:rsidR="00874C6C" w14:paraId="0F166CED" w14:textId="77777777" w:rsidTr="00874C6C">
        <w:tc>
          <w:tcPr>
            <w:tcW w:w="1088" w:type="dxa"/>
            <w:tcBorders>
              <w:top w:val="single" w:sz="4" w:space="0" w:color="A6A6A6" w:themeColor="background1" w:themeShade="A6"/>
              <w:left w:val="nil"/>
              <w:bottom w:val="single" w:sz="4" w:space="0" w:color="A6A6A6" w:themeColor="background1" w:themeShade="A6"/>
              <w:right w:val="nil"/>
            </w:tcBorders>
            <w:hideMark/>
          </w:tcPr>
          <w:p w14:paraId="7EE1B50E" w14:textId="77777777" w:rsidR="00874C6C" w:rsidRDefault="00874C6C" w:rsidP="00874C6C">
            <w:pPr>
              <w:pStyle w:val="TableText"/>
              <w:ind w:right="-154"/>
              <w:rPr>
                <w:sz w:val="16"/>
                <w:szCs w:val="18"/>
              </w:rPr>
            </w:pPr>
            <w:r>
              <w:rPr>
                <w:sz w:val="16"/>
                <w:szCs w:val="18"/>
              </w:rPr>
              <w:t>All Ethnicities</w:t>
            </w:r>
          </w:p>
        </w:tc>
        <w:tc>
          <w:tcPr>
            <w:tcW w:w="1204" w:type="dxa"/>
            <w:gridSpan w:val="2"/>
            <w:tcBorders>
              <w:top w:val="single" w:sz="4" w:space="0" w:color="A6A6A6" w:themeColor="background1" w:themeShade="A6"/>
              <w:left w:val="nil"/>
              <w:bottom w:val="single" w:sz="4" w:space="0" w:color="A6A6A6" w:themeColor="background1" w:themeShade="A6"/>
              <w:right w:val="nil"/>
            </w:tcBorders>
            <w:hideMark/>
          </w:tcPr>
          <w:p w14:paraId="33EBE215" w14:textId="191C30F9" w:rsidR="00874C6C" w:rsidRPr="00874C6C" w:rsidRDefault="00874C6C" w:rsidP="00874C6C">
            <w:pPr>
              <w:pStyle w:val="TableText"/>
              <w:jc w:val="right"/>
              <w:rPr>
                <w:sz w:val="16"/>
                <w:szCs w:val="18"/>
              </w:rPr>
            </w:pPr>
            <w:r w:rsidRPr="00874C6C">
              <w:rPr>
                <w:sz w:val="16"/>
                <w:szCs w:val="18"/>
              </w:rPr>
              <w:t>7,066</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7B4D0D2D" w14:textId="7330D5BB" w:rsidR="00874C6C" w:rsidRPr="00874C6C" w:rsidRDefault="00874C6C" w:rsidP="00874C6C">
            <w:pPr>
              <w:pStyle w:val="TableText"/>
              <w:jc w:val="right"/>
              <w:rPr>
                <w:sz w:val="16"/>
                <w:szCs w:val="18"/>
              </w:rPr>
            </w:pPr>
            <w:r w:rsidRPr="00874C6C">
              <w:rPr>
                <w:sz w:val="16"/>
                <w:szCs w:val="18"/>
              </w:rPr>
              <w:t>6,575</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55FF7779" w14:textId="2F943FB8" w:rsidR="00874C6C" w:rsidRPr="00874C6C" w:rsidRDefault="00874C6C" w:rsidP="00874C6C">
            <w:pPr>
              <w:pStyle w:val="TableText"/>
              <w:jc w:val="right"/>
              <w:rPr>
                <w:sz w:val="16"/>
                <w:szCs w:val="18"/>
              </w:rPr>
            </w:pPr>
            <w:r w:rsidRPr="00874C6C">
              <w:rPr>
                <w:sz w:val="16"/>
                <w:szCs w:val="18"/>
              </w:rPr>
              <w:t>4,533</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44974E2C" w14:textId="22CBB331" w:rsidR="00874C6C" w:rsidRPr="00874C6C" w:rsidRDefault="00874C6C" w:rsidP="00874C6C">
            <w:pPr>
              <w:pStyle w:val="TableText"/>
              <w:jc w:val="right"/>
              <w:rPr>
                <w:sz w:val="16"/>
                <w:szCs w:val="18"/>
              </w:rPr>
            </w:pPr>
            <w:r w:rsidRPr="00874C6C">
              <w:rPr>
                <w:sz w:val="16"/>
                <w:szCs w:val="18"/>
              </w:rPr>
              <w:t>5,893</w:t>
            </w:r>
          </w:p>
        </w:tc>
        <w:tc>
          <w:tcPr>
            <w:tcW w:w="1186" w:type="dxa"/>
            <w:tcBorders>
              <w:top w:val="single" w:sz="4" w:space="0" w:color="A6A6A6" w:themeColor="background1" w:themeShade="A6"/>
              <w:left w:val="nil"/>
              <w:bottom w:val="single" w:sz="4" w:space="0" w:color="A6A6A6" w:themeColor="background1" w:themeShade="A6"/>
              <w:right w:val="nil"/>
            </w:tcBorders>
          </w:tcPr>
          <w:p w14:paraId="7B9ED96E" w14:textId="036B6CA4" w:rsidR="00874C6C" w:rsidRPr="00874C6C" w:rsidRDefault="00874C6C" w:rsidP="00874C6C">
            <w:pPr>
              <w:pStyle w:val="TableText"/>
              <w:jc w:val="right"/>
              <w:rPr>
                <w:sz w:val="16"/>
                <w:szCs w:val="18"/>
              </w:rPr>
            </w:pPr>
            <w:r w:rsidRPr="00874C6C">
              <w:rPr>
                <w:sz w:val="16"/>
                <w:szCs w:val="18"/>
              </w:rPr>
              <w:t>7,665</w:t>
            </w:r>
          </w:p>
        </w:tc>
        <w:tc>
          <w:tcPr>
            <w:tcW w:w="1186" w:type="dxa"/>
            <w:gridSpan w:val="2"/>
            <w:tcBorders>
              <w:top w:val="single" w:sz="4" w:space="0" w:color="A6A6A6" w:themeColor="background1" w:themeShade="A6"/>
              <w:left w:val="nil"/>
              <w:bottom w:val="single" w:sz="4" w:space="0" w:color="A6A6A6" w:themeColor="background1" w:themeShade="A6"/>
              <w:right w:val="nil"/>
            </w:tcBorders>
            <w:hideMark/>
          </w:tcPr>
          <w:p w14:paraId="18083CEF" w14:textId="64BD399A" w:rsidR="00874C6C" w:rsidRPr="00874C6C" w:rsidRDefault="00874C6C" w:rsidP="00874C6C">
            <w:pPr>
              <w:pStyle w:val="TableText"/>
              <w:jc w:val="right"/>
              <w:rPr>
                <w:sz w:val="16"/>
                <w:szCs w:val="18"/>
              </w:rPr>
            </w:pPr>
            <w:r w:rsidRPr="00874C6C">
              <w:rPr>
                <w:sz w:val="16"/>
                <w:szCs w:val="18"/>
              </w:rPr>
              <w:t>7,356</w:t>
            </w:r>
          </w:p>
        </w:tc>
      </w:tr>
      <w:tr w:rsidR="00874C6C" w14:paraId="5738239F" w14:textId="77777777" w:rsidTr="00874C6C">
        <w:tc>
          <w:tcPr>
            <w:tcW w:w="1088" w:type="dxa"/>
            <w:tcBorders>
              <w:top w:val="single" w:sz="4" w:space="0" w:color="A6A6A6" w:themeColor="background1" w:themeShade="A6"/>
              <w:left w:val="nil"/>
              <w:bottom w:val="single" w:sz="4" w:space="0" w:color="A6A6A6" w:themeColor="background1" w:themeShade="A6"/>
              <w:right w:val="nil"/>
            </w:tcBorders>
            <w:hideMark/>
          </w:tcPr>
          <w:p w14:paraId="6A5D7A3D" w14:textId="77777777" w:rsidR="00874C6C" w:rsidRDefault="00874C6C" w:rsidP="00874C6C">
            <w:pPr>
              <w:pStyle w:val="TableText"/>
              <w:ind w:right="-154"/>
              <w:rPr>
                <w:sz w:val="16"/>
                <w:szCs w:val="18"/>
              </w:rPr>
            </w:pPr>
            <w:r>
              <w:rPr>
                <w:sz w:val="16"/>
                <w:szCs w:val="18"/>
              </w:rPr>
              <w:t>Māori</w:t>
            </w:r>
          </w:p>
        </w:tc>
        <w:tc>
          <w:tcPr>
            <w:tcW w:w="1204" w:type="dxa"/>
            <w:gridSpan w:val="2"/>
            <w:tcBorders>
              <w:top w:val="single" w:sz="4" w:space="0" w:color="A6A6A6" w:themeColor="background1" w:themeShade="A6"/>
              <w:left w:val="nil"/>
              <w:bottom w:val="single" w:sz="4" w:space="0" w:color="A6A6A6" w:themeColor="background1" w:themeShade="A6"/>
              <w:right w:val="nil"/>
            </w:tcBorders>
            <w:hideMark/>
          </w:tcPr>
          <w:p w14:paraId="1F277491" w14:textId="4344DC9F" w:rsidR="00874C6C" w:rsidRPr="00874C6C" w:rsidRDefault="00874C6C" w:rsidP="00874C6C">
            <w:pPr>
              <w:pStyle w:val="TableText"/>
              <w:jc w:val="right"/>
              <w:rPr>
                <w:sz w:val="16"/>
                <w:szCs w:val="18"/>
              </w:rPr>
            </w:pPr>
            <w:r w:rsidRPr="00874C6C">
              <w:rPr>
                <w:sz w:val="16"/>
                <w:szCs w:val="18"/>
              </w:rPr>
              <w:t>8,494</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47AFA290" w14:textId="75FD437F" w:rsidR="00874C6C" w:rsidRPr="00874C6C" w:rsidRDefault="00874C6C" w:rsidP="00874C6C">
            <w:pPr>
              <w:pStyle w:val="TableText"/>
              <w:jc w:val="right"/>
              <w:rPr>
                <w:sz w:val="16"/>
                <w:szCs w:val="18"/>
              </w:rPr>
            </w:pPr>
            <w:r w:rsidRPr="00874C6C">
              <w:rPr>
                <w:sz w:val="16"/>
                <w:szCs w:val="18"/>
              </w:rPr>
              <w:t>7,966</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37FC3785" w14:textId="47E673D4" w:rsidR="00874C6C" w:rsidRPr="00874C6C" w:rsidRDefault="00874C6C" w:rsidP="00874C6C">
            <w:pPr>
              <w:pStyle w:val="TableText"/>
              <w:jc w:val="right"/>
              <w:rPr>
                <w:sz w:val="16"/>
                <w:szCs w:val="18"/>
              </w:rPr>
            </w:pPr>
            <w:r w:rsidRPr="00874C6C">
              <w:rPr>
                <w:sz w:val="16"/>
                <w:szCs w:val="18"/>
              </w:rPr>
              <w:t>5,267</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61EAAE8C" w14:textId="31734D4A" w:rsidR="00874C6C" w:rsidRPr="00874C6C" w:rsidRDefault="00874C6C" w:rsidP="00874C6C">
            <w:pPr>
              <w:pStyle w:val="TableText"/>
              <w:jc w:val="right"/>
              <w:rPr>
                <w:sz w:val="16"/>
                <w:szCs w:val="18"/>
              </w:rPr>
            </w:pPr>
            <w:r w:rsidRPr="00874C6C">
              <w:rPr>
                <w:sz w:val="16"/>
                <w:szCs w:val="18"/>
              </w:rPr>
              <w:t>6,748</w:t>
            </w:r>
          </w:p>
        </w:tc>
        <w:tc>
          <w:tcPr>
            <w:tcW w:w="1186" w:type="dxa"/>
            <w:tcBorders>
              <w:top w:val="single" w:sz="4" w:space="0" w:color="A6A6A6" w:themeColor="background1" w:themeShade="A6"/>
              <w:left w:val="nil"/>
              <w:bottom w:val="single" w:sz="4" w:space="0" w:color="A6A6A6" w:themeColor="background1" w:themeShade="A6"/>
              <w:right w:val="nil"/>
            </w:tcBorders>
          </w:tcPr>
          <w:p w14:paraId="03372AC6" w14:textId="1206A3F6" w:rsidR="00874C6C" w:rsidRPr="00874C6C" w:rsidRDefault="00874C6C" w:rsidP="00874C6C">
            <w:pPr>
              <w:pStyle w:val="TableText"/>
              <w:jc w:val="right"/>
              <w:rPr>
                <w:sz w:val="16"/>
                <w:szCs w:val="18"/>
              </w:rPr>
            </w:pPr>
            <w:r w:rsidRPr="00874C6C">
              <w:rPr>
                <w:sz w:val="16"/>
                <w:szCs w:val="18"/>
              </w:rPr>
              <w:t>8,155</w:t>
            </w:r>
          </w:p>
        </w:tc>
        <w:tc>
          <w:tcPr>
            <w:tcW w:w="1186" w:type="dxa"/>
            <w:gridSpan w:val="2"/>
            <w:tcBorders>
              <w:top w:val="single" w:sz="4" w:space="0" w:color="A6A6A6" w:themeColor="background1" w:themeShade="A6"/>
              <w:left w:val="nil"/>
              <w:bottom w:val="single" w:sz="4" w:space="0" w:color="A6A6A6" w:themeColor="background1" w:themeShade="A6"/>
              <w:right w:val="nil"/>
            </w:tcBorders>
            <w:hideMark/>
          </w:tcPr>
          <w:p w14:paraId="76708F58" w14:textId="1FE740DD" w:rsidR="00874C6C" w:rsidRPr="00874C6C" w:rsidRDefault="00874C6C" w:rsidP="00874C6C">
            <w:pPr>
              <w:pStyle w:val="TableText"/>
              <w:jc w:val="right"/>
              <w:rPr>
                <w:sz w:val="16"/>
                <w:szCs w:val="18"/>
              </w:rPr>
            </w:pPr>
            <w:r w:rsidRPr="00874C6C">
              <w:rPr>
                <w:sz w:val="16"/>
                <w:szCs w:val="18"/>
              </w:rPr>
              <w:t>8,046</w:t>
            </w:r>
          </w:p>
        </w:tc>
      </w:tr>
      <w:tr w:rsidR="00874C6C" w14:paraId="50EC9CA5" w14:textId="77777777" w:rsidTr="00874C6C">
        <w:tc>
          <w:tcPr>
            <w:tcW w:w="1088" w:type="dxa"/>
            <w:tcBorders>
              <w:top w:val="single" w:sz="4" w:space="0" w:color="A6A6A6" w:themeColor="background1" w:themeShade="A6"/>
              <w:left w:val="nil"/>
              <w:bottom w:val="single" w:sz="4" w:space="0" w:color="A6A6A6" w:themeColor="background1" w:themeShade="A6"/>
              <w:right w:val="nil"/>
            </w:tcBorders>
            <w:hideMark/>
          </w:tcPr>
          <w:p w14:paraId="1FBB76E3" w14:textId="77777777" w:rsidR="00874C6C" w:rsidRDefault="00874C6C" w:rsidP="00874C6C">
            <w:pPr>
              <w:pStyle w:val="TableText"/>
              <w:ind w:right="-154"/>
              <w:rPr>
                <w:sz w:val="16"/>
                <w:szCs w:val="18"/>
              </w:rPr>
            </w:pPr>
            <w:r w:rsidRPr="008D5FB2">
              <w:rPr>
                <w:sz w:val="16"/>
                <w:szCs w:val="18"/>
              </w:rPr>
              <w:t>Pacific peoples</w:t>
            </w:r>
          </w:p>
        </w:tc>
        <w:tc>
          <w:tcPr>
            <w:tcW w:w="1204" w:type="dxa"/>
            <w:gridSpan w:val="2"/>
            <w:tcBorders>
              <w:top w:val="single" w:sz="4" w:space="0" w:color="A6A6A6" w:themeColor="background1" w:themeShade="A6"/>
              <w:left w:val="nil"/>
              <w:bottom w:val="single" w:sz="4" w:space="0" w:color="A6A6A6" w:themeColor="background1" w:themeShade="A6"/>
              <w:right w:val="nil"/>
            </w:tcBorders>
            <w:hideMark/>
          </w:tcPr>
          <w:p w14:paraId="75CC9A0F" w14:textId="32FAEDA1" w:rsidR="00874C6C" w:rsidRPr="00874C6C" w:rsidRDefault="00874C6C" w:rsidP="00874C6C">
            <w:pPr>
              <w:pStyle w:val="TableText"/>
              <w:jc w:val="right"/>
              <w:rPr>
                <w:sz w:val="16"/>
                <w:szCs w:val="18"/>
              </w:rPr>
            </w:pPr>
            <w:r w:rsidRPr="00874C6C">
              <w:rPr>
                <w:sz w:val="16"/>
                <w:szCs w:val="18"/>
              </w:rPr>
              <w:t>12,698</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453F291C" w14:textId="4F9F9C8F" w:rsidR="00874C6C" w:rsidRPr="00874C6C" w:rsidRDefault="00874C6C" w:rsidP="00874C6C">
            <w:pPr>
              <w:pStyle w:val="TableText"/>
              <w:jc w:val="right"/>
              <w:rPr>
                <w:sz w:val="16"/>
                <w:szCs w:val="18"/>
              </w:rPr>
            </w:pPr>
            <w:r w:rsidRPr="00874C6C">
              <w:rPr>
                <w:sz w:val="16"/>
                <w:szCs w:val="18"/>
              </w:rPr>
              <w:t>12,024</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2318F429" w14:textId="7B35F0AE" w:rsidR="00874C6C" w:rsidRPr="00874C6C" w:rsidRDefault="00874C6C" w:rsidP="00874C6C">
            <w:pPr>
              <w:pStyle w:val="TableText"/>
              <w:jc w:val="right"/>
              <w:rPr>
                <w:sz w:val="16"/>
                <w:szCs w:val="18"/>
              </w:rPr>
            </w:pPr>
            <w:r w:rsidRPr="00874C6C">
              <w:rPr>
                <w:sz w:val="16"/>
                <w:szCs w:val="18"/>
              </w:rPr>
              <w:t>7,397</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0F5B8C55" w14:textId="62E75D66" w:rsidR="00874C6C" w:rsidRPr="00874C6C" w:rsidRDefault="00874C6C" w:rsidP="00874C6C">
            <w:pPr>
              <w:pStyle w:val="TableText"/>
              <w:jc w:val="right"/>
              <w:rPr>
                <w:sz w:val="16"/>
                <w:szCs w:val="18"/>
              </w:rPr>
            </w:pPr>
            <w:r w:rsidRPr="00874C6C">
              <w:rPr>
                <w:sz w:val="16"/>
                <w:szCs w:val="18"/>
              </w:rPr>
              <w:t>10,604</w:t>
            </w:r>
          </w:p>
        </w:tc>
        <w:tc>
          <w:tcPr>
            <w:tcW w:w="1186" w:type="dxa"/>
            <w:tcBorders>
              <w:top w:val="single" w:sz="4" w:space="0" w:color="A6A6A6" w:themeColor="background1" w:themeShade="A6"/>
              <w:left w:val="nil"/>
              <w:bottom w:val="single" w:sz="4" w:space="0" w:color="A6A6A6" w:themeColor="background1" w:themeShade="A6"/>
              <w:right w:val="nil"/>
            </w:tcBorders>
          </w:tcPr>
          <w:p w14:paraId="46235EA3" w14:textId="010A676E" w:rsidR="00874C6C" w:rsidRPr="00874C6C" w:rsidRDefault="00874C6C" w:rsidP="00874C6C">
            <w:pPr>
              <w:pStyle w:val="TableText"/>
              <w:jc w:val="right"/>
              <w:rPr>
                <w:sz w:val="16"/>
                <w:szCs w:val="18"/>
              </w:rPr>
            </w:pPr>
            <w:r w:rsidRPr="00874C6C">
              <w:rPr>
                <w:sz w:val="16"/>
                <w:szCs w:val="18"/>
              </w:rPr>
              <w:t>14,312</w:t>
            </w:r>
          </w:p>
        </w:tc>
        <w:tc>
          <w:tcPr>
            <w:tcW w:w="1186" w:type="dxa"/>
            <w:gridSpan w:val="2"/>
            <w:tcBorders>
              <w:top w:val="single" w:sz="4" w:space="0" w:color="A6A6A6" w:themeColor="background1" w:themeShade="A6"/>
              <w:left w:val="nil"/>
              <w:bottom w:val="single" w:sz="4" w:space="0" w:color="A6A6A6" w:themeColor="background1" w:themeShade="A6"/>
              <w:right w:val="nil"/>
            </w:tcBorders>
            <w:hideMark/>
          </w:tcPr>
          <w:p w14:paraId="55F2712D" w14:textId="536340EF" w:rsidR="00874C6C" w:rsidRPr="00874C6C" w:rsidRDefault="00874C6C" w:rsidP="00874C6C">
            <w:pPr>
              <w:pStyle w:val="TableText"/>
              <w:jc w:val="right"/>
              <w:rPr>
                <w:sz w:val="16"/>
                <w:szCs w:val="18"/>
              </w:rPr>
            </w:pPr>
            <w:r w:rsidRPr="00874C6C">
              <w:rPr>
                <w:sz w:val="16"/>
                <w:szCs w:val="18"/>
              </w:rPr>
              <w:t>14,151</w:t>
            </w:r>
          </w:p>
        </w:tc>
      </w:tr>
      <w:tr w:rsidR="00874C6C" w14:paraId="6290D2A8" w14:textId="77777777" w:rsidTr="00874C6C">
        <w:tc>
          <w:tcPr>
            <w:tcW w:w="1088" w:type="dxa"/>
            <w:tcBorders>
              <w:top w:val="single" w:sz="4" w:space="0" w:color="A6A6A6" w:themeColor="background1" w:themeShade="A6"/>
              <w:left w:val="nil"/>
              <w:bottom w:val="single" w:sz="4" w:space="0" w:color="A6A6A6" w:themeColor="background1" w:themeShade="A6"/>
              <w:right w:val="nil"/>
            </w:tcBorders>
          </w:tcPr>
          <w:p w14:paraId="204242DB" w14:textId="77777777" w:rsidR="00874C6C" w:rsidRDefault="00874C6C" w:rsidP="00874C6C">
            <w:pPr>
              <w:pStyle w:val="TableText"/>
              <w:ind w:right="-154"/>
              <w:rPr>
                <w:sz w:val="16"/>
                <w:szCs w:val="18"/>
              </w:rPr>
            </w:pPr>
            <w:r w:rsidRPr="008D5FB2">
              <w:rPr>
                <w:sz w:val="16"/>
                <w:szCs w:val="18"/>
              </w:rPr>
              <w:t>Asian</w:t>
            </w:r>
          </w:p>
        </w:tc>
        <w:tc>
          <w:tcPr>
            <w:tcW w:w="1204" w:type="dxa"/>
            <w:gridSpan w:val="2"/>
            <w:tcBorders>
              <w:top w:val="single" w:sz="4" w:space="0" w:color="A6A6A6" w:themeColor="background1" w:themeShade="A6"/>
              <w:left w:val="nil"/>
              <w:bottom w:val="single" w:sz="4" w:space="0" w:color="A6A6A6" w:themeColor="background1" w:themeShade="A6"/>
              <w:right w:val="nil"/>
            </w:tcBorders>
          </w:tcPr>
          <w:p w14:paraId="290B8807" w14:textId="0E5C7DCE" w:rsidR="00874C6C" w:rsidRPr="00874C6C" w:rsidRDefault="00874C6C" w:rsidP="00874C6C">
            <w:pPr>
              <w:pStyle w:val="TableText"/>
              <w:jc w:val="right"/>
              <w:rPr>
                <w:sz w:val="16"/>
                <w:szCs w:val="18"/>
              </w:rPr>
            </w:pPr>
            <w:r w:rsidRPr="00874C6C">
              <w:rPr>
                <w:sz w:val="16"/>
                <w:szCs w:val="18"/>
              </w:rPr>
              <w:t>6,048</w:t>
            </w:r>
          </w:p>
        </w:tc>
        <w:tc>
          <w:tcPr>
            <w:tcW w:w="1186" w:type="dxa"/>
            <w:tcBorders>
              <w:top w:val="single" w:sz="4" w:space="0" w:color="A6A6A6" w:themeColor="background1" w:themeShade="A6"/>
              <w:left w:val="nil"/>
              <w:bottom w:val="single" w:sz="4" w:space="0" w:color="A6A6A6" w:themeColor="background1" w:themeShade="A6"/>
              <w:right w:val="nil"/>
            </w:tcBorders>
          </w:tcPr>
          <w:p w14:paraId="3A6E3E6C" w14:textId="4DD6E4D6" w:rsidR="00874C6C" w:rsidRPr="00874C6C" w:rsidRDefault="00874C6C" w:rsidP="00874C6C">
            <w:pPr>
              <w:pStyle w:val="TableText"/>
              <w:jc w:val="right"/>
              <w:rPr>
                <w:sz w:val="16"/>
                <w:szCs w:val="18"/>
              </w:rPr>
            </w:pPr>
            <w:r w:rsidRPr="00874C6C">
              <w:rPr>
                <w:sz w:val="16"/>
                <w:szCs w:val="18"/>
              </w:rPr>
              <w:t>5,601</w:t>
            </w:r>
          </w:p>
        </w:tc>
        <w:tc>
          <w:tcPr>
            <w:tcW w:w="1186" w:type="dxa"/>
            <w:tcBorders>
              <w:top w:val="single" w:sz="4" w:space="0" w:color="A6A6A6" w:themeColor="background1" w:themeShade="A6"/>
              <w:left w:val="nil"/>
              <w:bottom w:val="single" w:sz="4" w:space="0" w:color="A6A6A6" w:themeColor="background1" w:themeShade="A6"/>
              <w:right w:val="nil"/>
            </w:tcBorders>
          </w:tcPr>
          <w:p w14:paraId="325D92D2" w14:textId="62822415" w:rsidR="00874C6C" w:rsidRPr="00874C6C" w:rsidRDefault="00874C6C" w:rsidP="00874C6C">
            <w:pPr>
              <w:pStyle w:val="TableText"/>
              <w:jc w:val="right"/>
              <w:rPr>
                <w:sz w:val="16"/>
                <w:szCs w:val="18"/>
              </w:rPr>
            </w:pPr>
            <w:r w:rsidRPr="00874C6C">
              <w:rPr>
                <w:sz w:val="16"/>
                <w:szCs w:val="18"/>
              </w:rPr>
              <w:t>4,018</w:t>
            </w:r>
          </w:p>
        </w:tc>
        <w:tc>
          <w:tcPr>
            <w:tcW w:w="1186" w:type="dxa"/>
            <w:tcBorders>
              <w:top w:val="single" w:sz="4" w:space="0" w:color="A6A6A6" w:themeColor="background1" w:themeShade="A6"/>
              <w:left w:val="nil"/>
              <w:bottom w:val="single" w:sz="4" w:space="0" w:color="A6A6A6" w:themeColor="background1" w:themeShade="A6"/>
              <w:right w:val="nil"/>
            </w:tcBorders>
          </w:tcPr>
          <w:p w14:paraId="4AD6571C" w14:textId="005F0CD8" w:rsidR="00874C6C" w:rsidRPr="00874C6C" w:rsidRDefault="00874C6C" w:rsidP="00874C6C">
            <w:pPr>
              <w:pStyle w:val="TableText"/>
              <w:jc w:val="right"/>
              <w:rPr>
                <w:sz w:val="16"/>
                <w:szCs w:val="18"/>
              </w:rPr>
            </w:pPr>
            <w:r w:rsidRPr="00874C6C">
              <w:rPr>
                <w:sz w:val="16"/>
                <w:szCs w:val="18"/>
              </w:rPr>
              <w:t>4,999</w:t>
            </w:r>
          </w:p>
        </w:tc>
        <w:tc>
          <w:tcPr>
            <w:tcW w:w="1186" w:type="dxa"/>
            <w:tcBorders>
              <w:top w:val="single" w:sz="4" w:space="0" w:color="A6A6A6" w:themeColor="background1" w:themeShade="A6"/>
              <w:left w:val="nil"/>
              <w:bottom w:val="single" w:sz="4" w:space="0" w:color="A6A6A6" w:themeColor="background1" w:themeShade="A6"/>
              <w:right w:val="nil"/>
            </w:tcBorders>
          </w:tcPr>
          <w:p w14:paraId="1BD89854" w14:textId="23041F8F" w:rsidR="00874C6C" w:rsidRPr="00874C6C" w:rsidRDefault="00874C6C" w:rsidP="00874C6C">
            <w:pPr>
              <w:pStyle w:val="TableText"/>
              <w:jc w:val="right"/>
              <w:rPr>
                <w:sz w:val="16"/>
                <w:szCs w:val="18"/>
              </w:rPr>
            </w:pPr>
            <w:r w:rsidRPr="00874C6C">
              <w:rPr>
                <w:sz w:val="16"/>
                <w:szCs w:val="18"/>
              </w:rPr>
              <w:t>6,902</w:t>
            </w:r>
          </w:p>
        </w:tc>
        <w:tc>
          <w:tcPr>
            <w:tcW w:w="1186" w:type="dxa"/>
            <w:gridSpan w:val="2"/>
            <w:tcBorders>
              <w:top w:val="single" w:sz="4" w:space="0" w:color="A6A6A6" w:themeColor="background1" w:themeShade="A6"/>
              <w:left w:val="nil"/>
              <w:bottom w:val="single" w:sz="4" w:space="0" w:color="A6A6A6" w:themeColor="background1" w:themeShade="A6"/>
              <w:right w:val="nil"/>
            </w:tcBorders>
          </w:tcPr>
          <w:p w14:paraId="5F58891C" w14:textId="380321FA" w:rsidR="00874C6C" w:rsidRPr="00874C6C" w:rsidRDefault="00874C6C" w:rsidP="00874C6C">
            <w:pPr>
              <w:pStyle w:val="TableText"/>
              <w:jc w:val="right"/>
              <w:rPr>
                <w:sz w:val="16"/>
                <w:szCs w:val="18"/>
              </w:rPr>
            </w:pPr>
            <w:r w:rsidRPr="00874C6C">
              <w:rPr>
                <w:sz w:val="16"/>
                <w:szCs w:val="18"/>
              </w:rPr>
              <w:t>6,755</w:t>
            </w:r>
          </w:p>
        </w:tc>
      </w:tr>
      <w:tr w:rsidR="00874C6C" w14:paraId="3A7F95DC" w14:textId="77777777" w:rsidTr="00874C6C">
        <w:tc>
          <w:tcPr>
            <w:tcW w:w="1088" w:type="dxa"/>
            <w:tcBorders>
              <w:top w:val="single" w:sz="4" w:space="0" w:color="A6A6A6" w:themeColor="background1" w:themeShade="A6"/>
              <w:left w:val="nil"/>
              <w:bottom w:val="single" w:sz="4" w:space="0" w:color="A6A6A6" w:themeColor="background1" w:themeShade="A6"/>
              <w:right w:val="nil"/>
            </w:tcBorders>
          </w:tcPr>
          <w:p w14:paraId="68EE6EEA" w14:textId="2C20FD93" w:rsidR="00874C6C" w:rsidRDefault="00874C6C" w:rsidP="00874C6C">
            <w:pPr>
              <w:pStyle w:val="TableText"/>
              <w:ind w:right="-154"/>
              <w:rPr>
                <w:sz w:val="16"/>
                <w:szCs w:val="18"/>
              </w:rPr>
            </w:pPr>
            <w:r w:rsidRPr="00874C6C">
              <w:rPr>
                <w:sz w:val="16"/>
                <w:szCs w:val="18"/>
              </w:rPr>
              <w:t>Non-Māori non-Pacific non-Asian (or other)</w:t>
            </w:r>
          </w:p>
        </w:tc>
        <w:tc>
          <w:tcPr>
            <w:tcW w:w="1204" w:type="dxa"/>
            <w:gridSpan w:val="2"/>
            <w:tcBorders>
              <w:top w:val="single" w:sz="4" w:space="0" w:color="A6A6A6" w:themeColor="background1" w:themeShade="A6"/>
              <w:left w:val="nil"/>
              <w:bottom w:val="single" w:sz="4" w:space="0" w:color="A6A6A6" w:themeColor="background1" w:themeShade="A6"/>
              <w:right w:val="nil"/>
            </w:tcBorders>
          </w:tcPr>
          <w:p w14:paraId="1E21F8D4" w14:textId="443AD554" w:rsidR="00874C6C" w:rsidRPr="00874C6C" w:rsidRDefault="00874C6C" w:rsidP="00874C6C">
            <w:pPr>
              <w:pStyle w:val="TableText"/>
              <w:jc w:val="right"/>
              <w:rPr>
                <w:sz w:val="16"/>
                <w:szCs w:val="18"/>
              </w:rPr>
            </w:pPr>
            <w:r w:rsidRPr="00874C6C">
              <w:rPr>
                <w:sz w:val="16"/>
                <w:szCs w:val="18"/>
              </w:rPr>
              <w:t>5,378</w:t>
            </w:r>
          </w:p>
        </w:tc>
        <w:tc>
          <w:tcPr>
            <w:tcW w:w="1186" w:type="dxa"/>
            <w:tcBorders>
              <w:top w:val="single" w:sz="4" w:space="0" w:color="A6A6A6" w:themeColor="background1" w:themeShade="A6"/>
              <w:left w:val="nil"/>
              <w:bottom w:val="single" w:sz="4" w:space="0" w:color="A6A6A6" w:themeColor="background1" w:themeShade="A6"/>
              <w:right w:val="nil"/>
            </w:tcBorders>
          </w:tcPr>
          <w:p w14:paraId="18538D1F" w14:textId="059FE617" w:rsidR="00874C6C" w:rsidRPr="00874C6C" w:rsidRDefault="00874C6C" w:rsidP="00874C6C">
            <w:pPr>
              <w:pStyle w:val="TableText"/>
              <w:jc w:val="right"/>
              <w:rPr>
                <w:sz w:val="16"/>
                <w:szCs w:val="18"/>
              </w:rPr>
            </w:pPr>
            <w:r w:rsidRPr="00874C6C">
              <w:rPr>
                <w:sz w:val="16"/>
                <w:szCs w:val="18"/>
              </w:rPr>
              <w:t>4,970</w:t>
            </w:r>
          </w:p>
        </w:tc>
        <w:tc>
          <w:tcPr>
            <w:tcW w:w="1186" w:type="dxa"/>
            <w:tcBorders>
              <w:top w:val="single" w:sz="4" w:space="0" w:color="A6A6A6" w:themeColor="background1" w:themeShade="A6"/>
              <w:left w:val="nil"/>
              <w:bottom w:val="single" w:sz="4" w:space="0" w:color="A6A6A6" w:themeColor="background1" w:themeShade="A6"/>
              <w:right w:val="nil"/>
            </w:tcBorders>
          </w:tcPr>
          <w:p w14:paraId="5859A944" w14:textId="1D1C9FA2" w:rsidR="00874C6C" w:rsidRPr="00874C6C" w:rsidRDefault="00874C6C" w:rsidP="00874C6C">
            <w:pPr>
              <w:pStyle w:val="TableText"/>
              <w:jc w:val="right"/>
              <w:rPr>
                <w:sz w:val="16"/>
                <w:szCs w:val="18"/>
              </w:rPr>
            </w:pPr>
            <w:r w:rsidRPr="00874C6C">
              <w:rPr>
                <w:sz w:val="16"/>
                <w:szCs w:val="18"/>
              </w:rPr>
              <w:t>3,680</w:t>
            </w:r>
          </w:p>
        </w:tc>
        <w:tc>
          <w:tcPr>
            <w:tcW w:w="1186" w:type="dxa"/>
            <w:tcBorders>
              <w:top w:val="single" w:sz="4" w:space="0" w:color="A6A6A6" w:themeColor="background1" w:themeShade="A6"/>
              <w:left w:val="nil"/>
              <w:bottom w:val="single" w:sz="4" w:space="0" w:color="A6A6A6" w:themeColor="background1" w:themeShade="A6"/>
              <w:right w:val="nil"/>
            </w:tcBorders>
          </w:tcPr>
          <w:p w14:paraId="02BF68BA" w14:textId="15423236" w:rsidR="00874C6C" w:rsidRPr="00874C6C" w:rsidRDefault="00874C6C" w:rsidP="00874C6C">
            <w:pPr>
              <w:pStyle w:val="TableText"/>
              <w:jc w:val="right"/>
              <w:rPr>
                <w:sz w:val="16"/>
                <w:szCs w:val="18"/>
              </w:rPr>
            </w:pPr>
            <w:r w:rsidRPr="00874C6C">
              <w:rPr>
                <w:sz w:val="16"/>
                <w:szCs w:val="18"/>
              </w:rPr>
              <w:t>4,723</w:t>
            </w:r>
          </w:p>
        </w:tc>
        <w:tc>
          <w:tcPr>
            <w:tcW w:w="1186" w:type="dxa"/>
            <w:tcBorders>
              <w:top w:val="single" w:sz="4" w:space="0" w:color="A6A6A6" w:themeColor="background1" w:themeShade="A6"/>
              <w:left w:val="nil"/>
              <w:bottom w:val="single" w:sz="4" w:space="0" w:color="A6A6A6" w:themeColor="background1" w:themeShade="A6"/>
              <w:right w:val="nil"/>
            </w:tcBorders>
          </w:tcPr>
          <w:p w14:paraId="042164F1" w14:textId="354A0003" w:rsidR="00874C6C" w:rsidRPr="00874C6C" w:rsidRDefault="00874C6C" w:rsidP="00874C6C">
            <w:pPr>
              <w:pStyle w:val="TableText"/>
              <w:jc w:val="right"/>
              <w:rPr>
                <w:sz w:val="16"/>
                <w:szCs w:val="18"/>
              </w:rPr>
            </w:pPr>
            <w:r w:rsidRPr="00874C6C">
              <w:rPr>
                <w:sz w:val="16"/>
                <w:szCs w:val="18"/>
              </w:rPr>
              <w:t>6,219</w:t>
            </w:r>
          </w:p>
        </w:tc>
        <w:tc>
          <w:tcPr>
            <w:tcW w:w="1186" w:type="dxa"/>
            <w:gridSpan w:val="2"/>
            <w:tcBorders>
              <w:top w:val="single" w:sz="4" w:space="0" w:color="A6A6A6" w:themeColor="background1" w:themeShade="A6"/>
              <w:left w:val="nil"/>
              <w:bottom w:val="single" w:sz="4" w:space="0" w:color="A6A6A6" w:themeColor="background1" w:themeShade="A6"/>
              <w:right w:val="nil"/>
            </w:tcBorders>
          </w:tcPr>
          <w:p w14:paraId="102A1BF7" w14:textId="5C83E50C" w:rsidR="00874C6C" w:rsidRPr="00874C6C" w:rsidRDefault="00874C6C" w:rsidP="00874C6C">
            <w:pPr>
              <w:pStyle w:val="TableText"/>
              <w:jc w:val="right"/>
              <w:rPr>
                <w:sz w:val="16"/>
                <w:szCs w:val="18"/>
              </w:rPr>
            </w:pPr>
            <w:r w:rsidRPr="00874C6C">
              <w:rPr>
                <w:sz w:val="16"/>
                <w:szCs w:val="18"/>
              </w:rPr>
              <w:t>5,656</w:t>
            </w:r>
          </w:p>
        </w:tc>
      </w:tr>
    </w:tbl>
    <w:p w14:paraId="04A0AC5F" w14:textId="77686C81" w:rsidR="00085055" w:rsidRDefault="00085055" w:rsidP="007C0172">
      <w:pPr>
        <w:pStyle w:val="Note"/>
        <w:ind w:left="142" w:hanging="142"/>
      </w:pPr>
      <w:r w:rsidRPr="00085055">
        <w:t xml:space="preserve">* </w:t>
      </w:r>
      <w:r w:rsidR="007C0172">
        <w:tab/>
      </w:r>
      <w:r w:rsidR="00874C6C" w:rsidRPr="00874C6C">
        <w:t>At the time of publication, the most up-to-date data available is for the 12 months to March 2024. We have used 12 months of data to take account of seasonal fluctuations in the rate.</w:t>
      </w:r>
    </w:p>
    <w:p w14:paraId="6F4CB119" w14:textId="6C32F37B" w:rsidR="00085055" w:rsidRDefault="00085055" w:rsidP="00085055"/>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222"/>
      </w:tblGrid>
      <w:tr w:rsidR="00085055" w14:paraId="5E11F2ED" w14:textId="77777777" w:rsidTr="00085055">
        <w:tc>
          <w:tcPr>
            <w:tcW w:w="8222" w:type="dxa"/>
            <w:shd w:val="clear" w:color="auto" w:fill="F2F2F2" w:themeFill="background1" w:themeFillShade="F2"/>
          </w:tcPr>
          <w:p w14:paraId="606B7A61" w14:textId="563FD21B" w:rsidR="00085055" w:rsidRDefault="00085055" w:rsidP="00085055">
            <w:pPr>
              <w:spacing w:before="120" w:after="120"/>
              <w:rPr>
                <w:b/>
                <w:bCs/>
              </w:rPr>
            </w:pPr>
            <w:r w:rsidRPr="008D5FB2">
              <w:rPr>
                <w:b/>
                <w:bCs/>
              </w:rPr>
              <w:t>Comment</w:t>
            </w:r>
          </w:p>
          <w:p w14:paraId="314390D2" w14:textId="77777777" w:rsidR="00085055" w:rsidRPr="00085055" w:rsidRDefault="00085055" w:rsidP="007C0172">
            <w:pPr>
              <w:spacing w:before="120" w:after="120" w:line="240" w:lineRule="auto"/>
            </w:pPr>
            <w:r w:rsidRPr="00085055">
              <w:t>Ambulatory sensitive hospitalisations are a group of mostly acute admissions that are considered potentially reducible through prophylactic or therapeutic interventions delivered in a primary care setting.</w:t>
            </w:r>
          </w:p>
          <w:p w14:paraId="081784E9" w14:textId="77777777" w:rsidR="00085055" w:rsidRPr="00085055" w:rsidRDefault="00085055" w:rsidP="007C0172">
            <w:pPr>
              <w:spacing w:before="120" w:after="120" w:line="240" w:lineRule="auto"/>
            </w:pPr>
            <w:r w:rsidRPr="00085055">
              <w:t>As a likely consequence of COVID-19, the number of child ASH admissions was relatively low for the years ending March 2021 and March 2022. The overall child ASH rate has since increased and is now higher than the 2019 (pre-COVID-19) rate. The higher rates for Māori and especially Pacific populations remain concerning and are a key focus for improvement.</w:t>
            </w:r>
          </w:p>
          <w:p w14:paraId="0B7D3975" w14:textId="47C8F1B0" w:rsidR="00085055" w:rsidRPr="00085055" w:rsidRDefault="00085055" w:rsidP="007C0172">
            <w:pPr>
              <w:spacing w:before="120" w:after="120" w:line="240" w:lineRule="auto"/>
              <w:rPr>
                <w:b/>
                <w:bCs/>
              </w:rPr>
            </w:pPr>
            <w:r w:rsidRPr="00085055">
              <w:t>The ASH numbers reported for 2023/24 differ from the previous year’s reporting due to the numbers changing as the underlying system National Minimum Dataset is live and districts can retrospectively update records in the system – this includes adding, amending or removing records in prior years</w:t>
            </w:r>
            <w:r w:rsidR="007C0172">
              <w:t>.</w:t>
            </w:r>
          </w:p>
        </w:tc>
      </w:tr>
    </w:tbl>
    <w:p w14:paraId="2825CF4A" w14:textId="77777777" w:rsidR="00085055" w:rsidRDefault="00085055" w:rsidP="00085055"/>
    <w:p w14:paraId="5C431853" w14:textId="77777777" w:rsidR="00874C6C" w:rsidRPr="00874C6C" w:rsidRDefault="00874C6C" w:rsidP="00874C6C"/>
    <w:p w14:paraId="16D790DA" w14:textId="77777777" w:rsidR="00874C6C" w:rsidRDefault="00874C6C" w:rsidP="00874C6C"/>
    <w:p w14:paraId="7DF759DB" w14:textId="77777777" w:rsidR="00874C6C" w:rsidRDefault="00874C6C" w:rsidP="00874C6C">
      <w:pPr>
        <w:sectPr w:rsidR="00874C6C" w:rsidSect="008F0115">
          <w:pgSz w:w="11907" w:h="16840" w:code="9"/>
          <w:pgMar w:top="1418" w:right="1701" w:bottom="1134" w:left="1843" w:header="284" w:footer="425" w:gutter="284"/>
          <w:cols w:space="720"/>
        </w:sectPr>
      </w:pPr>
    </w:p>
    <w:tbl>
      <w:tblPr>
        <w:tblStyle w:val="TableGrid"/>
        <w:tblW w:w="822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88"/>
        <w:gridCol w:w="77"/>
        <w:gridCol w:w="1127"/>
        <w:gridCol w:w="1186"/>
        <w:gridCol w:w="1186"/>
        <w:gridCol w:w="1186"/>
        <w:gridCol w:w="1186"/>
        <w:gridCol w:w="1044"/>
        <w:gridCol w:w="142"/>
      </w:tblGrid>
      <w:tr w:rsidR="00874C6C" w14:paraId="33B32D85" w14:textId="77777777" w:rsidTr="009177DD">
        <w:trPr>
          <w:gridAfter w:val="1"/>
          <w:wAfter w:w="142" w:type="dxa"/>
        </w:trPr>
        <w:tc>
          <w:tcPr>
            <w:tcW w:w="8080" w:type="dxa"/>
            <w:gridSpan w:val="8"/>
            <w:tcBorders>
              <w:top w:val="nil"/>
              <w:left w:val="nil"/>
              <w:bottom w:val="nil"/>
              <w:right w:val="nil"/>
            </w:tcBorders>
            <w:shd w:val="clear" w:color="auto" w:fill="D9D9D9" w:themeFill="background1" w:themeFillShade="D9"/>
            <w:hideMark/>
          </w:tcPr>
          <w:p w14:paraId="153F2D22" w14:textId="74CF7784" w:rsidR="00874C6C" w:rsidRDefault="00874C6C" w:rsidP="009177DD">
            <w:pPr>
              <w:pStyle w:val="TableText"/>
              <w:rPr>
                <w:b/>
                <w:bCs/>
              </w:rPr>
            </w:pPr>
            <w:r>
              <w:rPr>
                <w:b/>
                <w:bCs/>
              </w:rPr>
              <w:lastRenderedPageBreak/>
              <w:t>Ambulatory sensitive hospitalisations (</w:t>
            </w:r>
            <w:r w:rsidRPr="00874C6C">
              <w:rPr>
                <w:b/>
                <w:bCs/>
              </w:rPr>
              <w:t>ASH) for adults aged 45–64 years</w:t>
            </w:r>
          </w:p>
        </w:tc>
      </w:tr>
      <w:tr w:rsidR="00874C6C" w14:paraId="16C2EB57" w14:textId="77777777" w:rsidTr="009177DD">
        <w:trPr>
          <w:gridAfter w:val="1"/>
          <w:wAfter w:w="142" w:type="dxa"/>
        </w:trPr>
        <w:tc>
          <w:tcPr>
            <w:tcW w:w="1165" w:type="dxa"/>
            <w:gridSpan w:val="2"/>
            <w:tcBorders>
              <w:top w:val="nil"/>
              <w:left w:val="nil"/>
              <w:bottom w:val="single" w:sz="4" w:space="0" w:color="A6A6A6" w:themeColor="background1" w:themeShade="A6"/>
              <w:right w:val="nil"/>
            </w:tcBorders>
            <w:hideMark/>
          </w:tcPr>
          <w:p w14:paraId="7BE61BAF" w14:textId="77777777" w:rsidR="00874C6C" w:rsidRDefault="00874C6C" w:rsidP="009177DD">
            <w:pPr>
              <w:pStyle w:val="TableText"/>
              <w:rPr>
                <w:b/>
                <w:bCs/>
              </w:rPr>
            </w:pPr>
            <w:r>
              <w:rPr>
                <w:b/>
                <w:bCs/>
              </w:rPr>
              <w:t>Indicator description</w:t>
            </w:r>
          </w:p>
        </w:tc>
        <w:tc>
          <w:tcPr>
            <w:tcW w:w="6915" w:type="dxa"/>
            <w:gridSpan w:val="6"/>
            <w:tcBorders>
              <w:top w:val="nil"/>
              <w:left w:val="nil"/>
              <w:bottom w:val="single" w:sz="4" w:space="0" w:color="A6A6A6" w:themeColor="background1" w:themeShade="A6"/>
              <w:right w:val="nil"/>
            </w:tcBorders>
            <w:hideMark/>
          </w:tcPr>
          <w:p w14:paraId="45C0F6A5" w14:textId="2395549B" w:rsidR="00874C6C" w:rsidRPr="00874C6C" w:rsidRDefault="00874C6C" w:rsidP="009177DD">
            <w:pPr>
              <w:pStyle w:val="TableText"/>
            </w:pPr>
            <w:r w:rsidRPr="00874C6C">
              <w:t>Rate of hospital admissions for adults aged 45–64 years for an illness that might have been prevented or better managed in the community.</w:t>
            </w:r>
          </w:p>
        </w:tc>
      </w:tr>
      <w:tr w:rsidR="00874C6C" w14:paraId="21154312" w14:textId="77777777" w:rsidTr="009177DD">
        <w:trPr>
          <w:gridAfter w:val="1"/>
          <w:wAfter w:w="142" w:type="dxa"/>
        </w:trPr>
        <w:tc>
          <w:tcPr>
            <w:tcW w:w="1165" w:type="dxa"/>
            <w:gridSpan w:val="2"/>
            <w:tcBorders>
              <w:top w:val="single" w:sz="4" w:space="0" w:color="A6A6A6" w:themeColor="background1" w:themeShade="A6"/>
              <w:left w:val="nil"/>
              <w:bottom w:val="single" w:sz="4" w:space="0" w:color="A6A6A6" w:themeColor="background1" w:themeShade="A6"/>
              <w:right w:val="nil"/>
            </w:tcBorders>
            <w:hideMark/>
          </w:tcPr>
          <w:p w14:paraId="4ECB2273" w14:textId="77777777" w:rsidR="00874C6C" w:rsidRDefault="00874C6C" w:rsidP="009177DD">
            <w:pPr>
              <w:pStyle w:val="TableText"/>
              <w:rPr>
                <w:b/>
                <w:bCs/>
              </w:rPr>
            </w:pPr>
            <w:r>
              <w:rPr>
                <w:b/>
                <w:bCs/>
              </w:rPr>
              <w:t>Baseline data</w:t>
            </w:r>
          </w:p>
        </w:tc>
        <w:tc>
          <w:tcPr>
            <w:tcW w:w="6915" w:type="dxa"/>
            <w:gridSpan w:val="6"/>
            <w:tcBorders>
              <w:top w:val="single" w:sz="4" w:space="0" w:color="A6A6A6" w:themeColor="background1" w:themeShade="A6"/>
              <w:left w:val="nil"/>
              <w:bottom w:val="single" w:sz="4" w:space="0" w:color="A6A6A6" w:themeColor="background1" w:themeShade="A6"/>
              <w:right w:val="nil"/>
            </w:tcBorders>
            <w:hideMark/>
          </w:tcPr>
          <w:p w14:paraId="61F5784E" w14:textId="4216B8F4" w:rsidR="00874C6C" w:rsidRPr="00874C6C" w:rsidRDefault="004E1367" w:rsidP="009177DD">
            <w:pPr>
              <w:pStyle w:val="TableText"/>
            </w:pPr>
            <w:r w:rsidRPr="004E1367">
              <w:t>48,340 ambulatory sensitive hospital admissions for adults aged 45–64 years (3,892 per 100,000 adults aged 45–64 years).</w:t>
            </w:r>
          </w:p>
        </w:tc>
      </w:tr>
      <w:tr w:rsidR="00874C6C" w14:paraId="64FA3134" w14:textId="77777777" w:rsidTr="009177DD">
        <w:trPr>
          <w:gridAfter w:val="1"/>
          <w:wAfter w:w="142" w:type="dxa"/>
        </w:trPr>
        <w:tc>
          <w:tcPr>
            <w:tcW w:w="8080" w:type="dxa"/>
            <w:gridSpan w:val="8"/>
            <w:tcBorders>
              <w:top w:val="single" w:sz="4" w:space="0" w:color="A6A6A6" w:themeColor="background1" w:themeShade="A6"/>
              <w:left w:val="nil"/>
              <w:bottom w:val="single" w:sz="4" w:space="0" w:color="A6A6A6" w:themeColor="background1" w:themeShade="A6"/>
              <w:right w:val="nil"/>
            </w:tcBorders>
            <w:shd w:val="clear" w:color="auto" w:fill="FFFFFF" w:themeFill="background1"/>
            <w:hideMark/>
          </w:tcPr>
          <w:p w14:paraId="47BAD13F" w14:textId="381F0BC1" w:rsidR="00874C6C" w:rsidRDefault="004E1367" w:rsidP="009177DD">
            <w:pPr>
              <w:pStyle w:val="TableText"/>
              <w:keepNext/>
              <w:rPr>
                <w:b/>
                <w:bCs/>
              </w:rPr>
            </w:pPr>
            <w:r w:rsidRPr="004E1367">
              <w:rPr>
                <w:b/>
                <w:bCs/>
              </w:rPr>
              <w:t>Results (Age standardised ASH rate per 100,000 adults 45 to 64-year-olds for 12-months ending 31 March*)</w:t>
            </w:r>
          </w:p>
        </w:tc>
      </w:tr>
      <w:tr w:rsidR="00874C6C" w14:paraId="3D512DCE" w14:textId="77777777" w:rsidTr="009177DD">
        <w:tc>
          <w:tcPr>
            <w:tcW w:w="1088"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6D3E977E" w14:textId="77777777" w:rsidR="00874C6C" w:rsidRPr="004F1B86" w:rsidRDefault="00874C6C" w:rsidP="009177DD">
            <w:pPr>
              <w:pStyle w:val="TableText"/>
              <w:rPr>
                <w:b/>
                <w:bCs/>
                <w:sz w:val="16"/>
                <w:szCs w:val="16"/>
              </w:rPr>
            </w:pPr>
          </w:p>
        </w:tc>
        <w:tc>
          <w:tcPr>
            <w:tcW w:w="120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1546A36E" w14:textId="77777777" w:rsidR="00874C6C" w:rsidRPr="004F1B86" w:rsidRDefault="00874C6C" w:rsidP="009177DD">
            <w:pPr>
              <w:pStyle w:val="TableText"/>
              <w:jc w:val="right"/>
              <w:rPr>
                <w:b/>
                <w:bCs/>
                <w:sz w:val="16"/>
                <w:szCs w:val="16"/>
              </w:rPr>
            </w:pPr>
            <w:r w:rsidRPr="004F1B86">
              <w:rPr>
                <w:b/>
                <w:bCs/>
                <w:sz w:val="16"/>
                <w:szCs w:val="16"/>
              </w:rPr>
              <w:t>Baseline (12 months to March 2019)</w:t>
            </w:r>
          </w:p>
        </w:tc>
        <w:tc>
          <w:tcPr>
            <w:tcW w:w="11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51F860BE" w14:textId="77777777" w:rsidR="00874C6C" w:rsidRPr="004F1B86" w:rsidRDefault="00874C6C" w:rsidP="009177DD">
            <w:pPr>
              <w:pStyle w:val="TableText"/>
              <w:jc w:val="right"/>
              <w:rPr>
                <w:b/>
                <w:bCs/>
                <w:sz w:val="16"/>
                <w:szCs w:val="16"/>
              </w:rPr>
            </w:pPr>
            <w:r w:rsidRPr="004F1B86">
              <w:rPr>
                <w:b/>
                <w:bCs/>
                <w:sz w:val="16"/>
                <w:szCs w:val="16"/>
              </w:rPr>
              <w:t>12 months to March 2020</w:t>
            </w:r>
          </w:p>
        </w:tc>
        <w:tc>
          <w:tcPr>
            <w:tcW w:w="11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40A43230" w14:textId="77777777" w:rsidR="00874C6C" w:rsidRPr="004F1B86" w:rsidRDefault="00874C6C" w:rsidP="009177DD">
            <w:pPr>
              <w:pStyle w:val="TableText"/>
              <w:jc w:val="right"/>
              <w:rPr>
                <w:b/>
                <w:bCs/>
                <w:sz w:val="16"/>
                <w:szCs w:val="16"/>
              </w:rPr>
            </w:pPr>
            <w:r w:rsidRPr="004F1B86">
              <w:rPr>
                <w:b/>
                <w:bCs/>
                <w:sz w:val="16"/>
                <w:szCs w:val="16"/>
              </w:rPr>
              <w:t>12 months to March 2021</w:t>
            </w:r>
          </w:p>
        </w:tc>
        <w:tc>
          <w:tcPr>
            <w:tcW w:w="11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76263B1E" w14:textId="77777777" w:rsidR="00874C6C" w:rsidRPr="004F1B86" w:rsidRDefault="00874C6C" w:rsidP="009177DD">
            <w:pPr>
              <w:pStyle w:val="TableText"/>
              <w:jc w:val="right"/>
              <w:rPr>
                <w:b/>
                <w:bCs/>
                <w:sz w:val="16"/>
                <w:szCs w:val="16"/>
              </w:rPr>
            </w:pPr>
            <w:r w:rsidRPr="004F1B86">
              <w:rPr>
                <w:b/>
                <w:bCs/>
                <w:sz w:val="16"/>
                <w:szCs w:val="16"/>
              </w:rPr>
              <w:t>12 months to March 2022</w:t>
            </w:r>
          </w:p>
        </w:tc>
        <w:tc>
          <w:tcPr>
            <w:tcW w:w="11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33B6EC61" w14:textId="77777777" w:rsidR="00874C6C" w:rsidRPr="004F1B86" w:rsidRDefault="00874C6C" w:rsidP="009177DD">
            <w:pPr>
              <w:pStyle w:val="TableText"/>
              <w:jc w:val="right"/>
              <w:rPr>
                <w:b/>
                <w:bCs/>
                <w:sz w:val="16"/>
                <w:szCs w:val="16"/>
              </w:rPr>
            </w:pPr>
            <w:r w:rsidRPr="004F1B86">
              <w:rPr>
                <w:b/>
                <w:bCs/>
                <w:sz w:val="16"/>
                <w:szCs w:val="16"/>
              </w:rPr>
              <w:t>12 months to March 2023</w:t>
            </w:r>
          </w:p>
        </w:tc>
        <w:tc>
          <w:tcPr>
            <w:tcW w:w="1186"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0B971018" w14:textId="77777777" w:rsidR="00874C6C" w:rsidRPr="004F1B86" w:rsidRDefault="00874C6C" w:rsidP="009177DD">
            <w:pPr>
              <w:pStyle w:val="TableText"/>
              <w:jc w:val="right"/>
              <w:rPr>
                <w:b/>
                <w:bCs/>
                <w:sz w:val="16"/>
                <w:szCs w:val="16"/>
              </w:rPr>
            </w:pPr>
            <w:r w:rsidRPr="004F1B86">
              <w:rPr>
                <w:b/>
                <w:bCs/>
                <w:sz w:val="16"/>
                <w:szCs w:val="16"/>
              </w:rPr>
              <w:t>12 months to March 2024*</w:t>
            </w:r>
          </w:p>
        </w:tc>
      </w:tr>
      <w:tr w:rsidR="004E1367" w14:paraId="64F19ECA" w14:textId="77777777" w:rsidTr="009177DD">
        <w:tc>
          <w:tcPr>
            <w:tcW w:w="1088" w:type="dxa"/>
            <w:tcBorders>
              <w:top w:val="single" w:sz="4" w:space="0" w:color="A6A6A6" w:themeColor="background1" w:themeShade="A6"/>
              <w:left w:val="nil"/>
              <w:bottom w:val="single" w:sz="4" w:space="0" w:color="A6A6A6" w:themeColor="background1" w:themeShade="A6"/>
              <w:right w:val="nil"/>
            </w:tcBorders>
            <w:hideMark/>
          </w:tcPr>
          <w:p w14:paraId="6E56FD71" w14:textId="77777777" w:rsidR="004E1367" w:rsidRPr="004F1B86" w:rsidRDefault="004E1367" w:rsidP="004E1367">
            <w:pPr>
              <w:pStyle w:val="TableText"/>
              <w:ind w:right="-154"/>
              <w:rPr>
                <w:sz w:val="16"/>
                <w:szCs w:val="16"/>
              </w:rPr>
            </w:pPr>
            <w:r w:rsidRPr="004F1B86">
              <w:rPr>
                <w:sz w:val="16"/>
                <w:szCs w:val="16"/>
              </w:rPr>
              <w:t>All Ethnicities</w:t>
            </w:r>
          </w:p>
        </w:tc>
        <w:tc>
          <w:tcPr>
            <w:tcW w:w="1204" w:type="dxa"/>
            <w:gridSpan w:val="2"/>
            <w:tcBorders>
              <w:top w:val="single" w:sz="4" w:space="0" w:color="A6A6A6" w:themeColor="background1" w:themeShade="A6"/>
              <w:left w:val="nil"/>
              <w:bottom w:val="single" w:sz="4" w:space="0" w:color="A6A6A6" w:themeColor="background1" w:themeShade="A6"/>
              <w:right w:val="nil"/>
            </w:tcBorders>
            <w:hideMark/>
          </w:tcPr>
          <w:p w14:paraId="1A45CE71" w14:textId="644CE7FC" w:rsidR="004E1367" w:rsidRPr="004F1B86" w:rsidRDefault="004E1367" w:rsidP="004E1367">
            <w:pPr>
              <w:pStyle w:val="TableText"/>
              <w:jc w:val="right"/>
              <w:rPr>
                <w:sz w:val="16"/>
                <w:szCs w:val="16"/>
              </w:rPr>
            </w:pPr>
            <w:r w:rsidRPr="004F1B86">
              <w:rPr>
                <w:sz w:val="16"/>
                <w:szCs w:val="16"/>
              </w:rPr>
              <w:t>3,892</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030D783B" w14:textId="57817E3D" w:rsidR="004E1367" w:rsidRPr="004F1B86" w:rsidRDefault="004E1367" w:rsidP="004E1367">
            <w:pPr>
              <w:pStyle w:val="TableText"/>
              <w:jc w:val="right"/>
              <w:rPr>
                <w:sz w:val="16"/>
                <w:szCs w:val="16"/>
              </w:rPr>
            </w:pPr>
            <w:r w:rsidRPr="004F1B86">
              <w:rPr>
                <w:sz w:val="16"/>
                <w:szCs w:val="16"/>
              </w:rPr>
              <w:t>3,816</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36CA253C" w14:textId="5396CA08" w:rsidR="004E1367" w:rsidRPr="004F1B86" w:rsidRDefault="004E1367" w:rsidP="004E1367">
            <w:pPr>
              <w:pStyle w:val="TableText"/>
              <w:jc w:val="right"/>
              <w:rPr>
                <w:sz w:val="16"/>
                <w:szCs w:val="16"/>
              </w:rPr>
            </w:pPr>
            <w:r w:rsidRPr="004F1B86">
              <w:rPr>
                <w:sz w:val="16"/>
                <w:szCs w:val="16"/>
              </w:rPr>
              <w:t>3,496</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04033250" w14:textId="300561E3" w:rsidR="004E1367" w:rsidRPr="004F1B86" w:rsidRDefault="004E1367" w:rsidP="004E1367">
            <w:pPr>
              <w:pStyle w:val="TableText"/>
              <w:jc w:val="right"/>
              <w:rPr>
                <w:sz w:val="16"/>
                <w:szCs w:val="16"/>
              </w:rPr>
            </w:pPr>
            <w:r w:rsidRPr="004F1B86">
              <w:rPr>
                <w:sz w:val="16"/>
                <w:szCs w:val="16"/>
              </w:rPr>
              <w:t>3,594</w:t>
            </w:r>
          </w:p>
        </w:tc>
        <w:tc>
          <w:tcPr>
            <w:tcW w:w="1186" w:type="dxa"/>
            <w:tcBorders>
              <w:top w:val="single" w:sz="4" w:space="0" w:color="A6A6A6" w:themeColor="background1" w:themeShade="A6"/>
              <w:left w:val="nil"/>
              <w:bottom w:val="single" w:sz="4" w:space="0" w:color="A6A6A6" w:themeColor="background1" w:themeShade="A6"/>
              <w:right w:val="nil"/>
            </w:tcBorders>
          </w:tcPr>
          <w:p w14:paraId="09ADE46F" w14:textId="3B965F88" w:rsidR="004E1367" w:rsidRPr="004F1B86" w:rsidRDefault="004E1367" w:rsidP="004E1367">
            <w:pPr>
              <w:pStyle w:val="TableText"/>
              <w:jc w:val="right"/>
              <w:rPr>
                <w:sz w:val="16"/>
                <w:szCs w:val="16"/>
              </w:rPr>
            </w:pPr>
            <w:r w:rsidRPr="004F1B86">
              <w:rPr>
                <w:sz w:val="16"/>
                <w:szCs w:val="16"/>
              </w:rPr>
              <w:t>3,</w:t>
            </w:r>
            <w:r w:rsidR="007C0172">
              <w:rPr>
                <w:sz w:val="16"/>
                <w:szCs w:val="16"/>
              </w:rPr>
              <w:t>693</w:t>
            </w:r>
          </w:p>
        </w:tc>
        <w:tc>
          <w:tcPr>
            <w:tcW w:w="1186" w:type="dxa"/>
            <w:gridSpan w:val="2"/>
            <w:tcBorders>
              <w:top w:val="single" w:sz="4" w:space="0" w:color="A6A6A6" w:themeColor="background1" w:themeShade="A6"/>
              <w:left w:val="nil"/>
              <w:bottom w:val="single" w:sz="4" w:space="0" w:color="A6A6A6" w:themeColor="background1" w:themeShade="A6"/>
              <w:right w:val="nil"/>
            </w:tcBorders>
            <w:hideMark/>
          </w:tcPr>
          <w:p w14:paraId="6F2120BB" w14:textId="34B52BE8" w:rsidR="004E1367" w:rsidRPr="004F1B86" w:rsidRDefault="004E1367" w:rsidP="004E1367">
            <w:pPr>
              <w:pStyle w:val="TableText"/>
              <w:jc w:val="right"/>
              <w:rPr>
                <w:sz w:val="16"/>
                <w:szCs w:val="16"/>
              </w:rPr>
            </w:pPr>
            <w:r w:rsidRPr="004F1B86">
              <w:rPr>
                <w:sz w:val="16"/>
                <w:szCs w:val="16"/>
              </w:rPr>
              <w:t>3,849</w:t>
            </w:r>
          </w:p>
        </w:tc>
      </w:tr>
      <w:tr w:rsidR="004E1367" w14:paraId="4B7D548A" w14:textId="77777777" w:rsidTr="009177DD">
        <w:tc>
          <w:tcPr>
            <w:tcW w:w="1088" w:type="dxa"/>
            <w:tcBorders>
              <w:top w:val="single" w:sz="4" w:space="0" w:color="A6A6A6" w:themeColor="background1" w:themeShade="A6"/>
              <w:left w:val="nil"/>
              <w:bottom w:val="single" w:sz="4" w:space="0" w:color="A6A6A6" w:themeColor="background1" w:themeShade="A6"/>
              <w:right w:val="nil"/>
            </w:tcBorders>
            <w:hideMark/>
          </w:tcPr>
          <w:p w14:paraId="2465AB23" w14:textId="77777777" w:rsidR="004E1367" w:rsidRPr="004F1B86" w:rsidRDefault="004E1367" w:rsidP="004E1367">
            <w:pPr>
              <w:pStyle w:val="TableText"/>
              <w:ind w:right="-154"/>
              <w:rPr>
                <w:sz w:val="16"/>
                <w:szCs w:val="16"/>
              </w:rPr>
            </w:pPr>
            <w:r w:rsidRPr="004F1B86">
              <w:rPr>
                <w:sz w:val="16"/>
                <w:szCs w:val="16"/>
              </w:rPr>
              <w:t>Māori</w:t>
            </w:r>
          </w:p>
        </w:tc>
        <w:tc>
          <w:tcPr>
            <w:tcW w:w="1204" w:type="dxa"/>
            <w:gridSpan w:val="2"/>
            <w:tcBorders>
              <w:top w:val="single" w:sz="4" w:space="0" w:color="A6A6A6" w:themeColor="background1" w:themeShade="A6"/>
              <w:left w:val="nil"/>
              <w:bottom w:val="single" w:sz="4" w:space="0" w:color="A6A6A6" w:themeColor="background1" w:themeShade="A6"/>
              <w:right w:val="nil"/>
            </w:tcBorders>
            <w:hideMark/>
          </w:tcPr>
          <w:p w14:paraId="6B632BF0" w14:textId="7A232570" w:rsidR="004E1367" w:rsidRPr="004F1B86" w:rsidRDefault="004E1367" w:rsidP="004E1367">
            <w:pPr>
              <w:pStyle w:val="TableText"/>
              <w:jc w:val="right"/>
              <w:rPr>
                <w:sz w:val="16"/>
                <w:szCs w:val="16"/>
              </w:rPr>
            </w:pPr>
            <w:r w:rsidRPr="004F1B86">
              <w:rPr>
                <w:sz w:val="16"/>
                <w:szCs w:val="16"/>
              </w:rPr>
              <w:t>7,465</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5699884D" w14:textId="53603429" w:rsidR="004E1367" w:rsidRPr="004F1B86" w:rsidRDefault="004E1367" w:rsidP="004E1367">
            <w:pPr>
              <w:pStyle w:val="TableText"/>
              <w:jc w:val="right"/>
              <w:rPr>
                <w:sz w:val="16"/>
                <w:szCs w:val="16"/>
              </w:rPr>
            </w:pPr>
            <w:r w:rsidRPr="004F1B86">
              <w:rPr>
                <w:sz w:val="16"/>
                <w:szCs w:val="16"/>
              </w:rPr>
              <w:t>7,498</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5B0EE463" w14:textId="0D84A2E4" w:rsidR="004E1367" w:rsidRPr="004F1B86" w:rsidRDefault="004E1367" w:rsidP="004E1367">
            <w:pPr>
              <w:pStyle w:val="TableText"/>
              <w:jc w:val="right"/>
              <w:rPr>
                <w:sz w:val="16"/>
                <w:szCs w:val="16"/>
              </w:rPr>
            </w:pPr>
            <w:r w:rsidRPr="004F1B86">
              <w:rPr>
                <w:sz w:val="16"/>
                <w:szCs w:val="16"/>
              </w:rPr>
              <w:t>6,677</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655C91D0" w14:textId="59909A52" w:rsidR="004E1367" w:rsidRPr="004F1B86" w:rsidRDefault="004E1367" w:rsidP="004E1367">
            <w:pPr>
              <w:pStyle w:val="TableText"/>
              <w:jc w:val="right"/>
              <w:rPr>
                <w:sz w:val="16"/>
                <w:szCs w:val="16"/>
              </w:rPr>
            </w:pPr>
            <w:r w:rsidRPr="004F1B86">
              <w:rPr>
                <w:sz w:val="16"/>
                <w:szCs w:val="16"/>
              </w:rPr>
              <w:t>6,792</w:t>
            </w:r>
          </w:p>
        </w:tc>
        <w:tc>
          <w:tcPr>
            <w:tcW w:w="1186" w:type="dxa"/>
            <w:tcBorders>
              <w:top w:val="single" w:sz="4" w:space="0" w:color="A6A6A6" w:themeColor="background1" w:themeShade="A6"/>
              <w:left w:val="nil"/>
              <w:bottom w:val="single" w:sz="4" w:space="0" w:color="A6A6A6" w:themeColor="background1" w:themeShade="A6"/>
              <w:right w:val="nil"/>
            </w:tcBorders>
          </w:tcPr>
          <w:p w14:paraId="2B52CF53" w14:textId="47AF3F51" w:rsidR="004E1367" w:rsidRPr="004F1B86" w:rsidRDefault="007C0172" w:rsidP="004E1367">
            <w:pPr>
              <w:pStyle w:val="TableText"/>
              <w:jc w:val="right"/>
              <w:rPr>
                <w:sz w:val="16"/>
                <w:szCs w:val="16"/>
              </w:rPr>
            </w:pPr>
            <w:r>
              <w:rPr>
                <w:sz w:val="16"/>
                <w:szCs w:val="16"/>
              </w:rPr>
              <w:t>6,792</w:t>
            </w:r>
          </w:p>
        </w:tc>
        <w:tc>
          <w:tcPr>
            <w:tcW w:w="1186" w:type="dxa"/>
            <w:gridSpan w:val="2"/>
            <w:tcBorders>
              <w:top w:val="single" w:sz="4" w:space="0" w:color="A6A6A6" w:themeColor="background1" w:themeShade="A6"/>
              <w:left w:val="nil"/>
              <w:bottom w:val="single" w:sz="4" w:space="0" w:color="A6A6A6" w:themeColor="background1" w:themeShade="A6"/>
              <w:right w:val="nil"/>
            </w:tcBorders>
            <w:hideMark/>
          </w:tcPr>
          <w:p w14:paraId="22E8792C" w14:textId="4456E55E" w:rsidR="004E1367" w:rsidRPr="004F1B86" w:rsidRDefault="004E1367" w:rsidP="004E1367">
            <w:pPr>
              <w:pStyle w:val="TableText"/>
              <w:jc w:val="right"/>
              <w:rPr>
                <w:sz w:val="16"/>
                <w:szCs w:val="16"/>
              </w:rPr>
            </w:pPr>
            <w:r w:rsidRPr="004F1B86">
              <w:rPr>
                <w:sz w:val="16"/>
                <w:szCs w:val="16"/>
              </w:rPr>
              <w:t>7,265</w:t>
            </w:r>
          </w:p>
        </w:tc>
      </w:tr>
      <w:tr w:rsidR="004E1367" w14:paraId="2707443D" w14:textId="77777777" w:rsidTr="009177DD">
        <w:tc>
          <w:tcPr>
            <w:tcW w:w="1088" w:type="dxa"/>
            <w:tcBorders>
              <w:top w:val="single" w:sz="4" w:space="0" w:color="A6A6A6" w:themeColor="background1" w:themeShade="A6"/>
              <w:left w:val="nil"/>
              <w:bottom w:val="single" w:sz="4" w:space="0" w:color="A6A6A6" w:themeColor="background1" w:themeShade="A6"/>
              <w:right w:val="nil"/>
            </w:tcBorders>
            <w:hideMark/>
          </w:tcPr>
          <w:p w14:paraId="22211DE2" w14:textId="77777777" w:rsidR="004E1367" w:rsidRPr="004F1B86" w:rsidRDefault="004E1367" w:rsidP="004E1367">
            <w:pPr>
              <w:pStyle w:val="TableText"/>
              <w:ind w:right="-154"/>
              <w:rPr>
                <w:sz w:val="16"/>
                <w:szCs w:val="16"/>
              </w:rPr>
            </w:pPr>
            <w:r w:rsidRPr="004F1B86">
              <w:rPr>
                <w:sz w:val="16"/>
                <w:szCs w:val="16"/>
              </w:rPr>
              <w:t>Pacific peoples</w:t>
            </w:r>
          </w:p>
        </w:tc>
        <w:tc>
          <w:tcPr>
            <w:tcW w:w="1204" w:type="dxa"/>
            <w:gridSpan w:val="2"/>
            <w:tcBorders>
              <w:top w:val="single" w:sz="4" w:space="0" w:color="A6A6A6" w:themeColor="background1" w:themeShade="A6"/>
              <w:left w:val="nil"/>
              <w:bottom w:val="single" w:sz="4" w:space="0" w:color="A6A6A6" w:themeColor="background1" w:themeShade="A6"/>
              <w:right w:val="nil"/>
            </w:tcBorders>
            <w:hideMark/>
          </w:tcPr>
          <w:p w14:paraId="6B842238" w14:textId="2C8D86CE" w:rsidR="004E1367" w:rsidRPr="004F1B86" w:rsidRDefault="004E1367" w:rsidP="004E1367">
            <w:pPr>
              <w:pStyle w:val="TableText"/>
              <w:jc w:val="right"/>
              <w:rPr>
                <w:sz w:val="16"/>
                <w:szCs w:val="16"/>
              </w:rPr>
            </w:pPr>
            <w:r w:rsidRPr="004F1B86">
              <w:rPr>
                <w:sz w:val="16"/>
                <w:szCs w:val="16"/>
              </w:rPr>
              <w:t>8,644</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4721A43F" w14:textId="6376E54B" w:rsidR="004E1367" w:rsidRPr="004F1B86" w:rsidRDefault="004E1367" w:rsidP="004E1367">
            <w:pPr>
              <w:pStyle w:val="TableText"/>
              <w:jc w:val="right"/>
              <w:rPr>
                <w:sz w:val="16"/>
                <w:szCs w:val="16"/>
              </w:rPr>
            </w:pPr>
            <w:r w:rsidRPr="004F1B86">
              <w:rPr>
                <w:sz w:val="16"/>
                <w:szCs w:val="16"/>
              </w:rPr>
              <w:t>8,347</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70A6DFEC" w14:textId="417CDBF7" w:rsidR="004E1367" w:rsidRPr="004F1B86" w:rsidRDefault="004E1367" w:rsidP="004E1367">
            <w:pPr>
              <w:pStyle w:val="TableText"/>
              <w:jc w:val="right"/>
              <w:rPr>
                <w:sz w:val="16"/>
                <w:szCs w:val="16"/>
              </w:rPr>
            </w:pPr>
            <w:r w:rsidRPr="004F1B86">
              <w:rPr>
                <w:sz w:val="16"/>
                <w:szCs w:val="16"/>
              </w:rPr>
              <w:t>7,151</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4CE9552C" w14:textId="6060533C" w:rsidR="004E1367" w:rsidRPr="004F1B86" w:rsidRDefault="004E1367" w:rsidP="004E1367">
            <w:pPr>
              <w:pStyle w:val="TableText"/>
              <w:jc w:val="right"/>
              <w:rPr>
                <w:sz w:val="16"/>
                <w:szCs w:val="16"/>
              </w:rPr>
            </w:pPr>
            <w:r w:rsidRPr="004F1B86">
              <w:rPr>
                <w:sz w:val="16"/>
                <w:szCs w:val="16"/>
              </w:rPr>
              <w:t>7,063</w:t>
            </w:r>
          </w:p>
        </w:tc>
        <w:tc>
          <w:tcPr>
            <w:tcW w:w="1186" w:type="dxa"/>
            <w:tcBorders>
              <w:top w:val="single" w:sz="4" w:space="0" w:color="A6A6A6" w:themeColor="background1" w:themeShade="A6"/>
              <w:left w:val="nil"/>
              <w:bottom w:val="single" w:sz="4" w:space="0" w:color="A6A6A6" w:themeColor="background1" w:themeShade="A6"/>
              <w:right w:val="nil"/>
            </w:tcBorders>
          </w:tcPr>
          <w:p w14:paraId="2E755D51" w14:textId="10138A20" w:rsidR="004E1367" w:rsidRPr="004F1B86" w:rsidRDefault="007C0172" w:rsidP="004E1367">
            <w:pPr>
              <w:pStyle w:val="TableText"/>
              <w:jc w:val="right"/>
              <w:rPr>
                <w:sz w:val="16"/>
                <w:szCs w:val="16"/>
              </w:rPr>
            </w:pPr>
            <w:r>
              <w:rPr>
                <w:sz w:val="16"/>
                <w:szCs w:val="16"/>
              </w:rPr>
              <w:t>7,510</w:t>
            </w:r>
          </w:p>
        </w:tc>
        <w:tc>
          <w:tcPr>
            <w:tcW w:w="1186" w:type="dxa"/>
            <w:gridSpan w:val="2"/>
            <w:tcBorders>
              <w:top w:val="single" w:sz="4" w:space="0" w:color="A6A6A6" w:themeColor="background1" w:themeShade="A6"/>
              <w:left w:val="nil"/>
              <w:bottom w:val="single" w:sz="4" w:space="0" w:color="A6A6A6" w:themeColor="background1" w:themeShade="A6"/>
              <w:right w:val="nil"/>
            </w:tcBorders>
            <w:hideMark/>
          </w:tcPr>
          <w:p w14:paraId="6789A837" w14:textId="1AE07CB1" w:rsidR="004E1367" w:rsidRPr="004F1B86" w:rsidRDefault="004E1367" w:rsidP="004E1367">
            <w:pPr>
              <w:pStyle w:val="TableText"/>
              <w:jc w:val="right"/>
              <w:rPr>
                <w:sz w:val="16"/>
                <w:szCs w:val="16"/>
              </w:rPr>
            </w:pPr>
            <w:r w:rsidRPr="004F1B86">
              <w:rPr>
                <w:sz w:val="16"/>
                <w:szCs w:val="16"/>
              </w:rPr>
              <w:t>8,188</w:t>
            </w:r>
          </w:p>
        </w:tc>
      </w:tr>
      <w:tr w:rsidR="004E1367" w14:paraId="4B4B382E" w14:textId="77777777" w:rsidTr="009177DD">
        <w:tc>
          <w:tcPr>
            <w:tcW w:w="1088" w:type="dxa"/>
            <w:tcBorders>
              <w:top w:val="single" w:sz="4" w:space="0" w:color="A6A6A6" w:themeColor="background1" w:themeShade="A6"/>
              <w:left w:val="nil"/>
              <w:bottom w:val="single" w:sz="4" w:space="0" w:color="A6A6A6" w:themeColor="background1" w:themeShade="A6"/>
              <w:right w:val="nil"/>
            </w:tcBorders>
          </w:tcPr>
          <w:p w14:paraId="5CD18E1B" w14:textId="77777777" w:rsidR="004E1367" w:rsidRPr="004F1B86" w:rsidRDefault="004E1367" w:rsidP="004E1367">
            <w:pPr>
              <w:pStyle w:val="TableText"/>
              <w:ind w:right="-154"/>
              <w:rPr>
                <w:sz w:val="16"/>
                <w:szCs w:val="16"/>
              </w:rPr>
            </w:pPr>
            <w:r w:rsidRPr="004F1B86">
              <w:rPr>
                <w:sz w:val="16"/>
                <w:szCs w:val="16"/>
              </w:rPr>
              <w:t>Asian</w:t>
            </w:r>
          </w:p>
        </w:tc>
        <w:tc>
          <w:tcPr>
            <w:tcW w:w="1204" w:type="dxa"/>
            <w:gridSpan w:val="2"/>
            <w:tcBorders>
              <w:top w:val="single" w:sz="4" w:space="0" w:color="A6A6A6" w:themeColor="background1" w:themeShade="A6"/>
              <w:left w:val="nil"/>
              <w:bottom w:val="single" w:sz="4" w:space="0" w:color="A6A6A6" w:themeColor="background1" w:themeShade="A6"/>
              <w:right w:val="nil"/>
            </w:tcBorders>
          </w:tcPr>
          <w:p w14:paraId="6E45999E" w14:textId="6A365339" w:rsidR="004E1367" w:rsidRPr="004F1B86" w:rsidRDefault="004E1367" w:rsidP="004E1367">
            <w:pPr>
              <w:pStyle w:val="TableText"/>
              <w:jc w:val="right"/>
              <w:rPr>
                <w:sz w:val="16"/>
                <w:szCs w:val="16"/>
              </w:rPr>
            </w:pPr>
            <w:r w:rsidRPr="004F1B86">
              <w:rPr>
                <w:sz w:val="16"/>
                <w:szCs w:val="16"/>
              </w:rPr>
              <w:t>2,405</w:t>
            </w:r>
          </w:p>
        </w:tc>
        <w:tc>
          <w:tcPr>
            <w:tcW w:w="1186" w:type="dxa"/>
            <w:tcBorders>
              <w:top w:val="single" w:sz="4" w:space="0" w:color="A6A6A6" w:themeColor="background1" w:themeShade="A6"/>
              <w:left w:val="nil"/>
              <w:bottom w:val="single" w:sz="4" w:space="0" w:color="A6A6A6" w:themeColor="background1" w:themeShade="A6"/>
              <w:right w:val="nil"/>
            </w:tcBorders>
          </w:tcPr>
          <w:p w14:paraId="7F232D3E" w14:textId="0FEBDAA6" w:rsidR="004E1367" w:rsidRPr="004F1B86" w:rsidRDefault="004E1367" w:rsidP="004E1367">
            <w:pPr>
              <w:pStyle w:val="TableText"/>
              <w:jc w:val="right"/>
              <w:rPr>
                <w:sz w:val="16"/>
                <w:szCs w:val="16"/>
              </w:rPr>
            </w:pPr>
            <w:r w:rsidRPr="004F1B86">
              <w:rPr>
                <w:sz w:val="16"/>
                <w:szCs w:val="16"/>
              </w:rPr>
              <w:t>2,261</w:t>
            </w:r>
          </w:p>
        </w:tc>
        <w:tc>
          <w:tcPr>
            <w:tcW w:w="1186" w:type="dxa"/>
            <w:tcBorders>
              <w:top w:val="single" w:sz="4" w:space="0" w:color="A6A6A6" w:themeColor="background1" w:themeShade="A6"/>
              <w:left w:val="nil"/>
              <w:bottom w:val="single" w:sz="4" w:space="0" w:color="A6A6A6" w:themeColor="background1" w:themeShade="A6"/>
              <w:right w:val="nil"/>
            </w:tcBorders>
          </w:tcPr>
          <w:p w14:paraId="038BA4A1" w14:textId="53F6C1FB" w:rsidR="004E1367" w:rsidRPr="004F1B86" w:rsidRDefault="004E1367" w:rsidP="004E1367">
            <w:pPr>
              <w:pStyle w:val="TableText"/>
              <w:jc w:val="right"/>
              <w:rPr>
                <w:sz w:val="16"/>
                <w:szCs w:val="16"/>
              </w:rPr>
            </w:pPr>
            <w:r w:rsidRPr="004F1B86">
              <w:rPr>
                <w:sz w:val="16"/>
                <w:szCs w:val="16"/>
              </w:rPr>
              <w:t>2,056</w:t>
            </w:r>
          </w:p>
        </w:tc>
        <w:tc>
          <w:tcPr>
            <w:tcW w:w="1186" w:type="dxa"/>
            <w:tcBorders>
              <w:top w:val="single" w:sz="4" w:space="0" w:color="A6A6A6" w:themeColor="background1" w:themeShade="A6"/>
              <w:left w:val="nil"/>
              <w:bottom w:val="single" w:sz="4" w:space="0" w:color="A6A6A6" w:themeColor="background1" w:themeShade="A6"/>
              <w:right w:val="nil"/>
            </w:tcBorders>
          </w:tcPr>
          <w:p w14:paraId="1F3766C4" w14:textId="11E5C040" w:rsidR="004E1367" w:rsidRPr="004F1B86" w:rsidRDefault="004E1367" w:rsidP="004E1367">
            <w:pPr>
              <w:pStyle w:val="TableText"/>
              <w:jc w:val="right"/>
              <w:rPr>
                <w:sz w:val="16"/>
                <w:szCs w:val="16"/>
              </w:rPr>
            </w:pPr>
            <w:r w:rsidRPr="004F1B86">
              <w:rPr>
                <w:sz w:val="16"/>
                <w:szCs w:val="16"/>
              </w:rPr>
              <w:t>2,200</w:t>
            </w:r>
          </w:p>
        </w:tc>
        <w:tc>
          <w:tcPr>
            <w:tcW w:w="1186" w:type="dxa"/>
            <w:tcBorders>
              <w:top w:val="single" w:sz="4" w:space="0" w:color="A6A6A6" w:themeColor="background1" w:themeShade="A6"/>
              <w:left w:val="nil"/>
              <w:bottom w:val="single" w:sz="4" w:space="0" w:color="A6A6A6" w:themeColor="background1" w:themeShade="A6"/>
              <w:right w:val="nil"/>
            </w:tcBorders>
          </w:tcPr>
          <w:p w14:paraId="2B6E4279" w14:textId="7EA89FED" w:rsidR="004E1367" w:rsidRPr="004F1B86" w:rsidRDefault="004E1367" w:rsidP="004E1367">
            <w:pPr>
              <w:pStyle w:val="TableText"/>
              <w:jc w:val="right"/>
              <w:rPr>
                <w:sz w:val="16"/>
                <w:szCs w:val="16"/>
              </w:rPr>
            </w:pPr>
            <w:r w:rsidRPr="004F1B86">
              <w:rPr>
                <w:sz w:val="16"/>
                <w:szCs w:val="16"/>
              </w:rPr>
              <w:t>2</w:t>
            </w:r>
            <w:r w:rsidR="007C0172">
              <w:rPr>
                <w:sz w:val="16"/>
                <w:szCs w:val="16"/>
              </w:rPr>
              <w:t>,156</w:t>
            </w:r>
          </w:p>
        </w:tc>
        <w:tc>
          <w:tcPr>
            <w:tcW w:w="1186" w:type="dxa"/>
            <w:gridSpan w:val="2"/>
            <w:tcBorders>
              <w:top w:val="single" w:sz="4" w:space="0" w:color="A6A6A6" w:themeColor="background1" w:themeShade="A6"/>
              <w:left w:val="nil"/>
              <w:bottom w:val="single" w:sz="4" w:space="0" w:color="A6A6A6" w:themeColor="background1" w:themeShade="A6"/>
              <w:right w:val="nil"/>
            </w:tcBorders>
          </w:tcPr>
          <w:p w14:paraId="3FF8EA8F" w14:textId="277C54A3" w:rsidR="004E1367" w:rsidRPr="004F1B86" w:rsidRDefault="004E1367" w:rsidP="004E1367">
            <w:pPr>
              <w:pStyle w:val="TableText"/>
              <w:jc w:val="right"/>
              <w:rPr>
                <w:sz w:val="16"/>
                <w:szCs w:val="16"/>
              </w:rPr>
            </w:pPr>
            <w:r w:rsidRPr="004F1B86">
              <w:rPr>
                <w:sz w:val="16"/>
                <w:szCs w:val="16"/>
              </w:rPr>
              <w:t>2,449</w:t>
            </w:r>
          </w:p>
        </w:tc>
      </w:tr>
      <w:tr w:rsidR="004E1367" w14:paraId="0E99A9FA" w14:textId="77777777" w:rsidTr="009177DD">
        <w:tc>
          <w:tcPr>
            <w:tcW w:w="1088" w:type="dxa"/>
            <w:tcBorders>
              <w:top w:val="single" w:sz="4" w:space="0" w:color="A6A6A6" w:themeColor="background1" w:themeShade="A6"/>
              <w:left w:val="nil"/>
              <w:bottom w:val="single" w:sz="4" w:space="0" w:color="A6A6A6" w:themeColor="background1" w:themeShade="A6"/>
              <w:right w:val="nil"/>
            </w:tcBorders>
          </w:tcPr>
          <w:p w14:paraId="1FB71A73" w14:textId="77777777" w:rsidR="004E1367" w:rsidRPr="004F1B86" w:rsidRDefault="004E1367" w:rsidP="004E1367">
            <w:pPr>
              <w:pStyle w:val="TableText"/>
              <w:ind w:right="-154"/>
              <w:rPr>
                <w:sz w:val="16"/>
                <w:szCs w:val="16"/>
              </w:rPr>
            </w:pPr>
            <w:r w:rsidRPr="004F1B86">
              <w:rPr>
                <w:sz w:val="16"/>
                <w:szCs w:val="16"/>
              </w:rPr>
              <w:t>Non-Māori non-Pacific non-Asian (or other)</w:t>
            </w:r>
          </w:p>
        </w:tc>
        <w:tc>
          <w:tcPr>
            <w:tcW w:w="1204" w:type="dxa"/>
            <w:gridSpan w:val="2"/>
            <w:tcBorders>
              <w:top w:val="single" w:sz="4" w:space="0" w:color="A6A6A6" w:themeColor="background1" w:themeShade="A6"/>
              <w:left w:val="nil"/>
              <w:bottom w:val="single" w:sz="4" w:space="0" w:color="A6A6A6" w:themeColor="background1" w:themeShade="A6"/>
              <w:right w:val="nil"/>
            </w:tcBorders>
          </w:tcPr>
          <w:p w14:paraId="4E7E6A2B" w14:textId="311028D3" w:rsidR="004E1367" w:rsidRPr="004F1B86" w:rsidRDefault="004E1367" w:rsidP="004E1367">
            <w:pPr>
              <w:pStyle w:val="TableText"/>
              <w:jc w:val="right"/>
              <w:rPr>
                <w:sz w:val="16"/>
                <w:szCs w:val="16"/>
              </w:rPr>
            </w:pPr>
            <w:r w:rsidRPr="004F1B86">
              <w:rPr>
                <w:sz w:val="16"/>
                <w:szCs w:val="16"/>
              </w:rPr>
              <w:t>3,173</w:t>
            </w:r>
          </w:p>
        </w:tc>
        <w:tc>
          <w:tcPr>
            <w:tcW w:w="1186" w:type="dxa"/>
            <w:tcBorders>
              <w:top w:val="single" w:sz="4" w:space="0" w:color="A6A6A6" w:themeColor="background1" w:themeShade="A6"/>
              <w:left w:val="nil"/>
              <w:bottom w:val="single" w:sz="4" w:space="0" w:color="A6A6A6" w:themeColor="background1" w:themeShade="A6"/>
              <w:right w:val="nil"/>
            </w:tcBorders>
          </w:tcPr>
          <w:p w14:paraId="62BBDCE5" w14:textId="5DE483BD" w:rsidR="004E1367" w:rsidRPr="004F1B86" w:rsidRDefault="004E1367" w:rsidP="004E1367">
            <w:pPr>
              <w:pStyle w:val="TableText"/>
              <w:jc w:val="right"/>
              <w:rPr>
                <w:sz w:val="16"/>
                <w:szCs w:val="16"/>
              </w:rPr>
            </w:pPr>
            <w:r w:rsidRPr="004F1B86">
              <w:rPr>
                <w:sz w:val="16"/>
                <w:szCs w:val="16"/>
              </w:rPr>
              <w:t>3,095</w:t>
            </w:r>
          </w:p>
        </w:tc>
        <w:tc>
          <w:tcPr>
            <w:tcW w:w="1186" w:type="dxa"/>
            <w:tcBorders>
              <w:top w:val="single" w:sz="4" w:space="0" w:color="A6A6A6" w:themeColor="background1" w:themeShade="A6"/>
              <w:left w:val="nil"/>
              <w:bottom w:val="single" w:sz="4" w:space="0" w:color="A6A6A6" w:themeColor="background1" w:themeShade="A6"/>
              <w:right w:val="nil"/>
            </w:tcBorders>
          </w:tcPr>
          <w:p w14:paraId="5C161EE6" w14:textId="42C13483" w:rsidR="004E1367" w:rsidRPr="004F1B86" w:rsidRDefault="004E1367" w:rsidP="004E1367">
            <w:pPr>
              <w:pStyle w:val="TableText"/>
              <w:jc w:val="right"/>
              <w:rPr>
                <w:sz w:val="16"/>
                <w:szCs w:val="16"/>
              </w:rPr>
            </w:pPr>
            <w:r w:rsidRPr="004F1B86">
              <w:rPr>
                <w:sz w:val="16"/>
                <w:szCs w:val="16"/>
              </w:rPr>
              <w:t>2,893</w:t>
            </w:r>
          </w:p>
        </w:tc>
        <w:tc>
          <w:tcPr>
            <w:tcW w:w="1186" w:type="dxa"/>
            <w:tcBorders>
              <w:top w:val="single" w:sz="4" w:space="0" w:color="A6A6A6" w:themeColor="background1" w:themeShade="A6"/>
              <w:left w:val="nil"/>
              <w:bottom w:val="single" w:sz="4" w:space="0" w:color="A6A6A6" w:themeColor="background1" w:themeShade="A6"/>
              <w:right w:val="nil"/>
            </w:tcBorders>
          </w:tcPr>
          <w:p w14:paraId="57AC31FF" w14:textId="22670372" w:rsidR="004E1367" w:rsidRPr="004F1B86" w:rsidRDefault="004E1367" w:rsidP="004E1367">
            <w:pPr>
              <w:pStyle w:val="TableText"/>
              <w:jc w:val="right"/>
              <w:rPr>
                <w:sz w:val="16"/>
                <w:szCs w:val="16"/>
              </w:rPr>
            </w:pPr>
            <w:r w:rsidRPr="004F1B86">
              <w:rPr>
                <w:sz w:val="16"/>
                <w:szCs w:val="16"/>
              </w:rPr>
              <w:t>2,971</w:t>
            </w:r>
          </w:p>
        </w:tc>
        <w:tc>
          <w:tcPr>
            <w:tcW w:w="1186" w:type="dxa"/>
            <w:tcBorders>
              <w:top w:val="single" w:sz="4" w:space="0" w:color="A6A6A6" w:themeColor="background1" w:themeShade="A6"/>
              <w:left w:val="nil"/>
              <w:bottom w:val="single" w:sz="4" w:space="0" w:color="A6A6A6" w:themeColor="background1" w:themeShade="A6"/>
              <w:right w:val="nil"/>
            </w:tcBorders>
          </w:tcPr>
          <w:p w14:paraId="0406F8AE" w14:textId="4CDF728A" w:rsidR="004E1367" w:rsidRPr="004F1B86" w:rsidRDefault="004E1367" w:rsidP="004E1367">
            <w:pPr>
              <w:pStyle w:val="TableText"/>
              <w:jc w:val="right"/>
              <w:rPr>
                <w:sz w:val="16"/>
                <w:szCs w:val="16"/>
              </w:rPr>
            </w:pPr>
            <w:r w:rsidRPr="004F1B86">
              <w:rPr>
                <w:sz w:val="16"/>
                <w:szCs w:val="16"/>
              </w:rPr>
              <w:t>3,0</w:t>
            </w:r>
            <w:r w:rsidR="007C0172">
              <w:rPr>
                <w:sz w:val="16"/>
                <w:szCs w:val="16"/>
              </w:rPr>
              <w:t>28</w:t>
            </w:r>
          </w:p>
        </w:tc>
        <w:tc>
          <w:tcPr>
            <w:tcW w:w="1186" w:type="dxa"/>
            <w:gridSpan w:val="2"/>
            <w:tcBorders>
              <w:top w:val="single" w:sz="4" w:space="0" w:color="A6A6A6" w:themeColor="background1" w:themeShade="A6"/>
              <w:left w:val="nil"/>
              <w:bottom w:val="single" w:sz="4" w:space="0" w:color="A6A6A6" w:themeColor="background1" w:themeShade="A6"/>
              <w:right w:val="nil"/>
            </w:tcBorders>
          </w:tcPr>
          <w:p w14:paraId="1A7ED40D" w14:textId="71C9632D" w:rsidR="004E1367" w:rsidRPr="004F1B86" w:rsidRDefault="004E1367" w:rsidP="004E1367">
            <w:pPr>
              <w:pStyle w:val="TableText"/>
              <w:jc w:val="right"/>
              <w:rPr>
                <w:sz w:val="16"/>
                <w:szCs w:val="16"/>
              </w:rPr>
            </w:pPr>
            <w:r w:rsidRPr="004F1B86">
              <w:rPr>
                <w:sz w:val="16"/>
                <w:szCs w:val="16"/>
              </w:rPr>
              <w:t>3,063</w:t>
            </w:r>
          </w:p>
        </w:tc>
      </w:tr>
    </w:tbl>
    <w:p w14:paraId="1592CE9D" w14:textId="77777777" w:rsidR="00874C6C" w:rsidRDefault="004E1367" w:rsidP="004E1367">
      <w:pPr>
        <w:pStyle w:val="Note"/>
      </w:pPr>
      <w:r w:rsidRPr="004E1367">
        <w:t>* At the time of publication, the most up-to-date data available is for the 12 months to March 2024. We have used 12 months of data to take account of seasonal fluctuations in the rate.</w:t>
      </w:r>
    </w:p>
    <w:p w14:paraId="5F6C442B" w14:textId="77777777" w:rsidR="004E1367" w:rsidRDefault="004E1367" w:rsidP="004E1367"/>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222"/>
      </w:tblGrid>
      <w:tr w:rsidR="004E1367" w14:paraId="650C47F2" w14:textId="77777777" w:rsidTr="009177DD">
        <w:tc>
          <w:tcPr>
            <w:tcW w:w="8222" w:type="dxa"/>
            <w:shd w:val="clear" w:color="auto" w:fill="F2F2F2" w:themeFill="background1" w:themeFillShade="F2"/>
          </w:tcPr>
          <w:p w14:paraId="2F514956" w14:textId="77777777" w:rsidR="004E1367" w:rsidRDefault="004E1367" w:rsidP="009177DD">
            <w:pPr>
              <w:spacing w:before="120" w:after="120"/>
              <w:rPr>
                <w:b/>
                <w:bCs/>
              </w:rPr>
            </w:pPr>
            <w:r w:rsidRPr="008D5FB2">
              <w:rPr>
                <w:b/>
                <w:bCs/>
              </w:rPr>
              <w:t>Comment</w:t>
            </w:r>
          </w:p>
          <w:p w14:paraId="11217DEE" w14:textId="77777777" w:rsidR="004E1367" w:rsidRDefault="004E1367" w:rsidP="00E24D67">
            <w:pPr>
              <w:spacing w:before="120" w:after="120" w:line="240" w:lineRule="auto"/>
            </w:pPr>
            <w:r>
              <w:t>Ambulatory Sensitive Hospitalisations (ASH) are a group of mostly acute admissions that are considered potentially reducible through prophylactic or therapeutic interventions delivered in a primary care setting.</w:t>
            </w:r>
          </w:p>
          <w:p w14:paraId="4CE8CFED" w14:textId="77777777" w:rsidR="004E1367" w:rsidRDefault="004E1367" w:rsidP="00E24D67">
            <w:pPr>
              <w:spacing w:before="120" w:after="120" w:line="240" w:lineRule="auto"/>
            </w:pPr>
            <w:r>
              <w:t>As a likely consequence of COVID-19, the number of adult ASH admissions decreased in the year ending March 2021. The rate then increased steadily from the year ending March 2022 through to the year ending March 2024 and is now close to levels before COVID-19. Higher ASH rates for Māori and Pacific populations remain concerning and are a key focus for improvement.</w:t>
            </w:r>
          </w:p>
          <w:p w14:paraId="4D663501" w14:textId="1A7DA758" w:rsidR="004E1367" w:rsidRPr="00085055" w:rsidRDefault="004E1367" w:rsidP="00E24D67">
            <w:pPr>
              <w:spacing w:before="120" w:after="120" w:line="240" w:lineRule="auto"/>
              <w:rPr>
                <w:b/>
                <w:bCs/>
              </w:rPr>
            </w:pPr>
            <w:r>
              <w:t>The ASH numbers reported for 2023/24 differ from the previous year’s reporting due to the numbers changing as the underlying system National Minimum Dataset is live and districts can retrospectively update records in the system – this includes adding, amending or removing records in prior years</w:t>
            </w:r>
          </w:p>
        </w:tc>
      </w:tr>
    </w:tbl>
    <w:p w14:paraId="3F67D450" w14:textId="77777777" w:rsidR="004E1367" w:rsidRDefault="004E1367" w:rsidP="004E1367"/>
    <w:p w14:paraId="3DEBCE23" w14:textId="77777777" w:rsidR="009177DD" w:rsidRDefault="009177DD" w:rsidP="009177DD"/>
    <w:p w14:paraId="6E06E5D0" w14:textId="77777777" w:rsidR="009177DD" w:rsidRDefault="009177DD" w:rsidP="009177DD">
      <w:pPr>
        <w:sectPr w:rsidR="009177DD" w:rsidSect="008F0115">
          <w:pgSz w:w="11907" w:h="16840" w:code="9"/>
          <w:pgMar w:top="1418" w:right="1701" w:bottom="1134" w:left="1843" w:header="284" w:footer="425" w:gutter="284"/>
          <w:cols w:space="720"/>
        </w:sectPr>
      </w:pPr>
    </w:p>
    <w:tbl>
      <w:tblPr>
        <w:tblStyle w:val="TableGrid"/>
        <w:tblW w:w="822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88"/>
        <w:gridCol w:w="77"/>
        <w:gridCol w:w="1127"/>
        <w:gridCol w:w="1186"/>
        <w:gridCol w:w="1186"/>
        <w:gridCol w:w="1186"/>
        <w:gridCol w:w="1186"/>
        <w:gridCol w:w="1044"/>
        <w:gridCol w:w="142"/>
      </w:tblGrid>
      <w:tr w:rsidR="009177DD" w14:paraId="5A8EE581" w14:textId="77777777" w:rsidTr="009177DD">
        <w:trPr>
          <w:gridAfter w:val="1"/>
          <w:wAfter w:w="142" w:type="dxa"/>
        </w:trPr>
        <w:tc>
          <w:tcPr>
            <w:tcW w:w="8080" w:type="dxa"/>
            <w:gridSpan w:val="8"/>
            <w:tcBorders>
              <w:top w:val="nil"/>
              <w:left w:val="nil"/>
              <w:bottom w:val="nil"/>
              <w:right w:val="nil"/>
            </w:tcBorders>
            <w:shd w:val="clear" w:color="auto" w:fill="D9D9D9" w:themeFill="background1" w:themeFillShade="D9"/>
            <w:hideMark/>
          </w:tcPr>
          <w:p w14:paraId="19AB4551" w14:textId="55BB9416" w:rsidR="009177DD" w:rsidRDefault="009177DD" w:rsidP="009177DD">
            <w:pPr>
              <w:pStyle w:val="TableText"/>
              <w:rPr>
                <w:b/>
                <w:bCs/>
              </w:rPr>
            </w:pPr>
            <w:r w:rsidRPr="009177DD">
              <w:rPr>
                <w:b/>
                <w:bCs/>
              </w:rPr>
              <w:lastRenderedPageBreak/>
              <w:t>Shorter stays in emergency departments</w:t>
            </w:r>
          </w:p>
        </w:tc>
      </w:tr>
      <w:tr w:rsidR="009177DD" w14:paraId="4DFF349F" w14:textId="77777777" w:rsidTr="009177DD">
        <w:trPr>
          <w:gridAfter w:val="1"/>
          <w:wAfter w:w="142" w:type="dxa"/>
        </w:trPr>
        <w:tc>
          <w:tcPr>
            <w:tcW w:w="1165" w:type="dxa"/>
            <w:gridSpan w:val="2"/>
            <w:tcBorders>
              <w:top w:val="nil"/>
              <w:left w:val="nil"/>
              <w:bottom w:val="single" w:sz="4" w:space="0" w:color="A6A6A6" w:themeColor="background1" w:themeShade="A6"/>
              <w:right w:val="nil"/>
            </w:tcBorders>
            <w:hideMark/>
          </w:tcPr>
          <w:p w14:paraId="37075EBB" w14:textId="77777777" w:rsidR="009177DD" w:rsidRDefault="009177DD" w:rsidP="009177DD">
            <w:pPr>
              <w:pStyle w:val="TableText"/>
              <w:rPr>
                <w:b/>
                <w:bCs/>
              </w:rPr>
            </w:pPr>
            <w:r>
              <w:rPr>
                <w:b/>
                <w:bCs/>
              </w:rPr>
              <w:t>Indicator description</w:t>
            </w:r>
          </w:p>
        </w:tc>
        <w:tc>
          <w:tcPr>
            <w:tcW w:w="6915" w:type="dxa"/>
            <w:gridSpan w:val="6"/>
            <w:tcBorders>
              <w:top w:val="nil"/>
              <w:left w:val="nil"/>
              <w:bottom w:val="single" w:sz="4" w:space="0" w:color="A6A6A6" w:themeColor="background1" w:themeShade="A6"/>
              <w:right w:val="nil"/>
            </w:tcBorders>
            <w:hideMark/>
          </w:tcPr>
          <w:p w14:paraId="30C9EFBF" w14:textId="5936C404" w:rsidR="009177DD" w:rsidRPr="00874C6C" w:rsidRDefault="009177DD" w:rsidP="009177DD">
            <w:pPr>
              <w:pStyle w:val="TableText"/>
            </w:pPr>
            <w:r w:rsidRPr="009177DD">
              <w:t>The percentage of emergency department (ED) patients who are admitted, discharged, or transferred from an ED within six hours.</w:t>
            </w:r>
          </w:p>
        </w:tc>
      </w:tr>
      <w:tr w:rsidR="009177DD" w14:paraId="4C9E58DC" w14:textId="77777777" w:rsidTr="009177DD">
        <w:trPr>
          <w:gridAfter w:val="1"/>
          <w:wAfter w:w="142" w:type="dxa"/>
        </w:trPr>
        <w:tc>
          <w:tcPr>
            <w:tcW w:w="1165" w:type="dxa"/>
            <w:gridSpan w:val="2"/>
            <w:tcBorders>
              <w:top w:val="single" w:sz="4" w:space="0" w:color="A6A6A6" w:themeColor="background1" w:themeShade="A6"/>
              <w:left w:val="nil"/>
              <w:bottom w:val="single" w:sz="4" w:space="0" w:color="A6A6A6" w:themeColor="background1" w:themeShade="A6"/>
              <w:right w:val="nil"/>
            </w:tcBorders>
            <w:hideMark/>
          </w:tcPr>
          <w:p w14:paraId="5292A77B" w14:textId="77777777" w:rsidR="009177DD" w:rsidRDefault="009177DD" w:rsidP="009177DD">
            <w:pPr>
              <w:pStyle w:val="TableText"/>
              <w:rPr>
                <w:b/>
                <w:bCs/>
              </w:rPr>
            </w:pPr>
            <w:r>
              <w:rPr>
                <w:b/>
                <w:bCs/>
              </w:rPr>
              <w:t>Baseline data</w:t>
            </w:r>
          </w:p>
        </w:tc>
        <w:tc>
          <w:tcPr>
            <w:tcW w:w="6915" w:type="dxa"/>
            <w:gridSpan w:val="6"/>
            <w:tcBorders>
              <w:top w:val="single" w:sz="4" w:space="0" w:color="A6A6A6" w:themeColor="background1" w:themeShade="A6"/>
              <w:left w:val="nil"/>
              <w:bottom w:val="single" w:sz="4" w:space="0" w:color="A6A6A6" w:themeColor="background1" w:themeShade="A6"/>
              <w:right w:val="nil"/>
            </w:tcBorders>
            <w:hideMark/>
          </w:tcPr>
          <w:p w14:paraId="5F2FECDA" w14:textId="4056BA65" w:rsidR="009177DD" w:rsidRPr="00874C6C" w:rsidRDefault="009177DD" w:rsidP="009177DD">
            <w:pPr>
              <w:pStyle w:val="TableText"/>
            </w:pPr>
            <w:r w:rsidRPr="009177DD">
              <w:t>1,055,552 out of 1,194,864 ED attendances were admitted, discharged, or transferred within six hours (88.3%) in the 12 months to March 2019.</w:t>
            </w:r>
          </w:p>
        </w:tc>
      </w:tr>
      <w:tr w:rsidR="009177DD" w14:paraId="0247CB2D" w14:textId="77777777" w:rsidTr="009177DD">
        <w:trPr>
          <w:gridAfter w:val="1"/>
          <w:wAfter w:w="142" w:type="dxa"/>
        </w:trPr>
        <w:tc>
          <w:tcPr>
            <w:tcW w:w="8080" w:type="dxa"/>
            <w:gridSpan w:val="8"/>
            <w:tcBorders>
              <w:top w:val="single" w:sz="4" w:space="0" w:color="A6A6A6" w:themeColor="background1" w:themeShade="A6"/>
              <w:left w:val="nil"/>
              <w:bottom w:val="single" w:sz="4" w:space="0" w:color="A6A6A6" w:themeColor="background1" w:themeShade="A6"/>
              <w:right w:val="nil"/>
            </w:tcBorders>
            <w:shd w:val="clear" w:color="auto" w:fill="FFFFFF" w:themeFill="background1"/>
            <w:hideMark/>
          </w:tcPr>
          <w:p w14:paraId="71C3DED0" w14:textId="26989377" w:rsidR="009177DD" w:rsidRDefault="00E24D67" w:rsidP="009177DD">
            <w:pPr>
              <w:pStyle w:val="TableText"/>
              <w:keepNext/>
              <w:rPr>
                <w:b/>
                <w:bCs/>
              </w:rPr>
            </w:pPr>
            <w:r w:rsidRPr="00E24D67">
              <w:rPr>
                <w:b/>
                <w:bCs/>
              </w:rPr>
              <w:t>Results (Distinct count of ED attendances where minutes between date and time of presentation, to date and time of departure is less than 360 minutes (6 hours) ending 31 March*)</w:t>
            </w:r>
          </w:p>
        </w:tc>
      </w:tr>
      <w:tr w:rsidR="009177DD" w14:paraId="5D1CDB8D" w14:textId="77777777" w:rsidTr="009177DD">
        <w:tc>
          <w:tcPr>
            <w:tcW w:w="1088"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174A2955" w14:textId="77777777" w:rsidR="009177DD" w:rsidRPr="004F1B86" w:rsidRDefault="009177DD" w:rsidP="009177DD">
            <w:pPr>
              <w:pStyle w:val="TableText"/>
              <w:rPr>
                <w:b/>
                <w:bCs/>
                <w:sz w:val="16"/>
                <w:szCs w:val="16"/>
              </w:rPr>
            </w:pPr>
          </w:p>
        </w:tc>
        <w:tc>
          <w:tcPr>
            <w:tcW w:w="120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13206D43" w14:textId="77777777" w:rsidR="009177DD" w:rsidRPr="004F1B86" w:rsidRDefault="009177DD" w:rsidP="009177DD">
            <w:pPr>
              <w:pStyle w:val="TableText"/>
              <w:jc w:val="right"/>
              <w:rPr>
                <w:b/>
                <w:bCs/>
                <w:sz w:val="16"/>
                <w:szCs w:val="16"/>
              </w:rPr>
            </w:pPr>
            <w:r w:rsidRPr="004F1B86">
              <w:rPr>
                <w:b/>
                <w:bCs/>
                <w:sz w:val="16"/>
                <w:szCs w:val="16"/>
              </w:rPr>
              <w:t>Baseline (12 months to March 2019)</w:t>
            </w:r>
          </w:p>
        </w:tc>
        <w:tc>
          <w:tcPr>
            <w:tcW w:w="11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5E0C637A" w14:textId="77777777" w:rsidR="009177DD" w:rsidRPr="004F1B86" w:rsidRDefault="009177DD" w:rsidP="009177DD">
            <w:pPr>
              <w:pStyle w:val="TableText"/>
              <w:jc w:val="right"/>
              <w:rPr>
                <w:b/>
                <w:bCs/>
                <w:sz w:val="16"/>
                <w:szCs w:val="16"/>
              </w:rPr>
            </w:pPr>
            <w:r w:rsidRPr="004F1B86">
              <w:rPr>
                <w:b/>
                <w:bCs/>
                <w:sz w:val="16"/>
                <w:szCs w:val="16"/>
              </w:rPr>
              <w:t>12 months to March 2020</w:t>
            </w:r>
          </w:p>
        </w:tc>
        <w:tc>
          <w:tcPr>
            <w:tcW w:w="11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1C512BBE" w14:textId="77777777" w:rsidR="009177DD" w:rsidRPr="004F1B86" w:rsidRDefault="009177DD" w:rsidP="009177DD">
            <w:pPr>
              <w:pStyle w:val="TableText"/>
              <w:jc w:val="right"/>
              <w:rPr>
                <w:b/>
                <w:bCs/>
                <w:sz w:val="16"/>
                <w:szCs w:val="16"/>
              </w:rPr>
            </w:pPr>
            <w:r w:rsidRPr="004F1B86">
              <w:rPr>
                <w:b/>
                <w:bCs/>
                <w:sz w:val="16"/>
                <w:szCs w:val="16"/>
              </w:rPr>
              <w:t>12 months to March 2021</w:t>
            </w:r>
          </w:p>
        </w:tc>
        <w:tc>
          <w:tcPr>
            <w:tcW w:w="11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7107EB7E" w14:textId="77777777" w:rsidR="009177DD" w:rsidRPr="004F1B86" w:rsidRDefault="009177DD" w:rsidP="009177DD">
            <w:pPr>
              <w:pStyle w:val="TableText"/>
              <w:jc w:val="right"/>
              <w:rPr>
                <w:b/>
                <w:bCs/>
                <w:sz w:val="16"/>
                <w:szCs w:val="16"/>
              </w:rPr>
            </w:pPr>
            <w:r w:rsidRPr="004F1B86">
              <w:rPr>
                <w:b/>
                <w:bCs/>
                <w:sz w:val="16"/>
                <w:szCs w:val="16"/>
              </w:rPr>
              <w:t>12 months to March 2022</w:t>
            </w:r>
          </w:p>
        </w:tc>
        <w:tc>
          <w:tcPr>
            <w:tcW w:w="11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57E227F3" w14:textId="77777777" w:rsidR="009177DD" w:rsidRPr="004F1B86" w:rsidRDefault="009177DD" w:rsidP="009177DD">
            <w:pPr>
              <w:pStyle w:val="TableText"/>
              <w:jc w:val="right"/>
              <w:rPr>
                <w:b/>
                <w:bCs/>
                <w:sz w:val="16"/>
                <w:szCs w:val="16"/>
              </w:rPr>
            </w:pPr>
            <w:r w:rsidRPr="004F1B86">
              <w:rPr>
                <w:b/>
                <w:bCs/>
                <w:sz w:val="16"/>
                <w:szCs w:val="16"/>
              </w:rPr>
              <w:t>12 months to March 2023</w:t>
            </w:r>
          </w:p>
        </w:tc>
        <w:tc>
          <w:tcPr>
            <w:tcW w:w="1186"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1A2373C4" w14:textId="77777777" w:rsidR="009177DD" w:rsidRPr="004F1B86" w:rsidRDefault="009177DD" w:rsidP="009177DD">
            <w:pPr>
              <w:pStyle w:val="TableText"/>
              <w:jc w:val="right"/>
              <w:rPr>
                <w:b/>
                <w:bCs/>
                <w:sz w:val="16"/>
                <w:szCs w:val="16"/>
              </w:rPr>
            </w:pPr>
            <w:r w:rsidRPr="004F1B86">
              <w:rPr>
                <w:b/>
                <w:bCs/>
                <w:sz w:val="16"/>
                <w:szCs w:val="16"/>
              </w:rPr>
              <w:t>12 months to March 2024*</w:t>
            </w:r>
          </w:p>
        </w:tc>
      </w:tr>
      <w:tr w:rsidR="00E24D67" w14:paraId="7570AB9D" w14:textId="77777777" w:rsidTr="009177DD">
        <w:tc>
          <w:tcPr>
            <w:tcW w:w="1088" w:type="dxa"/>
            <w:tcBorders>
              <w:top w:val="single" w:sz="4" w:space="0" w:color="A6A6A6" w:themeColor="background1" w:themeShade="A6"/>
              <w:left w:val="nil"/>
              <w:bottom w:val="single" w:sz="4" w:space="0" w:color="A6A6A6" w:themeColor="background1" w:themeShade="A6"/>
              <w:right w:val="nil"/>
            </w:tcBorders>
            <w:hideMark/>
          </w:tcPr>
          <w:p w14:paraId="371F96A7" w14:textId="77777777" w:rsidR="00E24D67" w:rsidRPr="004F1B86" w:rsidRDefault="00E24D67" w:rsidP="00E24D67">
            <w:pPr>
              <w:pStyle w:val="TableText"/>
              <w:ind w:right="-154"/>
              <w:rPr>
                <w:sz w:val="16"/>
                <w:szCs w:val="16"/>
              </w:rPr>
            </w:pPr>
            <w:r w:rsidRPr="004F1B86">
              <w:rPr>
                <w:sz w:val="16"/>
                <w:szCs w:val="16"/>
              </w:rPr>
              <w:t>All Ethnicities</w:t>
            </w:r>
          </w:p>
        </w:tc>
        <w:tc>
          <w:tcPr>
            <w:tcW w:w="1204" w:type="dxa"/>
            <w:gridSpan w:val="2"/>
            <w:tcBorders>
              <w:top w:val="single" w:sz="4" w:space="0" w:color="A6A6A6" w:themeColor="background1" w:themeShade="A6"/>
              <w:left w:val="nil"/>
              <w:bottom w:val="single" w:sz="4" w:space="0" w:color="A6A6A6" w:themeColor="background1" w:themeShade="A6"/>
              <w:right w:val="nil"/>
            </w:tcBorders>
            <w:hideMark/>
          </w:tcPr>
          <w:p w14:paraId="51E343C2" w14:textId="3B20A306" w:rsidR="00E24D67" w:rsidRPr="004F1B86" w:rsidRDefault="00E24D67" w:rsidP="00E24D67">
            <w:pPr>
              <w:pStyle w:val="TableText"/>
              <w:jc w:val="right"/>
              <w:rPr>
                <w:sz w:val="16"/>
                <w:szCs w:val="16"/>
              </w:rPr>
            </w:pPr>
            <w:r w:rsidRPr="004F1B86">
              <w:rPr>
                <w:sz w:val="16"/>
                <w:szCs w:val="16"/>
              </w:rPr>
              <w:t>88.3%</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16AB4112" w14:textId="1B948BB7" w:rsidR="00E24D67" w:rsidRPr="004F1B86" w:rsidRDefault="00E24D67" w:rsidP="00E24D67">
            <w:pPr>
              <w:pStyle w:val="TableText"/>
              <w:jc w:val="right"/>
              <w:rPr>
                <w:sz w:val="16"/>
                <w:szCs w:val="16"/>
              </w:rPr>
            </w:pPr>
            <w:r w:rsidRPr="004F1B86">
              <w:rPr>
                <w:sz w:val="16"/>
                <w:szCs w:val="16"/>
              </w:rPr>
              <w:t>85.4%</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42EC0FFA" w14:textId="7698D7E9" w:rsidR="00E24D67" w:rsidRPr="004F1B86" w:rsidRDefault="00E24D67" w:rsidP="00E24D67">
            <w:pPr>
              <w:pStyle w:val="TableText"/>
              <w:jc w:val="right"/>
              <w:rPr>
                <w:sz w:val="16"/>
                <w:szCs w:val="16"/>
              </w:rPr>
            </w:pPr>
            <w:r w:rsidRPr="004F1B86">
              <w:rPr>
                <w:sz w:val="16"/>
                <w:szCs w:val="16"/>
              </w:rPr>
              <w:t>85.6%</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752DCBC0" w14:textId="7685E225" w:rsidR="00E24D67" w:rsidRPr="004F1B86" w:rsidRDefault="00E24D67" w:rsidP="00E24D67">
            <w:pPr>
              <w:pStyle w:val="TableText"/>
              <w:jc w:val="right"/>
              <w:rPr>
                <w:sz w:val="16"/>
                <w:szCs w:val="16"/>
              </w:rPr>
            </w:pPr>
            <w:r w:rsidRPr="004F1B86">
              <w:rPr>
                <w:sz w:val="16"/>
                <w:szCs w:val="16"/>
              </w:rPr>
              <w:t>80.0%</w:t>
            </w:r>
          </w:p>
        </w:tc>
        <w:tc>
          <w:tcPr>
            <w:tcW w:w="1186" w:type="dxa"/>
            <w:tcBorders>
              <w:top w:val="single" w:sz="4" w:space="0" w:color="A6A6A6" w:themeColor="background1" w:themeShade="A6"/>
              <w:left w:val="nil"/>
              <w:bottom w:val="single" w:sz="4" w:space="0" w:color="A6A6A6" w:themeColor="background1" w:themeShade="A6"/>
              <w:right w:val="nil"/>
            </w:tcBorders>
          </w:tcPr>
          <w:p w14:paraId="78EE6E19" w14:textId="3485733F" w:rsidR="00E24D67" w:rsidRPr="004F1B86" w:rsidRDefault="00E24D67" w:rsidP="00E24D67">
            <w:pPr>
              <w:pStyle w:val="TableText"/>
              <w:jc w:val="right"/>
              <w:rPr>
                <w:sz w:val="16"/>
                <w:szCs w:val="16"/>
              </w:rPr>
            </w:pPr>
            <w:r w:rsidRPr="004F1B86">
              <w:rPr>
                <w:sz w:val="16"/>
                <w:szCs w:val="16"/>
              </w:rPr>
              <w:t>73.0%</w:t>
            </w:r>
          </w:p>
        </w:tc>
        <w:tc>
          <w:tcPr>
            <w:tcW w:w="1186" w:type="dxa"/>
            <w:gridSpan w:val="2"/>
            <w:tcBorders>
              <w:top w:val="single" w:sz="4" w:space="0" w:color="A6A6A6" w:themeColor="background1" w:themeShade="A6"/>
              <w:left w:val="nil"/>
              <w:bottom w:val="single" w:sz="4" w:space="0" w:color="A6A6A6" w:themeColor="background1" w:themeShade="A6"/>
              <w:right w:val="nil"/>
            </w:tcBorders>
            <w:hideMark/>
          </w:tcPr>
          <w:p w14:paraId="6E029DE7" w14:textId="4FB28C57" w:rsidR="00E24D67" w:rsidRPr="004F1B86" w:rsidRDefault="00E24D67" w:rsidP="00E24D67">
            <w:pPr>
              <w:pStyle w:val="TableText"/>
              <w:jc w:val="right"/>
              <w:rPr>
                <w:sz w:val="16"/>
                <w:szCs w:val="16"/>
              </w:rPr>
            </w:pPr>
            <w:r w:rsidRPr="004F1B86">
              <w:rPr>
                <w:sz w:val="16"/>
                <w:szCs w:val="16"/>
              </w:rPr>
              <w:t>69.6%</w:t>
            </w:r>
          </w:p>
        </w:tc>
      </w:tr>
      <w:tr w:rsidR="00E24D67" w14:paraId="75FD92C5" w14:textId="77777777" w:rsidTr="009177DD">
        <w:tc>
          <w:tcPr>
            <w:tcW w:w="1088" w:type="dxa"/>
            <w:tcBorders>
              <w:top w:val="single" w:sz="4" w:space="0" w:color="A6A6A6" w:themeColor="background1" w:themeShade="A6"/>
              <w:left w:val="nil"/>
              <w:bottom w:val="single" w:sz="4" w:space="0" w:color="A6A6A6" w:themeColor="background1" w:themeShade="A6"/>
              <w:right w:val="nil"/>
            </w:tcBorders>
            <w:hideMark/>
          </w:tcPr>
          <w:p w14:paraId="7E749A3F" w14:textId="77777777" w:rsidR="00E24D67" w:rsidRPr="004F1B86" w:rsidRDefault="00E24D67" w:rsidP="00E24D67">
            <w:pPr>
              <w:pStyle w:val="TableText"/>
              <w:ind w:right="-154"/>
              <w:rPr>
                <w:sz w:val="16"/>
                <w:szCs w:val="16"/>
              </w:rPr>
            </w:pPr>
            <w:r w:rsidRPr="004F1B86">
              <w:rPr>
                <w:sz w:val="16"/>
                <w:szCs w:val="16"/>
              </w:rPr>
              <w:t>Māori</w:t>
            </w:r>
          </w:p>
        </w:tc>
        <w:tc>
          <w:tcPr>
            <w:tcW w:w="1204" w:type="dxa"/>
            <w:gridSpan w:val="2"/>
            <w:tcBorders>
              <w:top w:val="single" w:sz="4" w:space="0" w:color="A6A6A6" w:themeColor="background1" w:themeShade="A6"/>
              <w:left w:val="nil"/>
              <w:bottom w:val="single" w:sz="4" w:space="0" w:color="A6A6A6" w:themeColor="background1" w:themeShade="A6"/>
              <w:right w:val="nil"/>
            </w:tcBorders>
            <w:hideMark/>
          </w:tcPr>
          <w:p w14:paraId="5A4E5899" w14:textId="22089E01" w:rsidR="00E24D67" w:rsidRPr="004F1B86" w:rsidRDefault="00E24D67" w:rsidP="00E24D67">
            <w:pPr>
              <w:pStyle w:val="TableText"/>
              <w:jc w:val="right"/>
              <w:rPr>
                <w:sz w:val="16"/>
                <w:szCs w:val="16"/>
              </w:rPr>
            </w:pPr>
            <w:r w:rsidRPr="004F1B86">
              <w:rPr>
                <w:sz w:val="16"/>
                <w:szCs w:val="16"/>
              </w:rPr>
              <w:t>89.0%</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0AA9CD36" w14:textId="5185C99A" w:rsidR="00E24D67" w:rsidRPr="004F1B86" w:rsidRDefault="00E24D67" w:rsidP="00E24D67">
            <w:pPr>
              <w:pStyle w:val="TableText"/>
              <w:jc w:val="right"/>
              <w:rPr>
                <w:sz w:val="16"/>
                <w:szCs w:val="16"/>
              </w:rPr>
            </w:pPr>
            <w:r w:rsidRPr="004F1B86">
              <w:rPr>
                <w:sz w:val="16"/>
                <w:szCs w:val="16"/>
              </w:rPr>
              <w:t>86.6%</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2F324C1D" w14:textId="0982A9F5" w:rsidR="00E24D67" w:rsidRPr="004F1B86" w:rsidRDefault="00E24D67" w:rsidP="00E24D67">
            <w:pPr>
              <w:pStyle w:val="TableText"/>
              <w:jc w:val="right"/>
              <w:rPr>
                <w:sz w:val="16"/>
                <w:szCs w:val="16"/>
              </w:rPr>
            </w:pPr>
            <w:r w:rsidRPr="004F1B86">
              <w:rPr>
                <w:sz w:val="16"/>
                <w:szCs w:val="16"/>
              </w:rPr>
              <w:t>86.9%</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379EB08E" w14:textId="553C0999" w:rsidR="00E24D67" w:rsidRPr="004F1B86" w:rsidRDefault="00E24D67" w:rsidP="00E24D67">
            <w:pPr>
              <w:pStyle w:val="TableText"/>
              <w:jc w:val="right"/>
              <w:rPr>
                <w:sz w:val="16"/>
                <w:szCs w:val="16"/>
              </w:rPr>
            </w:pPr>
            <w:r w:rsidRPr="004F1B86">
              <w:rPr>
                <w:sz w:val="16"/>
                <w:szCs w:val="16"/>
              </w:rPr>
              <w:t>82.3%</w:t>
            </w:r>
          </w:p>
        </w:tc>
        <w:tc>
          <w:tcPr>
            <w:tcW w:w="1186" w:type="dxa"/>
            <w:tcBorders>
              <w:top w:val="single" w:sz="4" w:space="0" w:color="A6A6A6" w:themeColor="background1" w:themeShade="A6"/>
              <w:left w:val="nil"/>
              <w:bottom w:val="single" w:sz="4" w:space="0" w:color="A6A6A6" w:themeColor="background1" w:themeShade="A6"/>
              <w:right w:val="nil"/>
            </w:tcBorders>
          </w:tcPr>
          <w:p w14:paraId="5DE7FE04" w14:textId="3F203DDE" w:rsidR="00E24D67" w:rsidRPr="004F1B86" w:rsidRDefault="00E24D67" w:rsidP="00E24D67">
            <w:pPr>
              <w:pStyle w:val="TableText"/>
              <w:jc w:val="right"/>
              <w:rPr>
                <w:sz w:val="16"/>
                <w:szCs w:val="16"/>
              </w:rPr>
            </w:pPr>
            <w:r w:rsidRPr="004F1B86">
              <w:rPr>
                <w:sz w:val="16"/>
                <w:szCs w:val="16"/>
              </w:rPr>
              <w:t>76.7%</w:t>
            </w:r>
          </w:p>
        </w:tc>
        <w:tc>
          <w:tcPr>
            <w:tcW w:w="1186" w:type="dxa"/>
            <w:gridSpan w:val="2"/>
            <w:tcBorders>
              <w:top w:val="single" w:sz="4" w:space="0" w:color="A6A6A6" w:themeColor="background1" w:themeShade="A6"/>
              <w:left w:val="nil"/>
              <w:bottom w:val="single" w:sz="4" w:space="0" w:color="A6A6A6" w:themeColor="background1" w:themeShade="A6"/>
              <w:right w:val="nil"/>
            </w:tcBorders>
            <w:hideMark/>
          </w:tcPr>
          <w:p w14:paraId="2808D5C4" w14:textId="34E3CA1E" w:rsidR="00E24D67" w:rsidRPr="004F1B86" w:rsidRDefault="00E24D67" w:rsidP="00E24D67">
            <w:pPr>
              <w:pStyle w:val="TableText"/>
              <w:jc w:val="right"/>
              <w:rPr>
                <w:sz w:val="16"/>
                <w:szCs w:val="16"/>
              </w:rPr>
            </w:pPr>
            <w:r w:rsidRPr="004F1B86">
              <w:rPr>
                <w:sz w:val="16"/>
                <w:szCs w:val="16"/>
              </w:rPr>
              <w:t>73.9%</w:t>
            </w:r>
          </w:p>
        </w:tc>
      </w:tr>
      <w:tr w:rsidR="00E24D67" w14:paraId="4282EB63" w14:textId="77777777" w:rsidTr="009177DD">
        <w:tc>
          <w:tcPr>
            <w:tcW w:w="1088" w:type="dxa"/>
            <w:tcBorders>
              <w:top w:val="single" w:sz="4" w:space="0" w:color="A6A6A6" w:themeColor="background1" w:themeShade="A6"/>
              <w:left w:val="nil"/>
              <w:bottom w:val="single" w:sz="4" w:space="0" w:color="A6A6A6" w:themeColor="background1" w:themeShade="A6"/>
              <w:right w:val="nil"/>
            </w:tcBorders>
            <w:hideMark/>
          </w:tcPr>
          <w:p w14:paraId="1BF49637" w14:textId="77777777" w:rsidR="00E24D67" w:rsidRPr="004F1B86" w:rsidRDefault="00E24D67" w:rsidP="00E24D67">
            <w:pPr>
              <w:pStyle w:val="TableText"/>
              <w:ind w:right="-154"/>
              <w:rPr>
                <w:sz w:val="16"/>
                <w:szCs w:val="16"/>
              </w:rPr>
            </w:pPr>
            <w:r w:rsidRPr="004F1B86">
              <w:rPr>
                <w:sz w:val="16"/>
                <w:szCs w:val="16"/>
              </w:rPr>
              <w:t>Pacific peoples</w:t>
            </w:r>
          </w:p>
        </w:tc>
        <w:tc>
          <w:tcPr>
            <w:tcW w:w="1204" w:type="dxa"/>
            <w:gridSpan w:val="2"/>
            <w:tcBorders>
              <w:top w:val="single" w:sz="4" w:space="0" w:color="A6A6A6" w:themeColor="background1" w:themeShade="A6"/>
              <w:left w:val="nil"/>
              <w:bottom w:val="single" w:sz="4" w:space="0" w:color="A6A6A6" w:themeColor="background1" w:themeShade="A6"/>
              <w:right w:val="nil"/>
            </w:tcBorders>
            <w:hideMark/>
          </w:tcPr>
          <w:p w14:paraId="11337F32" w14:textId="68FB1EF0" w:rsidR="00E24D67" w:rsidRPr="004F1B86" w:rsidRDefault="00E24D67" w:rsidP="00E24D67">
            <w:pPr>
              <w:pStyle w:val="TableText"/>
              <w:jc w:val="right"/>
              <w:rPr>
                <w:sz w:val="16"/>
                <w:szCs w:val="16"/>
              </w:rPr>
            </w:pPr>
            <w:r w:rsidRPr="004F1B86">
              <w:rPr>
                <w:sz w:val="16"/>
                <w:szCs w:val="16"/>
              </w:rPr>
              <w:t>89.1%</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7FA35204" w14:textId="7342299F" w:rsidR="00E24D67" w:rsidRPr="004F1B86" w:rsidRDefault="00E24D67" w:rsidP="00E24D67">
            <w:pPr>
              <w:pStyle w:val="TableText"/>
              <w:jc w:val="right"/>
              <w:rPr>
                <w:sz w:val="16"/>
                <w:szCs w:val="16"/>
              </w:rPr>
            </w:pPr>
            <w:r w:rsidRPr="004F1B86">
              <w:rPr>
                <w:sz w:val="16"/>
                <w:szCs w:val="16"/>
              </w:rPr>
              <w:t>85.4%</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378E4DC7" w14:textId="59FC916E" w:rsidR="00E24D67" w:rsidRPr="004F1B86" w:rsidRDefault="00E24D67" w:rsidP="00E24D67">
            <w:pPr>
              <w:pStyle w:val="TableText"/>
              <w:jc w:val="right"/>
              <w:rPr>
                <w:sz w:val="16"/>
                <w:szCs w:val="16"/>
              </w:rPr>
            </w:pPr>
            <w:r w:rsidRPr="004F1B86">
              <w:rPr>
                <w:sz w:val="16"/>
                <w:szCs w:val="16"/>
              </w:rPr>
              <w:t>87.2%</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694A9B8A" w14:textId="1CFD21F3" w:rsidR="00E24D67" w:rsidRPr="004F1B86" w:rsidRDefault="00E24D67" w:rsidP="00E24D67">
            <w:pPr>
              <w:pStyle w:val="TableText"/>
              <w:jc w:val="right"/>
              <w:rPr>
                <w:sz w:val="16"/>
                <w:szCs w:val="16"/>
              </w:rPr>
            </w:pPr>
            <w:r w:rsidRPr="004F1B86">
              <w:rPr>
                <w:sz w:val="16"/>
                <w:szCs w:val="16"/>
              </w:rPr>
              <w:t>79.5%</w:t>
            </w:r>
          </w:p>
        </w:tc>
        <w:tc>
          <w:tcPr>
            <w:tcW w:w="1186" w:type="dxa"/>
            <w:tcBorders>
              <w:top w:val="single" w:sz="4" w:space="0" w:color="A6A6A6" w:themeColor="background1" w:themeShade="A6"/>
              <w:left w:val="nil"/>
              <w:bottom w:val="single" w:sz="4" w:space="0" w:color="A6A6A6" w:themeColor="background1" w:themeShade="A6"/>
              <w:right w:val="nil"/>
            </w:tcBorders>
          </w:tcPr>
          <w:p w14:paraId="6E3DEB93" w14:textId="0A59C50E" w:rsidR="00E24D67" w:rsidRPr="004F1B86" w:rsidRDefault="00E24D67" w:rsidP="00E24D67">
            <w:pPr>
              <w:pStyle w:val="TableText"/>
              <w:jc w:val="right"/>
              <w:rPr>
                <w:sz w:val="16"/>
                <w:szCs w:val="16"/>
              </w:rPr>
            </w:pPr>
            <w:r w:rsidRPr="004F1B86">
              <w:rPr>
                <w:sz w:val="16"/>
                <w:szCs w:val="16"/>
              </w:rPr>
              <w:t>71.8%</w:t>
            </w:r>
          </w:p>
        </w:tc>
        <w:tc>
          <w:tcPr>
            <w:tcW w:w="1186" w:type="dxa"/>
            <w:gridSpan w:val="2"/>
            <w:tcBorders>
              <w:top w:val="single" w:sz="4" w:space="0" w:color="A6A6A6" w:themeColor="background1" w:themeShade="A6"/>
              <w:left w:val="nil"/>
              <w:bottom w:val="single" w:sz="4" w:space="0" w:color="A6A6A6" w:themeColor="background1" w:themeShade="A6"/>
              <w:right w:val="nil"/>
            </w:tcBorders>
            <w:hideMark/>
          </w:tcPr>
          <w:p w14:paraId="58835C90" w14:textId="04218A34" w:rsidR="00E24D67" w:rsidRPr="004F1B86" w:rsidRDefault="00E24D67" w:rsidP="00E24D67">
            <w:pPr>
              <w:pStyle w:val="TableText"/>
              <w:jc w:val="right"/>
              <w:rPr>
                <w:sz w:val="16"/>
                <w:szCs w:val="16"/>
              </w:rPr>
            </w:pPr>
            <w:r w:rsidRPr="004F1B86">
              <w:rPr>
                <w:sz w:val="16"/>
                <w:szCs w:val="16"/>
              </w:rPr>
              <w:t>67.7%</w:t>
            </w:r>
          </w:p>
        </w:tc>
      </w:tr>
      <w:tr w:rsidR="00E24D67" w14:paraId="21B8A4BB" w14:textId="77777777" w:rsidTr="009177DD">
        <w:tc>
          <w:tcPr>
            <w:tcW w:w="1088" w:type="dxa"/>
            <w:tcBorders>
              <w:top w:val="single" w:sz="4" w:space="0" w:color="A6A6A6" w:themeColor="background1" w:themeShade="A6"/>
              <w:left w:val="nil"/>
              <w:bottom w:val="single" w:sz="4" w:space="0" w:color="A6A6A6" w:themeColor="background1" w:themeShade="A6"/>
              <w:right w:val="nil"/>
            </w:tcBorders>
          </w:tcPr>
          <w:p w14:paraId="338CFE19" w14:textId="77777777" w:rsidR="00E24D67" w:rsidRPr="004F1B86" w:rsidRDefault="00E24D67" w:rsidP="00E24D67">
            <w:pPr>
              <w:pStyle w:val="TableText"/>
              <w:ind w:right="-154"/>
              <w:rPr>
                <w:sz w:val="16"/>
                <w:szCs w:val="16"/>
              </w:rPr>
            </w:pPr>
            <w:r w:rsidRPr="004F1B86">
              <w:rPr>
                <w:sz w:val="16"/>
                <w:szCs w:val="16"/>
              </w:rPr>
              <w:t>Asian</w:t>
            </w:r>
          </w:p>
        </w:tc>
        <w:tc>
          <w:tcPr>
            <w:tcW w:w="1204" w:type="dxa"/>
            <w:gridSpan w:val="2"/>
            <w:tcBorders>
              <w:top w:val="single" w:sz="4" w:space="0" w:color="A6A6A6" w:themeColor="background1" w:themeShade="A6"/>
              <w:left w:val="nil"/>
              <w:bottom w:val="single" w:sz="4" w:space="0" w:color="A6A6A6" w:themeColor="background1" w:themeShade="A6"/>
              <w:right w:val="nil"/>
            </w:tcBorders>
          </w:tcPr>
          <w:p w14:paraId="42FCC359" w14:textId="738C26EA" w:rsidR="00E24D67" w:rsidRPr="004F1B86" w:rsidRDefault="00E24D67" w:rsidP="00E24D67">
            <w:pPr>
              <w:pStyle w:val="TableText"/>
              <w:jc w:val="right"/>
              <w:rPr>
                <w:sz w:val="16"/>
                <w:szCs w:val="16"/>
              </w:rPr>
            </w:pPr>
            <w:r w:rsidRPr="004F1B86">
              <w:rPr>
                <w:sz w:val="16"/>
                <w:szCs w:val="16"/>
              </w:rPr>
              <w:t>91.2%</w:t>
            </w:r>
          </w:p>
        </w:tc>
        <w:tc>
          <w:tcPr>
            <w:tcW w:w="1186" w:type="dxa"/>
            <w:tcBorders>
              <w:top w:val="single" w:sz="4" w:space="0" w:color="A6A6A6" w:themeColor="background1" w:themeShade="A6"/>
              <w:left w:val="nil"/>
              <w:bottom w:val="single" w:sz="4" w:space="0" w:color="A6A6A6" w:themeColor="background1" w:themeShade="A6"/>
              <w:right w:val="nil"/>
            </w:tcBorders>
          </w:tcPr>
          <w:p w14:paraId="75DF04FF" w14:textId="24C4FEDC" w:rsidR="00E24D67" w:rsidRPr="004F1B86" w:rsidRDefault="00E24D67" w:rsidP="00E24D67">
            <w:pPr>
              <w:pStyle w:val="TableText"/>
              <w:jc w:val="right"/>
              <w:rPr>
                <w:sz w:val="16"/>
                <w:szCs w:val="16"/>
              </w:rPr>
            </w:pPr>
            <w:r w:rsidRPr="004F1B86">
              <w:rPr>
                <w:sz w:val="16"/>
                <w:szCs w:val="16"/>
              </w:rPr>
              <w:t>88.4%</w:t>
            </w:r>
          </w:p>
        </w:tc>
        <w:tc>
          <w:tcPr>
            <w:tcW w:w="1186" w:type="dxa"/>
            <w:tcBorders>
              <w:top w:val="single" w:sz="4" w:space="0" w:color="A6A6A6" w:themeColor="background1" w:themeShade="A6"/>
              <w:left w:val="nil"/>
              <w:bottom w:val="single" w:sz="4" w:space="0" w:color="A6A6A6" w:themeColor="background1" w:themeShade="A6"/>
              <w:right w:val="nil"/>
            </w:tcBorders>
          </w:tcPr>
          <w:p w14:paraId="07CF9869" w14:textId="12384860" w:rsidR="00E24D67" w:rsidRPr="004F1B86" w:rsidRDefault="00E24D67" w:rsidP="00E24D67">
            <w:pPr>
              <w:pStyle w:val="TableText"/>
              <w:jc w:val="right"/>
              <w:rPr>
                <w:sz w:val="16"/>
                <w:szCs w:val="16"/>
              </w:rPr>
            </w:pPr>
            <w:r w:rsidRPr="004F1B86">
              <w:rPr>
                <w:sz w:val="16"/>
                <w:szCs w:val="16"/>
              </w:rPr>
              <w:t>89.3%</w:t>
            </w:r>
          </w:p>
        </w:tc>
        <w:tc>
          <w:tcPr>
            <w:tcW w:w="1186" w:type="dxa"/>
            <w:tcBorders>
              <w:top w:val="single" w:sz="4" w:space="0" w:color="A6A6A6" w:themeColor="background1" w:themeShade="A6"/>
              <w:left w:val="nil"/>
              <w:bottom w:val="single" w:sz="4" w:space="0" w:color="A6A6A6" w:themeColor="background1" w:themeShade="A6"/>
              <w:right w:val="nil"/>
            </w:tcBorders>
          </w:tcPr>
          <w:p w14:paraId="4216ABAB" w14:textId="0F931195" w:rsidR="00E24D67" w:rsidRPr="004F1B86" w:rsidRDefault="00E24D67" w:rsidP="00E24D67">
            <w:pPr>
              <w:pStyle w:val="TableText"/>
              <w:jc w:val="right"/>
              <w:rPr>
                <w:sz w:val="16"/>
                <w:szCs w:val="16"/>
              </w:rPr>
            </w:pPr>
            <w:r w:rsidRPr="004F1B86">
              <w:rPr>
                <w:sz w:val="16"/>
                <w:szCs w:val="16"/>
              </w:rPr>
              <w:t>83.1%</w:t>
            </w:r>
          </w:p>
        </w:tc>
        <w:tc>
          <w:tcPr>
            <w:tcW w:w="1186" w:type="dxa"/>
            <w:tcBorders>
              <w:top w:val="single" w:sz="4" w:space="0" w:color="A6A6A6" w:themeColor="background1" w:themeShade="A6"/>
              <w:left w:val="nil"/>
              <w:bottom w:val="single" w:sz="4" w:space="0" w:color="A6A6A6" w:themeColor="background1" w:themeShade="A6"/>
              <w:right w:val="nil"/>
            </w:tcBorders>
          </w:tcPr>
          <w:p w14:paraId="7AC48972" w14:textId="277409E7" w:rsidR="00E24D67" w:rsidRPr="004F1B86" w:rsidRDefault="00E24D67" w:rsidP="00E24D67">
            <w:pPr>
              <w:pStyle w:val="TableText"/>
              <w:jc w:val="right"/>
              <w:rPr>
                <w:sz w:val="16"/>
                <w:szCs w:val="16"/>
              </w:rPr>
            </w:pPr>
            <w:r w:rsidRPr="004F1B86">
              <w:rPr>
                <w:sz w:val="16"/>
                <w:szCs w:val="16"/>
              </w:rPr>
              <w:t>75.2%</w:t>
            </w:r>
          </w:p>
        </w:tc>
        <w:tc>
          <w:tcPr>
            <w:tcW w:w="1186" w:type="dxa"/>
            <w:gridSpan w:val="2"/>
            <w:tcBorders>
              <w:top w:val="single" w:sz="4" w:space="0" w:color="A6A6A6" w:themeColor="background1" w:themeShade="A6"/>
              <w:left w:val="nil"/>
              <w:bottom w:val="single" w:sz="4" w:space="0" w:color="A6A6A6" w:themeColor="background1" w:themeShade="A6"/>
              <w:right w:val="nil"/>
            </w:tcBorders>
          </w:tcPr>
          <w:p w14:paraId="60D9E1CF" w14:textId="62791428" w:rsidR="00E24D67" w:rsidRPr="004F1B86" w:rsidRDefault="00E24D67" w:rsidP="00E24D67">
            <w:pPr>
              <w:pStyle w:val="TableText"/>
              <w:jc w:val="right"/>
              <w:rPr>
                <w:sz w:val="16"/>
                <w:szCs w:val="16"/>
              </w:rPr>
            </w:pPr>
            <w:r w:rsidRPr="004F1B86">
              <w:rPr>
                <w:sz w:val="16"/>
                <w:szCs w:val="16"/>
              </w:rPr>
              <w:t>71.9%</w:t>
            </w:r>
          </w:p>
        </w:tc>
      </w:tr>
      <w:tr w:rsidR="00E24D67" w14:paraId="665F7742" w14:textId="77777777" w:rsidTr="009177DD">
        <w:tc>
          <w:tcPr>
            <w:tcW w:w="1088" w:type="dxa"/>
            <w:tcBorders>
              <w:top w:val="single" w:sz="4" w:space="0" w:color="A6A6A6" w:themeColor="background1" w:themeShade="A6"/>
              <w:left w:val="nil"/>
              <w:bottom w:val="single" w:sz="4" w:space="0" w:color="A6A6A6" w:themeColor="background1" w:themeShade="A6"/>
              <w:right w:val="nil"/>
            </w:tcBorders>
          </w:tcPr>
          <w:p w14:paraId="43946E4E" w14:textId="465E05CF" w:rsidR="00E24D67" w:rsidRPr="004F1B86" w:rsidRDefault="00E24D67" w:rsidP="00E24D67">
            <w:pPr>
              <w:pStyle w:val="TableText"/>
              <w:ind w:right="-154"/>
              <w:rPr>
                <w:sz w:val="16"/>
                <w:szCs w:val="16"/>
              </w:rPr>
            </w:pPr>
            <w:r w:rsidRPr="004F1B86">
              <w:rPr>
                <w:sz w:val="16"/>
                <w:szCs w:val="16"/>
              </w:rPr>
              <w:t xml:space="preserve">Non-Māori non-Pacific non-Asian </w:t>
            </w:r>
          </w:p>
        </w:tc>
        <w:tc>
          <w:tcPr>
            <w:tcW w:w="1204" w:type="dxa"/>
            <w:gridSpan w:val="2"/>
            <w:tcBorders>
              <w:top w:val="single" w:sz="4" w:space="0" w:color="A6A6A6" w:themeColor="background1" w:themeShade="A6"/>
              <w:left w:val="nil"/>
              <w:bottom w:val="single" w:sz="4" w:space="0" w:color="A6A6A6" w:themeColor="background1" w:themeShade="A6"/>
              <w:right w:val="nil"/>
            </w:tcBorders>
          </w:tcPr>
          <w:p w14:paraId="30586E0B" w14:textId="5FACC51A" w:rsidR="00E24D67" w:rsidRPr="004F1B86" w:rsidRDefault="00E24D67" w:rsidP="00E24D67">
            <w:pPr>
              <w:pStyle w:val="TableText"/>
              <w:jc w:val="right"/>
              <w:rPr>
                <w:sz w:val="16"/>
                <w:szCs w:val="16"/>
              </w:rPr>
            </w:pPr>
            <w:r w:rsidRPr="004F1B86">
              <w:rPr>
                <w:sz w:val="16"/>
                <w:szCs w:val="16"/>
              </w:rPr>
              <w:t>87.6%</w:t>
            </w:r>
          </w:p>
        </w:tc>
        <w:tc>
          <w:tcPr>
            <w:tcW w:w="1186" w:type="dxa"/>
            <w:tcBorders>
              <w:top w:val="single" w:sz="4" w:space="0" w:color="A6A6A6" w:themeColor="background1" w:themeShade="A6"/>
              <w:left w:val="nil"/>
              <w:bottom w:val="single" w:sz="4" w:space="0" w:color="A6A6A6" w:themeColor="background1" w:themeShade="A6"/>
              <w:right w:val="nil"/>
            </w:tcBorders>
          </w:tcPr>
          <w:p w14:paraId="4B826F51" w14:textId="165F1282" w:rsidR="00E24D67" w:rsidRPr="004F1B86" w:rsidRDefault="00E24D67" w:rsidP="00E24D67">
            <w:pPr>
              <w:pStyle w:val="TableText"/>
              <w:jc w:val="right"/>
              <w:rPr>
                <w:sz w:val="16"/>
                <w:szCs w:val="16"/>
              </w:rPr>
            </w:pPr>
            <w:r w:rsidRPr="004F1B86">
              <w:rPr>
                <w:sz w:val="16"/>
                <w:szCs w:val="16"/>
              </w:rPr>
              <w:t>84.5%</w:t>
            </w:r>
          </w:p>
        </w:tc>
        <w:tc>
          <w:tcPr>
            <w:tcW w:w="1186" w:type="dxa"/>
            <w:tcBorders>
              <w:top w:val="single" w:sz="4" w:space="0" w:color="A6A6A6" w:themeColor="background1" w:themeShade="A6"/>
              <w:left w:val="nil"/>
              <w:bottom w:val="single" w:sz="4" w:space="0" w:color="A6A6A6" w:themeColor="background1" w:themeShade="A6"/>
              <w:right w:val="nil"/>
            </w:tcBorders>
          </w:tcPr>
          <w:p w14:paraId="65F54FAA" w14:textId="6F75ADB4" w:rsidR="00E24D67" w:rsidRPr="004F1B86" w:rsidRDefault="00E24D67" w:rsidP="00E24D67">
            <w:pPr>
              <w:pStyle w:val="TableText"/>
              <w:jc w:val="right"/>
              <w:rPr>
                <w:sz w:val="16"/>
                <w:szCs w:val="16"/>
              </w:rPr>
            </w:pPr>
            <w:r w:rsidRPr="004F1B86">
              <w:rPr>
                <w:sz w:val="16"/>
                <w:szCs w:val="16"/>
              </w:rPr>
              <w:t>84.4%</w:t>
            </w:r>
          </w:p>
        </w:tc>
        <w:tc>
          <w:tcPr>
            <w:tcW w:w="1186" w:type="dxa"/>
            <w:tcBorders>
              <w:top w:val="single" w:sz="4" w:space="0" w:color="A6A6A6" w:themeColor="background1" w:themeShade="A6"/>
              <w:left w:val="nil"/>
              <w:bottom w:val="single" w:sz="4" w:space="0" w:color="A6A6A6" w:themeColor="background1" w:themeShade="A6"/>
              <w:right w:val="nil"/>
            </w:tcBorders>
          </w:tcPr>
          <w:p w14:paraId="0EFE136A" w14:textId="5E32E92C" w:rsidR="00E24D67" w:rsidRPr="004F1B86" w:rsidRDefault="00E24D67" w:rsidP="00E24D67">
            <w:pPr>
              <w:pStyle w:val="TableText"/>
              <w:jc w:val="right"/>
              <w:rPr>
                <w:sz w:val="16"/>
                <w:szCs w:val="16"/>
              </w:rPr>
            </w:pPr>
            <w:r w:rsidRPr="004F1B86">
              <w:rPr>
                <w:sz w:val="16"/>
                <w:szCs w:val="16"/>
              </w:rPr>
              <w:t>78.8%</w:t>
            </w:r>
          </w:p>
        </w:tc>
        <w:tc>
          <w:tcPr>
            <w:tcW w:w="1186" w:type="dxa"/>
            <w:tcBorders>
              <w:top w:val="single" w:sz="4" w:space="0" w:color="A6A6A6" w:themeColor="background1" w:themeShade="A6"/>
              <w:left w:val="nil"/>
              <w:bottom w:val="single" w:sz="4" w:space="0" w:color="A6A6A6" w:themeColor="background1" w:themeShade="A6"/>
              <w:right w:val="nil"/>
            </w:tcBorders>
          </w:tcPr>
          <w:p w14:paraId="443B7724" w14:textId="38E078BA" w:rsidR="00E24D67" w:rsidRPr="004F1B86" w:rsidRDefault="00E24D67" w:rsidP="00E24D67">
            <w:pPr>
              <w:pStyle w:val="TableText"/>
              <w:jc w:val="right"/>
              <w:rPr>
                <w:sz w:val="16"/>
                <w:szCs w:val="16"/>
              </w:rPr>
            </w:pPr>
            <w:r w:rsidRPr="004F1B86">
              <w:rPr>
                <w:sz w:val="16"/>
                <w:szCs w:val="16"/>
              </w:rPr>
              <w:t>71.5%</w:t>
            </w:r>
          </w:p>
        </w:tc>
        <w:tc>
          <w:tcPr>
            <w:tcW w:w="1186" w:type="dxa"/>
            <w:gridSpan w:val="2"/>
            <w:tcBorders>
              <w:top w:val="single" w:sz="4" w:space="0" w:color="A6A6A6" w:themeColor="background1" w:themeShade="A6"/>
              <w:left w:val="nil"/>
              <w:bottom w:val="single" w:sz="4" w:space="0" w:color="A6A6A6" w:themeColor="background1" w:themeShade="A6"/>
              <w:right w:val="nil"/>
            </w:tcBorders>
          </w:tcPr>
          <w:p w14:paraId="38566B4F" w14:textId="6D7BD795" w:rsidR="00E24D67" w:rsidRPr="004F1B86" w:rsidRDefault="00E24D67" w:rsidP="00E24D67">
            <w:pPr>
              <w:pStyle w:val="TableText"/>
              <w:jc w:val="right"/>
              <w:rPr>
                <w:sz w:val="16"/>
                <w:szCs w:val="16"/>
              </w:rPr>
            </w:pPr>
            <w:r w:rsidRPr="004F1B86">
              <w:rPr>
                <w:sz w:val="16"/>
                <w:szCs w:val="16"/>
              </w:rPr>
              <w:t>67.8%</w:t>
            </w:r>
          </w:p>
        </w:tc>
      </w:tr>
    </w:tbl>
    <w:p w14:paraId="464EB220" w14:textId="69E8D171" w:rsidR="009177DD" w:rsidRDefault="00E24D67" w:rsidP="007C0172">
      <w:pPr>
        <w:pStyle w:val="Note"/>
        <w:ind w:left="142" w:hanging="142"/>
      </w:pPr>
      <w:r w:rsidRPr="00E24D67">
        <w:t xml:space="preserve">* </w:t>
      </w:r>
      <w:r w:rsidR="007C0172">
        <w:tab/>
      </w:r>
      <w:r w:rsidRPr="00E24D67">
        <w:t xml:space="preserve">At the time of publication, the most up-to-date data available is for the 12 months to March 2024. We have used 12 months of data to take account of seasonal fluctuations in the </w:t>
      </w:r>
      <w:proofErr w:type="gramStart"/>
      <w:r w:rsidRPr="00E24D67">
        <w:t>rate</w:t>
      </w:r>
      <w:proofErr w:type="gramEnd"/>
    </w:p>
    <w:p w14:paraId="28EBE8E8" w14:textId="77777777" w:rsidR="00E24D67" w:rsidRDefault="00E24D67" w:rsidP="00E24D67"/>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222"/>
      </w:tblGrid>
      <w:tr w:rsidR="00E24D67" w14:paraId="47BA7C0C" w14:textId="77777777" w:rsidTr="004F1B86">
        <w:tc>
          <w:tcPr>
            <w:tcW w:w="8222" w:type="dxa"/>
            <w:shd w:val="clear" w:color="auto" w:fill="F2F2F2" w:themeFill="background1" w:themeFillShade="F2"/>
          </w:tcPr>
          <w:p w14:paraId="2C0C4D96" w14:textId="77777777" w:rsidR="00E24D67" w:rsidRDefault="00E24D67" w:rsidP="004F1B86">
            <w:pPr>
              <w:spacing w:before="120" w:after="120"/>
              <w:rPr>
                <w:b/>
                <w:bCs/>
              </w:rPr>
            </w:pPr>
            <w:r w:rsidRPr="008D5FB2">
              <w:rPr>
                <w:b/>
                <w:bCs/>
              </w:rPr>
              <w:t>Comment</w:t>
            </w:r>
          </w:p>
          <w:p w14:paraId="0D9D4121" w14:textId="77777777" w:rsidR="00E24D67" w:rsidRDefault="00E24D67" w:rsidP="00E24D67">
            <w:pPr>
              <w:spacing w:before="120" w:after="120" w:line="240" w:lineRule="auto"/>
            </w:pPr>
            <w:r>
              <w:t>This indicator is one of the 10 health and mental health and addiction targets that the Government announced and is Target 1 in the suite of nine Government Targets. It examines flow of patients through hospitals and EDs and is an important barometer of system performance.</w:t>
            </w:r>
          </w:p>
          <w:p w14:paraId="14F9A1A2" w14:textId="3E259B86" w:rsidR="00E24D67" w:rsidRPr="00085055" w:rsidRDefault="00E24D67" w:rsidP="00400290">
            <w:pPr>
              <w:spacing w:before="120" w:after="120" w:line="240" w:lineRule="auto"/>
              <w:rPr>
                <w:b/>
                <w:bCs/>
              </w:rPr>
            </w:pPr>
            <w:r>
              <w:t>Performance has deteriorated over time due to a range of factors including increased acute demand and growth in ED presentations, an ageing population and increased complexity</w:t>
            </w:r>
            <w:r w:rsidR="00400290">
              <w:t xml:space="preserve"> </w:t>
            </w:r>
            <w:r>
              <w:t>of patients, and an increase in the number of patients unable to access timely primary and community care. The Ministry is working closely with Health New Zealand to improve performance with particular attention to reducing hospital bed block, preventing avoidable hospitalisations, and increasing hospital and community capacity.</w:t>
            </w:r>
          </w:p>
        </w:tc>
      </w:tr>
    </w:tbl>
    <w:p w14:paraId="17AC25B7" w14:textId="77777777" w:rsidR="00E24D67" w:rsidRDefault="00E24D67" w:rsidP="00E24D67"/>
    <w:p w14:paraId="391A732C" w14:textId="77777777" w:rsidR="00E24D67" w:rsidRDefault="00E24D67" w:rsidP="00E24D67"/>
    <w:p w14:paraId="231AFA19" w14:textId="77777777" w:rsidR="00E24D67" w:rsidRDefault="00E24D67" w:rsidP="00E24D67">
      <w:pPr>
        <w:ind w:firstLine="567"/>
        <w:sectPr w:rsidR="00E24D67" w:rsidSect="008F0115">
          <w:pgSz w:w="11907" w:h="16840" w:code="9"/>
          <w:pgMar w:top="1418" w:right="1701" w:bottom="1134" w:left="1843" w:header="284" w:footer="425" w:gutter="284"/>
          <w:cols w:space="720"/>
        </w:sectPr>
      </w:pPr>
    </w:p>
    <w:tbl>
      <w:tblPr>
        <w:tblStyle w:val="TableGrid"/>
        <w:tblW w:w="822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88"/>
        <w:gridCol w:w="77"/>
        <w:gridCol w:w="1127"/>
        <w:gridCol w:w="1186"/>
        <w:gridCol w:w="1186"/>
        <w:gridCol w:w="1186"/>
        <w:gridCol w:w="1186"/>
        <w:gridCol w:w="1186"/>
      </w:tblGrid>
      <w:tr w:rsidR="00E24D67" w14:paraId="624F0D8A" w14:textId="77777777" w:rsidTr="00E24D67">
        <w:tc>
          <w:tcPr>
            <w:tcW w:w="8222" w:type="dxa"/>
            <w:gridSpan w:val="8"/>
            <w:tcBorders>
              <w:top w:val="nil"/>
              <w:left w:val="nil"/>
              <w:bottom w:val="nil"/>
              <w:right w:val="nil"/>
            </w:tcBorders>
            <w:shd w:val="clear" w:color="auto" w:fill="D9D9D9" w:themeFill="background1" w:themeFillShade="D9"/>
            <w:hideMark/>
          </w:tcPr>
          <w:p w14:paraId="5CF94814" w14:textId="3C0366AA" w:rsidR="00E24D67" w:rsidRDefault="00E24D67" w:rsidP="004F1B86">
            <w:pPr>
              <w:pStyle w:val="TableText"/>
              <w:rPr>
                <w:b/>
                <w:bCs/>
              </w:rPr>
            </w:pPr>
            <w:r w:rsidRPr="00E24D67">
              <w:rPr>
                <w:b/>
                <w:bCs/>
              </w:rPr>
              <w:lastRenderedPageBreak/>
              <w:t>Under 25-year-olds able to access specialist mental health services within three weeks of referral</w:t>
            </w:r>
          </w:p>
        </w:tc>
      </w:tr>
      <w:tr w:rsidR="00E24D67" w14:paraId="4B525AC9" w14:textId="77777777" w:rsidTr="00E24D67">
        <w:tc>
          <w:tcPr>
            <w:tcW w:w="1165" w:type="dxa"/>
            <w:gridSpan w:val="2"/>
            <w:tcBorders>
              <w:top w:val="nil"/>
              <w:left w:val="nil"/>
              <w:bottom w:val="single" w:sz="4" w:space="0" w:color="A6A6A6" w:themeColor="background1" w:themeShade="A6"/>
              <w:right w:val="nil"/>
            </w:tcBorders>
            <w:hideMark/>
          </w:tcPr>
          <w:p w14:paraId="0DC76504" w14:textId="77777777" w:rsidR="00E24D67" w:rsidRDefault="00E24D67" w:rsidP="004F1B86">
            <w:pPr>
              <w:pStyle w:val="TableText"/>
              <w:rPr>
                <w:b/>
                <w:bCs/>
              </w:rPr>
            </w:pPr>
            <w:r>
              <w:rPr>
                <w:b/>
                <w:bCs/>
              </w:rPr>
              <w:t>Indicator description</w:t>
            </w:r>
          </w:p>
        </w:tc>
        <w:tc>
          <w:tcPr>
            <w:tcW w:w="7057" w:type="dxa"/>
            <w:gridSpan w:val="6"/>
            <w:tcBorders>
              <w:top w:val="nil"/>
              <w:left w:val="nil"/>
              <w:bottom w:val="single" w:sz="4" w:space="0" w:color="A6A6A6" w:themeColor="background1" w:themeShade="A6"/>
              <w:right w:val="nil"/>
            </w:tcBorders>
            <w:hideMark/>
          </w:tcPr>
          <w:p w14:paraId="357B03ED" w14:textId="21437E95" w:rsidR="00E24D67" w:rsidRPr="00874C6C" w:rsidRDefault="00E24D67" w:rsidP="004F1B86">
            <w:pPr>
              <w:pStyle w:val="TableText"/>
            </w:pPr>
            <w:r w:rsidRPr="00E24D67">
              <w:t>Percentage of child and youth accessing mental health services within three weeks of referral.</w:t>
            </w:r>
          </w:p>
        </w:tc>
      </w:tr>
      <w:tr w:rsidR="00E24D67" w14:paraId="5CEBAD85" w14:textId="77777777" w:rsidTr="00E24D67">
        <w:tc>
          <w:tcPr>
            <w:tcW w:w="1165" w:type="dxa"/>
            <w:gridSpan w:val="2"/>
            <w:tcBorders>
              <w:top w:val="single" w:sz="4" w:space="0" w:color="A6A6A6" w:themeColor="background1" w:themeShade="A6"/>
              <w:left w:val="nil"/>
              <w:bottom w:val="single" w:sz="4" w:space="0" w:color="A6A6A6" w:themeColor="background1" w:themeShade="A6"/>
              <w:right w:val="nil"/>
            </w:tcBorders>
            <w:hideMark/>
          </w:tcPr>
          <w:p w14:paraId="3171B9FF" w14:textId="77777777" w:rsidR="00E24D67" w:rsidRDefault="00E24D67" w:rsidP="004F1B86">
            <w:pPr>
              <w:pStyle w:val="TableText"/>
              <w:rPr>
                <w:b/>
                <w:bCs/>
              </w:rPr>
            </w:pPr>
            <w:r>
              <w:rPr>
                <w:b/>
                <w:bCs/>
              </w:rPr>
              <w:t>Baseline data</w:t>
            </w:r>
          </w:p>
        </w:tc>
        <w:tc>
          <w:tcPr>
            <w:tcW w:w="7057" w:type="dxa"/>
            <w:gridSpan w:val="6"/>
            <w:tcBorders>
              <w:top w:val="single" w:sz="4" w:space="0" w:color="A6A6A6" w:themeColor="background1" w:themeShade="A6"/>
              <w:left w:val="nil"/>
              <w:bottom w:val="single" w:sz="4" w:space="0" w:color="A6A6A6" w:themeColor="background1" w:themeShade="A6"/>
              <w:right w:val="nil"/>
            </w:tcBorders>
            <w:hideMark/>
          </w:tcPr>
          <w:p w14:paraId="72F93178" w14:textId="3308E3D6" w:rsidR="00E24D67" w:rsidRPr="00874C6C" w:rsidRDefault="00E24D67" w:rsidP="004F1B86">
            <w:pPr>
              <w:pStyle w:val="TableText"/>
            </w:pPr>
            <w:r w:rsidRPr="00E24D67">
              <w:t>70.9% of under-25-year-olds able to access specialist mental health services within three weeks of referral.</w:t>
            </w:r>
          </w:p>
        </w:tc>
      </w:tr>
      <w:tr w:rsidR="00E24D67" w14:paraId="5E4C20B7" w14:textId="77777777" w:rsidTr="00E24D67">
        <w:tc>
          <w:tcPr>
            <w:tcW w:w="8222" w:type="dxa"/>
            <w:gridSpan w:val="8"/>
            <w:tcBorders>
              <w:top w:val="single" w:sz="4" w:space="0" w:color="A6A6A6" w:themeColor="background1" w:themeShade="A6"/>
              <w:left w:val="nil"/>
              <w:bottom w:val="single" w:sz="4" w:space="0" w:color="A6A6A6" w:themeColor="background1" w:themeShade="A6"/>
              <w:right w:val="nil"/>
            </w:tcBorders>
            <w:shd w:val="clear" w:color="auto" w:fill="FFFFFF" w:themeFill="background1"/>
            <w:hideMark/>
          </w:tcPr>
          <w:p w14:paraId="586CBAEE" w14:textId="3A9FF64D" w:rsidR="00E24D67" w:rsidRDefault="00E24D67" w:rsidP="00E24D67">
            <w:pPr>
              <w:pStyle w:val="TableText"/>
              <w:keepNext/>
              <w:spacing w:before="40" w:after="40"/>
              <w:rPr>
                <w:b/>
                <w:bCs/>
              </w:rPr>
            </w:pPr>
            <w:r w:rsidRPr="00E24D67">
              <w:rPr>
                <w:b/>
                <w:bCs/>
              </w:rPr>
              <w:t>Results (Percentage of under 25-year-olds who were able to access specialist mental health services within three weeks of referral for the 12 months ending 31 March*)</w:t>
            </w:r>
          </w:p>
        </w:tc>
      </w:tr>
      <w:tr w:rsidR="00E24D67" w14:paraId="2B31F2A4" w14:textId="77777777" w:rsidTr="004F1B86">
        <w:tc>
          <w:tcPr>
            <w:tcW w:w="1088"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298FE7AB" w14:textId="77777777" w:rsidR="00E24D67" w:rsidRPr="004F1B86" w:rsidRDefault="00E24D67" w:rsidP="004F1B86">
            <w:pPr>
              <w:pStyle w:val="TableText"/>
              <w:rPr>
                <w:b/>
                <w:bCs/>
                <w:sz w:val="16"/>
                <w:szCs w:val="16"/>
              </w:rPr>
            </w:pPr>
          </w:p>
        </w:tc>
        <w:tc>
          <w:tcPr>
            <w:tcW w:w="120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10B76723" w14:textId="77777777" w:rsidR="00E24D67" w:rsidRPr="004F1B86" w:rsidRDefault="00E24D67" w:rsidP="004F1B86">
            <w:pPr>
              <w:pStyle w:val="TableText"/>
              <w:jc w:val="right"/>
              <w:rPr>
                <w:b/>
                <w:bCs/>
                <w:sz w:val="16"/>
                <w:szCs w:val="16"/>
              </w:rPr>
            </w:pPr>
            <w:r w:rsidRPr="004F1B86">
              <w:rPr>
                <w:b/>
                <w:bCs/>
                <w:sz w:val="16"/>
                <w:szCs w:val="16"/>
              </w:rPr>
              <w:t>Baseline (12 months to March 2019)</w:t>
            </w:r>
          </w:p>
        </w:tc>
        <w:tc>
          <w:tcPr>
            <w:tcW w:w="11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66FC5F49" w14:textId="77777777" w:rsidR="00E24D67" w:rsidRPr="004F1B86" w:rsidRDefault="00E24D67" w:rsidP="004F1B86">
            <w:pPr>
              <w:pStyle w:val="TableText"/>
              <w:jc w:val="right"/>
              <w:rPr>
                <w:b/>
                <w:bCs/>
                <w:sz w:val="16"/>
                <w:szCs w:val="16"/>
              </w:rPr>
            </w:pPr>
            <w:r w:rsidRPr="004F1B86">
              <w:rPr>
                <w:b/>
                <w:bCs/>
                <w:sz w:val="16"/>
                <w:szCs w:val="16"/>
              </w:rPr>
              <w:t>12 months to March 2020</w:t>
            </w:r>
          </w:p>
        </w:tc>
        <w:tc>
          <w:tcPr>
            <w:tcW w:w="11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7AE06ED9" w14:textId="77777777" w:rsidR="00E24D67" w:rsidRPr="004F1B86" w:rsidRDefault="00E24D67" w:rsidP="004F1B86">
            <w:pPr>
              <w:pStyle w:val="TableText"/>
              <w:jc w:val="right"/>
              <w:rPr>
                <w:b/>
                <w:bCs/>
                <w:sz w:val="16"/>
                <w:szCs w:val="16"/>
              </w:rPr>
            </w:pPr>
            <w:r w:rsidRPr="004F1B86">
              <w:rPr>
                <w:b/>
                <w:bCs/>
                <w:sz w:val="16"/>
                <w:szCs w:val="16"/>
              </w:rPr>
              <w:t>12 months to March 2021</w:t>
            </w:r>
          </w:p>
        </w:tc>
        <w:tc>
          <w:tcPr>
            <w:tcW w:w="11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0F097A4A" w14:textId="77777777" w:rsidR="00E24D67" w:rsidRPr="004F1B86" w:rsidRDefault="00E24D67" w:rsidP="004F1B86">
            <w:pPr>
              <w:pStyle w:val="TableText"/>
              <w:jc w:val="right"/>
              <w:rPr>
                <w:b/>
                <w:bCs/>
                <w:sz w:val="16"/>
                <w:szCs w:val="16"/>
              </w:rPr>
            </w:pPr>
            <w:r w:rsidRPr="004F1B86">
              <w:rPr>
                <w:b/>
                <w:bCs/>
                <w:sz w:val="16"/>
                <w:szCs w:val="16"/>
              </w:rPr>
              <w:t>12 months to March 2022</w:t>
            </w:r>
          </w:p>
        </w:tc>
        <w:tc>
          <w:tcPr>
            <w:tcW w:w="11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79A51B4E" w14:textId="77777777" w:rsidR="00E24D67" w:rsidRPr="004F1B86" w:rsidRDefault="00E24D67" w:rsidP="004F1B86">
            <w:pPr>
              <w:pStyle w:val="TableText"/>
              <w:jc w:val="right"/>
              <w:rPr>
                <w:b/>
                <w:bCs/>
                <w:sz w:val="16"/>
                <w:szCs w:val="16"/>
              </w:rPr>
            </w:pPr>
            <w:r w:rsidRPr="004F1B86">
              <w:rPr>
                <w:b/>
                <w:bCs/>
                <w:sz w:val="16"/>
                <w:szCs w:val="16"/>
              </w:rPr>
              <w:t>12 months to March 2023</w:t>
            </w:r>
          </w:p>
        </w:tc>
        <w:tc>
          <w:tcPr>
            <w:tcW w:w="11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4E1588E7" w14:textId="77777777" w:rsidR="00E24D67" w:rsidRPr="004F1B86" w:rsidRDefault="00E24D67" w:rsidP="004F1B86">
            <w:pPr>
              <w:pStyle w:val="TableText"/>
              <w:jc w:val="right"/>
              <w:rPr>
                <w:b/>
                <w:bCs/>
                <w:sz w:val="16"/>
                <w:szCs w:val="16"/>
              </w:rPr>
            </w:pPr>
            <w:r w:rsidRPr="004F1B86">
              <w:rPr>
                <w:b/>
                <w:bCs/>
                <w:sz w:val="16"/>
                <w:szCs w:val="16"/>
              </w:rPr>
              <w:t>12 months to March 2024*</w:t>
            </w:r>
          </w:p>
        </w:tc>
      </w:tr>
      <w:tr w:rsidR="00E24D67" w14:paraId="7118627B" w14:textId="77777777" w:rsidTr="004F1B86">
        <w:tc>
          <w:tcPr>
            <w:tcW w:w="1088" w:type="dxa"/>
            <w:tcBorders>
              <w:top w:val="single" w:sz="4" w:space="0" w:color="A6A6A6" w:themeColor="background1" w:themeShade="A6"/>
              <w:left w:val="nil"/>
              <w:bottom w:val="single" w:sz="4" w:space="0" w:color="A6A6A6" w:themeColor="background1" w:themeShade="A6"/>
              <w:right w:val="nil"/>
            </w:tcBorders>
            <w:hideMark/>
          </w:tcPr>
          <w:p w14:paraId="3636468F" w14:textId="77777777" w:rsidR="00E24D67" w:rsidRPr="004F1B86" w:rsidRDefault="00E24D67" w:rsidP="00E24D67">
            <w:pPr>
              <w:pStyle w:val="TableText"/>
              <w:ind w:right="-154"/>
              <w:rPr>
                <w:sz w:val="16"/>
                <w:szCs w:val="16"/>
              </w:rPr>
            </w:pPr>
            <w:r w:rsidRPr="004F1B86">
              <w:rPr>
                <w:sz w:val="16"/>
                <w:szCs w:val="16"/>
              </w:rPr>
              <w:t>All Ethnicities</w:t>
            </w:r>
          </w:p>
        </w:tc>
        <w:tc>
          <w:tcPr>
            <w:tcW w:w="1204" w:type="dxa"/>
            <w:gridSpan w:val="2"/>
            <w:tcBorders>
              <w:top w:val="single" w:sz="4" w:space="0" w:color="A6A6A6" w:themeColor="background1" w:themeShade="A6"/>
              <w:left w:val="nil"/>
              <w:bottom w:val="single" w:sz="4" w:space="0" w:color="A6A6A6" w:themeColor="background1" w:themeShade="A6"/>
              <w:right w:val="nil"/>
            </w:tcBorders>
            <w:hideMark/>
          </w:tcPr>
          <w:p w14:paraId="5B3DB2A4" w14:textId="0ED3FFC1" w:rsidR="00E24D67" w:rsidRPr="004F1B86" w:rsidRDefault="00E24D67" w:rsidP="00E24D67">
            <w:pPr>
              <w:pStyle w:val="TableText"/>
              <w:jc w:val="right"/>
              <w:rPr>
                <w:sz w:val="16"/>
                <w:szCs w:val="16"/>
              </w:rPr>
            </w:pPr>
            <w:r w:rsidRPr="004F1B86">
              <w:rPr>
                <w:sz w:val="16"/>
                <w:szCs w:val="16"/>
              </w:rPr>
              <w:t>70.9%</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68FB1D7C" w14:textId="12F0C5BC" w:rsidR="00E24D67" w:rsidRPr="004F1B86" w:rsidRDefault="00E24D67" w:rsidP="00E24D67">
            <w:pPr>
              <w:pStyle w:val="TableText"/>
              <w:jc w:val="right"/>
              <w:rPr>
                <w:sz w:val="16"/>
                <w:szCs w:val="16"/>
              </w:rPr>
            </w:pPr>
            <w:r w:rsidRPr="004F1B86">
              <w:rPr>
                <w:sz w:val="16"/>
                <w:szCs w:val="16"/>
              </w:rPr>
              <w:t>69.4%</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04A70B12" w14:textId="24403D1F" w:rsidR="00E24D67" w:rsidRPr="004F1B86" w:rsidRDefault="00E24D67" w:rsidP="00E24D67">
            <w:pPr>
              <w:pStyle w:val="TableText"/>
              <w:jc w:val="right"/>
              <w:rPr>
                <w:sz w:val="16"/>
                <w:szCs w:val="16"/>
              </w:rPr>
            </w:pPr>
            <w:r w:rsidRPr="004F1B86">
              <w:rPr>
                <w:sz w:val="16"/>
                <w:szCs w:val="16"/>
              </w:rPr>
              <w:t>69.1%</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17607008" w14:textId="6F0C8722" w:rsidR="00E24D67" w:rsidRPr="004F1B86" w:rsidRDefault="00E24D67" w:rsidP="00E24D67">
            <w:pPr>
              <w:pStyle w:val="TableText"/>
              <w:jc w:val="right"/>
              <w:rPr>
                <w:sz w:val="16"/>
                <w:szCs w:val="16"/>
              </w:rPr>
            </w:pPr>
            <w:r w:rsidRPr="004F1B86">
              <w:rPr>
                <w:sz w:val="16"/>
                <w:szCs w:val="16"/>
              </w:rPr>
              <w:t>72.6%</w:t>
            </w:r>
          </w:p>
        </w:tc>
        <w:tc>
          <w:tcPr>
            <w:tcW w:w="1186" w:type="dxa"/>
            <w:tcBorders>
              <w:top w:val="single" w:sz="4" w:space="0" w:color="A6A6A6" w:themeColor="background1" w:themeShade="A6"/>
              <w:left w:val="nil"/>
              <w:bottom w:val="single" w:sz="4" w:space="0" w:color="A6A6A6" w:themeColor="background1" w:themeShade="A6"/>
              <w:right w:val="nil"/>
            </w:tcBorders>
          </w:tcPr>
          <w:p w14:paraId="69B6A91D" w14:textId="47C0679C" w:rsidR="00E24D67" w:rsidRPr="004F1B86" w:rsidRDefault="00E24D67" w:rsidP="00E24D67">
            <w:pPr>
              <w:pStyle w:val="TableText"/>
              <w:jc w:val="right"/>
              <w:rPr>
                <w:sz w:val="16"/>
                <w:szCs w:val="16"/>
              </w:rPr>
            </w:pPr>
            <w:r w:rsidRPr="004F1B86">
              <w:rPr>
                <w:sz w:val="16"/>
                <w:szCs w:val="16"/>
              </w:rPr>
              <w:t>69.2%</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1F829EF2" w14:textId="15E9E2C5" w:rsidR="00E24D67" w:rsidRPr="004F1B86" w:rsidRDefault="00E24D67" w:rsidP="00E24D67">
            <w:pPr>
              <w:pStyle w:val="TableText"/>
              <w:jc w:val="right"/>
              <w:rPr>
                <w:sz w:val="16"/>
                <w:szCs w:val="16"/>
              </w:rPr>
            </w:pPr>
            <w:r w:rsidRPr="004F1B86">
              <w:rPr>
                <w:sz w:val="16"/>
                <w:szCs w:val="16"/>
              </w:rPr>
              <w:t>66.7%</w:t>
            </w:r>
          </w:p>
        </w:tc>
      </w:tr>
      <w:tr w:rsidR="00E24D67" w14:paraId="1FC46B07" w14:textId="77777777" w:rsidTr="004F1B86">
        <w:tc>
          <w:tcPr>
            <w:tcW w:w="1088" w:type="dxa"/>
            <w:tcBorders>
              <w:top w:val="single" w:sz="4" w:space="0" w:color="A6A6A6" w:themeColor="background1" w:themeShade="A6"/>
              <w:left w:val="nil"/>
              <w:bottom w:val="single" w:sz="4" w:space="0" w:color="A6A6A6" w:themeColor="background1" w:themeShade="A6"/>
              <w:right w:val="nil"/>
            </w:tcBorders>
            <w:hideMark/>
          </w:tcPr>
          <w:p w14:paraId="4F870E35" w14:textId="77777777" w:rsidR="00E24D67" w:rsidRPr="004F1B86" w:rsidRDefault="00E24D67" w:rsidP="00E24D67">
            <w:pPr>
              <w:pStyle w:val="TableText"/>
              <w:ind w:right="-154"/>
              <w:rPr>
                <w:sz w:val="16"/>
                <w:szCs w:val="16"/>
              </w:rPr>
            </w:pPr>
            <w:r w:rsidRPr="004F1B86">
              <w:rPr>
                <w:sz w:val="16"/>
                <w:szCs w:val="16"/>
              </w:rPr>
              <w:t>Māori</w:t>
            </w:r>
          </w:p>
        </w:tc>
        <w:tc>
          <w:tcPr>
            <w:tcW w:w="1204" w:type="dxa"/>
            <w:gridSpan w:val="2"/>
            <w:tcBorders>
              <w:top w:val="single" w:sz="4" w:space="0" w:color="A6A6A6" w:themeColor="background1" w:themeShade="A6"/>
              <w:left w:val="nil"/>
              <w:bottom w:val="single" w:sz="4" w:space="0" w:color="A6A6A6" w:themeColor="background1" w:themeShade="A6"/>
              <w:right w:val="nil"/>
            </w:tcBorders>
            <w:hideMark/>
          </w:tcPr>
          <w:p w14:paraId="0B38D51C" w14:textId="3D4BF3AD" w:rsidR="00E24D67" w:rsidRPr="004F1B86" w:rsidRDefault="00E24D67" w:rsidP="00E24D67">
            <w:pPr>
              <w:pStyle w:val="TableText"/>
              <w:jc w:val="right"/>
              <w:rPr>
                <w:sz w:val="16"/>
                <w:szCs w:val="16"/>
              </w:rPr>
            </w:pPr>
            <w:r w:rsidRPr="004F1B86">
              <w:rPr>
                <w:sz w:val="16"/>
                <w:szCs w:val="16"/>
              </w:rPr>
              <w:t>75.8%</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1E543C16" w14:textId="38D8140D" w:rsidR="00E24D67" w:rsidRPr="004F1B86" w:rsidRDefault="00E24D67" w:rsidP="00E24D67">
            <w:pPr>
              <w:pStyle w:val="TableText"/>
              <w:jc w:val="right"/>
              <w:rPr>
                <w:sz w:val="16"/>
                <w:szCs w:val="16"/>
              </w:rPr>
            </w:pPr>
            <w:r w:rsidRPr="004F1B86">
              <w:rPr>
                <w:sz w:val="16"/>
                <w:szCs w:val="16"/>
              </w:rPr>
              <w:t>74.2%</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2091D237" w14:textId="353C213D" w:rsidR="00E24D67" w:rsidRPr="004F1B86" w:rsidRDefault="00E24D67" w:rsidP="00E24D67">
            <w:pPr>
              <w:pStyle w:val="TableText"/>
              <w:jc w:val="right"/>
              <w:rPr>
                <w:sz w:val="16"/>
                <w:szCs w:val="16"/>
              </w:rPr>
            </w:pPr>
            <w:r w:rsidRPr="004F1B86">
              <w:rPr>
                <w:sz w:val="16"/>
                <w:szCs w:val="16"/>
              </w:rPr>
              <w:t>75.4%</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153A40A1" w14:textId="017CCCC7" w:rsidR="00E24D67" w:rsidRPr="004F1B86" w:rsidRDefault="00E24D67" w:rsidP="00E24D67">
            <w:pPr>
              <w:pStyle w:val="TableText"/>
              <w:jc w:val="right"/>
              <w:rPr>
                <w:sz w:val="16"/>
                <w:szCs w:val="16"/>
              </w:rPr>
            </w:pPr>
            <w:r w:rsidRPr="004F1B86">
              <w:rPr>
                <w:sz w:val="16"/>
                <w:szCs w:val="16"/>
              </w:rPr>
              <w:t>79.4%</w:t>
            </w:r>
          </w:p>
        </w:tc>
        <w:tc>
          <w:tcPr>
            <w:tcW w:w="1186" w:type="dxa"/>
            <w:tcBorders>
              <w:top w:val="single" w:sz="4" w:space="0" w:color="A6A6A6" w:themeColor="background1" w:themeShade="A6"/>
              <w:left w:val="nil"/>
              <w:bottom w:val="single" w:sz="4" w:space="0" w:color="A6A6A6" w:themeColor="background1" w:themeShade="A6"/>
              <w:right w:val="nil"/>
            </w:tcBorders>
          </w:tcPr>
          <w:p w14:paraId="76CE2040" w14:textId="48C24D75" w:rsidR="00E24D67" w:rsidRPr="004F1B86" w:rsidRDefault="00E24D67" w:rsidP="00E24D67">
            <w:pPr>
              <w:pStyle w:val="TableText"/>
              <w:jc w:val="right"/>
              <w:rPr>
                <w:sz w:val="16"/>
                <w:szCs w:val="16"/>
              </w:rPr>
            </w:pPr>
            <w:r w:rsidRPr="004F1B86">
              <w:rPr>
                <w:sz w:val="16"/>
                <w:szCs w:val="16"/>
              </w:rPr>
              <w:t>76.6%</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5CB82731" w14:textId="7F717104" w:rsidR="00E24D67" w:rsidRPr="004F1B86" w:rsidRDefault="00E24D67" w:rsidP="00E24D67">
            <w:pPr>
              <w:pStyle w:val="TableText"/>
              <w:jc w:val="right"/>
              <w:rPr>
                <w:sz w:val="16"/>
                <w:szCs w:val="16"/>
              </w:rPr>
            </w:pPr>
            <w:r w:rsidRPr="004F1B86">
              <w:rPr>
                <w:sz w:val="16"/>
                <w:szCs w:val="16"/>
              </w:rPr>
              <w:t>73.0%</w:t>
            </w:r>
          </w:p>
        </w:tc>
      </w:tr>
      <w:tr w:rsidR="00E24D67" w14:paraId="6D63C0BF" w14:textId="77777777" w:rsidTr="004F1B86">
        <w:tc>
          <w:tcPr>
            <w:tcW w:w="1088" w:type="dxa"/>
            <w:tcBorders>
              <w:top w:val="single" w:sz="4" w:space="0" w:color="A6A6A6" w:themeColor="background1" w:themeShade="A6"/>
              <w:left w:val="nil"/>
              <w:bottom w:val="single" w:sz="4" w:space="0" w:color="A6A6A6" w:themeColor="background1" w:themeShade="A6"/>
              <w:right w:val="nil"/>
            </w:tcBorders>
            <w:hideMark/>
          </w:tcPr>
          <w:p w14:paraId="4D4AB86B" w14:textId="77777777" w:rsidR="00E24D67" w:rsidRPr="004F1B86" w:rsidRDefault="00E24D67" w:rsidP="00E24D67">
            <w:pPr>
              <w:pStyle w:val="TableText"/>
              <w:ind w:right="-154"/>
              <w:rPr>
                <w:sz w:val="16"/>
                <w:szCs w:val="16"/>
              </w:rPr>
            </w:pPr>
            <w:r w:rsidRPr="004F1B86">
              <w:rPr>
                <w:sz w:val="16"/>
                <w:szCs w:val="16"/>
              </w:rPr>
              <w:t>Pacific peoples</w:t>
            </w:r>
          </w:p>
        </w:tc>
        <w:tc>
          <w:tcPr>
            <w:tcW w:w="1204" w:type="dxa"/>
            <w:gridSpan w:val="2"/>
            <w:tcBorders>
              <w:top w:val="single" w:sz="4" w:space="0" w:color="A6A6A6" w:themeColor="background1" w:themeShade="A6"/>
              <w:left w:val="nil"/>
              <w:bottom w:val="single" w:sz="4" w:space="0" w:color="A6A6A6" w:themeColor="background1" w:themeShade="A6"/>
              <w:right w:val="nil"/>
            </w:tcBorders>
            <w:hideMark/>
          </w:tcPr>
          <w:p w14:paraId="4691C8A6" w14:textId="13064FE3" w:rsidR="00E24D67" w:rsidRPr="004F1B86" w:rsidRDefault="00E24D67" w:rsidP="00E24D67">
            <w:pPr>
              <w:pStyle w:val="TableText"/>
              <w:jc w:val="right"/>
              <w:rPr>
                <w:sz w:val="16"/>
                <w:szCs w:val="16"/>
              </w:rPr>
            </w:pPr>
            <w:r w:rsidRPr="004F1B86">
              <w:rPr>
                <w:sz w:val="16"/>
                <w:szCs w:val="16"/>
              </w:rPr>
              <w:t>78.1%</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61CB51BC" w14:textId="7227A1E7" w:rsidR="00E24D67" w:rsidRPr="004F1B86" w:rsidRDefault="00E24D67" w:rsidP="00E24D67">
            <w:pPr>
              <w:pStyle w:val="TableText"/>
              <w:jc w:val="right"/>
              <w:rPr>
                <w:sz w:val="16"/>
                <w:szCs w:val="16"/>
              </w:rPr>
            </w:pPr>
            <w:r w:rsidRPr="004F1B86">
              <w:rPr>
                <w:sz w:val="16"/>
                <w:szCs w:val="16"/>
              </w:rPr>
              <w:t>77.9%</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500B736F" w14:textId="0DEC1019" w:rsidR="00E24D67" w:rsidRPr="004F1B86" w:rsidRDefault="00E24D67" w:rsidP="00E24D67">
            <w:pPr>
              <w:pStyle w:val="TableText"/>
              <w:jc w:val="right"/>
              <w:rPr>
                <w:sz w:val="16"/>
                <w:szCs w:val="16"/>
              </w:rPr>
            </w:pPr>
            <w:r w:rsidRPr="004F1B86">
              <w:rPr>
                <w:sz w:val="16"/>
                <w:szCs w:val="16"/>
              </w:rPr>
              <w:t>78.6%</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625856DE" w14:textId="0A5AD528" w:rsidR="00E24D67" w:rsidRPr="004F1B86" w:rsidRDefault="00E24D67" w:rsidP="00E24D67">
            <w:pPr>
              <w:pStyle w:val="TableText"/>
              <w:jc w:val="right"/>
              <w:rPr>
                <w:sz w:val="16"/>
                <w:szCs w:val="16"/>
              </w:rPr>
            </w:pPr>
            <w:r w:rsidRPr="004F1B86">
              <w:rPr>
                <w:sz w:val="16"/>
                <w:szCs w:val="16"/>
              </w:rPr>
              <w:t>86.6%</w:t>
            </w:r>
          </w:p>
        </w:tc>
        <w:tc>
          <w:tcPr>
            <w:tcW w:w="1186" w:type="dxa"/>
            <w:tcBorders>
              <w:top w:val="single" w:sz="4" w:space="0" w:color="A6A6A6" w:themeColor="background1" w:themeShade="A6"/>
              <w:left w:val="nil"/>
              <w:bottom w:val="single" w:sz="4" w:space="0" w:color="A6A6A6" w:themeColor="background1" w:themeShade="A6"/>
              <w:right w:val="nil"/>
            </w:tcBorders>
          </w:tcPr>
          <w:p w14:paraId="720971EA" w14:textId="51159993" w:rsidR="00E24D67" w:rsidRPr="004F1B86" w:rsidRDefault="00E24D67" w:rsidP="00E24D67">
            <w:pPr>
              <w:pStyle w:val="TableText"/>
              <w:jc w:val="right"/>
              <w:rPr>
                <w:sz w:val="16"/>
                <w:szCs w:val="16"/>
              </w:rPr>
            </w:pPr>
            <w:r w:rsidRPr="004F1B86">
              <w:rPr>
                <w:sz w:val="16"/>
                <w:szCs w:val="16"/>
              </w:rPr>
              <w:t>80.8%</w:t>
            </w:r>
          </w:p>
        </w:tc>
        <w:tc>
          <w:tcPr>
            <w:tcW w:w="1186" w:type="dxa"/>
            <w:tcBorders>
              <w:top w:val="single" w:sz="4" w:space="0" w:color="A6A6A6" w:themeColor="background1" w:themeShade="A6"/>
              <w:left w:val="nil"/>
              <w:bottom w:val="single" w:sz="4" w:space="0" w:color="A6A6A6" w:themeColor="background1" w:themeShade="A6"/>
              <w:right w:val="nil"/>
            </w:tcBorders>
            <w:hideMark/>
          </w:tcPr>
          <w:p w14:paraId="6F641418" w14:textId="659C4B01" w:rsidR="00E24D67" w:rsidRPr="004F1B86" w:rsidRDefault="00E24D67" w:rsidP="00E24D67">
            <w:pPr>
              <w:pStyle w:val="TableText"/>
              <w:jc w:val="right"/>
              <w:rPr>
                <w:sz w:val="16"/>
                <w:szCs w:val="16"/>
              </w:rPr>
            </w:pPr>
            <w:r w:rsidRPr="004F1B86">
              <w:rPr>
                <w:sz w:val="16"/>
                <w:szCs w:val="16"/>
              </w:rPr>
              <w:t>78.0%</w:t>
            </w:r>
          </w:p>
        </w:tc>
      </w:tr>
      <w:tr w:rsidR="00E24D67" w14:paraId="69406CAD" w14:textId="77777777" w:rsidTr="004F1B86">
        <w:tc>
          <w:tcPr>
            <w:tcW w:w="1088" w:type="dxa"/>
            <w:tcBorders>
              <w:top w:val="single" w:sz="4" w:space="0" w:color="A6A6A6" w:themeColor="background1" w:themeShade="A6"/>
              <w:left w:val="nil"/>
              <w:bottom w:val="single" w:sz="4" w:space="0" w:color="A6A6A6" w:themeColor="background1" w:themeShade="A6"/>
              <w:right w:val="nil"/>
            </w:tcBorders>
          </w:tcPr>
          <w:p w14:paraId="26E64C1C" w14:textId="77777777" w:rsidR="00E24D67" w:rsidRPr="004F1B86" w:rsidRDefault="00E24D67" w:rsidP="00E24D67">
            <w:pPr>
              <w:pStyle w:val="TableText"/>
              <w:ind w:right="-154"/>
              <w:rPr>
                <w:sz w:val="16"/>
                <w:szCs w:val="16"/>
              </w:rPr>
            </w:pPr>
            <w:r w:rsidRPr="004F1B86">
              <w:rPr>
                <w:sz w:val="16"/>
                <w:szCs w:val="16"/>
              </w:rPr>
              <w:t>Asian</w:t>
            </w:r>
          </w:p>
        </w:tc>
        <w:tc>
          <w:tcPr>
            <w:tcW w:w="1204" w:type="dxa"/>
            <w:gridSpan w:val="2"/>
            <w:tcBorders>
              <w:top w:val="single" w:sz="4" w:space="0" w:color="A6A6A6" w:themeColor="background1" w:themeShade="A6"/>
              <w:left w:val="nil"/>
              <w:bottom w:val="single" w:sz="4" w:space="0" w:color="A6A6A6" w:themeColor="background1" w:themeShade="A6"/>
              <w:right w:val="nil"/>
            </w:tcBorders>
          </w:tcPr>
          <w:p w14:paraId="6C029739" w14:textId="025E4075" w:rsidR="00E24D67" w:rsidRPr="004F1B86" w:rsidRDefault="00E24D67" w:rsidP="00E24D67">
            <w:pPr>
              <w:pStyle w:val="TableText"/>
              <w:jc w:val="right"/>
              <w:rPr>
                <w:sz w:val="16"/>
                <w:szCs w:val="16"/>
              </w:rPr>
            </w:pPr>
            <w:r w:rsidRPr="004F1B86">
              <w:rPr>
                <w:sz w:val="16"/>
                <w:szCs w:val="16"/>
              </w:rPr>
              <w:t>–</w:t>
            </w:r>
          </w:p>
        </w:tc>
        <w:tc>
          <w:tcPr>
            <w:tcW w:w="1186" w:type="dxa"/>
            <w:tcBorders>
              <w:top w:val="single" w:sz="4" w:space="0" w:color="A6A6A6" w:themeColor="background1" w:themeShade="A6"/>
              <w:left w:val="nil"/>
              <w:bottom w:val="single" w:sz="4" w:space="0" w:color="A6A6A6" w:themeColor="background1" w:themeShade="A6"/>
              <w:right w:val="nil"/>
            </w:tcBorders>
          </w:tcPr>
          <w:p w14:paraId="3A7069BB" w14:textId="20B1FA92" w:rsidR="00E24D67" w:rsidRPr="004F1B86" w:rsidRDefault="00E24D67" w:rsidP="00E24D67">
            <w:pPr>
              <w:pStyle w:val="TableText"/>
              <w:jc w:val="right"/>
              <w:rPr>
                <w:sz w:val="16"/>
                <w:szCs w:val="16"/>
              </w:rPr>
            </w:pPr>
            <w:r w:rsidRPr="004F1B86">
              <w:rPr>
                <w:sz w:val="16"/>
                <w:szCs w:val="16"/>
              </w:rPr>
              <w:t>–</w:t>
            </w:r>
          </w:p>
        </w:tc>
        <w:tc>
          <w:tcPr>
            <w:tcW w:w="1186" w:type="dxa"/>
            <w:tcBorders>
              <w:top w:val="single" w:sz="4" w:space="0" w:color="A6A6A6" w:themeColor="background1" w:themeShade="A6"/>
              <w:left w:val="nil"/>
              <w:bottom w:val="single" w:sz="4" w:space="0" w:color="A6A6A6" w:themeColor="background1" w:themeShade="A6"/>
              <w:right w:val="nil"/>
            </w:tcBorders>
          </w:tcPr>
          <w:p w14:paraId="059506E0" w14:textId="327B8AA8" w:rsidR="00E24D67" w:rsidRPr="004F1B86" w:rsidRDefault="00E24D67" w:rsidP="00E24D67">
            <w:pPr>
              <w:pStyle w:val="TableText"/>
              <w:jc w:val="right"/>
              <w:rPr>
                <w:sz w:val="16"/>
                <w:szCs w:val="16"/>
              </w:rPr>
            </w:pPr>
            <w:r w:rsidRPr="004F1B86">
              <w:rPr>
                <w:sz w:val="16"/>
                <w:szCs w:val="16"/>
              </w:rPr>
              <w:t>–</w:t>
            </w:r>
          </w:p>
        </w:tc>
        <w:tc>
          <w:tcPr>
            <w:tcW w:w="1186" w:type="dxa"/>
            <w:tcBorders>
              <w:top w:val="single" w:sz="4" w:space="0" w:color="A6A6A6" w:themeColor="background1" w:themeShade="A6"/>
              <w:left w:val="nil"/>
              <w:bottom w:val="single" w:sz="4" w:space="0" w:color="A6A6A6" w:themeColor="background1" w:themeShade="A6"/>
              <w:right w:val="nil"/>
            </w:tcBorders>
          </w:tcPr>
          <w:p w14:paraId="41356DFB" w14:textId="6A568998" w:rsidR="00E24D67" w:rsidRPr="004F1B86" w:rsidRDefault="00E24D67" w:rsidP="00E24D67">
            <w:pPr>
              <w:pStyle w:val="TableText"/>
              <w:jc w:val="right"/>
              <w:rPr>
                <w:sz w:val="16"/>
                <w:szCs w:val="16"/>
              </w:rPr>
            </w:pPr>
            <w:r w:rsidRPr="004F1B86">
              <w:rPr>
                <w:sz w:val="16"/>
                <w:szCs w:val="16"/>
              </w:rPr>
              <w:t>–</w:t>
            </w:r>
          </w:p>
        </w:tc>
        <w:tc>
          <w:tcPr>
            <w:tcW w:w="1186" w:type="dxa"/>
            <w:tcBorders>
              <w:top w:val="single" w:sz="4" w:space="0" w:color="A6A6A6" w:themeColor="background1" w:themeShade="A6"/>
              <w:left w:val="nil"/>
              <w:bottom w:val="single" w:sz="4" w:space="0" w:color="A6A6A6" w:themeColor="background1" w:themeShade="A6"/>
              <w:right w:val="nil"/>
            </w:tcBorders>
          </w:tcPr>
          <w:p w14:paraId="39C90F46" w14:textId="5F245840" w:rsidR="00E24D67" w:rsidRPr="004F1B86" w:rsidRDefault="00E24D67" w:rsidP="00E24D67">
            <w:pPr>
              <w:pStyle w:val="TableText"/>
              <w:jc w:val="right"/>
              <w:rPr>
                <w:sz w:val="16"/>
                <w:szCs w:val="16"/>
              </w:rPr>
            </w:pPr>
            <w:r w:rsidRPr="004F1B86">
              <w:rPr>
                <w:sz w:val="16"/>
                <w:szCs w:val="16"/>
              </w:rPr>
              <w:t>–</w:t>
            </w:r>
          </w:p>
        </w:tc>
        <w:tc>
          <w:tcPr>
            <w:tcW w:w="1186" w:type="dxa"/>
            <w:tcBorders>
              <w:top w:val="single" w:sz="4" w:space="0" w:color="A6A6A6" w:themeColor="background1" w:themeShade="A6"/>
              <w:left w:val="nil"/>
              <w:bottom w:val="single" w:sz="4" w:space="0" w:color="A6A6A6" w:themeColor="background1" w:themeShade="A6"/>
              <w:right w:val="nil"/>
            </w:tcBorders>
          </w:tcPr>
          <w:p w14:paraId="715BC924" w14:textId="7830A102" w:rsidR="00E24D67" w:rsidRPr="004F1B86" w:rsidRDefault="00E24D67" w:rsidP="00E24D67">
            <w:pPr>
              <w:pStyle w:val="TableText"/>
              <w:jc w:val="right"/>
              <w:rPr>
                <w:sz w:val="16"/>
                <w:szCs w:val="16"/>
              </w:rPr>
            </w:pPr>
            <w:r w:rsidRPr="004F1B86">
              <w:rPr>
                <w:sz w:val="16"/>
                <w:szCs w:val="16"/>
              </w:rPr>
              <w:t>69.1%</w:t>
            </w:r>
          </w:p>
        </w:tc>
      </w:tr>
      <w:tr w:rsidR="00E24D67" w14:paraId="69352C0C" w14:textId="77777777" w:rsidTr="004F1B86">
        <w:tc>
          <w:tcPr>
            <w:tcW w:w="1088" w:type="dxa"/>
            <w:tcBorders>
              <w:top w:val="single" w:sz="4" w:space="0" w:color="A6A6A6" w:themeColor="background1" w:themeShade="A6"/>
              <w:left w:val="nil"/>
              <w:bottom w:val="single" w:sz="4" w:space="0" w:color="A6A6A6" w:themeColor="background1" w:themeShade="A6"/>
              <w:right w:val="nil"/>
            </w:tcBorders>
          </w:tcPr>
          <w:p w14:paraId="679619C3" w14:textId="539DC0D9" w:rsidR="00E24D67" w:rsidRPr="004F1B86" w:rsidRDefault="00E24D67" w:rsidP="00E24D67">
            <w:pPr>
              <w:pStyle w:val="TableText"/>
              <w:ind w:right="-154"/>
              <w:rPr>
                <w:sz w:val="16"/>
                <w:szCs w:val="16"/>
              </w:rPr>
            </w:pPr>
            <w:r w:rsidRPr="004F1B86">
              <w:rPr>
                <w:sz w:val="16"/>
                <w:szCs w:val="16"/>
              </w:rPr>
              <w:t xml:space="preserve">Non-Māori non-Pacific non-Asian** </w:t>
            </w:r>
          </w:p>
        </w:tc>
        <w:tc>
          <w:tcPr>
            <w:tcW w:w="1204" w:type="dxa"/>
            <w:gridSpan w:val="2"/>
            <w:tcBorders>
              <w:top w:val="single" w:sz="4" w:space="0" w:color="A6A6A6" w:themeColor="background1" w:themeShade="A6"/>
              <w:left w:val="nil"/>
              <w:bottom w:val="single" w:sz="4" w:space="0" w:color="A6A6A6" w:themeColor="background1" w:themeShade="A6"/>
              <w:right w:val="nil"/>
            </w:tcBorders>
          </w:tcPr>
          <w:p w14:paraId="046743C8" w14:textId="487BADB2" w:rsidR="00E24D67" w:rsidRPr="004F1B86" w:rsidRDefault="00E24D67" w:rsidP="00E24D67">
            <w:pPr>
              <w:pStyle w:val="TableText"/>
              <w:jc w:val="right"/>
              <w:rPr>
                <w:sz w:val="16"/>
                <w:szCs w:val="16"/>
              </w:rPr>
            </w:pPr>
            <w:r w:rsidRPr="004F1B86">
              <w:rPr>
                <w:sz w:val="16"/>
                <w:szCs w:val="16"/>
              </w:rPr>
              <w:t>–</w:t>
            </w:r>
          </w:p>
        </w:tc>
        <w:tc>
          <w:tcPr>
            <w:tcW w:w="1186" w:type="dxa"/>
            <w:tcBorders>
              <w:top w:val="single" w:sz="4" w:space="0" w:color="A6A6A6" w:themeColor="background1" w:themeShade="A6"/>
              <w:left w:val="nil"/>
              <w:bottom w:val="single" w:sz="4" w:space="0" w:color="A6A6A6" w:themeColor="background1" w:themeShade="A6"/>
              <w:right w:val="nil"/>
            </w:tcBorders>
          </w:tcPr>
          <w:p w14:paraId="089FFF64" w14:textId="21EBA143" w:rsidR="00E24D67" w:rsidRPr="004F1B86" w:rsidRDefault="00E24D67" w:rsidP="00E24D67">
            <w:pPr>
              <w:pStyle w:val="TableText"/>
              <w:jc w:val="right"/>
              <w:rPr>
                <w:sz w:val="16"/>
                <w:szCs w:val="16"/>
              </w:rPr>
            </w:pPr>
            <w:r w:rsidRPr="004F1B86">
              <w:rPr>
                <w:sz w:val="16"/>
                <w:szCs w:val="16"/>
              </w:rPr>
              <w:t>–</w:t>
            </w:r>
          </w:p>
        </w:tc>
        <w:tc>
          <w:tcPr>
            <w:tcW w:w="1186" w:type="dxa"/>
            <w:tcBorders>
              <w:top w:val="single" w:sz="4" w:space="0" w:color="A6A6A6" w:themeColor="background1" w:themeShade="A6"/>
              <w:left w:val="nil"/>
              <w:bottom w:val="single" w:sz="4" w:space="0" w:color="A6A6A6" w:themeColor="background1" w:themeShade="A6"/>
              <w:right w:val="nil"/>
            </w:tcBorders>
          </w:tcPr>
          <w:p w14:paraId="7D15477C" w14:textId="0A01EE1A" w:rsidR="00E24D67" w:rsidRPr="004F1B86" w:rsidRDefault="00E24D67" w:rsidP="00E24D67">
            <w:pPr>
              <w:pStyle w:val="TableText"/>
              <w:jc w:val="right"/>
              <w:rPr>
                <w:sz w:val="16"/>
                <w:szCs w:val="16"/>
              </w:rPr>
            </w:pPr>
            <w:r w:rsidRPr="004F1B86">
              <w:rPr>
                <w:sz w:val="16"/>
                <w:szCs w:val="16"/>
              </w:rPr>
              <w:t>–</w:t>
            </w:r>
          </w:p>
        </w:tc>
        <w:tc>
          <w:tcPr>
            <w:tcW w:w="1186" w:type="dxa"/>
            <w:tcBorders>
              <w:top w:val="single" w:sz="4" w:space="0" w:color="A6A6A6" w:themeColor="background1" w:themeShade="A6"/>
              <w:left w:val="nil"/>
              <w:bottom w:val="single" w:sz="4" w:space="0" w:color="A6A6A6" w:themeColor="background1" w:themeShade="A6"/>
              <w:right w:val="nil"/>
            </w:tcBorders>
          </w:tcPr>
          <w:p w14:paraId="34646E09" w14:textId="3F9CD571" w:rsidR="00E24D67" w:rsidRPr="004F1B86" w:rsidRDefault="00E24D67" w:rsidP="00E24D67">
            <w:pPr>
              <w:pStyle w:val="TableText"/>
              <w:jc w:val="right"/>
              <w:rPr>
                <w:sz w:val="16"/>
                <w:szCs w:val="16"/>
              </w:rPr>
            </w:pPr>
            <w:r w:rsidRPr="004F1B86">
              <w:rPr>
                <w:sz w:val="16"/>
                <w:szCs w:val="16"/>
              </w:rPr>
              <w:t>–</w:t>
            </w:r>
          </w:p>
        </w:tc>
        <w:tc>
          <w:tcPr>
            <w:tcW w:w="1186" w:type="dxa"/>
            <w:tcBorders>
              <w:top w:val="single" w:sz="4" w:space="0" w:color="A6A6A6" w:themeColor="background1" w:themeShade="A6"/>
              <w:left w:val="nil"/>
              <w:bottom w:val="single" w:sz="4" w:space="0" w:color="A6A6A6" w:themeColor="background1" w:themeShade="A6"/>
              <w:right w:val="nil"/>
            </w:tcBorders>
          </w:tcPr>
          <w:p w14:paraId="0BDE3134" w14:textId="08DB0D12" w:rsidR="00E24D67" w:rsidRPr="004F1B86" w:rsidRDefault="00E24D67" w:rsidP="00E24D67">
            <w:pPr>
              <w:pStyle w:val="TableText"/>
              <w:jc w:val="right"/>
              <w:rPr>
                <w:sz w:val="16"/>
                <w:szCs w:val="16"/>
              </w:rPr>
            </w:pPr>
            <w:r w:rsidRPr="004F1B86">
              <w:rPr>
                <w:sz w:val="16"/>
                <w:szCs w:val="16"/>
              </w:rPr>
              <w:t>–</w:t>
            </w:r>
          </w:p>
        </w:tc>
        <w:tc>
          <w:tcPr>
            <w:tcW w:w="1186" w:type="dxa"/>
            <w:tcBorders>
              <w:top w:val="single" w:sz="4" w:space="0" w:color="A6A6A6" w:themeColor="background1" w:themeShade="A6"/>
              <w:left w:val="nil"/>
              <w:bottom w:val="single" w:sz="4" w:space="0" w:color="A6A6A6" w:themeColor="background1" w:themeShade="A6"/>
              <w:right w:val="nil"/>
            </w:tcBorders>
          </w:tcPr>
          <w:p w14:paraId="66125AE0" w14:textId="1876AD18" w:rsidR="00E24D67" w:rsidRPr="004F1B86" w:rsidRDefault="00E24D67" w:rsidP="00E24D67">
            <w:pPr>
              <w:pStyle w:val="TableText"/>
              <w:jc w:val="right"/>
              <w:rPr>
                <w:sz w:val="16"/>
                <w:szCs w:val="16"/>
              </w:rPr>
            </w:pPr>
            <w:r w:rsidRPr="004F1B86">
              <w:rPr>
                <w:sz w:val="16"/>
                <w:szCs w:val="16"/>
              </w:rPr>
              <w:t>62.0%</w:t>
            </w:r>
          </w:p>
        </w:tc>
      </w:tr>
    </w:tbl>
    <w:p w14:paraId="4C26BCD6" w14:textId="3B73646F" w:rsidR="00E24D67" w:rsidRDefault="00E24D67" w:rsidP="00FB0018">
      <w:pPr>
        <w:pStyle w:val="Note"/>
        <w:ind w:left="196" w:hanging="196"/>
      </w:pPr>
      <w:r>
        <w:t xml:space="preserve">* </w:t>
      </w:r>
      <w:r w:rsidR="00FB0018">
        <w:tab/>
      </w:r>
      <w:r>
        <w:t>At the time of publication, the most up-to-date data available is for the 12 months to March 2024. We have used 12 months of data to take account of seasonal fluctuations in the rate.</w:t>
      </w:r>
    </w:p>
    <w:p w14:paraId="70C80B20" w14:textId="77777777" w:rsidR="00E24D67" w:rsidRDefault="00E24D67" w:rsidP="00FB0018">
      <w:pPr>
        <w:pStyle w:val="Note"/>
        <w:ind w:left="196" w:hanging="196"/>
      </w:pPr>
      <w:r>
        <w:t>** It is not possible to provide data for the earlier periods for these groups as the data has not been extracted with the ethnicity breakdown for them.</w:t>
      </w:r>
    </w:p>
    <w:p w14:paraId="0995F443" w14:textId="77777777" w:rsidR="00E24D67" w:rsidRPr="00E24D67" w:rsidRDefault="00E24D67" w:rsidP="00E24D67">
      <w:pPr>
        <w:rPr>
          <w:sz w:val="20"/>
          <w:szCs w:val="18"/>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222"/>
      </w:tblGrid>
      <w:tr w:rsidR="00E24D67" w14:paraId="50562E1F" w14:textId="77777777" w:rsidTr="004F1B86">
        <w:tc>
          <w:tcPr>
            <w:tcW w:w="8222" w:type="dxa"/>
            <w:shd w:val="clear" w:color="auto" w:fill="F2F2F2" w:themeFill="background1" w:themeFillShade="F2"/>
          </w:tcPr>
          <w:p w14:paraId="58C87718" w14:textId="77777777" w:rsidR="00E24D67" w:rsidRDefault="00E24D67" w:rsidP="004F1B86">
            <w:pPr>
              <w:spacing w:before="120" w:after="120"/>
              <w:rPr>
                <w:b/>
                <w:bCs/>
              </w:rPr>
            </w:pPr>
            <w:r w:rsidRPr="008D5FB2">
              <w:rPr>
                <w:b/>
                <w:bCs/>
              </w:rPr>
              <w:t>Comment</w:t>
            </w:r>
          </w:p>
          <w:p w14:paraId="64097C90" w14:textId="040BBFC0" w:rsidR="00E24D67" w:rsidRDefault="00E24D67" w:rsidP="00FB0018">
            <w:pPr>
              <w:spacing w:before="80" w:after="80" w:line="240" w:lineRule="auto"/>
            </w:pPr>
            <w:r>
              <w:t>Early and timely access to specialist mental health and addiction services for people who need it is crucial to support people’s recovery, help them to live well, and prevent further deterioration in their mental health and overall quality of life. Accessing help for mental health issues for young people is associated with better outcomes and reduced disruption to important developmental tasks such as engaging in education and employment, developing and maintaining supportive peer relationships, and taking on increasingly more independent tasks.</w:t>
            </w:r>
          </w:p>
          <w:p w14:paraId="5AFC8F5B" w14:textId="77777777" w:rsidR="00E24D67" w:rsidRDefault="00E24D67" w:rsidP="00FB0018">
            <w:pPr>
              <w:spacing w:before="80" w:after="80" w:line="240" w:lineRule="auto"/>
            </w:pPr>
            <w:r>
              <w:t>The indicator measures the time from referral to first in-scope contact with specialist mental health services and relates to the young people who have the most severe mental health issues. While not all young people need to be seen urgently, the measure provides a view of how responsive services are to young people’s needs and provides an indicator of the demand pressure that services are under. Performance against the measure is impacted by a range of factors including workforce supply and capability, funding of services, and how closely services are connected to other providers in their community.</w:t>
            </w:r>
          </w:p>
          <w:p w14:paraId="326E6645" w14:textId="51C7CF0A" w:rsidR="00E24D67" w:rsidRPr="00085055" w:rsidRDefault="00E24D67" w:rsidP="00FB0018">
            <w:pPr>
              <w:spacing w:before="80" w:after="80" w:line="240" w:lineRule="auto"/>
              <w:rPr>
                <w:b/>
                <w:bCs/>
              </w:rPr>
            </w:pPr>
            <w:r>
              <w:t>Timely access to specialist mental health and addiction services is one of the Government’s mental health targets. Wait times currently vary between services and among age groups. Fewer people aged under 25 years are seen within three weeks compared with other age groups, and this difference in outcome has seen no sustained improvement since 2019. While the target focuses on wait times for all age groups, we will closely monitor improvements in wait times for those aged under 25 years to ensure this inequitable gap is addressed.</w:t>
            </w:r>
          </w:p>
        </w:tc>
      </w:tr>
    </w:tbl>
    <w:p w14:paraId="3935A868" w14:textId="5E2697AF" w:rsidR="00E24D67" w:rsidRPr="00E24D67" w:rsidRDefault="00E24D67" w:rsidP="00E24D67">
      <w:pPr>
        <w:sectPr w:rsidR="00E24D67" w:rsidRPr="00E24D67" w:rsidSect="008F0115">
          <w:pgSz w:w="11907" w:h="16840" w:code="9"/>
          <w:pgMar w:top="1418" w:right="1701" w:bottom="1134" w:left="1843" w:header="284" w:footer="425" w:gutter="284"/>
          <w:cols w:space="720"/>
        </w:sectPr>
      </w:pPr>
    </w:p>
    <w:tbl>
      <w:tblPr>
        <w:tblStyle w:val="TableGrid"/>
        <w:tblW w:w="822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8"/>
        <w:gridCol w:w="223"/>
        <w:gridCol w:w="929"/>
        <w:gridCol w:w="931"/>
        <w:gridCol w:w="930"/>
        <w:gridCol w:w="931"/>
        <w:gridCol w:w="930"/>
        <w:gridCol w:w="931"/>
        <w:gridCol w:w="999"/>
      </w:tblGrid>
      <w:tr w:rsidR="00887A71" w14:paraId="266EAA5D" w14:textId="77777777" w:rsidTr="004F1B86">
        <w:tc>
          <w:tcPr>
            <w:tcW w:w="8222" w:type="dxa"/>
            <w:gridSpan w:val="9"/>
            <w:tcBorders>
              <w:top w:val="nil"/>
              <w:left w:val="nil"/>
              <w:bottom w:val="nil"/>
              <w:right w:val="nil"/>
            </w:tcBorders>
            <w:shd w:val="clear" w:color="auto" w:fill="D9D9D9" w:themeFill="background1" w:themeFillShade="D9"/>
            <w:hideMark/>
          </w:tcPr>
          <w:p w14:paraId="0230D52C" w14:textId="7BE2C3F1" w:rsidR="00887A71" w:rsidRDefault="00887A71" w:rsidP="004F1B86">
            <w:pPr>
              <w:pStyle w:val="TableText"/>
              <w:rPr>
                <w:b/>
                <w:bCs/>
              </w:rPr>
            </w:pPr>
            <w:r w:rsidRPr="00887A71">
              <w:rPr>
                <w:b/>
                <w:bCs/>
              </w:rPr>
              <w:lastRenderedPageBreak/>
              <w:t>Funding received by kaupapa Māori health service providers</w:t>
            </w:r>
          </w:p>
        </w:tc>
      </w:tr>
      <w:tr w:rsidR="00887A71" w14:paraId="616E7C86" w14:textId="77777777" w:rsidTr="00FB0018">
        <w:tc>
          <w:tcPr>
            <w:tcW w:w="1418" w:type="dxa"/>
            <w:tcBorders>
              <w:top w:val="nil"/>
              <w:left w:val="nil"/>
              <w:bottom w:val="single" w:sz="4" w:space="0" w:color="A6A6A6" w:themeColor="background1" w:themeShade="A6"/>
              <w:right w:val="nil"/>
            </w:tcBorders>
            <w:hideMark/>
          </w:tcPr>
          <w:p w14:paraId="7E8A8029" w14:textId="77777777" w:rsidR="00887A71" w:rsidRDefault="00887A71" w:rsidP="004F1B86">
            <w:pPr>
              <w:pStyle w:val="TableText"/>
              <w:rPr>
                <w:b/>
                <w:bCs/>
              </w:rPr>
            </w:pPr>
            <w:r>
              <w:rPr>
                <w:b/>
                <w:bCs/>
              </w:rPr>
              <w:t>Indicator description</w:t>
            </w:r>
          </w:p>
        </w:tc>
        <w:tc>
          <w:tcPr>
            <w:tcW w:w="6804" w:type="dxa"/>
            <w:gridSpan w:val="8"/>
            <w:tcBorders>
              <w:top w:val="nil"/>
              <w:left w:val="nil"/>
              <w:bottom w:val="single" w:sz="4" w:space="0" w:color="A6A6A6" w:themeColor="background1" w:themeShade="A6"/>
              <w:right w:val="nil"/>
            </w:tcBorders>
            <w:hideMark/>
          </w:tcPr>
          <w:p w14:paraId="22639597" w14:textId="7E86680B" w:rsidR="00887A71" w:rsidRPr="00874C6C" w:rsidRDefault="00887A71" w:rsidP="004F1B86">
            <w:pPr>
              <w:pStyle w:val="TableText"/>
            </w:pPr>
            <w:r w:rsidRPr="00887A71">
              <w:t>Funding to Māori health providers (ie, suppliers of healthcare services that are owned and governed by Māori and are providing health and disability services primarily but not exclusively for Māori).</w:t>
            </w:r>
          </w:p>
        </w:tc>
      </w:tr>
      <w:tr w:rsidR="00887A71" w14:paraId="76AD01B9" w14:textId="77777777" w:rsidTr="00FB0018">
        <w:tc>
          <w:tcPr>
            <w:tcW w:w="1418" w:type="dxa"/>
            <w:tcBorders>
              <w:top w:val="single" w:sz="4" w:space="0" w:color="A6A6A6" w:themeColor="background1" w:themeShade="A6"/>
              <w:left w:val="nil"/>
              <w:bottom w:val="single" w:sz="4" w:space="0" w:color="A6A6A6" w:themeColor="background1" w:themeShade="A6"/>
              <w:right w:val="nil"/>
            </w:tcBorders>
            <w:hideMark/>
          </w:tcPr>
          <w:p w14:paraId="66AC0322" w14:textId="77777777" w:rsidR="00887A71" w:rsidRDefault="00887A71" w:rsidP="004F1B86">
            <w:pPr>
              <w:pStyle w:val="TableText"/>
              <w:rPr>
                <w:b/>
                <w:bCs/>
              </w:rPr>
            </w:pPr>
            <w:r>
              <w:rPr>
                <w:b/>
                <w:bCs/>
              </w:rPr>
              <w:t>Baseline data</w:t>
            </w:r>
          </w:p>
        </w:tc>
        <w:tc>
          <w:tcPr>
            <w:tcW w:w="6804" w:type="dxa"/>
            <w:gridSpan w:val="8"/>
            <w:tcBorders>
              <w:top w:val="single" w:sz="4" w:space="0" w:color="A6A6A6" w:themeColor="background1" w:themeShade="A6"/>
              <w:left w:val="nil"/>
              <w:bottom w:val="single" w:sz="4" w:space="0" w:color="A6A6A6" w:themeColor="background1" w:themeShade="A6"/>
              <w:right w:val="nil"/>
            </w:tcBorders>
            <w:hideMark/>
          </w:tcPr>
          <w:p w14:paraId="7001231D" w14:textId="525B691B" w:rsidR="00887A71" w:rsidRPr="00874C6C" w:rsidRDefault="00887A71" w:rsidP="004F1B86">
            <w:pPr>
              <w:pStyle w:val="TableText"/>
            </w:pPr>
            <w:r w:rsidRPr="00887A71">
              <w:t>Total funding to Māori health providers was $403.1 million in 2018/19.</w:t>
            </w:r>
          </w:p>
        </w:tc>
      </w:tr>
      <w:tr w:rsidR="00887A71" w14:paraId="29E817CA" w14:textId="77777777" w:rsidTr="004F1B86">
        <w:tc>
          <w:tcPr>
            <w:tcW w:w="8222" w:type="dxa"/>
            <w:gridSpan w:val="9"/>
            <w:tcBorders>
              <w:top w:val="single" w:sz="4" w:space="0" w:color="A6A6A6" w:themeColor="background1" w:themeShade="A6"/>
              <w:left w:val="nil"/>
              <w:bottom w:val="single" w:sz="4" w:space="0" w:color="A6A6A6" w:themeColor="background1" w:themeShade="A6"/>
              <w:right w:val="nil"/>
            </w:tcBorders>
            <w:shd w:val="clear" w:color="auto" w:fill="FFFFFF" w:themeFill="background1"/>
            <w:hideMark/>
          </w:tcPr>
          <w:p w14:paraId="66280F84" w14:textId="17B8BDFF" w:rsidR="00887A71" w:rsidRDefault="00887A71" w:rsidP="004F1B86">
            <w:pPr>
              <w:pStyle w:val="TableText"/>
              <w:keepNext/>
              <w:spacing w:before="40" w:after="40"/>
              <w:rPr>
                <w:b/>
                <w:bCs/>
              </w:rPr>
            </w:pPr>
            <w:r w:rsidRPr="00887A71">
              <w:rPr>
                <w:b/>
                <w:bCs/>
              </w:rPr>
              <w:t>Results (Total funding to Māori health providers as a percentage of Vote Health 2018/19 to 2022/23*)</w:t>
            </w:r>
          </w:p>
        </w:tc>
      </w:tr>
      <w:tr w:rsidR="00A71D99" w14:paraId="496841A2" w14:textId="77777777" w:rsidTr="00A71D99">
        <w:tc>
          <w:tcPr>
            <w:tcW w:w="1641"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bottom"/>
          </w:tcPr>
          <w:p w14:paraId="0975B31C" w14:textId="77777777" w:rsidR="00A71D99" w:rsidRPr="004F1B86" w:rsidRDefault="00A71D99" w:rsidP="00887A71">
            <w:pPr>
              <w:pStyle w:val="TableText"/>
              <w:rPr>
                <w:b/>
                <w:bCs/>
                <w:sz w:val="16"/>
                <w:szCs w:val="16"/>
              </w:rPr>
            </w:pPr>
          </w:p>
        </w:tc>
        <w:tc>
          <w:tcPr>
            <w:tcW w:w="4651" w:type="dxa"/>
            <w:gridSpan w:val="5"/>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637B63E8" w14:textId="4CBE2DE4" w:rsidR="00A71D99" w:rsidRPr="004F1B86" w:rsidRDefault="00A71D99" w:rsidP="00A71D99">
            <w:pPr>
              <w:pStyle w:val="TableText"/>
              <w:jc w:val="center"/>
              <w:rPr>
                <w:b/>
                <w:bCs/>
                <w:sz w:val="16"/>
                <w:szCs w:val="16"/>
              </w:rPr>
            </w:pPr>
            <w:r>
              <w:rPr>
                <w:b/>
                <w:bCs/>
                <w:sz w:val="16"/>
                <w:szCs w:val="16"/>
              </w:rPr>
              <w:t>Year</w:t>
            </w:r>
          </w:p>
        </w:tc>
        <w:tc>
          <w:tcPr>
            <w:tcW w:w="1930"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21DA291F" w14:textId="53B3C304" w:rsidR="00A71D99" w:rsidRPr="004F1B86" w:rsidRDefault="00A71D99" w:rsidP="00A71D99">
            <w:pPr>
              <w:pStyle w:val="TableText"/>
              <w:jc w:val="center"/>
              <w:rPr>
                <w:b/>
                <w:bCs/>
                <w:sz w:val="16"/>
                <w:szCs w:val="16"/>
              </w:rPr>
            </w:pPr>
            <w:r>
              <w:rPr>
                <w:b/>
                <w:bCs/>
                <w:sz w:val="16"/>
                <w:szCs w:val="16"/>
              </w:rPr>
              <w:t>Increase</w:t>
            </w:r>
          </w:p>
        </w:tc>
      </w:tr>
      <w:tr w:rsidR="00B76EEF" w14:paraId="38A20802" w14:textId="77777777" w:rsidTr="00FB0018">
        <w:tc>
          <w:tcPr>
            <w:tcW w:w="1641"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bottom"/>
          </w:tcPr>
          <w:p w14:paraId="47E57C3F" w14:textId="480D7997" w:rsidR="00887A71" w:rsidRPr="004F1B86" w:rsidRDefault="00887A71" w:rsidP="00887A71">
            <w:pPr>
              <w:pStyle w:val="TableText"/>
              <w:rPr>
                <w:b/>
                <w:bCs/>
                <w:sz w:val="16"/>
                <w:szCs w:val="16"/>
              </w:rPr>
            </w:pPr>
            <w:r w:rsidRPr="004F1B86">
              <w:rPr>
                <w:b/>
                <w:bCs/>
                <w:sz w:val="16"/>
                <w:szCs w:val="16"/>
              </w:rPr>
              <w:t>Funding</w:t>
            </w:r>
          </w:p>
        </w:tc>
        <w:tc>
          <w:tcPr>
            <w:tcW w:w="929"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bottom"/>
            <w:hideMark/>
          </w:tcPr>
          <w:p w14:paraId="49DC4AE3" w14:textId="4F88950A" w:rsidR="00887A71" w:rsidRPr="004F1B86" w:rsidRDefault="00887A71" w:rsidP="00FB0018">
            <w:pPr>
              <w:pStyle w:val="TableText"/>
              <w:jc w:val="right"/>
              <w:rPr>
                <w:b/>
                <w:bCs/>
                <w:sz w:val="16"/>
                <w:szCs w:val="16"/>
              </w:rPr>
            </w:pPr>
            <w:r w:rsidRPr="004F1B86">
              <w:rPr>
                <w:b/>
                <w:bCs/>
                <w:sz w:val="16"/>
                <w:szCs w:val="16"/>
              </w:rPr>
              <w:t>2018/19</w:t>
            </w:r>
            <w:r w:rsidR="00B76EEF" w:rsidRPr="004F1B86">
              <w:rPr>
                <w:b/>
                <w:bCs/>
                <w:sz w:val="16"/>
                <w:szCs w:val="16"/>
              </w:rPr>
              <w:br/>
            </w:r>
            <w:r w:rsidRPr="004F1B86">
              <w:rPr>
                <w:b/>
                <w:bCs/>
                <w:sz w:val="16"/>
                <w:szCs w:val="16"/>
              </w:rPr>
              <w:t>$m</w:t>
            </w:r>
          </w:p>
        </w:tc>
        <w:tc>
          <w:tcPr>
            <w:tcW w:w="931"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bottom"/>
            <w:hideMark/>
          </w:tcPr>
          <w:p w14:paraId="2331C3AD" w14:textId="04A69BAD" w:rsidR="00887A71" w:rsidRPr="004F1B86" w:rsidRDefault="00887A71" w:rsidP="00FB0018">
            <w:pPr>
              <w:pStyle w:val="TableText"/>
              <w:jc w:val="right"/>
              <w:rPr>
                <w:b/>
                <w:bCs/>
                <w:sz w:val="16"/>
                <w:szCs w:val="16"/>
              </w:rPr>
            </w:pPr>
            <w:r w:rsidRPr="004F1B86">
              <w:rPr>
                <w:b/>
                <w:bCs/>
                <w:sz w:val="16"/>
                <w:szCs w:val="16"/>
              </w:rPr>
              <w:t>2019/20</w:t>
            </w:r>
            <w:r w:rsidR="00B76EEF" w:rsidRPr="004F1B86">
              <w:rPr>
                <w:b/>
                <w:bCs/>
                <w:sz w:val="16"/>
                <w:szCs w:val="16"/>
              </w:rPr>
              <w:br/>
            </w:r>
            <w:r w:rsidRPr="004F1B86">
              <w:rPr>
                <w:b/>
                <w:bCs/>
                <w:sz w:val="16"/>
                <w:szCs w:val="16"/>
              </w:rPr>
              <w:t>$m</w:t>
            </w:r>
          </w:p>
        </w:tc>
        <w:tc>
          <w:tcPr>
            <w:tcW w:w="93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bottom"/>
            <w:hideMark/>
          </w:tcPr>
          <w:p w14:paraId="472C9C30" w14:textId="7E7F4793" w:rsidR="00887A71" w:rsidRPr="004F1B86" w:rsidRDefault="00887A71" w:rsidP="00FB0018">
            <w:pPr>
              <w:pStyle w:val="TableText"/>
              <w:jc w:val="right"/>
              <w:rPr>
                <w:b/>
                <w:bCs/>
                <w:sz w:val="16"/>
                <w:szCs w:val="16"/>
              </w:rPr>
            </w:pPr>
            <w:r w:rsidRPr="004F1B86">
              <w:rPr>
                <w:b/>
                <w:bCs/>
                <w:sz w:val="16"/>
                <w:szCs w:val="16"/>
              </w:rPr>
              <w:t>2020/21</w:t>
            </w:r>
            <w:r w:rsidR="00B76EEF" w:rsidRPr="004F1B86">
              <w:rPr>
                <w:b/>
                <w:bCs/>
                <w:sz w:val="16"/>
                <w:szCs w:val="16"/>
              </w:rPr>
              <w:br/>
            </w:r>
            <w:r w:rsidRPr="004F1B86">
              <w:rPr>
                <w:b/>
                <w:bCs/>
                <w:sz w:val="16"/>
                <w:szCs w:val="16"/>
              </w:rPr>
              <w:t>$m</w:t>
            </w:r>
          </w:p>
        </w:tc>
        <w:tc>
          <w:tcPr>
            <w:tcW w:w="931"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bottom"/>
            <w:hideMark/>
          </w:tcPr>
          <w:p w14:paraId="1570BD33" w14:textId="69C052D1" w:rsidR="00887A71" w:rsidRPr="004F1B86" w:rsidRDefault="00887A71" w:rsidP="00FB0018">
            <w:pPr>
              <w:pStyle w:val="TableText"/>
              <w:jc w:val="right"/>
              <w:rPr>
                <w:b/>
                <w:bCs/>
                <w:sz w:val="16"/>
                <w:szCs w:val="16"/>
              </w:rPr>
            </w:pPr>
            <w:r w:rsidRPr="004F1B86">
              <w:rPr>
                <w:b/>
                <w:bCs/>
                <w:sz w:val="16"/>
                <w:szCs w:val="16"/>
              </w:rPr>
              <w:t>2021/22</w:t>
            </w:r>
            <w:r w:rsidR="00B76EEF" w:rsidRPr="004F1B86">
              <w:rPr>
                <w:b/>
                <w:bCs/>
                <w:sz w:val="16"/>
                <w:szCs w:val="16"/>
              </w:rPr>
              <w:br/>
            </w:r>
            <w:r w:rsidRPr="004F1B86">
              <w:rPr>
                <w:b/>
                <w:bCs/>
                <w:sz w:val="16"/>
                <w:szCs w:val="16"/>
              </w:rPr>
              <w:t>$m</w:t>
            </w:r>
          </w:p>
        </w:tc>
        <w:tc>
          <w:tcPr>
            <w:tcW w:w="93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bottom"/>
          </w:tcPr>
          <w:p w14:paraId="21170640" w14:textId="40917348" w:rsidR="00887A71" w:rsidRPr="004F1B86" w:rsidRDefault="00887A71" w:rsidP="00FB0018">
            <w:pPr>
              <w:pStyle w:val="TableText"/>
              <w:jc w:val="right"/>
              <w:rPr>
                <w:b/>
                <w:bCs/>
                <w:sz w:val="16"/>
                <w:szCs w:val="16"/>
              </w:rPr>
            </w:pPr>
            <w:r w:rsidRPr="004F1B86">
              <w:rPr>
                <w:b/>
                <w:bCs/>
                <w:sz w:val="16"/>
                <w:szCs w:val="16"/>
              </w:rPr>
              <w:t>2022/23</w:t>
            </w:r>
            <w:r w:rsidR="00B76EEF" w:rsidRPr="004F1B86">
              <w:rPr>
                <w:b/>
                <w:bCs/>
                <w:sz w:val="16"/>
                <w:szCs w:val="16"/>
              </w:rPr>
              <w:br/>
            </w:r>
            <w:r w:rsidRPr="004F1B86">
              <w:rPr>
                <w:b/>
                <w:bCs/>
                <w:sz w:val="16"/>
                <w:szCs w:val="16"/>
              </w:rPr>
              <w:t>$m</w:t>
            </w:r>
          </w:p>
        </w:tc>
        <w:tc>
          <w:tcPr>
            <w:tcW w:w="931"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54440E73" w14:textId="0A5AEA2E" w:rsidR="00887A71" w:rsidRPr="00A71D99" w:rsidRDefault="00887A71" w:rsidP="00B76EEF">
            <w:pPr>
              <w:pStyle w:val="TableText"/>
              <w:jc w:val="right"/>
              <w:rPr>
                <w:b/>
                <w:bCs/>
                <w:sz w:val="16"/>
                <w:szCs w:val="16"/>
              </w:rPr>
            </w:pPr>
            <w:r w:rsidRPr="00A71D99">
              <w:rPr>
                <w:b/>
                <w:bCs/>
                <w:sz w:val="16"/>
                <w:szCs w:val="16"/>
              </w:rPr>
              <w:t>2018/19</w:t>
            </w:r>
            <w:r w:rsidR="00B76EEF" w:rsidRPr="00A71D99">
              <w:rPr>
                <w:b/>
                <w:bCs/>
                <w:sz w:val="16"/>
                <w:szCs w:val="16"/>
              </w:rPr>
              <w:br/>
            </w:r>
            <w:r w:rsidRPr="00A71D99">
              <w:rPr>
                <w:b/>
                <w:bCs/>
                <w:sz w:val="16"/>
                <w:szCs w:val="16"/>
              </w:rPr>
              <w:t>to 2022/23</w:t>
            </w:r>
            <w:r w:rsidR="00B76EEF" w:rsidRPr="00A71D99">
              <w:rPr>
                <w:b/>
                <w:bCs/>
                <w:sz w:val="16"/>
                <w:szCs w:val="16"/>
              </w:rPr>
              <w:br/>
            </w:r>
            <w:r w:rsidRPr="00A71D99">
              <w:rPr>
                <w:b/>
                <w:bCs/>
                <w:sz w:val="16"/>
                <w:szCs w:val="16"/>
              </w:rPr>
              <w:t>$m</w:t>
            </w:r>
          </w:p>
        </w:tc>
        <w:tc>
          <w:tcPr>
            <w:tcW w:w="999"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506BA1C7" w14:textId="6E5E4B7A" w:rsidR="00887A71" w:rsidRPr="00A71D99" w:rsidRDefault="00887A71" w:rsidP="00B76EEF">
            <w:pPr>
              <w:pStyle w:val="TableText"/>
              <w:jc w:val="right"/>
              <w:rPr>
                <w:b/>
                <w:bCs/>
                <w:sz w:val="16"/>
                <w:szCs w:val="16"/>
              </w:rPr>
            </w:pPr>
            <w:r w:rsidRPr="00A71D99">
              <w:rPr>
                <w:b/>
                <w:bCs/>
                <w:sz w:val="16"/>
                <w:szCs w:val="16"/>
              </w:rPr>
              <w:t>2018/19</w:t>
            </w:r>
            <w:r w:rsidR="00B76EEF" w:rsidRPr="00A71D99">
              <w:rPr>
                <w:b/>
                <w:bCs/>
                <w:sz w:val="16"/>
                <w:szCs w:val="16"/>
              </w:rPr>
              <w:br/>
            </w:r>
            <w:r w:rsidRPr="00A71D99">
              <w:rPr>
                <w:b/>
                <w:bCs/>
                <w:sz w:val="16"/>
                <w:szCs w:val="16"/>
              </w:rPr>
              <w:t>to 2022/23*</w:t>
            </w:r>
            <w:r w:rsidR="00B76EEF" w:rsidRPr="00A71D99">
              <w:rPr>
                <w:b/>
                <w:bCs/>
                <w:sz w:val="16"/>
                <w:szCs w:val="16"/>
              </w:rPr>
              <w:br/>
            </w:r>
            <w:r w:rsidRPr="00A71D99">
              <w:rPr>
                <w:b/>
                <w:bCs/>
                <w:sz w:val="16"/>
                <w:szCs w:val="16"/>
              </w:rPr>
              <w:t>%</w:t>
            </w:r>
          </w:p>
        </w:tc>
      </w:tr>
      <w:tr w:rsidR="00B76EEF" w14:paraId="4CA8FDAD" w14:textId="77777777" w:rsidTr="007436C4">
        <w:tc>
          <w:tcPr>
            <w:tcW w:w="1641" w:type="dxa"/>
            <w:gridSpan w:val="2"/>
            <w:tcBorders>
              <w:top w:val="single" w:sz="4" w:space="0" w:color="A6A6A6" w:themeColor="background1" w:themeShade="A6"/>
              <w:left w:val="nil"/>
              <w:bottom w:val="single" w:sz="4" w:space="0" w:color="A6A6A6" w:themeColor="background1" w:themeShade="A6"/>
              <w:right w:val="nil"/>
            </w:tcBorders>
            <w:hideMark/>
          </w:tcPr>
          <w:p w14:paraId="3B19F6D0" w14:textId="420F2253" w:rsidR="00B76EEF" w:rsidRPr="004F1B86" w:rsidRDefault="00B76EEF" w:rsidP="00B76EEF">
            <w:pPr>
              <w:pStyle w:val="TableText"/>
              <w:ind w:right="-154"/>
              <w:rPr>
                <w:sz w:val="16"/>
                <w:szCs w:val="16"/>
              </w:rPr>
            </w:pPr>
            <w:r w:rsidRPr="004F1B86">
              <w:rPr>
                <w:spacing w:val="-2"/>
                <w:sz w:val="16"/>
                <w:szCs w:val="16"/>
              </w:rPr>
              <w:t>The</w:t>
            </w:r>
            <w:r w:rsidRPr="004F1B86">
              <w:rPr>
                <w:spacing w:val="-10"/>
                <w:sz w:val="16"/>
                <w:szCs w:val="16"/>
              </w:rPr>
              <w:t xml:space="preserve"> </w:t>
            </w:r>
            <w:r w:rsidRPr="004F1B86">
              <w:rPr>
                <w:spacing w:val="-2"/>
                <w:sz w:val="16"/>
                <w:szCs w:val="16"/>
              </w:rPr>
              <w:t>health</w:t>
            </w:r>
            <w:r w:rsidRPr="004F1B86">
              <w:rPr>
                <w:spacing w:val="-10"/>
                <w:sz w:val="16"/>
                <w:szCs w:val="16"/>
              </w:rPr>
              <w:t xml:space="preserve"> </w:t>
            </w:r>
            <w:r w:rsidRPr="004F1B86">
              <w:rPr>
                <w:spacing w:val="-2"/>
                <w:sz w:val="16"/>
                <w:szCs w:val="16"/>
              </w:rPr>
              <w:t>entities’</w:t>
            </w:r>
            <w:r w:rsidRPr="004F1B86">
              <w:rPr>
                <w:spacing w:val="-10"/>
                <w:sz w:val="16"/>
                <w:szCs w:val="16"/>
              </w:rPr>
              <w:t xml:space="preserve"> </w:t>
            </w:r>
            <w:r w:rsidRPr="004F1B86">
              <w:rPr>
                <w:spacing w:val="-2"/>
                <w:sz w:val="16"/>
                <w:szCs w:val="16"/>
              </w:rPr>
              <w:t xml:space="preserve">funding </w:t>
            </w:r>
            <w:r w:rsidRPr="004F1B86">
              <w:rPr>
                <w:sz w:val="16"/>
                <w:szCs w:val="16"/>
              </w:rPr>
              <w:t>to Māori health providers</w:t>
            </w:r>
          </w:p>
        </w:tc>
        <w:tc>
          <w:tcPr>
            <w:tcW w:w="929" w:type="dxa"/>
            <w:tcBorders>
              <w:top w:val="single" w:sz="4" w:space="0" w:color="A6A6A6" w:themeColor="background1" w:themeShade="A6"/>
              <w:left w:val="nil"/>
              <w:bottom w:val="single" w:sz="4" w:space="0" w:color="A6A6A6" w:themeColor="background1" w:themeShade="A6"/>
              <w:right w:val="nil"/>
            </w:tcBorders>
            <w:hideMark/>
          </w:tcPr>
          <w:p w14:paraId="6E1E6B57" w14:textId="59D6CF3F" w:rsidR="00B76EEF" w:rsidRPr="004F1B86" w:rsidRDefault="00B76EEF" w:rsidP="00B76EEF">
            <w:pPr>
              <w:pStyle w:val="TableText"/>
              <w:jc w:val="right"/>
              <w:rPr>
                <w:sz w:val="16"/>
                <w:szCs w:val="16"/>
              </w:rPr>
            </w:pPr>
            <w:r w:rsidRPr="004F1B86">
              <w:rPr>
                <w:sz w:val="16"/>
                <w:szCs w:val="16"/>
              </w:rPr>
              <w:t>309.9</w:t>
            </w:r>
          </w:p>
        </w:tc>
        <w:tc>
          <w:tcPr>
            <w:tcW w:w="931" w:type="dxa"/>
            <w:tcBorders>
              <w:top w:val="single" w:sz="4" w:space="0" w:color="A6A6A6" w:themeColor="background1" w:themeShade="A6"/>
              <w:left w:val="nil"/>
              <w:bottom w:val="single" w:sz="4" w:space="0" w:color="A6A6A6" w:themeColor="background1" w:themeShade="A6"/>
              <w:right w:val="nil"/>
            </w:tcBorders>
            <w:hideMark/>
          </w:tcPr>
          <w:p w14:paraId="2008EA62" w14:textId="555C9BD9" w:rsidR="00B76EEF" w:rsidRPr="004F1B86" w:rsidRDefault="00B76EEF" w:rsidP="00B76EEF">
            <w:pPr>
              <w:pStyle w:val="TableText"/>
              <w:jc w:val="right"/>
              <w:rPr>
                <w:sz w:val="16"/>
                <w:szCs w:val="16"/>
              </w:rPr>
            </w:pPr>
            <w:r w:rsidRPr="004F1B86">
              <w:rPr>
                <w:sz w:val="16"/>
                <w:szCs w:val="16"/>
              </w:rPr>
              <w:t>324.6</w:t>
            </w:r>
          </w:p>
        </w:tc>
        <w:tc>
          <w:tcPr>
            <w:tcW w:w="930" w:type="dxa"/>
            <w:tcBorders>
              <w:top w:val="single" w:sz="4" w:space="0" w:color="A6A6A6" w:themeColor="background1" w:themeShade="A6"/>
              <w:left w:val="nil"/>
              <w:bottom w:val="single" w:sz="4" w:space="0" w:color="A6A6A6" w:themeColor="background1" w:themeShade="A6"/>
              <w:right w:val="nil"/>
            </w:tcBorders>
            <w:hideMark/>
          </w:tcPr>
          <w:p w14:paraId="11147C29" w14:textId="44019FE2" w:rsidR="00B76EEF" w:rsidRPr="004F1B86" w:rsidRDefault="00B76EEF" w:rsidP="00B76EEF">
            <w:pPr>
              <w:pStyle w:val="TableText"/>
              <w:jc w:val="right"/>
              <w:rPr>
                <w:sz w:val="16"/>
                <w:szCs w:val="16"/>
              </w:rPr>
            </w:pPr>
            <w:r w:rsidRPr="004F1B86">
              <w:rPr>
                <w:sz w:val="16"/>
                <w:szCs w:val="16"/>
              </w:rPr>
              <w:t>366.8</w:t>
            </w:r>
          </w:p>
        </w:tc>
        <w:tc>
          <w:tcPr>
            <w:tcW w:w="931" w:type="dxa"/>
            <w:tcBorders>
              <w:top w:val="single" w:sz="4" w:space="0" w:color="A6A6A6" w:themeColor="background1" w:themeShade="A6"/>
              <w:left w:val="nil"/>
              <w:bottom w:val="single" w:sz="4" w:space="0" w:color="A6A6A6" w:themeColor="background1" w:themeShade="A6"/>
              <w:right w:val="nil"/>
            </w:tcBorders>
            <w:hideMark/>
          </w:tcPr>
          <w:p w14:paraId="59EBDA1B" w14:textId="23555D37" w:rsidR="00B76EEF" w:rsidRPr="004F1B86" w:rsidRDefault="00B76EEF" w:rsidP="00B76EEF">
            <w:pPr>
              <w:pStyle w:val="TableText"/>
              <w:jc w:val="right"/>
              <w:rPr>
                <w:sz w:val="16"/>
                <w:szCs w:val="16"/>
              </w:rPr>
            </w:pPr>
            <w:r w:rsidRPr="004F1B86">
              <w:rPr>
                <w:sz w:val="16"/>
                <w:szCs w:val="16"/>
              </w:rPr>
              <w:t>447.5</w:t>
            </w:r>
          </w:p>
        </w:tc>
        <w:tc>
          <w:tcPr>
            <w:tcW w:w="930" w:type="dxa"/>
            <w:tcBorders>
              <w:top w:val="single" w:sz="4" w:space="0" w:color="A6A6A6" w:themeColor="background1" w:themeShade="A6"/>
              <w:left w:val="nil"/>
              <w:bottom w:val="single" w:sz="4" w:space="0" w:color="A6A6A6" w:themeColor="background1" w:themeShade="A6"/>
              <w:right w:val="nil"/>
            </w:tcBorders>
          </w:tcPr>
          <w:p w14:paraId="481B13E7" w14:textId="37F7A098" w:rsidR="00B76EEF" w:rsidRPr="004F1B86" w:rsidRDefault="00B76EEF" w:rsidP="00B76EEF">
            <w:pPr>
              <w:pStyle w:val="TableText"/>
              <w:jc w:val="right"/>
              <w:rPr>
                <w:sz w:val="16"/>
                <w:szCs w:val="16"/>
              </w:rPr>
            </w:pPr>
            <w:r w:rsidRPr="004F1B86">
              <w:rPr>
                <w:sz w:val="16"/>
                <w:szCs w:val="16"/>
              </w:rPr>
              <w:t>523.3</w:t>
            </w:r>
          </w:p>
        </w:tc>
        <w:tc>
          <w:tcPr>
            <w:tcW w:w="931" w:type="dxa"/>
            <w:tcBorders>
              <w:top w:val="single" w:sz="4" w:space="0" w:color="A6A6A6" w:themeColor="background1" w:themeShade="A6"/>
              <w:left w:val="nil"/>
              <w:bottom w:val="single" w:sz="4" w:space="0" w:color="A6A6A6" w:themeColor="background1" w:themeShade="A6"/>
              <w:right w:val="nil"/>
            </w:tcBorders>
          </w:tcPr>
          <w:p w14:paraId="484B032C" w14:textId="31D8B8E4" w:rsidR="00B76EEF" w:rsidRPr="004F1B86" w:rsidRDefault="00B76EEF" w:rsidP="00B76EEF">
            <w:pPr>
              <w:pStyle w:val="TableText"/>
              <w:jc w:val="right"/>
              <w:rPr>
                <w:sz w:val="16"/>
                <w:szCs w:val="16"/>
              </w:rPr>
            </w:pPr>
            <w:r w:rsidRPr="004F1B86">
              <w:rPr>
                <w:sz w:val="16"/>
                <w:szCs w:val="16"/>
              </w:rPr>
              <w:t>213.6</w:t>
            </w:r>
          </w:p>
        </w:tc>
        <w:tc>
          <w:tcPr>
            <w:tcW w:w="999" w:type="dxa"/>
            <w:tcBorders>
              <w:top w:val="single" w:sz="4" w:space="0" w:color="A6A6A6" w:themeColor="background1" w:themeShade="A6"/>
              <w:left w:val="nil"/>
              <w:bottom w:val="single" w:sz="4" w:space="0" w:color="A6A6A6" w:themeColor="background1" w:themeShade="A6"/>
              <w:right w:val="nil"/>
            </w:tcBorders>
          </w:tcPr>
          <w:p w14:paraId="0930C6C0" w14:textId="6239DC37" w:rsidR="00B76EEF" w:rsidRPr="004F1B86" w:rsidRDefault="00B76EEF" w:rsidP="00B76EEF">
            <w:pPr>
              <w:pStyle w:val="TableText"/>
              <w:jc w:val="right"/>
              <w:rPr>
                <w:sz w:val="16"/>
                <w:szCs w:val="16"/>
              </w:rPr>
            </w:pPr>
            <w:r w:rsidRPr="004F1B86">
              <w:rPr>
                <w:sz w:val="16"/>
                <w:szCs w:val="16"/>
              </w:rPr>
              <w:t>68.9</w:t>
            </w:r>
          </w:p>
        </w:tc>
      </w:tr>
      <w:tr w:rsidR="00B76EEF" w14:paraId="33BB2D9E" w14:textId="77777777" w:rsidTr="007436C4">
        <w:tc>
          <w:tcPr>
            <w:tcW w:w="1641" w:type="dxa"/>
            <w:gridSpan w:val="2"/>
            <w:tcBorders>
              <w:top w:val="single" w:sz="4" w:space="0" w:color="A6A6A6" w:themeColor="background1" w:themeShade="A6"/>
              <w:left w:val="nil"/>
              <w:bottom w:val="single" w:sz="4" w:space="0" w:color="A6A6A6" w:themeColor="background1" w:themeShade="A6"/>
              <w:right w:val="nil"/>
            </w:tcBorders>
            <w:hideMark/>
          </w:tcPr>
          <w:p w14:paraId="0A18B7B5" w14:textId="1D0E8F1E" w:rsidR="00B76EEF" w:rsidRPr="004F1B86" w:rsidRDefault="00B76EEF" w:rsidP="00B76EEF">
            <w:pPr>
              <w:pStyle w:val="TableText"/>
              <w:ind w:right="-154"/>
              <w:rPr>
                <w:sz w:val="16"/>
                <w:szCs w:val="16"/>
              </w:rPr>
            </w:pPr>
            <w:r w:rsidRPr="004F1B86">
              <w:rPr>
                <w:sz w:val="16"/>
                <w:szCs w:val="16"/>
              </w:rPr>
              <w:t>Other</w:t>
            </w:r>
            <w:r w:rsidRPr="004F1B86">
              <w:rPr>
                <w:spacing w:val="-10"/>
                <w:sz w:val="16"/>
                <w:szCs w:val="16"/>
              </w:rPr>
              <w:t xml:space="preserve"> </w:t>
            </w:r>
            <w:r w:rsidRPr="004F1B86">
              <w:rPr>
                <w:sz w:val="16"/>
                <w:szCs w:val="16"/>
              </w:rPr>
              <w:t>funding</w:t>
            </w:r>
            <w:r w:rsidRPr="004F1B86">
              <w:rPr>
                <w:spacing w:val="-10"/>
                <w:sz w:val="16"/>
                <w:szCs w:val="16"/>
              </w:rPr>
              <w:t xml:space="preserve"> </w:t>
            </w:r>
            <w:r w:rsidRPr="004F1B86">
              <w:rPr>
                <w:sz w:val="16"/>
                <w:szCs w:val="16"/>
              </w:rPr>
              <w:t>to</w:t>
            </w:r>
            <w:r w:rsidRPr="004F1B86">
              <w:rPr>
                <w:spacing w:val="-10"/>
                <w:sz w:val="16"/>
                <w:szCs w:val="16"/>
              </w:rPr>
              <w:t xml:space="preserve"> </w:t>
            </w:r>
            <w:r w:rsidRPr="004F1B86">
              <w:rPr>
                <w:sz w:val="16"/>
                <w:szCs w:val="16"/>
              </w:rPr>
              <w:t>Māori health</w:t>
            </w:r>
            <w:r w:rsidRPr="004F1B86">
              <w:rPr>
                <w:spacing w:val="-2"/>
                <w:sz w:val="16"/>
                <w:szCs w:val="16"/>
              </w:rPr>
              <w:t xml:space="preserve"> </w:t>
            </w:r>
            <w:r w:rsidRPr="004F1B86">
              <w:rPr>
                <w:sz w:val="16"/>
                <w:szCs w:val="16"/>
              </w:rPr>
              <w:t>providers</w:t>
            </w:r>
          </w:p>
        </w:tc>
        <w:tc>
          <w:tcPr>
            <w:tcW w:w="929" w:type="dxa"/>
            <w:tcBorders>
              <w:top w:val="single" w:sz="4" w:space="0" w:color="A6A6A6" w:themeColor="background1" w:themeShade="A6"/>
              <w:left w:val="nil"/>
              <w:bottom w:val="single" w:sz="4" w:space="0" w:color="A6A6A6" w:themeColor="background1" w:themeShade="A6"/>
              <w:right w:val="nil"/>
            </w:tcBorders>
            <w:hideMark/>
          </w:tcPr>
          <w:p w14:paraId="714C56C5" w14:textId="121B92CB" w:rsidR="00B76EEF" w:rsidRPr="004F1B86" w:rsidRDefault="00B76EEF" w:rsidP="00B76EEF">
            <w:pPr>
              <w:pStyle w:val="TableText"/>
              <w:jc w:val="right"/>
              <w:rPr>
                <w:sz w:val="16"/>
                <w:szCs w:val="16"/>
              </w:rPr>
            </w:pPr>
            <w:r w:rsidRPr="004F1B86">
              <w:rPr>
                <w:sz w:val="16"/>
                <w:szCs w:val="16"/>
              </w:rPr>
              <w:t>93.2</w:t>
            </w:r>
          </w:p>
        </w:tc>
        <w:tc>
          <w:tcPr>
            <w:tcW w:w="931" w:type="dxa"/>
            <w:tcBorders>
              <w:top w:val="single" w:sz="4" w:space="0" w:color="A6A6A6" w:themeColor="background1" w:themeShade="A6"/>
              <w:left w:val="nil"/>
              <w:bottom w:val="single" w:sz="4" w:space="0" w:color="A6A6A6" w:themeColor="background1" w:themeShade="A6"/>
              <w:right w:val="nil"/>
            </w:tcBorders>
            <w:hideMark/>
          </w:tcPr>
          <w:p w14:paraId="18A9B05D" w14:textId="64753716" w:rsidR="00B76EEF" w:rsidRPr="004F1B86" w:rsidRDefault="00B76EEF" w:rsidP="00B76EEF">
            <w:pPr>
              <w:pStyle w:val="TableText"/>
              <w:jc w:val="right"/>
              <w:rPr>
                <w:sz w:val="16"/>
                <w:szCs w:val="16"/>
              </w:rPr>
            </w:pPr>
            <w:r w:rsidRPr="004F1B86">
              <w:rPr>
                <w:sz w:val="16"/>
                <w:szCs w:val="16"/>
              </w:rPr>
              <w:t>177.3</w:t>
            </w:r>
          </w:p>
        </w:tc>
        <w:tc>
          <w:tcPr>
            <w:tcW w:w="930" w:type="dxa"/>
            <w:tcBorders>
              <w:top w:val="single" w:sz="4" w:space="0" w:color="A6A6A6" w:themeColor="background1" w:themeShade="A6"/>
              <w:left w:val="nil"/>
              <w:bottom w:val="single" w:sz="4" w:space="0" w:color="A6A6A6" w:themeColor="background1" w:themeShade="A6"/>
              <w:right w:val="nil"/>
            </w:tcBorders>
            <w:hideMark/>
          </w:tcPr>
          <w:p w14:paraId="40DFAFBC" w14:textId="4D1F0404" w:rsidR="00B76EEF" w:rsidRPr="004F1B86" w:rsidRDefault="00B76EEF" w:rsidP="00B76EEF">
            <w:pPr>
              <w:pStyle w:val="TableText"/>
              <w:jc w:val="right"/>
              <w:rPr>
                <w:sz w:val="16"/>
                <w:szCs w:val="16"/>
              </w:rPr>
            </w:pPr>
            <w:r w:rsidRPr="004F1B86">
              <w:rPr>
                <w:sz w:val="16"/>
                <w:szCs w:val="16"/>
              </w:rPr>
              <w:t>212.6</w:t>
            </w:r>
          </w:p>
        </w:tc>
        <w:tc>
          <w:tcPr>
            <w:tcW w:w="931" w:type="dxa"/>
            <w:tcBorders>
              <w:top w:val="single" w:sz="4" w:space="0" w:color="A6A6A6" w:themeColor="background1" w:themeShade="A6"/>
              <w:left w:val="nil"/>
              <w:bottom w:val="single" w:sz="4" w:space="0" w:color="A6A6A6" w:themeColor="background1" w:themeShade="A6"/>
              <w:right w:val="nil"/>
            </w:tcBorders>
            <w:hideMark/>
          </w:tcPr>
          <w:p w14:paraId="606591DE" w14:textId="60E7510D" w:rsidR="00B76EEF" w:rsidRPr="004F1B86" w:rsidRDefault="00B76EEF" w:rsidP="00B76EEF">
            <w:pPr>
              <w:pStyle w:val="TableText"/>
              <w:jc w:val="right"/>
              <w:rPr>
                <w:sz w:val="16"/>
                <w:szCs w:val="16"/>
              </w:rPr>
            </w:pPr>
            <w:r w:rsidRPr="004F1B86">
              <w:rPr>
                <w:sz w:val="16"/>
                <w:szCs w:val="16"/>
              </w:rPr>
              <w:t>323.9</w:t>
            </w:r>
          </w:p>
        </w:tc>
        <w:tc>
          <w:tcPr>
            <w:tcW w:w="930" w:type="dxa"/>
            <w:tcBorders>
              <w:top w:val="single" w:sz="4" w:space="0" w:color="A6A6A6" w:themeColor="background1" w:themeShade="A6"/>
              <w:left w:val="nil"/>
              <w:bottom w:val="single" w:sz="4" w:space="0" w:color="A6A6A6" w:themeColor="background1" w:themeShade="A6"/>
              <w:right w:val="nil"/>
            </w:tcBorders>
          </w:tcPr>
          <w:p w14:paraId="3399D1EF" w14:textId="6D755823" w:rsidR="00B76EEF" w:rsidRPr="004F1B86" w:rsidRDefault="00B76EEF" w:rsidP="00B76EEF">
            <w:pPr>
              <w:pStyle w:val="TableText"/>
              <w:jc w:val="right"/>
              <w:rPr>
                <w:sz w:val="16"/>
                <w:szCs w:val="16"/>
              </w:rPr>
            </w:pPr>
            <w:r w:rsidRPr="004F1B86">
              <w:rPr>
                <w:sz w:val="16"/>
                <w:szCs w:val="16"/>
              </w:rPr>
              <w:t>289.3</w:t>
            </w:r>
          </w:p>
        </w:tc>
        <w:tc>
          <w:tcPr>
            <w:tcW w:w="931" w:type="dxa"/>
            <w:tcBorders>
              <w:top w:val="single" w:sz="4" w:space="0" w:color="A6A6A6" w:themeColor="background1" w:themeShade="A6"/>
              <w:left w:val="nil"/>
              <w:bottom w:val="single" w:sz="4" w:space="0" w:color="A6A6A6" w:themeColor="background1" w:themeShade="A6"/>
              <w:right w:val="nil"/>
            </w:tcBorders>
          </w:tcPr>
          <w:p w14:paraId="3313AFDD" w14:textId="49C32888" w:rsidR="00B76EEF" w:rsidRPr="004F1B86" w:rsidRDefault="00B76EEF" w:rsidP="00B76EEF">
            <w:pPr>
              <w:pStyle w:val="TableText"/>
              <w:jc w:val="right"/>
              <w:rPr>
                <w:sz w:val="16"/>
                <w:szCs w:val="16"/>
              </w:rPr>
            </w:pPr>
            <w:r w:rsidRPr="004F1B86">
              <w:rPr>
                <w:sz w:val="16"/>
                <w:szCs w:val="16"/>
              </w:rPr>
              <w:t>196.1</w:t>
            </w:r>
          </w:p>
        </w:tc>
        <w:tc>
          <w:tcPr>
            <w:tcW w:w="999" w:type="dxa"/>
            <w:tcBorders>
              <w:top w:val="single" w:sz="4" w:space="0" w:color="A6A6A6" w:themeColor="background1" w:themeShade="A6"/>
              <w:left w:val="nil"/>
              <w:bottom w:val="single" w:sz="4" w:space="0" w:color="A6A6A6" w:themeColor="background1" w:themeShade="A6"/>
              <w:right w:val="nil"/>
            </w:tcBorders>
          </w:tcPr>
          <w:p w14:paraId="153CA63F" w14:textId="5EF6BFF2" w:rsidR="00B76EEF" w:rsidRPr="004F1B86" w:rsidRDefault="00B76EEF" w:rsidP="00B76EEF">
            <w:pPr>
              <w:pStyle w:val="TableText"/>
              <w:jc w:val="right"/>
              <w:rPr>
                <w:sz w:val="16"/>
                <w:szCs w:val="16"/>
              </w:rPr>
            </w:pPr>
            <w:r w:rsidRPr="004F1B86">
              <w:rPr>
                <w:sz w:val="16"/>
                <w:szCs w:val="16"/>
              </w:rPr>
              <w:t>210.4</w:t>
            </w:r>
          </w:p>
        </w:tc>
      </w:tr>
      <w:tr w:rsidR="00B76EEF" w14:paraId="5EA39ED6" w14:textId="77777777" w:rsidTr="007436C4">
        <w:tc>
          <w:tcPr>
            <w:tcW w:w="1641" w:type="dxa"/>
            <w:gridSpan w:val="2"/>
            <w:tcBorders>
              <w:top w:val="single" w:sz="4" w:space="0" w:color="A6A6A6" w:themeColor="background1" w:themeShade="A6"/>
              <w:left w:val="nil"/>
              <w:bottom w:val="single" w:sz="4" w:space="0" w:color="A6A6A6" w:themeColor="background1" w:themeShade="A6"/>
              <w:right w:val="nil"/>
            </w:tcBorders>
            <w:hideMark/>
          </w:tcPr>
          <w:p w14:paraId="2ED1CE7B" w14:textId="4384AEF9" w:rsidR="00B76EEF" w:rsidRPr="004F1B86" w:rsidRDefault="00B76EEF" w:rsidP="00B76EEF">
            <w:pPr>
              <w:pStyle w:val="TableText"/>
              <w:ind w:right="-154"/>
              <w:rPr>
                <w:sz w:val="16"/>
                <w:szCs w:val="16"/>
              </w:rPr>
            </w:pPr>
            <w:r w:rsidRPr="004F1B86">
              <w:rPr>
                <w:sz w:val="16"/>
                <w:szCs w:val="16"/>
              </w:rPr>
              <w:t>Total</w:t>
            </w:r>
            <w:r w:rsidRPr="004F1B86">
              <w:rPr>
                <w:spacing w:val="-12"/>
                <w:sz w:val="16"/>
                <w:szCs w:val="16"/>
              </w:rPr>
              <w:t xml:space="preserve"> </w:t>
            </w:r>
            <w:r w:rsidRPr="004F1B86">
              <w:rPr>
                <w:sz w:val="16"/>
                <w:szCs w:val="16"/>
              </w:rPr>
              <w:t>funding</w:t>
            </w:r>
            <w:r w:rsidRPr="004F1B86">
              <w:rPr>
                <w:spacing w:val="-12"/>
                <w:sz w:val="16"/>
                <w:szCs w:val="16"/>
              </w:rPr>
              <w:t xml:space="preserve"> </w:t>
            </w:r>
            <w:r w:rsidRPr="004F1B86">
              <w:rPr>
                <w:sz w:val="16"/>
                <w:szCs w:val="16"/>
              </w:rPr>
              <w:t>to</w:t>
            </w:r>
            <w:r w:rsidRPr="004F1B86">
              <w:rPr>
                <w:spacing w:val="-12"/>
                <w:sz w:val="16"/>
                <w:szCs w:val="16"/>
              </w:rPr>
              <w:t xml:space="preserve"> </w:t>
            </w:r>
            <w:r w:rsidRPr="004F1B86">
              <w:rPr>
                <w:sz w:val="16"/>
                <w:szCs w:val="16"/>
              </w:rPr>
              <w:t>Māori health</w:t>
            </w:r>
            <w:r w:rsidRPr="004F1B86">
              <w:rPr>
                <w:spacing w:val="-2"/>
                <w:sz w:val="16"/>
                <w:szCs w:val="16"/>
              </w:rPr>
              <w:t xml:space="preserve"> </w:t>
            </w:r>
            <w:r w:rsidRPr="004F1B86">
              <w:rPr>
                <w:sz w:val="16"/>
                <w:szCs w:val="16"/>
              </w:rPr>
              <w:t>providers</w:t>
            </w:r>
          </w:p>
        </w:tc>
        <w:tc>
          <w:tcPr>
            <w:tcW w:w="929" w:type="dxa"/>
            <w:tcBorders>
              <w:top w:val="single" w:sz="4" w:space="0" w:color="A6A6A6" w:themeColor="background1" w:themeShade="A6"/>
              <w:left w:val="nil"/>
              <w:bottom w:val="single" w:sz="4" w:space="0" w:color="A6A6A6" w:themeColor="background1" w:themeShade="A6"/>
              <w:right w:val="nil"/>
            </w:tcBorders>
            <w:hideMark/>
          </w:tcPr>
          <w:p w14:paraId="41EB147C" w14:textId="06A02927" w:rsidR="00B76EEF" w:rsidRPr="004F1B86" w:rsidRDefault="00B76EEF" w:rsidP="00B76EEF">
            <w:pPr>
              <w:pStyle w:val="TableText"/>
              <w:jc w:val="right"/>
              <w:rPr>
                <w:sz w:val="16"/>
                <w:szCs w:val="16"/>
              </w:rPr>
            </w:pPr>
            <w:r w:rsidRPr="004F1B86">
              <w:rPr>
                <w:sz w:val="16"/>
                <w:szCs w:val="16"/>
              </w:rPr>
              <w:t>403.1</w:t>
            </w:r>
          </w:p>
        </w:tc>
        <w:tc>
          <w:tcPr>
            <w:tcW w:w="931" w:type="dxa"/>
            <w:tcBorders>
              <w:top w:val="single" w:sz="4" w:space="0" w:color="A6A6A6" w:themeColor="background1" w:themeShade="A6"/>
              <w:left w:val="nil"/>
              <w:bottom w:val="single" w:sz="4" w:space="0" w:color="A6A6A6" w:themeColor="background1" w:themeShade="A6"/>
              <w:right w:val="nil"/>
            </w:tcBorders>
            <w:hideMark/>
          </w:tcPr>
          <w:p w14:paraId="727D9DAE" w14:textId="3C1309E5" w:rsidR="00B76EEF" w:rsidRPr="004F1B86" w:rsidRDefault="00B76EEF" w:rsidP="00B76EEF">
            <w:pPr>
              <w:pStyle w:val="TableText"/>
              <w:jc w:val="right"/>
              <w:rPr>
                <w:sz w:val="16"/>
                <w:szCs w:val="16"/>
              </w:rPr>
            </w:pPr>
            <w:r w:rsidRPr="004F1B86">
              <w:rPr>
                <w:sz w:val="16"/>
                <w:szCs w:val="16"/>
              </w:rPr>
              <w:t>501.9</w:t>
            </w:r>
          </w:p>
        </w:tc>
        <w:tc>
          <w:tcPr>
            <w:tcW w:w="930" w:type="dxa"/>
            <w:tcBorders>
              <w:top w:val="single" w:sz="4" w:space="0" w:color="A6A6A6" w:themeColor="background1" w:themeShade="A6"/>
              <w:left w:val="nil"/>
              <w:bottom w:val="single" w:sz="4" w:space="0" w:color="A6A6A6" w:themeColor="background1" w:themeShade="A6"/>
              <w:right w:val="nil"/>
            </w:tcBorders>
            <w:hideMark/>
          </w:tcPr>
          <w:p w14:paraId="581704BC" w14:textId="6CB94299" w:rsidR="00B76EEF" w:rsidRPr="004F1B86" w:rsidRDefault="00B76EEF" w:rsidP="00B76EEF">
            <w:pPr>
              <w:pStyle w:val="TableText"/>
              <w:jc w:val="right"/>
              <w:rPr>
                <w:sz w:val="16"/>
                <w:szCs w:val="16"/>
              </w:rPr>
            </w:pPr>
            <w:r w:rsidRPr="004F1B86">
              <w:rPr>
                <w:sz w:val="16"/>
                <w:szCs w:val="16"/>
              </w:rPr>
              <w:t>579.4</w:t>
            </w:r>
          </w:p>
        </w:tc>
        <w:tc>
          <w:tcPr>
            <w:tcW w:w="931" w:type="dxa"/>
            <w:tcBorders>
              <w:top w:val="single" w:sz="4" w:space="0" w:color="A6A6A6" w:themeColor="background1" w:themeShade="A6"/>
              <w:left w:val="nil"/>
              <w:bottom w:val="single" w:sz="4" w:space="0" w:color="A6A6A6" w:themeColor="background1" w:themeShade="A6"/>
              <w:right w:val="nil"/>
            </w:tcBorders>
            <w:hideMark/>
          </w:tcPr>
          <w:p w14:paraId="061D8920" w14:textId="2DE837F1" w:rsidR="00B76EEF" w:rsidRPr="004F1B86" w:rsidRDefault="00B76EEF" w:rsidP="00B76EEF">
            <w:pPr>
              <w:pStyle w:val="TableText"/>
              <w:jc w:val="right"/>
              <w:rPr>
                <w:sz w:val="16"/>
                <w:szCs w:val="16"/>
              </w:rPr>
            </w:pPr>
            <w:r w:rsidRPr="004F1B86">
              <w:rPr>
                <w:sz w:val="16"/>
                <w:szCs w:val="16"/>
              </w:rPr>
              <w:t>771.4</w:t>
            </w:r>
          </w:p>
        </w:tc>
        <w:tc>
          <w:tcPr>
            <w:tcW w:w="930" w:type="dxa"/>
            <w:tcBorders>
              <w:top w:val="single" w:sz="4" w:space="0" w:color="A6A6A6" w:themeColor="background1" w:themeShade="A6"/>
              <w:left w:val="nil"/>
              <w:bottom w:val="single" w:sz="4" w:space="0" w:color="A6A6A6" w:themeColor="background1" w:themeShade="A6"/>
              <w:right w:val="nil"/>
            </w:tcBorders>
          </w:tcPr>
          <w:p w14:paraId="36224886" w14:textId="44C2E068" w:rsidR="00B76EEF" w:rsidRPr="004F1B86" w:rsidRDefault="00B76EEF" w:rsidP="00B76EEF">
            <w:pPr>
              <w:pStyle w:val="TableText"/>
              <w:jc w:val="right"/>
              <w:rPr>
                <w:sz w:val="16"/>
                <w:szCs w:val="16"/>
              </w:rPr>
            </w:pPr>
            <w:r w:rsidRPr="004F1B86">
              <w:rPr>
                <w:sz w:val="16"/>
                <w:szCs w:val="16"/>
              </w:rPr>
              <w:t>812.8</w:t>
            </w:r>
          </w:p>
        </w:tc>
        <w:tc>
          <w:tcPr>
            <w:tcW w:w="931" w:type="dxa"/>
            <w:tcBorders>
              <w:top w:val="single" w:sz="4" w:space="0" w:color="A6A6A6" w:themeColor="background1" w:themeShade="A6"/>
              <w:left w:val="nil"/>
              <w:bottom w:val="single" w:sz="4" w:space="0" w:color="A6A6A6" w:themeColor="background1" w:themeShade="A6"/>
              <w:right w:val="nil"/>
            </w:tcBorders>
          </w:tcPr>
          <w:p w14:paraId="7E95C651" w14:textId="0327CE80" w:rsidR="00B76EEF" w:rsidRPr="004F1B86" w:rsidRDefault="00B76EEF" w:rsidP="00B76EEF">
            <w:pPr>
              <w:pStyle w:val="TableText"/>
              <w:jc w:val="right"/>
              <w:rPr>
                <w:sz w:val="16"/>
                <w:szCs w:val="16"/>
              </w:rPr>
            </w:pPr>
            <w:r w:rsidRPr="004F1B86">
              <w:rPr>
                <w:sz w:val="16"/>
                <w:szCs w:val="16"/>
              </w:rPr>
              <w:t>409.7</w:t>
            </w:r>
          </w:p>
        </w:tc>
        <w:tc>
          <w:tcPr>
            <w:tcW w:w="999" w:type="dxa"/>
            <w:tcBorders>
              <w:top w:val="single" w:sz="4" w:space="0" w:color="A6A6A6" w:themeColor="background1" w:themeShade="A6"/>
              <w:left w:val="nil"/>
              <w:bottom w:val="single" w:sz="4" w:space="0" w:color="A6A6A6" w:themeColor="background1" w:themeShade="A6"/>
              <w:right w:val="nil"/>
            </w:tcBorders>
          </w:tcPr>
          <w:p w14:paraId="0745BB7F" w14:textId="2929BA60" w:rsidR="00B76EEF" w:rsidRPr="004F1B86" w:rsidRDefault="00B76EEF" w:rsidP="00B76EEF">
            <w:pPr>
              <w:pStyle w:val="TableText"/>
              <w:jc w:val="right"/>
              <w:rPr>
                <w:sz w:val="16"/>
                <w:szCs w:val="16"/>
              </w:rPr>
            </w:pPr>
            <w:r w:rsidRPr="004F1B86">
              <w:rPr>
                <w:sz w:val="16"/>
                <w:szCs w:val="16"/>
              </w:rPr>
              <w:t>101.6</w:t>
            </w:r>
          </w:p>
        </w:tc>
      </w:tr>
      <w:tr w:rsidR="00B76EEF" w14:paraId="259B6ADD" w14:textId="77777777" w:rsidTr="007436C4">
        <w:tc>
          <w:tcPr>
            <w:tcW w:w="1641" w:type="dxa"/>
            <w:gridSpan w:val="2"/>
            <w:tcBorders>
              <w:top w:val="single" w:sz="4" w:space="0" w:color="A6A6A6" w:themeColor="background1" w:themeShade="A6"/>
              <w:left w:val="nil"/>
              <w:bottom w:val="single" w:sz="4" w:space="0" w:color="A6A6A6" w:themeColor="background1" w:themeShade="A6"/>
              <w:right w:val="nil"/>
            </w:tcBorders>
          </w:tcPr>
          <w:p w14:paraId="46115C12" w14:textId="36362C0B" w:rsidR="00B76EEF" w:rsidRPr="004F1B86" w:rsidRDefault="00B76EEF" w:rsidP="00B76EEF">
            <w:pPr>
              <w:pStyle w:val="TableText"/>
              <w:ind w:right="-154"/>
              <w:rPr>
                <w:sz w:val="16"/>
                <w:szCs w:val="16"/>
              </w:rPr>
            </w:pPr>
            <w:r w:rsidRPr="004F1B86">
              <w:rPr>
                <w:sz w:val="16"/>
                <w:szCs w:val="16"/>
              </w:rPr>
              <w:t>Vote</w:t>
            </w:r>
            <w:r w:rsidRPr="004F1B86">
              <w:rPr>
                <w:spacing w:val="6"/>
                <w:sz w:val="16"/>
                <w:szCs w:val="16"/>
              </w:rPr>
              <w:t xml:space="preserve"> </w:t>
            </w:r>
            <w:r w:rsidRPr="004F1B86">
              <w:rPr>
                <w:spacing w:val="-2"/>
                <w:sz w:val="16"/>
                <w:szCs w:val="16"/>
              </w:rPr>
              <w:t>Health</w:t>
            </w:r>
          </w:p>
        </w:tc>
        <w:tc>
          <w:tcPr>
            <w:tcW w:w="929" w:type="dxa"/>
            <w:tcBorders>
              <w:top w:val="single" w:sz="4" w:space="0" w:color="A6A6A6" w:themeColor="background1" w:themeShade="A6"/>
              <w:left w:val="nil"/>
              <w:bottom w:val="single" w:sz="4" w:space="0" w:color="A6A6A6" w:themeColor="background1" w:themeShade="A6"/>
              <w:right w:val="nil"/>
            </w:tcBorders>
          </w:tcPr>
          <w:p w14:paraId="230600B2" w14:textId="62BCE5AA" w:rsidR="00B76EEF" w:rsidRPr="004F1B86" w:rsidRDefault="00B76EEF" w:rsidP="00B76EEF">
            <w:pPr>
              <w:pStyle w:val="TableText"/>
              <w:jc w:val="right"/>
              <w:rPr>
                <w:sz w:val="16"/>
                <w:szCs w:val="16"/>
              </w:rPr>
            </w:pPr>
            <w:r w:rsidRPr="004F1B86">
              <w:rPr>
                <w:sz w:val="16"/>
                <w:szCs w:val="16"/>
              </w:rPr>
              <w:t>16,737</w:t>
            </w:r>
          </w:p>
        </w:tc>
        <w:tc>
          <w:tcPr>
            <w:tcW w:w="931" w:type="dxa"/>
            <w:tcBorders>
              <w:top w:val="single" w:sz="4" w:space="0" w:color="A6A6A6" w:themeColor="background1" w:themeShade="A6"/>
              <w:left w:val="nil"/>
              <w:bottom w:val="single" w:sz="4" w:space="0" w:color="A6A6A6" w:themeColor="background1" w:themeShade="A6"/>
              <w:right w:val="nil"/>
            </w:tcBorders>
          </w:tcPr>
          <w:p w14:paraId="3855848E" w14:textId="0335000B" w:rsidR="00B76EEF" w:rsidRPr="004F1B86" w:rsidRDefault="00B76EEF" w:rsidP="00B76EEF">
            <w:pPr>
              <w:pStyle w:val="TableText"/>
              <w:jc w:val="right"/>
              <w:rPr>
                <w:sz w:val="16"/>
                <w:szCs w:val="16"/>
              </w:rPr>
            </w:pPr>
            <w:r w:rsidRPr="004F1B86">
              <w:rPr>
                <w:sz w:val="16"/>
                <w:szCs w:val="16"/>
              </w:rPr>
              <w:t>17,890</w:t>
            </w:r>
          </w:p>
        </w:tc>
        <w:tc>
          <w:tcPr>
            <w:tcW w:w="930" w:type="dxa"/>
            <w:tcBorders>
              <w:top w:val="single" w:sz="4" w:space="0" w:color="A6A6A6" w:themeColor="background1" w:themeShade="A6"/>
              <w:left w:val="nil"/>
              <w:bottom w:val="single" w:sz="4" w:space="0" w:color="A6A6A6" w:themeColor="background1" w:themeShade="A6"/>
              <w:right w:val="nil"/>
            </w:tcBorders>
          </w:tcPr>
          <w:p w14:paraId="43CB17E6" w14:textId="38BD6AE3" w:rsidR="00B76EEF" w:rsidRPr="004F1B86" w:rsidRDefault="00B76EEF" w:rsidP="00B76EEF">
            <w:pPr>
              <w:pStyle w:val="TableText"/>
              <w:jc w:val="right"/>
              <w:rPr>
                <w:sz w:val="16"/>
                <w:szCs w:val="16"/>
              </w:rPr>
            </w:pPr>
            <w:r w:rsidRPr="004F1B86">
              <w:rPr>
                <w:sz w:val="16"/>
                <w:szCs w:val="16"/>
              </w:rPr>
              <w:t>19,313</w:t>
            </w:r>
          </w:p>
        </w:tc>
        <w:tc>
          <w:tcPr>
            <w:tcW w:w="931" w:type="dxa"/>
            <w:tcBorders>
              <w:top w:val="single" w:sz="4" w:space="0" w:color="A6A6A6" w:themeColor="background1" w:themeShade="A6"/>
              <w:left w:val="nil"/>
              <w:bottom w:val="single" w:sz="4" w:space="0" w:color="A6A6A6" w:themeColor="background1" w:themeShade="A6"/>
              <w:right w:val="nil"/>
            </w:tcBorders>
          </w:tcPr>
          <w:p w14:paraId="6160A400" w14:textId="695E09E5" w:rsidR="00B76EEF" w:rsidRPr="004F1B86" w:rsidRDefault="00B76EEF" w:rsidP="00B76EEF">
            <w:pPr>
              <w:pStyle w:val="TableText"/>
              <w:jc w:val="right"/>
              <w:rPr>
                <w:sz w:val="16"/>
                <w:szCs w:val="16"/>
              </w:rPr>
            </w:pPr>
            <w:r w:rsidRPr="004F1B86">
              <w:rPr>
                <w:sz w:val="16"/>
                <w:szCs w:val="16"/>
              </w:rPr>
              <w:t>20,704</w:t>
            </w:r>
          </w:p>
        </w:tc>
        <w:tc>
          <w:tcPr>
            <w:tcW w:w="930" w:type="dxa"/>
            <w:tcBorders>
              <w:top w:val="single" w:sz="4" w:space="0" w:color="A6A6A6" w:themeColor="background1" w:themeShade="A6"/>
              <w:left w:val="nil"/>
              <w:bottom w:val="single" w:sz="4" w:space="0" w:color="A6A6A6" w:themeColor="background1" w:themeShade="A6"/>
              <w:right w:val="nil"/>
            </w:tcBorders>
          </w:tcPr>
          <w:p w14:paraId="53807ED9" w14:textId="5D28F0C1" w:rsidR="00B76EEF" w:rsidRPr="004F1B86" w:rsidRDefault="00B76EEF" w:rsidP="00B76EEF">
            <w:pPr>
              <w:pStyle w:val="TableText"/>
              <w:jc w:val="right"/>
              <w:rPr>
                <w:sz w:val="16"/>
                <w:szCs w:val="16"/>
              </w:rPr>
            </w:pPr>
            <w:r w:rsidRPr="004F1B86">
              <w:rPr>
                <w:sz w:val="16"/>
                <w:szCs w:val="16"/>
              </w:rPr>
              <w:t>21,111</w:t>
            </w:r>
          </w:p>
        </w:tc>
        <w:tc>
          <w:tcPr>
            <w:tcW w:w="931" w:type="dxa"/>
            <w:tcBorders>
              <w:top w:val="single" w:sz="4" w:space="0" w:color="A6A6A6" w:themeColor="background1" w:themeShade="A6"/>
              <w:left w:val="nil"/>
              <w:bottom w:val="single" w:sz="4" w:space="0" w:color="A6A6A6" w:themeColor="background1" w:themeShade="A6"/>
              <w:right w:val="nil"/>
            </w:tcBorders>
          </w:tcPr>
          <w:p w14:paraId="5DA581B3" w14:textId="06A8FEDF" w:rsidR="00B76EEF" w:rsidRPr="004F1B86" w:rsidRDefault="00B76EEF" w:rsidP="00B76EEF">
            <w:pPr>
              <w:pStyle w:val="TableText"/>
              <w:jc w:val="right"/>
              <w:rPr>
                <w:sz w:val="16"/>
                <w:szCs w:val="16"/>
              </w:rPr>
            </w:pPr>
            <w:r w:rsidRPr="004F1B86">
              <w:rPr>
                <w:sz w:val="16"/>
                <w:szCs w:val="16"/>
              </w:rPr>
              <w:t>4,374</w:t>
            </w:r>
          </w:p>
        </w:tc>
        <w:tc>
          <w:tcPr>
            <w:tcW w:w="999" w:type="dxa"/>
            <w:tcBorders>
              <w:top w:val="single" w:sz="4" w:space="0" w:color="A6A6A6" w:themeColor="background1" w:themeShade="A6"/>
              <w:left w:val="nil"/>
              <w:bottom w:val="single" w:sz="4" w:space="0" w:color="A6A6A6" w:themeColor="background1" w:themeShade="A6"/>
              <w:right w:val="nil"/>
            </w:tcBorders>
          </w:tcPr>
          <w:p w14:paraId="63024646" w14:textId="1C4673ED" w:rsidR="00B76EEF" w:rsidRPr="004F1B86" w:rsidRDefault="00B76EEF" w:rsidP="00B76EEF">
            <w:pPr>
              <w:pStyle w:val="TableText"/>
              <w:jc w:val="right"/>
              <w:rPr>
                <w:sz w:val="16"/>
                <w:szCs w:val="16"/>
              </w:rPr>
            </w:pPr>
            <w:r w:rsidRPr="004F1B86">
              <w:rPr>
                <w:sz w:val="16"/>
                <w:szCs w:val="16"/>
              </w:rPr>
              <w:t>26.1</w:t>
            </w:r>
          </w:p>
        </w:tc>
      </w:tr>
      <w:tr w:rsidR="00B76EEF" w14:paraId="2FC3596A" w14:textId="77777777" w:rsidTr="007436C4">
        <w:tc>
          <w:tcPr>
            <w:tcW w:w="1641" w:type="dxa"/>
            <w:gridSpan w:val="2"/>
            <w:tcBorders>
              <w:top w:val="single" w:sz="4" w:space="0" w:color="A6A6A6" w:themeColor="background1" w:themeShade="A6"/>
              <w:left w:val="nil"/>
              <w:bottom w:val="single" w:sz="4" w:space="0" w:color="A6A6A6" w:themeColor="background1" w:themeShade="A6"/>
              <w:right w:val="nil"/>
            </w:tcBorders>
          </w:tcPr>
          <w:p w14:paraId="565F76D4" w14:textId="78B45965" w:rsidR="00B76EEF" w:rsidRPr="004F1B86" w:rsidRDefault="00B76EEF" w:rsidP="00B76EEF">
            <w:pPr>
              <w:pStyle w:val="TableText"/>
              <w:ind w:right="-154"/>
              <w:rPr>
                <w:sz w:val="16"/>
                <w:szCs w:val="16"/>
              </w:rPr>
            </w:pPr>
            <w:r w:rsidRPr="004F1B86">
              <w:rPr>
                <w:w w:val="110"/>
                <w:sz w:val="16"/>
                <w:szCs w:val="16"/>
              </w:rPr>
              <w:t xml:space="preserve">Total funding as a </w:t>
            </w:r>
            <w:r w:rsidRPr="004F1B86">
              <w:rPr>
                <w:sz w:val="16"/>
                <w:szCs w:val="16"/>
              </w:rPr>
              <w:t>percentage of Vote Health</w:t>
            </w:r>
          </w:p>
        </w:tc>
        <w:tc>
          <w:tcPr>
            <w:tcW w:w="929" w:type="dxa"/>
            <w:tcBorders>
              <w:top w:val="single" w:sz="4" w:space="0" w:color="A6A6A6" w:themeColor="background1" w:themeShade="A6"/>
              <w:left w:val="nil"/>
              <w:bottom w:val="single" w:sz="4" w:space="0" w:color="A6A6A6" w:themeColor="background1" w:themeShade="A6"/>
              <w:right w:val="nil"/>
            </w:tcBorders>
          </w:tcPr>
          <w:p w14:paraId="275E74FD" w14:textId="2835F17F" w:rsidR="00B76EEF" w:rsidRPr="004F1B86" w:rsidRDefault="00B76EEF" w:rsidP="00B76EEF">
            <w:pPr>
              <w:pStyle w:val="TableText"/>
              <w:jc w:val="right"/>
              <w:rPr>
                <w:sz w:val="16"/>
                <w:szCs w:val="16"/>
              </w:rPr>
            </w:pPr>
            <w:r w:rsidRPr="004F1B86">
              <w:rPr>
                <w:sz w:val="16"/>
                <w:szCs w:val="16"/>
              </w:rPr>
              <w:t>2.4%</w:t>
            </w:r>
          </w:p>
        </w:tc>
        <w:tc>
          <w:tcPr>
            <w:tcW w:w="931" w:type="dxa"/>
            <w:tcBorders>
              <w:top w:val="single" w:sz="4" w:space="0" w:color="A6A6A6" w:themeColor="background1" w:themeShade="A6"/>
              <w:left w:val="nil"/>
              <w:bottom w:val="single" w:sz="4" w:space="0" w:color="A6A6A6" w:themeColor="background1" w:themeShade="A6"/>
              <w:right w:val="nil"/>
            </w:tcBorders>
          </w:tcPr>
          <w:p w14:paraId="6DBADCCF" w14:textId="63C7F1C3" w:rsidR="00B76EEF" w:rsidRPr="004F1B86" w:rsidRDefault="00B76EEF" w:rsidP="00B76EEF">
            <w:pPr>
              <w:pStyle w:val="TableText"/>
              <w:jc w:val="right"/>
              <w:rPr>
                <w:sz w:val="16"/>
                <w:szCs w:val="16"/>
              </w:rPr>
            </w:pPr>
            <w:r w:rsidRPr="004F1B86">
              <w:rPr>
                <w:sz w:val="16"/>
                <w:szCs w:val="16"/>
              </w:rPr>
              <w:t>2.8%</w:t>
            </w:r>
          </w:p>
        </w:tc>
        <w:tc>
          <w:tcPr>
            <w:tcW w:w="930" w:type="dxa"/>
            <w:tcBorders>
              <w:top w:val="single" w:sz="4" w:space="0" w:color="A6A6A6" w:themeColor="background1" w:themeShade="A6"/>
              <w:left w:val="nil"/>
              <w:bottom w:val="single" w:sz="4" w:space="0" w:color="A6A6A6" w:themeColor="background1" w:themeShade="A6"/>
              <w:right w:val="nil"/>
            </w:tcBorders>
          </w:tcPr>
          <w:p w14:paraId="34B5D54E" w14:textId="7BFC0844" w:rsidR="00B76EEF" w:rsidRPr="004F1B86" w:rsidRDefault="00B76EEF" w:rsidP="00B76EEF">
            <w:pPr>
              <w:pStyle w:val="TableText"/>
              <w:jc w:val="right"/>
              <w:rPr>
                <w:sz w:val="16"/>
                <w:szCs w:val="16"/>
              </w:rPr>
            </w:pPr>
            <w:r w:rsidRPr="004F1B86">
              <w:rPr>
                <w:sz w:val="16"/>
                <w:szCs w:val="16"/>
              </w:rPr>
              <w:t>3.0%</w:t>
            </w:r>
          </w:p>
        </w:tc>
        <w:tc>
          <w:tcPr>
            <w:tcW w:w="931" w:type="dxa"/>
            <w:tcBorders>
              <w:top w:val="single" w:sz="4" w:space="0" w:color="A6A6A6" w:themeColor="background1" w:themeShade="A6"/>
              <w:left w:val="nil"/>
              <w:bottom w:val="single" w:sz="4" w:space="0" w:color="A6A6A6" w:themeColor="background1" w:themeShade="A6"/>
              <w:right w:val="nil"/>
            </w:tcBorders>
          </w:tcPr>
          <w:p w14:paraId="3EC4DE96" w14:textId="484F598A" w:rsidR="00B76EEF" w:rsidRPr="004F1B86" w:rsidRDefault="00B76EEF" w:rsidP="00B76EEF">
            <w:pPr>
              <w:pStyle w:val="TableText"/>
              <w:jc w:val="right"/>
              <w:rPr>
                <w:sz w:val="16"/>
                <w:szCs w:val="16"/>
              </w:rPr>
            </w:pPr>
            <w:r w:rsidRPr="004F1B86">
              <w:rPr>
                <w:sz w:val="16"/>
                <w:szCs w:val="16"/>
              </w:rPr>
              <w:t>3.7%</w:t>
            </w:r>
          </w:p>
        </w:tc>
        <w:tc>
          <w:tcPr>
            <w:tcW w:w="930" w:type="dxa"/>
            <w:tcBorders>
              <w:top w:val="single" w:sz="4" w:space="0" w:color="A6A6A6" w:themeColor="background1" w:themeShade="A6"/>
              <w:left w:val="nil"/>
              <w:bottom w:val="single" w:sz="4" w:space="0" w:color="A6A6A6" w:themeColor="background1" w:themeShade="A6"/>
              <w:right w:val="nil"/>
            </w:tcBorders>
          </w:tcPr>
          <w:p w14:paraId="219C04C0" w14:textId="33FB9C27" w:rsidR="00B76EEF" w:rsidRPr="004F1B86" w:rsidRDefault="00B76EEF" w:rsidP="00B76EEF">
            <w:pPr>
              <w:pStyle w:val="TableText"/>
              <w:jc w:val="right"/>
              <w:rPr>
                <w:sz w:val="16"/>
                <w:szCs w:val="16"/>
              </w:rPr>
            </w:pPr>
            <w:r w:rsidRPr="004F1B86">
              <w:rPr>
                <w:sz w:val="16"/>
                <w:szCs w:val="16"/>
              </w:rPr>
              <w:t>3.9%</w:t>
            </w:r>
          </w:p>
        </w:tc>
        <w:tc>
          <w:tcPr>
            <w:tcW w:w="931" w:type="dxa"/>
            <w:tcBorders>
              <w:top w:val="single" w:sz="4" w:space="0" w:color="A6A6A6" w:themeColor="background1" w:themeShade="A6"/>
              <w:left w:val="nil"/>
              <w:bottom w:val="single" w:sz="4" w:space="0" w:color="A6A6A6" w:themeColor="background1" w:themeShade="A6"/>
              <w:right w:val="nil"/>
            </w:tcBorders>
          </w:tcPr>
          <w:p w14:paraId="559355AF" w14:textId="56A2602E" w:rsidR="00B76EEF" w:rsidRPr="004F1B86" w:rsidRDefault="00B76EEF" w:rsidP="00B76EEF">
            <w:pPr>
              <w:pStyle w:val="TableText"/>
              <w:jc w:val="right"/>
              <w:rPr>
                <w:sz w:val="16"/>
                <w:szCs w:val="16"/>
              </w:rPr>
            </w:pPr>
            <w:r w:rsidRPr="004F1B86">
              <w:rPr>
                <w:sz w:val="16"/>
                <w:szCs w:val="16"/>
              </w:rPr>
              <w:t>-</w:t>
            </w:r>
          </w:p>
        </w:tc>
        <w:tc>
          <w:tcPr>
            <w:tcW w:w="999" w:type="dxa"/>
            <w:tcBorders>
              <w:top w:val="single" w:sz="4" w:space="0" w:color="A6A6A6" w:themeColor="background1" w:themeShade="A6"/>
              <w:left w:val="nil"/>
              <w:bottom w:val="single" w:sz="4" w:space="0" w:color="A6A6A6" w:themeColor="background1" w:themeShade="A6"/>
              <w:right w:val="nil"/>
            </w:tcBorders>
          </w:tcPr>
          <w:p w14:paraId="0E09B8B5" w14:textId="2E50A0A6" w:rsidR="00B76EEF" w:rsidRPr="004F1B86" w:rsidRDefault="00B76EEF" w:rsidP="00B76EEF">
            <w:pPr>
              <w:pStyle w:val="TableText"/>
              <w:jc w:val="right"/>
              <w:rPr>
                <w:sz w:val="16"/>
                <w:szCs w:val="16"/>
              </w:rPr>
            </w:pPr>
            <w:r w:rsidRPr="004F1B86">
              <w:rPr>
                <w:sz w:val="16"/>
                <w:szCs w:val="16"/>
              </w:rPr>
              <w:t>-</w:t>
            </w:r>
          </w:p>
        </w:tc>
      </w:tr>
    </w:tbl>
    <w:p w14:paraId="1402C54C" w14:textId="77777777" w:rsidR="00B76EEF" w:rsidRPr="00B76EEF" w:rsidRDefault="00B76EEF" w:rsidP="00B76EEF">
      <w:pPr>
        <w:pStyle w:val="Note"/>
      </w:pPr>
      <w:r w:rsidRPr="00B76EEF">
        <w:t>Source: Ministry of Health; Health Sector – Estimates of Appropriations, The Treasury.</w:t>
      </w:r>
    </w:p>
    <w:p w14:paraId="4957C24F" w14:textId="77777777" w:rsidR="00B76EEF" w:rsidRPr="00B76EEF" w:rsidRDefault="00B76EEF" w:rsidP="00B76EEF">
      <w:pPr>
        <w:pStyle w:val="Note"/>
      </w:pPr>
      <w:r w:rsidRPr="00B76EEF">
        <w:t>Notes: Due to rounding, individual figures may not add to the stated totals and percentages may appear to differ from those stated.</w:t>
      </w:r>
    </w:p>
    <w:p w14:paraId="6B1E8BE0" w14:textId="77777777" w:rsidR="00887A71" w:rsidRDefault="00B76EEF" w:rsidP="00FB0018">
      <w:pPr>
        <w:pStyle w:val="Note"/>
        <w:ind w:left="142" w:hanging="142"/>
      </w:pPr>
      <w:r w:rsidRPr="00B76EEF">
        <w:t>*</w:t>
      </w:r>
      <w:r>
        <w:t xml:space="preserve"> </w:t>
      </w:r>
      <w:r w:rsidRPr="00B76EEF">
        <w:t>The most up-to-date data available is for 2022/23 which was published in March 2024. This information requires a significant amount of work to collate and check. Hence, this work is only done once a year and usually published in quarter 3 of the following financial year. Most of the delay is due to the time it takes to update and confirm the Māori health providers, source and check the contract information for these providers, and then source, check and collate the payment data for these contracts.</w:t>
      </w:r>
    </w:p>
    <w:p w14:paraId="3EA42CBE" w14:textId="77777777" w:rsidR="00B76EEF" w:rsidRDefault="00B76EEF" w:rsidP="00B76EEF"/>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222"/>
      </w:tblGrid>
      <w:tr w:rsidR="00B76EEF" w14:paraId="4D790B60" w14:textId="77777777" w:rsidTr="004F1B86">
        <w:tc>
          <w:tcPr>
            <w:tcW w:w="8222" w:type="dxa"/>
            <w:shd w:val="clear" w:color="auto" w:fill="F2F2F2" w:themeFill="background1" w:themeFillShade="F2"/>
          </w:tcPr>
          <w:p w14:paraId="6471AF4B" w14:textId="77777777" w:rsidR="00B76EEF" w:rsidRDefault="00B76EEF" w:rsidP="004F1B86">
            <w:pPr>
              <w:spacing w:before="120" w:after="120"/>
              <w:rPr>
                <w:b/>
                <w:bCs/>
              </w:rPr>
            </w:pPr>
            <w:r w:rsidRPr="008D5FB2">
              <w:rPr>
                <w:b/>
                <w:bCs/>
              </w:rPr>
              <w:t>Comment</w:t>
            </w:r>
          </w:p>
          <w:p w14:paraId="301207E9" w14:textId="77777777" w:rsidR="00B76EEF" w:rsidRDefault="00B76EEF" w:rsidP="00B76EEF">
            <w:pPr>
              <w:spacing w:before="80" w:after="80"/>
            </w:pPr>
            <w:r>
              <w:t>For iwi, hapū, whānau and Māori communities to deliver their own services, they need to have access to fair levels of resourcing. By measuring the trend in Vote: Health funding that kaupapa Māori providers receive, we can track changes in this area. An improvement in this measure will see that more funding is being directed to kaupapa Māori health service providers.</w:t>
            </w:r>
          </w:p>
          <w:p w14:paraId="3EC64C1D" w14:textId="65A0D802" w:rsidR="00B76EEF" w:rsidRDefault="00B76EEF" w:rsidP="00B76EEF">
            <w:pPr>
              <w:spacing w:before="80" w:after="80"/>
            </w:pPr>
            <w:r>
              <w:t>For more information, see Funding to Māori Health Providers 2018/19 to 2022/23.</w:t>
            </w:r>
            <w:r>
              <w:rPr>
                <w:rStyle w:val="FootnoteReference"/>
              </w:rPr>
              <w:footnoteReference w:id="36"/>
            </w:r>
            <w:r>
              <w:t xml:space="preserve"> This report, published in April 2024, follows on from reports in 2017, 2021 and 2022 on the same topic and is part of our monitoring of Whakamaua: Māori Health Action Plan 2020–2025.</w:t>
            </w:r>
          </w:p>
          <w:p w14:paraId="5862BF8A" w14:textId="77777777" w:rsidR="00B76EEF" w:rsidRDefault="00B76EEF" w:rsidP="00B76EEF">
            <w:pPr>
              <w:spacing w:before="80" w:after="80"/>
            </w:pPr>
            <w:r>
              <w:lastRenderedPageBreak/>
              <w:t>Total funding to Māori health providers increased by $409.7 million (101.6%) from $403.1 million in 2018/19 to $812.8 million in 2022/23. As in previous reports, this shows that although total funding to Māori health providers is increasing, it remains a small part of Vote Health, increasing from 2.4% in 2018/19 to 3.9% in 2022/23.</w:t>
            </w:r>
          </w:p>
          <w:p w14:paraId="24F105D2" w14:textId="5F5AE427" w:rsidR="00B76EEF" w:rsidRPr="00085055" w:rsidRDefault="00B76EEF" w:rsidP="00B76EEF">
            <w:pPr>
              <w:spacing w:before="80" w:after="80" w:line="240" w:lineRule="auto"/>
              <w:rPr>
                <w:b/>
                <w:bCs/>
              </w:rPr>
            </w:pPr>
            <w:r>
              <w:t>The precise number of Māori health providers is difficult to determine because of acquisitions, mergers, closures, and the use of subsidiaries and trading names. In 2022/23, there were around 310 (265 excluding subsidiaries) Māori health providers, 20 more than the number reported in 2021/22.</w:t>
            </w:r>
          </w:p>
        </w:tc>
      </w:tr>
    </w:tbl>
    <w:p w14:paraId="2BD0FE97" w14:textId="77777777" w:rsidR="00D93C9D" w:rsidRDefault="00D93C9D" w:rsidP="00B76EEF"/>
    <w:p w14:paraId="5617CB05" w14:textId="77777777" w:rsidR="00D93C9D" w:rsidRDefault="00D93C9D" w:rsidP="00D93C9D"/>
    <w:tbl>
      <w:tblPr>
        <w:tblStyle w:val="TableGrid"/>
        <w:tblW w:w="822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8"/>
        <w:gridCol w:w="425"/>
        <w:gridCol w:w="1630"/>
        <w:gridCol w:w="1630"/>
        <w:gridCol w:w="1630"/>
        <w:gridCol w:w="1489"/>
      </w:tblGrid>
      <w:tr w:rsidR="007436C4" w14:paraId="78BCB767" w14:textId="77777777" w:rsidTr="00471CB0">
        <w:tc>
          <w:tcPr>
            <w:tcW w:w="8222" w:type="dxa"/>
            <w:gridSpan w:val="6"/>
            <w:tcBorders>
              <w:top w:val="nil"/>
              <w:left w:val="nil"/>
              <w:bottom w:val="nil"/>
              <w:right w:val="nil"/>
            </w:tcBorders>
            <w:shd w:val="clear" w:color="auto" w:fill="D9D9D9" w:themeFill="background1" w:themeFillShade="D9"/>
            <w:hideMark/>
          </w:tcPr>
          <w:p w14:paraId="070C2A3A" w14:textId="7449E5B0" w:rsidR="007436C4" w:rsidRDefault="007436C4" w:rsidP="004F1B86">
            <w:pPr>
              <w:pStyle w:val="TableText"/>
              <w:rPr>
                <w:b/>
                <w:bCs/>
              </w:rPr>
            </w:pPr>
            <w:r w:rsidRPr="007436C4">
              <w:rPr>
                <w:b/>
                <w:bCs/>
              </w:rPr>
              <w:t>People report they can get primary healthcare when they need it</w:t>
            </w:r>
          </w:p>
        </w:tc>
      </w:tr>
      <w:tr w:rsidR="007436C4" w14:paraId="4F7339E7" w14:textId="77777777" w:rsidTr="00471CB0">
        <w:tc>
          <w:tcPr>
            <w:tcW w:w="1418" w:type="dxa"/>
            <w:tcBorders>
              <w:top w:val="nil"/>
              <w:left w:val="nil"/>
              <w:bottom w:val="single" w:sz="4" w:space="0" w:color="A6A6A6" w:themeColor="background1" w:themeShade="A6"/>
              <w:right w:val="nil"/>
            </w:tcBorders>
            <w:hideMark/>
          </w:tcPr>
          <w:p w14:paraId="7AD4DD6E" w14:textId="77777777" w:rsidR="007436C4" w:rsidRDefault="007436C4" w:rsidP="004F1B86">
            <w:pPr>
              <w:pStyle w:val="TableText"/>
              <w:rPr>
                <w:b/>
                <w:bCs/>
              </w:rPr>
            </w:pPr>
            <w:r>
              <w:rPr>
                <w:b/>
                <w:bCs/>
              </w:rPr>
              <w:t>Indicator description</w:t>
            </w:r>
          </w:p>
        </w:tc>
        <w:tc>
          <w:tcPr>
            <w:tcW w:w="6804" w:type="dxa"/>
            <w:gridSpan w:val="5"/>
            <w:tcBorders>
              <w:top w:val="nil"/>
              <w:left w:val="nil"/>
              <w:bottom w:val="single" w:sz="4" w:space="0" w:color="A6A6A6" w:themeColor="background1" w:themeShade="A6"/>
              <w:right w:val="nil"/>
            </w:tcBorders>
            <w:hideMark/>
          </w:tcPr>
          <w:p w14:paraId="533FBE45" w14:textId="69C9E3C6" w:rsidR="007436C4" w:rsidRPr="00874C6C" w:rsidRDefault="007436C4" w:rsidP="004F1B86">
            <w:pPr>
              <w:pStyle w:val="TableText"/>
            </w:pPr>
            <w:r w:rsidRPr="007436C4">
              <w:t>Percentage of people who say they can always get primary healthcare from a general practitioner or nurse.</w:t>
            </w:r>
          </w:p>
        </w:tc>
      </w:tr>
      <w:tr w:rsidR="007436C4" w14:paraId="0B77163F" w14:textId="77777777" w:rsidTr="00471CB0">
        <w:tc>
          <w:tcPr>
            <w:tcW w:w="1418" w:type="dxa"/>
            <w:tcBorders>
              <w:top w:val="single" w:sz="4" w:space="0" w:color="A6A6A6" w:themeColor="background1" w:themeShade="A6"/>
              <w:left w:val="nil"/>
              <w:bottom w:val="single" w:sz="4" w:space="0" w:color="A6A6A6" w:themeColor="background1" w:themeShade="A6"/>
              <w:right w:val="nil"/>
            </w:tcBorders>
            <w:hideMark/>
          </w:tcPr>
          <w:p w14:paraId="12812EC8" w14:textId="6039FCB9" w:rsidR="007436C4" w:rsidRDefault="007436C4" w:rsidP="007436C4">
            <w:pPr>
              <w:pStyle w:val="TableText"/>
            </w:pPr>
            <w:r>
              <w:t>Baseline data</w:t>
            </w:r>
            <w:r>
              <w:br/>
            </w:r>
            <w:r>
              <w:rPr>
                <w:spacing w:val="-2"/>
                <w:sz w:val="19"/>
              </w:rPr>
              <w:t>(12</w:t>
            </w:r>
            <w:r>
              <w:rPr>
                <w:spacing w:val="-12"/>
                <w:sz w:val="19"/>
              </w:rPr>
              <w:t xml:space="preserve"> </w:t>
            </w:r>
            <w:r>
              <w:rPr>
                <w:spacing w:val="-2"/>
                <w:sz w:val="19"/>
              </w:rPr>
              <w:t xml:space="preserve">months </w:t>
            </w:r>
            <w:r>
              <w:rPr>
                <w:spacing w:val="-7"/>
                <w:sz w:val="19"/>
              </w:rPr>
              <w:t xml:space="preserve">to </w:t>
            </w:r>
            <w:r>
              <w:rPr>
                <w:sz w:val="19"/>
              </w:rPr>
              <w:t xml:space="preserve">June </w:t>
            </w:r>
            <w:r>
              <w:rPr>
                <w:spacing w:val="-2"/>
                <w:sz w:val="19"/>
              </w:rPr>
              <w:t>2021</w:t>
            </w:r>
          </w:p>
        </w:tc>
        <w:tc>
          <w:tcPr>
            <w:tcW w:w="6804" w:type="dxa"/>
            <w:gridSpan w:val="5"/>
            <w:tcBorders>
              <w:top w:val="single" w:sz="4" w:space="0" w:color="A6A6A6" w:themeColor="background1" w:themeShade="A6"/>
              <w:left w:val="nil"/>
              <w:bottom w:val="single" w:sz="4" w:space="0" w:color="A6A6A6" w:themeColor="background1" w:themeShade="A6"/>
              <w:right w:val="nil"/>
            </w:tcBorders>
            <w:hideMark/>
          </w:tcPr>
          <w:p w14:paraId="00EC7CA9" w14:textId="2A69E773" w:rsidR="007436C4" w:rsidRPr="00874C6C" w:rsidRDefault="007436C4" w:rsidP="004F1B86">
            <w:pPr>
              <w:pStyle w:val="TableText"/>
            </w:pPr>
            <w:r w:rsidRPr="007436C4">
              <w:t>81% of people reported they could always get healthcare from a general practitioner or nurse when they needed it.</w:t>
            </w:r>
          </w:p>
        </w:tc>
      </w:tr>
      <w:tr w:rsidR="007436C4" w14:paraId="1102A98C" w14:textId="77777777" w:rsidTr="00471CB0">
        <w:tc>
          <w:tcPr>
            <w:tcW w:w="8222" w:type="dxa"/>
            <w:gridSpan w:val="6"/>
            <w:tcBorders>
              <w:top w:val="single" w:sz="4" w:space="0" w:color="A6A6A6" w:themeColor="background1" w:themeShade="A6"/>
              <w:left w:val="nil"/>
              <w:bottom w:val="single" w:sz="4" w:space="0" w:color="A6A6A6" w:themeColor="background1" w:themeShade="A6"/>
              <w:right w:val="nil"/>
            </w:tcBorders>
            <w:shd w:val="clear" w:color="auto" w:fill="FFFFFF" w:themeFill="background1"/>
            <w:hideMark/>
          </w:tcPr>
          <w:p w14:paraId="729D20DD" w14:textId="6E88E7DA" w:rsidR="007436C4" w:rsidRDefault="007436C4" w:rsidP="004F1B86">
            <w:pPr>
              <w:pStyle w:val="TableText"/>
              <w:keepNext/>
              <w:rPr>
                <w:b/>
                <w:bCs/>
              </w:rPr>
            </w:pPr>
            <w:r w:rsidRPr="007436C4">
              <w:rPr>
                <w:b/>
                <w:bCs/>
              </w:rPr>
              <w:t>Results (Percentage of people who say they can always get primary healthcare from a GP or nurse when they needed it in the last 12 months)</w:t>
            </w:r>
          </w:p>
        </w:tc>
      </w:tr>
      <w:tr w:rsidR="00471CB0" w:rsidRPr="00471CB0" w14:paraId="1A0DFB02" w14:textId="77777777" w:rsidTr="00471CB0">
        <w:tc>
          <w:tcPr>
            <w:tcW w:w="1843"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2E2F2744" w14:textId="77777777" w:rsidR="00471CB0" w:rsidRPr="00471CB0" w:rsidRDefault="00471CB0" w:rsidP="00471CB0">
            <w:pPr>
              <w:pStyle w:val="TableText"/>
              <w:rPr>
                <w:b/>
                <w:bCs/>
                <w:sz w:val="16"/>
                <w:szCs w:val="16"/>
              </w:rPr>
            </w:pPr>
          </w:p>
        </w:tc>
        <w:tc>
          <w:tcPr>
            <w:tcW w:w="163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62023983" w14:textId="4689B68B" w:rsidR="00471CB0" w:rsidRPr="00471CB0" w:rsidRDefault="00471CB0" w:rsidP="00471CB0">
            <w:pPr>
              <w:pStyle w:val="TableText"/>
              <w:jc w:val="right"/>
              <w:rPr>
                <w:b/>
                <w:bCs/>
                <w:sz w:val="16"/>
                <w:szCs w:val="18"/>
              </w:rPr>
            </w:pPr>
            <w:r w:rsidRPr="00471CB0">
              <w:rPr>
                <w:b/>
                <w:bCs/>
                <w:spacing w:val="-6"/>
                <w:sz w:val="16"/>
                <w:szCs w:val="18"/>
              </w:rPr>
              <w:t>Q4</w:t>
            </w:r>
            <w:r w:rsidRPr="00471CB0">
              <w:rPr>
                <w:b/>
                <w:bCs/>
                <w:spacing w:val="-19"/>
                <w:sz w:val="16"/>
                <w:szCs w:val="18"/>
              </w:rPr>
              <w:t xml:space="preserve"> </w:t>
            </w:r>
            <w:r w:rsidRPr="00471CB0">
              <w:rPr>
                <w:b/>
                <w:bCs/>
                <w:sz w:val="16"/>
                <w:szCs w:val="18"/>
              </w:rPr>
              <w:t>2021</w:t>
            </w:r>
            <w:r>
              <w:rPr>
                <w:b/>
                <w:bCs/>
                <w:sz w:val="16"/>
                <w:szCs w:val="18"/>
              </w:rPr>
              <w:br/>
            </w:r>
            <w:r w:rsidRPr="00471CB0">
              <w:rPr>
                <w:b/>
                <w:bCs/>
                <w:spacing w:val="-2"/>
                <w:sz w:val="16"/>
                <w:szCs w:val="18"/>
              </w:rPr>
              <w:t>(Baseline)</w:t>
            </w:r>
          </w:p>
        </w:tc>
        <w:tc>
          <w:tcPr>
            <w:tcW w:w="163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0A654051" w14:textId="56CFA569" w:rsidR="00471CB0" w:rsidRPr="00471CB0" w:rsidRDefault="00471CB0" w:rsidP="00471CB0">
            <w:pPr>
              <w:pStyle w:val="TableText"/>
              <w:jc w:val="right"/>
              <w:rPr>
                <w:b/>
                <w:bCs/>
                <w:sz w:val="16"/>
                <w:szCs w:val="18"/>
              </w:rPr>
            </w:pPr>
            <w:r w:rsidRPr="00471CB0">
              <w:rPr>
                <w:b/>
                <w:bCs/>
                <w:spacing w:val="-6"/>
                <w:sz w:val="16"/>
                <w:szCs w:val="18"/>
              </w:rPr>
              <w:t>Q4</w:t>
            </w:r>
            <w:r w:rsidRPr="00471CB0">
              <w:rPr>
                <w:b/>
                <w:bCs/>
                <w:spacing w:val="-19"/>
                <w:sz w:val="16"/>
                <w:szCs w:val="18"/>
              </w:rPr>
              <w:t xml:space="preserve"> </w:t>
            </w:r>
            <w:r w:rsidRPr="00471CB0">
              <w:rPr>
                <w:b/>
                <w:bCs/>
                <w:sz w:val="16"/>
                <w:szCs w:val="18"/>
              </w:rPr>
              <w:t>2022</w:t>
            </w:r>
          </w:p>
        </w:tc>
        <w:tc>
          <w:tcPr>
            <w:tcW w:w="163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69612237" w14:textId="4618C5DD" w:rsidR="00471CB0" w:rsidRPr="00471CB0" w:rsidRDefault="00471CB0" w:rsidP="00471CB0">
            <w:pPr>
              <w:pStyle w:val="TableText"/>
              <w:jc w:val="right"/>
              <w:rPr>
                <w:b/>
                <w:bCs/>
                <w:sz w:val="16"/>
                <w:szCs w:val="18"/>
              </w:rPr>
            </w:pPr>
            <w:r w:rsidRPr="00471CB0">
              <w:rPr>
                <w:b/>
                <w:bCs/>
                <w:spacing w:val="-6"/>
                <w:sz w:val="16"/>
                <w:szCs w:val="18"/>
              </w:rPr>
              <w:t>Q4</w:t>
            </w:r>
            <w:r w:rsidRPr="00471CB0">
              <w:rPr>
                <w:b/>
                <w:bCs/>
                <w:spacing w:val="-19"/>
                <w:sz w:val="16"/>
                <w:szCs w:val="18"/>
              </w:rPr>
              <w:t xml:space="preserve"> </w:t>
            </w:r>
            <w:r w:rsidRPr="00471CB0">
              <w:rPr>
                <w:b/>
                <w:bCs/>
                <w:sz w:val="16"/>
                <w:szCs w:val="18"/>
              </w:rPr>
              <w:t>2023</w:t>
            </w:r>
          </w:p>
        </w:tc>
        <w:tc>
          <w:tcPr>
            <w:tcW w:w="1489"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4E6A7A10" w14:textId="1933BC6C" w:rsidR="00471CB0" w:rsidRPr="00471CB0" w:rsidRDefault="00471CB0" w:rsidP="00471CB0">
            <w:pPr>
              <w:pStyle w:val="TableText"/>
              <w:jc w:val="right"/>
              <w:rPr>
                <w:b/>
                <w:bCs/>
                <w:sz w:val="16"/>
                <w:szCs w:val="18"/>
              </w:rPr>
            </w:pPr>
            <w:r w:rsidRPr="00471CB0">
              <w:rPr>
                <w:b/>
                <w:bCs/>
                <w:spacing w:val="-6"/>
                <w:sz w:val="16"/>
                <w:szCs w:val="18"/>
              </w:rPr>
              <w:t>Q4</w:t>
            </w:r>
            <w:r w:rsidRPr="00471CB0">
              <w:rPr>
                <w:b/>
                <w:bCs/>
                <w:spacing w:val="-19"/>
                <w:sz w:val="16"/>
                <w:szCs w:val="18"/>
              </w:rPr>
              <w:t xml:space="preserve"> </w:t>
            </w:r>
            <w:r w:rsidRPr="00471CB0">
              <w:rPr>
                <w:b/>
                <w:bCs/>
                <w:sz w:val="16"/>
                <w:szCs w:val="18"/>
              </w:rPr>
              <w:t>2024</w:t>
            </w:r>
          </w:p>
        </w:tc>
      </w:tr>
      <w:tr w:rsidR="00471CB0" w:rsidRPr="00471CB0" w14:paraId="2E98D8C1" w14:textId="77777777" w:rsidTr="00471CB0">
        <w:tc>
          <w:tcPr>
            <w:tcW w:w="1843" w:type="dxa"/>
            <w:gridSpan w:val="2"/>
            <w:tcBorders>
              <w:top w:val="single" w:sz="4" w:space="0" w:color="A6A6A6" w:themeColor="background1" w:themeShade="A6"/>
              <w:left w:val="nil"/>
              <w:bottom w:val="single" w:sz="4" w:space="0" w:color="A6A6A6" w:themeColor="background1" w:themeShade="A6"/>
              <w:right w:val="nil"/>
            </w:tcBorders>
            <w:hideMark/>
          </w:tcPr>
          <w:p w14:paraId="256343BC" w14:textId="77777777" w:rsidR="00471CB0" w:rsidRPr="00471CB0" w:rsidRDefault="00471CB0" w:rsidP="00471CB0">
            <w:pPr>
              <w:pStyle w:val="TableText"/>
              <w:ind w:right="-154"/>
              <w:rPr>
                <w:sz w:val="16"/>
                <w:szCs w:val="16"/>
              </w:rPr>
            </w:pPr>
            <w:r w:rsidRPr="00471CB0">
              <w:rPr>
                <w:sz w:val="16"/>
                <w:szCs w:val="16"/>
              </w:rPr>
              <w:t>All Ethnicities</w:t>
            </w:r>
          </w:p>
        </w:tc>
        <w:tc>
          <w:tcPr>
            <w:tcW w:w="1630" w:type="dxa"/>
            <w:tcBorders>
              <w:top w:val="single" w:sz="4" w:space="0" w:color="A6A6A6" w:themeColor="background1" w:themeShade="A6"/>
              <w:left w:val="nil"/>
              <w:bottom w:val="single" w:sz="4" w:space="0" w:color="A6A6A6" w:themeColor="background1" w:themeShade="A6"/>
              <w:right w:val="nil"/>
            </w:tcBorders>
            <w:hideMark/>
          </w:tcPr>
          <w:p w14:paraId="6C2A4C20" w14:textId="39766655" w:rsidR="00471CB0" w:rsidRPr="00471CB0" w:rsidRDefault="00471CB0" w:rsidP="00471CB0">
            <w:pPr>
              <w:pStyle w:val="TableText"/>
              <w:jc w:val="right"/>
              <w:rPr>
                <w:sz w:val="16"/>
                <w:szCs w:val="16"/>
              </w:rPr>
            </w:pPr>
            <w:r w:rsidRPr="00471CB0">
              <w:rPr>
                <w:sz w:val="16"/>
                <w:szCs w:val="16"/>
              </w:rPr>
              <w:t>81%</w:t>
            </w:r>
          </w:p>
        </w:tc>
        <w:tc>
          <w:tcPr>
            <w:tcW w:w="1630" w:type="dxa"/>
            <w:tcBorders>
              <w:top w:val="single" w:sz="4" w:space="0" w:color="A6A6A6" w:themeColor="background1" w:themeShade="A6"/>
              <w:left w:val="nil"/>
              <w:bottom w:val="single" w:sz="4" w:space="0" w:color="A6A6A6" w:themeColor="background1" w:themeShade="A6"/>
              <w:right w:val="nil"/>
            </w:tcBorders>
            <w:hideMark/>
          </w:tcPr>
          <w:p w14:paraId="2DB756BF" w14:textId="62942626" w:rsidR="00471CB0" w:rsidRPr="00471CB0" w:rsidRDefault="00471CB0" w:rsidP="00471CB0">
            <w:pPr>
              <w:pStyle w:val="TableText"/>
              <w:jc w:val="right"/>
              <w:rPr>
                <w:sz w:val="16"/>
                <w:szCs w:val="16"/>
              </w:rPr>
            </w:pPr>
            <w:r w:rsidRPr="00471CB0">
              <w:rPr>
                <w:sz w:val="16"/>
                <w:szCs w:val="16"/>
              </w:rPr>
              <w:t>78%</w:t>
            </w:r>
          </w:p>
        </w:tc>
        <w:tc>
          <w:tcPr>
            <w:tcW w:w="1630" w:type="dxa"/>
            <w:tcBorders>
              <w:top w:val="single" w:sz="4" w:space="0" w:color="A6A6A6" w:themeColor="background1" w:themeShade="A6"/>
              <w:left w:val="nil"/>
              <w:bottom w:val="single" w:sz="4" w:space="0" w:color="A6A6A6" w:themeColor="background1" w:themeShade="A6"/>
              <w:right w:val="nil"/>
            </w:tcBorders>
            <w:hideMark/>
          </w:tcPr>
          <w:p w14:paraId="6D879F3F" w14:textId="561CAFFC" w:rsidR="00471CB0" w:rsidRPr="00471CB0" w:rsidRDefault="00471CB0" w:rsidP="00471CB0">
            <w:pPr>
              <w:pStyle w:val="TableText"/>
              <w:jc w:val="right"/>
              <w:rPr>
                <w:sz w:val="16"/>
                <w:szCs w:val="16"/>
              </w:rPr>
            </w:pPr>
            <w:r w:rsidRPr="00471CB0">
              <w:rPr>
                <w:sz w:val="16"/>
                <w:szCs w:val="16"/>
              </w:rPr>
              <w:t>77%</w:t>
            </w:r>
          </w:p>
        </w:tc>
        <w:tc>
          <w:tcPr>
            <w:tcW w:w="1489" w:type="dxa"/>
            <w:tcBorders>
              <w:top w:val="single" w:sz="4" w:space="0" w:color="A6A6A6" w:themeColor="background1" w:themeShade="A6"/>
              <w:left w:val="nil"/>
              <w:bottom w:val="single" w:sz="4" w:space="0" w:color="A6A6A6" w:themeColor="background1" w:themeShade="A6"/>
              <w:right w:val="nil"/>
            </w:tcBorders>
            <w:hideMark/>
          </w:tcPr>
          <w:p w14:paraId="06F52721" w14:textId="5DF4B010" w:rsidR="00471CB0" w:rsidRPr="00471CB0" w:rsidRDefault="00471CB0" w:rsidP="00471CB0">
            <w:pPr>
              <w:pStyle w:val="TableText"/>
              <w:jc w:val="right"/>
              <w:rPr>
                <w:sz w:val="16"/>
                <w:szCs w:val="16"/>
              </w:rPr>
            </w:pPr>
            <w:r w:rsidRPr="00471CB0">
              <w:rPr>
                <w:sz w:val="16"/>
                <w:szCs w:val="16"/>
              </w:rPr>
              <w:t>77.2%</w:t>
            </w:r>
          </w:p>
        </w:tc>
      </w:tr>
      <w:tr w:rsidR="00471CB0" w:rsidRPr="00471CB0" w14:paraId="4F311DCD" w14:textId="77777777" w:rsidTr="00471CB0">
        <w:tc>
          <w:tcPr>
            <w:tcW w:w="1843" w:type="dxa"/>
            <w:gridSpan w:val="2"/>
            <w:tcBorders>
              <w:top w:val="single" w:sz="4" w:space="0" w:color="A6A6A6" w:themeColor="background1" w:themeShade="A6"/>
              <w:left w:val="nil"/>
              <w:bottom w:val="single" w:sz="4" w:space="0" w:color="A6A6A6" w:themeColor="background1" w:themeShade="A6"/>
              <w:right w:val="nil"/>
            </w:tcBorders>
            <w:hideMark/>
          </w:tcPr>
          <w:p w14:paraId="38C02C0C" w14:textId="77777777" w:rsidR="00471CB0" w:rsidRPr="00471CB0" w:rsidRDefault="00471CB0" w:rsidP="00471CB0">
            <w:pPr>
              <w:pStyle w:val="TableText"/>
              <w:ind w:right="-154"/>
              <w:rPr>
                <w:sz w:val="16"/>
                <w:szCs w:val="16"/>
              </w:rPr>
            </w:pPr>
            <w:r w:rsidRPr="00471CB0">
              <w:rPr>
                <w:sz w:val="16"/>
                <w:szCs w:val="16"/>
              </w:rPr>
              <w:t>Māori</w:t>
            </w:r>
          </w:p>
        </w:tc>
        <w:tc>
          <w:tcPr>
            <w:tcW w:w="1630" w:type="dxa"/>
            <w:tcBorders>
              <w:top w:val="single" w:sz="4" w:space="0" w:color="A6A6A6" w:themeColor="background1" w:themeShade="A6"/>
              <w:left w:val="nil"/>
              <w:bottom w:val="single" w:sz="4" w:space="0" w:color="A6A6A6" w:themeColor="background1" w:themeShade="A6"/>
              <w:right w:val="nil"/>
            </w:tcBorders>
            <w:hideMark/>
          </w:tcPr>
          <w:p w14:paraId="3F668A39" w14:textId="6EC46394" w:rsidR="00471CB0" w:rsidRPr="00471CB0" w:rsidRDefault="00471CB0" w:rsidP="00471CB0">
            <w:pPr>
              <w:pStyle w:val="TableText"/>
              <w:jc w:val="right"/>
              <w:rPr>
                <w:sz w:val="16"/>
                <w:szCs w:val="16"/>
              </w:rPr>
            </w:pPr>
            <w:r w:rsidRPr="00471CB0">
              <w:rPr>
                <w:sz w:val="16"/>
                <w:szCs w:val="16"/>
              </w:rPr>
              <w:t>75%</w:t>
            </w:r>
          </w:p>
        </w:tc>
        <w:tc>
          <w:tcPr>
            <w:tcW w:w="1630" w:type="dxa"/>
            <w:tcBorders>
              <w:top w:val="single" w:sz="4" w:space="0" w:color="A6A6A6" w:themeColor="background1" w:themeShade="A6"/>
              <w:left w:val="nil"/>
              <w:bottom w:val="single" w:sz="4" w:space="0" w:color="A6A6A6" w:themeColor="background1" w:themeShade="A6"/>
              <w:right w:val="nil"/>
            </w:tcBorders>
            <w:hideMark/>
          </w:tcPr>
          <w:p w14:paraId="5BD17995" w14:textId="7F4F6E19" w:rsidR="00471CB0" w:rsidRPr="00471CB0" w:rsidRDefault="00471CB0" w:rsidP="00471CB0">
            <w:pPr>
              <w:pStyle w:val="TableText"/>
              <w:jc w:val="right"/>
              <w:rPr>
                <w:sz w:val="16"/>
                <w:szCs w:val="16"/>
              </w:rPr>
            </w:pPr>
            <w:r w:rsidRPr="00471CB0">
              <w:rPr>
                <w:sz w:val="16"/>
                <w:szCs w:val="16"/>
              </w:rPr>
              <w:t>73%</w:t>
            </w:r>
          </w:p>
        </w:tc>
        <w:tc>
          <w:tcPr>
            <w:tcW w:w="1630" w:type="dxa"/>
            <w:tcBorders>
              <w:top w:val="single" w:sz="4" w:space="0" w:color="A6A6A6" w:themeColor="background1" w:themeShade="A6"/>
              <w:left w:val="nil"/>
              <w:bottom w:val="single" w:sz="4" w:space="0" w:color="A6A6A6" w:themeColor="background1" w:themeShade="A6"/>
              <w:right w:val="nil"/>
            </w:tcBorders>
            <w:hideMark/>
          </w:tcPr>
          <w:p w14:paraId="0E3230E8" w14:textId="19E0AED6" w:rsidR="00471CB0" w:rsidRPr="00471CB0" w:rsidRDefault="00471CB0" w:rsidP="00471CB0">
            <w:pPr>
              <w:pStyle w:val="TableText"/>
              <w:jc w:val="right"/>
              <w:rPr>
                <w:sz w:val="16"/>
                <w:szCs w:val="16"/>
              </w:rPr>
            </w:pPr>
            <w:r w:rsidRPr="00471CB0">
              <w:rPr>
                <w:sz w:val="16"/>
                <w:szCs w:val="16"/>
              </w:rPr>
              <w:t>72%</w:t>
            </w:r>
          </w:p>
        </w:tc>
        <w:tc>
          <w:tcPr>
            <w:tcW w:w="1489" w:type="dxa"/>
            <w:tcBorders>
              <w:top w:val="single" w:sz="4" w:space="0" w:color="A6A6A6" w:themeColor="background1" w:themeShade="A6"/>
              <w:left w:val="nil"/>
              <w:bottom w:val="single" w:sz="4" w:space="0" w:color="A6A6A6" w:themeColor="background1" w:themeShade="A6"/>
              <w:right w:val="nil"/>
            </w:tcBorders>
            <w:hideMark/>
          </w:tcPr>
          <w:p w14:paraId="368AFDB6" w14:textId="2497B7F5" w:rsidR="00471CB0" w:rsidRPr="00471CB0" w:rsidRDefault="00471CB0" w:rsidP="00471CB0">
            <w:pPr>
              <w:pStyle w:val="TableText"/>
              <w:jc w:val="right"/>
              <w:rPr>
                <w:sz w:val="16"/>
                <w:szCs w:val="16"/>
              </w:rPr>
            </w:pPr>
            <w:r w:rsidRPr="00471CB0">
              <w:rPr>
                <w:sz w:val="16"/>
                <w:szCs w:val="16"/>
              </w:rPr>
              <w:t>72.7%</w:t>
            </w:r>
          </w:p>
        </w:tc>
      </w:tr>
      <w:tr w:rsidR="00471CB0" w:rsidRPr="00471CB0" w14:paraId="3145189A" w14:textId="77777777" w:rsidTr="00471CB0">
        <w:tc>
          <w:tcPr>
            <w:tcW w:w="1843" w:type="dxa"/>
            <w:gridSpan w:val="2"/>
            <w:tcBorders>
              <w:top w:val="single" w:sz="4" w:space="0" w:color="A6A6A6" w:themeColor="background1" w:themeShade="A6"/>
              <w:left w:val="nil"/>
              <w:bottom w:val="single" w:sz="4" w:space="0" w:color="A6A6A6" w:themeColor="background1" w:themeShade="A6"/>
              <w:right w:val="nil"/>
            </w:tcBorders>
            <w:hideMark/>
          </w:tcPr>
          <w:p w14:paraId="2A511133" w14:textId="77777777" w:rsidR="00471CB0" w:rsidRPr="00471CB0" w:rsidRDefault="00471CB0" w:rsidP="00471CB0">
            <w:pPr>
              <w:pStyle w:val="TableText"/>
              <w:ind w:right="-154"/>
              <w:rPr>
                <w:sz w:val="16"/>
                <w:szCs w:val="16"/>
              </w:rPr>
            </w:pPr>
            <w:r w:rsidRPr="00471CB0">
              <w:rPr>
                <w:sz w:val="16"/>
                <w:szCs w:val="16"/>
              </w:rPr>
              <w:t>Pacific peoples</w:t>
            </w:r>
          </w:p>
        </w:tc>
        <w:tc>
          <w:tcPr>
            <w:tcW w:w="1630" w:type="dxa"/>
            <w:tcBorders>
              <w:top w:val="single" w:sz="4" w:space="0" w:color="A6A6A6" w:themeColor="background1" w:themeShade="A6"/>
              <w:left w:val="nil"/>
              <w:bottom w:val="single" w:sz="4" w:space="0" w:color="A6A6A6" w:themeColor="background1" w:themeShade="A6"/>
              <w:right w:val="nil"/>
            </w:tcBorders>
            <w:hideMark/>
          </w:tcPr>
          <w:p w14:paraId="030D8F33" w14:textId="18D4882D" w:rsidR="00471CB0" w:rsidRPr="00471CB0" w:rsidRDefault="00471CB0" w:rsidP="00471CB0">
            <w:pPr>
              <w:pStyle w:val="TableText"/>
              <w:jc w:val="right"/>
              <w:rPr>
                <w:sz w:val="16"/>
                <w:szCs w:val="16"/>
              </w:rPr>
            </w:pPr>
            <w:r w:rsidRPr="00471CB0">
              <w:rPr>
                <w:sz w:val="16"/>
                <w:szCs w:val="16"/>
              </w:rPr>
              <w:t>78%</w:t>
            </w:r>
          </w:p>
        </w:tc>
        <w:tc>
          <w:tcPr>
            <w:tcW w:w="1630" w:type="dxa"/>
            <w:tcBorders>
              <w:top w:val="single" w:sz="4" w:space="0" w:color="A6A6A6" w:themeColor="background1" w:themeShade="A6"/>
              <w:left w:val="nil"/>
              <w:bottom w:val="single" w:sz="4" w:space="0" w:color="A6A6A6" w:themeColor="background1" w:themeShade="A6"/>
              <w:right w:val="nil"/>
            </w:tcBorders>
            <w:hideMark/>
          </w:tcPr>
          <w:p w14:paraId="3A3B3773" w14:textId="355FED45" w:rsidR="00471CB0" w:rsidRPr="00471CB0" w:rsidRDefault="00471CB0" w:rsidP="00471CB0">
            <w:pPr>
              <w:pStyle w:val="TableText"/>
              <w:jc w:val="right"/>
              <w:rPr>
                <w:sz w:val="16"/>
                <w:szCs w:val="16"/>
              </w:rPr>
            </w:pPr>
            <w:r w:rsidRPr="00471CB0">
              <w:rPr>
                <w:sz w:val="16"/>
                <w:szCs w:val="16"/>
              </w:rPr>
              <w:t>75%</w:t>
            </w:r>
          </w:p>
        </w:tc>
        <w:tc>
          <w:tcPr>
            <w:tcW w:w="1630" w:type="dxa"/>
            <w:tcBorders>
              <w:top w:val="single" w:sz="4" w:space="0" w:color="A6A6A6" w:themeColor="background1" w:themeShade="A6"/>
              <w:left w:val="nil"/>
              <w:bottom w:val="single" w:sz="4" w:space="0" w:color="A6A6A6" w:themeColor="background1" w:themeShade="A6"/>
              <w:right w:val="nil"/>
            </w:tcBorders>
            <w:hideMark/>
          </w:tcPr>
          <w:p w14:paraId="0CCAF8CC" w14:textId="71119A6F" w:rsidR="00471CB0" w:rsidRPr="00471CB0" w:rsidRDefault="00471CB0" w:rsidP="00471CB0">
            <w:pPr>
              <w:pStyle w:val="TableText"/>
              <w:jc w:val="right"/>
              <w:rPr>
                <w:sz w:val="16"/>
                <w:szCs w:val="16"/>
              </w:rPr>
            </w:pPr>
            <w:r w:rsidRPr="00471CB0">
              <w:rPr>
                <w:sz w:val="16"/>
                <w:szCs w:val="16"/>
              </w:rPr>
              <w:t>74%</w:t>
            </w:r>
          </w:p>
        </w:tc>
        <w:tc>
          <w:tcPr>
            <w:tcW w:w="1489" w:type="dxa"/>
            <w:tcBorders>
              <w:top w:val="single" w:sz="4" w:space="0" w:color="A6A6A6" w:themeColor="background1" w:themeShade="A6"/>
              <w:left w:val="nil"/>
              <w:bottom w:val="single" w:sz="4" w:space="0" w:color="A6A6A6" w:themeColor="background1" w:themeShade="A6"/>
              <w:right w:val="nil"/>
            </w:tcBorders>
            <w:hideMark/>
          </w:tcPr>
          <w:p w14:paraId="61B74F32" w14:textId="03EB2E05" w:rsidR="00471CB0" w:rsidRPr="00471CB0" w:rsidRDefault="00471CB0" w:rsidP="00471CB0">
            <w:pPr>
              <w:pStyle w:val="TableText"/>
              <w:jc w:val="right"/>
              <w:rPr>
                <w:sz w:val="16"/>
                <w:szCs w:val="16"/>
              </w:rPr>
            </w:pPr>
            <w:r w:rsidRPr="00471CB0">
              <w:rPr>
                <w:sz w:val="16"/>
                <w:szCs w:val="16"/>
              </w:rPr>
              <w:t>76.2%</w:t>
            </w:r>
          </w:p>
        </w:tc>
      </w:tr>
      <w:tr w:rsidR="00471CB0" w:rsidRPr="00471CB0" w14:paraId="379E5F33" w14:textId="77777777" w:rsidTr="00471CB0">
        <w:tc>
          <w:tcPr>
            <w:tcW w:w="1843" w:type="dxa"/>
            <w:gridSpan w:val="2"/>
            <w:tcBorders>
              <w:top w:val="single" w:sz="4" w:space="0" w:color="A6A6A6" w:themeColor="background1" w:themeShade="A6"/>
              <w:left w:val="nil"/>
              <w:bottom w:val="single" w:sz="4" w:space="0" w:color="A6A6A6" w:themeColor="background1" w:themeShade="A6"/>
              <w:right w:val="nil"/>
            </w:tcBorders>
          </w:tcPr>
          <w:p w14:paraId="488F949A" w14:textId="7F5D064F" w:rsidR="00471CB0" w:rsidRPr="00471CB0" w:rsidRDefault="00471CB0" w:rsidP="00471CB0">
            <w:pPr>
              <w:pStyle w:val="TableText"/>
              <w:ind w:right="-114"/>
              <w:rPr>
                <w:sz w:val="16"/>
                <w:szCs w:val="16"/>
              </w:rPr>
            </w:pPr>
            <w:r w:rsidRPr="00471CB0">
              <w:rPr>
                <w:sz w:val="16"/>
                <w:szCs w:val="16"/>
              </w:rPr>
              <w:t xml:space="preserve">Non-Māori non-Pacific </w:t>
            </w:r>
          </w:p>
        </w:tc>
        <w:tc>
          <w:tcPr>
            <w:tcW w:w="1630" w:type="dxa"/>
            <w:tcBorders>
              <w:top w:val="single" w:sz="4" w:space="0" w:color="A6A6A6" w:themeColor="background1" w:themeShade="A6"/>
              <w:left w:val="nil"/>
              <w:bottom w:val="single" w:sz="4" w:space="0" w:color="A6A6A6" w:themeColor="background1" w:themeShade="A6"/>
              <w:right w:val="nil"/>
            </w:tcBorders>
          </w:tcPr>
          <w:p w14:paraId="4744C651" w14:textId="773C364D" w:rsidR="00471CB0" w:rsidRPr="00471CB0" w:rsidRDefault="00471CB0" w:rsidP="00471CB0">
            <w:pPr>
              <w:pStyle w:val="TableText"/>
              <w:jc w:val="right"/>
              <w:rPr>
                <w:sz w:val="16"/>
                <w:szCs w:val="16"/>
              </w:rPr>
            </w:pPr>
            <w:r w:rsidRPr="00471CB0">
              <w:rPr>
                <w:sz w:val="16"/>
                <w:szCs w:val="16"/>
              </w:rPr>
              <w:t>83%</w:t>
            </w:r>
          </w:p>
        </w:tc>
        <w:tc>
          <w:tcPr>
            <w:tcW w:w="1630" w:type="dxa"/>
            <w:tcBorders>
              <w:top w:val="single" w:sz="4" w:space="0" w:color="A6A6A6" w:themeColor="background1" w:themeShade="A6"/>
              <w:left w:val="nil"/>
              <w:bottom w:val="single" w:sz="4" w:space="0" w:color="A6A6A6" w:themeColor="background1" w:themeShade="A6"/>
              <w:right w:val="nil"/>
            </w:tcBorders>
          </w:tcPr>
          <w:p w14:paraId="3478DA42" w14:textId="701D4071" w:rsidR="00471CB0" w:rsidRPr="00471CB0" w:rsidRDefault="00471CB0" w:rsidP="00471CB0">
            <w:pPr>
              <w:pStyle w:val="TableText"/>
              <w:jc w:val="right"/>
              <w:rPr>
                <w:sz w:val="16"/>
                <w:szCs w:val="16"/>
              </w:rPr>
            </w:pPr>
            <w:r w:rsidRPr="00471CB0">
              <w:rPr>
                <w:sz w:val="16"/>
                <w:szCs w:val="16"/>
              </w:rPr>
              <w:t>79%</w:t>
            </w:r>
          </w:p>
        </w:tc>
        <w:tc>
          <w:tcPr>
            <w:tcW w:w="1630" w:type="dxa"/>
            <w:tcBorders>
              <w:top w:val="single" w:sz="4" w:space="0" w:color="A6A6A6" w:themeColor="background1" w:themeShade="A6"/>
              <w:left w:val="nil"/>
              <w:bottom w:val="single" w:sz="4" w:space="0" w:color="A6A6A6" w:themeColor="background1" w:themeShade="A6"/>
              <w:right w:val="nil"/>
            </w:tcBorders>
          </w:tcPr>
          <w:p w14:paraId="1B59DEBC" w14:textId="43D8D742" w:rsidR="00471CB0" w:rsidRPr="00471CB0" w:rsidRDefault="00471CB0" w:rsidP="00471CB0">
            <w:pPr>
              <w:pStyle w:val="TableText"/>
              <w:jc w:val="right"/>
              <w:rPr>
                <w:sz w:val="16"/>
                <w:szCs w:val="16"/>
              </w:rPr>
            </w:pPr>
            <w:r w:rsidRPr="00471CB0">
              <w:rPr>
                <w:sz w:val="16"/>
                <w:szCs w:val="16"/>
              </w:rPr>
              <w:t>78%</w:t>
            </w:r>
          </w:p>
        </w:tc>
        <w:tc>
          <w:tcPr>
            <w:tcW w:w="1489" w:type="dxa"/>
            <w:tcBorders>
              <w:top w:val="single" w:sz="4" w:space="0" w:color="A6A6A6" w:themeColor="background1" w:themeShade="A6"/>
              <w:left w:val="nil"/>
              <w:bottom w:val="single" w:sz="4" w:space="0" w:color="A6A6A6" w:themeColor="background1" w:themeShade="A6"/>
              <w:right w:val="nil"/>
            </w:tcBorders>
          </w:tcPr>
          <w:p w14:paraId="61C29415" w14:textId="15705302" w:rsidR="00471CB0" w:rsidRPr="00471CB0" w:rsidRDefault="00471CB0" w:rsidP="00471CB0">
            <w:pPr>
              <w:pStyle w:val="TableText"/>
              <w:jc w:val="right"/>
              <w:rPr>
                <w:sz w:val="16"/>
                <w:szCs w:val="16"/>
              </w:rPr>
            </w:pPr>
            <w:r w:rsidRPr="00471CB0">
              <w:rPr>
                <w:sz w:val="16"/>
                <w:szCs w:val="16"/>
              </w:rPr>
              <w:t>77.5%</w:t>
            </w:r>
          </w:p>
        </w:tc>
      </w:tr>
    </w:tbl>
    <w:p w14:paraId="34243FE6" w14:textId="66276692" w:rsidR="007436C4" w:rsidRDefault="007436C4" w:rsidP="007436C4">
      <w:pPr>
        <w:tabs>
          <w:tab w:val="left" w:pos="1224"/>
        </w:tabs>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222"/>
      </w:tblGrid>
      <w:tr w:rsidR="00471CB0" w14:paraId="5D1D20D5" w14:textId="77777777" w:rsidTr="00803E7B">
        <w:tc>
          <w:tcPr>
            <w:tcW w:w="8222" w:type="dxa"/>
            <w:shd w:val="clear" w:color="auto" w:fill="F2F2F2" w:themeFill="background1" w:themeFillShade="F2"/>
          </w:tcPr>
          <w:p w14:paraId="214B6ACC" w14:textId="77777777" w:rsidR="00471CB0" w:rsidRDefault="00471CB0" w:rsidP="00803E7B">
            <w:pPr>
              <w:spacing w:before="120" w:after="120"/>
              <w:rPr>
                <w:b/>
                <w:bCs/>
              </w:rPr>
            </w:pPr>
            <w:r w:rsidRPr="008D5FB2">
              <w:rPr>
                <w:b/>
                <w:bCs/>
              </w:rPr>
              <w:t>Comment</w:t>
            </w:r>
          </w:p>
          <w:p w14:paraId="7EB0BBAF" w14:textId="5B4E7506" w:rsidR="00471CB0" w:rsidRPr="00085055" w:rsidRDefault="00471CB0" w:rsidP="00FB0018">
            <w:pPr>
              <w:spacing w:before="80" w:after="80"/>
              <w:rPr>
                <w:b/>
                <w:bCs/>
              </w:rPr>
            </w:pPr>
            <w:r>
              <w:t>The percentage of people who can always get primary healthcare when they need it has seen little change year-on-year, although levels remain lower than at the baseline period of 2021. Māori are statistically more likely to report that they were not able to always get primary care when</w:t>
            </w:r>
            <w:r w:rsidR="00FB0018">
              <w:t xml:space="preserve"> </w:t>
            </w:r>
            <w:r>
              <w:t>they needed it, but Pacific and non-Māori, non-Pacific respondents give statistically identical responses.</w:t>
            </w:r>
          </w:p>
        </w:tc>
      </w:tr>
    </w:tbl>
    <w:p w14:paraId="4D726AF6" w14:textId="77777777" w:rsidR="00471CB0" w:rsidRDefault="00471CB0" w:rsidP="007436C4">
      <w:pPr>
        <w:tabs>
          <w:tab w:val="left" w:pos="1224"/>
        </w:tabs>
      </w:pPr>
    </w:p>
    <w:p w14:paraId="7537F58D" w14:textId="77777777" w:rsidR="007436C4" w:rsidRDefault="00471CB0" w:rsidP="007436C4">
      <w:pPr>
        <w:tabs>
          <w:tab w:val="left" w:pos="1224"/>
        </w:tabs>
      </w:pPr>
      <w:r w:rsidRPr="00471CB0">
        <w:t>The adult primary care survey, on which these results are based, is held in August, November, February and May of each financial year.</w:t>
      </w:r>
      <w:r w:rsidR="007436C4">
        <w:tab/>
      </w:r>
    </w:p>
    <w:p w14:paraId="295976DE" w14:textId="77777777" w:rsidR="00471CB0" w:rsidRDefault="00471CB0" w:rsidP="007436C4">
      <w:pPr>
        <w:tabs>
          <w:tab w:val="left" w:pos="1224"/>
        </w:tabs>
      </w:pPr>
    </w:p>
    <w:p w14:paraId="1C12B1AE" w14:textId="77777777" w:rsidR="00A6210E" w:rsidRDefault="00A6210E" w:rsidP="00471CB0">
      <w:pPr>
        <w:pStyle w:val="Heading4"/>
        <w:spacing w:before="0"/>
        <w:sectPr w:rsidR="00A6210E" w:rsidSect="008F0115">
          <w:pgSz w:w="11907" w:h="16840" w:code="9"/>
          <w:pgMar w:top="1418" w:right="1701" w:bottom="1134" w:left="1843" w:header="284" w:footer="425" w:gutter="284"/>
          <w:cols w:space="720"/>
        </w:sectPr>
      </w:pPr>
    </w:p>
    <w:p w14:paraId="35B30D72" w14:textId="1537E32B" w:rsidR="00471CB0" w:rsidRDefault="00471CB0" w:rsidP="00471CB0">
      <w:pPr>
        <w:pStyle w:val="Heading4"/>
        <w:spacing w:before="0"/>
      </w:pPr>
      <w:r>
        <w:lastRenderedPageBreak/>
        <w:t xml:space="preserve">Survey size, response rate and confidence </w:t>
      </w:r>
      <w:proofErr w:type="gramStart"/>
      <w:r>
        <w:t>interval</w:t>
      </w:r>
      <w:proofErr w:type="gramEnd"/>
    </w:p>
    <w:p w14:paraId="04D0A30C" w14:textId="77777777" w:rsidR="00D93C9D" w:rsidRDefault="00471CB0" w:rsidP="00471CB0">
      <w:pPr>
        <w:tabs>
          <w:tab w:val="left" w:pos="1224"/>
        </w:tabs>
      </w:pPr>
      <w:r>
        <w:t>Approximately 205,000 to 225,000 patients are invited to participate in the adult primary care survey each survey wave. The following table sets out the response rate and the number of responses for the last four survey waves.</w:t>
      </w:r>
    </w:p>
    <w:p w14:paraId="7A7370C3" w14:textId="77777777" w:rsidR="00A6210E" w:rsidRDefault="00A6210E" w:rsidP="00471CB0">
      <w:pPr>
        <w:tabs>
          <w:tab w:val="left" w:pos="1224"/>
        </w:tabs>
      </w:pP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8"/>
        <w:gridCol w:w="1937"/>
        <w:gridCol w:w="1324"/>
        <w:gridCol w:w="2551"/>
      </w:tblGrid>
      <w:tr w:rsidR="00471CB0" w:rsidRPr="00471CB0" w14:paraId="7417C77F" w14:textId="77777777" w:rsidTr="00471CB0">
        <w:tc>
          <w:tcPr>
            <w:tcW w:w="2268"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411020EC" w14:textId="77777777" w:rsidR="00471CB0" w:rsidRPr="00950975" w:rsidRDefault="00471CB0" w:rsidP="00803E7B">
            <w:pPr>
              <w:pStyle w:val="TableText"/>
              <w:rPr>
                <w:b/>
                <w:bCs/>
                <w:sz w:val="16"/>
                <w:szCs w:val="16"/>
              </w:rPr>
            </w:pPr>
          </w:p>
        </w:tc>
        <w:tc>
          <w:tcPr>
            <w:tcW w:w="1937"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22CBC5E4" w14:textId="30C223FA" w:rsidR="00471CB0" w:rsidRPr="00950975" w:rsidRDefault="00471CB0" w:rsidP="00803E7B">
            <w:pPr>
              <w:pStyle w:val="TableText"/>
              <w:jc w:val="right"/>
              <w:rPr>
                <w:b/>
                <w:bCs/>
                <w:sz w:val="16"/>
                <w:szCs w:val="16"/>
              </w:rPr>
            </w:pPr>
            <w:r w:rsidRPr="00950975">
              <w:rPr>
                <w:b/>
                <w:bCs/>
                <w:spacing w:val="-6"/>
                <w:sz w:val="16"/>
                <w:szCs w:val="16"/>
              </w:rPr>
              <w:t>Response included</w:t>
            </w:r>
            <w:r w:rsidRPr="00950975">
              <w:rPr>
                <w:b/>
                <w:bCs/>
                <w:spacing w:val="-6"/>
                <w:sz w:val="16"/>
                <w:szCs w:val="16"/>
              </w:rPr>
              <w:br/>
              <w:t>(for survey)</w:t>
            </w:r>
          </w:p>
        </w:tc>
        <w:tc>
          <w:tcPr>
            <w:tcW w:w="132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7E739297" w14:textId="39598279" w:rsidR="00471CB0" w:rsidRPr="00950975" w:rsidRDefault="00471CB0" w:rsidP="00471CB0">
            <w:pPr>
              <w:pStyle w:val="TableText"/>
              <w:jc w:val="right"/>
              <w:rPr>
                <w:b/>
                <w:bCs/>
                <w:sz w:val="16"/>
                <w:szCs w:val="16"/>
              </w:rPr>
            </w:pPr>
            <w:r w:rsidRPr="00950975">
              <w:rPr>
                <w:b/>
                <w:bCs/>
                <w:spacing w:val="-6"/>
                <w:sz w:val="16"/>
                <w:szCs w:val="16"/>
              </w:rPr>
              <w:t xml:space="preserve">Response </w:t>
            </w:r>
            <w:r w:rsidRPr="00950975">
              <w:rPr>
                <w:b/>
                <w:bCs/>
                <w:spacing w:val="-6"/>
                <w:sz w:val="16"/>
                <w:szCs w:val="16"/>
              </w:rPr>
              <w:br/>
              <w:t>rate</w:t>
            </w:r>
          </w:p>
        </w:tc>
        <w:tc>
          <w:tcPr>
            <w:tcW w:w="2551"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32CBB819" w14:textId="1ADACBBA" w:rsidR="00471CB0" w:rsidRPr="00950975" w:rsidRDefault="00471CB0" w:rsidP="00803E7B">
            <w:pPr>
              <w:pStyle w:val="TableText"/>
              <w:jc w:val="right"/>
              <w:rPr>
                <w:b/>
                <w:bCs/>
                <w:sz w:val="16"/>
                <w:szCs w:val="16"/>
              </w:rPr>
            </w:pPr>
            <w:r w:rsidRPr="00950975">
              <w:rPr>
                <w:b/>
                <w:bCs/>
                <w:spacing w:val="-6"/>
                <w:sz w:val="16"/>
                <w:szCs w:val="16"/>
              </w:rPr>
              <w:t xml:space="preserve">Confidence interval </w:t>
            </w:r>
            <w:r w:rsidRPr="00950975">
              <w:rPr>
                <w:b/>
                <w:bCs/>
                <w:spacing w:val="-6"/>
                <w:sz w:val="16"/>
                <w:szCs w:val="16"/>
              </w:rPr>
              <w:br/>
              <w:t>(for relevant question)</w:t>
            </w:r>
          </w:p>
        </w:tc>
      </w:tr>
      <w:tr w:rsidR="00471CB0" w:rsidRPr="00471CB0" w14:paraId="6281B5F8" w14:textId="77777777" w:rsidTr="00471CB0">
        <w:tc>
          <w:tcPr>
            <w:tcW w:w="2268" w:type="dxa"/>
            <w:tcBorders>
              <w:top w:val="single" w:sz="4" w:space="0" w:color="A6A6A6" w:themeColor="background1" w:themeShade="A6"/>
              <w:left w:val="nil"/>
              <w:bottom w:val="single" w:sz="4" w:space="0" w:color="A6A6A6" w:themeColor="background1" w:themeShade="A6"/>
              <w:right w:val="nil"/>
            </w:tcBorders>
            <w:hideMark/>
          </w:tcPr>
          <w:p w14:paraId="4F4D3811" w14:textId="6B93041D" w:rsidR="00471CB0" w:rsidRPr="00950975" w:rsidRDefault="00471CB0" w:rsidP="00471CB0">
            <w:pPr>
              <w:pStyle w:val="TableText"/>
              <w:rPr>
                <w:sz w:val="16"/>
                <w:szCs w:val="16"/>
              </w:rPr>
            </w:pPr>
            <w:r w:rsidRPr="00950975">
              <w:rPr>
                <w:sz w:val="16"/>
                <w:szCs w:val="16"/>
              </w:rPr>
              <w:t>Q1 2023/24 August 2023</w:t>
            </w:r>
          </w:p>
        </w:tc>
        <w:tc>
          <w:tcPr>
            <w:tcW w:w="1937" w:type="dxa"/>
            <w:tcBorders>
              <w:top w:val="single" w:sz="4" w:space="0" w:color="A6A6A6" w:themeColor="background1" w:themeShade="A6"/>
              <w:left w:val="nil"/>
              <w:bottom w:val="single" w:sz="4" w:space="0" w:color="A6A6A6" w:themeColor="background1" w:themeShade="A6"/>
              <w:right w:val="nil"/>
            </w:tcBorders>
            <w:hideMark/>
          </w:tcPr>
          <w:p w14:paraId="606CB16D" w14:textId="12A7ECDC" w:rsidR="00471CB0" w:rsidRPr="00950975" w:rsidRDefault="00471CB0" w:rsidP="00471CB0">
            <w:pPr>
              <w:pStyle w:val="TableText"/>
              <w:jc w:val="right"/>
              <w:rPr>
                <w:sz w:val="16"/>
                <w:szCs w:val="16"/>
              </w:rPr>
            </w:pPr>
            <w:r w:rsidRPr="00950975">
              <w:rPr>
                <w:sz w:val="16"/>
                <w:szCs w:val="16"/>
              </w:rPr>
              <w:t>35,440</w:t>
            </w:r>
          </w:p>
        </w:tc>
        <w:tc>
          <w:tcPr>
            <w:tcW w:w="1324" w:type="dxa"/>
            <w:tcBorders>
              <w:top w:val="single" w:sz="4" w:space="0" w:color="A6A6A6" w:themeColor="background1" w:themeShade="A6"/>
              <w:left w:val="nil"/>
              <w:bottom w:val="single" w:sz="4" w:space="0" w:color="A6A6A6" w:themeColor="background1" w:themeShade="A6"/>
              <w:right w:val="nil"/>
            </w:tcBorders>
            <w:hideMark/>
          </w:tcPr>
          <w:p w14:paraId="44DF86DA" w14:textId="789EDDE4" w:rsidR="00471CB0" w:rsidRPr="00950975" w:rsidRDefault="00471CB0" w:rsidP="00471CB0">
            <w:pPr>
              <w:pStyle w:val="TableText"/>
              <w:jc w:val="right"/>
              <w:rPr>
                <w:sz w:val="16"/>
                <w:szCs w:val="16"/>
              </w:rPr>
            </w:pPr>
            <w:r w:rsidRPr="00950975">
              <w:rPr>
                <w:sz w:val="16"/>
                <w:szCs w:val="16"/>
              </w:rPr>
              <w:t>16.87%</w:t>
            </w:r>
          </w:p>
        </w:tc>
        <w:tc>
          <w:tcPr>
            <w:tcW w:w="2551" w:type="dxa"/>
            <w:tcBorders>
              <w:top w:val="single" w:sz="4" w:space="0" w:color="A6A6A6" w:themeColor="background1" w:themeShade="A6"/>
              <w:left w:val="nil"/>
              <w:bottom w:val="single" w:sz="4" w:space="0" w:color="A6A6A6" w:themeColor="background1" w:themeShade="A6"/>
              <w:right w:val="nil"/>
            </w:tcBorders>
            <w:hideMark/>
          </w:tcPr>
          <w:p w14:paraId="4E453462" w14:textId="5BE76F1E" w:rsidR="00471CB0" w:rsidRPr="00950975" w:rsidRDefault="00471CB0" w:rsidP="00471CB0">
            <w:pPr>
              <w:pStyle w:val="TableText"/>
              <w:jc w:val="right"/>
              <w:rPr>
                <w:sz w:val="16"/>
                <w:szCs w:val="16"/>
              </w:rPr>
            </w:pPr>
            <w:r w:rsidRPr="00950975">
              <w:rPr>
                <w:sz w:val="16"/>
                <w:szCs w:val="16"/>
              </w:rPr>
              <w:t>+/- 0.7 percentage points</w:t>
            </w:r>
          </w:p>
        </w:tc>
      </w:tr>
      <w:tr w:rsidR="00471CB0" w:rsidRPr="00471CB0" w14:paraId="16489D73" w14:textId="77777777" w:rsidTr="00471CB0">
        <w:tc>
          <w:tcPr>
            <w:tcW w:w="2268" w:type="dxa"/>
            <w:tcBorders>
              <w:top w:val="single" w:sz="4" w:space="0" w:color="A6A6A6" w:themeColor="background1" w:themeShade="A6"/>
              <w:left w:val="nil"/>
              <w:bottom w:val="single" w:sz="4" w:space="0" w:color="A6A6A6" w:themeColor="background1" w:themeShade="A6"/>
              <w:right w:val="nil"/>
            </w:tcBorders>
            <w:hideMark/>
          </w:tcPr>
          <w:p w14:paraId="252EE66D" w14:textId="7F5E469C" w:rsidR="00471CB0" w:rsidRPr="00950975" w:rsidRDefault="00471CB0" w:rsidP="00471CB0">
            <w:pPr>
              <w:pStyle w:val="TableText"/>
              <w:rPr>
                <w:sz w:val="16"/>
                <w:szCs w:val="16"/>
              </w:rPr>
            </w:pPr>
            <w:r w:rsidRPr="00950975">
              <w:rPr>
                <w:sz w:val="16"/>
                <w:szCs w:val="16"/>
              </w:rPr>
              <w:t>Q2 2023/24 November 2023</w:t>
            </w:r>
          </w:p>
        </w:tc>
        <w:tc>
          <w:tcPr>
            <w:tcW w:w="1937" w:type="dxa"/>
            <w:tcBorders>
              <w:top w:val="single" w:sz="4" w:space="0" w:color="A6A6A6" w:themeColor="background1" w:themeShade="A6"/>
              <w:left w:val="nil"/>
              <w:bottom w:val="single" w:sz="4" w:space="0" w:color="A6A6A6" w:themeColor="background1" w:themeShade="A6"/>
              <w:right w:val="nil"/>
            </w:tcBorders>
            <w:hideMark/>
          </w:tcPr>
          <w:p w14:paraId="134ABCB1" w14:textId="5D4B9683" w:rsidR="00471CB0" w:rsidRPr="00950975" w:rsidRDefault="00471CB0" w:rsidP="00471CB0">
            <w:pPr>
              <w:pStyle w:val="TableText"/>
              <w:jc w:val="right"/>
              <w:rPr>
                <w:sz w:val="16"/>
                <w:szCs w:val="16"/>
              </w:rPr>
            </w:pPr>
            <w:r w:rsidRPr="00950975">
              <w:rPr>
                <w:sz w:val="16"/>
                <w:szCs w:val="16"/>
              </w:rPr>
              <w:t>24,662</w:t>
            </w:r>
          </w:p>
        </w:tc>
        <w:tc>
          <w:tcPr>
            <w:tcW w:w="1324" w:type="dxa"/>
            <w:tcBorders>
              <w:top w:val="single" w:sz="4" w:space="0" w:color="A6A6A6" w:themeColor="background1" w:themeShade="A6"/>
              <w:left w:val="nil"/>
              <w:bottom w:val="single" w:sz="4" w:space="0" w:color="A6A6A6" w:themeColor="background1" w:themeShade="A6"/>
              <w:right w:val="nil"/>
            </w:tcBorders>
            <w:hideMark/>
          </w:tcPr>
          <w:p w14:paraId="353584A7" w14:textId="403D02E4" w:rsidR="00471CB0" w:rsidRPr="00950975" w:rsidRDefault="00471CB0" w:rsidP="00471CB0">
            <w:pPr>
              <w:pStyle w:val="TableText"/>
              <w:jc w:val="right"/>
              <w:rPr>
                <w:sz w:val="16"/>
                <w:szCs w:val="16"/>
              </w:rPr>
            </w:pPr>
            <w:r w:rsidRPr="00950975">
              <w:rPr>
                <w:sz w:val="16"/>
                <w:szCs w:val="16"/>
              </w:rPr>
              <w:t>11.74%</w:t>
            </w:r>
          </w:p>
        </w:tc>
        <w:tc>
          <w:tcPr>
            <w:tcW w:w="2551" w:type="dxa"/>
            <w:tcBorders>
              <w:top w:val="single" w:sz="4" w:space="0" w:color="A6A6A6" w:themeColor="background1" w:themeShade="A6"/>
              <w:left w:val="nil"/>
              <w:bottom w:val="single" w:sz="4" w:space="0" w:color="A6A6A6" w:themeColor="background1" w:themeShade="A6"/>
              <w:right w:val="nil"/>
            </w:tcBorders>
            <w:hideMark/>
          </w:tcPr>
          <w:p w14:paraId="612ED6E7" w14:textId="6F5E6A57" w:rsidR="00471CB0" w:rsidRPr="00950975" w:rsidRDefault="00471CB0" w:rsidP="00471CB0">
            <w:pPr>
              <w:pStyle w:val="TableText"/>
              <w:jc w:val="right"/>
              <w:rPr>
                <w:sz w:val="16"/>
                <w:szCs w:val="16"/>
              </w:rPr>
            </w:pPr>
            <w:r w:rsidRPr="00950975">
              <w:rPr>
                <w:sz w:val="16"/>
                <w:szCs w:val="16"/>
              </w:rPr>
              <w:t>+/- 0.8 percentage points</w:t>
            </w:r>
          </w:p>
        </w:tc>
      </w:tr>
      <w:tr w:rsidR="00471CB0" w:rsidRPr="00471CB0" w14:paraId="3DE723EA" w14:textId="77777777" w:rsidTr="00471CB0">
        <w:tc>
          <w:tcPr>
            <w:tcW w:w="2268" w:type="dxa"/>
            <w:tcBorders>
              <w:top w:val="single" w:sz="4" w:space="0" w:color="A6A6A6" w:themeColor="background1" w:themeShade="A6"/>
              <w:left w:val="nil"/>
              <w:bottom w:val="single" w:sz="4" w:space="0" w:color="A6A6A6" w:themeColor="background1" w:themeShade="A6"/>
              <w:right w:val="nil"/>
            </w:tcBorders>
            <w:hideMark/>
          </w:tcPr>
          <w:p w14:paraId="7ACCF8A0" w14:textId="34385A87" w:rsidR="00471CB0" w:rsidRPr="00950975" w:rsidRDefault="00471CB0" w:rsidP="00471CB0">
            <w:pPr>
              <w:pStyle w:val="TableText"/>
              <w:rPr>
                <w:sz w:val="16"/>
                <w:szCs w:val="16"/>
              </w:rPr>
            </w:pPr>
            <w:r w:rsidRPr="00950975">
              <w:rPr>
                <w:sz w:val="16"/>
                <w:szCs w:val="16"/>
              </w:rPr>
              <w:t>Q3 2023/24 February 2024</w:t>
            </w:r>
          </w:p>
        </w:tc>
        <w:tc>
          <w:tcPr>
            <w:tcW w:w="1937" w:type="dxa"/>
            <w:tcBorders>
              <w:top w:val="single" w:sz="4" w:space="0" w:color="A6A6A6" w:themeColor="background1" w:themeShade="A6"/>
              <w:left w:val="nil"/>
              <w:bottom w:val="single" w:sz="4" w:space="0" w:color="A6A6A6" w:themeColor="background1" w:themeShade="A6"/>
              <w:right w:val="nil"/>
            </w:tcBorders>
            <w:hideMark/>
          </w:tcPr>
          <w:p w14:paraId="246B06A4" w14:textId="0B51E1D9" w:rsidR="00471CB0" w:rsidRPr="00950975" w:rsidRDefault="00471CB0" w:rsidP="00471CB0">
            <w:pPr>
              <w:pStyle w:val="TableText"/>
              <w:jc w:val="right"/>
              <w:rPr>
                <w:sz w:val="16"/>
                <w:szCs w:val="16"/>
              </w:rPr>
            </w:pPr>
            <w:r w:rsidRPr="00950975">
              <w:rPr>
                <w:sz w:val="16"/>
                <w:szCs w:val="16"/>
              </w:rPr>
              <w:t>31,692</w:t>
            </w:r>
          </w:p>
        </w:tc>
        <w:tc>
          <w:tcPr>
            <w:tcW w:w="1324" w:type="dxa"/>
            <w:tcBorders>
              <w:top w:val="single" w:sz="4" w:space="0" w:color="A6A6A6" w:themeColor="background1" w:themeShade="A6"/>
              <w:left w:val="nil"/>
              <w:bottom w:val="single" w:sz="4" w:space="0" w:color="A6A6A6" w:themeColor="background1" w:themeShade="A6"/>
              <w:right w:val="nil"/>
            </w:tcBorders>
            <w:hideMark/>
          </w:tcPr>
          <w:p w14:paraId="38EA8670" w14:textId="668A45E1" w:rsidR="00471CB0" w:rsidRPr="00950975" w:rsidRDefault="00471CB0" w:rsidP="00471CB0">
            <w:pPr>
              <w:pStyle w:val="TableText"/>
              <w:jc w:val="right"/>
              <w:rPr>
                <w:sz w:val="16"/>
                <w:szCs w:val="16"/>
              </w:rPr>
            </w:pPr>
            <w:r w:rsidRPr="00950975">
              <w:rPr>
                <w:sz w:val="16"/>
                <w:szCs w:val="16"/>
              </w:rPr>
              <w:t>15.09%</w:t>
            </w:r>
          </w:p>
        </w:tc>
        <w:tc>
          <w:tcPr>
            <w:tcW w:w="2551" w:type="dxa"/>
            <w:tcBorders>
              <w:top w:val="single" w:sz="4" w:space="0" w:color="A6A6A6" w:themeColor="background1" w:themeShade="A6"/>
              <w:left w:val="nil"/>
              <w:bottom w:val="single" w:sz="4" w:space="0" w:color="A6A6A6" w:themeColor="background1" w:themeShade="A6"/>
              <w:right w:val="nil"/>
            </w:tcBorders>
            <w:hideMark/>
          </w:tcPr>
          <w:p w14:paraId="18344DC2" w14:textId="7796339D" w:rsidR="00471CB0" w:rsidRPr="00950975" w:rsidRDefault="00471CB0" w:rsidP="00471CB0">
            <w:pPr>
              <w:pStyle w:val="TableText"/>
              <w:jc w:val="right"/>
              <w:rPr>
                <w:sz w:val="16"/>
                <w:szCs w:val="16"/>
              </w:rPr>
            </w:pPr>
            <w:r w:rsidRPr="00950975">
              <w:rPr>
                <w:sz w:val="16"/>
                <w:szCs w:val="16"/>
              </w:rPr>
              <w:t>+/- 0.3 percentage points</w:t>
            </w:r>
          </w:p>
        </w:tc>
      </w:tr>
      <w:tr w:rsidR="00471CB0" w:rsidRPr="00471CB0" w14:paraId="0BAB84B3" w14:textId="77777777" w:rsidTr="00471CB0">
        <w:tc>
          <w:tcPr>
            <w:tcW w:w="2268" w:type="dxa"/>
            <w:tcBorders>
              <w:top w:val="single" w:sz="4" w:space="0" w:color="A6A6A6" w:themeColor="background1" w:themeShade="A6"/>
              <w:left w:val="nil"/>
              <w:bottom w:val="single" w:sz="4" w:space="0" w:color="A6A6A6" w:themeColor="background1" w:themeShade="A6"/>
              <w:right w:val="nil"/>
            </w:tcBorders>
          </w:tcPr>
          <w:p w14:paraId="6759AEBC" w14:textId="1FD2FE2A" w:rsidR="00471CB0" w:rsidRPr="00950975" w:rsidRDefault="00471CB0" w:rsidP="00471CB0">
            <w:pPr>
              <w:pStyle w:val="TableText"/>
              <w:rPr>
                <w:sz w:val="16"/>
                <w:szCs w:val="16"/>
              </w:rPr>
            </w:pPr>
            <w:r w:rsidRPr="00950975">
              <w:rPr>
                <w:sz w:val="16"/>
                <w:szCs w:val="16"/>
              </w:rPr>
              <w:t>Q4 2023/24 May 2024</w:t>
            </w:r>
          </w:p>
        </w:tc>
        <w:tc>
          <w:tcPr>
            <w:tcW w:w="1937" w:type="dxa"/>
            <w:tcBorders>
              <w:top w:val="single" w:sz="4" w:space="0" w:color="A6A6A6" w:themeColor="background1" w:themeShade="A6"/>
              <w:left w:val="nil"/>
              <w:bottom w:val="single" w:sz="4" w:space="0" w:color="A6A6A6" w:themeColor="background1" w:themeShade="A6"/>
              <w:right w:val="nil"/>
            </w:tcBorders>
          </w:tcPr>
          <w:p w14:paraId="76913D42" w14:textId="39DD21C4" w:rsidR="00471CB0" w:rsidRPr="00950975" w:rsidRDefault="00471CB0" w:rsidP="00471CB0">
            <w:pPr>
              <w:pStyle w:val="TableText"/>
              <w:jc w:val="right"/>
              <w:rPr>
                <w:sz w:val="16"/>
                <w:szCs w:val="16"/>
              </w:rPr>
            </w:pPr>
            <w:r w:rsidRPr="00950975">
              <w:rPr>
                <w:sz w:val="16"/>
                <w:szCs w:val="16"/>
              </w:rPr>
              <w:t>31,690</w:t>
            </w:r>
          </w:p>
        </w:tc>
        <w:tc>
          <w:tcPr>
            <w:tcW w:w="1324" w:type="dxa"/>
            <w:tcBorders>
              <w:top w:val="single" w:sz="4" w:space="0" w:color="A6A6A6" w:themeColor="background1" w:themeShade="A6"/>
              <w:left w:val="nil"/>
              <w:bottom w:val="single" w:sz="4" w:space="0" w:color="A6A6A6" w:themeColor="background1" w:themeShade="A6"/>
              <w:right w:val="nil"/>
            </w:tcBorders>
          </w:tcPr>
          <w:p w14:paraId="3CE7FA73" w14:textId="0C10BE98" w:rsidR="00471CB0" w:rsidRPr="00950975" w:rsidRDefault="00471CB0" w:rsidP="00471CB0">
            <w:pPr>
              <w:pStyle w:val="TableText"/>
              <w:jc w:val="right"/>
              <w:rPr>
                <w:sz w:val="16"/>
                <w:szCs w:val="16"/>
              </w:rPr>
            </w:pPr>
            <w:r w:rsidRPr="00950975">
              <w:rPr>
                <w:sz w:val="16"/>
                <w:szCs w:val="16"/>
              </w:rPr>
              <w:t>15.09%</w:t>
            </w:r>
          </w:p>
        </w:tc>
        <w:tc>
          <w:tcPr>
            <w:tcW w:w="2551" w:type="dxa"/>
            <w:tcBorders>
              <w:top w:val="single" w:sz="4" w:space="0" w:color="A6A6A6" w:themeColor="background1" w:themeShade="A6"/>
              <w:left w:val="nil"/>
              <w:bottom w:val="single" w:sz="4" w:space="0" w:color="A6A6A6" w:themeColor="background1" w:themeShade="A6"/>
              <w:right w:val="nil"/>
            </w:tcBorders>
          </w:tcPr>
          <w:p w14:paraId="2A7FCFCA" w14:textId="54E223B2" w:rsidR="00471CB0" w:rsidRPr="00950975" w:rsidRDefault="00471CB0" w:rsidP="00471CB0">
            <w:pPr>
              <w:pStyle w:val="TableText"/>
              <w:jc w:val="right"/>
              <w:rPr>
                <w:sz w:val="16"/>
                <w:szCs w:val="16"/>
              </w:rPr>
            </w:pPr>
            <w:r w:rsidRPr="00950975">
              <w:rPr>
                <w:sz w:val="16"/>
                <w:szCs w:val="16"/>
              </w:rPr>
              <w:t>+/- 0.3 percentage points</w:t>
            </w:r>
          </w:p>
        </w:tc>
      </w:tr>
    </w:tbl>
    <w:p w14:paraId="12ADB7DE" w14:textId="77777777" w:rsidR="00471CB0" w:rsidRPr="00A6210E" w:rsidRDefault="00471CB0" w:rsidP="00471CB0">
      <w:pPr>
        <w:tabs>
          <w:tab w:val="left" w:pos="1224"/>
        </w:tabs>
        <w:rPr>
          <w:sz w:val="16"/>
          <w:szCs w:val="14"/>
        </w:rPr>
      </w:pPr>
    </w:p>
    <w:p w14:paraId="43636637" w14:textId="77777777" w:rsidR="00471CB0" w:rsidRDefault="00471CB0" w:rsidP="00471CB0">
      <w:r>
        <w:t>The ‘Response included’ column shows the total number of respondents to the question on access to primary care. The ‘Response rate’ column shows the percentage of total invited respondents (210,000) who answered this question. Unweighted results were used here because whole numbers make more sense.</w:t>
      </w:r>
    </w:p>
    <w:p w14:paraId="7A1429E3" w14:textId="77777777" w:rsidR="00471CB0" w:rsidRDefault="00471CB0" w:rsidP="00A6210E">
      <w:pPr>
        <w:pStyle w:val="Heading4"/>
      </w:pPr>
      <w:r>
        <w:t>Detailed results by quarter</w:t>
      </w:r>
    </w:p>
    <w:p w14:paraId="444D5F2E" w14:textId="47D2638B" w:rsidR="00471CB0" w:rsidRDefault="00471CB0" w:rsidP="00471CB0">
      <w:r>
        <w:t>Results (Percentage of people who say they can always get primary healthcare from a GP or nurse when they needed it in the last 12 months).</w:t>
      </w:r>
    </w:p>
    <w:p w14:paraId="6D4199CB" w14:textId="08B5F9D5" w:rsidR="00471CB0" w:rsidRPr="00A6210E" w:rsidRDefault="00471CB0" w:rsidP="00471CB0">
      <w:pPr>
        <w:rPr>
          <w:sz w:val="20"/>
        </w:rPr>
      </w:pP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2"/>
        <w:gridCol w:w="1486"/>
        <w:gridCol w:w="1487"/>
        <w:gridCol w:w="1487"/>
        <w:gridCol w:w="1487"/>
      </w:tblGrid>
      <w:tr w:rsidR="00471CB0" w:rsidRPr="00A6210E" w14:paraId="5F355559" w14:textId="77777777" w:rsidTr="00471CB0">
        <w:tc>
          <w:tcPr>
            <w:tcW w:w="2122"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01E52CF7" w14:textId="0B4474D2" w:rsidR="00471CB0" w:rsidRPr="00A6210E" w:rsidRDefault="00471CB0" w:rsidP="00A6210E">
            <w:pPr>
              <w:pStyle w:val="TableText"/>
              <w:rPr>
                <w:rFonts w:cs="Segoe UI"/>
                <w:b/>
                <w:bCs/>
                <w:sz w:val="16"/>
                <w:szCs w:val="16"/>
              </w:rPr>
            </w:pPr>
            <w:r w:rsidRPr="00A6210E">
              <w:rPr>
                <w:rFonts w:cs="Segoe UI"/>
                <w:b/>
                <w:bCs/>
                <w:sz w:val="16"/>
                <w:szCs w:val="16"/>
              </w:rPr>
              <w:t>2020/21</w:t>
            </w:r>
          </w:p>
        </w:tc>
        <w:tc>
          <w:tcPr>
            <w:tcW w:w="14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4FFAA5CB" w14:textId="77777777" w:rsidR="00471CB0" w:rsidRPr="00A6210E" w:rsidRDefault="00471CB0" w:rsidP="00A6210E">
            <w:pPr>
              <w:pStyle w:val="TableText"/>
              <w:rPr>
                <w:rFonts w:cs="Segoe UI"/>
                <w:b/>
                <w:bCs/>
                <w:sz w:val="16"/>
                <w:szCs w:val="16"/>
              </w:rPr>
            </w:pPr>
            <w:r w:rsidRPr="00A6210E">
              <w:rPr>
                <w:rFonts w:cs="Segoe UI"/>
                <w:b/>
                <w:bCs/>
                <w:sz w:val="16"/>
                <w:szCs w:val="16"/>
              </w:rPr>
              <w:t>Q1</w:t>
            </w:r>
          </w:p>
        </w:tc>
        <w:tc>
          <w:tcPr>
            <w:tcW w:w="1487"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5DB74113" w14:textId="77777777" w:rsidR="00471CB0" w:rsidRPr="00A6210E" w:rsidRDefault="00471CB0" w:rsidP="00A6210E">
            <w:pPr>
              <w:pStyle w:val="TableText"/>
              <w:rPr>
                <w:rFonts w:cs="Segoe UI"/>
                <w:b/>
                <w:bCs/>
                <w:sz w:val="16"/>
                <w:szCs w:val="16"/>
              </w:rPr>
            </w:pPr>
            <w:r w:rsidRPr="00A6210E">
              <w:rPr>
                <w:rFonts w:cs="Segoe UI"/>
                <w:b/>
                <w:bCs/>
                <w:sz w:val="16"/>
                <w:szCs w:val="16"/>
              </w:rPr>
              <w:t>Q2</w:t>
            </w:r>
          </w:p>
        </w:tc>
        <w:tc>
          <w:tcPr>
            <w:tcW w:w="1487"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5A486F0F" w14:textId="77777777" w:rsidR="00471CB0" w:rsidRPr="00A6210E" w:rsidRDefault="00471CB0" w:rsidP="00A6210E">
            <w:pPr>
              <w:pStyle w:val="TableText"/>
              <w:rPr>
                <w:rFonts w:cs="Segoe UI"/>
                <w:b/>
                <w:bCs/>
                <w:sz w:val="16"/>
                <w:szCs w:val="16"/>
              </w:rPr>
            </w:pPr>
            <w:r w:rsidRPr="00A6210E">
              <w:rPr>
                <w:rFonts w:cs="Segoe UI"/>
                <w:b/>
                <w:bCs/>
                <w:sz w:val="16"/>
                <w:szCs w:val="16"/>
              </w:rPr>
              <w:t>Q3</w:t>
            </w:r>
          </w:p>
        </w:tc>
        <w:tc>
          <w:tcPr>
            <w:tcW w:w="1487"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27D987A4" w14:textId="28E5B07D" w:rsidR="00471CB0" w:rsidRPr="00A6210E" w:rsidRDefault="00471CB0" w:rsidP="00A6210E">
            <w:pPr>
              <w:pStyle w:val="TableText"/>
              <w:rPr>
                <w:rFonts w:cs="Segoe UI"/>
                <w:b/>
                <w:bCs/>
                <w:sz w:val="16"/>
                <w:szCs w:val="16"/>
              </w:rPr>
            </w:pPr>
            <w:r w:rsidRPr="00A6210E">
              <w:rPr>
                <w:rFonts w:cs="Segoe UI"/>
                <w:b/>
                <w:bCs/>
                <w:sz w:val="16"/>
                <w:szCs w:val="16"/>
              </w:rPr>
              <w:t>Q4 baseline</w:t>
            </w:r>
          </w:p>
        </w:tc>
      </w:tr>
      <w:tr w:rsidR="00803E7B" w:rsidRPr="00A6210E" w14:paraId="3B8A7269" w14:textId="77777777" w:rsidTr="00471CB0">
        <w:tc>
          <w:tcPr>
            <w:tcW w:w="2122" w:type="dxa"/>
            <w:tcBorders>
              <w:top w:val="single" w:sz="4" w:space="0" w:color="A6A6A6" w:themeColor="background1" w:themeShade="A6"/>
              <w:left w:val="nil"/>
              <w:bottom w:val="single" w:sz="4" w:space="0" w:color="A6A6A6" w:themeColor="background1" w:themeShade="A6"/>
              <w:right w:val="nil"/>
            </w:tcBorders>
            <w:hideMark/>
          </w:tcPr>
          <w:p w14:paraId="1C182F12" w14:textId="77488061" w:rsidR="00803E7B" w:rsidRPr="00A6210E" w:rsidRDefault="00803E7B" w:rsidP="00A6210E">
            <w:pPr>
              <w:pStyle w:val="TableText"/>
              <w:rPr>
                <w:rFonts w:cs="Segoe UI"/>
                <w:sz w:val="16"/>
                <w:szCs w:val="16"/>
              </w:rPr>
            </w:pPr>
            <w:r w:rsidRPr="00A6210E">
              <w:rPr>
                <w:rFonts w:cs="Segoe UI"/>
                <w:sz w:val="16"/>
                <w:szCs w:val="16"/>
              </w:rPr>
              <w:t>All ethnicities</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66D2830E" w14:textId="3A7DD3AC" w:rsidR="00803E7B" w:rsidRPr="00A6210E" w:rsidRDefault="00803E7B" w:rsidP="00A6210E">
            <w:pPr>
              <w:pStyle w:val="TableText"/>
              <w:rPr>
                <w:rFonts w:cs="Segoe UI"/>
                <w:sz w:val="16"/>
                <w:szCs w:val="16"/>
              </w:rPr>
            </w:pPr>
            <w:r w:rsidRPr="00A6210E">
              <w:rPr>
                <w:rFonts w:cs="Segoe UI"/>
                <w:spacing w:val="-5"/>
                <w:sz w:val="16"/>
                <w:szCs w:val="16"/>
              </w:rPr>
              <w:t>82%</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34FA8ECC" w14:textId="72AF6A1B" w:rsidR="00803E7B" w:rsidRPr="00A6210E" w:rsidRDefault="00803E7B" w:rsidP="00A6210E">
            <w:pPr>
              <w:pStyle w:val="TableText"/>
              <w:rPr>
                <w:rFonts w:cs="Segoe UI"/>
                <w:sz w:val="16"/>
                <w:szCs w:val="16"/>
              </w:rPr>
            </w:pPr>
            <w:r w:rsidRPr="00A6210E">
              <w:rPr>
                <w:rFonts w:cs="Segoe UI"/>
                <w:spacing w:val="-5"/>
                <w:sz w:val="16"/>
                <w:szCs w:val="16"/>
              </w:rPr>
              <w:t>81%</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0B44F25E" w14:textId="19790CA2" w:rsidR="00803E7B" w:rsidRPr="00A6210E" w:rsidRDefault="00803E7B" w:rsidP="00A6210E">
            <w:pPr>
              <w:pStyle w:val="TableText"/>
              <w:rPr>
                <w:rFonts w:cs="Segoe UI"/>
                <w:sz w:val="16"/>
                <w:szCs w:val="16"/>
              </w:rPr>
            </w:pPr>
            <w:r w:rsidRPr="00A6210E">
              <w:rPr>
                <w:rFonts w:cs="Segoe UI"/>
                <w:spacing w:val="-5"/>
                <w:sz w:val="16"/>
                <w:szCs w:val="16"/>
              </w:rPr>
              <w:t>81%</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6F12B3D9" w14:textId="46EF41A9" w:rsidR="00803E7B" w:rsidRPr="00A6210E" w:rsidRDefault="00803E7B" w:rsidP="00A6210E">
            <w:pPr>
              <w:pStyle w:val="TableText"/>
              <w:rPr>
                <w:rFonts w:cs="Segoe UI"/>
                <w:sz w:val="16"/>
                <w:szCs w:val="16"/>
              </w:rPr>
            </w:pPr>
            <w:r w:rsidRPr="00A6210E">
              <w:rPr>
                <w:rFonts w:cs="Segoe UI"/>
                <w:spacing w:val="-5"/>
                <w:sz w:val="16"/>
                <w:szCs w:val="16"/>
              </w:rPr>
              <w:t>81%</w:t>
            </w:r>
          </w:p>
        </w:tc>
      </w:tr>
      <w:tr w:rsidR="00803E7B" w:rsidRPr="00A6210E" w14:paraId="557C9335" w14:textId="77777777" w:rsidTr="00471CB0">
        <w:tc>
          <w:tcPr>
            <w:tcW w:w="2122" w:type="dxa"/>
            <w:tcBorders>
              <w:top w:val="single" w:sz="4" w:space="0" w:color="A6A6A6" w:themeColor="background1" w:themeShade="A6"/>
              <w:left w:val="nil"/>
              <w:bottom w:val="single" w:sz="4" w:space="0" w:color="A6A6A6" w:themeColor="background1" w:themeShade="A6"/>
              <w:right w:val="nil"/>
            </w:tcBorders>
            <w:hideMark/>
          </w:tcPr>
          <w:p w14:paraId="4953F33F" w14:textId="77777777" w:rsidR="00803E7B" w:rsidRPr="00A6210E" w:rsidRDefault="00803E7B" w:rsidP="00A6210E">
            <w:pPr>
              <w:pStyle w:val="TableText"/>
              <w:rPr>
                <w:rFonts w:cs="Segoe UI"/>
                <w:sz w:val="16"/>
                <w:szCs w:val="16"/>
              </w:rPr>
            </w:pPr>
            <w:r w:rsidRPr="00A6210E">
              <w:rPr>
                <w:rFonts w:cs="Segoe UI"/>
                <w:sz w:val="16"/>
                <w:szCs w:val="16"/>
              </w:rPr>
              <w:t>Māori</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34A78E35" w14:textId="77C98256" w:rsidR="00803E7B" w:rsidRPr="00A6210E" w:rsidRDefault="00803E7B" w:rsidP="00A6210E">
            <w:pPr>
              <w:pStyle w:val="TableText"/>
              <w:rPr>
                <w:rFonts w:cs="Segoe UI"/>
                <w:sz w:val="16"/>
                <w:szCs w:val="16"/>
              </w:rPr>
            </w:pPr>
            <w:r w:rsidRPr="00A6210E">
              <w:rPr>
                <w:rFonts w:cs="Segoe UI"/>
                <w:spacing w:val="-5"/>
                <w:sz w:val="16"/>
                <w:szCs w:val="16"/>
              </w:rPr>
              <w:t>77%</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1B074453" w14:textId="1812B6A6" w:rsidR="00803E7B" w:rsidRPr="00A6210E" w:rsidRDefault="00803E7B" w:rsidP="00A6210E">
            <w:pPr>
              <w:pStyle w:val="TableText"/>
              <w:rPr>
                <w:rFonts w:cs="Segoe UI"/>
                <w:sz w:val="16"/>
                <w:szCs w:val="16"/>
              </w:rPr>
            </w:pPr>
            <w:r w:rsidRPr="00A6210E">
              <w:rPr>
                <w:rFonts w:cs="Segoe UI"/>
                <w:spacing w:val="-5"/>
                <w:sz w:val="16"/>
                <w:szCs w:val="16"/>
              </w:rPr>
              <w:t>74%</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00D4D90E" w14:textId="0E2AA664" w:rsidR="00803E7B" w:rsidRPr="00A6210E" w:rsidRDefault="00803E7B" w:rsidP="00A6210E">
            <w:pPr>
              <w:pStyle w:val="TableText"/>
              <w:rPr>
                <w:rFonts w:cs="Segoe UI"/>
                <w:sz w:val="16"/>
                <w:szCs w:val="16"/>
              </w:rPr>
            </w:pPr>
            <w:r w:rsidRPr="00A6210E">
              <w:rPr>
                <w:rFonts w:cs="Segoe UI"/>
                <w:spacing w:val="-5"/>
                <w:sz w:val="16"/>
                <w:szCs w:val="16"/>
              </w:rPr>
              <w:t>74%</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0097AAB5" w14:textId="05C2FF13" w:rsidR="00803E7B" w:rsidRPr="00A6210E" w:rsidRDefault="00803E7B" w:rsidP="00A6210E">
            <w:pPr>
              <w:pStyle w:val="TableText"/>
              <w:rPr>
                <w:rFonts w:cs="Segoe UI"/>
                <w:sz w:val="16"/>
                <w:szCs w:val="16"/>
              </w:rPr>
            </w:pPr>
            <w:r w:rsidRPr="00A6210E">
              <w:rPr>
                <w:rFonts w:cs="Segoe UI"/>
                <w:spacing w:val="-5"/>
                <w:sz w:val="16"/>
                <w:szCs w:val="16"/>
              </w:rPr>
              <w:t>75%</w:t>
            </w:r>
          </w:p>
        </w:tc>
      </w:tr>
      <w:tr w:rsidR="00803E7B" w:rsidRPr="00A6210E" w14:paraId="48738A61" w14:textId="77777777" w:rsidTr="00471CB0">
        <w:tc>
          <w:tcPr>
            <w:tcW w:w="2122" w:type="dxa"/>
            <w:tcBorders>
              <w:top w:val="single" w:sz="4" w:space="0" w:color="A6A6A6" w:themeColor="background1" w:themeShade="A6"/>
              <w:left w:val="nil"/>
              <w:bottom w:val="single" w:sz="4" w:space="0" w:color="A6A6A6" w:themeColor="background1" w:themeShade="A6"/>
              <w:right w:val="nil"/>
            </w:tcBorders>
            <w:hideMark/>
          </w:tcPr>
          <w:p w14:paraId="27283919" w14:textId="77777777" w:rsidR="00803E7B" w:rsidRPr="00A6210E" w:rsidRDefault="00803E7B" w:rsidP="00A6210E">
            <w:pPr>
              <w:pStyle w:val="TableText"/>
              <w:rPr>
                <w:rFonts w:cs="Segoe UI"/>
                <w:sz w:val="16"/>
                <w:szCs w:val="16"/>
              </w:rPr>
            </w:pPr>
            <w:r w:rsidRPr="00A6210E">
              <w:rPr>
                <w:rFonts w:cs="Segoe UI"/>
                <w:sz w:val="16"/>
                <w:szCs w:val="16"/>
              </w:rPr>
              <w:t>Pacific</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4D234155" w14:textId="79A4A7E7" w:rsidR="00803E7B" w:rsidRPr="00A6210E" w:rsidRDefault="00803E7B" w:rsidP="00A6210E">
            <w:pPr>
              <w:pStyle w:val="TableText"/>
              <w:rPr>
                <w:rFonts w:cs="Segoe UI"/>
                <w:sz w:val="16"/>
                <w:szCs w:val="16"/>
              </w:rPr>
            </w:pPr>
            <w:r w:rsidRPr="00A6210E">
              <w:rPr>
                <w:rFonts w:cs="Segoe UI"/>
                <w:spacing w:val="-5"/>
                <w:w w:val="105"/>
                <w:sz w:val="16"/>
                <w:szCs w:val="16"/>
              </w:rPr>
              <w:t>80%</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5C8E3E22" w14:textId="34F9F7BD" w:rsidR="00803E7B" w:rsidRPr="00A6210E" w:rsidRDefault="00803E7B" w:rsidP="00A6210E">
            <w:pPr>
              <w:pStyle w:val="TableText"/>
              <w:rPr>
                <w:rFonts w:cs="Segoe UI"/>
                <w:sz w:val="16"/>
                <w:szCs w:val="16"/>
              </w:rPr>
            </w:pPr>
            <w:r w:rsidRPr="00A6210E">
              <w:rPr>
                <w:rFonts w:cs="Segoe UI"/>
                <w:spacing w:val="-5"/>
                <w:sz w:val="16"/>
                <w:szCs w:val="16"/>
              </w:rPr>
              <w:t>75%</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57F2798A" w14:textId="02B6859D" w:rsidR="00803E7B" w:rsidRPr="00A6210E" w:rsidRDefault="00803E7B" w:rsidP="00A6210E">
            <w:pPr>
              <w:pStyle w:val="TableText"/>
              <w:rPr>
                <w:rFonts w:cs="Segoe UI"/>
                <w:sz w:val="16"/>
                <w:szCs w:val="16"/>
              </w:rPr>
            </w:pPr>
            <w:r w:rsidRPr="00A6210E">
              <w:rPr>
                <w:rFonts w:cs="Segoe UI"/>
                <w:spacing w:val="-5"/>
                <w:w w:val="105"/>
                <w:sz w:val="16"/>
                <w:szCs w:val="16"/>
              </w:rPr>
              <w:t>80%</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0C2D7F26" w14:textId="768719B0" w:rsidR="00803E7B" w:rsidRPr="00A6210E" w:rsidRDefault="00803E7B" w:rsidP="00A6210E">
            <w:pPr>
              <w:pStyle w:val="TableText"/>
              <w:rPr>
                <w:rFonts w:cs="Segoe UI"/>
                <w:sz w:val="16"/>
                <w:szCs w:val="16"/>
              </w:rPr>
            </w:pPr>
            <w:r w:rsidRPr="00A6210E">
              <w:rPr>
                <w:rFonts w:cs="Segoe UI"/>
                <w:spacing w:val="-5"/>
                <w:sz w:val="16"/>
                <w:szCs w:val="16"/>
              </w:rPr>
              <w:t>78%</w:t>
            </w:r>
          </w:p>
        </w:tc>
      </w:tr>
      <w:tr w:rsidR="00803E7B" w:rsidRPr="00A6210E" w14:paraId="4182DB9A" w14:textId="77777777" w:rsidTr="00471CB0">
        <w:tc>
          <w:tcPr>
            <w:tcW w:w="2122" w:type="dxa"/>
            <w:tcBorders>
              <w:top w:val="single" w:sz="4" w:space="0" w:color="A6A6A6" w:themeColor="background1" w:themeShade="A6"/>
              <w:left w:val="nil"/>
              <w:bottom w:val="single" w:sz="4" w:space="0" w:color="A6A6A6" w:themeColor="background1" w:themeShade="A6"/>
              <w:right w:val="nil"/>
            </w:tcBorders>
            <w:hideMark/>
          </w:tcPr>
          <w:p w14:paraId="13908036" w14:textId="77777777" w:rsidR="00803E7B" w:rsidRPr="00A6210E" w:rsidRDefault="00803E7B" w:rsidP="00A6210E">
            <w:pPr>
              <w:pStyle w:val="TableText"/>
              <w:rPr>
                <w:rFonts w:cs="Segoe UI"/>
                <w:sz w:val="16"/>
                <w:szCs w:val="16"/>
              </w:rPr>
            </w:pPr>
            <w:r w:rsidRPr="00A6210E">
              <w:rPr>
                <w:rFonts w:cs="Segoe UI"/>
                <w:sz w:val="16"/>
                <w:szCs w:val="16"/>
              </w:rPr>
              <w:t>Non-Māori non-Pacific</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29934A58" w14:textId="462D4C22" w:rsidR="00803E7B" w:rsidRPr="00A6210E" w:rsidRDefault="00803E7B" w:rsidP="00A6210E">
            <w:pPr>
              <w:pStyle w:val="TableText"/>
              <w:rPr>
                <w:rFonts w:cs="Segoe UI"/>
                <w:sz w:val="16"/>
                <w:szCs w:val="16"/>
              </w:rPr>
            </w:pPr>
            <w:r w:rsidRPr="00A6210E">
              <w:rPr>
                <w:rFonts w:cs="Segoe UI"/>
                <w:spacing w:val="-5"/>
                <w:sz w:val="16"/>
                <w:szCs w:val="16"/>
              </w:rPr>
              <w:t>83%</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1297EAB0" w14:textId="56C1FB89" w:rsidR="00803E7B" w:rsidRPr="00A6210E" w:rsidRDefault="00803E7B" w:rsidP="00A6210E">
            <w:pPr>
              <w:pStyle w:val="TableText"/>
              <w:rPr>
                <w:rFonts w:cs="Segoe UI"/>
                <w:sz w:val="16"/>
                <w:szCs w:val="16"/>
              </w:rPr>
            </w:pPr>
            <w:r w:rsidRPr="00A6210E">
              <w:rPr>
                <w:rFonts w:cs="Segoe UI"/>
                <w:spacing w:val="-5"/>
                <w:sz w:val="16"/>
                <w:szCs w:val="16"/>
              </w:rPr>
              <w:t>82%</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691317CF" w14:textId="05FF4E90" w:rsidR="00803E7B" w:rsidRPr="00A6210E" w:rsidRDefault="00803E7B" w:rsidP="00A6210E">
            <w:pPr>
              <w:pStyle w:val="TableText"/>
              <w:rPr>
                <w:rFonts w:cs="Segoe UI"/>
                <w:sz w:val="16"/>
                <w:szCs w:val="16"/>
              </w:rPr>
            </w:pPr>
            <w:r w:rsidRPr="00A6210E">
              <w:rPr>
                <w:rFonts w:cs="Segoe UI"/>
                <w:spacing w:val="-5"/>
                <w:sz w:val="16"/>
                <w:szCs w:val="16"/>
              </w:rPr>
              <w:t>82%</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1C85510B" w14:textId="6EA3BD8A" w:rsidR="00803E7B" w:rsidRPr="00A6210E" w:rsidRDefault="00803E7B" w:rsidP="00A6210E">
            <w:pPr>
              <w:pStyle w:val="TableText"/>
              <w:rPr>
                <w:rFonts w:cs="Segoe UI"/>
                <w:sz w:val="16"/>
                <w:szCs w:val="16"/>
              </w:rPr>
            </w:pPr>
            <w:r w:rsidRPr="00A6210E">
              <w:rPr>
                <w:rFonts w:cs="Segoe UI"/>
                <w:spacing w:val="-5"/>
                <w:sz w:val="16"/>
                <w:szCs w:val="16"/>
              </w:rPr>
              <w:t>83%</w:t>
            </w:r>
          </w:p>
        </w:tc>
      </w:tr>
      <w:tr w:rsidR="00471CB0" w:rsidRPr="00A6210E" w14:paraId="7093659E" w14:textId="77777777" w:rsidTr="00471CB0">
        <w:tc>
          <w:tcPr>
            <w:tcW w:w="2122"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542F7D28" w14:textId="77777777" w:rsidR="00471CB0" w:rsidRPr="00A6210E" w:rsidRDefault="00471CB0" w:rsidP="00A6210E">
            <w:pPr>
              <w:pStyle w:val="TableText"/>
              <w:rPr>
                <w:rFonts w:cs="Segoe UI"/>
                <w:b/>
                <w:bCs/>
                <w:sz w:val="16"/>
                <w:szCs w:val="16"/>
              </w:rPr>
            </w:pPr>
            <w:r w:rsidRPr="00A6210E">
              <w:rPr>
                <w:rFonts w:cs="Segoe UI"/>
                <w:b/>
                <w:bCs/>
                <w:sz w:val="16"/>
                <w:szCs w:val="16"/>
              </w:rPr>
              <w:t>2021/22</w:t>
            </w:r>
          </w:p>
        </w:tc>
        <w:tc>
          <w:tcPr>
            <w:tcW w:w="14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3CE15C0C" w14:textId="77777777" w:rsidR="00471CB0" w:rsidRPr="00A6210E" w:rsidRDefault="00471CB0" w:rsidP="00A6210E">
            <w:pPr>
              <w:pStyle w:val="TableText"/>
              <w:rPr>
                <w:rFonts w:cs="Segoe UI"/>
                <w:b/>
                <w:bCs/>
                <w:sz w:val="16"/>
                <w:szCs w:val="16"/>
              </w:rPr>
            </w:pPr>
            <w:r w:rsidRPr="00A6210E">
              <w:rPr>
                <w:rFonts w:cs="Segoe UI"/>
                <w:b/>
                <w:bCs/>
                <w:sz w:val="16"/>
                <w:szCs w:val="16"/>
              </w:rPr>
              <w:t>Q1</w:t>
            </w:r>
          </w:p>
        </w:tc>
        <w:tc>
          <w:tcPr>
            <w:tcW w:w="1487"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2C94FD25" w14:textId="77777777" w:rsidR="00471CB0" w:rsidRPr="00A6210E" w:rsidRDefault="00471CB0" w:rsidP="00A6210E">
            <w:pPr>
              <w:pStyle w:val="TableText"/>
              <w:rPr>
                <w:rFonts w:cs="Segoe UI"/>
                <w:b/>
                <w:bCs/>
                <w:sz w:val="16"/>
                <w:szCs w:val="16"/>
              </w:rPr>
            </w:pPr>
            <w:r w:rsidRPr="00A6210E">
              <w:rPr>
                <w:rFonts w:cs="Segoe UI"/>
                <w:b/>
                <w:bCs/>
                <w:sz w:val="16"/>
                <w:szCs w:val="16"/>
              </w:rPr>
              <w:t>Q2</w:t>
            </w:r>
          </w:p>
        </w:tc>
        <w:tc>
          <w:tcPr>
            <w:tcW w:w="1487"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6AC0448A" w14:textId="77777777" w:rsidR="00471CB0" w:rsidRPr="00A6210E" w:rsidRDefault="00471CB0" w:rsidP="00A6210E">
            <w:pPr>
              <w:pStyle w:val="TableText"/>
              <w:rPr>
                <w:rFonts w:cs="Segoe UI"/>
                <w:b/>
                <w:bCs/>
                <w:sz w:val="16"/>
                <w:szCs w:val="16"/>
              </w:rPr>
            </w:pPr>
            <w:r w:rsidRPr="00A6210E">
              <w:rPr>
                <w:rFonts w:cs="Segoe UI"/>
                <w:b/>
                <w:bCs/>
                <w:sz w:val="16"/>
                <w:szCs w:val="16"/>
              </w:rPr>
              <w:t>Q3</w:t>
            </w:r>
          </w:p>
        </w:tc>
        <w:tc>
          <w:tcPr>
            <w:tcW w:w="1487"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6D1242A3" w14:textId="77777777" w:rsidR="00471CB0" w:rsidRPr="00A6210E" w:rsidRDefault="00471CB0" w:rsidP="00A6210E">
            <w:pPr>
              <w:pStyle w:val="TableText"/>
              <w:rPr>
                <w:rFonts w:cs="Segoe UI"/>
                <w:b/>
                <w:bCs/>
                <w:sz w:val="16"/>
                <w:szCs w:val="16"/>
              </w:rPr>
            </w:pPr>
            <w:r w:rsidRPr="00A6210E">
              <w:rPr>
                <w:rFonts w:cs="Segoe UI"/>
                <w:b/>
                <w:bCs/>
                <w:sz w:val="16"/>
                <w:szCs w:val="16"/>
              </w:rPr>
              <w:t>Q4</w:t>
            </w:r>
          </w:p>
        </w:tc>
      </w:tr>
      <w:tr w:rsidR="00D93C9D" w:rsidRPr="00A6210E" w14:paraId="0E77FC0C" w14:textId="77777777" w:rsidTr="00471CB0">
        <w:tc>
          <w:tcPr>
            <w:tcW w:w="2122" w:type="dxa"/>
            <w:tcBorders>
              <w:top w:val="single" w:sz="4" w:space="0" w:color="A6A6A6" w:themeColor="background1" w:themeShade="A6"/>
              <w:left w:val="nil"/>
              <w:bottom w:val="single" w:sz="4" w:space="0" w:color="A6A6A6" w:themeColor="background1" w:themeShade="A6"/>
              <w:right w:val="nil"/>
            </w:tcBorders>
            <w:hideMark/>
          </w:tcPr>
          <w:p w14:paraId="61AE48B8" w14:textId="39625FE7" w:rsidR="00D93C9D" w:rsidRPr="00A6210E" w:rsidRDefault="00D93C9D" w:rsidP="00A6210E">
            <w:pPr>
              <w:pStyle w:val="TableText"/>
              <w:rPr>
                <w:rFonts w:cs="Segoe UI"/>
                <w:sz w:val="16"/>
                <w:szCs w:val="16"/>
              </w:rPr>
            </w:pPr>
            <w:r w:rsidRPr="00A6210E">
              <w:rPr>
                <w:rFonts w:cs="Segoe UI"/>
                <w:sz w:val="16"/>
                <w:szCs w:val="16"/>
              </w:rPr>
              <w:t>All ethnicities</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7628B174" w14:textId="504A8B5F" w:rsidR="00D93C9D" w:rsidRPr="00A6210E" w:rsidRDefault="00D93C9D" w:rsidP="00A6210E">
            <w:pPr>
              <w:pStyle w:val="TableText"/>
              <w:rPr>
                <w:rFonts w:cs="Segoe UI"/>
                <w:sz w:val="16"/>
                <w:szCs w:val="16"/>
              </w:rPr>
            </w:pPr>
            <w:r w:rsidRPr="00A6210E">
              <w:rPr>
                <w:rFonts w:cs="Segoe UI"/>
                <w:spacing w:val="-5"/>
                <w:w w:val="105"/>
                <w:sz w:val="16"/>
                <w:szCs w:val="16"/>
              </w:rPr>
              <w:t>80%</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122C9D97" w14:textId="447D6B49" w:rsidR="00D93C9D" w:rsidRPr="00A6210E" w:rsidRDefault="00D93C9D" w:rsidP="00A6210E">
            <w:pPr>
              <w:pStyle w:val="TableText"/>
              <w:rPr>
                <w:rFonts w:cs="Segoe UI"/>
                <w:sz w:val="16"/>
                <w:szCs w:val="16"/>
              </w:rPr>
            </w:pPr>
            <w:r w:rsidRPr="00A6210E">
              <w:rPr>
                <w:rFonts w:cs="Segoe UI"/>
                <w:spacing w:val="-5"/>
                <w:w w:val="105"/>
                <w:sz w:val="16"/>
                <w:szCs w:val="16"/>
              </w:rPr>
              <w:t>80%</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54A65371" w14:textId="2E4CDEEE" w:rsidR="00D93C9D" w:rsidRPr="00A6210E" w:rsidRDefault="00D93C9D" w:rsidP="00A6210E">
            <w:pPr>
              <w:pStyle w:val="TableText"/>
              <w:rPr>
                <w:rFonts w:cs="Segoe UI"/>
                <w:sz w:val="16"/>
                <w:szCs w:val="16"/>
              </w:rPr>
            </w:pPr>
            <w:r w:rsidRPr="00A6210E">
              <w:rPr>
                <w:rFonts w:cs="Segoe UI"/>
                <w:spacing w:val="-5"/>
                <w:sz w:val="16"/>
                <w:szCs w:val="16"/>
              </w:rPr>
              <w:t>79%</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0BDBE8A0" w14:textId="6BB03C38" w:rsidR="00D93C9D" w:rsidRPr="00A6210E" w:rsidRDefault="00D93C9D" w:rsidP="00A6210E">
            <w:pPr>
              <w:pStyle w:val="TableText"/>
              <w:rPr>
                <w:rFonts w:cs="Segoe UI"/>
                <w:sz w:val="16"/>
                <w:szCs w:val="16"/>
              </w:rPr>
            </w:pPr>
            <w:r w:rsidRPr="00A6210E">
              <w:rPr>
                <w:rFonts w:cs="Segoe UI"/>
                <w:spacing w:val="-5"/>
                <w:sz w:val="16"/>
                <w:szCs w:val="16"/>
              </w:rPr>
              <w:t>78%</w:t>
            </w:r>
          </w:p>
        </w:tc>
      </w:tr>
      <w:tr w:rsidR="00D93C9D" w:rsidRPr="00A6210E" w14:paraId="3711B192" w14:textId="77777777" w:rsidTr="00471CB0">
        <w:tc>
          <w:tcPr>
            <w:tcW w:w="2122" w:type="dxa"/>
            <w:tcBorders>
              <w:top w:val="single" w:sz="4" w:space="0" w:color="A6A6A6" w:themeColor="background1" w:themeShade="A6"/>
              <w:left w:val="nil"/>
              <w:bottom w:val="single" w:sz="4" w:space="0" w:color="A6A6A6" w:themeColor="background1" w:themeShade="A6"/>
              <w:right w:val="nil"/>
            </w:tcBorders>
            <w:hideMark/>
          </w:tcPr>
          <w:p w14:paraId="2C0D1B7F" w14:textId="77777777" w:rsidR="00D93C9D" w:rsidRPr="00A6210E" w:rsidRDefault="00D93C9D" w:rsidP="00A6210E">
            <w:pPr>
              <w:pStyle w:val="TableText"/>
              <w:rPr>
                <w:rFonts w:cs="Segoe UI"/>
                <w:sz w:val="16"/>
                <w:szCs w:val="16"/>
              </w:rPr>
            </w:pPr>
            <w:r w:rsidRPr="00A6210E">
              <w:rPr>
                <w:rFonts w:cs="Segoe UI"/>
                <w:sz w:val="16"/>
                <w:szCs w:val="16"/>
              </w:rPr>
              <w:t>Māori</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0DE4A763" w14:textId="0B4DA957" w:rsidR="00D93C9D" w:rsidRPr="00A6210E" w:rsidRDefault="00D93C9D" w:rsidP="00A6210E">
            <w:pPr>
              <w:pStyle w:val="TableText"/>
              <w:rPr>
                <w:rFonts w:cs="Segoe UI"/>
                <w:sz w:val="16"/>
                <w:szCs w:val="16"/>
              </w:rPr>
            </w:pPr>
            <w:r w:rsidRPr="00A6210E">
              <w:rPr>
                <w:rFonts w:cs="Segoe UI"/>
                <w:spacing w:val="-5"/>
                <w:sz w:val="16"/>
                <w:szCs w:val="16"/>
              </w:rPr>
              <w:t>74%</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17F6490C" w14:textId="100B8A44" w:rsidR="00D93C9D" w:rsidRPr="00A6210E" w:rsidRDefault="00D93C9D" w:rsidP="00A6210E">
            <w:pPr>
              <w:pStyle w:val="TableText"/>
              <w:rPr>
                <w:rFonts w:cs="Segoe UI"/>
                <w:sz w:val="16"/>
                <w:szCs w:val="16"/>
              </w:rPr>
            </w:pPr>
            <w:r w:rsidRPr="00A6210E">
              <w:rPr>
                <w:rFonts w:cs="Segoe UI"/>
                <w:spacing w:val="-5"/>
                <w:sz w:val="16"/>
                <w:szCs w:val="16"/>
              </w:rPr>
              <w:t>76%</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5E5D2128" w14:textId="6A92D6E0" w:rsidR="00D93C9D" w:rsidRPr="00A6210E" w:rsidRDefault="00D93C9D" w:rsidP="00A6210E">
            <w:pPr>
              <w:pStyle w:val="TableText"/>
              <w:rPr>
                <w:rFonts w:cs="Segoe UI"/>
                <w:sz w:val="16"/>
                <w:szCs w:val="16"/>
              </w:rPr>
            </w:pPr>
            <w:r w:rsidRPr="00A6210E">
              <w:rPr>
                <w:rFonts w:cs="Segoe UI"/>
                <w:spacing w:val="-5"/>
                <w:sz w:val="16"/>
                <w:szCs w:val="16"/>
              </w:rPr>
              <w:t>73%</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35CDE688" w14:textId="201E7D81" w:rsidR="00D93C9D" w:rsidRPr="00A6210E" w:rsidRDefault="00D93C9D" w:rsidP="00A6210E">
            <w:pPr>
              <w:pStyle w:val="TableText"/>
              <w:rPr>
                <w:rFonts w:cs="Segoe UI"/>
                <w:sz w:val="16"/>
                <w:szCs w:val="16"/>
              </w:rPr>
            </w:pPr>
            <w:r w:rsidRPr="00A6210E">
              <w:rPr>
                <w:rFonts w:cs="Segoe UI"/>
                <w:spacing w:val="-5"/>
                <w:sz w:val="16"/>
                <w:szCs w:val="16"/>
              </w:rPr>
              <w:t>73%</w:t>
            </w:r>
          </w:p>
        </w:tc>
      </w:tr>
      <w:tr w:rsidR="00D93C9D" w:rsidRPr="00A6210E" w14:paraId="5430AE97" w14:textId="77777777" w:rsidTr="00471CB0">
        <w:tc>
          <w:tcPr>
            <w:tcW w:w="2122" w:type="dxa"/>
            <w:tcBorders>
              <w:top w:val="single" w:sz="4" w:space="0" w:color="A6A6A6" w:themeColor="background1" w:themeShade="A6"/>
              <w:left w:val="nil"/>
              <w:bottom w:val="single" w:sz="4" w:space="0" w:color="A6A6A6" w:themeColor="background1" w:themeShade="A6"/>
              <w:right w:val="nil"/>
            </w:tcBorders>
            <w:hideMark/>
          </w:tcPr>
          <w:p w14:paraId="3CD5F06D" w14:textId="77777777" w:rsidR="00D93C9D" w:rsidRPr="00A6210E" w:rsidRDefault="00D93C9D" w:rsidP="00A6210E">
            <w:pPr>
              <w:pStyle w:val="TableText"/>
              <w:rPr>
                <w:rFonts w:cs="Segoe UI"/>
                <w:sz w:val="16"/>
                <w:szCs w:val="16"/>
              </w:rPr>
            </w:pPr>
            <w:r w:rsidRPr="00A6210E">
              <w:rPr>
                <w:rFonts w:cs="Segoe UI"/>
                <w:sz w:val="16"/>
                <w:szCs w:val="16"/>
              </w:rPr>
              <w:t>Pacific</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76755CE3" w14:textId="388415F8" w:rsidR="00D93C9D" w:rsidRPr="00A6210E" w:rsidRDefault="00D93C9D" w:rsidP="00A6210E">
            <w:pPr>
              <w:pStyle w:val="TableText"/>
              <w:rPr>
                <w:rFonts w:cs="Segoe UI"/>
                <w:sz w:val="16"/>
                <w:szCs w:val="16"/>
              </w:rPr>
            </w:pPr>
            <w:r w:rsidRPr="00A6210E">
              <w:rPr>
                <w:rFonts w:cs="Segoe UI"/>
                <w:spacing w:val="-5"/>
                <w:sz w:val="16"/>
                <w:szCs w:val="16"/>
              </w:rPr>
              <w:t>78%</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0F7961C2" w14:textId="782B492C" w:rsidR="00D93C9D" w:rsidRPr="00A6210E" w:rsidRDefault="00D93C9D" w:rsidP="00A6210E">
            <w:pPr>
              <w:pStyle w:val="TableText"/>
              <w:rPr>
                <w:rFonts w:cs="Segoe UI"/>
                <w:sz w:val="16"/>
                <w:szCs w:val="16"/>
              </w:rPr>
            </w:pPr>
            <w:r w:rsidRPr="00A6210E">
              <w:rPr>
                <w:rFonts w:cs="Segoe UI"/>
                <w:spacing w:val="-5"/>
                <w:sz w:val="16"/>
                <w:szCs w:val="16"/>
              </w:rPr>
              <w:t>79%</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3EA81B87" w14:textId="1F337128" w:rsidR="00D93C9D" w:rsidRPr="00A6210E" w:rsidRDefault="00D93C9D" w:rsidP="00A6210E">
            <w:pPr>
              <w:pStyle w:val="TableText"/>
              <w:rPr>
                <w:rFonts w:cs="Segoe UI"/>
                <w:sz w:val="16"/>
                <w:szCs w:val="16"/>
              </w:rPr>
            </w:pPr>
            <w:r w:rsidRPr="00A6210E">
              <w:rPr>
                <w:rFonts w:cs="Segoe UI"/>
                <w:spacing w:val="-5"/>
                <w:sz w:val="16"/>
                <w:szCs w:val="16"/>
              </w:rPr>
              <w:t>77%</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5234F1E5" w14:textId="011A15A2" w:rsidR="00D93C9D" w:rsidRPr="00A6210E" w:rsidRDefault="00D93C9D" w:rsidP="00A6210E">
            <w:pPr>
              <w:pStyle w:val="TableText"/>
              <w:rPr>
                <w:rFonts w:cs="Segoe UI"/>
                <w:sz w:val="16"/>
                <w:szCs w:val="16"/>
              </w:rPr>
            </w:pPr>
            <w:r w:rsidRPr="00A6210E">
              <w:rPr>
                <w:rFonts w:cs="Segoe UI"/>
                <w:spacing w:val="-5"/>
                <w:sz w:val="16"/>
                <w:szCs w:val="16"/>
              </w:rPr>
              <w:t>75%</w:t>
            </w:r>
          </w:p>
        </w:tc>
      </w:tr>
      <w:tr w:rsidR="00D93C9D" w:rsidRPr="00A6210E" w14:paraId="620FCD82" w14:textId="77777777" w:rsidTr="00471CB0">
        <w:tc>
          <w:tcPr>
            <w:tcW w:w="2122" w:type="dxa"/>
            <w:tcBorders>
              <w:top w:val="single" w:sz="4" w:space="0" w:color="A6A6A6" w:themeColor="background1" w:themeShade="A6"/>
              <w:left w:val="nil"/>
              <w:bottom w:val="single" w:sz="4" w:space="0" w:color="A6A6A6" w:themeColor="background1" w:themeShade="A6"/>
              <w:right w:val="nil"/>
            </w:tcBorders>
            <w:hideMark/>
          </w:tcPr>
          <w:p w14:paraId="6AA6ACDF" w14:textId="77777777" w:rsidR="00D93C9D" w:rsidRPr="00A6210E" w:rsidRDefault="00D93C9D" w:rsidP="00A6210E">
            <w:pPr>
              <w:pStyle w:val="TableText"/>
              <w:rPr>
                <w:rFonts w:cs="Segoe UI"/>
                <w:sz w:val="16"/>
                <w:szCs w:val="16"/>
              </w:rPr>
            </w:pPr>
            <w:r w:rsidRPr="00A6210E">
              <w:rPr>
                <w:rFonts w:cs="Segoe UI"/>
                <w:sz w:val="16"/>
                <w:szCs w:val="16"/>
              </w:rPr>
              <w:t>Non-Māori non-Pacific</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1742D4EF" w14:textId="3FD90918" w:rsidR="00D93C9D" w:rsidRPr="00A6210E" w:rsidRDefault="00D93C9D" w:rsidP="00A6210E">
            <w:pPr>
              <w:pStyle w:val="TableText"/>
              <w:rPr>
                <w:rFonts w:cs="Segoe UI"/>
                <w:sz w:val="16"/>
                <w:szCs w:val="16"/>
              </w:rPr>
            </w:pPr>
            <w:r w:rsidRPr="00A6210E">
              <w:rPr>
                <w:rFonts w:cs="Segoe UI"/>
                <w:spacing w:val="-5"/>
                <w:sz w:val="16"/>
                <w:szCs w:val="16"/>
              </w:rPr>
              <w:t>81%</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79EF9A34" w14:textId="72A7D68D" w:rsidR="00D93C9D" w:rsidRPr="00A6210E" w:rsidRDefault="00D93C9D" w:rsidP="00A6210E">
            <w:pPr>
              <w:pStyle w:val="TableText"/>
              <w:rPr>
                <w:rFonts w:cs="Segoe UI"/>
                <w:sz w:val="16"/>
                <w:szCs w:val="16"/>
              </w:rPr>
            </w:pPr>
            <w:r w:rsidRPr="00A6210E">
              <w:rPr>
                <w:rFonts w:cs="Segoe UI"/>
                <w:spacing w:val="-5"/>
                <w:sz w:val="16"/>
                <w:szCs w:val="16"/>
              </w:rPr>
              <w:t>81%</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77FBC4BC" w14:textId="2147DDAC" w:rsidR="00D93C9D" w:rsidRPr="00A6210E" w:rsidRDefault="00D93C9D" w:rsidP="00A6210E">
            <w:pPr>
              <w:pStyle w:val="TableText"/>
              <w:rPr>
                <w:rFonts w:cs="Segoe UI"/>
                <w:sz w:val="16"/>
                <w:szCs w:val="16"/>
              </w:rPr>
            </w:pPr>
            <w:r w:rsidRPr="00A6210E">
              <w:rPr>
                <w:rFonts w:cs="Segoe UI"/>
                <w:spacing w:val="-5"/>
                <w:w w:val="105"/>
                <w:sz w:val="16"/>
                <w:szCs w:val="16"/>
              </w:rPr>
              <w:t>80%</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10B74647" w14:textId="4468DE7E" w:rsidR="00D93C9D" w:rsidRPr="00A6210E" w:rsidRDefault="00D93C9D" w:rsidP="00A6210E">
            <w:pPr>
              <w:pStyle w:val="TableText"/>
              <w:rPr>
                <w:rFonts w:cs="Segoe UI"/>
                <w:sz w:val="16"/>
                <w:szCs w:val="16"/>
              </w:rPr>
            </w:pPr>
            <w:r w:rsidRPr="00A6210E">
              <w:rPr>
                <w:rFonts w:cs="Segoe UI"/>
                <w:spacing w:val="-5"/>
                <w:sz w:val="16"/>
                <w:szCs w:val="16"/>
              </w:rPr>
              <w:t>79%</w:t>
            </w:r>
          </w:p>
        </w:tc>
      </w:tr>
      <w:tr w:rsidR="00471CB0" w:rsidRPr="00A6210E" w14:paraId="6B68ECF9" w14:textId="77777777" w:rsidTr="00471CB0">
        <w:tc>
          <w:tcPr>
            <w:tcW w:w="2122"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134BEB84" w14:textId="0DD6A471" w:rsidR="00471CB0" w:rsidRPr="00A6210E" w:rsidRDefault="00D93C9D" w:rsidP="00A6210E">
            <w:pPr>
              <w:pStyle w:val="TableText"/>
              <w:rPr>
                <w:rFonts w:cs="Segoe UI"/>
                <w:b/>
                <w:bCs/>
                <w:sz w:val="16"/>
                <w:szCs w:val="16"/>
              </w:rPr>
            </w:pPr>
            <w:r w:rsidRPr="00A6210E">
              <w:rPr>
                <w:rFonts w:cs="Segoe UI"/>
                <w:b/>
                <w:bCs/>
                <w:sz w:val="16"/>
                <w:szCs w:val="16"/>
              </w:rPr>
              <w:t>2022/23</w:t>
            </w:r>
          </w:p>
        </w:tc>
        <w:tc>
          <w:tcPr>
            <w:tcW w:w="14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6296E105" w14:textId="77777777" w:rsidR="00471CB0" w:rsidRPr="00A6210E" w:rsidRDefault="00471CB0" w:rsidP="00A6210E">
            <w:pPr>
              <w:pStyle w:val="TableText"/>
              <w:rPr>
                <w:rFonts w:cs="Segoe UI"/>
                <w:b/>
                <w:bCs/>
                <w:sz w:val="16"/>
                <w:szCs w:val="16"/>
              </w:rPr>
            </w:pPr>
            <w:r w:rsidRPr="00A6210E">
              <w:rPr>
                <w:rFonts w:cs="Segoe UI"/>
                <w:b/>
                <w:bCs/>
                <w:sz w:val="16"/>
                <w:szCs w:val="16"/>
              </w:rPr>
              <w:t>Q1</w:t>
            </w:r>
          </w:p>
        </w:tc>
        <w:tc>
          <w:tcPr>
            <w:tcW w:w="1487"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51437440" w14:textId="77777777" w:rsidR="00471CB0" w:rsidRPr="00A6210E" w:rsidRDefault="00471CB0" w:rsidP="00A6210E">
            <w:pPr>
              <w:pStyle w:val="TableText"/>
              <w:rPr>
                <w:rFonts w:cs="Segoe UI"/>
                <w:b/>
                <w:bCs/>
                <w:sz w:val="16"/>
                <w:szCs w:val="16"/>
              </w:rPr>
            </w:pPr>
            <w:r w:rsidRPr="00A6210E">
              <w:rPr>
                <w:rFonts w:cs="Segoe UI"/>
                <w:b/>
                <w:bCs/>
                <w:sz w:val="16"/>
                <w:szCs w:val="16"/>
              </w:rPr>
              <w:t>Q2</w:t>
            </w:r>
          </w:p>
        </w:tc>
        <w:tc>
          <w:tcPr>
            <w:tcW w:w="1487"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23CFA99F" w14:textId="77777777" w:rsidR="00471CB0" w:rsidRPr="00A6210E" w:rsidRDefault="00471CB0" w:rsidP="00A6210E">
            <w:pPr>
              <w:pStyle w:val="TableText"/>
              <w:rPr>
                <w:rFonts w:cs="Segoe UI"/>
                <w:b/>
                <w:bCs/>
                <w:sz w:val="16"/>
                <w:szCs w:val="16"/>
              </w:rPr>
            </w:pPr>
            <w:r w:rsidRPr="00A6210E">
              <w:rPr>
                <w:rFonts w:cs="Segoe UI"/>
                <w:b/>
                <w:bCs/>
                <w:sz w:val="16"/>
                <w:szCs w:val="16"/>
              </w:rPr>
              <w:t>Q3</w:t>
            </w:r>
          </w:p>
        </w:tc>
        <w:tc>
          <w:tcPr>
            <w:tcW w:w="1487"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70AB0197" w14:textId="062C540E" w:rsidR="00471CB0" w:rsidRPr="00A6210E" w:rsidRDefault="00471CB0" w:rsidP="00A6210E">
            <w:pPr>
              <w:pStyle w:val="TableText"/>
              <w:rPr>
                <w:rFonts w:cs="Segoe UI"/>
                <w:b/>
                <w:bCs/>
                <w:sz w:val="16"/>
                <w:szCs w:val="16"/>
              </w:rPr>
            </w:pPr>
            <w:r w:rsidRPr="00A6210E">
              <w:rPr>
                <w:rFonts w:cs="Segoe UI"/>
                <w:b/>
                <w:bCs/>
                <w:sz w:val="16"/>
                <w:szCs w:val="16"/>
              </w:rPr>
              <w:t xml:space="preserve">Q4 </w:t>
            </w:r>
          </w:p>
        </w:tc>
      </w:tr>
      <w:tr w:rsidR="00D93C9D" w:rsidRPr="00A6210E" w14:paraId="19D6FEC6" w14:textId="77777777" w:rsidTr="00471CB0">
        <w:tc>
          <w:tcPr>
            <w:tcW w:w="2122" w:type="dxa"/>
            <w:tcBorders>
              <w:top w:val="single" w:sz="4" w:space="0" w:color="A6A6A6" w:themeColor="background1" w:themeShade="A6"/>
              <w:left w:val="nil"/>
              <w:bottom w:val="single" w:sz="4" w:space="0" w:color="A6A6A6" w:themeColor="background1" w:themeShade="A6"/>
              <w:right w:val="nil"/>
            </w:tcBorders>
            <w:hideMark/>
          </w:tcPr>
          <w:p w14:paraId="3357F4AF" w14:textId="1754CBEF" w:rsidR="00D93C9D" w:rsidRPr="00A6210E" w:rsidRDefault="00D93C9D" w:rsidP="00A6210E">
            <w:pPr>
              <w:pStyle w:val="TableText"/>
              <w:rPr>
                <w:rFonts w:cs="Segoe UI"/>
                <w:sz w:val="16"/>
                <w:szCs w:val="16"/>
              </w:rPr>
            </w:pPr>
            <w:r w:rsidRPr="00A6210E">
              <w:rPr>
                <w:rFonts w:cs="Segoe UI"/>
                <w:sz w:val="16"/>
                <w:szCs w:val="16"/>
              </w:rPr>
              <w:t>All ethnicities</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5052AA86" w14:textId="1A5E97AD" w:rsidR="00D93C9D" w:rsidRPr="00A6210E" w:rsidRDefault="00D93C9D" w:rsidP="00A6210E">
            <w:pPr>
              <w:pStyle w:val="TableText"/>
              <w:rPr>
                <w:rFonts w:cs="Segoe UI"/>
                <w:sz w:val="16"/>
                <w:szCs w:val="16"/>
              </w:rPr>
            </w:pPr>
            <w:r w:rsidRPr="00A6210E">
              <w:rPr>
                <w:rFonts w:cs="Segoe UI"/>
                <w:spacing w:val="-5"/>
                <w:sz w:val="16"/>
                <w:szCs w:val="16"/>
              </w:rPr>
              <w:t>77%</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0E64C56D" w14:textId="681C5FC0" w:rsidR="00D93C9D" w:rsidRPr="00A6210E" w:rsidRDefault="00D93C9D" w:rsidP="00A6210E">
            <w:pPr>
              <w:pStyle w:val="TableText"/>
              <w:rPr>
                <w:rFonts w:cs="Segoe UI"/>
                <w:sz w:val="16"/>
                <w:szCs w:val="16"/>
              </w:rPr>
            </w:pPr>
            <w:r w:rsidRPr="00A6210E">
              <w:rPr>
                <w:rFonts w:cs="Segoe UI"/>
                <w:spacing w:val="-5"/>
                <w:sz w:val="16"/>
                <w:szCs w:val="16"/>
              </w:rPr>
              <w:t>76%</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4AF6ABE8" w14:textId="3CEBD6FD" w:rsidR="00D93C9D" w:rsidRPr="00A6210E" w:rsidRDefault="00D93C9D" w:rsidP="00A6210E">
            <w:pPr>
              <w:pStyle w:val="TableText"/>
              <w:rPr>
                <w:rFonts w:cs="Segoe UI"/>
                <w:sz w:val="16"/>
                <w:szCs w:val="16"/>
              </w:rPr>
            </w:pPr>
            <w:r w:rsidRPr="00A6210E">
              <w:rPr>
                <w:rFonts w:cs="Segoe UI"/>
                <w:spacing w:val="-5"/>
                <w:sz w:val="16"/>
                <w:szCs w:val="16"/>
              </w:rPr>
              <w:t>76%</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742DBDCB" w14:textId="1EEC947F" w:rsidR="00D93C9D" w:rsidRPr="00A6210E" w:rsidRDefault="00D93C9D" w:rsidP="00A6210E">
            <w:pPr>
              <w:pStyle w:val="TableText"/>
              <w:rPr>
                <w:rFonts w:cs="Segoe UI"/>
                <w:sz w:val="16"/>
                <w:szCs w:val="16"/>
              </w:rPr>
            </w:pPr>
            <w:r w:rsidRPr="00A6210E">
              <w:rPr>
                <w:rFonts w:cs="Segoe UI"/>
                <w:spacing w:val="-5"/>
                <w:sz w:val="16"/>
                <w:szCs w:val="16"/>
              </w:rPr>
              <w:t>77%</w:t>
            </w:r>
          </w:p>
        </w:tc>
      </w:tr>
      <w:tr w:rsidR="00D93C9D" w:rsidRPr="00A6210E" w14:paraId="7180993C" w14:textId="77777777" w:rsidTr="00471CB0">
        <w:tc>
          <w:tcPr>
            <w:tcW w:w="2122" w:type="dxa"/>
            <w:tcBorders>
              <w:top w:val="single" w:sz="4" w:space="0" w:color="A6A6A6" w:themeColor="background1" w:themeShade="A6"/>
              <w:left w:val="nil"/>
              <w:bottom w:val="single" w:sz="4" w:space="0" w:color="A6A6A6" w:themeColor="background1" w:themeShade="A6"/>
              <w:right w:val="nil"/>
            </w:tcBorders>
            <w:hideMark/>
          </w:tcPr>
          <w:p w14:paraId="67F8A64D" w14:textId="77777777" w:rsidR="00D93C9D" w:rsidRPr="00A6210E" w:rsidRDefault="00D93C9D" w:rsidP="00A6210E">
            <w:pPr>
              <w:pStyle w:val="TableText"/>
              <w:rPr>
                <w:rFonts w:cs="Segoe UI"/>
                <w:sz w:val="16"/>
                <w:szCs w:val="16"/>
              </w:rPr>
            </w:pPr>
            <w:r w:rsidRPr="00A6210E">
              <w:rPr>
                <w:rFonts w:cs="Segoe UI"/>
                <w:sz w:val="16"/>
                <w:szCs w:val="16"/>
              </w:rPr>
              <w:t>Māori</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4910D6E7" w14:textId="0C0F1211" w:rsidR="00D93C9D" w:rsidRPr="00A6210E" w:rsidRDefault="00D93C9D" w:rsidP="00A6210E">
            <w:pPr>
              <w:pStyle w:val="TableText"/>
              <w:rPr>
                <w:rFonts w:cs="Segoe UI"/>
                <w:sz w:val="16"/>
                <w:szCs w:val="16"/>
              </w:rPr>
            </w:pPr>
            <w:r w:rsidRPr="00A6210E">
              <w:rPr>
                <w:rFonts w:cs="Segoe UI"/>
                <w:spacing w:val="-5"/>
                <w:sz w:val="16"/>
                <w:szCs w:val="16"/>
              </w:rPr>
              <w:t>73%</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26112A38" w14:textId="3B7342F5" w:rsidR="00D93C9D" w:rsidRPr="00A6210E" w:rsidRDefault="00D93C9D" w:rsidP="00A6210E">
            <w:pPr>
              <w:pStyle w:val="TableText"/>
              <w:rPr>
                <w:rFonts w:cs="Segoe UI"/>
                <w:sz w:val="16"/>
                <w:szCs w:val="16"/>
              </w:rPr>
            </w:pPr>
            <w:r w:rsidRPr="00A6210E">
              <w:rPr>
                <w:rFonts w:cs="Segoe UI"/>
                <w:spacing w:val="-5"/>
                <w:sz w:val="16"/>
                <w:szCs w:val="16"/>
              </w:rPr>
              <w:t>70%</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7B8D7910" w14:textId="5B348D3A" w:rsidR="00D93C9D" w:rsidRPr="00A6210E" w:rsidRDefault="00D93C9D" w:rsidP="00A6210E">
            <w:pPr>
              <w:pStyle w:val="TableText"/>
              <w:rPr>
                <w:rFonts w:cs="Segoe UI"/>
                <w:sz w:val="16"/>
                <w:szCs w:val="16"/>
              </w:rPr>
            </w:pPr>
            <w:r w:rsidRPr="00A6210E">
              <w:rPr>
                <w:rFonts w:cs="Segoe UI"/>
                <w:spacing w:val="-5"/>
                <w:w w:val="105"/>
                <w:sz w:val="16"/>
                <w:szCs w:val="16"/>
              </w:rPr>
              <w:t>69%</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7D6A4907" w14:textId="3F509986" w:rsidR="00D93C9D" w:rsidRPr="00A6210E" w:rsidRDefault="00D93C9D" w:rsidP="00A6210E">
            <w:pPr>
              <w:pStyle w:val="TableText"/>
              <w:rPr>
                <w:rFonts w:cs="Segoe UI"/>
                <w:sz w:val="16"/>
                <w:szCs w:val="16"/>
              </w:rPr>
            </w:pPr>
            <w:r w:rsidRPr="00A6210E">
              <w:rPr>
                <w:rFonts w:cs="Segoe UI"/>
                <w:spacing w:val="-5"/>
                <w:sz w:val="16"/>
                <w:szCs w:val="16"/>
              </w:rPr>
              <w:t>72%</w:t>
            </w:r>
          </w:p>
        </w:tc>
      </w:tr>
      <w:tr w:rsidR="00D93C9D" w:rsidRPr="00A6210E" w14:paraId="78BC57B6" w14:textId="77777777" w:rsidTr="00471CB0">
        <w:tc>
          <w:tcPr>
            <w:tcW w:w="2122" w:type="dxa"/>
            <w:tcBorders>
              <w:top w:val="single" w:sz="4" w:space="0" w:color="A6A6A6" w:themeColor="background1" w:themeShade="A6"/>
              <w:left w:val="nil"/>
              <w:bottom w:val="single" w:sz="4" w:space="0" w:color="A6A6A6" w:themeColor="background1" w:themeShade="A6"/>
              <w:right w:val="nil"/>
            </w:tcBorders>
            <w:hideMark/>
          </w:tcPr>
          <w:p w14:paraId="6D839133" w14:textId="77777777" w:rsidR="00D93C9D" w:rsidRPr="00A6210E" w:rsidRDefault="00D93C9D" w:rsidP="00A6210E">
            <w:pPr>
              <w:pStyle w:val="TableText"/>
              <w:rPr>
                <w:rFonts w:cs="Segoe UI"/>
                <w:sz w:val="16"/>
                <w:szCs w:val="16"/>
              </w:rPr>
            </w:pPr>
            <w:r w:rsidRPr="00A6210E">
              <w:rPr>
                <w:rFonts w:cs="Segoe UI"/>
                <w:sz w:val="16"/>
                <w:szCs w:val="16"/>
              </w:rPr>
              <w:t>Pacific</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6B663BD9" w14:textId="387D0D6B" w:rsidR="00D93C9D" w:rsidRPr="00A6210E" w:rsidRDefault="00D93C9D" w:rsidP="00A6210E">
            <w:pPr>
              <w:pStyle w:val="TableText"/>
              <w:rPr>
                <w:rFonts w:cs="Segoe UI"/>
                <w:sz w:val="16"/>
                <w:szCs w:val="16"/>
              </w:rPr>
            </w:pPr>
            <w:r w:rsidRPr="00A6210E">
              <w:rPr>
                <w:rFonts w:cs="Segoe UI"/>
                <w:spacing w:val="-5"/>
                <w:sz w:val="16"/>
                <w:szCs w:val="16"/>
              </w:rPr>
              <w:t>74%</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4C12EA71" w14:textId="1E33E434" w:rsidR="00D93C9D" w:rsidRPr="00A6210E" w:rsidRDefault="00D93C9D" w:rsidP="00A6210E">
            <w:pPr>
              <w:pStyle w:val="TableText"/>
              <w:rPr>
                <w:rFonts w:cs="Segoe UI"/>
                <w:sz w:val="16"/>
                <w:szCs w:val="16"/>
              </w:rPr>
            </w:pPr>
            <w:r w:rsidRPr="00A6210E">
              <w:rPr>
                <w:rFonts w:cs="Segoe UI"/>
                <w:spacing w:val="-5"/>
                <w:w w:val="95"/>
                <w:sz w:val="16"/>
                <w:szCs w:val="16"/>
              </w:rPr>
              <w:t>71%</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0CB8DF93" w14:textId="2326BA36" w:rsidR="00D93C9D" w:rsidRPr="00A6210E" w:rsidRDefault="00D93C9D" w:rsidP="00A6210E">
            <w:pPr>
              <w:pStyle w:val="TableText"/>
              <w:rPr>
                <w:rFonts w:cs="Segoe UI"/>
                <w:sz w:val="16"/>
                <w:szCs w:val="16"/>
              </w:rPr>
            </w:pPr>
            <w:r w:rsidRPr="00A6210E">
              <w:rPr>
                <w:rFonts w:cs="Segoe UI"/>
                <w:spacing w:val="-5"/>
                <w:sz w:val="16"/>
                <w:szCs w:val="16"/>
              </w:rPr>
              <w:t>74%</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2B65BACF" w14:textId="030EFEA1" w:rsidR="00D93C9D" w:rsidRPr="00A6210E" w:rsidRDefault="00D93C9D" w:rsidP="00A6210E">
            <w:pPr>
              <w:pStyle w:val="TableText"/>
              <w:rPr>
                <w:rFonts w:cs="Segoe UI"/>
                <w:sz w:val="16"/>
                <w:szCs w:val="16"/>
              </w:rPr>
            </w:pPr>
            <w:r w:rsidRPr="00A6210E">
              <w:rPr>
                <w:rFonts w:cs="Segoe UI"/>
                <w:spacing w:val="-5"/>
                <w:sz w:val="16"/>
                <w:szCs w:val="16"/>
              </w:rPr>
              <w:t>74%</w:t>
            </w:r>
          </w:p>
        </w:tc>
      </w:tr>
      <w:tr w:rsidR="00D93C9D" w:rsidRPr="00A6210E" w14:paraId="462ACE38" w14:textId="77777777" w:rsidTr="00471CB0">
        <w:tc>
          <w:tcPr>
            <w:tcW w:w="2122" w:type="dxa"/>
            <w:tcBorders>
              <w:top w:val="single" w:sz="4" w:space="0" w:color="A6A6A6" w:themeColor="background1" w:themeShade="A6"/>
              <w:left w:val="nil"/>
              <w:bottom w:val="single" w:sz="4" w:space="0" w:color="A6A6A6" w:themeColor="background1" w:themeShade="A6"/>
              <w:right w:val="nil"/>
            </w:tcBorders>
            <w:hideMark/>
          </w:tcPr>
          <w:p w14:paraId="6C7DCA04" w14:textId="77777777" w:rsidR="00D93C9D" w:rsidRPr="00A6210E" w:rsidRDefault="00D93C9D" w:rsidP="00A6210E">
            <w:pPr>
              <w:pStyle w:val="TableText"/>
              <w:rPr>
                <w:rFonts w:cs="Segoe UI"/>
                <w:sz w:val="16"/>
                <w:szCs w:val="16"/>
              </w:rPr>
            </w:pPr>
            <w:r w:rsidRPr="00A6210E">
              <w:rPr>
                <w:rFonts w:cs="Segoe UI"/>
                <w:sz w:val="16"/>
                <w:szCs w:val="16"/>
              </w:rPr>
              <w:t>Non-Māori non-Pacific</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30BBE0AF" w14:textId="6A1B9FCC" w:rsidR="00D93C9D" w:rsidRPr="00A6210E" w:rsidRDefault="00D93C9D" w:rsidP="00A6210E">
            <w:pPr>
              <w:pStyle w:val="TableText"/>
              <w:rPr>
                <w:rFonts w:cs="Segoe UI"/>
                <w:sz w:val="16"/>
                <w:szCs w:val="16"/>
              </w:rPr>
            </w:pPr>
            <w:r w:rsidRPr="00A6210E">
              <w:rPr>
                <w:rFonts w:cs="Segoe UI"/>
                <w:spacing w:val="-5"/>
                <w:sz w:val="16"/>
                <w:szCs w:val="16"/>
              </w:rPr>
              <w:t>78%</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32A75C56" w14:textId="4569BE38" w:rsidR="00D93C9D" w:rsidRPr="00A6210E" w:rsidRDefault="00D93C9D" w:rsidP="00A6210E">
            <w:pPr>
              <w:pStyle w:val="TableText"/>
              <w:rPr>
                <w:rFonts w:cs="Segoe UI"/>
                <w:sz w:val="16"/>
                <w:szCs w:val="16"/>
              </w:rPr>
            </w:pPr>
            <w:r w:rsidRPr="00A6210E">
              <w:rPr>
                <w:rFonts w:cs="Segoe UI"/>
                <w:spacing w:val="-5"/>
                <w:sz w:val="16"/>
                <w:szCs w:val="16"/>
              </w:rPr>
              <w:t>77%</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598E2303" w14:textId="6C684F73" w:rsidR="00D93C9D" w:rsidRPr="00A6210E" w:rsidRDefault="00D93C9D" w:rsidP="00A6210E">
            <w:pPr>
              <w:pStyle w:val="TableText"/>
              <w:rPr>
                <w:rFonts w:cs="Segoe UI"/>
                <w:sz w:val="16"/>
                <w:szCs w:val="16"/>
              </w:rPr>
            </w:pPr>
            <w:r w:rsidRPr="00A6210E">
              <w:rPr>
                <w:rFonts w:cs="Segoe UI"/>
                <w:spacing w:val="-5"/>
                <w:sz w:val="16"/>
                <w:szCs w:val="16"/>
              </w:rPr>
              <w:t>77%</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3CE206C7" w14:textId="02AA6AA0" w:rsidR="00D93C9D" w:rsidRPr="00A6210E" w:rsidRDefault="00D93C9D" w:rsidP="00A6210E">
            <w:pPr>
              <w:pStyle w:val="TableText"/>
              <w:rPr>
                <w:rFonts w:cs="Segoe UI"/>
                <w:sz w:val="16"/>
                <w:szCs w:val="16"/>
              </w:rPr>
            </w:pPr>
            <w:r w:rsidRPr="00A6210E">
              <w:rPr>
                <w:rFonts w:cs="Segoe UI"/>
                <w:spacing w:val="-5"/>
                <w:sz w:val="16"/>
                <w:szCs w:val="16"/>
              </w:rPr>
              <w:t>78%</w:t>
            </w:r>
          </w:p>
        </w:tc>
      </w:tr>
      <w:tr w:rsidR="00D93C9D" w:rsidRPr="00A6210E" w14:paraId="6524BBD0" w14:textId="77777777" w:rsidTr="00A6210E">
        <w:tc>
          <w:tcPr>
            <w:tcW w:w="2122"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48E92F30" w14:textId="3682EE31" w:rsidR="00D93C9D" w:rsidRPr="00A6210E" w:rsidRDefault="00D93C9D" w:rsidP="00A6210E">
            <w:pPr>
              <w:pStyle w:val="TableText"/>
              <w:rPr>
                <w:rFonts w:cs="Segoe UI"/>
                <w:b/>
                <w:bCs/>
                <w:sz w:val="16"/>
                <w:szCs w:val="16"/>
              </w:rPr>
            </w:pPr>
            <w:r w:rsidRPr="00A6210E">
              <w:rPr>
                <w:rFonts w:cs="Segoe UI"/>
                <w:b/>
                <w:bCs/>
                <w:sz w:val="16"/>
                <w:szCs w:val="16"/>
              </w:rPr>
              <w:t>2023/24</w:t>
            </w:r>
          </w:p>
        </w:tc>
        <w:tc>
          <w:tcPr>
            <w:tcW w:w="148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34C4162F" w14:textId="77777777" w:rsidR="00D93C9D" w:rsidRPr="00A6210E" w:rsidRDefault="00D93C9D" w:rsidP="00A6210E">
            <w:pPr>
              <w:pStyle w:val="TableText"/>
              <w:rPr>
                <w:rFonts w:cs="Segoe UI"/>
                <w:b/>
                <w:bCs/>
                <w:sz w:val="16"/>
                <w:szCs w:val="16"/>
              </w:rPr>
            </w:pPr>
            <w:r w:rsidRPr="00A6210E">
              <w:rPr>
                <w:rFonts w:cs="Segoe UI"/>
                <w:b/>
                <w:bCs/>
                <w:sz w:val="16"/>
                <w:szCs w:val="16"/>
              </w:rPr>
              <w:t>Q1</w:t>
            </w:r>
          </w:p>
        </w:tc>
        <w:tc>
          <w:tcPr>
            <w:tcW w:w="1487"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6193E96E" w14:textId="77777777" w:rsidR="00D93C9D" w:rsidRPr="00A6210E" w:rsidRDefault="00D93C9D" w:rsidP="00A6210E">
            <w:pPr>
              <w:pStyle w:val="TableText"/>
              <w:rPr>
                <w:rFonts w:cs="Segoe UI"/>
                <w:b/>
                <w:bCs/>
                <w:sz w:val="16"/>
                <w:szCs w:val="16"/>
              </w:rPr>
            </w:pPr>
            <w:r w:rsidRPr="00A6210E">
              <w:rPr>
                <w:rFonts w:cs="Segoe UI"/>
                <w:b/>
                <w:bCs/>
                <w:sz w:val="16"/>
                <w:szCs w:val="16"/>
              </w:rPr>
              <w:t>Q2</w:t>
            </w:r>
          </w:p>
        </w:tc>
        <w:tc>
          <w:tcPr>
            <w:tcW w:w="1487"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026F116F" w14:textId="77777777" w:rsidR="00D93C9D" w:rsidRPr="00A6210E" w:rsidRDefault="00D93C9D" w:rsidP="00A6210E">
            <w:pPr>
              <w:pStyle w:val="TableText"/>
              <w:rPr>
                <w:rFonts w:cs="Segoe UI"/>
                <w:b/>
                <w:bCs/>
                <w:sz w:val="16"/>
                <w:szCs w:val="16"/>
              </w:rPr>
            </w:pPr>
            <w:r w:rsidRPr="00A6210E">
              <w:rPr>
                <w:rFonts w:cs="Segoe UI"/>
                <w:b/>
                <w:bCs/>
                <w:sz w:val="16"/>
                <w:szCs w:val="16"/>
              </w:rPr>
              <w:t>Q3</w:t>
            </w:r>
          </w:p>
        </w:tc>
        <w:tc>
          <w:tcPr>
            <w:tcW w:w="1487"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79FC7516" w14:textId="77777777" w:rsidR="00D93C9D" w:rsidRPr="00A6210E" w:rsidRDefault="00D93C9D" w:rsidP="00A6210E">
            <w:pPr>
              <w:pStyle w:val="TableText"/>
              <w:rPr>
                <w:rFonts w:cs="Segoe UI"/>
                <w:b/>
                <w:bCs/>
                <w:sz w:val="16"/>
                <w:szCs w:val="16"/>
              </w:rPr>
            </w:pPr>
            <w:r w:rsidRPr="00A6210E">
              <w:rPr>
                <w:rFonts w:cs="Segoe UI"/>
                <w:b/>
                <w:bCs/>
                <w:sz w:val="16"/>
                <w:szCs w:val="16"/>
              </w:rPr>
              <w:t xml:space="preserve">Q4 </w:t>
            </w:r>
          </w:p>
        </w:tc>
      </w:tr>
      <w:tr w:rsidR="00D93C9D" w:rsidRPr="00A6210E" w14:paraId="2DF1CA93" w14:textId="77777777" w:rsidTr="00A6210E">
        <w:tc>
          <w:tcPr>
            <w:tcW w:w="2122" w:type="dxa"/>
            <w:tcBorders>
              <w:top w:val="single" w:sz="4" w:space="0" w:color="A6A6A6" w:themeColor="background1" w:themeShade="A6"/>
              <w:left w:val="nil"/>
              <w:bottom w:val="single" w:sz="4" w:space="0" w:color="A6A6A6" w:themeColor="background1" w:themeShade="A6"/>
              <w:right w:val="nil"/>
            </w:tcBorders>
            <w:hideMark/>
          </w:tcPr>
          <w:p w14:paraId="4D45FDD8" w14:textId="77777777" w:rsidR="00D93C9D" w:rsidRPr="00A6210E" w:rsidRDefault="00D93C9D" w:rsidP="00A6210E">
            <w:pPr>
              <w:pStyle w:val="TableText"/>
              <w:rPr>
                <w:rFonts w:cs="Segoe UI"/>
                <w:sz w:val="16"/>
                <w:szCs w:val="16"/>
              </w:rPr>
            </w:pPr>
            <w:r w:rsidRPr="00A6210E">
              <w:rPr>
                <w:rFonts w:cs="Segoe UI"/>
                <w:sz w:val="16"/>
                <w:szCs w:val="16"/>
              </w:rPr>
              <w:t>All ethnicities</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112814CC" w14:textId="34E7B4DA" w:rsidR="00D93C9D" w:rsidRPr="00A6210E" w:rsidRDefault="00D93C9D" w:rsidP="00A6210E">
            <w:pPr>
              <w:pStyle w:val="TableText"/>
              <w:rPr>
                <w:rFonts w:cs="Segoe UI"/>
                <w:sz w:val="16"/>
                <w:szCs w:val="16"/>
              </w:rPr>
            </w:pPr>
            <w:r w:rsidRPr="00A6210E">
              <w:rPr>
                <w:rFonts w:cs="Segoe UI"/>
                <w:spacing w:val="-2"/>
                <w:sz w:val="16"/>
                <w:szCs w:val="16"/>
              </w:rPr>
              <w:t>77.2%</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49B29AF8" w14:textId="1EE9F531" w:rsidR="00D93C9D" w:rsidRPr="00A6210E" w:rsidRDefault="00D93C9D" w:rsidP="00A6210E">
            <w:pPr>
              <w:pStyle w:val="TableText"/>
              <w:rPr>
                <w:rFonts w:cs="Segoe UI"/>
                <w:sz w:val="16"/>
                <w:szCs w:val="16"/>
              </w:rPr>
            </w:pPr>
            <w:r w:rsidRPr="00A6210E">
              <w:rPr>
                <w:rFonts w:cs="Segoe UI"/>
                <w:spacing w:val="-2"/>
                <w:sz w:val="16"/>
                <w:szCs w:val="16"/>
              </w:rPr>
              <w:t>74.9%</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63EFF329" w14:textId="35269661" w:rsidR="00D93C9D" w:rsidRPr="00A6210E" w:rsidRDefault="00D93C9D" w:rsidP="00A6210E">
            <w:pPr>
              <w:pStyle w:val="TableText"/>
              <w:rPr>
                <w:rFonts w:cs="Segoe UI"/>
                <w:sz w:val="16"/>
                <w:szCs w:val="16"/>
              </w:rPr>
            </w:pPr>
            <w:r w:rsidRPr="00A6210E">
              <w:rPr>
                <w:rFonts w:cs="Segoe UI"/>
                <w:spacing w:val="-2"/>
                <w:sz w:val="16"/>
                <w:szCs w:val="16"/>
              </w:rPr>
              <w:t>75.6%</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07504849" w14:textId="27260949" w:rsidR="00D93C9D" w:rsidRPr="00A6210E" w:rsidRDefault="00D93C9D" w:rsidP="00A6210E">
            <w:pPr>
              <w:pStyle w:val="TableText"/>
              <w:rPr>
                <w:rFonts w:cs="Segoe UI"/>
                <w:sz w:val="16"/>
                <w:szCs w:val="16"/>
              </w:rPr>
            </w:pPr>
            <w:r w:rsidRPr="00A6210E">
              <w:rPr>
                <w:rFonts w:cs="Segoe UI"/>
                <w:spacing w:val="-2"/>
                <w:sz w:val="16"/>
                <w:szCs w:val="16"/>
              </w:rPr>
              <w:t>77.2%</w:t>
            </w:r>
          </w:p>
        </w:tc>
      </w:tr>
      <w:tr w:rsidR="00D93C9D" w:rsidRPr="00A6210E" w14:paraId="19692AFA" w14:textId="77777777" w:rsidTr="00A6210E">
        <w:tc>
          <w:tcPr>
            <w:tcW w:w="2122" w:type="dxa"/>
            <w:tcBorders>
              <w:top w:val="single" w:sz="4" w:space="0" w:color="A6A6A6" w:themeColor="background1" w:themeShade="A6"/>
              <w:left w:val="nil"/>
              <w:bottom w:val="single" w:sz="4" w:space="0" w:color="A6A6A6" w:themeColor="background1" w:themeShade="A6"/>
              <w:right w:val="nil"/>
            </w:tcBorders>
            <w:hideMark/>
          </w:tcPr>
          <w:p w14:paraId="2FF529C4" w14:textId="77777777" w:rsidR="00D93C9D" w:rsidRPr="00A6210E" w:rsidRDefault="00D93C9D" w:rsidP="00A6210E">
            <w:pPr>
              <w:pStyle w:val="TableText"/>
              <w:rPr>
                <w:rFonts w:cs="Segoe UI"/>
                <w:sz w:val="16"/>
                <w:szCs w:val="16"/>
              </w:rPr>
            </w:pPr>
            <w:r w:rsidRPr="00A6210E">
              <w:rPr>
                <w:rFonts w:cs="Segoe UI"/>
                <w:sz w:val="16"/>
                <w:szCs w:val="16"/>
              </w:rPr>
              <w:t>Māori</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6B501F2A" w14:textId="7E2F8849" w:rsidR="00D93C9D" w:rsidRPr="00A6210E" w:rsidRDefault="00D93C9D" w:rsidP="00A6210E">
            <w:pPr>
              <w:pStyle w:val="TableText"/>
              <w:rPr>
                <w:rFonts w:cs="Segoe UI"/>
                <w:sz w:val="16"/>
                <w:szCs w:val="16"/>
              </w:rPr>
            </w:pPr>
            <w:r w:rsidRPr="00A6210E">
              <w:rPr>
                <w:rFonts w:cs="Segoe UI"/>
                <w:spacing w:val="-2"/>
                <w:sz w:val="16"/>
                <w:szCs w:val="16"/>
              </w:rPr>
              <w:t>72.3%</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7BC87BBA" w14:textId="25176D3B" w:rsidR="00D93C9D" w:rsidRPr="00A6210E" w:rsidRDefault="00D93C9D" w:rsidP="00A6210E">
            <w:pPr>
              <w:pStyle w:val="TableText"/>
              <w:rPr>
                <w:rFonts w:cs="Segoe UI"/>
                <w:sz w:val="16"/>
                <w:szCs w:val="16"/>
              </w:rPr>
            </w:pPr>
            <w:r w:rsidRPr="00A6210E">
              <w:rPr>
                <w:rFonts w:cs="Segoe UI"/>
                <w:spacing w:val="-2"/>
                <w:sz w:val="16"/>
                <w:szCs w:val="16"/>
              </w:rPr>
              <w:t>69.7%</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553F76F2" w14:textId="631196AB" w:rsidR="00D93C9D" w:rsidRPr="00A6210E" w:rsidRDefault="00D93C9D" w:rsidP="00A6210E">
            <w:pPr>
              <w:pStyle w:val="TableText"/>
              <w:rPr>
                <w:rFonts w:cs="Segoe UI"/>
                <w:sz w:val="16"/>
                <w:szCs w:val="16"/>
              </w:rPr>
            </w:pPr>
            <w:r w:rsidRPr="00A6210E">
              <w:rPr>
                <w:rFonts w:cs="Segoe UI"/>
                <w:spacing w:val="-2"/>
                <w:sz w:val="16"/>
                <w:szCs w:val="16"/>
              </w:rPr>
              <w:t>70.6%</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7EC2FCCC" w14:textId="6025321A" w:rsidR="00D93C9D" w:rsidRPr="00A6210E" w:rsidRDefault="00D93C9D" w:rsidP="00A6210E">
            <w:pPr>
              <w:pStyle w:val="TableText"/>
              <w:rPr>
                <w:rFonts w:cs="Segoe UI"/>
                <w:sz w:val="16"/>
                <w:szCs w:val="16"/>
              </w:rPr>
            </w:pPr>
            <w:r w:rsidRPr="00A6210E">
              <w:rPr>
                <w:rFonts w:cs="Segoe UI"/>
                <w:spacing w:val="-2"/>
                <w:sz w:val="16"/>
                <w:szCs w:val="16"/>
              </w:rPr>
              <w:t>72.7%</w:t>
            </w:r>
          </w:p>
        </w:tc>
      </w:tr>
      <w:tr w:rsidR="00D93C9D" w:rsidRPr="00A6210E" w14:paraId="569378A4" w14:textId="77777777" w:rsidTr="00A6210E">
        <w:tc>
          <w:tcPr>
            <w:tcW w:w="2122" w:type="dxa"/>
            <w:tcBorders>
              <w:top w:val="single" w:sz="4" w:space="0" w:color="A6A6A6" w:themeColor="background1" w:themeShade="A6"/>
              <w:left w:val="nil"/>
              <w:bottom w:val="single" w:sz="4" w:space="0" w:color="A6A6A6" w:themeColor="background1" w:themeShade="A6"/>
              <w:right w:val="nil"/>
            </w:tcBorders>
            <w:hideMark/>
          </w:tcPr>
          <w:p w14:paraId="72A27EE0" w14:textId="77777777" w:rsidR="00D93C9D" w:rsidRPr="00A6210E" w:rsidRDefault="00D93C9D" w:rsidP="00A6210E">
            <w:pPr>
              <w:pStyle w:val="TableText"/>
              <w:rPr>
                <w:rFonts w:cs="Segoe UI"/>
                <w:sz w:val="16"/>
                <w:szCs w:val="16"/>
              </w:rPr>
            </w:pPr>
            <w:r w:rsidRPr="00A6210E">
              <w:rPr>
                <w:rFonts w:cs="Segoe UI"/>
                <w:sz w:val="16"/>
                <w:szCs w:val="16"/>
              </w:rPr>
              <w:t>Pacific</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5EEA5135" w14:textId="3200B504" w:rsidR="00D93C9D" w:rsidRPr="00A6210E" w:rsidRDefault="00D93C9D" w:rsidP="00A6210E">
            <w:pPr>
              <w:pStyle w:val="TableText"/>
              <w:rPr>
                <w:rFonts w:cs="Segoe UI"/>
                <w:sz w:val="16"/>
                <w:szCs w:val="16"/>
              </w:rPr>
            </w:pPr>
            <w:r w:rsidRPr="00A6210E">
              <w:rPr>
                <w:rFonts w:cs="Segoe UI"/>
                <w:spacing w:val="-2"/>
                <w:sz w:val="16"/>
                <w:szCs w:val="16"/>
              </w:rPr>
              <w:t>73.7%</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5E3A4594" w14:textId="3D4260B3" w:rsidR="00D93C9D" w:rsidRPr="00A6210E" w:rsidRDefault="00D93C9D" w:rsidP="00A6210E">
            <w:pPr>
              <w:pStyle w:val="TableText"/>
              <w:rPr>
                <w:rFonts w:cs="Segoe UI"/>
                <w:sz w:val="16"/>
                <w:szCs w:val="16"/>
              </w:rPr>
            </w:pPr>
            <w:r w:rsidRPr="00A6210E">
              <w:rPr>
                <w:rFonts w:cs="Segoe UI"/>
                <w:spacing w:val="-2"/>
                <w:sz w:val="16"/>
                <w:szCs w:val="16"/>
              </w:rPr>
              <w:t>70.4%</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7C8C2B1C" w14:textId="1633F14A" w:rsidR="00D93C9D" w:rsidRPr="00A6210E" w:rsidRDefault="00D93C9D" w:rsidP="00A6210E">
            <w:pPr>
              <w:pStyle w:val="TableText"/>
              <w:rPr>
                <w:rFonts w:cs="Segoe UI"/>
                <w:sz w:val="16"/>
                <w:szCs w:val="16"/>
              </w:rPr>
            </w:pPr>
            <w:r w:rsidRPr="00A6210E">
              <w:rPr>
                <w:rFonts w:cs="Segoe UI"/>
                <w:spacing w:val="-2"/>
                <w:sz w:val="16"/>
                <w:szCs w:val="16"/>
              </w:rPr>
              <w:t>73.6%</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285EC40A" w14:textId="122DED90" w:rsidR="00D93C9D" w:rsidRPr="00A6210E" w:rsidRDefault="00D93C9D" w:rsidP="00A6210E">
            <w:pPr>
              <w:pStyle w:val="TableText"/>
              <w:rPr>
                <w:rFonts w:cs="Segoe UI"/>
                <w:sz w:val="16"/>
                <w:szCs w:val="16"/>
              </w:rPr>
            </w:pPr>
            <w:r w:rsidRPr="00A6210E">
              <w:rPr>
                <w:rFonts w:cs="Segoe UI"/>
                <w:spacing w:val="-2"/>
                <w:sz w:val="16"/>
                <w:szCs w:val="16"/>
              </w:rPr>
              <w:t>76.2%</w:t>
            </w:r>
          </w:p>
        </w:tc>
      </w:tr>
      <w:tr w:rsidR="00D93C9D" w:rsidRPr="00A6210E" w14:paraId="49D48E11" w14:textId="77777777" w:rsidTr="00A6210E">
        <w:tc>
          <w:tcPr>
            <w:tcW w:w="2122" w:type="dxa"/>
            <w:tcBorders>
              <w:top w:val="single" w:sz="4" w:space="0" w:color="A6A6A6" w:themeColor="background1" w:themeShade="A6"/>
              <w:left w:val="nil"/>
              <w:bottom w:val="single" w:sz="4" w:space="0" w:color="A6A6A6" w:themeColor="background1" w:themeShade="A6"/>
              <w:right w:val="nil"/>
            </w:tcBorders>
            <w:hideMark/>
          </w:tcPr>
          <w:p w14:paraId="72881094" w14:textId="77777777" w:rsidR="00D93C9D" w:rsidRPr="00A6210E" w:rsidRDefault="00D93C9D" w:rsidP="00A6210E">
            <w:pPr>
              <w:pStyle w:val="TableText"/>
              <w:rPr>
                <w:rFonts w:cs="Segoe UI"/>
                <w:sz w:val="16"/>
                <w:szCs w:val="16"/>
              </w:rPr>
            </w:pPr>
            <w:r w:rsidRPr="00A6210E">
              <w:rPr>
                <w:rFonts w:cs="Segoe UI"/>
                <w:sz w:val="16"/>
                <w:szCs w:val="16"/>
              </w:rPr>
              <w:t>Non-Māori non-Pacific</w:t>
            </w:r>
          </w:p>
        </w:tc>
        <w:tc>
          <w:tcPr>
            <w:tcW w:w="1486" w:type="dxa"/>
            <w:tcBorders>
              <w:top w:val="single" w:sz="4" w:space="0" w:color="A6A6A6" w:themeColor="background1" w:themeShade="A6"/>
              <w:left w:val="nil"/>
              <w:bottom w:val="single" w:sz="4" w:space="0" w:color="A6A6A6" w:themeColor="background1" w:themeShade="A6"/>
              <w:right w:val="nil"/>
            </w:tcBorders>
            <w:hideMark/>
          </w:tcPr>
          <w:p w14:paraId="68F0F845" w14:textId="0D9B7DC8" w:rsidR="00D93C9D" w:rsidRPr="00A6210E" w:rsidRDefault="00D93C9D" w:rsidP="00A6210E">
            <w:pPr>
              <w:pStyle w:val="TableText"/>
              <w:rPr>
                <w:rFonts w:cs="Segoe UI"/>
                <w:sz w:val="16"/>
                <w:szCs w:val="16"/>
              </w:rPr>
            </w:pPr>
            <w:r w:rsidRPr="00A6210E">
              <w:rPr>
                <w:rFonts w:cs="Segoe UI"/>
                <w:spacing w:val="-2"/>
                <w:sz w:val="16"/>
                <w:szCs w:val="16"/>
              </w:rPr>
              <w:t>78.2%</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7F716EAA" w14:textId="0FC5A501" w:rsidR="00D93C9D" w:rsidRPr="00A6210E" w:rsidRDefault="00D93C9D" w:rsidP="00A6210E">
            <w:pPr>
              <w:pStyle w:val="TableText"/>
              <w:rPr>
                <w:rFonts w:cs="Segoe UI"/>
                <w:sz w:val="16"/>
                <w:szCs w:val="16"/>
              </w:rPr>
            </w:pPr>
            <w:r w:rsidRPr="00A6210E">
              <w:rPr>
                <w:rFonts w:cs="Segoe UI"/>
                <w:spacing w:val="-2"/>
                <w:sz w:val="16"/>
                <w:szCs w:val="16"/>
              </w:rPr>
              <w:t>76.0%</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3DAF7CC6" w14:textId="416350E1" w:rsidR="00D93C9D" w:rsidRPr="00A6210E" w:rsidRDefault="00D93C9D" w:rsidP="00A6210E">
            <w:pPr>
              <w:pStyle w:val="TableText"/>
              <w:rPr>
                <w:rFonts w:cs="Segoe UI"/>
                <w:sz w:val="16"/>
                <w:szCs w:val="16"/>
              </w:rPr>
            </w:pPr>
            <w:r w:rsidRPr="00A6210E">
              <w:rPr>
                <w:rFonts w:cs="Segoe UI"/>
                <w:spacing w:val="-2"/>
                <w:sz w:val="16"/>
                <w:szCs w:val="16"/>
              </w:rPr>
              <w:t>76.5%</w:t>
            </w:r>
          </w:p>
        </w:tc>
        <w:tc>
          <w:tcPr>
            <w:tcW w:w="1487" w:type="dxa"/>
            <w:tcBorders>
              <w:top w:val="single" w:sz="4" w:space="0" w:color="A6A6A6" w:themeColor="background1" w:themeShade="A6"/>
              <w:left w:val="nil"/>
              <w:bottom w:val="single" w:sz="4" w:space="0" w:color="A6A6A6" w:themeColor="background1" w:themeShade="A6"/>
              <w:right w:val="nil"/>
            </w:tcBorders>
            <w:hideMark/>
          </w:tcPr>
          <w:p w14:paraId="10528C14" w14:textId="3B9253FA" w:rsidR="00D93C9D" w:rsidRPr="00A6210E" w:rsidRDefault="00D93C9D" w:rsidP="00A6210E">
            <w:pPr>
              <w:pStyle w:val="TableText"/>
              <w:rPr>
                <w:rFonts w:cs="Segoe UI"/>
                <w:sz w:val="16"/>
                <w:szCs w:val="16"/>
              </w:rPr>
            </w:pPr>
            <w:r w:rsidRPr="00A6210E">
              <w:rPr>
                <w:rFonts w:cs="Segoe UI"/>
                <w:spacing w:val="-2"/>
                <w:sz w:val="16"/>
                <w:szCs w:val="16"/>
              </w:rPr>
              <w:t>77.5%</w:t>
            </w:r>
          </w:p>
        </w:tc>
      </w:tr>
    </w:tbl>
    <w:p w14:paraId="483E283C" w14:textId="77777777" w:rsidR="00471CB0" w:rsidRDefault="00471CB0" w:rsidP="00471CB0"/>
    <w:p w14:paraId="7F309ED4" w14:textId="77777777" w:rsidR="00950975" w:rsidRDefault="00950975" w:rsidP="00950975">
      <w:pPr>
        <w:pStyle w:val="Heading2"/>
        <w:spacing w:before="0"/>
      </w:pPr>
      <w:bookmarkStart w:id="28" w:name="_Toc180077024"/>
      <w:r>
        <w:lastRenderedPageBreak/>
        <w:t>Significant Budget initiatives</w:t>
      </w:r>
      <w:bookmarkEnd w:id="28"/>
    </w:p>
    <w:p w14:paraId="074A163E" w14:textId="0ABFE255" w:rsidR="00950975" w:rsidRDefault="00950975" w:rsidP="00950975">
      <w:r>
        <w:t>Government departments are expected to provide information that sets out their significant initiatives from at least the previous three Budgets. This supports the move towards increased transparency in annual reporting and helps the public to understand the outcomes of significant investments. Departments are required to note if an initiative has been stopped, scaled back or significantly altered.</w:t>
      </w:r>
    </w:p>
    <w:p w14:paraId="7E5A84CE" w14:textId="77777777" w:rsidR="00950975" w:rsidRDefault="00950975" w:rsidP="00950975"/>
    <w:p w14:paraId="039AC16B" w14:textId="77777777" w:rsidR="00471CB0" w:rsidRDefault="00950975" w:rsidP="00950975">
      <w:r>
        <w:t>As a result of the health system reform of 2022, many of the significant investments for Vote Health are now the responsibility of Health New Zealand. Health New Zealand will report on these investments in its annual report.</w:t>
      </w:r>
    </w:p>
    <w:p w14:paraId="0526920D" w14:textId="77777777" w:rsidR="00950975" w:rsidRDefault="00950975" w:rsidP="00950975">
      <w:pPr>
        <w:pStyle w:val="Heading3"/>
      </w:pPr>
      <w:r w:rsidRPr="00950975">
        <w:t>Reinstating the $5 co-payments for prescriptions with targeted exemption</w:t>
      </w:r>
    </w:p>
    <w:p w14:paraId="0F70F1DA" w14:textId="0D0A487E" w:rsidR="00950975" w:rsidRDefault="00950975" w:rsidP="00950975">
      <w:r>
        <w:t>Budget 2023 provided $619 million over four years to remove the $5 co-payment for prescription medicines, starting in July 2023. It was funded through the Delivering Primary, Community, Public and Population Health Services appropriation, a non-departmental output expense in Vote Health.</w:t>
      </w:r>
    </w:p>
    <w:p w14:paraId="40E7E8B9" w14:textId="77777777" w:rsidR="00950975" w:rsidRDefault="00950975" w:rsidP="00950975"/>
    <w:p w14:paraId="7AFAE6DF" w14:textId="1BD7E64A" w:rsidR="00950975" w:rsidRDefault="00950975" w:rsidP="00950975">
      <w:r>
        <w:t>The new Government has stopped this initiative. From 1 July 2024, people now pay the standard $5 prescription charge. Exemptions apply for those aged 13 years or under, those aged 65 years or over, Community Services Card holders and their dependent children and holders of a Prescription Subsidy Card.</w:t>
      </w:r>
    </w:p>
    <w:p w14:paraId="44AA59A2" w14:textId="77777777" w:rsidR="00950975" w:rsidRDefault="00950975" w:rsidP="00950975"/>
    <w:p w14:paraId="01F0D3CD" w14:textId="77777777" w:rsidR="00950975" w:rsidRDefault="00950975" w:rsidP="00950975">
      <w:r>
        <w:t>The Government estimates that reinstating the co-payments will result in savings of $269.622 million over the next five years. Of this total, $153.479 million is to be used to fund additional medicines, leaving a net saving of $116.143 million over the period.</w:t>
      </w:r>
    </w:p>
    <w:p w14:paraId="285A211D" w14:textId="77777777" w:rsidR="00375553" w:rsidRDefault="00375553" w:rsidP="00950975"/>
    <w:p w14:paraId="50FF2010" w14:textId="77777777" w:rsidR="00375553" w:rsidRDefault="00375553" w:rsidP="00950975"/>
    <w:p w14:paraId="05953FDF" w14:textId="77777777" w:rsidR="00375553" w:rsidRDefault="00375553" w:rsidP="00950975">
      <w:pPr>
        <w:sectPr w:rsidR="00375553" w:rsidSect="008F0115">
          <w:pgSz w:w="11907" w:h="16840" w:code="9"/>
          <w:pgMar w:top="1418" w:right="1701" w:bottom="1134" w:left="1843" w:header="284" w:footer="425" w:gutter="284"/>
          <w:cols w:space="720"/>
        </w:sectPr>
      </w:pPr>
    </w:p>
    <w:p w14:paraId="70560977" w14:textId="3DDD1A8A" w:rsidR="00375553" w:rsidRDefault="00375553" w:rsidP="00375553">
      <w:pPr>
        <w:pStyle w:val="Heading1"/>
      </w:pPr>
      <w:bookmarkStart w:id="29" w:name="_Toc180077025"/>
      <w:r>
        <w:lastRenderedPageBreak/>
        <w:t xml:space="preserve">Who we are and what we do </w:t>
      </w:r>
      <w:r w:rsidR="0044431F">
        <w:t>–</w:t>
      </w:r>
      <w:r>
        <w:t xml:space="preserve"> Ko mātou me ā mātou </w:t>
      </w:r>
      <w:proofErr w:type="gramStart"/>
      <w:r>
        <w:t>mahi</w:t>
      </w:r>
      <w:bookmarkEnd w:id="29"/>
      <w:proofErr w:type="gramEnd"/>
    </w:p>
    <w:p w14:paraId="4BD93009" w14:textId="77777777" w:rsidR="00375553" w:rsidRDefault="00375553" w:rsidP="00375553">
      <w:pPr>
        <w:pStyle w:val="Heading2"/>
      </w:pPr>
      <w:bookmarkStart w:id="30" w:name="_Toc180077026"/>
      <w:r w:rsidRPr="00375553">
        <w:t>How we are set up to give effect to our role</w:t>
      </w:r>
      <w:bookmarkEnd w:id="30"/>
    </w:p>
    <w:p w14:paraId="324568A3" w14:textId="77777777" w:rsidR="00375553" w:rsidRDefault="00375553" w:rsidP="00A6210E">
      <w:pPr>
        <w:pStyle w:val="Heading4"/>
      </w:pPr>
      <w:r w:rsidRPr="00375553">
        <w:t>Our role as chief steward of health and the health system</w:t>
      </w:r>
    </w:p>
    <w:p w14:paraId="1AF6D7BD" w14:textId="77777777" w:rsidR="00375553" w:rsidRDefault="00375553" w:rsidP="00375553">
      <w:r>
        <w:t>As chief steward, the Ministry sets the direction, policy, regulatory framework, and investment for health, and monitors outcomes and system and organisational performance. The Ministry also includes:</w:t>
      </w:r>
    </w:p>
    <w:p w14:paraId="0ABF3213" w14:textId="249192AB" w:rsidR="00375553" w:rsidRDefault="00375553" w:rsidP="00375553">
      <w:pPr>
        <w:pStyle w:val="Bullet"/>
      </w:pPr>
      <w:r>
        <w:t xml:space="preserve">the Public Health Agency, which provides leadership on public </w:t>
      </w:r>
      <w:proofErr w:type="gramStart"/>
      <w:r>
        <w:t>health</w:t>
      </w:r>
      <w:proofErr w:type="gramEnd"/>
    </w:p>
    <w:p w14:paraId="63F0B028" w14:textId="46EA5792" w:rsidR="00375553" w:rsidRDefault="00375553" w:rsidP="00375553">
      <w:pPr>
        <w:pStyle w:val="Bullet"/>
      </w:pPr>
      <w:r>
        <w:t>Medsafe, which regulates therapeutic products.</w:t>
      </w:r>
    </w:p>
    <w:p w14:paraId="3864E19E" w14:textId="77777777" w:rsidR="00375553" w:rsidRDefault="00375553" w:rsidP="00375553"/>
    <w:p w14:paraId="01E4FEC9" w14:textId="77777777" w:rsidR="00375553" w:rsidRDefault="00375553" w:rsidP="00375553">
      <w:r>
        <w:t>Our role is to create an environment where New Zealanders are supported to stay well, and all parts of the health system are supported to operate at their best.</w:t>
      </w:r>
    </w:p>
    <w:p w14:paraId="060E3DF6" w14:textId="77777777" w:rsidR="00375553" w:rsidRDefault="00375553" w:rsidP="00A6210E">
      <w:pPr>
        <w:pStyle w:val="Heading4"/>
      </w:pPr>
      <w:r w:rsidRPr="00375553">
        <w:t>Kaitiakitanga and our role as kaitiaki of the health system</w:t>
      </w:r>
    </w:p>
    <w:p w14:paraId="76E3093A" w14:textId="77777777" w:rsidR="00375553" w:rsidRDefault="00375553" w:rsidP="00375553">
      <w:r w:rsidRPr="00375553">
        <w:t>Kaitiakitanga is a Māori world view on stewardship. As kaitiaki of the health system, it is our responsibility to enable the mana of people, nurture their mauri, achieve better health outcomes for all New Zealanders – and uphold and contribute towards meeting the Crown’s obligations under Te Tiriti.</w:t>
      </w:r>
    </w:p>
    <w:p w14:paraId="2D24AAB2" w14:textId="6BEC3D45" w:rsidR="00A6210E" w:rsidRDefault="00375553" w:rsidP="00A6210E">
      <w:pPr>
        <w:pStyle w:val="Heading3"/>
      </w:pPr>
      <w:r w:rsidRPr="00375553">
        <w:t>Our directorates</w:t>
      </w:r>
    </w:p>
    <w:p w14:paraId="60F774F4" w14:textId="510A756A" w:rsidR="00FB0018" w:rsidRPr="00FB0018" w:rsidRDefault="00FB0018" w:rsidP="00FB0018">
      <w:r>
        <w:t>Our organisational structure includes the Director-General of Health and Chief Executive, and eight directorates.</w:t>
      </w:r>
    </w:p>
    <w:p w14:paraId="6A128473" w14:textId="77777777" w:rsidR="00A6210E" w:rsidRDefault="00A6210E" w:rsidP="00A6210E">
      <w:r>
        <w:rPr>
          <w:noProof/>
        </w:rPr>
        <w:drawing>
          <wp:inline distT="0" distB="0" distL="0" distR="0" wp14:anchorId="6967B000" wp14:editId="547F675A">
            <wp:extent cx="5130165" cy="1398905"/>
            <wp:effectExtent l="0" t="0" r="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5130165" cy="1398905"/>
                    </a:xfrm>
                    <a:prstGeom prst="rect">
                      <a:avLst/>
                    </a:prstGeom>
                  </pic:spPr>
                </pic:pic>
              </a:graphicData>
            </a:graphic>
          </wp:inline>
        </w:drawing>
      </w:r>
    </w:p>
    <w:p w14:paraId="61272AC7" w14:textId="77777777" w:rsidR="006C13FF" w:rsidRDefault="006C13FF" w:rsidP="00A6210E"/>
    <w:p w14:paraId="449BE22D" w14:textId="7E774DDC" w:rsidR="006C13FF" w:rsidRPr="00FB0018" w:rsidRDefault="006C13FF" w:rsidP="006C13FF">
      <w:pPr>
        <w:spacing w:before="120"/>
        <w:rPr>
          <w:b/>
          <w:bCs/>
        </w:rPr>
      </w:pPr>
      <w:r w:rsidRPr="00FB0018">
        <w:rPr>
          <w:b/>
          <w:bCs/>
        </w:rPr>
        <w:t>Six directorates focus on the delivery of our core roles and responsibilities.</w:t>
      </w:r>
    </w:p>
    <w:p w14:paraId="382905C8" w14:textId="77777777" w:rsidR="006C13FF" w:rsidRDefault="006C13FF" w:rsidP="006C13FF">
      <w:pPr>
        <w:pStyle w:val="Heading4"/>
      </w:pPr>
      <w:r w:rsidRPr="006C13FF">
        <w:t>Strategy, Policy and Legislation – Te Pou Rautaki</w:t>
      </w:r>
    </w:p>
    <w:p w14:paraId="2DBB8187" w14:textId="22580409" w:rsidR="006C13FF" w:rsidRDefault="006C13FF" w:rsidP="006C13FF">
      <w:r>
        <w:t xml:space="preserve">The Strategy, Policy and Legislation directorate provides leadership across the Ministry to achieve our overall priority as the Government’s primary advisor on health priority </w:t>
      </w:r>
      <w:r>
        <w:lastRenderedPageBreak/>
        <w:t>setting, strategy and policy. The directorate leads long-term strategy, setting direction and priority areas for investment. It also leads the Ministry’s policy advice.</w:t>
      </w:r>
    </w:p>
    <w:p w14:paraId="259F8970" w14:textId="77777777" w:rsidR="006C13FF" w:rsidRDefault="006C13FF" w:rsidP="006C13FF"/>
    <w:p w14:paraId="6386A127" w14:textId="77777777" w:rsidR="006C13FF" w:rsidRDefault="006C13FF" w:rsidP="006C13FF">
      <w:r>
        <w:t>Its strategy function sets the longer-term vision and overall direction for the health and wellbeing of the people of Aotearoa New Zealand. The policy function translates strategy into the tools, rules and requirements to achieve the direction. Legislation is one of the levers used when all practical options for achieving a policy objective have been considered.</w:t>
      </w:r>
    </w:p>
    <w:p w14:paraId="24F18F6C" w14:textId="77777777" w:rsidR="006C13FF" w:rsidRDefault="006C13FF" w:rsidP="006C13FF">
      <w:pPr>
        <w:pStyle w:val="Heading4"/>
      </w:pPr>
      <w:r w:rsidRPr="006C13FF">
        <w:t>Regulation and Monitoring – Te Pou Whakamaru</w:t>
      </w:r>
    </w:p>
    <w:p w14:paraId="77DEF53C" w14:textId="368CD921" w:rsidR="006C13FF" w:rsidRDefault="006C13FF" w:rsidP="006C13FF">
      <w:r>
        <w:t>The Regulation and Monitoring directorate combines two of the Ministry’s primary roles. As a regulator, the Ministry is responsible for ensuring public safety and quality. Regulation interprets and applies Government expectations through approving, certifying and licensing responsible authorities, services, products and providers, and monitoring compliance.</w:t>
      </w:r>
    </w:p>
    <w:p w14:paraId="54729463" w14:textId="77777777" w:rsidR="006C13FF" w:rsidRDefault="006C13FF" w:rsidP="006C13FF"/>
    <w:p w14:paraId="48D34086" w14:textId="77777777" w:rsidR="006C13FF" w:rsidRDefault="006C13FF" w:rsidP="006C13FF">
      <w:r>
        <w:t>The Ministry monitors the performance of the health system as a whole and the individual entities within it in achieving Government priorities and their responsibilities under the Pae Ora (Healthy Futures) Act 2022 and the Crown Entities Act 2024. Our monitoring function provides insights and advice about performance, risks and opportunities, which give assurance to Ministers and inform our wider strategic work.</w:t>
      </w:r>
    </w:p>
    <w:p w14:paraId="459947BD" w14:textId="77777777" w:rsidR="006C13FF" w:rsidRDefault="006C13FF" w:rsidP="006C13FF">
      <w:pPr>
        <w:pStyle w:val="Heading4"/>
      </w:pPr>
      <w:r w:rsidRPr="006C13FF">
        <w:t>Public Health Agency – Te Pou Hauora Tūmatanui</w:t>
      </w:r>
    </w:p>
    <w:p w14:paraId="6DC0F464" w14:textId="45FBAE50" w:rsidR="006C13FF" w:rsidRDefault="006C13FF" w:rsidP="006C13FF">
      <w:r>
        <w:t>The Public Health Agency is a distinct business unit within the Ministry. It leads on public and population health strategy, policy, regulation, intelligence, evaluation and monitoring functions. Its work includes coordinating and collaborating across government and sectors on the broader determinants of health.</w:t>
      </w:r>
    </w:p>
    <w:p w14:paraId="635B027C" w14:textId="77777777" w:rsidR="006C13FF" w:rsidRDefault="006C13FF" w:rsidP="006C13FF"/>
    <w:p w14:paraId="53F5BA71" w14:textId="529C36DD" w:rsidR="006C13FF" w:rsidRDefault="006C13FF" w:rsidP="006C13FF">
      <w:r>
        <w:t>The Public Health Agency advises central government on what public health measures are needed to improve everyone’s health, now and into the future.</w:t>
      </w:r>
    </w:p>
    <w:p w14:paraId="4DF1A569" w14:textId="735F6AA7" w:rsidR="006C13FF" w:rsidRDefault="006C13FF" w:rsidP="006C13FF">
      <w:pPr>
        <w:pStyle w:val="Heading4"/>
      </w:pPr>
      <w:r w:rsidRPr="006C13FF">
        <w:t>Māori Health – Te Pou Hauora Māori</w:t>
      </w:r>
    </w:p>
    <w:p w14:paraId="2E8B6E1F" w14:textId="37EF6C6E" w:rsidR="006C13FF" w:rsidRDefault="006C13FF" w:rsidP="006C13FF">
      <w:r w:rsidRPr="006C13FF">
        <w:t>As the Minister of Health’s chief steward for Māori health, Te Pou Hauora Māori exercises the Ministry’s kaitiakitanga function for Māori health. This function provides assurance that the health system is meeting its obligations under Te Tiriti, addressing Māori health aspirations and achieving equity for Māori.</w:t>
      </w:r>
    </w:p>
    <w:p w14:paraId="4DC88EDA" w14:textId="77777777" w:rsidR="006C13FF" w:rsidRDefault="006C13FF" w:rsidP="006C13FF">
      <w:pPr>
        <w:pStyle w:val="Heading4"/>
      </w:pPr>
      <w:r w:rsidRPr="006C13FF">
        <w:t>Clinical, Community and Mental Health – Te Pou Whakakaha</w:t>
      </w:r>
    </w:p>
    <w:p w14:paraId="1E14283A" w14:textId="19474E95" w:rsidR="006C13FF" w:rsidRDefault="006C13FF" w:rsidP="006C13FF">
      <w:r>
        <w:t>The Clinical, Community and Mental Health directorate provides specialist capabilities and knowledge in clinical leadership and in mental health, addiction and suicide prevention. It draws on research, insights and leading practice locally and globally, informed by sector-wide networks. It offers a deep understanding of clinical service delivery and performance, as well as the drivers behind poor or inequitable outcomes.</w:t>
      </w:r>
    </w:p>
    <w:p w14:paraId="5F9E7342" w14:textId="77777777" w:rsidR="00FB0018" w:rsidRDefault="00FB0018" w:rsidP="006C13FF"/>
    <w:p w14:paraId="451AC5B1" w14:textId="77777777" w:rsidR="006C13FF" w:rsidRDefault="006C13FF" w:rsidP="006C13FF">
      <w:r>
        <w:t xml:space="preserve">This directorate is the chief advisor to the Minister for Mental Health and leads a whole-of-government approach to mental wellbeing. It administers legislation related to mental health and addiction and provides clinical advice across all health portfolios. </w:t>
      </w:r>
      <w:r>
        <w:lastRenderedPageBreak/>
        <w:t>It also brings a clinical quality and safety lens to monitoring system and entity performance.</w:t>
      </w:r>
    </w:p>
    <w:p w14:paraId="2A696355" w14:textId="77777777" w:rsidR="006C13FF" w:rsidRDefault="006C13FF" w:rsidP="006C13FF">
      <w:pPr>
        <w:pStyle w:val="Heading4"/>
      </w:pPr>
      <w:r w:rsidRPr="006C13FF">
        <w:t>Evidence, Research and Innovation – Te Pou Whakamārama</w:t>
      </w:r>
    </w:p>
    <w:p w14:paraId="5C3F5913" w14:textId="5E1F712B" w:rsidR="006C13FF" w:rsidRDefault="006C13FF" w:rsidP="006C13FF">
      <w:r>
        <w:t>The Evidence, Research and Innovation directorate provides high-quality analytics, research, science, health economics and other evidence to help make evidence-led decisions, strategies and policies and to drive innovation.</w:t>
      </w:r>
    </w:p>
    <w:p w14:paraId="77456139" w14:textId="77777777" w:rsidR="006C13FF" w:rsidRDefault="006C13FF" w:rsidP="006C13FF"/>
    <w:p w14:paraId="61CE84CE" w14:textId="5811CAE6" w:rsidR="006C13FF" w:rsidRDefault="006C13FF" w:rsidP="006C13FF">
      <w:r>
        <w:t>It works closely with people across the Ministry, delivering timely and fit-for-purpose evidence to inform decision-making against our priorities. It leads the conversation, driving sector-wide work programmes and generating evidence in line with our priorities.</w:t>
      </w:r>
    </w:p>
    <w:p w14:paraId="1D9F8E4E" w14:textId="77777777" w:rsidR="006C13FF" w:rsidRDefault="006C13FF" w:rsidP="006C13FF"/>
    <w:p w14:paraId="158DE76E" w14:textId="77777777" w:rsidR="006C13FF" w:rsidRPr="006C13FF" w:rsidRDefault="006C13FF" w:rsidP="006C13FF">
      <w:pPr>
        <w:rPr>
          <w:b/>
          <w:bCs/>
        </w:rPr>
      </w:pPr>
      <w:r w:rsidRPr="006C13FF">
        <w:rPr>
          <w:b/>
          <w:bCs/>
        </w:rPr>
        <w:t>Two directorates consolidate the functions and capabilities needed to run the Ministry as an effective organisation and government department.</w:t>
      </w:r>
    </w:p>
    <w:p w14:paraId="672B2736" w14:textId="77777777" w:rsidR="006C13FF" w:rsidRDefault="006C13FF" w:rsidP="006C13FF">
      <w:pPr>
        <w:pStyle w:val="Heading4"/>
      </w:pPr>
      <w:r w:rsidRPr="006C13FF">
        <w:t>Government and Executive Services – Te Pou Whakatere Kāwanatanga</w:t>
      </w:r>
    </w:p>
    <w:p w14:paraId="5F66EAE4" w14:textId="77777777" w:rsidR="006C13FF" w:rsidRDefault="006C13FF" w:rsidP="006C13FF">
      <w:r>
        <w:t>The Government and Executive Services directorate provides expertise and support to the organisation and to Ministers to ensure we operate as a good public service agency, adhering to the conventions and norms of our system of government.</w:t>
      </w:r>
    </w:p>
    <w:p w14:paraId="70074A6F" w14:textId="77777777" w:rsidR="006C13FF" w:rsidRDefault="006C13FF" w:rsidP="006C13FF">
      <w:r>
        <w:t>It supports our leaders and people to tell our strategic story, uphold our reputation (and trust), maintain accountability, protect our brand and champion integrity. This is done through having strong organisational governance and systems, processes, frameworks and policies that support our people to do the right things every day in accordance with relevant laws and conventions.</w:t>
      </w:r>
    </w:p>
    <w:p w14:paraId="45CAA9BA" w14:textId="77777777" w:rsidR="006C13FF" w:rsidRDefault="006C13FF" w:rsidP="006C13FF">
      <w:pPr>
        <w:pStyle w:val="Heading4"/>
      </w:pPr>
      <w:r w:rsidRPr="006C13FF">
        <w:t>Corporate Services – Te Pou Tiaki</w:t>
      </w:r>
    </w:p>
    <w:p w14:paraId="50307AA2" w14:textId="77777777" w:rsidR="006C13FF" w:rsidRPr="006C13FF" w:rsidRDefault="006C13FF" w:rsidP="006C13FF">
      <w:r w:rsidRPr="006C13FF">
        <w:t>The Corporate Services directorate ensures that the internal machinery of the Ministry works well so that it supports our people to do their jobs to the best of their ability and keeps them safe at work. It manages key organisational risks, and monitors and reports on the Ministry’s overall performance (financial and non-financial). It also ensures that the Ministry is aligned with direction from the Public Service Commission and central government.</w:t>
      </w:r>
    </w:p>
    <w:p w14:paraId="43C19CBA" w14:textId="77777777" w:rsidR="006C13FF" w:rsidRDefault="006C13FF" w:rsidP="006C13FF"/>
    <w:p w14:paraId="74AC65AB" w14:textId="77777777" w:rsidR="006C13FF" w:rsidRPr="006C13FF" w:rsidRDefault="006C13FF" w:rsidP="006C13FF">
      <w:pPr>
        <w:rPr>
          <w:b/>
          <w:bCs/>
        </w:rPr>
      </w:pPr>
      <w:r w:rsidRPr="006C13FF">
        <w:rPr>
          <w:b/>
          <w:bCs/>
        </w:rPr>
        <w:t>The Ministry has three time-limited offices.</w:t>
      </w:r>
    </w:p>
    <w:p w14:paraId="7B86A0D5" w14:textId="77777777" w:rsidR="006C13FF" w:rsidRDefault="006C13FF" w:rsidP="006C13FF">
      <w:pPr>
        <w:pStyle w:val="Heading4"/>
      </w:pPr>
      <w:r w:rsidRPr="006C13FF">
        <w:t>System Reform Integration Office and System Reform Assurance Office</w:t>
      </w:r>
    </w:p>
    <w:p w14:paraId="37CD1B3A" w14:textId="77777777" w:rsidR="006C13FF" w:rsidRDefault="006C13FF" w:rsidP="006C13FF">
      <w:r w:rsidRPr="006C13FF">
        <w:t>Together, the System Reform Integration Office and System Reform Assurance Office ensure implementation of the health reform is effectively integrated across the system and provide assurance over the reform programme.</w:t>
      </w:r>
    </w:p>
    <w:p w14:paraId="7D34F106" w14:textId="77777777" w:rsidR="006C13FF" w:rsidRDefault="006C13FF" w:rsidP="006C13FF">
      <w:pPr>
        <w:pStyle w:val="Heading4"/>
      </w:pPr>
      <w:r w:rsidRPr="006C13FF">
        <w:t>Transformation Management Office</w:t>
      </w:r>
    </w:p>
    <w:p w14:paraId="2BEA5289" w14:textId="77777777" w:rsidR="006C13FF" w:rsidRDefault="006C13FF" w:rsidP="006C13FF">
      <w:pPr>
        <w:sectPr w:rsidR="006C13FF" w:rsidSect="008F0115">
          <w:pgSz w:w="11907" w:h="16840" w:code="9"/>
          <w:pgMar w:top="1418" w:right="1701" w:bottom="1134" w:left="1843" w:header="284" w:footer="425" w:gutter="284"/>
          <w:cols w:space="720"/>
        </w:sectPr>
      </w:pPr>
      <w:r w:rsidRPr="006C13FF">
        <w:t>The Transformation Management Office has been the vehicle through which we have designed and delivered a longer-term programme of work to grow the Ministry’s capability and to continue to develop, and further embed improved ways of working.</w:t>
      </w:r>
    </w:p>
    <w:p w14:paraId="5CA8BD43" w14:textId="77777777" w:rsidR="006C13FF" w:rsidRPr="006C13FF" w:rsidRDefault="006C13FF" w:rsidP="006C13FF">
      <w:pPr>
        <w:pStyle w:val="Heading3"/>
        <w:spacing w:before="0"/>
      </w:pPr>
      <w:r w:rsidRPr="006C13FF">
        <w:lastRenderedPageBreak/>
        <w:t xml:space="preserve">Our governance </w:t>
      </w:r>
      <w:proofErr w:type="gramStart"/>
      <w:r w:rsidRPr="006C13FF">
        <w:t>structure</w:t>
      </w:r>
      <w:proofErr w:type="gramEnd"/>
    </w:p>
    <w:p w14:paraId="548F584D" w14:textId="77777777" w:rsidR="006C13FF" w:rsidRDefault="006C13FF" w:rsidP="006C13FF">
      <w:r>
        <w:t>Governance enables the Ministry to operate effectively and achieve its core purpose through a framework of leadership, assurance and decision-making. The Ministry’s main governance forums are the Executive Governance Team (EGT), Strategic Stewardship Team (SST) and Operational Leadership Team (OLT). Members of each of these teams work collaboratively and think strategically about the interests of the Ministry. This approach provides a whole-of-system perspective, making sure that the right things are done at the right time, we are kept on track and the Ministry is kept safe from risk.</w:t>
      </w:r>
    </w:p>
    <w:p w14:paraId="74EEE176" w14:textId="77777777" w:rsidR="006C13FF" w:rsidRDefault="006C13FF" w:rsidP="006C13FF">
      <w:pPr>
        <w:pStyle w:val="Heading4"/>
      </w:pPr>
      <w:r w:rsidRPr="006C13FF">
        <w:t>Executive Governance Team</w:t>
      </w:r>
    </w:p>
    <w:p w14:paraId="0B1CC5E3" w14:textId="77777777" w:rsidR="006C13FF" w:rsidRDefault="006C13FF" w:rsidP="006C13FF">
      <w:r>
        <w:t>The EGT is the Ministry’s strategic governance mechanism and final decision-making body with responsibilities that align with those of a board. Its purpose is to:</w:t>
      </w:r>
    </w:p>
    <w:p w14:paraId="69E03E39" w14:textId="1AE802B4" w:rsidR="006C13FF" w:rsidRDefault="006C13FF" w:rsidP="007123AC">
      <w:pPr>
        <w:pStyle w:val="Number"/>
        <w:numPr>
          <w:ilvl w:val="0"/>
          <w:numId w:val="27"/>
        </w:numPr>
        <w:ind w:left="426" w:hanging="426"/>
      </w:pPr>
      <w:r>
        <w:t xml:space="preserve">set the aspirations, organisational purpose, long-term strategy and collective interests of the </w:t>
      </w:r>
      <w:proofErr w:type="gramStart"/>
      <w:r>
        <w:t>Ministry</w:t>
      </w:r>
      <w:proofErr w:type="gramEnd"/>
    </w:p>
    <w:p w14:paraId="5AC009B7" w14:textId="358D6EF2" w:rsidR="006C13FF" w:rsidRDefault="006C13FF" w:rsidP="007123AC">
      <w:pPr>
        <w:pStyle w:val="Number"/>
        <w:numPr>
          <w:ilvl w:val="0"/>
          <w:numId w:val="27"/>
        </w:numPr>
        <w:ind w:left="426" w:hanging="426"/>
      </w:pPr>
      <w:r>
        <w:t xml:space="preserve">set, model and advocate for the desired organisational culture and behaviours that will achieve a sustainable organisation and attain the desired strategic </w:t>
      </w:r>
      <w:proofErr w:type="gramStart"/>
      <w:r>
        <w:t>direction</w:t>
      </w:r>
      <w:proofErr w:type="gramEnd"/>
    </w:p>
    <w:p w14:paraId="144198BC" w14:textId="40366619" w:rsidR="006C13FF" w:rsidRDefault="006C13FF" w:rsidP="007123AC">
      <w:pPr>
        <w:pStyle w:val="Number"/>
        <w:numPr>
          <w:ilvl w:val="0"/>
          <w:numId w:val="27"/>
        </w:numPr>
        <w:ind w:left="426" w:hanging="426"/>
      </w:pPr>
      <w:r>
        <w:t xml:space="preserve">determine and maintain governance structures, systems and </w:t>
      </w:r>
      <w:proofErr w:type="gramStart"/>
      <w:r>
        <w:t>practices</w:t>
      </w:r>
      <w:proofErr w:type="gramEnd"/>
    </w:p>
    <w:p w14:paraId="338D2350" w14:textId="770B1BA4" w:rsidR="006C13FF" w:rsidRDefault="006C13FF" w:rsidP="007123AC">
      <w:pPr>
        <w:pStyle w:val="Number"/>
        <w:numPr>
          <w:ilvl w:val="0"/>
          <w:numId w:val="27"/>
        </w:numPr>
        <w:ind w:left="426" w:hanging="426"/>
      </w:pPr>
      <w:r>
        <w:t xml:space="preserve">ensure a clear and demonstrable focus on Te Tiriti and the achievement of </w:t>
      </w:r>
      <w:proofErr w:type="gramStart"/>
      <w:r>
        <w:t>equity</w:t>
      </w:r>
      <w:proofErr w:type="gramEnd"/>
    </w:p>
    <w:p w14:paraId="489084AF" w14:textId="3C3B0C7F" w:rsidR="006C13FF" w:rsidRDefault="006C13FF" w:rsidP="007123AC">
      <w:pPr>
        <w:pStyle w:val="Number"/>
        <w:numPr>
          <w:ilvl w:val="0"/>
          <w:numId w:val="27"/>
        </w:numPr>
        <w:ind w:left="426" w:hanging="426"/>
      </w:pPr>
      <w:r>
        <w:t xml:space="preserve">ensure high-quality regulatory stewardship processes are in </w:t>
      </w:r>
      <w:proofErr w:type="gramStart"/>
      <w:r>
        <w:t>place</w:t>
      </w:r>
      <w:proofErr w:type="gramEnd"/>
    </w:p>
    <w:p w14:paraId="6B3F187F" w14:textId="360E61BB" w:rsidR="006C13FF" w:rsidRDefault="006C13FF" w:rsidP="007123AC">
      <w:pPr>
        <w:pStyle w:val="Number"/>
        <w:numPr>
          <w:ilvl w:val="0"/>
          <w:numId w:val="27"/>
        </w:numPr>
        <w:ind w:left="426" w:hanging="426"/>
      </w:pPr>
      <w:r>
        <w:t>hold the organisation to account on the delivery of its purpose and functions.</w:t>
      </w:r>
    </w:p>
    <w:p w14:paraId="77F08A81" w14:textId="77777777" w:rsidR="0015744F" w:rsidRDefault="0015744F" w:rsidP="006C13FF"/>
    <w:p w14:paraId="0DA2640F" w14:textId="5CB88F9B" w:rsidR="006C13FF" w:rsidRDefault="006C13FF" w:rsidP="006C13FF">
      <w:r>
        <w:t>The Director-General of Health and all deputy directors-general are members of the EGT. They meet monthly. For more information, go to Executive Governance Team on the Ministry’s website.</w:t>
      </w:r>
      <w:r w:rsidR="0015744F">
        <w:rPr>
          <w:rStyle w:val="FootnoteReference"/>
        </w:rPr>
        <w:footnoteReference w:id="37"/>
      </w:r>
    </w:p>
    <w:p w14:paraId="6CBB38E1" w14:textId="66BA6F15" w:rsidR="00FB0018" w:rsidRDefault="00FB0018" w:rsidP="00FB0018">
      <w:pPr>
        <w:pStyle w:val="Heading4"/>
      </w:pPr>
      <w:r>
        <w:t>Strategic Stewardship Team</w:t>
      </w:r>
    </w:p>
    <w:p w14:paraId="19447876" w14:textId="5E9FCCFA" w:rsidR="00FB0018" w:rsidRDefault="00FB0018" w:rsidP="00FB0018">
      <w:r>
        <w:t>The SST is a new group with responsibility for enabling an adaptive approach to strategic thinking and helping us deliver on our stewardship role. Although the SST holds no decision-making powers, it plays an important role in providing key advice to the EGT. SST meets six-monthly.</w:t>
      </w:r>
    </w:p>
    <w:p w14:paraId="52C118FC" w14:textId="19DAEC25" w:rsidR="00FB0018" w:rsidRDefault="00FB0018" w:rsidP="00FB0018">
      <w:pPr>
        <w:pStyle w:val="Heading4"/>
      </w:pPr>
      <w:r>
        <w:t>Operational Leadership Team</w:t>
      </w:r>
    </w:p>
    <w:p w14:paraId="0FCB8712" w14:textId="7EA20F85" w:rsidR="00FB0018" w:rsidRDefault="00FB0018" w:rsidP="00FB0018">
      <w:r>
        <w:t xml:space="preserve">The OLT provides operational leadership across the Ministry. Its functions include: </w:t>
      </w:r>
    </w:p>
    <w:p w14:paraId="0E09877F" w14:textId="375B4342" w:rsidR="00FB0018" w:rsidRDefault="00FB0018" w:rsidP="00FB0018">
      <w:pPr>
        <w:pStyle w:val="Bullet"/>
      </w:pPr>
      <w:r>
        <w:t>overseeing and monitoring organisational performance</w:t>
      </w:r>
    </w:p>
    <w:p w14:paraId="742E5436" w14:textId="240EE4F5" w:rsidR="00FB0018" w:rsidRDefault="00FB0018" w:rsidP="00FB0018">
      <w:pPr>
        <w:pStyle w:val="Bullet"/>
      </w:pPr>
      <w:r>
        <w:t xml:space="preserve">aligning operational activities and capability to the Ministry’s organisational strategies and priorities, as set by the </w:t>
      </w:r>
      <w:proofErr w:type="gramStart"/>
      <w:r>
        <w:t>EGT</w:t>
      </w:r>
      <w:proofErr w:type="gramEnd"/>
    </w:p>
    <w:p w14:paraId="297E91AA" w14:textId="3DF8CDA8" w:rsidR="00FB0018" w:rsidRDefault="00FB0018" w:rsidP="00FB0018">
      <w:pPr>
        <w:pStyle w:val="Bullet"/>
      </w:pPr>
      <w:r>
        <w:t>providing timely and agile direction for the delivery of key initiatives, risks and issues</w:t>
      </w:r>
    </w:p>
    <w:p w14:paraId="33876A7D" w14:textId="140A65CE" w:rsidR="00FB0018" w:rsidRDefault="00FB0018" w:rsidP="00FB0018">
      <w:pPr>
        <w:pStyle w:val="Bullet"/>
      </w:pPr>
      <w:r>
        <w:lastRenderedPageBreak/>
        <w:t>overseeing organisational policies and processes such as business continuity, business planning processes, procurement, recruitment, people, information technology, security and privacy</w:t>
      </w:r>
    </w:p>
    <w:p w14:paraId="787BE054" w14:textId="77777777" w:rsidR="0015744F" w:rsidRDefault="0015744F" w:rsidP="0015744F">
      <w:pPr>
        <w:pStyle w:val="Heading3"/>
      </w:pPr>
      <w:r>
        <w:t>Risk and Assurance Committee</w:t>
      </w:r>
    </w:p>
    <w:p w14:paraId="4359DD8B" w14:textId="77777777" w:rsidR="0015744F" w:rsidRDefault="0015744F" w:rsidP="0015744F">
      <w:r>
        <w:t>The Risk and Assurance Committee (RAC) provides independent, trusted advice and support to the Director-General of Health on strategic and operational risks and issues. In particular, it focuses on:</w:t>
      </w:r>
    </w:p>
    <w:p w14:paraId="6994EE0B" w14:textId="1F519295" w:rsidR="0015744F" w:rsidRDefault="0015744F" w:rsidP="0015744F">
      <w:pPr>
        <w:pStyle w:val="Bullet"/>
      </w:pPr>
      <w:r>
        <w:t>policy, control and compliance frameworks</w:t>
      </w:r>
    </w:p>
    <w:p w14:paraId="117CFFF4" w14:textId="69B44259" w:rsidR="0015744F" w:rsidRDefault="0015744F" w:rsidP="0015744F">
      <w:pPr>
        <w:pStyle w:val="Bullet"/>
      </w:pPr>
      <w:r>
        <w:t xml:space="preserve">the effectiveness of controls and identifying potential improvements to control </w:t>
      </w:r>
      <w:proofErr w:type="gramStart"/>
      <w:r>
        <w:t>practices</w:t>
      </w:r>
      <w:proofErr w:type="gramEnd"/>
    </w:p>
    <w:p w14:paraId="0373F2F6" w14:textId="290F7F1D" w:rsidR="0015744F" w:rsidRDefault="0015744F" w:rsidP="0015744F">
      <w:pPr>
        <w:pStyle w:val="Bullet"/>
      </w:pPr>
      <w:r>
        <w:t>suitability and coverage of internal audit and other assurance programmes</w:t>
      </w:r>
    </w:p>
    <w:p w14:paraId="123C6724" w14:textId="6A38D220" w:rsidR="0015744F" w:rsidRDefault="0015744F" w:rsidP="0015744F">
      <w:pPr>
        <w:pStyle w:val="Bullet"/>
      </w:pPr>
      <w:r>
        <w:t>external audit plan and findings and the Ministry’s response</w:t>
      </w:r>
    </w:p>
    <w:p w14:paraId="324D8428" w14:textId="1ADCA9AB" w:rsidR="0015744F" w:rsidRDefault="0015744F" w:rsidP="0015744F">
      <w:pPr>
        <w:pStyle w:val="Bullet"/>
      </w:pPr>
      <w:r>
        <w:t>financial and organisational performance and suitability of performance reporting and indicators</w:t>
      </w:r>
    </w:p>
    <w:p w14:paraId="62D3AF39" w14:textId="3EF1BC8E" w:rsidR="0015744F" w:rsidRDefault="0015744F" w:rsidP="0015744F">
      <w:pPr>
        <w:pStyle w:val="Bullet"/>
      </w:pPr>
      <w:r>
        <w:t>enterprise governance arrangements</w:t>
      </w:r>
    </w:p>
    <w:p w14:paraId="72BEE176" w14:textId="31438647" w:rsidR="0015744F" w:rsidRDefault="0015744F" w:rsidP="0015744F">
      <w:pPr>
        <w:pStyle w:val="Bullet"/>
      </w:pPr>
      <w:r>
        <w:t>cyber-security risk management and response capability.</w:t>
      </w:r>
    </w:p>
    <w:p w14:paraId="213B03E1" w14:textId="2B47EAF2" w:rsidR="0015744F" w:rsidRDefault="0015744F" w:rsidP="0015744F">
      <w:pPr>
        <w:pStyle w:val="Heading3"/>
      </w:pPr>
      <w:r>
        <w:t>Our values</w:t>
      </w:r>
    </w:p>
    <w:p w14:paraId="37243C89" w14:textId="56430623" w:rsidR="0015744F" w:rsidRDefault="0015744F" w:rsidP="0015744F">
      <w:pPr>
        <w:tabs>
          <w:tab w:val="left" w:pos="564"/>
        </w:tabs>
      </w:pPr>
      <w:r>
        <w:t>Ngā uaratanga – our values guide our decisions, actions and behaviours.</w:t>
      </w:r>
    </w:p>
    <w:p w14:paraId="644F5071" w14:textId="51CDF630" w:rsidR="00C9300E" w:rsidRDefault="00C9300E" w:rsidP="0015744F">
      <w:pPr>
        <w:tabs>
          <w:tab w:val="left" w:pos="564"/>
        </w:tabs>
      </w:pPr>
    </w:p>
    <w:p w14:paraId="656A61EE" w14:textId="178C6B15" w:rsidR="00C9300E" w:rsidRDefault="00C9300E" w:rsidP="00C9300E">
      <w:pPr>
        <w:tabs>
          <w:tab w:val="left" w:pos="564"/>
        </w:tabs>
        <w:ind w:left="1701" w:hanging="1701"/>
      </w:pPr>
      <w:r w:rsidRPr="00C9300E">
        <w:rPr>
          <w:b/>
          <w:bCs/>
        </w:rPr>
        <w:t xml:space="preserve">Manaakitanga </w:t>
      </w:r>
      <w:r>
        <w:tab/>
      </w:r>
      <w:r w:rsidRPr="00C9300E">
        <w:t>We show care, inclusion respect, support, trust and kindness to each other.</w:t>
      </w:r>
    </w:p>
    <w:p w14:paraId="00F4BF74" w14:textId="77777777" w:rsidR="00C9300E" w:rsidRDefault="00C9300E" w:rsidP="00C9300E">
      <w:pPr>
        <w:tabs>
          <w:tab w:val="left" w:pos="564"/>
        </w:tabs>
        <w:ind w:left="1701" w:hanging="1701"/>
      </w:pPr>
    </w:p>
    <w:p w14:paraId="3E1F1756" w14:textId="7B5708FE" w:rsidR="00C9300E" w:rsidRDefault="00C9300E" w:rsidP="00C9300E">
      <w:pPr>
        <w:tabs>
          <w:tab w:val="left" w:pos="564"/>
        </w:tabs>
        <w:ind w:left="1701" w:hanging="1701"/>
      </w:pPr>
      <w:r w:rsidRPr="009A7433">
        <w:rPr>
          <w:b/>
          <w:bCs/>
        </w:rPr>
        <w:t>Kaitiakitanga</w:t>
      </w:r>
      <w:r>
        <w:rPr>
          <w:b/>
          <w:bCs/>
        </w:rPr>
        <w:tab/>
      </w:r>
      <w:r>
        <w:t>We preserve and maintain an environment that enables the Ministry and our people to thrive.</w:t>
      </w:r>
    </w:p>
    <w:p w14:paraId="5500FEC5" w14:textId="223AA735" w:rsidR="00C9300E" w:rsidRDefault="00C9300E" w:rsidP="00C9300E">
      <w:pPr>
        <w:tabs>
          <w:tab w:val="left" w:pos="564"/>
        </w:tabs>
        <w:ind w:left="1701" w:hanging="1701"/>
      </w:pPr>
    </w:p>
    <w:p w14:paraId="35694B20" w14:textId="0639D6E9" w:rsidR="00C9300E" w:rsidRDefault="00C9300E" w:rsidP="00C9300E">
      <w:pPr>
        <w:tabs>
          <w:tab w:val="left" w:pos="564"/>
        </w:tabs>
        <w:ind w:left="1701" w:hanging="1701"/>
        <w:rPr>
          <w:b/>
          <w:bCs/>
        </w:rPr>
      </w:pPr>
      <w:r w:rsidRPr="009A7433">
        <w:rPr>
          <w:b/>
          <w:bCs/>
        </w:rPr>
        <w:t>Whakapono</w:t>
      </w:r>
      <w:r w:rsidRPr="00C9300E">
        <w:t xml:space="preserve"> </w:t>
      </w:r>
      <w:r>
        <w:tab/>
        <w:t>We have trust and faith in each other to do the right thing</w:t>
      </w:r>
      <w:r>
        <w:rPr>
          <w:b/>
          <w:bCs/>
        </w:rPr>
        <w:t>.</w:t>
      </w:r>
    </w:p>
    <w:p w14:paraId="2D7E3885" w14:textId="77777777" w:rsidR="00C9300E" w:rsidRDefault="00C9300E" w:rsidP="00C9300E">
      <w:pPr>
        <w:tabs>
          <w:tab w:val="left" w:pos="564"/>
        </w:tabs>
        <w:ind w:left="1701" w:hanging="1701"/>
        <w:rPr>
          <w:b/>
          <w:bCs/>
        </w:rPr>
      </w:pPr>
    </w:p>
    <w:p w14:paraId="3F2D555A" w14:textId="5EA82E53" w:rsidR="00C9300E" w:rsidRDefault="00C9300E" w:rsidP="00C9300E">
      <w:pPr>
        <w:tabs>
          <w:tab w:val="left" w:pos="564"/>
        </w:tabs>
        <w:ind w:left="1701" w:hanging="1701"/>
      </w:pPr>
      <w:r w:rsidRPr="009A7433">
        <w:rPr>
          <w:b/>
          <w:bCs/>
        </w:rPr>
        <w:t>Kōkiri ngātahi</w:t>
      </w:r>
      <w:r w:rsidRPr="00C9300E">
        <w:t xml:space="preserve"> </w:t>
      </w:r>
      <w:r>
        <w:tab/>
        <w:t>We connect and work together collectively towards a common purpose.</w:t>
      </w:r>
    </w:p>
    <w:p w14:paraId="275D6081" w14:textId="77777777" w:rsidR="00C9300E" w:rsidRDefault="00C9300E" w:rsidP="0015744F">
      <w:pPr>
        <w:tabs>
          <w:tab w:val="left" w:pos="564"/>
        </w:tabs>
      </w:pPr>
    </w:p>
    <w:p w14:paraId="087066F6" w14:textId="5B2A8EA8" w:rsidR="0015744F" w:rsidRDefault="0015744F" w:rsidP="0015744F">
      <w:pPr>
        <w:tabs>
          <w:tab w:val="left" w:pos="564"/>
        </w:tabs>
      </w:pPr>
    </w:p>
    <w:p w14:paraId="2B77A9A8" w14:textId="77777777" w:rsidR="0015744F" w:rsidRDefault="0015744F" w:rsidP="0015744F">
      <w:pPr>
        <w:tabs>
          <w:tab w:val="left" w:pos="564"/>
        </w:tabs>
      </w:pPr>
    </w:p>
    <w:p w14:paraId="0AF477FB" w14:textId="77777777" w:rsidR="00C9300E" w:rsidRDefault="0015744F" w:rsidP="0015744F">
      <w:pPr>
        <w:tabs>
          <w:tab w:val="left" w:pos="564"/>
        </w:tabs>
      </w:pPr>
      <w:r>
        <w:tab/>
      </w:r>
    </w:p>
    <w:p w14:paraId="0CB79D24" w14:textId="7AFB04CF" w:rsidR="009A7433" w:rsidRDefault="009A7433" w:rsidP="0015744F">
      <w:pPr>
        <w:tabs>
          <w:tab w:val="left" w:pos="564"/>
        </w:tabs>
        <w:sectPr w:rsidR="009A7433" w:rsidSect="008F0115">
          <w:pgSz w:w="11907" w:h="16840" w:code="9"/>
          <w:pgMar w:top="1418" w:right="1701" w:bottom="1134" w:left="1843" w:header="284" w:footer="425" w:gutter="284"/>
          <w:cols w:space="720"/>
        </w:sectPr>
      </w:pPr>
    </w:p>
    <w:p w14:paraId="2D31867F" w14:textId="24414220" w:rsidR="0015744F" w:rsidRDefault="009A7433" w:rsidP="009A7433">
      <w:pPr>
        <w:pStyle w:val="Heading1"/>
      </w:pPr>
      <w:bookmarkStart w:id="31" w:name="_Toc180077027"/>
      <w:r>
        <w:lastRenderedPageBreak/>
        <w:t xml:space="preserve">Our people </w:t>
      </w:r>
      <w:r w:rsidR="0044431F">
        <w:t>–</w:t>
      </w:r>
      <w:r>
        <w:t xml:space="preserve"> Ko mātou kaimahi</w:t>
      </w:r>
      <w:bookmarkEnd w:id="31"/>
    </w:p>
    <w:p w14:paraId="354A422A" w14:textId="77777777" w:rsidR="009A7433" w:rsidRDefault="009A7433" w:rsidP="009A7433">
      <w:pPr>
        <w:pStyle w:val="Heading2"/>
      </w:pPr>
      <w:bookmarkStart w:id="32" w:name="_Toc180077028"/>
      <w:r>
        <w:t>Summary of data on our people</w:t>
      </w:r>
      <w:bookmarkEnd w:id="32"/>
    </w:p>
    <w:p w14:paraId="7CD916A0" w14:textId="77777777" w:rsidR="009A7433" w:rsidRDefault="009A7433" w:rsidP="009A7433">
      <w:r>
        <w:t>Note: This summary excludes data from Te Aho o Te Kahu – Cancer Control Agency.</w:t>
      </w:r>
    </w:p>
    <w:p w14:paraId="2F46025E" w14:textId="0CC0679B" w:rsidR="009A7433" w:rsidRDefault="009A7433" w:rsidP="009A7433">
      <w:pPr>
        <w:pStyle w:val="Bullet"/>
      </w:pPr>
      <w:r>
        <w:t xml:space="preserve">Measured by both headcount and full-time equivalent (FTE) staff, the size of our workforce has increased by 6.1% since 2022/23. As </w:t>
      </w:r>
      <w:proofErr w:type="gramStart"/>
      <w:r>
        <w:t>at</w:t>
      </w:r>
      <w:proofErr w:type="gramEnd"/>
      <w:r>
        <w:t xml:space="preserve"> 30 June 2024, we had 800 employees.</w:t>
      </w:r>
    </w:p>
    <w:p w14:paraId="2BD5AEEF" w14:textId="359B9C05" w:rsidR="009A7433" w:rsidRDefault="009A7433" w:rsidP="009A7433">
      <w:pPr>
        <w:pStyle w:val="Bullet"/>
      </w:pPr>
      <w:r>
        <w:t xml:space="preserve">The proportion of staff by gender has remained the same. As </w:t>
      </w:r>
      <w:proofErr w:type="gramStart"/>
      <w:r>
        <w:t>at</w:t>
      </w:r>
      <w:proofErr w:type="gramEnd"/>
      <w:r>
        <w:t xml:space="preserve"> 30 June 2024, 69.6% of our people identified as female.</w:t>
      </w:r>
    </w:p>
    <w:p w14:paraId="3FA4D80C" w14:textId="4E0CB366" w:rsidR="009A7433" w:rsidRDefault="009A7433" w:rsidP="009A7433">
      <w:pPr>
        <w:pStyle w:val="Bullet"/>
      </w:pPr>
      <w:r>
        <w:t>The Ministry’s gender and ethnic pay gaps have moved noticeably. Ethnic pay gaps between European, Māori and Pacific staff have all reduced since 2023. However, the gender and Asian ethnic pay gaps have widened.</w:t>
      </w:r>
    </w:p>
    <w:p w14:paraId="520F4D69" w14:textId="3DAA6900" w:rsidR="009A7433" w:rsidRDefault="009A7433" w:rsidP="009A7433">
      <w:pPr>
        <w:pStyle w:val="Bullet"/>
      </w:pPr>
      <w:r>
        <w:t>The average length of service for employees is 5.5 years. The proportion of employees with under one year of service at the Ministry has reduced from 26.3% to 21.3%.</w:t>
      </w:r>
    </w:p>
    <w:p w14:paraId="7BFBD5C3" w14:textId="77777777" w:rsidR="009A7433" w:rsidRDefault="009A7433" w:rsidP="009A7433">
      <w:pPr>
        <w:pStyle w:val="Bullet"/>
        <w:numPr>
          <w:ilvl w:val="0"/>
          <w:numId w:val="0"/>
        </w:numPr>
        <w:ind w:left="284" w:hanging="142"/>
      </w:pPr>
      <w:r>
        <w:rPr>
          <w:noProof/>
        </w:rPr>
        <w:drawing>
          <wp:inline distT="0" distB="0" distL="0" distR="0" wp14:anchorId="1DF84E72" wp14:editId="38042775">
            <wp:extent cx="4910919" cy="5001491"/>
            <wp:effectExtent l="0" t="0" r="4445" b="8890"/>
            <wp:docPr id="450" name="Picture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4941212" cy="5032343"/>
                    </a:xfrm>
                    <a:prstGeom prst="rect">
                      <a:avLst/>
                    </a:prstGeom>
                  </pic:spPr>
                </pic:pic>
              </a:graphicData>
            </a:graphic>
          </wp:inline>
        </w:drawing>
      </w:r>
    </w:p>
    <w:p w14:paraId="0B93E468" w14:textId="0523E920" w:rsidR="000A1102" w:rsidRPr="009A7433" w:rsidRDefault="000A1102" w:rsidP="000A1102">
      <w:pPr>
        <w:pStyle w:val="Note"/>
        <w:ind w:left="142" w:hanging="142"/>
        <w:sectPr w:rsidR="000A1102" w:rsidRPr="009A7433" w:rsidSect="008F0115">
          <w:pgSz w:w="11907" w:h="16840" w:code="9"/>
          <w:pgMar w:top="1418" w:right="1701" w:bottom="1134" w:left="1843" w:header="284" w:footer="425" w:gutter="284"/>
          <w:cols w:space="720"/>
        </w:sectPr>
      </w:pPr>
      <w:r>
        <w:t>* This is our total permanent and fixed term employee FTE. It excludes employees on parental leave or leave without pay and Te Aho o Te Kahu – Cancer Control Agency FTE.</w:t>
      </w:r>
    </w:p>
    <w:p w14:paraId="10F859AB" w14:textId="77777777" w:rsidR="009A7433" w:rsidRPr="009A7433" w:rsidRDefault="009A7433" w:rsidP="009A7433">
      <w:pPr>
        <w:pStyle w:val="Heading3"/>
        <w:spacing w:before="0"/>
        <w:rPr>
          <w:w w:val="105"/>
        </w:rPr>
      </w:pPr>
      <w:r w:rsidRPr="009A7433">
        <w:rPr>
          <w:w w:val="105"/>
        </w:rPr>
        <w:lastRenderedPageBreak/>
        <w:t>Profile of our people</w:t>
      </w:r>
    </w:p>
    <w:p w14:paraId="538926A0" w14:textId="2C85A5C4" w:rsidR="009A7433" w:rsidRDefault="009A7433" w:rsidP="009A7433">
      <w:pPr>
        <w:rPr>
          <w:w w:val="105"/>
        </w:rPr>
      </w:pPr>
      <w:r w:rsidRPr="009A7433">
        <w:rPr>
          <w:w w:val="105"/>
        </w:rPr>
        <w:t xml:space="preserve">The following tables provide a profile of the Ministry’s workforce in terms of its size and the location, gender, age, salary and ethnicity of our staff as </w:t>
      </w:r>
      <w:proofErr w:type="gramStart"/>
      <w:r w:rsidRPr="009A7433">
        <w:rPr>
          <w:w w:val="105"/>
        </w:rPr>
        <w:t>at</w:t>
      </w:r>
      <w:proofErr w:type="gramEnd"/>
      <w:r w:rsidRPr="009A7433">
        <w:rPr>
          <w:w w:val="105"/>
        </w:rPr>
        <w:t xml:space="preserve"> 30 June 2024. They include an analysis of gender and ethnicity pay gaps.</w:t>
      </w:r>
    </w:p>
    <w:p w14:paraId="22B23A9C" w14:textId="77777777" w:rsidR="009A7433" w:rsidRDefault="009A7433" w:rsidP="009A7433">
      <w:pPr>
        <w:rPr>
          <w:w w:val="105"/>
        </w:rPr>
      </w:pPr>
    </w:p>
    <w:tbl>
      <w:tblPr>
        <w:tblW w:w="8070" w:type="dxa"/>
        <w:tblInd w:w="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690"/>
        <w:gridCol w:w="2690"/>
        <w:gridCol w:w="2690"/>
      </w:tblGrid>
      <w:tr w:rsidR="009A7433" w14:paraId="0BB44FF6" w14:textId="77777777" w:rsidTr="009A7433">
        <w:trPr>
          <w:trHeight w:val="624"/>
        </w:trPr>
        <w:tc>
          <w:tcPr>
            <w:tcW w:w="8070" w:type="dxa"/>
            <w:gridSpan w:val="3"/>
            <w:tcBorders>
              <w:top w:val="nil"/>
              <w:left w:val="nil"/>
              <w:bottom w:val="nil"/>
              <w:right w:val="nil"/>
            </w:tcBorders>
            <w:shd w:val="clear" w:color="auto" w:fill="D9D9D9" w:themeFill="background1" w:themeFillShade="D9"/>
            <w:hideMark/>
          </w:tcPr>
          <w:p w14:paraId="2C91444E" w14:textId="77777777" w:rsidR="009A7433" w:rsidRDefault="009A7433">
            <w:pPr>
              <w:pStyle w:val="TableText"/>
              <w:ind w:left="57"/>
              <w:rPr>
                <w:b/>
                <w:bCs/>
              </w:rPr>
            </w:pPr>
            <w:r>
              <w:rPr>
                <w:b/>
                <w:bCs/>
              </w:rPr>
              <w:t>Overall headcount and FTEs by year</w:t>
            </w:r>
          </w:p>
          <w:p w14:paraId="5BF61C9B" w14:textId="1E351956" w:rsidR="009A7433" w:rsidRDefault="009A7433">
            <w:pPr>
              <w:pStyle w:val="TableText"/>
              <w:ind w:left="57"/>
            </w:pPr>
            <w:r>
              <w:t xml:space="preserve">Data as </w:t>
            </w:r>
            <w:proofErr w:type="gramStart"/>
            <w:r>
              <w:t>at</w:t>
            </w:r>
            <w:proofErr w:type="gramEnd"/>
            <w:r>
              <w:t xml:space="preserve"> 30 June each year</w:t>
            </w:r>
          </w:p>
        </w:tc>
      </w:tr>
      <w:tr w:rsidR="009A7433" w14:paraId="529D7A94" w14:textId="77777777" w:rsidTr="009A7433">
        <w:trPr>
          <w:trHeight w:val="351"/>
        </w:trPr>
        <w:tc>
          <w:tcPr>
            <w:tcW w:w="2690" w:type="dxa"/>
            <w:tcBorders>
              <w:top w:val="nil"/>
              <w:left w:val="nil"/>
              <w:bottom w:val="single" w:sz="4" w:space="0" w:color="A6A6A6" w:themeColor="background1" w:themeShade="A6"/>
              <w:right w:val="nil"/>
            </w:tcBorders>
            <w:shd w:val="clear" w:color="auto" w:fill="F2F2F2" w:themeFill="background1" w:themeFillShade="F2"/>
            <w:hideMark/>
          </w:tcPr>
          <w:p w14:paraId="1F6C4831" w14:textId="77777777" w:rsidR="009A7433" w:rsidRDefault="009A7433">
            <w:pPr>
              <w:pStyle w:val="TableText"/>
              <w:ind w:left="57"/>
              <w:rPr>
                <w:b/>
                <w:bCs/>
              </w:rPr>
            </w:pPr>
            <w:r>
              <w:rPr>
                <w:b/>
                <w:bCs/>
              </w:rPr>
              <w:t>Year</w:t>
            </w:r>
          </w:p>
        </w:tc>
        <w:tc>
          <w:tcPr>
            <w:tcW w:w="2690" w:type="dxa"/>
            <w:tcBorders>
              <w:top w:val="nil"/>
              <w:left w:val="nil"/>
              <w:bottom w:val="single" w:sz="4" w:space="0" w:color="A6A6A6" w:themeColor="background1" w:themeShade="A6"/>
              <w:right w:val="nil"/>
            </w:tcBorders>
            <w:shd w:val="clear" w:color="auto" w:fill="F2F2F2" w:themeFill="background1" w:themeFillShade="F2"/>
            <w:hideMark/>
          </w:tcPr>
          <w:p w14:paraId="181A3FA4" w14:textId="77777777" w:rsidR="009A7433" w:rsidRDefault="009A7433" w:rsidP="00A71D99">
            <w:pPr>
              <w:pStyle w:val="TableText"/>
              <w:ind w:left="57" w:right="57"/>
              <w:jc w:val="right"/>
              <w:rPr>
                <w:b/>
                <w:bCs/>
              </w:rPr>
            </w:pPr>
            <w:r>
              <w:rPr>
                <w:b/>
                <w:bCs/>
              </w:rPr>
              <w:t>Headcount</w:t>
            </w:r>
          </w:p>
        </w:tc>
        <w:tc>
          <w:tcPr>
            <w:tcW w:w="2690" w:type="dxa"/>
            <w:tcBorders>
              <w:top w:val="nil"/>
              <w:left w:val="nil"/>
              <w:bottom w:val="single" w:sz="4" w:space="0" w:color="A6A6A6" w:themeColor="background1" w:themeShade="A6"/>
              <w:right w:val="nil"/>
            </w:tcBorders>
            <w:shd w:val="clear" w:color="auto" w:fill="F2F2F2" w:themeFill="background1" w:themeFillShade="F2"/>
            <w:hideMark/>
          </w:tcPr>
          <w:p w14:paraId="42084720" w14:textId="77777777" w:rsidR="009A7433" w:rsidRDefault="009A7433" w:rsidP="00A71D99">
            <w:pPr>
              <w:pStyle w:val="TableText"/>
              <w:ind w:left="57" w:right="57"/>
              <w:jc w:val="right"/>
              <w:rPr>
                <w:b/>
                <w:bCs/>
              </w:rPr>
            </w:pPr>
            <w:r>
              <w:rPr>
                <w:b/>
                <w:bCs/>
              </w:rPr>
              <w:t>FTE</w:t>
            </w:r>
          </w:p>
        </w:tc>
      </w:tr>
      <w:tr w:rsidR="009A7433" w14:paraId="5C4E93AA" w14:textId="77777777" w:rsidTr="009A7433">
        <w:trPr>
          <w:trHeight w:val="344"/>
        </w:trPr>
        <w:tc>
          <w:tcPr>
            <w:tcW w:w="2690" w:type="dxa"/>
            <w:tcBorders>
              <w:top w:val="single" w:sz="4" w:space="0" w:color="A6A6A6" w:themeColor="background1" w:themeShade="A6"/>
              <w:left w:val="nil"/>
              <w:bottom w:val="single" w:sz="4" w:space="0" w:color="A6A6A6" w:themeColor="background1" w:themeShade="A6"/>
              <w:right w:val="nil"/>
            </w:tcBorders>
            <w:hideMark/>
          </w:tcPr>
          <w:p w14:paraId="7E746571" w14:textId="331B1350" w:rsidR="009A7433" w:rsidRDefault="009A7433" w:rsidP="009A7433">
            <w:pPr>
              <w:pStyle w:val="TableText"/>
              <w:ind w:left="57"/>
            </w:pPr>
            <w:r w:rsidRPr="00F1216B">
              <w:t>2019</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52648C8C" w14:textId="54A921B9" w:rsidR="009A7433" w:rsidRPr="009A7433" w:rsidRDefault="009A7433" w:rsidP="00A71D99">
            <w:pPr>
              <w:pStyle w:val="TableText"/>
              <w:ind w:right="57"/>
              <w:jc w:val="right"/>
            </w:pPr>
            <w:r w:rsidRPr="009A7433">
              <w:t>1,205</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7670B14B" w14:textId="557E0B45" w:rsidR="009A7433" w:rsidRPr="009A7433" w:rsidRDefault="009A7433" w:rsidP="00A71D99">
            <w:pPr>
              <w:pStyle w:val="TableText"/>
              <w:ind w:right="57"/>
              <w:jc w:val="right"/>
            </w:pPr>
            <w:r w:rsidRPr="009A7433">
              <w:t>1,161.71</w:t>
            </w:r>
          </w:p>
        </w:tc>
      </w:tr>
      <w:tr w:rsidR="009A7433" w14:paraId="1BE7B661" w14:textId="77777777" w:rsidTr="009A7433">
        <w:trPr>
          <w:trHeight w:val="344"/>
        </w:trPr>
        <w:tc>
          <w:tcPr>
            <w:tcW w:w="2690" w:type="dxa"/>
            <w:tcBorders>
              <w:top w:val="single" w:sz="4" w:space="0" w:color="A6A6A6" w:themeColor="background1" w:themeShade="A6"/>
              <w:left w:val="nil"/>
              <w:bottom w:val="single" w:sz="4" w:space="0" w:color="A6A6A6" w:themeColor="background1" w:themeShade="A6"/>
              <w:right w:val="nil"/>
            </w:tcBorders>
            <w:hideMark/>
          </w:tcPr>
          <w:p w14:paraId="4D83BFB1" w14:textId="6DCC1261" w:rsidR="009A7433" w:rsidRDefault="009A7433" w:rsidP="009A7433">
            <w:pPr>
              <w:pStyle w:val="TableText"/>
              <w:ind w:left="57"/>
            </w:pPr>
            <w:r w:rsidRPr="00F1216B">
              <w:t>2020</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525DC875" w14:textId="73221566" w:rsidR="009A7433" w:rsidRPr="009A7433" w:rsidRDefault="009A7433" w:rsidP="00A71D99">
            <w:pPr>
              <w:pStyle w:val="TableText"/>
              <w:ind w:right="57"/>
              <w:jc w:val="right"/>
            </w:pPr>
            <w:r w:rsidRPr="009A7433">
              <w:t>1,224</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72E02491" w14:textId="473084AF" w:rsidR="009A7433" w:rsidRPr="009A7433" w:rsidRDefault="009A7433" w:rsidP="00A71D99">
            <w:pPr>
              <w:pStyle w:val="TableText"/>
              <w:ind w:right="57"/>
              <w:jc w:val="right"/>
            </w:pPr>
            <w:r w:rsidRPr="009A7433">
              <w:t>1,186.85</w:t>
            </w:r>
          </w:p>
        </w:tc>
      </w:tr>
      <w:tr w:rsidR="009A7433" w14:paraId="19FDA1BB" w14:textId="77777777" w:rsidTr="009A7433">
        <w:trPr>
          <w:trHeight w:val="344"/>
        </w:trPr>
        <w:tc>
          <w:tcPr>
            <w:tcW w:w="2690" w:type="dxa"/>
            <w:tcBorders>
              <w:top w:val="single" w:sz="4" w:space="0" w:color="A6A6A6" w:themeColor="background1" w:themeShade="A6"/>
              <w:left w:val="nil"/>
              <w:bottom w:val="single" w:sz="4" w:space="0" w:color="A6A6A6" w:themeColor="background1" w:themeShade="A6"/>
              <w:right w:val="nil"/>
            </w:tcBorders>
            <w:hideMark/>
          </w:tcPr>
          <w:p w14:paraId="234C69B4" w14:textId="560172EB" w:rsidR="009A7433" w:rsidRDefault="009A7433" w:rsidP="009A7433">
            <w:pPr>
              <w:pStyle w:val="TableText"/>
              <w:ind w:left="57"/>
            </w:pPr>
            <w:r w:rsidRPr="00F1216B">
              <w:t>2021</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457FD64A" w14:textId="621D7038" w:rsidR="009A7433" w:rsidRPr="009A7433" w:rsidRDefault="009A7433" w:rsidP="00A71D99">
            <w:pPr>
              <w:pStyle w:val="TableText"/>
              <w:ind w:right="57"/>
              <w:jc w:val="right"/>
            </w:pPr>
            <w:r w:rsidRPr="009A7433">
              <w:t>1,680</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544C9BB0" w14:textId="7A38C1D2" w:rsidR="009A7433" w:rsidRPr="009A7433" w:rsidRDefault="009A7433" w:rsidP="00A71D99">
            <w:pPr>
              <w:pStyle w:val="TableText"/>
              <w:ind w:right="57"/>
              <w:jc w:val="right"/>
            </w:pPr>
            <w:r w:rsidRPr="009A7433">
              <w:t>1,631.46</w:t>
            </w:r>
          </w:p>
        </w:tc>
      </w:tr>
      <w:tr w:rsidR="009A7433" w14:paraId="1DF1300A" w14:textId="77777777" w:rsidTr="009A7433">
        <w:trPr>
          <w:trHeight w:val="344"/>
        </w:trPr>
        <w:tc>
          <w:tcPr>
            <w:tcW w:w="2690" w:type="dxa"/>
            <w:tcBorders>
              <w:top w:val="single" w:sz="4" w:space="0" w:color="A6A6A6" w:themeColor="background1" w:themeShade="A6"/>
              <w:left w:val="nil"/>
              <w:bottom w:val="single" w:sz="4" w:space="0" w:color="A6A6A6" w:themeColor="background1" w:themeShade="A6"/>
              <w:right w:val="nil"/>
            </w:tcBorders>
            <w:hideMark/>
          </w:tcPr>
          <w:p w14:paraId="323240E7" w14:textId="46B65D43" w:rsidR="009A7433" w:rsidRDefault="009A7433" w:rsidP="009A7433">
            <w:pPr>
              <w:pStyle w:val="TableText"/>
              <w:ind w:left="57"/>
            </w:pPr>
            <w:r w:rsidRPr="00F1216B">
              <w:t>2022</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4CF099B6" w14:textId="7335D468" w:rsidR="009A7433" w:rsidRPr="009A7433" w:rsidRDefault="009A7433" w:rsidP="00A71D99">
            <w:pPr>
              <w:pStyle w:val="TableText"/>
              <w:ind w:right="57"/>
              <w:jc w:val="right"/>
            </w:pPr>
            <w:r w:rsidRPr="009A7433">
              <w:t>885</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4545B302" w14:textId="6DDC4EB2" w:rsidR="009A7433" w:rsidRPr="009A7433" w:rsidRDefault="009A7433" w:rsidP="00A71D99">
            <w:pPr>
              <w:pStyle w:val="TableText"/>
              <w:ind w:right="57"/>
              <w:jc w:val="right"/>
            </w:pPr>
            <w:r w:rsidRPr="009A7433">
              <w:t>862.82</w:t>
            </w:r>
          </w:p>
        </w:tc>
      </w:tr>
      <w:tr w:rsidR="009A7433" w14:paraId="08EB9C55" w14:textId="77777777" w:rsidTr="009A7433">
        <w:trPr>
          <w:trHeight w:val="344"/>
        </w:trPr>
        <w:tc>
          <w:tcPr>
            <w:tcW w:w="2690" w:type="dxa"/>
            <w:tcBorders>
              <w:top w:val="single" w:sz="4" w:space="0" w:color="A6A6A6" w:themeColor="background1" w:themeShade="A6"/>
              <w:left w:val="nil"/>
              <w:bottom w:val="single" w:sz="4" w:space="0" w:color="A6A6A6" w:themeColor="background1" w:themeShade="A6"/>
              <w:right w:val="nil"/>
            </w:tcBorders>
            <w:hideMark/>
          </w:tcPr>
          <w:p w14:paraId="48CCC114" w14:textId="606B4E08" w:rsidR="009A7433" w:rsidRDefault="009A7433" w:rsidP="009A7433">
            <w:pPr>
              <w:pStyle w:val="TableText"/>
              <w:ind w:left="57"/>
            </w:pPr>
            <w:r w:rsidRPr="00F1216B">
              <w:t>2023</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7218071C" w14:textId="12B09C54" w:rsidR="009A7433" w:rsidRPr="009A7433" w:rsidRDefault="009A7433" w:rsidP="00A71D99">
            <w:pPr>
              <w:pStyle w:val="TableText"/>
              <w:ind w:right="57"/>
              <w:jc w:val="right"/>
            </w:pPr>
            <w:r w:rsidRPr="009A7433">
              <w:t>754</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1ED5BE20" w14:textId="7483DDD8" w:rsidR="009A7433" w:rsidRPr="009A7433" w:rsidRDefault="009A7433" w:rsidP="00A71D99">
            <w:pPr>
              <w:pStyle w:val="TableText"/>
              <w:ind w:right="57"/>
              <w:jc w:val="right"/>
            </w:pPr>
            <w:r w:rsidRPr="009A7433">
              <w:t>729.57</w:t>
            </w:r>
          </w:p>
        </w:tc>
      </w:tr>
      <w:tr w:rsidR="009A7433" w14:paraId="522E3B50" w14:textId="77777777" w:rsidTr="009A7433">
        <w:trPr>
          <w:trHeight w:val="344"/>
        </w:trPr>
        <w:tc>
          <w:tcPr>
            <w:tcW w:w="2690" w:type="dxa"/>
            <w:tcBorders>
              <w:top w:val="single" w:sz="4" w:space="0" w:color="A6A6A6" w:themeColor="background1" w:themeShade="A6"/>
              <w:left w:val="nil"/>
              <w:bottom w:val="single" w:sz="4" w:space="0" w:color="A6A6A6" w:themeColor="background1" w:themeShade="A6"/>
              <w:right w:val="nil"/>
            </w:tcBorders>
            <w:hideMark/>
          </w:tcPr>
          <w:p w14:paraId="51D92006" w14:textId="26744D72" w:rsidR="009A7433" w:rsidRDefault="009A7433" w:rsidP="009A7433">
            <w:pPr>
              <w:pStyle w:val="TableText"/>
              <w:ind w:left="57"/>
            </w:pPr>
            <w:r w:rsidRPr="00F1216B">
              <w:t>2024</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11AE7A66" w14:textId="2B563D2F" w:rsidR="009A7433" w:rsidRPr="009A7433" w:rsidRDefault="009A7433" w:rsidP="00A71D99">
            <w:pPr>
              <w:pStyle w:val="TableText"/>
              <w:ind w:right="57"/>
              <w:jc w:val="right"/>
            </w:pPr>
            <w:r w:rsidRPr="009A7433">
              <w:t>800</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6D9A43F7" w14:textId="6B7E8EE3" w:rsidR="009A7433" w:rsidRPr="009A7433" w:rsidRDefault="009A7433" w:rsidP="00A71D99">
            <w:pPr>
              <w:pStyle w:val="TableText"/>
              <w:ind w:right="57"/>
              <w:jc w:val="right"/>
            </w:pPr>
            <w:r w:rsidRPr="009A7433">
              <w:t>777.57</w:t>
            </w:r>
          </w:p>
        </w:tc>
      </w:tr>
    </w:tbl>
    <w:p w14:paraId="52A64B25" w14:textId="77777777" w:rsidR="009A7433" w:rsidRDefault="009A7433" w:rsidP="009A7433"/>
    <w:p w14:paraId="509DB789" w14:textId="77777777" w:rsidR="009A7433" w:rsidRDefault="009A7433" w:rsidP="009A7433"/>
    <w:tbl>
      <w:tblPr>
        <w:tblW w:w="8070" w:type="dxa"/>
        <w:tblInd w:w="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225"/>
        <w:gridCol w:w="5845"/>
      </w:tblGrid>
      <w:tr w:rsidR="009A7433" w14:paraId="288E351E" w14:textId="77777777" w:rsidTr="00A71D99">
        <w:trPr>
          <w:trHeight w:val="369"/>
        </w:trPr>
        <w:tc>
          <w:tcPr>
            <w:tcW w:w="2225" w:type="dxa"/>
            <w:tcBorders>
              <w:top w:val="nil"/>
              <w:left w:val="nil"/>
              <w:bottom w:val="nil"/>
              <w:right w:val="nil"/>
            </w:tcBorders>
            <w:shd w:val="clear" w:color="auto" w:fill="D9D9D9" w:themeFill="background1" w:themeFillShade="D9"/>
            <w:hideMark/>
          </w:tcPr>
          <w:p w14:paraId="4D96EE97" w14:textId="77777777" w:rsidR="009A7433" w:rsidRDefault="009A7433">
            <w:pPr>
              <w:pStyle w:val="TableText"/>
              <w:ind w:left="57" w:right="57"/>
              <w:rPr>
                <w:b/>
                <w:bCs/>
              </w:rPr>
            </w:pPr>
            <w:r>
              <w:rPr>
                <w:b/>
                <w:bCs/>
              </w:rPr>
              <w:t>Staff by location</w:t>
            </w:r>
          </w:p>
        </w:tc>
        <w:tc>
          <w:tcPr>
            <w:tcW w:w="5845" w:type="dxa"/>
            <w:tcBorders>
              <w:top w:val="nil"/>
              <w:left w:val="nil"/>
              <w:bottom w:val="nil"/>
              <w:right w:val="nil"/>
            </w:tcBorders>
            <w:shd w:val="clear" w:color="auto" w:fill="D9D9D9" w:themeFill="background1" w:themeFillShade="D9"/>
          </w:tcPr>
          <w:p w14:paraId="324BFF4F" w14:textId="77777777" w:rsidR="009A7433" w:rsidRDefault="009A7433">
            <w:pPr>
              <w:pStyle w:val="TableText"/>
              <w:ind w:left="57" w:right="57"/>
              <w:rPr>
                <w:b/>
                <w:bCs/>
              </w:rPr>
            </w:pPr>
          </w:p>
        </w:tc>
      </w:tr>
      <w:tr w:rsidR="009A7433" w14:paraId="69EF7B0C" w14:textId="77777777" w:rsidTr="00A71D99">
        <w:trPr>
          <w:trHeight w:val="351"/>
        </w:trPr>
        <w:tc>
          <w:tcPr>
            <w:tcW w:w="2225" w:type="dxa"/>
            <w:tcBorders>
              <w:top w:val="nil"/>
              <w:left w:val="nil"/>
              <w:bottom w:val="single" w:sz="4" w:space="0" w:color="A6A6A6" w:themeColor="background1" w:themeShade="A6"/>
              <w:right w:val="nil"/>
            </w:tcBorders>
            <w:shd w:val="clear" w:color="auto" w:fill="F2F2F2" w:themeFill="background1" w:themeFillShade="F2"/>
            <w:hideMark/>
          </w:tcPr>
          <w:p w14:paraId="72989B4F" w14:textId="77777777" w:rsidR="009A7433" w:rsidRDefault="009A7433">
            <w:pPr>
              <w:pStyle w:val="TableText"/>
              <w:ind w:left="57" w:right="57"/>
              <w:rPr>
                <w:b/>
                <w:bCs/>
              </w:rPr>
            </w:pPr>
            <w:r>
              <w:rPr>
                <w:b/>
                <w:bCs/>
              </w:rPr>
              <w:t>Location</w:t>
            </w:r>
          </w:p>
        </w:tc>
        <w:tc>
          <w:tcPr>
            <w:tcW w:w="5845" w:type="dxa"/>
            <w:tcBorders>
              <w:top w:val="nil"/>
              <w:left w:val="nil"/>
              <w:bottom w:val="single" w:sz="4" w:space="0" w:color="A6A6A6" w:themeColor="background1" w:themeShade="A6"/>
              <w:right w:val="nil"/>
            </w:tcBorders>
            <w:shd w:val="clear" w:color="auto" w:fill="F2F2F2" w:themeFill="background1" w:themeFillShade="F2"/>
            <w:hideMark/>
          </w:tcPr>
          <w:p w14:paraId="638B169D" w14:textId="77777777" w:rsidR="009A7433" w:rsidRDefault="009A7433" w:rsidP="00A71D99">
            <w:pPr>
              <w:pStyle w:val="TableText"/>
              <w:ind w:left="57" w:right="57"/>
              <w:jc w:val="right"/>
              <w:rPr>
                <w:b/>
                <w:bCs/>
              </w:rPr>
            </w:pPr>
            <w:r>
              <w:rPr>
                <w:b/>
                <w:bCs/>
              </w:rPr>
              <w:t>Headcount</w:t>
            </w:r>
          </w:p>
        </w:tc>
      </w:tr>
      <w:tr w:rsidR="00A71D99" w14:paraId="74AEE236" w14:textId="77777777" w:rsidTr="00A71D99">
        <w:trPr>
          <w:trHeight w:val="344"/>
        </w:trPr>
        <w:tc>
          <w:tcPr>
            <w:tcW w:w="2225" w:type="dxa"/>
            <w:tcBorders>
              <w:top w:val="single" w:sz="4" w:space="0" w:color="A6A6A6" w:themeColor="background1" w:themeShade="A6"/>
              <w:left w:val="nil"/>
              <w:bottom w:val="single" w:sz="4" w:space="0" w:color="A6A6A6" w:themeColor="background1" w:themeShade="A6"/>
              <w:right w:val="nil"/>
            </w:tcBorders>
            <w:hideMark/>
          </w:tcPr>
          <w:p w14:paraId="2350586C" w14:textId="77777777" w:rsidR="00A71D99" w:rsidRDefault="00A71D99" w:rsidP="00A71D99">
            <w:pPr>
              <w:pStyle w:val="TableText"/>
              <w:ind w:left="57" w:right="57"/>
            </w:pPr>
            <w:r>
              <w:t>Auckland</w:t>
            </w:r>
          </w:p>
        </w:tc>
        <w:tc>
          <w:tcPr>
            <w:tcW w:w="5845" w:type="dxa"/>
            <w:tcBorders>
              <w:top w:val="single" w:sz="4" w:space="0" w:color="A6A6A6" w:themeColor="background1" w:themeShade="A6"/>
              <w:left w:val="nil"/>
              <w:bottom w:val="single" w:sz="4" w:space="0" w:color="A6A6A6" w:themeColor="background1" w:themeShade="A6"/>
              <w:right w:val="nil"/>
            </w:tcBorders>
            <w:hideMark/>
          </w:tcPr>
          <w:p w14:paraId="5C5CF1A3" w14:textId="7FB0EC95" w:rsidR="00A71D99" w:rsidRPr="00A71D99" w:rsidRDefault="00A71D99" w:rsidP="00A71D99">
            <w:pPr>
              <w:pStyle w:val="TableText"/>
              <w:ind w:right="57"/>
              <w:jc w:val="right"/>
            </w:pPr>
            <w:r w:rsidRPr="00A71D99">
              <w:t>27</w:t>
            </w:r>
          </w:p>
        </w:tc>
      </w:tr>
      <w:tr w:rsidR="00A71D99" w14:paraId="12266625" w14:textId="77777777" w:rsidTr="00A71D99">
        <w:trPr>
          <w:trHeight w:val="344"/>
        </w:trPr>
        <w:tc>
          <w:tcPr>
            <w:tcW w:w="2225" w:type="dxa"/>
            <w:tcBorders>
              <w:top w:val="single" w:sz="4" w:space="0" w:color="A6A6A6" w:themeColor="background1" w:themeShade="A6"/>
              <w:left w:val="nil"/>
              <w:bottom w:val="single" w:sz="4" w:space="0" w:color="A6A6A6" w:themeColor="background1" w:themeShade="A6"/>
              <w:right w:val="nil"/>
            </w:tcBorders>
            <w:hideMark/>
          </w:tcPr>
          <w:p w14:paraId="74293650" w14:textId="77777777" w:rsidR="00A71D99" w:rsidRDefault="00A71D99" w:rsidP="00A71D99">
            <w:pPr>
              <w:pStyle w:val="TableText"/>
              <w:ind w:left="57" w:right="57"/>
            </w:pPr>
            <w:r>
              <w:t>Christchurch</w:t>
            </w:r>
          </w:p>
        </w:tc>
        <w:tc>
          <w:tcPr>
            <w:tcW w:w="5845" w:type="dxa"/>
            <w:tcBorders>
              <w:top w:val="single" w:sz="4" w:space="0" w:color="A6A6A6" w:themeColor="background1" w:themeShade="A6"/>
              <w:left w:val="nil"/>
              <w:bottom w:val="single" w:sz="4" w:space="0" w:color="A6A6A6" w:themeColor="background1" w:themeShade="A6"/>
              <w:right w:val="nil"/>
            </w:tcBorders>
            <w:hideMark/>
          </w:tcPr>
          <w:p w14:paraId="6C158F46" w14:textId="2664A30B" w:rsidR="00A71D99" w:rsidRPr="00A71D99" w:rsidRDefault="00A71D99" w:rsidP="00A71D99">
            <w:pPr>
              <w:pStyle w:val="TableText"/>
              <w:ind w:right="57"/>
              <w:jc w:val="right"/>
            </w:pPr>
            <w:r w:rsidRPr="00A71D99">
              <w:t>10</w:t>
            </w:r>
          </w:p>
        </w:tc>
      </w:tr>
      <w:tr w:rsidR="00A71D99" w14:paraId="46FC8C44" w14:textId="77777777" w:rsidTr="00A71D99">
        <w:trPr>
          <w:trHeight w:val="344"/>
        </w:trPr>
        <w:tc>
          <w:tcPr>
            <w:tcW w:w="2225" w:type="dxa"/>
            <w:tcBorders>
              <w:top w:val="single" w:sz="4" w:space="0" w:color="A6A6A6" w:themeColor="background1" w:themeShade="A6"/>
              <w:left w:val="nil"/>
              <w:bottom w:val="single" w:sz="4" w:space="0" w:color="A6A6A6" w:themeColor="background1" w:themeShade="A6"/>
              <w:right w:val="nil"/>
            </w:tcBorders>
            <w:hideMark/>
          </w:tcPr>
          <w:p w14:paraId="66295AB4" w14:textId="77777777" w:rsidR="00A71D99" w:rsidRDefault="00A71D99" w:rsidP="00A71D99">
            <w:pPr>
              <w:pStyle w:val="TableText"/>
              <w:ind w:left="57" w:right="57"/>
            </w:pPr>
            <w:r>
              <w:t>Dunedin</w:t>
            </w:r>
          </w:p>
        </w:tc>
        <w:tc>
          <w:tcPr>
            <w:tcW w:w="5845" w:type="dxa"/>
            <w:tcBorders>
              <w:top w:val="single" w:sz="4" w:space="0" w:color="A6A6A6" w:themeColor="background1" w:themeShade="A6"/>
              <w:left w:val="nil"/>
              <w:bottom w:val="single" w:sz="4" w:space="0" w:color="A6A6A6" w:themeColor="background1" w:themeShade="A6"/>
              <w:right w:val="nil"/>
            </w:tcBorders>
            <w:hideMark/>
          </w:tcPr>
          <w:p w14:paraId="5B898D3F" w14:textId="21FCC011" w:rsidR="00A71D99" w:rsidRPr="00A71D99" w:rsidRDefault="00A71D99" w:rsidP="00A71D99">
            <w:pPr>
              <w:pStyle w:val="TableText"/>
              <w:ind w:right="57"/>
              <w:jc w:val="right"/>
            </w:pPr>
            <w:r w:rsidRPr="00A71D99">
              <w:t>1</w:t>
            </w:r>
          </w:p>
        </w:tc>
      </w:tr>
      <w:tr w:rsidR="00A71D99" w14:paraId="424ED559" w14:textId="77777777" w:rsidTr="00A71D99">
        <w:trPr>
          <w:trHeight w:val="344"/>
        </w:trPr>
        <w:tc>
          <w:tcPr>
            <w:tcW w:w="2225" w:type="dxa"/>
            <w:tcBorders>
              <w:top w:val="single" w:sz="4" w:space="0" w:color="A6A6A6" w:themeColor="background1" w:themeShade="A6"/>
              <w:left w:val="nil"/>
              <w:bottom w:val="single" w:sz="4" w:space="0" w:color="A6A6A6" w:themeColor="background1" w:themeShade="A6"/>
              <w:right w:val="nil"/>
            </w:tcBorders>
            <w:hideMark/>
          </w:tcPr>
          <w:p w14:paraId="619DF97F" w14:textId="77777777" w:rsidR="00A71D99" w:rsidRDefault="00A71D99" w:rsidP="00A71D99">
            <w:pPr>
              <w:pStyle w:val="TableText"/>
              <w:ind w:left="57" w:right="57"/>
            </w:pPr>
            <w:r>
              <w:t>Wellington</w:t>
            </w:r>
          </w:p>
        </w:tc>
        <w:tc>
          <w:tcPr>
            <w:tcW w:w="5845" w:type="dxa"/>
            <w:tcBorders>
              <w:top w:val="single" w:sz="4" w:space="0" w:color="A6A6A6" w:themeColor="background1" w:themeShade="A6"/>
              <w:left w:val="nil"/>
              <w:bottom w:val="single" w:sz="4" w:space="0" w:color="A6A6A6" w:themeColor="background1" w:themeShade="A6"/>
              <w:right w:val="nil"/>
            </w:tcBorders>
            <w:hideMark/>
          </w:tcPr>
          <w:p w14:paraId="04797374" w14:textId="3ED19D98" w:rsidR="00A71D99" w:rsidRPr="00A71D99" w:rsidRDefault="00A71D99" w:rsidP="00A71D99">
            <w:pPr>
              <w:pStyle w:val="TableText"/>
              <w:ind w:right="57"/>
              <w:jc w:val="right"/>
            </w:pPr>
            <w:r w:rsidRPr="00A71D99">
              <w:t>758</w:t>
            </w:r>
          </w:p>
        </w:tc>
      </w:tr>
      <w:tr w:rsidR="00A71D99" w14:paraId="40F56E9B" w14:textId="77777777" w:rsidTr="00A71D99">
        <w:trPr>
          <w:trHeight w:val="344"/>
        </w:trPr>
        <w:tc>
          <w:tcPr>
            <w:tcW w:w="2225" w:type="dxa"/>
            <w:tcBorders>
              <w:top w:val="single" w:sz="4" w:space="0" w:color="A6A6A6" w:themeColor="background1" w:themeShade="A6"/>
              <w:left w:val="nil"/>
              <w:bottom w:val="single" w:sz="4" w:space="0" w:color="A6A6A6" w:themeColor="background1" w:themeShade="A6"/>
              <w:right w:val="nil"/>
            </w:tcBorders>
          </w:tcPr>
          <w:p w14:paraId="1F598621" w14:textId="1E7CE523" w:rsidR="00A71D99" w:rsidRDefault="00A71D99" w:rsidP="00A71D99">
            <w:pPr>
              <w:pStyle w:val="TableText"/>
              <w:ind w:left="57" w:right="57"/>
            </w:pPr>
            <w:r w:rsidRPr="00A71D99">
              <w:t>Remote</w:t>
            </w:r>
          </w:p>
        </w:tc>
        <w:tc>
          <w:tcPr>
            <w:tcW w:w="5845" w:type="dxa"/>
            <w:tcBorders>
              <w:top w:val="single" w:sz="4" w:space="0" w:color="A6A6A6" w:themeColor="background1" w:themeShade="A6"/>
              <w:left w:val="nil"/>
              <w:bottom w:val="single" w:sz="4" w:space="0" w:color="A6A6A6" w:themeColor="background1" w:themeShade="A6"/>
              <w:right w:val="nil"/>
            </w:tcBorders>
          </w:tcPr>
          <w:p w14:paraId="487B6599" w14:textId="0A97B4DA" w:rsidR="00A71D99" w:rsidRPr="00A71D99" w:rsidRDefault="00A71D99" w:rsidP="00A71D99">
            <w:pPr>
              <w:pStyle w:val="TableText"/>
              <w:ind w:right="57"/>
              <w:jc w:val="right"/>
            </w:pPr>
            <w:r w:rsidRPr="00A71D99">
              <w:t>4</w:t>
            </w:r>
          </w:p>
        </w:tc>
      </w:tr>
      <w:tr w:rsidR="00A71D99" w14:paraId="3C629705" w14:textId="77777777" w:rsidTr="00A71D99">
        <w:trPr>
          <w:trHeight w:val="344"/>
        </w:trPr>
        <w:tc>
          <w:tcPr>
            <w:tcW w:w="2225" w:type="dxa"/>
            <w:tcBorders>
              <w:top w:val="single" w:sz="4" w:space="0" w:color="A6A6A6" w:themeColor="background1" w:themeShade="A6"/>
              <w:left w:val="nil"/>
              <w:bottom w:val="single" w:sz="4" w:space="0" w:color="A6A6A6" w:themeColor="background1" w:themeShade="A6"/>
              <w:right w:val="nil"/>
            </w:tcBorders>
            <w:hideMark/>
          </w:tcPr>
          <w:p w14:paraId="655B979D" w14:textId="77777777" w:rsidR="00A71D99" w:rsidRDefault="00A71D99" w:rsidP="00A71D99">
            <w:pPr>
              <w:pStyle w:val="TableText"/>
              <w:ind w:left="57" w:right="57"/>
              <w:rPr>
                <w:b/>
                <w:bCs/>
              </w:rPr>
            </w:pPr>
            <w:r>
              <w:rPr>
                <w:b/>
                <w:bCs/>
              </w:rPr>
              <w:t>Total</w:t>
            </w:r>
          </w:p>
        </w:tc>
        <w:tc>
          <w:tcPr>
            <w:tcW w:w="5845" w:type="dxa"/>
            <w:tcBorders>
              <w:top w:val="single" w:sz="4" w:space="0" w:color="A6A6A6" w:themeColor="background1" w:themeShade="A6"/>
              <w:left w:val="nil"/>
              <w:bottom w:val="single" w:sz="4" w:space="0" w:color="A6A6A6" w:themeColor="background1" w:themeShade="A6"/>
              <w:right w:val="nil"/>
            </w:tcBorders>
            <w:hideMark/>
          </w:tcPr>
          <w:p w14:paraId="05D44B8A" w14:textId="5342B5E8" w:rsidR="00A71D99" w:rsidRPr="00A71D99" w:rsidRDefault="00A71D99" w:rsidP="00A71D99">
            <w:pPr>
              <w:pStyle w:val="TableText"/>
              <w:ind w:right="57"/>
              <w:jc w:val="right"/>
              <w:rPr>
                <w:b/>
                <w:bCs/>
              </w:rPr>
            </w:pPr>
            <w:r w:rsidRPr="00A71D99">
              <w:rPr>
                <w:b/>
                <w:bCs/>
              </w:rPr>
              <w:t>800</w:t>
            </w:r>
          </w:p>
        </w:tc>
      </w:tr>
    </w:tbl>
    <w:p w14:paraId="2D4862E6" w14:textId="77777777" w:rsidR="009A7433" w:rsidRDefault="009A7433" w:rsidP="009A7433"/>
    <w:p w14:paraId="4D06E15A" w14:textId="77777777" w:rsidR="009A7433" w:rsidRDefault="009A7433" w:rsidP="009A7433"/>
    <w:tbl>
      <w:tblPr>
        <w:tblW w:w="8070" w:type="dxa"/>
        <w:tblInd w:w="7"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2018"/>
        <w:gridCol w:w="2017"/>
        <w:gridCol w:w="2017"/>
        <w:gridCol w:w="2018"/>
      </w:tblGrid>
      <w:tr w:rsidR="009A7433" w14:paraId="4C8C82D3" w14:textId="77777777" w:rsidTr="00A71D99">
        <w:trPr>
          <w:trHeight w:val="418"/>
        </w:trPr>
        <w:tc>
          <w:tcPr>
            <w:tcW w:w="8070" w:type="dxa"/>
            <w:gridSpan w:val="4"/>
            <w:tcBorders>
              <w:top w:val="nil"/>
              <w:left w:val="nil"/>
              <w:bottom w:val="nil"/>
              <w:right w:val="nil"/>
            </w:tcBorders>
            <w:shd w:val="clear" w:color="auto" w:fill="D9D9D9" w:themeFill="background1" w:themeFillShade="D9"/>
            <w:hideMark/>
          </w:tcPr>
          <w:p w14:paraId="7BC7E5B9" w14:textId="77777777" w:rsidR="00A71D99" w:rsidRDefault="009A7433">
            <w:pPr>
              <w:pStyle w:val="TableText"/>
              <w:ind w:left="57" w:right="57"/>
              <w:rPr>
                <w:b/>
                <w:bCs/>
              </w:rPr>
            </w:pPr>
            <w:r>
              <w:rPr>
                <w:b/>
                <w:bCs/>
              </w:rPr>
              <w:t xml:space="preserve">Gender: year-on-year comparison </w:t>
            </w:r>
          </w:p>
          <w:p w14:paraId="1C0024B2" w14:textId="3EC4EA7C" w:rsidR="009A7433" w:rsidRPr="00A71D99" w:rsidRDefault="009A7433">
            <w:pPr>
              <w:pStyle w:val="TableText"/>
              <w:ind w:left="57" w:right="57"/>
            </w:pPr>
            <w:r w:rsidRPr="00A71D99">
              <w:t xml:space="preserve">Data as </w:t>
            </w:r>
            <w:proofErr w:type="gramStart"/>
            <w:r w:rsidRPr="00A71D99">
              <w:t>at</w:t>
            </w:r>
            <w:proofErr w:type="gramEnd"/>
            <w:r w:rsidRPr="00A71D99">
              <w:t xml:space="preserve"> 30 June each year</w:t>
            </w:r>
          </w:p>
        </w:tc>
      </w:tr>
      <w:tr w:rsidR="009A7433" w14:paraId="7FC1080B" w14:textId="77777777" w:rsidTr="00A71D99">
        <w:trPr>
          <w:trHeight w:val="352"/>
        </w:trPr>
        <w:tc>
          <w:tcPr>
            <w:tcW w:w="2018" w:type="dxa"/>
            <w:tcBorders>
              <w:top w:val="nil"/>
              <w:left w:val="nil"/>
              <w:bottom w:val="single" w:sz="4" w:space="0" w:color="BFBFBF" w:themeColor="background1" w:themeShade="BF"/>
              <w:right w:val="nil"/>
            </w:tcBorders>
            <w:shd w:val="clear" w:color="auto" w:fill="F2F2F2" w:themeFill="background1" w:themeFillShade="F2"/>
            <w:hideMark/>
          </w:tcPr>
          <w:p w14:paraId="4583C167" w14:textId="77777777" w:rsidR="009A7433" w:rsidRDefault="009A7433">
            <w:pPr>
              <w:pStyle w:val="TableText"/>
              <w:ind w:left="57" w:right="57"/>
              <w:rPr>
                <w:b/>
                <w:bCs/>
              </w:rPr>
            </w:pPr>
            <w:r>
              <w:rPr>
                <w:b/>
                <w:bCs/>
              </w:rPr>
              <w:t>Year</w:t>
            </w:r>
          </w:p>
        </w:tc>
        <w:tc>
          <w:tcPr>
            <w:tcW w:w="6052" w:type="dxa"/>
            <w:gridSpan w:val="3"/>
            <w:tcBorders>
              <w:top w:val="nil"/>
              <w:left w:val="nil"/>
              <w:bottom w:val="single" w:sz="4" w:space="0" w:color="BFBFBF" w:themeColor="background1" w:themeShade="BF"/>
              <w:right w:val="nil"/>
            </w:tcBorders>
            <w:shd w:val="clear" w:color="auto" w:fill="F2F2F2" w:themeFill="background1" w:themeFillShade="F2"/>
            <w:hideMark/>
          </w:tcPr>
          <w:p w14:paraId="6A9F63B5" w14:textId="77777777" w:rsidR="009A7433" w:rsidRDefault="009A7433">
            <w:pPr>
              <w:pStyle w:val="TableText"/>
              <w:ind w:left="57" w:right="57"/>
              <w:jc w:val="center"/>
              <w:rPr>
                <w:b/>
                <w:bCs/>
              </w:rPr>
            </w:pPr>
            <w:r>
              <w:rPr>
                <w:b/>
                <w:bCs/>
              </w:rPr>
              <w:t>Number</w:t>
            </w:r>
          </w:p>
        </w:tc>
      </w:tr>
      <w:tr w:rsidR="009A7433" w14:paraId="7B4E6FA4" w14:textId="77777777" w:rsidTr="00A71D99">
        <w:trPr>
          <w:trHeight w:val="344"/>
        </w:trPr>
        <w:tc>
          <w:tcPr>
            <w:tcW w:w="2018"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tcPr>
          <w:p w14:paraId="2B5E806A" w14:textId="77777777" w:rsidR="009A7433" w:rsidRDefault="009A7433">
            <w:pPr>
              <w:pStyle w:val="TableText"/>
              <w:ind w:left="57" w:right="57"/>
              <w:rPr>
                <w:b/>
                <w:bCs/>
              </w:rPr>
            </w:pPr>
          </w:p>
        </w:tc>
        <w:tc>
          <w:tcPr>
            <w:tcW w:w="2017"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hideMark/>
          </w:tcPr>
          <w:p w14:paraId="63712411" w14:textId="77777777" w:rsidR="009A7433" w:rsidRDefault="009A7433" w:rsidP="00A71D99">
            <w:pPr>
              <w:pStyle w:val="TableText"/>
              <w:ind w:left="57" w:right="57"/>
              <w:jc w:val="right"/>
              <w:rPr>
                <w:b/>
                <w:bCs/>
              </w:rPr>
            </w:pPr>
            <w:r>
              <w:rPr>
                <w:b/>
                <w:bCs/>
              </w:rPr>
              <w:t>Females</w:t>
            </w:r>
          </w:p>
        </w:tc>
        <w:tc>
          <w:tcPr>
            <w:tcW w:w="2017"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hideMark/>
          </w:tcPr>
          <w:p w14:paraId="06819DE9" w14:textId="77777777" w:rsidR="009A7433" w:rsidRDefault="009A7433" w:rsidP="00A71D99">
            <w:pPr>
              <w:pStyle w:val="TableText"/>
              <w:ind w:left="57" w:right="57"/>
              <w:jc w:val="right"/>
              <w:rPr>
                <w:b/>
                <w:bCs/>
              </w:rPr>
            </w:pPr>
            <w:r>
              <w:rPr>
                <w:b/>
                <w:bCs/>
              </w:rPr>
              <w:t>Males</w:t>
            </w:r>
          </w:p>
        </w:tc>
        <w:tc>
          <w:tcPr>
            <w:tcW w:w="2018"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hideMark/>
          </w:tcPr>
          <w:p w14:paraId="35939F2E" w14:textId="77777777" w:rsidR="009A7433" w:rsidRDefault="009A7433" w:rsidP="00A71D99">
            <w:pPr>
              <w:pStyle w:val="TableText"/>
              <w:ind w:left="57" w:right="57"/>
              <w:jc w:val="right"/>
              <w:rPr>
                <w:b/>
                <w:bCs/>
              </w:rPr>
            </w:pPr>
            <w:r>
              <w:rPr>
                <w:b/>
                <w:bCs/>
              </w:rPr>
              <w:t>Total</w:t>
            </w:r>
          </w:p>
        </w:tc>
      </w:tr>
      <w:tr w:rsidR="00A71D99" w14:paraId="72D74A1A" w14:textId="77777777" w:rsidTr="00A71D99">
        <w:trPr>
          <w:trHeight w:val="344"/>
        </w:trPr>
        <w:tc>
          <w:tcPr>
            <w:tcW w:w="2018" w:type="dxa"/>
            <w:tcBorders>
              <w:top w:val="single" w:sz="4" w:space="0" w:color="BFBFBF" w:themeColor="background1" w:themeShade="BF"/>
              <w:left w:val="nil"/>
              <w:bottom w:val="single" w:sz="4" w:space="0" w:color="BFBFBF" w:themeColor="background1" w:themeShade="BF"/>
              <w:right w:val="nil"/>
            </w:tcBorders>
            <w:hideMark/>
          </w:tcPr>
          <w:p w14:paraId="0B1DCECF" w14:textId="6F5CE598" w:rsidR="00A71D99" w:rsidRPr="00A71D99" w:rsidRDefault="00A71D99" w:rsidP="00A71D99">
            <w:pPr>
              <w:pStyle w:val="TableText"/>
              <w:ind w:left="57"/>
            </w:pPr>
            <w:r w:rsidRPr="00A71D99">
              <w:t>2019</w:t>
            </w:r>
          </w:p>
        </w:tc>
        <w:tc>
          <w:tcPr>
            <w:tcW w:w="2017" w:type="dxa"/>
            <w:tcBorders>
              <w:top w:val="single" w:sz="4" w:space="0" w:color="BFBFBF" w:themeColor="background1" w:themeShade="BF"/>
              <w:left w:val="nil"/>
              <w:bottom w:val="single" w:sz="4" w:space="0" w:color="BFBFBF" w:themeColor="background1" w:themeShade="BF"/>
              <w:right w:val="nil"/>
            </w:tcBorders>
            <w:hideMark/>
          </w:tcPr>
          <w:p w14:paraId="119381CA" w14:textId="25B5A3D9" w:rsidR="00A71D99" w:rsidRPr="00A71D99" w:rsidRDefault="00A71D99" w:rsidP="00A71D99">
            <w:pPr>
              <w:pStyle w:val="TableText"/>
              <w:ind w:right="57"/>
              <w:jc w:val="right"/>
            </w:pPr>
            <w:r w:rsidRPr="00A71D99">
              <w:t>824</w:t>
            </w:r>
          </w:p>
        </w:tc>
        <w:tc>
          <w:tcPr>
            <w:tcW w:w="2017" w:type="dxa"/>
            <w:tcBorders>
              <w:top w:val="single" w:sz="4" w:space="0" w:color="BFBFBF" w:themeColor="background1" w:themeShade="BF"/>
              <w:left w:val="nil"/>
              <w:bottom w:val="single" w:sz="4" w:space="0" w:color="BFBFBF" w:themeColor="background1" w:themeShade="BF"/>
              <w:right w:val="nil"/>
            </w:tcBorders>
            <w:hideMark/>
          </w:tcPr>
          <w:p w14:paraId="62E6EAC3" w14:textId="03E68E92" w:rsidR="00A71D99" w:rsidRPr="00A71D99" w:rsidRDefault="00A71D99" w:rsidP="00A71D99">
            <w:pPr>
              <w:pStyle w:val="TableText"/>
              <w:ind w:right="57"/>
              <w:jc w:val="right"/>
            </w:pPr>
            <w:r w:rsidRPr="00A71D99">
              <w:t>381</w:t>
            </w:r>
          </w:p>
        </w:tc>
        <w:tc>
          <w:tcPr>
            <w:tcW w:w="2018" w:type="dxa"/>
            <w:tcBorders>
              <w:top w:val="single" w:sz="4" w:space="0" w:color="BFBFBF" w:themeColor="background1" w:themeShade="BF"/>
              <w:left w:val="nil"/>
              <w:bottom w:val="single" w:sz="4" w:space="0" w:color="BFBFBF" w:themeColor="background1" w:themeShade="BF"/>
              <w:right w:val="nil"/>
            </w:tcBorders>
            <w:hideMark/>
          </w:tcPr>
          <w:p w14:paraId="4FC92683" w14:textId="538C2437" w:rsidR="00A71D99" w:rsidRPr="00A71D99" w:rsidRDefault="00A71D99" w:rsidP="00A71D99">
            <w:pPr>
              <w:pStyle w:val="TableText"/>
              <w:ind w:right="57"/>
              <w:jc w:val="right"/>
            </w:pPr>
            <w:r w:rsidRPr="00A71D99">
              <w:t>1,205</w:t>
            </w:r>
          </w:p>
        </w:tc>
      </w:tr>
      <w:tr w:rsidR="00A71D99" w14:paraId="2E406234" w14:textId="77777777" w:rsidTr="00A71D99">
        <w:trPr>
          <w:trHeight w:val="344"/>
        </w:trPr>
        <w:tc>
          <w:tcPr>
            <w:tcW w:w="2018" w:type="dxa"/>
            <w:tcBorders>
              <w:top w:val="single" w:sz="4" w:space="0" w:color="BFBFBF" w:themeColor="background1" w:themeShade="BF"/>
              <w:left w:val="nil"/>
              <w:bottom w:val="single" w:sz="4" w:space="0" w:color="BFBFBF" w:themeColor="background1" w:themeShade="BF"/>
              <w:right w:val="nil"/>
            </w:tcBorders>
            <w:hideMark/>
          </w:tcPr>
          <w:p w14:paraId="4842B178" w14:textId="01FDE4E2" w:rsidR="00A71D99" w:rsidRPr="00A71D99" w:rsidRDefault="00A71D99" w:rsidP="00A71D99">
            <w:pPr>
              <w:pStyle w:val="TableText"/>
              <w:ind w:left="57"/>
            </w:pPr>
            <w:r w:rsidRPr="00A71D99">
              <w:t>2020</w:t>
            </w:r>
          </w:p>
        </w:tc>
        <w:tc>
          <w:tcPr>
            <w:tcW w:w="2017" w:type="dxa"/>
            <w:tcBorders>
              <w:top w:val="single" w:sz="4" w:space="0" w:color="BFBFBF" w:themeColor="background1" w:themeShade="BF"/>
              <w:left w:val="nil"/>
              <w:bottom w:val="single" w:sz="4" w:space="0" w:color="BFBFBF" w:themeColor="background1" w:themeShade="BF"/>
              <w:right w:val="nil"/>
            </w:tcBorders>
            <w:hideMark/>
          </w:tcPr>
          <w:p w14:paraId="419F2355" w14:textId="02598F48" w:rsidR="00A71D99" w:rsidRPr="00A71D99" w:rsidRDefault="00A71D99" w:rsidP="00A71D99">
            <w:pPr>
              <w:pStyle w:val="TableText"/>
              <w:ind w:right="57"/>
              <w:jc w:val="right"/>
            </w:pPr>
            <w:r w:rsidRPr="00A71D99">
              <w:t>832</w:t>
            </w:r>
          </w:p>
        </w:tc>
        <w:tc>
          <w:tcPr>
            <w:tcW w:w="2017" w:type="dxa"/>
            <w:tcBorders>
              <w:top w:val="single" w:sz="4" w:space="0" w:color="BFBFBF" w:themeColor="background1" w:themeShade="BF"/>
              <w:left w:val="nil"/>
              <w:bottom w:val="single" w:sz="4" w:space="0" w:color="BFBFBF" w:themeColor="background1" w:themeShade="BF"/>
              <w:right w:val="nil"/>
            </w:tcBorders>
            <w:hideMark/>
          </w:tcPr>
          <w:p w14:paraId="111B4C73" w14:textId="14F1C5A2" w:rsidR="00A71D99" w:rsidRPr="00A71D99" w:rsidRDefault="00A71D99" w:rsidP="00A71D99">
            <w:pPr>
              <w:pStyle w:val="TableText"/>
              <w:ind w:right="57"/>
              <w:jc w:val="right"/>
            </w:pPr>
            <w:r w:rsidRPr="00A71D99">
              <w:t>392</w:t>
            </w:r>
          </w:p>
        </w:tc>
        <w:tc>
          <w:tcPr>
            <w:tcW w:w="2018" w:type="dxa"/>
            <w:tcBorders>
              <w:top w:val="single" w:sz="4" w:space="0" w:color="BFBFBF" w:themeColor="background1" w:themeShade="BF"/>
              <w:left w:val="nil"/>
              <w:bottom w:val="single" w:sz="4" w:space="0" w:color="BFBFBF" w:themeColor="background1" w:themeShade="BF"/>
              <w:right w:val="nil"/>
            </w:tcBorders>
            <w:hideMark/>
          </w:tcPr>
          <w:p w14:paraId="5F507FB6" w14:textId="632A81AE" w:rsidR="00A71D99" w:rsidRPr="00A71D99" w:rsidRDefault="00A71D99" w:rsidP="00A71D99">
            <w:pPr>
              <w:pStyle w:val="TableText"/>
              <w:ind w:right="57"/>
              <w:jc w:val="right"/>
            </w:pPr>
            <w:r w:rsidRPr="00A71D99">
              <w:t>1,224</w:t>
            </w:r>
          </w:p>
        </w:tc>
      </w:tr>
      <w:tr w:rsidR="00A71D99" w14:paraId="62AE8D88" w14:textId="77777777" w:rsidTr="00A71D99">
        <w:trPr>
          <w:trHeight w:val="344"/>
        </w:trPr>
        <w:tc>
          <w:tcPr>
            <w:tcW w:w="2018" w:type="dxa"/>
            <w:tcBorders>
              <w:top w:val="single" w:sz="4" w:space="0" w:color="BFBFBF" w:themeColor="background1" w:themeShade="BF"/>
              <w:left w:val="nil"/>
              <w:bottom w:val="single" w:sz="4" w:space="0" w:color="BFBFBF" w:themeColor="background1" w:themeShade="BF"/>
              <w:right w:val="nil"/>
            </w:tcBorders>
            <w:hideMark/>
          </w:tcPr>
          <w:p w14:paraId="77042CBE" w14:textId="40CB6F0B" w:rsidR="00A71D99" w:rsidRPr="00A71D99" w:rsidRDefault="00A71D99" w:rsidP="00A71D99">
            <w:pPr>
              <w:pStyle w:val="TableText"/>
              <w:ind w:left="57"/>
            </w:pPr>
            <w:r w:rsidRPr="00A71D99">
              <w:t>2021</w:t>
            </w:r>
          </w:p>
        </w:tc>
        <w:tc>
          <w:tcPr>
            <w:tcW w:w="2017" w:type="dxa"/>
            <w:tcBorders>
              <w:top w:val="single" w:sz="4" w:space="0" w:color="BFBFBF" w:themeColor="background1" w:themeShade="BF"/>
              <w:left w:val="nil"/>
              <w:bottom w:val="single" w:sz="4" w:space="0" w:color="BFBFBF" w:themeColor="background1" w:themeShade="BF"/>
              <w:right w:val="nil"/>
            </w:tcBorders>
            <w:hideMark/>
          </w:tcPr>
          <w:p w14:paraId="76357CA4" w14:textId="780F2C60" w:rsidR="00A71D99" w:rsidRPr="00A71D99" w:rsidRDefault="00A71D99" w:rsidP="00A71D99">
            <w:pPr>
              <w:pStyle w:val="TableText"/>
              <w:ind w:right="57"/>
              <w:jc w:val="right"/>
            </w:pPr>
            <w:r w:rsidRPr="00A71D99">
              <w:t>1,126</w:t>
            </w:r>
          </w:p>
        </w:tc>
        <w:tc>
          <w:tcPr>
            <w:tcW w:w="2017" w:type="dxa"/>
            <w:tcBorders>
              <w:top w:val="single" w:sz="4" w:space="0" w:color="BFBFBF" w:themeColor="background1" w:themeShade="BF"/>
              <w:left w:val="nil"/>
              <w:bottom w:val="single" w:sz="4" w:space="0" w:color="BFBFBF" w:themeColor="background1" w:themeShade="BF"/>
              <w:right w:val="nil"/>
            </w:tcBorders>
            <w:hideMark/>
          </w:tcPr>
          <w:p w14:paraId="7CFB9716" w14:textId="50D80B7A" w:rsidR="00A71D99" w:rsidRPr="00A71D99" w:rsidRDefault="00A71D99" w:rsidP="00A71D99">
            <w:pPr>
              <w:pStyle w:val="TableText"/>
              <w:ind w:right="57"/>
              <w:jc w:val="right"/>
            </w:pPr>
            <w:r w:rsidRPr="00A71D99">
              <w:t>554</w:t>
            </w:r>
          </w:p>
        </w:tc>
        <w:tc>
          <w:tcPr>
            <w:tcW w:w="2018" w:type="dxa"/>
            <w:tcBorders>
              <w:top w:val="single" w:sz="4" w:space="0" w:color="BFBFBF" w:themeColor="background1" w:themeShade="BF"/>
              <w:left w:val="nil"/>
              <w:bottom w:val="single" w:sz="4" w:space="0" w:color="BFBFBF" w:themeColor="background1" w:themeShade="BF"/>
              <w:right w:val="nil"/>
            </w:tcBorders>
            <w:hideMark/>
          </w:tcPr>
          <w:p w14:paraId="5AE01C67" w14:textId="43A6AE23" w:rsidR="00A71D99" w:rsidRPr="00A71D99" w:rsidRDefault="00A71D99" w:rsidP="00A71D99">
            <w:pPr>
              <w:pStyle w:val="TableText"/>
              <w:ind w:right="57"/>
              <w:jc w:val="right"/>
            </w:pPr>
            <w:r w:rsidRPr="00A71D99">
              <w:t>1,680</w:t>
            </w:r>
          </w:p>
        </w:tc>
      </w:tr>
      <w:tr w:rsidR="00A71D99" w14:paraId="6D43A8DE" w14:textId="77777777" w:rsidTr="00A71D99">
        <w:trPr>
          <w:trHeight w:val="344"/>
        </w:trPr>
        <w:tc>
          <w:tcPr>
            <w:tcW w:w="2018" w:type="dxa"/>
            <w:tcBorders>
              <w:top w:val="single" w:sz="4" w:space="0" w:color="BFBFBF" w:themeColor="background1" w:themeShade="BF"/>
              <w:left w:val="nil"/>
              <w:bottom w:val="single" w:sz="4" w:space="0" w:color="BFBFBF" w:themeColor="background1" w:themeShade="BF"/>
              <w:right w:val="nil"/>
            </w:tcBorders>
            <w:hideMark/>
          </w:tcPr>
          <w:p w14:paraId="5D788CBF" w14:textId="1B9711EB" w:rsidR="00A71D99" w:rsidRPr="00A71D99" w:rsidRDefault="00A71D99" w:rsidP="00A71D99">
            <w:pPr>
              <w:pStyle w:val="TableText"/>
              <w:ind w:left="57"/>
            </w:pPr>
            <w:r w:rsidRPr="00A71D99">
              <w:t>2022</w:t>
            </w:r>
          </w:p>
        </w:tc>
        <w:tc>
          <w:tcPr>
            <w:tcW w:w="2017" w:type="dxa"/>
            <w:tcBorders>
              <w:top w:val="single" w:sz="4" w:space="0" w:color="BFBFBF" w:themeColor="background1" w:themeShade="BF"/>
              <w:left w:val="nil"/>
              <w:bottom w:val="single" w:sz="4" w:space="0" w:color="BFBFBF" w:themeColor="background1" w:themeShade="BF"/>
              <w:right w:val="nil"/>
            </w:tcBorders>
            <w:hideMark/>
          </w:tcPr>
          <w:p w14:paraId="74BC5C44" w14:textId="7CF87DC5" w:rsidR="00A71D99" w:rsidRPr="00A71D99" w:rsidRDefault="00A71D99" w:rsidP="00A71D99">
            <w:pPr>
              <w:pStyle w:val="TableText"/>
              <w:ind w:right="57"/>
              <w:jc w:val="right"/>
            </w:pPr>
            <w:r w:rsidRPr="00A71D99">
              <w:t>600</w:t>
            </w:r>
          </w:p>
        </w:tc>
        <w:tc>
          <w:tcPr>
            <w:tcW w:w="2017" w:type="dxa"/>
            <w:tcBorders>
              <w:top w:val="single" w:sz="4" w:space="0" w:color="BFBFBF" w:themeColor="background1" w:themeShade="BF"/>
              <w:left w:val="nil"/>
              <w:bottom w:val="single" w:sz="4" w:space="0" w:color="BFBFBF" w:themeColor="background1" w:themeShade="BF"/>
              <w:right w:val="nil"/>
            </w:tcBorders>
            <w:hideMark/>
          </w:tcPr>
          <w:p w14:paraId="792C9795" w14:textId="1FDA8C06" w:rsidR="00A71D99" w:rsidRPr="00A71D99" w:rsidRDefault="00A71D99" w:rsidP="00A71D99">
            <w:pPr>
              <w:pStyle w:val="TableText"/>
              <w:ind w:right="57"/>
              <w:jc w:val="right"/>
            </w:pPr>
            <w:r w:rsidRPr="00A71D99">
              <w:t>285</w:t>
            </w:r>
          </w:p>
        </w:tc>
        <w:tc>
          <w:tcPr>
            <w:tcW w:w="2018" w:type="dxa"/>
            <w:tcBorders>
              <w:top w:val="single" w:sz="4" w:space="0" w:color="BFBFBF" w:themeColor="background1" w:themeShade="BF"/>
              <w:left w:val="nil"/>
              <w:bottom w:val="single" w:sz="4" w:space="0" w:color="BFBFBF" w:themeColor="background1" w:themeShade="BF"/>
              <w:right w:val="nil"/>
            </w:tcBorders>
            <w:hideMark/>
          </w:tcPr>
          <w:p w14:paraId="3EC02B23" w14:textId="444D595E" w:rsidR="00A71D99" w:rsidRPr="00A71D99" w:rsidRDefault="00A71D99" w:rsidP="00A71D99">
            <w:pPr>
              <w:pStyle w:val="TableText"/>
              <w:ind w:right="57"/>
              <w:jc w:val="right"/>
            </w:pPr>
            <w:r w:rsidRPr="00A71D99">
              <w:t>885</w:t>
            </w:r>
          </w:p>
        </w:tc>
      </w:tr>
      <w:tr w:rsidR="00A71D99" w14:paraId="28AA9236" w14:textId="77777777" w:rsidTr="00A71D99">
        <w:trPr>
          <w:trHeight w:val="344"/>
        </w:trPr>
        <w:tc>
          <w:tcPr>
            <w:tcW w:w="2018" w:type="dxa"/>
            <w:tcBorders>
              <w:top w:val="single" w:sz="4" w:space="0" w:color="BFBFBF" w:themeColor="background1" w:themeShade="BF"/>
              <w:left w:val="nil"/>
              <w:bottom w:val="single" w:sz="4" w:space="0" w:color="BFBFBF" w:themeColor="background1" w:themeShade="BF"/>
              <w:right w:val="nil"/>
            </w:tcBorders>
            <w:hideMark/>
          </w:tcPr>
          <w:p w14:paraId="57B22D9B" w14:textId="145021D2" w:rsidR="00A71D99" w:rsidRPr="00A71D99" w:rsidRDefault="00A71D99" w:rsidP="00A71D99">
            <w:pPr>
              <w:pStyle w:val="TableText"/>
              <w:ind w:left="57"/>
            </w:pPr>
            <w:r w:rsidRPr="00A71D99">
              <w:t>2023</w:t>
            </w:r>
          </w:p>
        </w:tc>
        <w:tc>
          <w:tcPr>
            <w:tcW w:w="2017" w:type="dxa"/>
            <w:tcBorders>
              <w:top w:val="single" w:sz="4" w:space="0" w:color="BFBFBF" w:themeColor="background1" w:themeShade="BF"/>
              <w:left w:val="nil"/>
              <w:bottom w:val="single" w:sz="4" w:space="0" w:color="BFBFBF" w:themeColor="background1" w:themeShade="BF"/>
              <w:right w:val="nil"/>
            </w:tcBorders>
            <w:hideMark/>
          </w:tcPr>
          <w:p w14:paraId="698C6EF2" w14:textId="43A50FF4" w:rsidR="00A71D99" w:rsidRPr="00A71D99" w:rsidRDefault="00A71D99" w:rsidP="00A71D99">
            <w:pPr>
              <w:pStyle w:val="TableText"/>
              <w:ind w:right="57"/>
              <w:jc w:val="right"/>
            </w:pPr>
            <w:r w:rsidRPr="00A71D99">
              <w:t>523</w:t>
            </w:r>
          </w:p>
        </w:tc>
        <w:tc>
          <w:tcPr>
            <w:tcW w:w="2017" w:type="dxa"/>
            <w:tcBorders>
              <w:top w:val="single" w:sz="4" w:space="0" w:color="BFBFBF" w:themeColor="background1" w:themeShade="BF"/>
              <w:left w:val="nil"/>
              <w:bottom w:val="single" w:sz="4" w:space="0" w:color="BFBFBF" w:themeColor="background1" w:themeShade="BF"/>
              <w:right w:val="nil"/>
            </w:tcBorders>
            <w:hideMark/>
          </w:tcPr>
          <w:p w14:paraId="4B89195F" w14:textId="790AC56A" w:rsidR="00A71D99" w:rsidRPr="00A71D99" w:rsidRDefault="00A71D99" w:rsidP="00A71D99">
            <w:pPr>
              <w:pStyle w:val="TableText"/>
              <w:ind w:right="57"/>
              <w:jc w:val="right"/>
            </w:pPr>
            <w:r w:rsidRPr="00A71D99">
              <w:t>231</w:t>
            </w:r>
          </w:p>
        </w:tc>
        <w:tc>
          <w:tcPr>
            <w:tcW w:w="2018" w:type="dxa"/>
            <w:tcBorders>
              <w:top w:val="single" w:sz="4" w:space="0" w:color="BFBFBF" w:themeColor="background1" w:themeShade="BF"/>
              <w:left w:val="nil"/>
              <w:bottom w:val="single" w:sz="4" w:space="0" w:color="BFBFBF" w:themeColor="background1" w:themeShade="BF"/>
              <w:right w:val="nil"/>
            </w:tcBorders>
            <w:hideMark/>
          </w:tcPr>
          <w:p w14:paraId="659F3B15" w14:textId="37CFAB01" w:rsidR="00A71D99" w:rsidRPr="00A71D99" w:rsidRDefault="00A71D99" w:rsidP="00A71D99">
            <w:pPr>
              <w:pStyle w:val="TableText"/>
              <w:ind w:right="57"/>
              <w:jc w:val="right"/>
            </w:pPr>
            <w:r w:rsidRPr="00A71D99">
              <w:t>754</w:t>
            </w:r>
          </w:p>
        </w:tc>
      </w:tr>
      <w:tr w:rsidR="00A71D99" w14:paraId="205F0479" w14:textId="77777777" w:rsidTr="00A71D99">
        <w:trPr>
          <w:trHeight w:val="344"/>
        </w:trPr>
        <w:tc>
          <w:tcPr>
            <w:tcW w:w="2018" w:type="dxa"/>
            <w:tcBorders>
              <w:top w:val="single" w:sz="4" w:space="0" w:color="BFBFBF" w:themeColor="background1" w:themeShade="BF"/>
              <w:left w:val="nil"/>
              <w:bottom w:val="single" w:sz="4" w:space="0" w:color="BFBFBF" w:themeColor="background1" w:themeShade="BF"/>
              <w:right w:val="nil"/>
            </w:tcBorders>
            <w:hideMark/>
          </w:tcPr>
          <w:p w14:paraId="32B7E594" w14:textId="12879D2E" w:rsidR="00A71D99" w:rsidRPr="00A71D99" w:rsidRDefault="00A71D99" w:rsidP="00A71D99">
            <w:pPr>
              <w:pStyle w:val="TableText"/>
              <w:ind w:left="57"/>
            </w:pPr>
            <w:r w:rsidRPr="00A71D99">
              <w:t>2024</w:t>
            </w:r>
          </w:p>
        </w:tc>
        <w:tc>
          <w:tcPr>
            <w:tcW w:w="2017" w:type="dxa"/>
            <w:tcBorders>
              <w:top w:val="single" w:sz="4" w:space="0" w:color="BFBFBF" w:themeColor="background1" w:themeShade="BF"/>
              <w:left w:val="nil"/>
              <w:bottom w:val="single" w:sz="4" w:space="0" w:color="BFBFBF" w:themeColor="background1" w:themeShade="BF"/>
              <w:right w:val="nil"/>
            </w:tcBorders>
            <w:hideMark/>
          </w:tcPr>
          <w:p w14:paraId="53EF2EF0" w14:textId="2B86B92F" w:rsidR="00A71D99" w:rsidRPr="00A71D99" w:rsidRDefault="00A71D99" w:rsidP="00A71D99">
            <w:pPr>
              <w:pStyle w:val="TableText"/>
              <w:ind w:right="57"/>
              <w:jc w:val="right"/>
            </w:pPr>
            <w:r w:rsidRPr="00A71D99">
              <w:t>557</w:t>
            </w:r>
          </w:p>
        </w:tc>
        <w:tc>
          <w:tcPr>
            <w:tcW w:w="2017" w:type="dxa"/>
            <w:tcBorders>
              <w:top w:val="single" w:sz="4" w:space="0" w:color="BFBFBF" w:themeColor="background1" w:themeShade="BF"/>
              <w:left w:val="nil"/>
              <w:bottom w:val="single" w:sz="4" w:space="0" w:color="BFBFBF" w:themeColor="background1" w:themeShade="BF"/>
              <w:right w:val="nil"/>
            </w:tcBorders>
            <w:hideMark/>
          </w:tcPr>
          <w:p w14:paraId="19E894AB" w14:textId="0DA40E72" w:rsidR="00A71D99" w:rsidRPr="00A71D99" w:rsidRDefault="00A71D99" w:rsidP="00A71D99">
            <w:pPr>
              <w:pStyle w:val="TableText"/>
              <w:ind w:right="57"/>
              <w:jc w:val="right"/>
            </w:pPr>
            <w:r w:rsidRPr="00A71D99">
              <w:t>243</w:t>
            </w:r>
          </w:p>
        </w:tc>
        <w:tc>
          <w:tcPr>
            <w:tcW w:w="2018" w:type="dxa"/>
            <w:tcBorders>
              <w:top w:val="single" w:sz="4" w:space="0" w:color="BFBFBF" w:themeColor="background1" w:themeShade="BF"/>
              <w:left w:val="nil"/>
              <w:bottom w:val="single" w:sz="4" w:space="0" w:color="BFBFBF" w:themeColor="background1" w:themeShade="BF"/>
              <w:right w:val="nil"/>
            </w:tcBorders>
            <w:hideMark/>
          </w:tcPr>
          <w:p w14:paraId="0A9C11AE" w14:textId="263A697C" w:rsidR="00A71D99" w:rsidRPr="00A71D99" w:rsidRDefault="00A71D99" w:rsidP="00A71D99">
            <w:pPr>
              <w:pStyle w:val="TableText"/>
              <w:ind w:right="57"/>
              <w:jc w:val="right"/>
            </w:pPr>
            <w:r w:rsidRPr="00A71D99">
              <w:t>800</w:t>
            </w:r>
          </w:p>
        </w:tc>
      </w:tr>
    </w:tbl>
    <w:p w14:paraId="783B5BA3" w14:textId="77777777" w:rsidR="009A7433" w:rsidRDefault="009A7433" w:rsidP="009A7433"/>
    <w:p w14:paraId="03DBF01D" w14:textId="77777777" w:rsidR="00A71D99" w:rsidRDefault="00A71D99" w:rsidP="009A7433">
      <w:pPr>
        <w:sectPr w:rsidR="00A71D99" w:rsidSect="008F0115">
          <w:pgSz w:w="11907" w:h="16840" w:code="9"/>
          <w:pgMar w:top="1418" w:right="1701" w:bottom="1134" w:left="1843" w:header="284" w:footer="425" w:gutter="284"/>
          <w:cols w:space="720"/>
        </w:sectPr>
      </w:pPr>
    </w:p>
    <w:tbl>
      <w:tblPr>
        <w:tblW w:w="8070" w:type="dxa"/>
        <w:tblInd w:w="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690"/>
        <w:gridCol w:w="1345"/>
        <w:gridCol w:w="1345"/>
        <w:gridCol w:w="2690"/>
      </w:tblGrid>
      <w:tr w:rsidR="009A7433" w14:paraId="5CA463E9" w14:textId="77777777" w:rsidTr="00A71D99">
        <w:trPr>
          <w:trHeight w:val="385"/>
        </w:trPr>
        <w:tc>
          <w:tcPr>
            <w:tcW w:w="8070" w:type="dxa"/>
            <w:gridSpan w:val="4"/>
            <w:tcBorders>
              <w:top w:val="nil"/>
              <w:left w:val="nil"/>
              <w:bottom w:val="nil"/>
              <w:right w:val="nil"/>
            </w:tcBorders>
            <w:shd w:val="clear" w:color="auto" w:fill="D9D9D9" w:themeFill="background1" w:themeFillShade="D9"/>
            <w:hideMark/>
          </w:tcPr>
          <w:p w14:paraId="5DAC25AD" w14:textId="77777777" w:rsidR="00A71D99" w:rsidRDefault="009A7433">
            <w:pPr>
              <w:pStyle w:val="TableText"/>
              <w:ind w:left="57" w:right="57"/>
              <w:rPr>
                <w:b/>
                <w:bCs/>
              </w:rPr>
            </w:pPr>
            <w:r>
              <w:rPr>
                <w:b/>
                <w:bCs/>
              </w:rPr>
              <w:lastRenderedPageBreak/>
              <w:t xml:space="preserve">Gender: year-on-year comparison </w:t>
            </w:r>
          </w:p>
          <w:p w14:paraId="233FAB89" w14:textId="302E4241" w:rsidR="009A7433" w:rsidRPr="00A71D99" w:rsidRDefault="009A7433">
            <w:pPr>
              <w:pStyle w:val="TableText"/>
              <w:ind w:left="57" w:right="57"/>
            </w:pPr>
            <w:r w:rsidRPr="00A71D99">
              <w:t xml:space="preserve">Data as </w:t>
            </w:r>
            <w:proofErr w:type="gramStart"/>
            <w:r w:rsidRPr="00A71D99">
              <w:t>at</w:t>
            </w:r>
            <w:proofErr w:type="gramEnd"/>
            <w:r w:rsidRPr="00A71D99">
              <w:t xml:space="preserve"> 30 June each year</w:t>
            </w:r>
          </w:p>
        </w:tc>
      </w:tr>
      <w:tr w:rsidR="009A7433" w14:paraId="0B45A0FE" w14:textId="77777777" w:rsidTr="00A71D99">
        <w:trPr>
          <w:trHeight w:val="344"/>
        </w:trPr>
        <w:tc>
          <w:tcPr>
            <w:tcW w:w="4035" w:type="dxa"/>
            <w:gridSpan w:val="2"/>
            <w:tcBorders>
              <w:top w:val="nil"/>
              <w:left w:val="nil"/>
              <w:bottom w:val="single" w:sz="4" w:space="0" w:color="A6A6A6" w:themeColor="background1" w:themeShade="A6"/>
              <w:right w:val="nil"/>
            </w:tcBorders>
            <w:shd w:val="clear" w:color="auto" w:fill="F2F2F2" w:themeFill="background1" w:themeFillShade="F2"/>
            <w:hideMark/>
          </w:tcPr>
          <w:p w14:paraId="2999C3E1" w14:textId="77777777" w:rsidR="009A7433" w:rsidRDefault="009A7433">
            <w:pPr>
              <w:pStyle w:val="TableText"/>
              <w:ind w:left="57" w:right="57"/>
            </w:pPr>
            <w:r>
              <w:rPr>
                <w:b/>
                <w:bCs/>
              </w:rPr>
              <w:t>Year</w:t>
            </w:r>
          </w:p>
        </w:tc>
        <w:tc>
          <w:tcPr>
            <w:tcW w:w="4035" w:type="dxa"/>
            <w:gridSpan w:val="2"/>
            <w:tcBorders>
              <w:top w:val="nil"/>
              <w:left w:val="nil"/>
              <w:bottom w:val="single" w:sz="4" w:space="0" w:color="A6A6A6" w:themeColor="background1" w:themeShade="A6"/>
              <w:right w:val="nil"/>
            </w:tcBorders>
            <w:shd w:val="clear" w:color="auto" w:fill="F2F2F2" w:themeFill="background1" w:themeFillShade="F2"/>
            <w:hideMark/>
          </w:tcPr>
          <w:p w14:paraId="0AFC473D" w14:textId="77777777" w:rsidR="009A7433" w:rsidRDefault="009A7433">
            <w:pPr>
              <w:pStyle w:val="TableText"/>
              <w:ind w:left="57" w:right="57"/>
              <w:jc w:val="center"/>
              <w:rPr>
                <w:b/>
                <w:bCs/>
              </w:rPr>
            </w:pPr>
            <w:r>
              <w:rPr>
                <w:b/>
                <w:bCs/>
              </w:rPr>
              <w:t>Percentage</w:t>
            </w:r>
          </w:p>
        </w:tc>
      </w:tr>
      <w:tr w:rsidR="009A7433" w14:paraId="34AB28A8" w14:textId="77777777" w:rsidTr="00A71D99">
        <w:trPr>
          <w:trHeight w:val="344"/>
        </w:trPr>
        <w:tc>
          <w:tcPr>
            <w:tcW w:w="269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093DDBBC" w14:textId="77777777" w:rsidR="009A7433" w:rsidRDefault="009A7433">
            <w:pPr>
              <w:pStyle w:val="TableText"/>
              <w:ind w:left="57" w:right="57"/>
            </w:pPr>
          </w:p>
        </w:tc>
        <w:tc>
          <w:tcPr>
            <w:tcW w:w="2690"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25237C43" w14:textId="77777777" w:rsidR="009A7433" w:rsidRDefault="009A7433" w:rsidP="00A71D99">
            <w:pPr>
              <w:pStyle w:val="TableText"/>
              <w:ind w:left="57" w:right="57"/>
              <w:jc w:val="right"/>
              <w:rPr>
                <w:b/>
                <w:bCs/>
              </w:rPr>
            </w:pPr>
            <w:r>
              <w:rPr>
                <w:b/>
                <w:bCs/>
              </w:rPr>
              <w:t>Females</w:t>
            </w:r>
          </w:p>
        </w:tc>
        <w:tc>
          <w:tcPr>
            <w:tcW w:w="269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hideMark/>
          </w:tcPr>
          <w:p w14:paraId="5D62DC52" w14:textId="77777777" w:rsidR="009A7433" w:rsidRDefault="009A7433" w:rsidP="00A71D99">
            <w:pPr>
              <w:pStyle w:val="TableText"/>
              <w:ind w:left="57" w:right="57"/>
              <w:jc w:val="right"/>
              <w:rPr>
                <w:b/>
                <w:bCs/>
              </w:rPr>
            </w:pPr>
            <w:r>
              <w:rPr>
                <w:b/>
                <w:bCs/>
              </w:rPr>
              <w:t>Males</w:t>
            </w:r>
          </w:p>
        </w:tc>
      </w:tr>
      <w:tr w:rsidR="00A71D99" w14:paraId="75BED561" w14:textId="77777777" w:rsidTr="00A71D99">
        <w:trPr>
          <w:trHeight w:val="344"/>
        </w:trPr>
        <w:tc>
          <w:tcPr>
            <w:tcW w:w="2690" w:type="dxa"/>
            <w:tcBorders>
              <w:top w:val="single" w:sz="4" w:space="0" w:color="A6A6A6" w:themeColor="background1" w:themeShade="A6"/>
              <w:left w:val="nil"/>
              <w:bottom w:val="single" w:sz="4" w:space="0" w:color="A6A6A6" w:themeColor="background1" w:themeShade="A6"/>
              <w:right w:val="nil"/>
            </w:tcBorders>
            <w:hideMark/>
          </w:tcPr>
          <w:p w14:paraId="254379F8" w14:textId="76C51D04" w:rsidR="00A71D99" w:rsidRPr="00A71D99" w:rsidRDefault="00A71D99" w:rsidP="00A71D99">
            <w:pPr>
              <w:pStyle w:val="TableText"/>
              <w:ind w:left="57"/>
            </w:pPr>
            <w:r w:rsidRPr="00A71D99">
              <w:t>2019</w:t>
            </w:r>
          </w:p>
        </w:tc>
        <w:tc>
          <w:tcPr>
            <w:tcW w:w="2690" w:type="dxa"/>
            <w:gridSpan w:val="2"/>
            <w:tcBorders>
              <w:top w:val="single" w:sz="4" w:space="0" w:color="A6A6A6" w:themeColor="background1" w:themeShade="A6"/>
              <w:left w:val="nil"/>
              <w:bottom w:val="single" w:sz="4" w:space="0" w:color="A6A6A6" w:themeColor="background1" w:themeShade="A6"/>
              <w:right w:val="nil"/>
            </w:tcBorders>
            <w:hideMark/>
          </w:tcPr>
          <w:p w14:paraId="28AAD6C4" w14:textId="5C9AA88E" w:rsidR="00A71D99" w:rsidRPr="00A71D99" w:rsidRDefault="00A71D99" w:rsidP="00A71D99">
            <w:pPr>
              <w:pStyle w:val="TableText"/>
              <w:ind w:right="57"/>
              <w:jc w:val="right"/>
            </w:pPr>
            <w:r w:rsidRPr="00A71D99">
              <w:t>68.4%</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3CFDF578" w14:textId="4474710A" w:rsidR="00A71D99" w:rsidRPr="00A71D99" w:rsidRDefault="00A71D99" w:rsidP="00A71D99">
            <w:pPr>
              <w:pStyle w:val="TableText"/>
              <w:ind w:right="57"/>
              <w:jc w:val="right"/>
            </w:pPr>
            <w:r w:rsidRPr="00A71D99">
              <w:t>31.6%</w:t>
            </w:r>
          </w:p>
        </w:tc>
      </w:tr>
      <w:tr w:rsidR="00A71D99" w14:paraId="19FC4128" w14:textId="77777777" w:rsidTr="00A71D99">
        <w:trPr>
          <w:trHeight w:val="344"/>
        </w:trPr>
        <w:tc>
          <w:tcPr>
            <w:tcW w:w="2690" w:type="dxa"/>
            <w:tcBorders>
              <w:top w:val="single" w:sz="4" w:space="0" w:color="A6A6A6" w:themeColor="background1" w:themeShade="A6"/>
              <w:left w:val="nil"/>
              <w:bottom w:val="single" w:sz="4" w:space="0" w:color="A6A6A6" w:themeColor="background1" w:themeShade="A6"/>
              <w:right w:val="nil"/>
            </w:tcBorders>
            <w:hideMark/>
          </w:tcPr>
          <w:p w14:paraId="350CF3CF" w14:textId="14205BC1" w:rsidR="00A71D99" w:rsidRPr="00A71D99" w:rsidRDefault="00A71D99" w:rsidP="00A71D99">
            <w:pPr>
              <w:pStyle w:val="TableText"/>
              <w:ind w:left="57"/>
            </w:pPr>
            <w:r w:rsidRPr="00A71D99">
              <w:t>2020</w:t>
            </w:r>
          </w:p>
        </w:tc>
        <w:tc>
          <w:tcPr>
            <w:tcW w:w="2690" w:type="dxa"/>
            <w:gridSpan w:val="2"/>
            <w:tcBorders>
              <w:top w:val="single" w:sz="4" w:space="0" w:color="A6A6A6" w:themeColor="background1" w:themeShade="A6"/>
              <w:left w:val="nil"/>
              <w:bottom w:val="single" w:sz="4" w:space="0" w:color="A6A6A6" w:themeColor="background1" w:themeShade="A6"/>
              <w:right w:val="nil"/>
            </w:tcBorders>
            <w:hideMark/>
          </w:tcPr>
          <w:p w14:paraId="4CF2128E" w14:textId="40667B01" w:rsidR="00A71D99" w:rsidRPr="00A71D99" w:rsidRDefault="00A71D99" w:rsidP="00A71D99">
            <w:pPr>
              <w:pStyle w:val="TableText"/>
              <w:ind w:right="57"/>
              <w:jc w:val="right"/>
            </w:pPr>
            <w:r w:rsidRPr="00A71D99">
              <w:t>68.0%</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7DBEC0ED" w14:textId="5C15E3EC" w:rsidR="00A71D99" w:rsidRPr="00A71D99" w:rsidRDefault="00A71D99" w:rsidP="00A71D99">
            <w:pPr>
              <w:pStyle w:val="TableText"/>
              <w:ind w:right="57"/>
              <w:jc w:val="right"/>
            </w:pPr>
            <w:r w:rsidRPr="00A71D99">
              <w:t>32.0%</w:t>
            </w:r>
          </w:p>
        </w:tc>
      </w:tr>
      <w:tr w:rsidR="00A71D99" w14:paraId="2BCC0745" w14:textId="77777777" w:rsidTr="00A71D99">
        <w:trPr>
          <w:trHeight w:val="344"/>
        </w:trPr>
        <w:tc>
          <w:tcPr>
            <w:tcW w:w="2690" w:type="dxa"/>
            <w:tcBorders>
              <w:top w:val="single" w:sz="4" w:space="0" w:color="A6A6A6" w:themeColor="background1" w:themeShade="A6"/>
              <w:left w:val="nil"/>
              <w:bottom w:val="single" w:sz="4" w:space="0" w:color="A6A6A6" w:themeColor="background1" w:themeShade="A6"/>
              <w:right w:val="nil"/>
            </w:tcBorders>
            <w:hideMark/>
          </w:tcPr>
          <w:p w14:paraId="7D5C5526" w14:textId="786E79DD" w:rsidR="00A71D99" w:rsidRPr="00A71D99" w:rsidRDefault="00A71D99" w:rsidP="00A71D99">
            <w:pPr>
              <w:pStyle w:val="TableText"/>
              <w:ind w:left="57"/>
            </w:pPr>
            <w:r w:rsidRPr="00A71D99">
              <w:t>2021</w:t>
            </w:r>
          </w:p>
        </w:tc>
        <w:tc>
          <w:tcPr>
            <w:tcW w:w="2690" w:type="dxa"/>
            <w:gridSpan w:val="2"/>
            <w:tcBorders>
              <w:top w:val="single" w:sz="4" w:space="0" w:color="A6A6A6" w:themeColor="background1" w:themeShade="A6"/>
              <w:left w:val="nil"/>
              <w:bottom w:val="single" w:sz="4" w:space="0" w:color="A6A6A6" w:themeColor="background1" w:themeShade="A6"/>
              <w:right w:val="nil"/>
            </w:tcBorders>
            <w:hideMark/>
          </w:tcPr>
          <w:p w14:paraId="5A3B86CB" w14:textId="34C8DDCD" w:rsidR="00A71D99" w:rsidRPr="00A71D99" w:rsidRDefault="00A71D99" w:rsidP="00A71D99">
            <w:pPr>
              <w:pStyle w:val="TableText"/>
              <w:ind w:right="57"/>
              <w:jc w:val="right"/>
            </w:pPr>
            <w:r w:rsidRPr="00A71D99">
              <w:t>67.0%</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38AEFA7B" w14:textId="1015CDA5" w:rsidR="00A71D99" w:rsidRPr="00A71D99" w:rsidRDefault="00A71D99" w:rsidP="00A71D99">
            <w:pPr>
              <w:pStyle w:val="TableText"/>
              <w:ind w:right="57"/>
              <w:jc w:val="right"/>
            </w:pPr>
            <w:r w:rsidRPr="00A71D99">
              <w:t>33.0%</w:t>
            </w:r>
          </w:p>
        </w:tc>
      </w:tr>
      <w:tr w:rsidR="00A71D99" w14:paraId="7CE9AA43" w14:textId="77777777" w:rsidTr="00A71D99">
        <w:trPr>
          <w:trHeight w:val="344"/>
        </w:trPr>
        <w:tc>
          <w:tcPr>
            <w:tcW w:w="2690" w:type="dxa"/>
            <w:tcBorders>
              <w:top w:val="single" w:sz="4" w:space="0" w:color="A6A6A6" w:themeColor="background1" w:themeShade="A6"/>
              <w:left w:val="nil"/>
              <w:bottom w:val="single" w:sz="4" w:space="0" w:color="A6A6A6" w:themeColor="background1" w:themeShade="A6"/>
              <w:right w:val="nil"/>
            </w:tcBorders>
            <w:hideMark/>
          </w:tcPr>
          <w:p w14:paraId="4D3F9996" w14:textId="33827B39" w:rsidR="00A71D99" w:rsidRPr="00A71D99" w:rsidRDefault="00A71D99" w:rsidP="00A71D99">
            <w:pPr>
              <w:pStyle w:val="TableText"/>
              <w:ind w:left="57"/>
            </w:pPr>
            <w:r w:rsidRPr="00A71D99">
              <w:t>2022</w:t>
            </w:r>
          </w:p>
        </w:tc>
        <w:tc>
          <w:tcPr>
            <w:tcW w:w="2690" w:type="dxa"/>
            <w:gridSpan w:val="2"/>
            <w:tcBorders>
              <w:top w:val="single" w:sz="4" w:space="0" w:color="A6A6A6" w:themeColor="background1" w:themeShade="A6"/>
              <w:left w:val="nil"/>
              <w:bottom w:val="single" w:sz="4" w:space="0" w:color="A6A6A6" w:themeColor="background1" w:themeShade="A6"/>
              <w:right w:val="nil"/>
            </w:tcBorders>
            <w:hideMark/>
          </w:tcPr>
          <w:p w14:paraId="1BF40030" w14:textId="29909894" w:rsidR="00A71D99" w:rsidRPr="00A71D99" w:rsidRDefault="00A71D99" w:rsidP="00A71D99">
            <w:pPr>
              <w:pStyle w:val="TableText"/>
              <w:ind w:right="57"/>
              <w:jc w:val="right"/>
            </w:pPr>
            <w:r w:rsidRPr="00A71D99">
              <w:t>67.8%</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7AB7EC1A" w14:textId="6FECC56D" w:rsidR="00A71D99" w:rsidRPr="00A71D99" w:rsidRDefault="00A71D99" w:rsidP="00A71D99">
            <w:pPr>
              <w:pStyle w:val="TableText"/>
              <w:ind w:right="57"/>
              <w:jc w:val="right"/>
            </w:pPr>
            <w:r w:rsidRPr="00A71D99">
              <w:t>32.2%</w:t>
            </w:r>
          </w:p>
        </w:tc>
      </w:tr>
      <w:tr w:rsidR="00A71D99" w14:paraId="21FADAF4" w14:textId="77777777" w:rsidTr="00A71D99">
        <w:trPr>
          <w:trHeight w:val="344"/>
        </w:trPr>
        <w:tc>
          <w:tcPr>
            <w:tcW w:w="2690" w:type="dxa"/>
            <w:tcBorders>
              <w:top w:val="single" w:sz="4" w:space="0" w:color="A6A6A6" w:themeColor="background1" w:themeShade="A6"/>
              <w:left w:val="nil"/>
              <w:bottom w:val="single" w:sz="4" w:space="0" w:color="A6A6A6" w:themeColor="background1" w:themeShade="A6"/>
              <w:right w:val="nil"/>
            </w:tcBorders>
            <w:hideMark/>
          </w:tcPr>
          <w:p w14:paraId="2B35C041" w14:textId="7442AC43" w:rsidR="00A71D99" w:rsidRPr="00A71D99" w:rsidRDefault="00A71D99" w:rsidP="00A71D99">
            <w:pPr>
              <w:pStyle w:val="TableText"/>
              <w:ind w:left="57"/>
            </w:pPr>
            <w:r w:rsidRPr="00A71D99">
              <w:t>2023</w:t>
            </w:r>
          </w:p>
        </w:tc>
        <w:tc>
          <w:tcPr>
            <w:tcW w:w="2690" w:type="dxa"/>
            <w:gridSpan w:val="2"/>
            <w:tcBorders>
              <w:top w:val="single" w:sz="4" w:space="0" w:color="A6A6A6" w:themeColor="background1" w:themeShade="A6"/>
              <w:left w:val="nil"/>
              <w:bottom w:val="single" w:sz="4" w:space="0" w:color="A6A6A6" w:themeColor="background1" w:themeShade="A6"/>
              <w:right w:val="nil"/>
            </w:tcBorders>
            <w:hideMark/>
          </w:tcPr>
          <w:p w14:paraId="481D5774" w14:textId="2F2CA40A" w:rsidR="00A71D99" w:rsidRPr="00A71D99" w:rsidRDefault="00A71D99" w:rsidP="00A71D99">
            <w:pPr>
              <w:pStyle w:val="TableText"/>
              <w:ind w:right="57"/>
              <w:jc w:val="right"/>
            </w:pPr>
            <w:r w:rsidRPr="00A71D99">
              <w:t>69.4%</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28B0CED0" w14:textId="6B9DAD46" w:rsidR="00A71D99" w:rsidRPr="00A71D99" w:rsidRDefault="00A71D99" w:rsidP="00A71D99">
            <w:pPr>
              <w:pStyle w:val="TableText"/>
              <w:ind w:right="57"/>
              <w:jc w:val="right"/>
            </w:pPr>
            <w:r w:rsidRPr="00A71D99">
              <w:t>30.6%</w:t>
            </w:r>
          </w:p>
        </w:tc>
      </w:tr>
      <w:tr w:rsidR="00A71D99" w14:paraId="6D02D292" w14:textId="77777777" w:rsidTr="00A71D99">
        <w:trPr>
          <w:trHeight w:val="344"/>
        </w:trPr>
        <w:tc>
          <w:tcPr>
            <w:tcW w:w="2690" w:type="dxa"/>
            <w:tcBorders>
              <w:top w:val="single" w:sz="4" w:space="0" w:color="A6A6A6" w:themeColor="background1" w:themeShade="A6"/>
              <w:left w:val="nil"/>
              <w:bottom w:val="single" w:sz="4" w:space="0" w:color="A6A6A6" w:themeColor="background1" w:themeShade="A6"/>
              <w:right w:val="nil"/>
            </w:tcBorders>
            <w:hideMark/>
          </w:tcPr>
          <w:p w14:paraId="2FAE90DE" w14:textId="6706D5F3" w:rsidR="00A71D99" w:rsidRPr="00A71D99" w:rsidRDefault="00A71D99" w:rsidP="00A71D99">
            <w:pPr>
              <w:pStyle w:val="TableText"/>
              <w:ind w:left="57"/>
            </w:pPr>
            <w:r w:rsidRPr="00A71D99">
              <w:t>2024</w:t>
            </w:r>
          </w:p>
        </w:tc>
        <w:tc>
          <w:tcPr>
            <w:tcW w:w="2690" w:type="dxa"/>
            <w:gridSpan w:val="2"/>
            <w:tcBorders>
              <w:top w:val="single" w:sz="4" w:space="0" w:color="A6A6A6" w:themeColor="background1" w:themeShade="A6"/>
              <w:left w:val="nil"/>
              <w:bottom w:val="single" w:sz="4" w:space="0" w:color="A6A6A6" w:themeColor="background1" w:themeShade="A6"/>
              <w:right w:val="nil"/>
            </w:tcBorders>
            <w:hideMark/>
          </w:tcPr>
          <w:p w14:paraId="56F86066" w14:textId="27345B7E" w:rsidR="00A71D99" w:rsidRPr="00A71D99" w:rsidRDefault="00A71D99" w:rsidP="00A71D99">
            <w:pPr>
              <w:pStyle w:val="TableText"/>
              <w:ind w:right="57"/>
              <w:jc w:val="right"/>
            </w:pPr>
            <w:r w:rsidRPr="00A71D99">
              <w:t>69.6%</w:t>
            </w:r>
          </w:p>
        </w:tc>
        <w:tc>
          <w:tcPr>
            <w:tcW w:w="2690" w:type="dxa"/>
            <w:tcBorders>
              <w:top w:val="single" w:sz="4" w:space="0" w:color="A6A6A6" w:themeColor="background1" w:themeShade="A6"/>
              <w:left w:val="nil"/>
              <w:bottom w:val="single" w:sz="4" w:space="0" w:color="A6A6A6" w:themeColor="background1" w:themeShade="A6"/>
              <w:right w:val="nil"/>
            </w:tcBorders>
            <w:hideMark/>
          </w:tcPr>
          <w:p w14:paraId="11971B66" w14:textId="7F5E9EB6" w:rsidR="00A71D99" w:rsidRPr="00A71D99" w:rsidRDefault="00A71D99" w:rsidP="00A71D99">
            <w:pPr>
              <w:pStyle w:val="TableText"/>
              <w:ind w:right="57"/>
              <w:jc w:val="right"/>
            </w:pPr>
            <w:r w:rsidRPr="00A71D99">
              <w:t>30.4%</w:t>
            </w:r>
          </w:p>
        </w:tc>
      </w:tr>
    </w:tbl>
    <w:p w14:paraId="6BFBB888" w14:textId="32E32288" w:rsidR="00A71D99" w:rsidRDefault="00A71D99"/>
    <w:p w14:paraId="4EB08F40" w14:textId="77777777" w:rsidR="00A71D99" w:rsidRDefault="00A71D99"/>
    <w:tbl>
      <w:tblPr>
        <w:tblW w:w="8070" w:type="dxa"/>
        <w:tblInd w:w="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017"/>
        <w:gridCol w:w="2018"/>
        <w:gridCol w:w="2017"/>
        <w:gridCol w:w="2018"/>
      </w:tblGrid>
      <w:tr w:rsidR="009A7433" w14:paraId="7D9CA460" w14:textId="77777777" w:rsidTr="00A71D99">
        <w:trPr>
          <w:trHeight w:val="369"/>
        </w:trPr>
        <w:tc>
          <w:tcPr>
            <w:tcW w:w="8070" w:type="dxa"/>
            <w:gridSpan w:val="4"/>
            <w:tcBorders>
              <w:top w:val="nil"/>
              <w:left w:val="nil"/>
              <w:bottom w:val="nil"/>
              <w:right w:val="nil"/>
            </w:tcBorders>
            <w:shd w:val="clear" w:color="auto" w:fill="D9D9D9" w:themeFill="background1" w:themeFillShade="D9"/>
            <w:hideMark/>
          </w:tcPr>
          <w:p w14:paraId="205525EC" w14:textId="77777777" w:rsidR="009A7433" w:rsidRDefault="009A7433">
            <w:pPr>
              <w:pStyle w:val="TableText"/>
              <w:ind w:left="57"/>
              <w:rPr>
                <w:b/>
                <w:bCs/>
              </w:rPr>
            </w:pPr>
            <w:r>
              <w:rPr>
                <w:b/>
                <w:bCs/>
              </w:rPr>
              <w:t>Gender and remuneration</w:t>
            </w:r>
          </w:p>
        </w:tc>
      </w:tr>
      <w:tr w:rsidR="009A7433" w14:paraId="389A60A1" w14:textId="77777777" w:rsidTr="00A71D99">
        <w:trPr>
          <w:trHeight w:val="344"/>
        </w:trPr>
        <w:tc>
          <w:tcPr>
            <w:tcW w:w="2017" w:type="dxa"/>
            <w:tcBorders>
              <w:top w:val="nil"/>
              <w:left w:val="nil"/>
              <w:bottom w:val="single" w:sz="4" w:space="0" w:color="A6A6A6" w:themeColor="background1" w:themeShade="A6"/>
              <w:right w:val="nil"/>
            </w:tcBorders>
            <w:shd w:val="clear" w:color="auto" w:fill="F2F2F2" w:themeFill="background1" w:themeFillShade="F2"/>
          </w:tcPr>
          <w:p w14:paraId="7D5AE850" w14:textId="77777777" w:rsidR="009A7433" w:rsidRDefault="009A7433">
            <w:pPr>
              <w:pStyle w:val="TableText"/>
              <w:ind w:left="57"/>
              <w:rPr>
                <w:b/>
                <w:bCs/>
              </w:rPr>
            </w:pPr>
          </w:p>
        </w:tc>
        <w:tc>
          <w:tcPr>
            <w:tcW w:w="2018" w:type="dxa"/>
            <w:tcBorders>
              <w:top w:val="nil"/>
              <w:left w:val="nil"/>
              <w:bottom w:val="single" w:sz="4" w:space="0" w:color="A6A6A6" w:themeColor="background1" w:themeShade="A6"/>
              <w:right w:val="nil"/>
            </w:tcBorders>
            <w:shd w:val="clear" w:color="auto" w:fill="F2F2F2" w:themeFill="background1" w:themeFillShade="F2"/>
            <w:hideMark/>
          </w:tcPr>
          <w:p w14:paraId="238F4591" w14:textId="77777777" w:rsidR="009A7433" w:rsidRDefault="009A7433" w:rsidP="00A71D99">
            <w:pPr>
              <w:pStyle w:val="TableText"/>
              <w:ind w:left="57" w:right="57"/>
              <w:jc w:val="right"/>
              <w:rPr>
                <w:b/>
                <w:bCs/>
              </w:rPr>
            </w:pPr>
            <w:r>
              <w:rPr>
                <w:b/>
                <w:bCs/>
              </w:rPr>
              <w:t>Female</w:t>
            </w:r>
          </w:p>
        </w:tc>
        <w:tc>
          <w:tcPr>
            <w:tcW w:w="2017" w:type="dxa"/>
            <w:tcBorders>
              <w:top w:val="nil"/>
              <w:left w:val="nil"/>
              <w:bottom w:val="single" w:sz="4" w:space="0" w:color="A6A6A6" w:themeColor="background1" w:themeShade="A6"/>
              <w:right w:val="nil"/>
            </w:tcBorders>
            <w:shd w:val="clear" w:color="auto" w:fill="F2F2F2" w:themeFill="background1" w:themeFillShade="F2"/>
            <w:hideMark/>
          </w:tcPr>
          <w:p w14:paraId="4A6C92EF" w14:textId="77777777" w:rsidR="009A7433" w:rsidRDefault="009A7433" w:rsidP="00A71D99">
            <w:pPr>
              <w:pStyle w:val="TableText"/>
              <w:ind w:left="57" w:right="57"/>
              <w:jc w:val="right"/>
              <w:rPr>
                <w:b/>
                <w:bCs/>
              </w:rPr>
            </w:pPr>
            <w:r>
              <w:rPr>
                <w:b/>
                <w:bCs/>
              </w:rPr>
              <w:t>Male</w:t>
            </w:r>
          </w:p>
        </w:tc>
        <w:tc>
          <w:tcPr>
            <w:tcW w:w="2018" w:type="dxa"/>
            <w:tcBorders>
              <w:top w:val="nil"/>
              <w:left w:val="nil"/>
              <w:bottom w:val="single" w:sz="4" w:space="0" w:color="A6A6A6" w:themeColor="background1" w:themeShade="A6"/>
              <w:right w:val="nil"/>
            </w:tcBorders>
            <w:shd w:val="clear" w:color="auto" w:fill="F2F2F2" w:themeFill="background1" w:themeFillShade="F2"/>
            <w:hideMark/>
          </w:tcPr>
          <w:p w14:paraId="424DAAB3" w14:textId="77777777" w:rsidR="009A7433" w:rsidRDefault="009A7433" w:rsidP="00A71D99">
            <w:pPr>
              <w:pStyle w:val="TableText"/>
              <w:ind w:left="57" w:right="57"/>
              <w:jc w:val="right"/>
              <w:rPr>
                <w:b/>
                <w:bCs/>
              </w:rPr>
            </w:pPr>
            <w:r>
              <w:rPr>
                <w:b/>
                <w:bCs/>
              </w:rPr>
              <w:t>Total</w:t>
            </w:r>
          </w:p>
        </w:tc>
      </w:tr>
      <w:tr w:rsidR="00A71D99" w14:paraId="2ABE06C4" w14:textId="77777777" w:rsidTr="00A71D99">
        <w:trPr>
          <w:trHeight w:val="344"/>
        </w:trPr>
        <w:tc>
          <w:tcPr>
            <w:tcW w:w="2017" w:type="dxa"/>
            <w:tcBorders>
              <w:top w:val="single" w:sz="4" w:space="0" w:color="A6A6A6" w:themeColor="background1" w:themeShade="A6"/>
              <w:left w:val="nil"/>
              <w:bottom w:val="single" w:sz="4" w:space="0" w:color="A6A6A6" w:themeColor="background1" w:themeShade="A6"/>
              <w:right w:val="nil"/>
            </w:tcBorders>
            <w:hideMark/>
          </w:tcPr>
          <w:p w14:paraId="1579E4E5" w14:textId="3537268A" w:rsidR="00A71D99" w:rsidRPr="00A71D99" w:rsidRDefault="00A71D99" w:rsidP="00A71D99">
            <w:pPr>
              <w:pStyle w:val="TableText"/>
              <w:ind w:left="57"/>
            </w:pPr>
            <w:r w:rsidRPr="00A71D99">
              <w:t>$40,001–$60,000</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004EE7F5" w14:textId="4A6E9B80" w:rsidR="00A71D99" w:rsidRPr="00A71D99" w:rsidRDefault="00A71D99" w:rsidP="00A71D99">
            <w:pPr>
              <w:pStyle w:val="TableText"/>
              <w:ind w:right="57"/>
              <w:jc w:val="right"/>
            </w:pPr>
            <w:r w:rsidRPr="00A71D99">
              <w:t>0</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6E254F68" w14:textId="7330ED6D" w:rsidR="00A71D99" w:rsidRPr="00A71D99" w:rsidRDefault="00A71D99" w:rsidP="00A71D99">
            <w:pPr>
              <w:pStyle w:val="TableText"/>
              <w:ind w:right="57"/>
              <w:jc w:val="right"/>
            </w:pPr>
            <w:r w:rsidRPr="00A71D99">
              <w:t>0</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28644BD6" w14:textId="2E53D428" w:rsidR="00A71D99" w:rsidRPr="00A71D99" w:rsidRDefault="00A71D99" w:rsidP="00A71D99">
            <w:pPr>
              <w:pStyle w:val="TableText"/>
              <w:ind w:right="57"/>
              <w:jc w:val="right"/>
            </w:pPr>
            <w:r w:rsidRPr="00A71D99">
              <w:t>0</w:t>
            </w:r>
          </w:p>
        </w:tc>
      </w:tr>
      <w:tr w:rsidR="00A71D99" w14:paraId="2E03DFAB" w14:textId="77777777" w:rsidTr="00A71D99">
        <w:trPr>
          <w:trHeight w:val="344"/>
        </w:trPr>
        <w:tc>
          <w:tcPr>
            <w:tcW w:w="2017" w:type="dxa"/>
            <w:tcBorders>
              <w:top w:val="single" w:sz="4" w:space="0" w:color="A6A6A6" w:themeColor="background1" w:themeShade="A6"/>
              <w:left w:val="nil"/>
              <w:bottom w:val="single" w:sz="4" w:space="0" w:color="A6A6A6" w:themeColor="background1" w:themeShade="A6"/>
              <w:right w:val="nil"/>
            </w:tcBorders>
            <w:hideMark/>
          </w:tcPr>
          <w:p w14:paraId="5716659E" w14:textId="290EC014" w:rsidR="00A71D99" w:rsidRPr="00A71D99" w:rsidRDefault="00A71D99" w:rsidP="00A71D99">
            <w:pPr>
              <w:pStyle w:val="TableText"/>
              <w:ind w:left="57"/>
            </w:pPr>
            <w:r w:rsidRPr="00A71D99">
              <w:t>$60,001–$80,000</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11454521" w14:textId="2746F60C" w:rsidR="00A71D99" w:rsidRPr="00A71D99" w:rsidRDefault="00A71D99" w:rsidP="00A71D99">
            <w:pPr>
              <w:pStyle w:val="TableText"/>
              <w:ind w:right="57"/>
              <w:jc w:val="right"/>
            </w:pPr>
            <w:r w:rsidRPr="00A71D99">
              <w:t>65</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2979B797" w14:textId="5DAB295D" w:rsidR="00A71D99" w:rsidRPr="00A71D99" w:rsidRDefault="00A71D99" w:rsidP="00A71D99">
            <w:pPr>
              <w:pStyle w:val="TableText"/>
              <w:ind w:right="57"/>
              <w:jc w:val="right"/>
            </w:pPr>
            <w:r w:rsidRPr="00A71D99">
              <w:t>21</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3D84E2F7" w14:textId="7268A7BA" w:rsidR="00A71D99" w:rsidRPr="00A71D99" w:rsidRDefault="00A71D99" w:rsidP="00A71D99">
            <w:pPr>
              <w:pStyle w:val="TableText"/>
              <w:ind w:right="57"/>
              <w:jc w:val="right"/>
            </w:pPr>
            <w:r w:rsidRPr="00A71D99">
              <w:t>86</w:t>
            </w:r>
          </w:p>
        </w:tc>
      </w:tr>
      <w:tr w:rsidR="00A71D99" w14:paraId="00A60005" w14:textId="77777777" w:rsidTr="00A71D99">
        <w:trPr>
          <w:trHeight w:val="344"/>
        </w:trPr>
        <w:tc>
          <w:tcPr>
            <w:tcW w:w="2017" w:type="dxa"/>
            <w:tcBorders>
              <w:top w:val="single" w:sz="4" w:space="0" w:color="A6A6A6" w:themeColor="background1" w:themeShade="A6"/>
              <w:left w:val="nil"/>
              <w:bottom w:val="single" w:sz="4" w:space="0" w:color="A6A6A6" w:themeColor="background1" w:themeShade="A6"/>
              <w:right w:val="nil"/>
            </w:tcBorders>
            <w:hideMark/>
          </w:tcPr>
          <w:p w14:paraId="65A876F7" w14:textId="392C4FEB" w:rsidR="00A71D99" w:rsidRPr="00A71D99" w:rsidRDefault="00A71D99" w:rsidP="00A71D99">
            <w:pPr>
              <w:pStyle w:val="TableText"/>
              <w:ind w:left="57"/>
            </w:pPr>
            <w:r w:rsidRPr="00A71D99">
              <w:t>$80,001–$100,000</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0AE8C563" w14:textId="27E94BE8" w:rsidR="00A71D99" w:rsidRPr="00A71D99" w:rsidRDefault="00A71D99" w:rsidP="00A71D99">
            <w:pPr>
              <w:pStyle w:val="TableText"/>
              <w:ind w:right="57"/>
              <w:jc w:val="right"/>
            </w:pPr>
            <w:r w:rsidRPr="00A71D99">
              <w:t>106</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1EE930C6" w14:textId="0F5AB99E" w:rsidR="00A71D99" w:rsidRPr="00A71D99" w:rsidRDefault="00A71D99" w:rsidP="00A71D99">
            <w:pPr>
              <w:pStyle w:val="TableText"/>
              <w:ind w:right="57"/>
              <w:jc w:val="right"/>
            </w:pPr>
            <w:r w:rsidRPr="00A71D99">
              <w:t>27</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7300CC2E" w14:textId="6CE00AC5" w:rsidR="00A71D99" w:rsidRPr="00A71D99" w:rsidRDefault="00A71D99" w:rsidP="00A71D99">
            <w:pPr>
              <w:pStyle w:val="TableText"/>
              <w:ind w:right="57"/>
              <w:jc w:val="right"/>
            </w:pPr>
            <w:r w:rsidRPr="00A71D99">
              <w:t>133</w:t>
            </w:r>
          </w:p>
        </w:tc>
      </w:tr>
      <w:tr w:rsidR="00A71D99" w14:paraId="60F6ED29" w14:textId="77777777" w:rsidTr="00A71D99">
        <w:trPr>
          <w:trHeight w:val="344"/>
        </w:trPr>
        <w:tc>
          <w:tcPr>
            <w:tcW w:w="2017" w:type="dxa"/>
            <w:tcBorders>
              <w:top w:val="single" w:sz="4" w:space="0" w:color="A6A6A6" w:themeColor="background1" w:themeShade="A6"/>
              <w:left w:val="nil"/>
              <w:bottom w:val="single" w:sz="4" w:space="0" w:color="A6A6A6" w:themeColor="background1" w:themeShade="A6"/>
              <w:right w:val="nil"/>
            </w:tcBorders>
            <w:hideMark/>
          </w:tcPr>
          <w:p w14:paraId="7B5B644E" w14:textId="2031DE82" w:rsidR="00A71D99" w:rsidRPr="00A71D99" w:rsidRDefault="00A71D99" w:rsidP="00A71D99">
            <w:pPr>
              <w:pStyle w:val="TableText"/>
              <w:ind w:left="57"/>
            </w:pPr>
            <w:r w:rsidRPr="00A71D99">
              <w:t>$100,001–$120,000</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7C23EFC8" w14:textId="7A1B0822" w:rsidR="00A71D99" w:rsidRPr="00A71D99" w:rsidRDefault="00A71D99" w:rsidP="00A71D99">
            <w:pPr>
              <w:pStyle w:val="TableText"/>
              <w:ind w:right="57"/>
              <w:jc w:val="right"/>
            </w:pPr>
            <w:r w:rsidRPr="00A71D99">
              <w:t>125</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09B2C32C" w14:textId="6A69504C" w:rsidR="00A71D99" w:rsidRPr="00A71D99" w:rsidRDefault="00A71D99" w:rsidP="00A71D99">
            <w:pPr>
              <w:pStyle w:val="TableText"/>
              <w:ind w:right="57"/>
              <w:jc w:val="right"/>
            </w:pPr>
            <w:r w:rsidRPr="00A71D99">
              <w:t>40</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29F617AC" w14:textId="0AD66E24" w:rsidR="00A71D99" w:rsidRPr="00A71D99" w:rsidRDefault="00A71D99" w:rsidP="00A71D99">
            <w:pPr>
              <w:pStyle w:val="TableText"/>
              <w:ind w:right="57"/>
              <w:jc w:val="right"/>
            </w:pPr>
            <w:r w:rsidRPr="00A71D99">
              <w:t>165</w:t>
            </w:r>
          </w:p>
        </w:tc>
      </w:tr>
      <w:tr w:rsidR="00A71D99" w14:paraId="747E2F86" w14:textId="77777777" w:rsidTr="00A71D99">
        <w:trPr>
          <w:trHeight w:val="344"/>
        </w:trPr>
        <w:tc>
          <w:tcPr>
            <w:tcW w:w="2017" w:type="dxa"/>
            <w:tcBorders>
              <w:top w:val="single" w:sz="4" w:space="0" w:color="A6A6A6" w:themeColor="background1" w:themeShade="A6"/>
              <w:left w:val="nil"/>
              <w:bottom w:val="single" w:sz="4" w:space="0" w:color="A6A6A6" w:themeColor="background1" w:themeShade="A6"/>
              <w:right w:val="nil"/>
            </w:tcBorders>
            <w:hideMark/>
          </w:tcPr>
          <w:p w14:paraId="7BF52943" w14:textId="02A67CF8" w:rsidR="00A71D99" w:rsidRPr="00A71D99" w:rsidRDefault="00A71D99" w:rsidP="00A71D99">
            <w:pPr>
              <w:pStyle w:val="TableText"/>
              <w:ind w:left="57"/>
            </w:pPr>
            <w:r w:rsidRPr="00A71D99">
              <w:t>$120,001+</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073CFAB6" w14:textId="67793EE1" w:rsidR="00A71D99" w:rsidRPr="00A71D99" w:rsidRDefault="00A71D99" w:rsidP="00A71D99">
            <w:pPr>
              <w:pStyle w:val="TableText"/>
              <w:ind w:right="57"/>
              <w:jc w:val="right"/>
            </w:pPr>
            <w:r w:rsidRPr="00A71D99">
              <w:t>261</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496AC5E6" w14:textId="6D147AAD" w:rsidR="00A71D99" w:rsidRPr="00A71D99" w:rsidRDefault="00A71D99" w:rsidP="00A71D99">
            <w:pPr>
              <w:pStyle w:val="TableText"/>
              <w:ind w:right="57"/>
              <w:jc w:val="right"/>
            </w:pPr>
            <w:r w:rsidRPr="00A71D99">
              <w:t>155</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2036E1B9" w14:textId="08B1C59C" w:rsidR="00A71D99" w:rsidRPr="00A71D99" w:rsidRDefault="00A71D99" w:rsidP="00A71D99">
            <w:pPr>
              <w:pStyle w:val="TableText"/>
              <w:ind w:right="57"/>
              <w:jc w:val="right"/>
            </w:pPr>
            <w:r w:rsidRPr="00A71D99">
              <w:t>416</w:t>
            </w:r>
          </w:p>
        </w:tc>
      </w:tr>
    </w:tbl>
    <w:p w14:paraId="27F22629" w14:textId="77777777" w:rsidR="009A7433" w:rsidRDefault="009A7433" w:rsidP="009A7433"/>
    <w:p w14:paraId="0FAEBDC0" w14:textId="77777777" w:rsidR="009A7433" w:rsidRDefault="009A7433" w:rsidP="009A7433"/>
    <w:tbl>
      <w:tblPr>
        <w:tblW w:w="8070" w:type="dxa"/>
        <w:tblInd w:w="7" w:type="dxa"/>
        <w:tblLayout w:type="fixed"/>
        <w:tblCellMar>
          <w:left w:w="0" w:type="dxa"/>
          <w:right w:w="0" w:type="dxa"/>
        </w:tblCellMar>
        <w:tblLook w:val="01E0" w:firstRow="1" w:lastRow="1" w:firstColumn="1" w:lastColumn="1" w:noHBand="0" w:noVBand="0"/>
      </w:tblPr>
      <w:tblGrid>
        <w:gridCol w:w="4035"/>
        <w:gridCol w:w="4035"/>
      </w:tblGrid>
      <w:tr w:rsidR="009A7433" w14:paraId="2FDF72B8" w14:textId="77777777" w:rsidTr="00A71D99">
        <w:trPr>
          <w:trHeight w:val="369"/>
        </w:trPr>
        <w:tc>
          <w:tcPr>
            <w:tcW w:w="4035" w:type="dxa"/>
            <w:shd w:val="clear" w:color="auto" w:fill="D9D9D9" w:themeFill="background1" w:themeFillShade="D9"/>
            <w:hideMark/>
          </w:tcPr>
          <w:p w14:paraId="3DB233D6" w14:textId="77777777" w:rsidR="009A7433" w:rsidRDefault="009A7433">
            <w:pPr>
              <w:pStyle w:val="TableText"/>
              <w:ind w:left="57"/>
              <w:rPr>
                <w:b/>
                <w:bCs/>
              </w:rPr>
            </w:pPr>
            <w:r>
              <w:rPr>
                <w:b/>
                <w:bCs/>
              </w:rPr>
              <w:t>Length of service</w:t>
            </w:r>
          </w:p>
        </w:tc>
        <w:tc>
          <w:tcPr>
            <w:tcW w:w="4035" w:type="dxa"/>
            <w:shd w:val="clear" w:color="auto" w:fill="D9D9D9" w:themeFill="background1" w:themeFillShade="D9"/>
          </w:tcPr>
          <w:p w14:paraId="787B5E59" w14:textId="77777777" w:rsidR="009A7433" w:rsidRDefault="009A7433">
            <w:pPr>
              <w:pStyle w:val="TableText"/>
              <w:ind w:left="57"/>
              <w:rPr>
                <w:b/>
                <w:bCs/>
              </w:rPr>
            </w:pPr>
          </w:p>
        </w:tc>
      </w:tr>
      <w:tr w:rsidR="009A7433" w14:paraId="3FB3A7B7" w14:textId="77777777" w:rsidTr="00A71D99">
        <w:trPr>
          <w:trHeight w:val="351"/>
        </w:trPr>
        <w:tc>
          <w:tcPr>
            <w:tcW w:w="4035" w:type="dxa"/>
            <w:tcBorders>
              <w:top w:val="nil"/>
              <w:left w:val="nil"/>
              <w:bottom w:val="single" w:sz="4" w:space="0" w:color="A6A6A6" w:themeColor="background1" w:themeShade="A6"/>
              <w:right w:val="nil"/>
            </w:tcBorders>
            <w:shd w:val="clear" w:color="auto" w:fill="F2F2F2" w:themeFill="background1" w:themeFillShade="F2"/>
            <w:hideMark/>
          </w:tcPr>
          <w:p w14:paraId="2A40D662" w14:textId="77777777" w:rsidR="009A7433" w:rsidRDefault="009A7433">
            <w:pPr>
              <w:pStyle w:val="TableText"/>
              <w:ind w:left="57"/>
              <w:rPr>
                <w:b/>
                <w:bCs/>
              </w:rPr>
            </w:pPr>
            <w:r>
              <w:rPr>
                <w:b/>
                <w:bCs/>
              </w:rPr>
              <w:t>Length of service</w:t>
            </w:r>
          </w:p>
        </w:tc>
        <w:tc>
          <w:tcPr>
            <w:tcW w:w="4035" w:type="dxa"/>
            <w:tcBorders>
              <w:top w:val="nil"/>
              <w:left w:val="nil"/>
              <w:bottom w:val="single" w:sz="4" w:space="0" w:color="A6A6A6" w:themeColor="background1" w:themeShade="A6"/>
              <w:right w:val="nil"/>
            </w:tcBorders>
            <w:shd w:val="clear" w:color="auto" w:fill="F2F2F2" w:themeFill="background1" w:themeFillShade="F2"/>
            <w:hideMark/>
          </w:tcPr>
          <w:p w14:paraId="146D49C4" w14:textId="77777777" w:rsidR="009A7433" w:rsidRDefault="009A7433">
            <w:pPr>
              <w:pStyle w:val="TableText"/>
              <w:ind w:left="57" w:right="57"/>
              <w:jc w:val="right"/>
              <w:rPr>
                <w:b/>
                <w:bCs/>
              </w:rPr>
            </w:pPr>
            <w:r>
              <w:rPr>
                <w:b/>
                <w:bCs/>
              </w:rPr>
              <w:t>Percentage</w:t>
            </w:r>
          </w:p>
        </w:tc>
      </w:tr>
      <w:tr w:rsidR="00A71D99" w14:paraId="51642D64" w14:textId="77777777" w:rsidTr="00A71D99">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6A35E434" w14:textId="7C5BF223" w:rsidR="00A71D99" w:rsidRPr="00A71D99" w:rsidRDefault="00A71D99" w:rsidP="00A71D99">
            <w:pPr>
              <w:pStyle w:val="TableText"/>
            </w:pPr>
            <w:r w:rsidRPr="00A71D99">
              <w:t>Under 1 year</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30809F18" w14:textId="3D2C17C4" w:rsidR="00A71D99" w:rsidRPr="00A71D99" w:rsidRDefault="00A71D99" w:rsidP="00A71D99">
            <w:pPr>
              <w:pStyle w:val="TableText"/>
              <w:ind w:right="57"/>
              <w:jc w:val="right"/>
            </w:pPr>
            <w:r w:rsidRPr="00A71D99">
              <w:t>21.3%</w:t>
            </w:r>
          </w:p>
        </w:tc>
      </w:tr>
      <w:tr w:rsidR="00A71D99" w14:paraId="2858D94B" w14:textId="77777777" w:rsidTr="00A71D99">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0B2E2EB9" w14:textId="381973F0" w:rsidR="00A71D99" w:rsidRPr="00A71D99" w:rsidRDefault="00A71D99" w:rsidP="00A71D99">
            <w:pPr>
              <w:pStyle w:val="TableText"/>
            </w:pPr>
            <w:r w:rsidRPr="00A71D99">
              <w:t>1–5 years</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05C31713" w14:textId="7C996E79" w:rsidR="00A71D99" w:rsidRPr="00A71D99" w:rsidRDefault="00A71D99" w:rsidP="00A71D99">
            <w:pPr>
              <w:pStyle w:val="TableText"/>
              <w:ind w:right="57"/>
              <w:jc w:val="right"/>
            </w:pPr>
            <w:r w:rsidRPr="00A71D99">
              <w:t>48.1%</w:t>
            </w:r>
          </w:p>
        </w:tc>
      </w:tr>
      <w:tr w:rsidR="00A71D99" w14:paraId="6995A273" w14:textId="77777777" w:rsidTr="00A71D99">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7394DE38" w14:textId="5DCED4EC" w:rsidR="00A71D99" w:rsidRPr="00A71D99" w:rsidRDefault="00A71D99" w:rsidP="00A71D99">
            <w:pPr>
              <w:pStyle w:val="TableText"/>
            </w:pPr>
            <w:r w:rsidRPr="00A71D99">
              <w:t>5–10 years</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311E1197" w14:textId="4149AC93" w:rsidR="00A71D99" w:rsidRPr="00A71D99" w:rsidRDefault="00A71D99" w:rsidP="00A71D99">
            <w:pPr>
              <w:pStyle w:val="TableText"/>
              <w:ind w:right="57"/>
              <w:jc w:val="right"/>
            </w:pPr>
            <w:r w:rsidRPr="00A71D99">
              <w:t>13.3%</w:t>
            </w:r>
          </w:p>
        </w:tc>
      </w:tr>
      <w:tr w:rsidR="00A71D99" w14:paraId="79F4A3E1" w14:textId="77777777" w:rsidTr="00A71D99">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2C85F264" w14:textId="293ACDC4" w:rsidR="00A71D99" w:rsidRPr="00A71D99" w:rsidRDefault="00A71D99" w:rsidP="00A71D99">
            <w:pPr>
              <w:pStyle w:val="TableText"/>
            </w:pPr>
            <w:r w:rsidRPr="00A71D99">
              <w:t>10–20 years</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29B0AD49" w14:textId="1BD4298A" w:rsidR="00A71D99" w:rsidRPr="00A71D99" w:rsidRDefault="00A71D99" w:rsidP="00A71D99">
            <w:pPr>
              <w:pStyle w:val="TableText"/>
              <w:ind w:right="57"/>
              <w:jc w:val="right"/>
            </w:pPr>
            <w:r w:rsidRPr="00A71D99">
              <w:t>11.4%</w:t>
            </w:r>
          </w:p>
        </w:tc>
      </w:tr>
      <w:tr w:rsidR="00A71D99" w14:paraId="63815DAF" w14:textId="77777777" w:rsidTr="00A71D99">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393FF130" w14:textId="77BB748C" w:rsidR="00A71D99" w:rsidRPr="00A71D99" w:rsidRDefault="00A71D99" w:rsidP="00A71D99">
            <w:pPr>
              <w:pStyle w:val="TableText"/>
            </w:pPr>
            <w:r w:rsidRPr="00A71D99">
              <w:t>Over 20 years</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6514A16A" w14:textId="7E8374D5" w:rsidR="00A71D99" w:rsidRPr="00A71D99" w:rsidRDefault="00A71D99" w:rsidP="00A71D99">
            <w:pPr>
              <w:pStyle w:val="TableText"/>
              <w:ind w:right="57"/>
              <w:jc w:val="right"/>
            </w:pPr>
            <w:r w:rsidRPr="00A71D99">
              <w:t>6.0%</w:t>
            </w:r>
          </w:p>
        </w:tc>
      </w:tr>
      <w:tr w:rsidR="00A71D99" w:rsidRPr="00A71D99" w14:paraId="6C6FD4D4" w14:textId="77777777" w:rsidTr="00A71D99">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74F3FE47" w14:textId="72989049" w:rsidR="00A71D99" w:rsidRPr="00A71D99" w:rsidRDefault="00A71D99" w:rsidP="00A71D99">
            <w:pPr>
              <w:pStyle w:val="TableText"/>
              <w:rPr>
                <w:b/>
                <w:bCs/>
              </w:rPr>
            </w:pPr>
            <w:r w:rsidRPr="00A71D99">
              <w:rPr>
                <w:b/>
                <w:bCs/>
              </w:rPr>
              <w:t>Total</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4F6EE5B9" w14:textId="0FE65ED9" w:rsidR="00A71D99" w:rsidRPr="00A71D99" w:rsidRDefault="00A71D99" w:rsidP="00A71D99">
            <w:pPr>
              <w:pStyle w:val="TableText"/>
              <w:ind w:right="57"/>
              <w:jc w:val="right"/>
              <w:rPr>
                <w:b/>
                <w:bCs/>
              </w:rPr>
            </w:pPr>
            <w:r w:rsidRPr="00A71D99">
              <w:rPr>
                <w:b/>
                <w:bCs/>
              </w:rPr>
              <w:t>100 .0%</w:t>
            </w:r>
          </w:p>
        </w:tc>
      </w:tr>
    </w:tbl>
    <w:p w14:paraId="1944B511" w14:textId="77777777" w:rsidR="009A7433" w:rsidRDefault="009A7433" w:rsidP="009A7433"/>
    <w:p w14:paraId="7BE2FDF3" w14:textId="77777777" w:rsidR="009A7433" w:rsidRDefault="009A7433" w:rsidP="009A7433"/>
    <w:tbl>
      <w:tblPr>
        <w:tblW w:w="8070" w:type="dxa"/>
        <w:tblInd w:w="7" w:type="dxa"/>
        <w:tblLayout w:type="fixed"/>
        <w:tblCellMar>
          <w:left w:w="0" w:type="dxa"/>
          <w:right w:w="0" w:type="dxa"/>
        </w:tblCellMar>
        <w:tblLook w:val="01E0" w:firstRow="1" w:lastRow="1" w:firstColumn="1" w:lastColumn="1" w:noHBand="0" w:noVBand="0"/>
      </w:tblPr>
      <w:tblGrid>
        <w:gridCol w:w="2018"/>
        <w:gridCol w:w="2017"/>
        <w:gridCol w:w="2017"/>
        <w:gridCol w:w="2018"/>
      </w:tblGrid>
      <w:tr w:rsidR="009A7433" w14:paraId="703D7714" w14:textId="77777777" w:rsidTr="00A71D99">
        <w:trPr>
          <w:trHeight w:val="369"/>
        </w:trPr>
        <w:tc>
          <w:tcPr>
            <w:tcW w:w="8070" w:type="dxa"/>
            <w:gridSpan w:val="4"/>
            <w:shd w:val="clear" w:color="auto" w:fill="D9D9D9" w:themeFill="background1" w:themeFillShade="D9"/>
            <w:hideMark/>
          </w:tcPr>
          <w:p w14:paraId="4E355CFF" w14:textId="77777777" w:rsidR="009A7433" w:rsidRDefault="009A7433">
            <w:pPr>
              <w:pStyle w:val="TableText"/>
              <w:ind w:left="57"/>
              <w:rPr>
                <w:b/>
                <w:bCs/>
              </w:rPr>
            </w:pPr>
            <w:r>
              <w:rPr>
                <w:b/>
                <w:bCs/>
              </w:rPr>
              <w:t>Age group by gender</w:t>
            </w:r>
          </w:p>
        </w:tc>
      </w:tr>
      <w:tr w:rsidR="009A7433" w14:paraId="2E2CD55B" w14:textId="77777777" w:rsidTr="00A71D99">
        <w:trPr>
          <w:trHeight w:val="351"/>
        </w:trPr>
        <w:tc>
          <w:tcPr>
            <w:tcW w:w="2018" w:type="dxa"/>
            <w:tcBorders>
              <w:top w:val="nil"/>
              <w:left w:val="nil"/>
              <w:bottom w:val="single" w:sz="4" w:space="0" w:color="A6A6A6" w:themeColor="background1" w:themeShade="A6"/>
              <w:right w:val="nil"/>
            </w:tcBorders>
            <w:shd w:val="clear" w:color="auto" w:fill="F2F2F2" w:themeFill="background1" w:themeFillShade="F2"/>
          </w:tcPr>
          <w:p w14:paraId="010E2F4F" w14:textId="77777777" w:rsidR="009A7433" w:rsidRDefault="009A7433">
            <w:pPr>
              <w:pStyle w:val="TableText"/>
              <w:ind w:left="57"/>
              <w:rPr>
                <w:b/>
                <w:bCs/>
              </w:rPr>
            </w:pPr>
          </w:p>
        </w:tc>
        <w:tc>
          <w:tcPr>
            <w:tcW w:w="2017" w:type="dxa"/>
            <w:tcBorders>
              <w:top w:val="nil"/>
              <w:left w:val="nil"/>
              <w:bottom w:val="single" w:sz="4" w:space="0" w:color="A6A6A6" w:themeColor="background1" w:themeShade="A6"/>
              <w:right w:val="nil"/>
            </w:tcBorders>
            <w:shd w:val="clear" w:color="auto" w:fill="F2F2F2" w:themeFill="background1" w:themeFillShade="F2"/>
            <w:hideMark/>
          </w:tcPr>
          <w:p w14:paraId="183992B0" w14:textId="77777777" w:rsidR="009A7433" w:rsidRDefault="009A7433">
            <w:pPr>
              <w:pStyle w:val="TableText"/>
              <w:ind w:left="57" w:right="57"/>
              <w:jc w:val="right"/>
              <w:rPr>
                <w:b/>
                <w:bCs/>
              </w:rPr>
            </w:pPr>
            <w:r>
              <w:rPr>
                <w:b/>
                <w:bCs/>
              </w:rPr>
              <w:t>Female</w:t>
            </w:r>
          </w:p>
        </w:tc>
        <w:tc>
          <w:tcPr>
            <w:tcW w:w="2017" w:type="dxa"/>
            <w:tcBorders>
              <w:top w:val="nil"/>
              <w:left w:val="nil"/>
              <w:bottom w:val="single" w:sz="4" w:space="0" w:color="A6A6A6" w:themeColor="background1" w:themeShade="A6"/>
              <w:right w:val="nil"/>
            </w:tcBorders>
            <w:shd w:val="clear" w:color="auto" w:fill="F2F2F2" w:themeFill="background1" w:themeFillShade="F2"/>
            <w:hideMark/>
          </w:tcPr>
          <w:p w14:paraId="73BD2B20" w14:textId="77777777" w:rsidR="009A7433" w:rsidRDefault="009A7433">
            <w:pPr>
              <w:pStyle w:val="TableText"/>
              <w:ind w:left="57" w:right="57"/>
              <w:jc w:val="right"/>
              <w:rPr>
                <w:b/>
                <w:bCs/>
              </w:rPr>
            </w:pPr>
            <w:r>
              <w:rPr>
                <w:b/>
                <w:bCs/>
              </w:rPr>
              <w:t>Male</w:t>
            </w:r>
          </w:p>
        </w:tc>
        <w:tc>
          <w:tcPr>
            <w:tcW w:w="2018" w:type="dxa"/>
            <w:tcBorders>
              <w:top w:val="nil"/>
              <w:left w:val="nil"/>
              <w:bottom w:val="single" w:sz="4" w:space="0" w:color="A6A6A6" w:themeColor="background1" w:themeShade="A6"/>
              <w:right w:val="nil"/>
            </w:tcBorders>
            <w:shd w:val="clear" w:color="auto" w:fill="F2F2F2" w:themeFill="background1" w:themeFillShade="F2"/>
            <w:hideMark/>
          </w:tcPr>
          <w:p w14:paraId="3B2C5104" w14:textId="77777777" w:rsidR="009A7433" w:rsidRDefault="009A7433">
            <w:pPr>
              <w:pStyle w:val="TableText"/>
              <w:ind w:left="57" w:right="57"/>
              <w:jc w:val="right"/>
              <w:rPr>
                <w:b/>
                <w:bCs/>
              </w:rPr>
            </w:pPr>
            <w:r>
              <w:rPr>
                <w:b/>
                <w:bCs/>
              </w:rPr>
              <w:t>Total</w:t>
            </w:r>
          </w:p>
        </w:tc>
      </w:tr>
      <w:tr w:rsidR="00A71D99" w14:paraId="45468619" w14:textId="77777777" w:rsidTr="00A71D99">
        <w:trPr>
          <w:trHeight w:val="344"/>
        </w:trPr>
        <w:tc>
          <w:tcPr>
            <w:tcW w:w="2018" w:type="dxa"/>
            <w:tcBorders>
              <w:top w:val="single" w:sz="4" w:space="0" w:color="A6A6A6" w:themeColor="background1" w:themeShade="A6"/>
              <w:left w:val="nil"/>
              <w:bottom w:val="single" w:sz="4" w:space="0" w:color="A6A6A6" w:themeColor="background1" w:themeShade="A6"/>
              <w:right w:val="nil"/>
            </w:tcBorders>
            <w:hideMark/>
          </w:tcPr>
          <w:p w14:paraId="0901C1CE" w14:textId="174940BE" w:rsidR="00A71D99" w:rsidRPr="00A71D99" w:rsidRDefault="00A71D99" w:rsidP="00A71D99">
            <w:pPr>
              <w:pStyle w:val="TableText"/>
              <w:ind w:left="57"/>
            </w:pPr>
            <w:r w:rsidRPr="00A71D99">
              <w:t>&lt;30</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2374A2BA" w14:textId="346884C4" w:rsidR="00A71D99" w:rsidRPr="00A71D99" w:rsidRDefault="00A71D99" w:rsidP="00A71D99">
            <w:pPr>
              <w:pStyle w:val="TableText"/>
              <w:ind w:right="57"/>
              <w:jc w:val="right"/>
            </w:pPr>
            <w:r w:rsidRPr="00A71D99">
              <w:t>108</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4C937776" w14:textId="06C3EEAD" w:rsidR="00A71D99" w:rsidRPr="00A71D99" w:rsidRDefault="00A71D99" w:rsidP="00A71D99">
            <w:pPr>
              <w:pStyle w:val="TableText"/>
              <w:ind w:right="57"/>
              <w:jc w:val="right"/>
            </w:pPr>
            <w:r w:rsidRPr="00A71D99">
              <w:t>27</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505AC50E" w14:textId="3BE905C6" w:rsidR="00A71D99" w:rsidRPr="00A71D99" w:rsidRDefault="00A71D99" w:rsidP="00A71D99">
            <w:pPr>
              <w:pStyle w:val="TableText"/>
              <w:ind w:right="57"/>
              <w:jc w:val="right"/>
            </w:pPr>
            <w:r w:rsidRPr="00A71D99">
              <w:t>135</w:t>
            </w:r>
          </w:p>
        </w:tc>
      </w:tr>
      <w:tr w:rsidR="00A71D99" w14:paraId="5431B7B3" w14:textId="77777777" w:rsidTr="00A71D99">
        <w:trPr>
          <w:trHeight w:val="344"/>
        </w:trPr>
        <w:tc>
          <w:tcPr>
            <w:tcW w:w="2018" w:type="dxa"/>
            <w:tcBorders>
              <w:top w:val="single" w:sz="4" w:space="0" w:color="A6A6A6" w:themeColor="background1" w:themeShade="A6"/>
              <w:left w:val="nil"/>
              <w:bottom w:val="single" w:sz="4" w:space="0" w:color="A6A6A6" w:themeColor="background1" w:themeShade="A6"/>
              <w:right w:val="nil"/>
            </w:tcBorders>
            <w:hideMark/>
          </w:tcPr>
          <w:p w14:paraId="3D934905" w14:textId="169919E6" w:rsidR="00A71D99" w:rsidRPr="00A71D99" w:rsidRDefault="00A71D99" w:rsidP="00A71D99">
            <w:pPr>
              <w:pStyle w:val="TableText"/>
              <w:ind w:left="57"/>
            </w:pPr>
            <w:r w:rsidRPr="00A71D99">
              <w:t>30–39</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566519C9" w14:textId="676D4DE3" w:rsidR="00A71D99" w:rsidRPr="00A71D99" w:rsidRDefault="00A71D99" w:rsidP="00A71D99">
            <w:pPr>
              <w:pStyle w:val="TableText"/>
              <w:ind w:right="57"/>
              <w:jc w:val="right"/>
            </w:pPr>
            <w:r w:rsidRPr="00A71D99">
              <w:t>144</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7F9B0D1B" w14:textId="4DE52D28" w:rsidR="00A71D99" w:rsidRPr="00A71D99" w:rsidRDefault="00A71D99" w:rsidP="00A71D99">
            <w:pPr>
              <w:pStyle w:val="TableText"/>
              <w:ind w:right="57"/>
              <w:jc w:val="right"/>
            </w:pPr>
            <w:r w:rsidRPr="00A71D99">
              <w:t>60</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7A52C3E2" w14:textId="2C914B26" w:rsidR="00A71D99" w:rsidRPr="00A71D99" w:rsidRDefault="00A71D99" w:rsidP="00A71D99">
            <w:pPr>
              <w:pStyle w:val="TableText"/>
              <w:ind w:right="57"/>
              <w:jc w:val="right"/>
            </w:pPr>
            <w:r w:rsidRPr="00A71D99">
              <w:t>204</w:t>
            </w:r>
          </w:p>
        </w:tc>
      </w:tr>
      <w:tr w:rsidR="00A71D99" w14:paraId="6CF34A97" w14:textId="77777777" w:rsidTr="00A71D99">
        <w:trPr>
          <w:trHeight w:val="344"/>
        </w:trPr>
        <w:tc>
          <w:tcPr>
            <w:tcW w:w="2018" w:type="dxa"/>
            <w:tcBorders>
              <w:top w:val="single" w:sz="4" w:space="0" w:color="A6A6A6" w:themeColor="background1" w:themeShade="A6"/>
              <w:left w:val="nil"/>
              <w:bottom w:val="single" w:sz="4" w:space="0" w:color="A6A6A6" w:themeColor="background1" w:themeShade="A6"/>
              <w:right w:val="nil"/>
            </w:tcBorders>
            <w:hideMark/>
          </w:tcPr>
          <w:p w14:paraId="12613EF3" w14:textId="67140357" w:rsidR="00A71D99" w:rsidRPr="00A71D99" w:rsidRDefault="00A71D99" w:rsidP="00A71D99">
            <w:pPr>
              <w:pStyle w:val="TableText"/>
              <w:ind w:left="57"/>
            </w:pPr>
            <w:r w:rsidRPr="00A71D99">
              <w:t>40–49</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37B8997D" w14:textId="3D5876C2" w:rsidR="00A71D99" w:rsidRPr="00A71D99" w:rsidRDefault="00A71D99" w:rsidP="00A71D99">
            <w:pPr>
              <w:pStyle w:val="TableText"/>
              <w:ind w:right="57"/>
              <w:jc w:val="right"/>
            </w:pPr>
            <w:r w:rsidRPr="00A71D99">
              <w:t>114</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3FE52681" w14:textId="363ED37A" w:rsidR="00A71D99" w:rsidRPr="00A71D99" w:rsidRDefault="00A71D99" w:rsidP="00A71D99">
            <w:pPr>
              <w:pStyle w:val="TableText"/>
              <w:ind w:right="57"/>
              <w:jc w:val="right"/>
            </w:pPr>
            <w:r w:rsidRPr="00A71D99">
              <w:t>56</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5502F163" w14:textId="7A6C3CDB" w:rsidR="00A71D99" w:rsidRPr="00A71D99" w:rsidRDefault="00A71D99" w:rsidP="00A71D99">
            <w:pPr>
              <w:pStyle w:val="TableText"/>
              <w:ind w:right="57"/>
              <w:jc w:val="right"/>
            </w:pPr>
            <w:r w:rsidRPr="00A71D99">
              <w:t>170</w:t>
            </w:r>
          </w:p>
        </w:tc>
      </w:tr>
      <w:tr w:rsidR="00A71D99" w14:paraId="0D4F3EE9" w14:textId="77777777" w:rsidTr="00A71D99">
        <w:trPr>
          <w:trHeight w:val="344"/>
        </w:trPr>
        <w:tc>
          <w:tcPr>
            <w:tcW w:w="2018" w:type="dxa"/>
            <w:tcBorders>
              <w:top w:val="single" w:sz="4" w:space="0" w:color="A6A6A6" w:themeColor="background1" w:themeShade="A6"/>
              <w:left w:val="nil"/>
              <w:bottom w:val="single" w:sz="4" w:space="0" w:color="A6A6A6" w:themeColor="background1" w:themeShade="A6"/>
              <w:right w:val="nil"/>
            </w:tcBorders>
            <w:hideMark/>
          </w:tcPr>
          <w:p w14:paraId="4C8164B6" w14:textId="13780F74" w:rsidR="00A71D99" w:rsidRPr="00A71D99" w:rsidRDefault="00A71D99" w:rsidP="00A71D99">
            <w:pPr>
              <w:pStyle w:val="TableText"/>
              <w:ind w:left="57"/>
            </w:pPr>
            <w:r w:rsidRPr="00A71D99">
              <w:t>50–59</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1B017CA7" w14:textId="07FD18CB" w:rsidR="00A71D99" w:rsidRPr="00A71D99" w:rsidRDefault="00A71D99" w:rsidP="00A71D99">
            <w:pPr>
              <w:pStyle w:val="TableText"/>
              <w:ind w:right="57"/>
              <w:jc w:val="right"/>
            </w:pPr>
            <w:r w:rsidRPr="00A71D99">
              <w:t>122</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2317C0AD" w14:textId="671A4AC7" w:rsidR="00A71D99" w:rsidRPr="00A71D99" w:rsidRDefault="00A71D99" w:rsidP="00A71D99">
            <w:pPr>
              <w:pStyle w:val="TableText"/>
              <w:ind w:right="57"/>
              <w:jc w:val="right"/>
            </w:pPr>
            <w:r w:rsidRPr="00A71D99">
              <w:t>57</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6147748D" w14:textId="61F5F94C" w:rsidR="00A71D99" w:rsidRPr="00A71D99" w:rsidRDefault="00A71D99" w:rsidP="00A71D99">
            <w:pPr>
              <w:pStyle w:val="TableText"/>
              <w:ind w:right="57"/>
              <w:jc w:val="right"/>
            </w:pPr>
            <w:r w:rsidRPr="00A71D99">
              <w:t>179</w:t>
            </w:r>
          </w:p>
        </w:tc>
      </w:tr>
      <w:tr w:rsidR="00A71D99" w14:paraId="29108A0E" w14:textId="77777777" w:rsidTr="00A71D99">
        <w:trPr>
          <w:trHeight w:val="344"/>
        </w:trPr>
        <w:tc>
          <w:tcPr>
            <w:tcW w:w="2018" w:type="dxa"/>
            <w:tcBorders>
              <w:top w:val="single" w:sz="4" w:space="0" w:color="A6A6A6" w:themeColor="background1" w:themeShade="A6"/>
              <w:left w:val="nil"/>
              <w:bottom w:val="single" w:sz="4" w:space="0" w:color="A6A6A6" w:themeColor="background1" w:themeShade="A6"/>
              <w:right w:val="nil"/>
            </w:tcBorders>
            <w:hideMark/>
          </w:tcPr>
          <w:p w14:paraId="342D2386" w14:textId="58459C8C" w:rsidR="00A71D99" w:rsidRPr="00A71D99" w:rsidRDefault="00A71D99" w:rsidP="00A71D99">
            <w:pPr>
              <w:pStyle w:val="TableText"/>
              <w:ind w:left="57"/>
            </w:pPr>
            <w:r w:rsidRPr="00A71D99">
              <w:t>60+</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42B88BF8" w14:textId="1671BA06" w:rsidR="00A71D99" w:rsidRPr="00A71D99" w:rsidRDefault="00A71D99" w:rsidP="00A71D99">
            <w:pPr>
              <w:pStyle w:val="TableText"/>
              <w:ind w:right="57"/>
              <w:jc w:val="right"/>
            </w:pPr>
            <w:r w:rsidRPr="00A71D99">
              <w:t>63</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3CDE7D17" w14:textId="52830583" w:rsidR="00A71D99" w:rsidRPr="00A71D99" w:rsidRDefault="00A71D99" w:rsidP="00A71D99">
            <w:pPr>
              <w:pStyle w:val="TableText"/>
              <w:ind w:right="57"/>
              <w:jc w:val="right"/>
            </w:pPr>
            <w:r w:rsidRPr="00A71D99">
              <w:t>41</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3E71A695" w14:textId="05224C1A" w:rsidR="00A71D99" w:rsidRPr="00A71D99" w:rsidRDefault="00A71D99" w:rsidP="00A71D99">
            <w:pPr>
              <w:pStyle w:val="TableText"/>
              <w:ind w:right="57"/>
              <w:jc w:val="right"/>
            </w:pPr>
            <w:r w:rsidRPr="00A71D99">
              <w:t>104</w:t>
            </w:r>
          </w:p>
        </w:tc>
      </w:tr>
      <w:tr w:rsidR="00A71D99" w14:paraId="509865E6" w14:textId="77777777" w:rsidTr="00A71D99">
        <w:trPr>
          <w:trHeight w:val="344"/>
        </w:trPr>
        <w:tc>
          <w:tcPr>
            <w:tcW w:w="2018" w:type="dxa"/>
            <w:tcBorders>
              <w:top w:val="single" w:sz="4" w:space="0" w:color="A6A6A6" w:themeColor="background1" w:themeShade="A6"/>
              <w:left w:val="nil"/>
              <w:bottom w:val="single" w:sz="4" w:space="0" w:color="A6A6A6" w:themeColor="background1" w:themeShade="A6"/>
              <w:right w:val="nil"/>
            </w:tcBorders>
            <w:hideMark/>
          </w:tcPr>
          <w:p w14:paraId="7A8D1273" w14:textId="770A39CC" w:rsidR="00A71D99" w:rsidRPr="00A71D99" w:rsidRDefault="00A71D99" w:rsidP="00A71D99">
            <w:pPr>
              <w:pStyle w:val="TableText"/>
              <w:ind w:left="57"/>
            </w:pPr>
            <w:r w:rsidRPr="00A71D99">
              <w:t>Unknown</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1109BE0A" w14:textId="7A16AC6E" w:rsidR="00A71D99" w:rsidRPr="00A71D99" w:rsidRDefault="00A71D99" w:rsidP="00A71D99">
            <w:pPr>
              <w:pStyle w:val="TableText"/>
              <w:ind w:right="57"/>
              <w:jc w:val="right"/>
            </w:pPr>
            <w:r w:rsidRPr="00A71D99">
              <w:t>6</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3DCC4DA4" w14:textId="3FE66D01" w:rsidR="00A71D99" w:rsidRPr="00A71D99" w:rsidRDefault="00A71D99" w:rsidP="00A71D99">
            <w:pPr>
              <w:pStyle w:val="TableText"/>
              <w:ind w:right="57"/>
              <w:jc w:val="right"/>
            </w:pPr>
            <w:r w:rsidRPr="00A71D99">
              <w:t>2</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61CB5568" w14:textId="7B7CC2B0" w:rsidR="00A71D99" w:rsidRPr="00A71D99" w:rsidRDefault="00A71D99" w:rsidP="00A71D99">
            <w:pPr>
              <w:pStyle w:val="TableText"/>
              <w:ind w:right="57"/>
              <w:jc w:val="right"/>
            </w:pPr>
            <w:r w:rsidRPr="00A71D99">
              <w:t>8</w:t>
            </w:r>
          </w:p>
        </w:tc>
      </w:tr>
    </w:tbl>
    <w:p w14:paraId="018A10B6" w14:textId="77777777" w:rsidR="009A7433" w:rsidRDefault="009A7433" w:rsidP="009A7433"/>
    <w:tbl>
      <w:tblPr>
        <w:tblW w:w="8070" w:type="dxa"/>
        <w:tblInd w:w="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225"/>
        <w:gridCol w:w="5845"/>
      </w:tblGrid>
      <w:tr w:rsidR="009A7433" w14:paraId="53D0D1E5" w14:textId="77777777" w:rsidTr="00EF61EC">
        <w:trPr>
          <w:trHeight w:val="369"/>
        </w:trPr>
        <w:tc>
          <w:tcPr>
            <w:tcW w:w="2225" w:type="dxa"/>
            <w:tcBorders>
              <w:top w:val="nil"/>
              <w:left w:val="nil"/>
              <w:bottom w:val="nil"/>
              <w:right w:val="nil"/>
            </w:tcBorders>
            <w:shd w:val="clear" w:color="auto" w:fill="D9D9D9" w:themeFill="background1" w:themeFillShade="D9"/>
            <w:hideMark/>
          </w:tcPr>
          <w:p w14:paraId="77D9004A" w14:textId="77777777" w:rsidR="009A7433" w:rsidRDefault="009A7433">
            <w:pPr>
              <w:pStyle w:val="TableText"/>
              <w:ind w:left="57" w:right="57"/>
              <w:rPr>
                <w:b/>
                <w:bCs/>
              </w:rPr>
            </w:pPr>
            <w:r>
              <w:rPr>
                <w:b/>
                <w:bCs/>
              </w:rPr>
              <w:lastRenderedPageBreak/>
              <w:t>Average salary</w:t>
            </w:r>
          </w:p>
        </w:tc>
        <w:tc>
          <w:tcPr>
            <w:tcW w:w="5845" w:type="dxa"/>
            <w:tcBorders>
              <w:top w:val="nil"/>
              <w:left w:val="nil"/>
              <w:bottom w:val="nil"/>
              <w:right w:val="nil"/>
            </w:tcBorders>
            <w:shd w:val="clear" w:color="auto" w:fill="D9D9D9" w:themeFill="background1" w:themeFillShade="D9"/>
          </w:tcPr>
          <w:p w14:paraId="5AED11CD" w14:textId="77777777" w:rsidR="009A7433" w:rsidRDefault="009A7433">
            <w:pPr>
              <w:pStyle w:val="TableText"/>
              <w:ind w:left="57" w:right="57"/>
              <w:rPr>
                <w:b/>
                <w:bCs/>
              </w:rPr>
            </w:pPr>
          </w:p>
        </w:tc>
      </w:tr>
      <w:tr w:rsidR="009A7433" w14:paraId="62DF6792" w14:textId="77777777" w:rsidTr="00EF61EC">
        <w:trPr>
          <w:trHeight w:val="344"/>
        </w:trPr>
        <w:tc>
          <w:tcPr>
            <w:tcW w:w="8070" w:type="dxa"/>
            <w:gridSpan w:val="2"/>
            <w:tcBorders>
              <w:top w:val="single" w:sz="4" w:space="0" w:color="A6A6A6" w:themeColor="background1" w:themeShade="A6"/>
              <w:left w:val="nil"/>
              <w:bottom w:val="single" w:sz="4" w:space="0" w:color="A6A6A6" w:themeColor="background1" w:themeShade="A6"/>
              <w:right w:val="nil"/>
            </w:tcBorders>
            <w:hideMark/>
          </w:tcPr>
          <w:p w14:paraId="0D1111AA" w14:textId="731A51FC" w:rsidR="009A7433" w:rsidRDefault="00EF61EC">
            <w:pPr>
              <w:pStyle w:val="TableText"/>
              <w:ind w:left="57" w:right="57"/>
            </w:pPr>
            <w:r>
              <w:t>$</w:t>
            </w:r>
            <w:r w:rsidRPr="00EF61EC">
              <w:t>136,152</w:t>
            </w:r>
          </w:p>
        </w:tc>
      </w:tr>
    </w:tbl>
    <w:p w14:paraId="2F952A73" w14:textId="77777777" w:rsidR="009A7433" w:rsidRDefault="009A7433" w:rsidP="009A7433"/>
    <w:p w14:paraId="088A5286" w14:textId="77777777" w:rsidR="009A7433" w:rsidRDefault="009A7433" w:rsidP="009A7433"/>
    <w:tbl>
      <w:tblPr>
        <w:tblW w:w="8070" w:type="dxa"/>
        <w:tblInd w:w="7" w:type="dxa"/>
        <w:tblLayout w:type="fixed"/>
        <w:tblCellMar>
          <w:left w:w="0" w:type="dxa"/>
          <w:right w:w="0" w:type="dxa"/>
        </w:tblCellMar>
        <w:tblLook w:val="01E0" w:firstRow="1" w:lastRow="1" w:firstColumn="1" w:lastColumn="1" w:noHBand="0" w:noVBand="0"/>
      </w:tblPr>
      <w:tblGrid>
        <w:gridCol w:w="4035"/>
        <w:gridCol w:w="4035"/>
      </w:tblGrid>
      <w:tr w:rsidR="009A7433" w14:paraId="5750DD5D" w14:textId="77777777" w:rsidTr="00EF61EC">
        <w:trPr>
          <w:trHeight w:val="385"/>
        </w:trPr>
        <w:tc>
          <w:tcPr>
            <w:tcW w:w="8070" w:type="dxa"/>
            <w:gridSpan w:val="2"/>
            <w:shd w:val="clear" w:color="auto" w:fill="D9D9D9" w:themeFill="background1" w:themeFillShade="D9"/>
            <w:hideMark/>
          </w:tcPr>
          <w:p w14:paraId="3D8CA2DD" w14:textId="064C79E9" w:rsidR="009A7433" w:rsidRDefault="009A7433">
            <w:pPr>
              <w:pStyle w:val="TableText"/>
              <w:ind w:left="57"/>
              <w:rPr>
                <w:b/>
                <w:bCs/>
              </w:rPr>
            </w:pPr>
            <w:r>
              <w:rPr>
                <w:b/>
                <w:bCs/>
              </w:rPr>
              <w:t xml:space="preserve">Percentage of staff paid $100,000 or more </w:t>
            </w:r>
            <w:r w:rsidR="00EF61EC">
              <w:rPr>
                <w:b/>
                <w:bCs/>
              </w:rPr>
              <w:br/>
            </w:r>
            <w:r w:rsidRPr="00EF61EC">
              <w:t xml:space="preserve">Data as </w:t>
            </w:r>
            <w:proofErr w:type="gramStart"/>
            <w:r w:rsidRPr="00EF61EC">
              <w:t>at</w:t>
            </w:r>
            <w:proofErr w:type="gramEnd"/>
            <w:r w:rsidRPr="00EF61EC">
              <w:t xml:space="preserve"> 30 June each year</w:t>
            </w:r>
          </w:p>
        </w:tc>
      </w:tr>
      <w:tr w:rsidR="009A7433" w:rsidRPr="00EF61EC" w14:paraId="4E0154A4" w14:textId="77777777" w:rsidTr="00EF61EC">
        <w:trPr>
          <w:trHeight w:val="351"/>
        </w:trPr>
        <w:tc>
          <w:tcPr>
            <w:tcW w:w="4035" w:type="dxa"/>
            <w:tcBorders>
              <w:top w:val="nil"/>
              <w:left w:val="nil"/>
              <w:bottom w:val="single" w:sz="4" w:space="0" w:color="A6A6A6" w:themeColor="background1" w:themeShade="A6"/>
              <w:right w:val="nil"/>
            </w:tcBorders>
            <w:shd w:val="clear" w:color="auto" w:fill="F2F2F2" w:themeFill="background1" w:themeFillShade="F2"/>
            <w:hideMark/>
          </w:tcPr>
          <w:p w14:paraId="544913E6" w14:textId="77777777" w:rsidR="009A7433" w:rsidRPr="00EF61EC" w:rsidRDefault="009A7433">
            <w:pPr>
              <w:pStyle w:val="TableText"/>
              <w:ind w:left="57"/>
              <w:rPr>
                <w:b/>
                <w:bCs/>
              </w:rPr>
            </w:pPr>
            <w:r w:rsidRPr="00EF61EC">
              <w:rPr>
                <w:b/>
                <w:bCs/>
              </w:rPr>
              <w:t>Year</w:t>
            </w:r>
          </w:p>
        </w:tc>
        <w:tc>
          <w:tcPr>
            <w:tcW w:w="4035" w:type="dxa"/>
            <w:tcBorders>
              <w:top w:val="nil"/>
              <w:left w:val="nil"/>
              <w:bottom w:val="single" w:sz="4" w:space="0" w:color="A6A6A6" w:themeColor="background1" w:themeShade="A6"/>
              <w:right w:val="nil"/>
            </w:tcBorders>
            <w:shd w:val="clear" w:color="auto" w:fill="F2F2F2" w:themeFill="background1" w:themeFillShade="F2"/>
            <w:hideMark/>
          </w:tcPr>
          <w:p w14:paraId="128D339A" w14:textId="77777777" w:rsidR="009A7433" w:rsidRPr="00EF61EC" w:rsidRDefault="009A7433" w:rsidP="00EF61EC">
            <w:pPr>
              <w:pStyle w:val="TableText"/>
              <w:ind w:right="57"/>
              <w:jc w:val="right"/>
              <w:rPr>
                <w:b/>
                <w:bCs/>
              </w:rPr>
            </w:pPr>
            <w:r w:rsidRPr="00EF61EC">
              <w:rPr>
                <w:b/>
                <w:bCs/>
              </w:rPr>
              <w:t>Percentage</w:t>
            </w:r>
          </w:p>
        </w:tc>
      </w:tr>
      <w:tr w:rsidR="00EF61EC" w14:paraId="263A248B" w14:textId="77777777" w:rsidTr="00EF61EC">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2418EC2D" w14:textId="4B9B9C4C" w:rsidR="00EF61EC" w:rsidRDefault="00EF61EC" w:rsidP="00EF61EC">
            <w:pPr>
              <w:pStyle w:val="TableText"/>
              <w:ind w:left="57"/>
            </w:pPr>
            <w:r>
              <w:rPr>
                <w:spacing w:val="-4"/>
                <w:w w:val="90"/>
              </w:rPr>
              <w:t>2021</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6B293098" w14:textId="2E84BBC3" w:rsidR="00EF61EC" w:rsidRPr="00EF61EC" w:rsidRDefault="00EF61EC" w:rsidP="00EF61EC">
            <w:pPr>
              <w:pStyle w:val="TableText"/>
              <w:ind w:right="57"/>
              <w:jc w:val="right"/>
            </w:pPr>
            <w:r w:rsidRPr="00EF61EC">
              <w:t>48.5%</w:t>
            </w:r>
          </w:p>
        </w:tc>
      </w:tr>
      <w:tr w:rsidR="00EF61EC" w14:paraId="7DC82780" w14:textId="77777777" w:rsidTr="00EF61EC">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1F989C93" w14:textId="3FC9143F" w:rsidR="00EF61EC" w:rsidRDefault="00EF61EC" w:rsidP="00EF61EC">
            <w:pPr>
              <w:pStyle w:val="TableText"/>
              <w:ind w:left="57"/>
            </w:pPr>
            <w:r>
              <w:rPr>
                <w:spacing w:val="-4"/>
              </w:rPr>
              <w:t>2022</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3CBB7018" w14:textId="3746B735" w:rsidR="00EF61EC" w:rsidRPr="00EF61EC" w:rsidRDefault="00EF61EC" w:rsidP="00EF61EC">
            <w:pPr>
              <w:pStyle w:val="TableText"/>
              <w:ind w:right="57"/>
              <w:jc w:val="right"/>
            </w:pPr>
            <w:r w:rsidRPr="00EF61EC">
              <w:t>53.1%</w:t>
            </w:r>
          </w:p>
        </w:tc>
      </w:tr>
      <w:tr w:rsidR="00EF61EC" w14:paraId="2F9F4DC8" w14:textId="77777777" w:rsidTr="00EF61EC">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02A05117" w14:textId="2A782E61" w:rsidR="00EF61EC" w:rsidRDefault="00EF61EC" w:rsidP="00EF61EC">
            <w:pPr>
              <w:pStyle w:val="TableText"/>
              <w:ind w:left="57"/>
            </w:pPr>
            <w:r>
              <w:rPr>
                <w:spacing w:val="-4"/>
              </w:rPr>
              <w:t>2023</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5B538EEF" w14:textId="64B71799" w:rsidR="00EF61EC" w:rsidRPr="00EF61EC" w:rsidRDefault="00EF61EC" w:rsidP="00EF61EC">
            <w:pPr>
              <w:pStyle w:val="TableText"/>
              <w:ind w:right="57"/>
              <w:jc w:val="right"/>
            </w:pPr>
            <w:r w:rsidRPr="00EF61EC">
              <w:t>67.2%</w:t>
            </w:r>
          </w:p>
        </w:tc>
      </w:tr>
      <w:tr w:rsidR="00EF61EC" w14:paraId="7FDDF2CA" w14:textId="77777777" w:rsidTr="00EF61EC">
        <w:trPr>
          <w:trHeight w:val="344"/>
        </w:trPr>
        <w:tc>
          <w:tcPr>
            <w:tcW w:w="4035" w:type="dxa"/>
            <w:tcBorders>
              <w:top w:val="single" w:sz="4" w:space="0" w:color="A6A6A6" w:themeColor="background1" w:themeShade="A6"/>
              <w:left w:val="nil"/>
              <w:bottom w:val="single" w:sz="4" w:space="0" w:color="A6A6A6" w:themeColor="background1" w:themeShade="A6"/>
              <w:right w:val="nil"/>
            </w:tcBorders>
          </w:tcPr>
          <w:p w14:paraId="7F199AB4" w14:textId="5F112B90" w:rsidR="00EF61EC" w:rsidRDefault="00EF61EC" w:rsidP="00EF61EC">
            <w:pPr>
              <w:pStyle w:val="TableText"/>
              <w:ind w:left="57"/>
            </w:pPr>
            <w:r>
              <w:rPr>
                <w:spacing w:val="-4"/>
              </w:rPr>
              <w:t>2024</w:t>
            </w:r>
          </w:p>
        </w:tc>
        <w:tc>
          <w:tcPr>
            <w:tcW w:w="4035" w:type="dxa"/>
            <w:tcBorders>
              <w:top w:val="single" w:sz="4" w:space="0" w:color="A6A6A6" w:themeColor="background1" w:themeShade="A6"/>
              <w:left w:val="nil"/>
              <w:bottom w:val="single" w:sz="4" w:space="0" w:color="A6A6A6" w:themeColor="background1" w:themeShade="A6"/>
              <w:right w:val="nil"/>
            </w:tcBorders>
          </w:tcPr>
          <w:p w14:paraId="1450EE98" w14:textId="30C10B21" w:rsidR="00EF61EC" w:rsidRPr="00EF61EC" w:rsidRDefault="00EF61EC" w:rsidP="00EF61EC">
            <w:pPr>
              <w:pStyle w:val="TableText"/>
              <w:ind w:right="57"/>
              <w:jc w:val="right"/>
            </w:pPr>
            <w:r w:rsidRPr="00EF61EC">
              <w:t>72.6%</w:t>
            </w:r>
          </w:p>
        </w:tc>
      </w:tr>
    </w:tbl>
    <w:p w14:paraId="4306AF83" w14:textId="77777777" w:rsidR="009A7433" w:rsidRDefault="009A7433" w:rsidP="009A7433"/>
    <w:p w14:paraId="72881ED6" w14:textId="77777777" w:rsidR="009A7433" w:rsidRDefault="009A7433" w:rsidP="009A7433"/>
    <w:tbl>
      <w:tblPr>
        <w:tblW w:w="8070" w:type="dxa"/>
        <w:tblInd w:w="7" w:type="dxa"/>
        <w:tblLayout w:type="fixed"/>
        <w:tblCellMar>
          <w:left w:w="0" w:type="dxa"/>
          <w:right w:w="0" w:type="dxa"/>
        </w:tblCellMar>
        <w:tblLook w:val="01E0" w:firstRow="1" w:lastRow="1" w:firstColumn="1" w:lastColumn="1" w:noHBand="0" w:noVBand="0"/>
      </w:tblPr>
      <w:tblGrid>
        <w:gridCol w:w="2018"/>
        <w:gridCol w:w="2017"/>
        <w:gridCol w:w="2017"/>
        <w:gridCol w:w="2018"/>
      </w:tblGrid>
      <w:tr w:rsidR="009A7433" w14:paraId="759DAD5E" w14:textId="77777777" w:rsidTr="00EF61EC">
        <w:trPr>
          <w:trHeight w:val="343"/>
        </w:trPr>
        <w:tc>
          <w:tcPr>
            <w:tcW w:w="8070" w:type="dxa"/>
            <w:gridSpan w:val="4"/>
            <w:shd w:val="clear" w:color="auto" w:fill="D9D9D9" w:themeFill="background1" w:themeFillShade="D9"/>
            <w:hideMark/>
          </w:tcPr>
          <w:p w14:paraId="6B13E74F" w14:textId="77777777" w:rsidR="009A7433" w:rsidRDefault="009A7433">
            <w:pPr>
              <w:pStyle w:val="TableText"/>
              <w:ind w:left="57" w:right="57"/>
              <w:rPr>
                <w:b/>
                <w:bCs/>
                <w:lang w:val="en-GB"/>
              </w:rPr>
            </w:pPr>
            <w:r>
              <w:rPr>
                <w:b/>
                <w:bCs/>
                <w:lang w:val="en-GB"/>
              </w:rPr>
              <w:t>Senior management and total staff by gender</w:t>
            </w:r>
          </w:p>
        </w:tc>
      </w:tr>
      <w:tr w:rsidR="009A7433" w14:paraId="1949A725" w14:textId="77777777" w:rsidTr="00EF61EC">
        <w:trPr>
          <w:trHeight w:val="351"/>
        </w:trPr>
        <w:tc>
          <w:tcPr>
            <w:tcW w:w="2018" w:type="dxa"/>
            <w:tcBorders>
              <w:top w:val="nil"/>
              <w:left w:val="nil"/>
              <w:bottom w:val="single" w:sz="4" w:space="0" w:color="A6A6A6" w:themeColor="background1" w:themeShade="A6"/>
              <w:right w:val="nil"/>
            </w:tcBorders>
            <w:shd w:val="clear" w:color="auto" w:fill="F2F2F2" w:themeFill="background1" w:themeFillShade="F2"/>
          </w:tcPr>
          <w:p w14:paraId="3D10F01A" w14:textId="77777777" w:rsidR="009A7433" w:rsidRDefault="009A7433">
            <w:pPr>
              <w:pStyle w:val="TableText"/>
              <w:ind w:left="57" w:right="57"/>
              <w:rPr>
                <w:b/>
                <w:bCs/>
                <w:lang w:val="en-GB"/>
              </w:rPr>
            </w:pPr>
          </w:p>
        </w:tc>
        <w:tc>
          <w:tcPr>
            <w:tcW w:w="2017" w:type="dxa"/>
            <w:tcBorders>
              <w:top w:val="nil"/>
              <w:left w:val="nil"/>
              <w:bottom w:val="single" w:sz="4" w:space="0" w:color="A6A6A6" w:themeColor="background1" w:themeShade="A6"/>
              <w:right w:val="nil"/>
            </w:tcBorders>
            <w:shd w:val="clear" w:color="auto" w:fill="F2F2F2" w:themeFill="background1" w:themeFillShade="F2"/>
            <w:hideMark/>
          </w:tcPr>
          <w:p w14:paraId="4DD7E026" w14:textId="77777777" w:rsidR="009A7433" w:rsidRDefault="009A7433">
            <w:pPr>
              <w:pStyle w:val="TableText"/>
              <w:ind w:left="57" w:right="57"/>
              <w:jc w:val="right"/>
              <w:rPr>
                <w:b/>
                <w:bCs/>
                <w:lang w:val="en-GB"/>
              </w:rPr>
            </w:pPr>
            <w:r>
              <w:rPr>
                <w:b/>
                <w:bCs/>
                <w:lang w:val="en-GB"/>
              </w:rPr>
              <w:t>Female</w:t>
            </w:r>
          </w:p>
        </w:tc>
        <w:tc>
          <w:tcPr>
            <w:tcW w:w="2017" w:type="dxa"/>
            <w:tcBorders>
              <w:top w:val="nil"/>
              <w:left w:val="nil"/>
              <w:bottom w:val="single" w:sz="4" w:space="0" w:color="A6A6A6" w:themeColor="background1" w:themeShade="A6"/>
              <w:right w:val="nil"/>
            </w:tcBorders>
            <w:shd w:val="clear" w:color="auto" w:fill="F2F2F2" w:themeFill="background1" w:themeFillShade="F2"/>
            <w:hideMark/>
          </w:tcPr>
          <w:p w14:paraId="6DBEEF50" w14:textId="77777777" w:rsidR="009A7433" w:rsidRDefault="009A7433">
            <w:pPr>
              <w:pStyle w:val="TableText"/>
              <w:ind w:left="57" w:right="57"/>
              <w:jc w:val="right"/>
              <w:rPr>
                <w:b/>
                <w:bCs/>
                <w:lang w:val="en-GB"/>
              </w:rPr>
            </w:pPr>
            <w:r>
              <w:rPr>
                <w:b/>
                <w:bCs/>
                <w:lang w:val="en-GB"/>
              </w:rPr>
              <w:t>Male</w:t>
            </w:r>
          </w:p>
        </w:tc>
        <w:tc>
          <w:tcPr>
            <w:tcW w:w="2018" w:type="dxa"/>
            <w:tcBorders>
              <w:top w:val="nil"/>
              <w:left w:val="nil"/>
              <w:bottom w:val="single" w:sz="4" w:space="0" w:color="A6A6A6" w:themeColor="background1" w:themeShade="A6"/>
              <w:right w:val="nil"/>
            </w:tcBorders>
            <w:shd w:val="clear" w:color="auto" w:fill="F2F2F2" w:themeFill="background1" w:themeFillShade="F2"/>
            <w:hideMark/>
          </w:tcPr>
          <w:p w14:paraId="50EFC447" w14:textId="77777777" w:rsidR="009A7433" w:rsidRDefault="009A7433">
            <w:pPr>
              <w:pStyle w:val="TableText"/>
              <w:ind w:left="57" w:right="57"/>
              <w:jc w:val="right"/>
              <w:rPr>
                <w:b/>
                <w:bCs/>
                <w:lang w:val="en-GB"/>
              </w:rPr>
            </w:pPr>
            <w:r>
              <w:rPr>
                <w:b/>
                <w:bCs/>
                <w:lang w:val="en-GB"/>
              </w:rPr>
              <w:t>Other</w:t>
            </w:r>
          </w:p>
        </w:tc>
      </w:tr>
      <w:tr w:rsidR="00EF61EC" w14:paraId="2B37C915" w14:textId="77777777" w:rsidTr="00EF61EC">
        <w:trPr>
          <w:trHeight w:val="344"/>
        </w:trPr>
        <w:tc>
          <w:tcPr>
            <w:tcW w:w="2018" w:type="dxa"/>
            <w:tcBorders>
              <w:top w:val="single" w:sz="4" w:space="0" w:color="A6A6A6" w:themeColor="background1" w:themeShade="A6"/>
              <w:left w:val="nil"/>
              <w:bottom w:val="single" w:sz="4" w:space="0" w:color="A6A6A6" w:themeColor="background1" w:themeShade="A6"/>
              <w:right w:val="nil"/>
            </w:tcBorders>
            <w:hideMark/>
          </w:tcPr>
          <w:p w14:paraId="399DF7A1" w14:textId="77777777" w:rsidR="00EF61EC" w:rsidRDefault="00EF61EC" w:rsidP="00EF61EC">
            <w:pPr>
              <w:pStyle w:val="TableText"/>
              <w:ind w:left="57" w:right="57"/>
              <w:rPr>
                <w:lang w:val="en-GB"/>
              </w:rPr>
            </w:pPr>
            <w:r>
              <w:rPr>
                <w:lang w:val="en-GB"/>
              </w:rPr>
              <w:t>Senior managers</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7C31B65F" w14:textId="5813BE44" w:rsidR="00EF61EC" w:rsidRPr="00EF61EC" w:rsidRDefault="00EF61EC" w:rsidP="00EF61EC">
            <w:pPr>
              <w:pStyle w:val="TableText"/>
              <w:ind w:right="57"/>
              <w:jc w:val="right"/>
            </w:pPr>
            <w:r w:rsidRPr="00EF61EC">
              <w:t>33</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1A2E6761" w14:textId="59BFC1CE" w:rsidR="00EF61EC" w:rsidRPr="00EF61EC" w:rsidRDefault="00EF61EC" w:rsidP="00EF61EC">
            <w:pPr>
              <w:pStyle w:val="TableText"/>
              <w:ind w:right="57"/>
              <w:jc w:val="right"/>
            </w:pPr>
            <w:r w:rsidRPr="00EF61EC">
              <w:t>23</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0140BA4D" w14:textId="0329F412" w:rsidR="00EF61EC" w:rsidRPr="00EF61EC" w:rsidRDefault="00EF61EC" w:rsidP="00EF61EC">
            <w:pPr>
              <w:pStyle w:val="TableText"/>
              <w:ind w:right="57"/>
              <w:jc w:val="right"/>
            </w:pPr>
            <w:r w:rsidRPr="00EF61EC">
              <w:t>0</w:t>
            </w:r>
          </w:p>
        </w:tc>
      </w:tr>
      <w:tr w:rsidR="00EF61EC" w14:paraId="3FD8C67B" w14:textId="77777777" w:rsidTr="00EF61EC">
        <w:trPr>
          <w:trHeight w:val="344"/>
        </w:trPr>
        <w:tc>
          <w:tcPr>
            <w:tcW w:w="2018" w:type="dxa"/>
            <w:tcBorders>
              <w:top w:val="single" w:sz="4" w:space="0" w:color="A6A6A6" w:themeColor="background1" w:themeShade="A6"/>
              <w:left w:val="nil"/>
              <w:bottom w:val="single" w:sz="4" w:space="0" w:color="A6A6A6" w:themeColor="background1" w:themeShade="A6"/>
              <w:right w:val="nil"/>
            </w:tcBorders>
            <w:hideMark/>
          </w:tcPr>
          <w:p w14:paraId="1629EB72" w14:textId="77777777" w:rsidR="00EF61EC" w:rsidRDefault="00EF61EC" w:rsidP="00EF61EC">
            <w:pPr>
              <w:pStyle w:val="TableText"/>
              <w:ind w:left="57" w:right="57"/>
              <w:rPr>
                <w:lang w:val="en-GB"/>
              </w:rPr>
            </w:pPr>
            <w:r>
              <w:rPr>
                <w:lang w:val="en-GB"/>
              </w:rPr>
              <w:t>All other staff</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613A37F6" w14:textId="3942D41D" w:rsidR="00EF61EC" w:rsidRPr="00EF61EC" w:rsidRDefault="00EF61EC" w:rsidP="00EF61EC">
            <w:pPr>
              <w:pStyle w:val="TableText"/>
              <w:ind w:right="57"/>
              <w:jc w:val="right"/>
            </w:pPr>
            <w:r w:rsidRPr="00EF61EC">
              <w:t>524</w:t>
            </w:r>
          </w:p>
        </w:tc>
        <w:tc>
          <w:tcPr>
            <w:tcW w:w="2017" w:type="dxa"/>
            <w:tcBorders>
              <w:top w:val="single" w:sz="4" w:space="0" w:color="A6A6A6" w:themeColor="background1" w:themeShade="A6"/>
              <w:left w:val="nil"/>
              <w:bottom w:val="single" w:sz="4" w:space="0" w:color="A6A6A6" w:themeColor="background1" w:themeShade="A6"/>
              <w:right w:val="nil"/>
            </w:tcBorders>
            <w:hideMark/>
          </w:tcPr>
          <w:p w14:paraId="1181BBC3" w14:textId="7241FAE5" w:rsidR="00EF61EC" w:rsidRPr="00EF61EC" w:rsidRDefault="00EF61EC" w:rsidP="00EF61EC">
            <w:pPr>
              <w:pStyle w:val="TableText"/>
              <w:ind w:right="57"/>
              <w:jc w:val="right"/>
            </w:pPr>
            <w:r w:rsidRPr="00EF61EC">
              <w:t>220</w:t>
            </w:r>
          </w:p>
        </w:tc>
        <w:tc>
          <w:tcPr>
            <w:tcW w:w="2018" w:type="dxa"/>
            <w:tcBorders>
              <w:top w:val="single" w:sz="4" w:space="0" w:color="A6A6A6" w:themeColor="background1" w:themeShade="A6"/>
              <w:left w:val="nil"/>
              <w:bottom w:val="single" w:sz="4" w:space="0" w:color="A6A6A6" w:themeColor="background1" w:themeShade="A6"/>
              <w:right w:val="nil"/>
            </w:tcBorders>
            <w:hideMark/>
          </w:tcPr>
          <w:p w14:paraId="390CEC7A" w14:textId="6FD78C49" w:rsidR="00EF61EC" w:rsidRPr="00EF61EC" w:rsidRDefault="00EF61EC" w:rsidP="00EF61EC">
            <w:pPr>
              <w:pStyle w:val="TableText"/>
              <w:ind w:right="57"/>
              <w:jc w:val="right"/>
            </w:pPr>
            <w:r w:rsidRPr="00EF61EC">
              <w:t>0</w:t>
            </w:r>
          </w:p>
        </w:tc>
      </w:tr>
    </w:tbl>
    <w:p w14:paraId="7A43456E" w14:textId="706C28C8" w:rsidR="009A7433" w:rsidRDefault="009A7433" w:rsidP="009A7433"/>
    <w:p w14:paraId="00656D62" w14:textId="77777777" w:rsidR="00EF61EC" w:rsidRDefault="00EF61EC" w:rsidP="009A7433"/>
    <w:tbl>
      <w:tblPr>
        <w:tblW w:w="8070" w:type="dxa"/>
        <w:tblInd w:w="7" w:type="dxa"/>
        <w:tblLayout w:type="fixed"/>
        <w:tblCellMar>
          <w:left w:w="0" w:type="dxa"/>
          <w:right w:w="0" w:type="dxa"/>
        </w:tblCellMar>
        <w:tblLook w:val="01E0" w:firstRow="1" w:lastRow="1" w:firstColumn="1" w:lastColumn="1" w:noHBand="0" w:noVBand="0"/>
      </w:tblPr>
      <w:tblGrid>
        <w:gridCol w:w="4035"/>
        <w:gridCol w:w="4035"/>
      </w:tblGrid>
      <w:tr w:rsidR="009A7433" w14:paraId="4CF381D0" w14:textId="77777777" w:rsidTr="00EF61EC">
        <w:trPr>
          <w:trHeight w:val="624"/>
        </w:trPr>
        <w:tc>
          <w:tcPr>
            <w:tcW w:w="8070" w:type="dxa"/>
            <w:gridSpan w:val="2"/>
            <w:shd w:val="clear" w:color="auto" w:fill="D9D9D9" w:themeFill="background1" w:themeFillShade="D9"/>
            <w:hideMark/>
          </w:tcPr>
          <w:p w14:paraId="04DD3472" w14:textId="77777777" w:rsidR="009A7433" w:rsidRDefault="009A7433">
            <w:pPr>
              <w:pStyle w:val="TableText"/>
              <w:ind w:left="57" w:right="57"/>
              <w:rPr>
                <w:b/>
                <w:bCs/>
                <w:lang w:val="en-GB"/>
              </w:rPr>
            </w:pPr>
            <w:r>
              <w:rPr>
                <w:b/>
                <w:bCs/>
                <w:lang w:val="en-GB"/>
              </w:rPr>
              <w:t xml:space="preserve">Gender </w:t>
            </w:r>
            <w:proofErr w:type="gramStart"/>
            <w:r>
              <w:rPr>
                <w:b/>
                <w:bCs/>
                <w:lang w:val="en-GB"/>
              </w:rPr>
              <w:t>pay</w:t>
            </w:r>
            <w:proofErr w:type="gramEnd"/>
            <w:r>
              <w:rPr>
                <w:b/>
                <w:bCs/>
                <w:lang w:val="en-GB"/>
              </w:rPr>
              <w:t xml:space="preserve"> gap</w:t>
            </w:r>
          </w:p>
          <w:p w14:paraId="3531A77F" w14:textId="3EEDA374" w:rsidR="009A7433" w:rsidRDefault="009A7433">
            <w:pPr>
              <w:pStyle w:val="TableText"/>
              <w:ind w:left="57" w:right="57"/>
              <w:rPr>
                <w:lang w:val="en-GB"/>
              </w:rPr>
            </w:pPr>
            <w:r>
              <w:rPr>
                <w:lang w:val="en-GB"/>
              </w:rPr>
              <w:t xml:space="preserve">Data as </w:t>
            </w:r>
            <w:proofErr w:type="gramStart"/>
            <w:r>
              <w:rPr>
                <w:lang w:val="en-GB"/>
              </w:rPr>
              <w:t>at</w:t>
            </w:r>
            <w:proofErr w:type="gramEnd"/>
            <w:r>
              <w:rPr>
                <w:lang w:val="en-GB"/>
              </w:rPr>
              <w:t xml:space="preserve"> 30 June each year</w:t>
            </w:r>
          </w:p>
        </w:tc>
      </w:tr>
      <w:tr w:rsidR="009A7433" w14:paraId="1BB59E46" w14:textId="77777777" w:rsidTr="00EF61EC">
        <w:trPr>
          <w:trHeight w:val="351"/>
        </w:trPr>
        <w:tc>
          <w:tcPr>
            <w:tcW w:w="4035" w:type="dxa"/>
            <w:tcBorders>
              <w:top w:val="nil"/>
              <w:left w:val="nil"/>
              <w:bottom w:val="single" w:sz="4" w:space="0" w:color="A6A6A6" w:themeColor="background1" w:themeShade="A6"/>
              <w:right w:val="nil"/>
            </w:tcBorders>
            <w:shd w:val="clear" w:color="auto" w:fill="F2F2F2" w:themeFill="background1" w:themeFillShade="F2"/>
            <w:hideMark/>
          </w:tcPr>
          <w:p w14:paraId="34C7D7C3" w14:textId="77777777" w:rsidR="009A7433" w:rsidRDefault="009A7433">
            <w:pPr>
              <w:pStyle w:val="TableText"/>
              <w:ind w:left="57" w:right="57"/>
              <w:rPr>
                <w:b/>
                <w:bCs/>
                <w:lang w:val="en-GB"/>
              </w:rPr>
            </w:pPr>
            <w:r>
              <w:rPr>
                <w:b/>
                <w:bCs/>
                <w:lang w:val="en-GB"/>
              </w:rPr>
              <w:t>Year</w:t>
            </w:r>
          </w:p>
        </w:tc>
        <w:tc>
          <w:tcPr>
            <w:tcW w:w="4035" w:type="dxa"/>
            <w:tcBorders>
              <w:top w:val="nil"/>
              <w:left w:val="nil"/>
              <w:bottom w:val="single" w:sz="4" w:space="0" w:color="A6A6A6" w:themeColor="background1" w:themeShade="A6"/>
              <w:right w:val="nil"/>
            </w:tcBorders>
            <w:shd w:val="clear" w:color="auto" w:fill="F2F2F2" w:themeFill="background1" w:themeFillShade="F2"/>
            <w:hideMark/>
          </w:tcPr>
          <w:p w14:paraId="71AD2D74" w14:textId="77777777" w:rsidR="009A7433" w:rsidRDefault="009A7433">
            <w:pPr>
              <w:pStyle w:val="TableText"/>
              <w:ind w:left="57" w:right="57"/>
              <w:jc w:val="right"/>
              <w:rPr>
                <w:b/>
                <w:bCs/>
                <w:lang w:val="en-GB"/>
              </w:rPr>
            </w:pPr>
            <w:r>
              <w:rPr>
                <w:b/>
                <w:bCs/>
                <w:lang w:val="en-GB"/>
              </w:rPr>
              <w:t xml:space="preserve">Gender </w:t>
            </w:r>
            <w:proofErr w:type="gramStart"/>
            <w:r>
              <w:rPr>
                <w:b/>
                <w:bCs/>
                <w:lang w:val="en-GB"/>
              </w:rPr>
              <w:t>pay</w:t>
            </w:r>
            <w:proofErr w:type="gramEnd"/>
            <w:r>
              <w:rPr>
                <w:b/>
                <w:bCs/>
                <w:lang w:val="en-GB"/>
              </w:rPr>
              <w:t xml:space="preserve"> gap</w:t>
            </w:r>
          </w:p>
        </w:tc>
      </w:tr>
      <w:tr w:rsidR="00EF61EC" w14:paraId="533B7F89" w14:textId="77777777" w:rsidTr="00EF61EC">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2185A2E5" w14:textId="76B968F4" w:rsidR="00EF61EC" w:rsidRPr="00EF61EC" w:rsidRDefault="00EF61EC" w:rsidP="00EF61EC">
            <w:pPr>
              <w:pStyle w:val="TableText"/>
              <w:ind w:left="57"/>
            </w:pPr>
            <w:r w:rsidRPr="00EF61EC">
              <w:t>2019</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1EC6FF43" w14:textId="46FE9EB9" w:rsidR="00EF61EC" w:rsidRPr="00EF61EC" w:rsidRDefault="00EF61EC" w:rsidP="00EF61EC">
            <w:pPr>
              <w:pStyle w:val="TableText"/>
              <w:ind w:right="57"/>
              <w:jc w:val="right"/>
            </w:pPr>
            <w:r w:rsidRPr="00EF61EC">
              <w:t>11.3%</w:t>
            </w:r>
          </w:p>
        </w:tc>
      </w:tr>
      <w:tr w:rsidR="00EF61EC" w14:paraId="3A74DAD1" w14:textId="77777777" w:rsidTr="00EF61EC">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2C988E93" w14:textId="05798FCB" w:rsidR="00EF61EC" w:rsidRPr="00EF61EC" w:rsidRDefault="00EF61EC" w:rsidP="00EF61EC">
            <w:pPr>
              <w:pStyle w:val="TableText"/>
              <w:ind w:left="57"/>
            </w:pPr>
            <w:r w:rsidRPr="00EF61EC">
              <w:t>2020</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73A27524" w14:textId="19BAECB2" w:rsidR="00EF61EC" w:rsidRPr="00EF61EC" w:rsidRDefault="00EF61EC" w:rsidP="00EF61EC">
            <w:pPr>
              <w:pStyle w:val="TableText"/>
              <w:ind w:right="57"/>
              <w:jc w:val="right"/>
            </w:pPr>
            <w:r w:rsidRPr="00EF61EC">
              <w:t>14.0%</w:t>
            </w:r>
          </w:p>
        </w:tc>
      </w:tr>
      <w:tr w:rsidR="00EF61EC" w14:paraId="5FA6DFC3" w14:textId="77777777" w:rsidTr="00EF61EC">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2FFB5DC4" w14:textId="1C9A43AA" w:rsidR="00EF61EC" w:rsidRPr="00EF61EC" w:rsidRDefault="00EF61EC" w:rsidP="00EF61EC">
            <w:pPr>
              <w:pStyle w:val="TableText"/>
              <w:ind w:left="57"/>
            </w:pPr>
            <w:r w:rsidRPr="00EF61EC">
              <w:t>2021</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5948F9E0" w14:textId="1CC9D2C6" w:rsidR="00EF61EC" w:rsidRPr="00EF61EC" w:rsidRDefault="00EF61EC" w:rsidP="00EF61EC">
            <w:pPr>
              <w:pStyle w:val="TableText"/>
              <w:ind w:right="57"/>
              <w:jc w:val="right"/>
            </w:pPr>
            <w:r w:rsidRPr="00EF61EC">
              <w:t>11.4%</w:t>
            </w:r>
          </w:p>
        </w:tc>
      </w:tr>
      <w:tr w:rsidR="00EF61EC" w14:paraId="6125B375" w14:textId="77777777" w:rsidTr="00EF61EC">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1FE3306E" w14:textId="7C6DB2F8" w:rsidR="00EF61EC" w:rsidRPr="00EF61EC" w:rsidRDefault="00EF61EC" w:rsidP="00EF61EC">
            <w:pPr>
              <w:pStyle w:val="TableText"/>
              <w:ind w:left="57"/>
            </w:pPr>
            <w:r w:rsidRPr="00EF61EC">
              <w:t>2022</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69C5B7B6" w14:textId="0CE12388" w:rsidR="00EF61EC" w:rsidRPr="00EF61EC" w:rsidRDefault="00EF61EC" w:rsidP="00EF61EC">
            <w:pPr>
              <w:pStyle w:val="TableText"/>
              <w:ind w:right="57"/>
              <w:jc w:val="right"/>
            </w:pPr>
            <w:r w:rsidRPr="00EF61EC">
              <w:t>10.7%</w:t>
            </w:r>
          </w:p>
        </w:tc>
      </w:tr>
      <w:tr w:rsidR="00EF61EC" w14:paraId="07621CB2" w14:textId="77777777" w:rsidTr="00EF61EC">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7E627062" w14:textId="69662CCF" w:rsidR="00EF61EC" w:rsidRPr="00EF61EC" w:rsidRDefault="00EF61EC" w:rsidP="00EF61EC">
            <w:pPr>
              <w:pStyle w:val="TableText"/>
              <w:ind w:left="57"/>
            </w:pPr>
            <w:r w:rsidRPr="00EF61EC">
              <w:t>2023</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217E5A7C" w14:textId="5316689F" w:rsidR="00EF61EC" w:rsidRPr="00EF61EC" w:rsidRDefault="00EF61EC" w:rsidP="00EF61EC">
            <w:pPr>
              <w:pStyle w:val="TableText"/>
              <w:ind w:right="57"/>
              <w:jc w:val="right"/>
            </w:pPr>
            <w:r w:rsidRPr="00EF61EC">
              <w:t>12.6%</w:t>
            </w:r>
          </w:p>
        </w:tc>
      </w:tr>
      <w:tr w:rsidR="00EF61EC" w14:paraId="2B30ACAE" w14:textId="77777777" w:rsidTr="00EF61EC">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59F37D61" w14:textId="02007279" w:rsidR="00EF61EC" w:rsidRPr="00EF61EC" w:rsidRDefault="00EF61EC" w:rsidP="00EF61EC">
            <w:pPr>
              <w:pStyle w:val="TableText"/>
              <w:ind w:left="57"/>
            </w:pPr>
            <w:r w:rsidRPr="00EF61EC">
              <w:t>2024</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6D1DCC3A" w14:textId="4A3C32D4" w:rsidR="00EF61EC" w:rsidRPr="00EF61EC" w:rsidRDefault="00EF61EC" w:rsidP="00EF61EC">
            <w:pPr>
              <w:pStyle w:val="TableText"/>
              <w:ind w:right="57"/>
              <w:jc w:val="right"/>
            </w:pPr>
            <w:r w:rsidRPr="00EF61EC">
              <w:t>14.1%</w:t>
            </w:r>
          </w:p>
        </w:tc>
      </w:tr>
    </w:tbl>
    <w:p w14:paraId="482BBA35" w14:textId="77777777" w:rsidR="009A7433" w:rsidRDefault="009A7433" w:rsidP="009A7433">
      <w:pPr>
        <w:rPr>
          <w:w w:val="105"/>
        </w:rPr>
      </w:pPr>
    </w:p>
    <w:p w14:paraId="72768505" w14:textId="6CFC31D5" w:rsidR="00EF61EC" w:rsidRDefault="00EF61EC" w:rsidP="00EF61EC">
      <w:pPr>
        <w:rPr>
          <w:w w:val="105"/>
        </w:rPr>
      </w:pPr>
      <w:r w:rsidRPr="00EF61EC">
        <w:rPr>
          <w:w w:val="105"/>
        </w:rPr>
        <w:t>The gender pay gap is analysed on a monthly basis by band and directorate. The Ministry is committed to Kia Toipoto, the Public Service Commission’s initiative to close the pay gaps for women, Māori, Pacific peoples and other ethnic groups in the public sector. ‘Like for like’ analyses are performed yearly to establish whether staff are being fairly paid based on their time in their role.</w:t>
      </w:r>
    </w:p>
    <w:p w14:paraId="2210AB3F" w14:textId="77777777" w:rsidR="00EF61EC" w:rsidRPr="00EF61EC" w:rsidRDefault="00EF61EC" w:rsidP="00EF61EC">
      <w:pPr>
        <w:rPr>
          <w:w w:val="105"/>
        </w:rPr>
      </w:pPr>
    </w:p>
    <w:p w14:paraId="4297BA2C" w14:textId="3DA1C2AE" w:rsidR="00EF61EC" w:rsidRDefault="00EF61EC" w:rsidP="00EF61EC">
      <w:pPr>
        <w:rPr>
          <w:w w:val="105"/>
        </w:rPr>
      </w:pPr>
      <w:r w:rsidRPr="00EF61EC">
        <w:rPr>
          <w:w w:val="105"/>
        </w:rPr>
        <w:t>The gender pay gap within the Ministry increased in 2024. We will conduct an in-depth analysis of contributing factors and will explore particular areas of concern as part</w:t>
      </w:r>
      <w:r>
        <w:rPr>
          <w:w w:val="105"/>
        </w:rPr>
        <w:t xml:space="preserve"> </w:t>
      </w:r>
      <w:r w:rsidRPr="00EF61EC">
        <w:rPr>
          <w:w w:val="105"/>
        </w:rPr>
        <w:t>of the Ministry’s Kia Toipoto – Pay Gap Action Plan.</w:t>
      </w:r>
    </w:p>
    <w:p w14:paraId="66D583DD" w14:textId="283094F8" w:rsidR="00EF61EC" w:rsidRDefault="00EF61EC" w:rsidP="00EF61EC">
      <w:pPr>
        <w:rPr>
          <w:w w:val="105"/>
        </w:rPr>
      </w:pPr>
    </w:p>
    <w:p w14:paraId="6ACFC635" w14:textId="53697CF6" w:rsidR="00EF61EC" w:rsidRDefault="00EF61EC" w:rsidP="00EF61EC">
      <w:pPr>
        <w:rPr>
          <w:w w:val="105"/>
        </w:rPr>
      </w:pPr>
    </w:p>
    <w:p w14:paraId="10EBBA5E" w14:textId="3E596930" w:rsidR="00EF61EC" w:rsidRDefault="00EF61EC" w:rsidP="00EF61EC">
      <w:pPr>
        <w:rPr>
          <w:w w:val="105"/>
        </w:rPr>
      </w:pPr>
    </w:p>
    <w:p w14:paraId="07252365" w14:textId="36CB7BB6" w:rsidR="00EF61EC" w:rsidRDefault="00EF61EC" w:rsidP="00EF61EC">
      <w:pPr>
        <w:rPr>
          <w:w w:val="105"/>
        </w:rPr>
      </w:pPr>
    </w:p>
    <w:p w14:paraId="3755BA6D" w14:textId="77777777" w:rsidR="00EF61EC" w:rsidRDefault="00EF61EC" w:rsidP="00EF61EC">
      <w:pPr>
        <w:rPr>
          <w:w w:val="105"/>
        </w:rPr>
      </w:pPr>
    </w:p>
    <w:p w14:paraId="67B1E49B" w14:textId="77777777" w:rsidR="00EF61EC" w:rsidRDefault="00EF61EC" w:rsidP="00EF61EC">
      <w:pPr>
        <w:rPr>
          <w:w w:val="105"/>
        </w:rPr>
      </w:pPr>
    </w:p>
    <w:tbl>
      <w:tblPr>
        <w:tblW w:w="7929" w:type="dxa"/>
        <w:tblInd w:w="7" w:type="dxa"/>
        <w:tblLayout w:type="fixed"/>
        <w:tblCellMar>
          <w:left w:w="0" w:type="dxa"/>
          <w:right w:w="0" w:type="dxa"/>
        </w:tblCellMar>
        <w:tblLook w:val="01E0" w:firstRow="1" w:lastRow="1" w:firstColumn="1" w:lastColumn="1" w:noHBand="0" w:noVBand="0"/>
      </w:tblPr>
      <w:tblGrid>
        <w:gridCol w:w="3254"/>
        <w:gridCol w:w="1984"/>
        <w:gridCol w:w="2691"/>
      </w:tblGrid>
      <w:tr w:rsidR="00EF61EC" w14:paraId="6CA85F0A" w14:textId="77777777" w:rsidTr="00A66B6E">
        <w:trPr>
          <w:trHeight w:val="343"/>
        </w:trPr>
        <w:tc>
          <w:tcPr>
            <w:tcW w:w="7928" w:type="dxa"/>
            <w:gridSpan w:val="3"/>
            <w:shd w:val="clear" w:color="auto" w:fill="D9D9D9" w:themeFill="background1" w:themeFillShade="D9"/>
            <w:hideMark/>
          </w:tcPr>
          <w:p w14:paraId="5A67C84A" w14:textId="3C928248" w:rsidR="00EF61EC" w:rsidRDefault="00EF61EC" w:rsidP="00FD7891">
            <w:pPr>
              <w:pStyle w:val="TableText"/>
              <w:ind w:left="57" w:right="57"/>
              <w:rPr>
                <w:b/>
                <w:bCs/>
                <w:lang w:val="en-GB"/>
              </w:rPr>
            </w:pPr>
            <w:r w:rsidRPr="00EF61EC">
              <w:rPr>
                <w:b/>
                <w:bCs/>
                <w:lang w:val="en-GB"/>
              </w:rPr>
              <w:lastRenderedPageBreak/>
              <w:t>Ethnicity breakdown for senior managers and other staff</w:t>
            </w:r>
          </w:p>
        </w:tc>
      </w:tr>
      <w:tr w:rsidR="00EF61EC" w14:paraId="24D4221E" w14:textId="77777777" w:rsidTr="00A66B6E">
        <w:trPr>
          <w:trHeight w:val="351"/>
        </w:trPr>
        <w:tc>
          <w:tcPr>
            <w:tcW w:w="3254" w:type="dxa"/>
            <w:tcBorders>
              <w:top w:val="nil"/>
              <w:left w:val="nil"/>
              <w:bottom w:val="single" w:sz="4" w:space="0" w:color="A6A6A6" w:themeColor="background1" w:themeShade="A6"/>
              <w:right w:val="nil"/>
            </w:tcBorders>
            <w:shd w:val="clear" w:color="auto" w:fill="F2F2F2" w:themeFill="background1" w:themeFillShade="F2"/>
          </w:tcPr>
          <w:p w14:paraId="125303BD" w14:textId="68D95E5A" w:rsidR="00EF61EC" w:rsidRPr="00EF61EC" w:rsidRDefault="00EF61EC" w:rsidP="00EF61EC">
            <w:pPr>
              <w:pStyle w:val="TableText"/>
              <w:ind w:left="57" w:right="57"/>
              <w:rPr>
                <w:b/>
                <w:bCs/>
                <w:lang w:val="en-GB"/>
              </w:rPr>
            </w:pPr>
            <w:r w:rsidRPr="00EF61EC">
              <w:rPr>
                <w:b/>
                <w:bCs/>
              </w:rPr>
              <w:t>Ethnicity</w:t>
            </w:r>
          </w:p>
        </w:tc>
        <w:tc>
          <w:tcPr>
            <w:tcW w:w="1984" w:type="dxa"/>
            <w:tcBorders>
              <w:top w:val="nil"/>
              <w:left w:val="nil"/>
              <w:bottom w:val="single" w:sz="4" w:space="0" w:color="A6A6A6" w:themeColor="background1" w:themeShade="A6"/>
              <w:right w:val="nil"/>
            </w:tcBorders>
            <w:shd w:val="clear" w:color="auto" w:fill="F2F2F2" w:themeFill="background1" w:themeFillShade="F2"/>
            <w:hideMark/>
          </w:tcPr>
          <w:p w14:paraId="15C31BF1" w14:textId="33341DAD" w:rsidR="00EF61EC" w:rsidRPr="00EF61EC" w:rsidRDefault="00EF61EC" w:rsidP="00EF61EC">
            <w:pPr>
              <w:pStyle w:val="TableText"/>
              <w:ind w:left="57" w:right="57"/>
              <w:jc w:val="right"/>
              <w:rPr>
                <w:b/>
                <w:bCs/>
                <w:lang w:val="en-GB"/>
              </w:rPr>
            </w:pPr>
            <w:r w:rsidRPr="00EF61EC">
              <w:rPr>
                <w:b/>
                <w:bCs/>
              </w:rPr>
              <w:t xml:space="preserve">Percentage of total </w:t>
            </w:r>
            <w:r w:rsidRPr="00EF61EC">
              <w:rPr>
                <w:b/>
                <w:bCs/>
              </w:rPr>
              <w:br/>
              <w:t>senior managers</w:t>
            </w:r>
          </w:p>
        </w:tc>
        <w:tc>
          <w:tcPr>
            <w:tcW w:w="2691" w:type="dxa"/>
            <w:tcBorders>
              <w:top w:val="nil"/>
              <w:left w:val="nil"/>
              <w:bottom w:val="single" w:sz="4" w:space="0" w:color="A6A6A6" w:themeColor="background1" w:themeShade="A6"/>
              <w:right w:val="nil"/>
            </w:tcBorders>
            <w:shd w:val="clear" w:color="auto" w:fill="F2F2F2" w:themeFill="background1" w:themeFillShade="F2"/>
            <w:hideMark/>
          </w:tcPr>
          <w:p w14:paraId="79139B74" w14:textId="4D67BCC7" w:rsidR="00EF61EC" w:rsidRPr="00EF61EC" w:rsidRDefault="00EF61EC" w:rsidP="00EF61EC">
            <w:pPr>
              <w:pStyle w:val="TableText"/>
              <w:ind w:left="57" w:right="57"/>
              <w:jc w:val="right"/>
              <w:rPr>
                <w:b/>
                <w:bCs/>
                <w:lang w:val="en-GB"/>
              </w:rPr>
            </w:pPr>
            <w:r w:rsidRPr="00EF61EC">
              <w:rPr>
                <w:b/>
                <w:bCs/>
              </w:rPr>
              <w:t xml:space="preserve">Percentage of total </w:t>
            </w:r>
            <w:r w:rsidRPr="00EF61EC">
              <w:rPr>
                <w:b/>
                <w:bCs/>
              </w:rPr>
              <w:br/>
              <w:t>other staff</w:t>
            </w:r>
          </w:p>
        </w:tc>
      </w:tr>
      <w:tr w:rsidR="00EF61EC" w14:paraId="469B1666" w14:textId="77777777" w:rsidTr="00A66B6E">
        <w:trPr>
          <w:trHeight w:val="344"/>
        </w:trPr>
        <w:tc>
          <w:tcPr>
            <w:tcW w:w="3254" w:type="dxa"/>
            <w:tcBorders>
              <w:top w:val="single" w:sz="4" w:space="0" w:color="A6A6A6" w:themeColor="background1" w:themeShade="A6"/>
              <w:left w:val="nil"/>
              <w:bottom w:val="single" w:sz="4" w:space="0" w:color="A6A6A6" w:themeColor="background1" w:themeShade="A6"/>
              <w:right w:val="nil"/>
            </w:tcBorders>
            <w:hideMark/>
          </w:tcPr>
          <w:p w14:paraId="792D973D" w14:textId="288CF0B2" w:rsidR="00EF61EC" w:rsidRDefault="00EF61EC" w:rsidP="00EF61EC">
            <w:pPr>
              <w:pStyle w:val="TableText"/>
              <w:ind w:left="57" w:right="57"/>
              <w:rPr>
                <w:lang w:val="en-GB"/>
              </w:rPr>
            </w:pPr>
            <w:r w:rsidRPr="005F4174">
              <w:t>European</w:t>
            </w:r>
          </w:p>
        </w:tc>
        <w:tc>
          <w:tcPr>
            <w:tcW w:w="1984" w:type="dxa"/>
            <w:tcBorders>
              <w:top w:val="single" w:sz="4" w:space="0" w:color="A6A6A6" w:themeColor="background1" w:themeShade="A6"/>
              <w:left w:val="nil"/>
              <w:bottom w:val="single" w:sz="4" w:space="0" w:color="A6A6A6" w:themeColor="background1" w:themeShade="A6"/>
              <w:right w:val="nil"/>
            </w:tcBorders>
            <w:hideMark/>
          </w:tcPr>
          <w:p w14:paraId="650FEC2E" w14:textId="4F8F7BA3" w:rsidR="00EF61EC" w:rsidRPr="00EF61EC" w:rsidRDefault="00EF61EC" w:rsidP="00EF61EC">
            <w:pPr>
              <w:pStyle w:val="TableText"/>
              <w:ind w:right="57"/>
              <w:jc w:val="right"/>
            </w:pPr>
            <w:r w:rsidRPr="00EF61EC">
              <w:t>76.8%</w:t>
            </w:r>
          </w:p>
        </w:tc>
        <w:tc>
          <w:tcPr>
            <w:tcW w:w="2691" w:type="dxa"/>
            <w:tcBorders>
              <w:top w:val="single" w:sz="4" w:space="0" w:color="A6A6A6" w:themeColor="background1" w:themeShade="A6"/>
              <w:left w:val="nil"/>
              <w:bottom w:val="single" w:sz="4" w:space="0" w:color="A6A6A6" w:themeColor="background1" w:themeShade="A6"/>
              <w:right w:val="nil"/>
            </w:tcBorders>
            <w:hideMark/>
          </w:tcPr>
          <w:p w14:paraId="2EE485A4" w14:textId="2D210BA9" w:rsidR="00EF61EC" w:rsidRPr="00EF61EC" w:rsidRDefault="00EF61EC" w:rsidP="00EF61EC">
            <w:pPr>
              <w:pStyle w:val="TableText"/>
              <w:ind w:right="57"/>
              <w:jc w:val="right"/>
            </w:pPr>
            <w:r w:rsidRPr="00EF61EC">
              <w:t>74.2%</w:t>
            </w:r>
          </w:p>
        </w:tc>
      </w:tr>
      <w:tr w:rsidR="00EF61EC" w14:paraId="75157654" w14:textId="77777777" w:rsidTr="00A66B6E">
        <w:trPr>
          <w:trHeight w:val="344"/>
        </w:trPr>
        <w:tc>
          <w:tcPr>
            <w:tcW w:w="3254" w:type="dxa"/>
            <w:tcBorders>
              <w:top w:val="single" w:sz="4" w:space="0" w:color="A6A6A6" w:themeColor="background1" w:themeShade="A6"/>
              <w:left w:val="nil"/>
              <w:bottom w:val="single" w:sz="4" w:space="0" w:color="A6A6A6" w:themeColor="background1" w:themeShade="A6"/>
              <w:right w:val="nil"/>
            </w:tcBorders>
            <w:hideMark/>
          </w:tcPr>
          <w:p w14:paraId="46B7265D" w14:textId="4943EF87" w:rsidR="00EF61EC" w:rsidRDefault="00EF61EC" w:rsidP="00EF61EC">
            <w:pPr>
              <w:pStyle w:val="TableText"/>
              <w:ind w:left="57" w:right="57"/>
              <w:rPr>
                <w:lang w:val="en-GB"/>
              </w:rPr>
            </w:pPr>
            <w:r w:rsidRPr="005F4174">
              <w:t>Māori</w:t>
            </w:r>
          </w:p>
        </w:tc>
        <w:tc>
          <w:tcPr>
            <w:tcW w:w="1984" w:type="dxa"/>
            <w:tcBorders>
              <w:top w:val="single" w:sz="4" w:space="0" w:color="A6A6A6" w:themeColor="background1" w:themeShade="A6"/>
              <w:left w:val="nil"/>
              <w:bottom w:val="single" w:sz="4" w:space="0" w:color="A6A6A6" w:themeColor="background1" w:themeShade="A6"/>
              <w:right w:val="nil"/>
            </w:tcBorders>
            <w:hideMark/>
          </w:tcPr>
          <w:p w14:paraId="7B47996B" w14:textId="2AA7777F" w:rsidR="00EF61EC" w:rsidRPr="00EF61EC" w:rsidRDefault="00EF61EC" w:rsidP="00EF61EC">
            <w:pPr>
              <w:pStyle w:val="TableText"/>
              <w:ind w:right="57"/>
              <w:jc w:val="right"/>
            </w:pPr>
            <w:r w:rsidRPr="00EF61EC">
              <w:t>19.6%</w:t>
            </w:r>
          </w:p>
        </w:tc>
        <w:tc>
          <w:tcPr>
            <w:tcW w:w="2691" w:type="dxa"/>
            <w:tcBorders>
              <w:top w:val="single" w:sz="4" w:space="0" w:color="A6A6A6" w:themeColor="background1" w:themeShade="A6"/>
              <w:left w:val="nil"/>
              <w:bottom w:val="single" w:sz="4" w:space="0" w:color="A6A6A6" w:themeColor="background1" w:themeShade="A6"/>
              <w:right w:val="nil"/>
            </w:tcBorders>
            <w:hideMark/>
          </w:tcPr>
          <w:p w14:paraId="04D5A3B2" w14:textId="1A64D5EB" w:rsidR="00EF61EC" w:rsidRPr="00EF61EC" w:rsidRDefault="00EF61EC" w:rsidP="00EF61EC">
            <w:pPr>
              <w:pStyle w:val="TableText"/>
              <w:ind w:right="57"/>
              <w:jc w:val="right"/>
            </w:pPr>
            <w:r w:rsidRPr="00EF61EC">
              <w:t>10.6%</w:t>
            </w:r>
          </w:p>
        </w:tc>
      </w:tr>
      <w:tr w:rsidR="00EF61EC" w14:paraId="4BDBCB5F" w14:textId="77777777" w:rsidTr="00A66B6E">
        <w:trPr>
          <w:trHeight w:val="344"/>
        </w:trPr>
        <w:tc>
          <w:tcPr>
            <w:tcW w:w="3254" w:type="dxa"/>
            <w:tcBorders>
              <w:top w:val="single" w:sz="4" w:space="0" w:color="A6A6A6" w:themeColor="background1" w:themeShade="A6"/>
              <w:left w:val="nil"/>
              <w:bottom w:val="single" w:sz="4" w:space="0" w:color="A6A6A6" w:themeColor="background1" w:themeShade="A6"/>
              <w:right w:val="nil"/>
            </w:tcBorders>
          </w:tcPr>
          <w:p w14:paraId="08A70DAA" w14:textId="4E48EC74" w:rsidR="00EF61EC" w:rsidRDefault="00EF61EC" w:rsidP="00EF61EC">
            <w:pPr>
              <w:pStyle w:val="TableText"/>
              <w:ind w:left="57" w:right="57"/>
              <w:rPr>
                <w:lang w:val="en-GB"/>
              </w:rPr>
            </w:pPr>
            <w:r w:rsidRPr="005F4174">
              <w:t>Pacific peoples</w:t>
            </w:r>
          </w:p>
        </w:tc>
        <w:tc>
          <w:tcPr>
            <w:tcW w:w="1984" w:type="dxa"/>
            <w:tcBorders>
              <w:top w:val="single" w:sz="4" w:space="0" w:color="A6A6A6" w:themeColor="background1" w:themeShade="A6"/>
              <w:left w:val="nil"/>
              <w:bottom w:val="single" w:sz="4" w:space="0" w:color="A6A6A6" w:themeColor="background1" w:themeShade="A6"/>
              <w:right w:val="nil"/>
            </w:tcBorders>
          </w:tcPr>
          <w:p w14:paraId="0BC3E3EA" w14:textId="296F5271" w:rsidR="00EF61EC" w:rsidRPr="00EF61EC" w:rsidRDefault="00EF61EC" w:rsidP="00EF61EC">
            <w:pPr>
              <w:pStyle w:val="TableText"/>
              <w:ind w:right="57"/>
              <w:jc w:val="right"/>
            </w:pPr>
            <w:r w:rsidRPr="00EF61EC">
              <w:t>3.6%</w:t>
            </w:r>
          </w:p>
        </w:tc>
        <w:tc>
          <w:tcPr>
            <w:tcW w:w="2691" w:type="dxa"/>
            <w:tcBorders>
              <w:top w:val="single" w:sz="4" w:space="0" w:color="A6A6A6" w:themeColor="background1" w:themeShade="A6"/>
              <w:left w:val="nil"/>
              <w:bottom w:val="single" w:sz="4" w:space="0" w:color="A6A6A6" w:themeColor="background1" w:themeShade="A6"/>
              <w:right w:val="nil"/>
            </w:tcBorders>
          </w:tcPr>
          <w:p w14:paraId="750B417A" w14:textId="2EBA8A20" w:rsidR="00EF61EC" w:rsidRPr="00EF61EC" w:rsidRDefault="00EF61EC" w:rsidP="00EF61EC">
            <w:pPr>
              <w:pStyle w:val="TableText"/>
              <w:ind w:right="57"/>
              <w:jc w:val="right"/>
            </w:pPr>
            <w:r w:rsidRPr="00EF61EC">
              <w:t>6.3%</w:t>
            </w:r>
          </w:p>
        </w:tc>
      </w:tr>
      <w:tr w:rsidR="00EF61EC" w14:paraId="1E726282" w14:textId="77777777" w:rsidTr="00A66B6E">
        <w:trPr>
          <w:trHeight w:val="344"/>
        </w:trPr>
        <w:tc>
          <w:tcPr>
            <w:tcW w:w="3254" w:type="dxa"/>
            <w:tcBorders>
              <w:top w:val="single" w:sz="4" w:space="0" w:color="A6A6A6" w:themeColor="background1" w:themeShade="A6"/>
              <w:left w:val="nil"/>
              <w:bottom w:val="single" w:sz="4" w:space="0" w:color="A6A6A6" w:themeColor="background1" w:themeShade="A6"/>
              <w:right w:val="nil"/>
            </w:tcBorders>
          </w:tcPr>
          <w:p w14:paraId="03E8B725" w14:textId="5EA3F2E2" w:rsidR="00EF61EC" w:rsidRDefault="00EF61EC" w:rsidP="00EF61EC">
            <w:pPr>
              <w:pStyle w:val="TableText"/>
              <w:ind w:left="57" w:right="57"/>
              <w:rPr>
                <w:lang w:val="en-GB"/>
              </w:rPr>
            </w:pPr>
            <w:r w:rsidRPr="005F4174">
              <w:t>Asian</w:t>
            </w:r>
          </w:p>
        </w:tc>
        <w:tc>
          <w:tcPr>
            <w:tcW w:w="1984" w:type="dxa"/>
            <w:tcBorders>
              <w:top w:val="single" w:sz="4" w:space="0" w:color="A6A6A6" w:themeColor="background1" w:themeShade="A6"/>
              <w:left w:val="nil"/>
              <w:bottom w:val="single" w:sz="4" w:space="0" w:color="A6A6A6" w:themeColor="background1" w:themeShade="A6"/>
              <w:right w:val="nil"/>
            </w:tcBorders>
          </w:tcPr>
          <w:p w14:paraId="11C6B0EE" w14:textId="4551B5A2" w:rsidR="00EF61EC" w:rsidRPr="00EF61EC" w:rsidRDefault="00EF61EC" w:rsidP="00EF61EC">
            <w:pPr>
              <w:pStyle w:val="TableText"/>
              <w:ind w:right="57"/>
              <w:jc w:val="right"/>
            </w:pPr>
            <w:r w:rsidRPr="00EF61EC">
              <w:t>3.6%</w:t>
            </w:r>
          </w:p>
        </w:tc>
        <w:tc>
          <w:tcPr>
            <w:tcW w:w="2691" w:type="dxa"/>
            <w:tcBorders>
              <w:top w:val="single" w:sz="4" w:space="0" w:color="A6A6A6" w:themeColor="background1" w:themeShade="A6"/>
              <w:left w:val="nil"/>
              <w:bottom w:val="single" w:sz="4" w:space="0" w:color="A6A6A6" w:themeColor="background1" w:themeShade="A6"/>
              <w:right w:val="nil"/>
            </w:tcBorders>
          </w:tcPr>
          <w:p w14:paraId="0E7E4D91" w14:textId="6AB1D0AE" w:rsidR="00EF61EC" w:rsidRPr="00EF61EC" w:rsidRDefault="00EF61EC" w:rsidP="00EF61EC">
            <w:pPr>
              <w:pStyle w:val="TableText"/>
              <w:ind w:right="57"/>
              <w:jc w:val="right"/>
            </w:pPr>
            <w:r w:rsidRPr="00EF61EC">
              <w:t>14.1%</w:t>
            </w:r>
          </w:p>
        </w:tc>
      </w:tr>
      <w:tr w:rsidR="00EF61EC" w14:paraId="7FDA2C09" w14:textId="77777777" w:rsidTr="00A66B6E">
        <w:trPr>
          <w:trHeight w:val="344"/>
        </w:trPr>
        <w:tc>
          <w:tcPr>
            <w:tcW w:w="3254" w:type="dxa"/>
            <w:tcBorders>
              <w:top w:val="single" w:sz="4" w:space="0" w:color="A6A6A6" w:themeColor="background1" w:themeShade="A6"/>
              <w:left w:val="nil"/>
              <w:bottom w:val="single" w:sz="4" w:space="0" w:color="A6A6A6" w:themeColor="background1" w:themeShade="A6"/>
              <w:right w:val="nil"/>
            </w:tcBorders>
          </w:tcPr>
          <w:p w14:paraId="5A7B93B8" w14:textId="52A9B2A6" w:rsidR="00EF61EC" w:rsidRDefault="00EF61EC" w:rsidP="00EF61EC">
            <w:pPr>
              <w:pStyle w:val="TableText"/>
              <w:ind w:left="57" w:right="57"/>
              <w:rPr>
                <w:lang w:val="en-GB"/>
              </w:rPr>
            </w:pPr>
            <w:r w:rsidRPr="005F4174">
              <w:t>Middle Eastern, Latin American, African</w:t>
            </w:r>
          </w:p>
        </w:tc>
        <w:tc>
          <w:tcPr>
            <w:tcW w:w="1984" w:type="dxa"/>
            <w:tcBorders>
              <w:top w:val="single" w:sz="4" w:space="0" w:color="A6A6A6" w:themeColor="background1" w:themeShade="A6"/>
              <w:left w:val="nil"/>
              <w:bottom w:val="single" w:sz="4" w:space="0" w:color="A6A6A6" w:themeColor="background1" w:themeShade="A6"/>
              <w:right w:val="nil"/>
            </w:tcBorders>
          </w:tcPr>
          <w:p w14:paraId="51DEEF41" w14:textId="429F9254" w:rsidR="00EF61EC" w:rsidRPr="00EF61EC" w:rsidRDefault="00EF61EC" w:rsidP="00EF61EC">
            <w:pPr>
              <w:pStyle w:val="TableText"/>
              <w:ind w:right="57"/>
              <w:jc w:val="right"/>
            </w:pPr>
            <w:r w:rsidRPr="00EF61EC">
              <w:t>0.0%</w:t>
            </w:r>
          </w:p>
        </w:tc>
        <w:tc>
          <w:tcPr>
            <w:tcW w:w="2691" w:type="dxa"/>
            <w:tcBorders>
              <w:top w:val="single" w:sz="4" w:space="0" w:color="A6A6A6" w:themeColor="background1" w:themeShade="A6"/>
              <w:left w:val="nil"/>
              <w:bottom w:val="single" w:sz="4" w:space="0" w:color="A6A6A6" w:themeColor="background1" w:themeShade="A6"/>
              <w:right w:val="nil"/>
            </w:tcBorders>
          </w:tcPr>
          <w:p w14:paraId="708D82A7" w14:textId="7EBD88AA" w:rsidR="00EF61EC" w:rsidRPr="00EF61EC" w:rsidRDefault="00EF61EC" w:rsidP="00EF61EC">
            <w:pPr>
              <w:pStyle w:val="TableText"/>
              <w:ind w:right="57"/>
              <w:jc w:val="right"/>
            </w:pPr>
            <w:r w:rsidRPr="00EF61EC">
              <w:t>2.0%</w:t>
            </w:r>
          </w:p>
        </w:tc>
      </w:tr>
      <w:tr w:rsidR="00EF61EC" w14:paraId="2B9E52B0" w14:textId="77777777" w:rsidTr="00A66B6E">
        <w:trPr>
          <w:trHeight w:val="344"/>
        </w:trPr>
        <w:tc>
          <w:tcPr>
            <w:tcW w:w="3254" w:type="dxa"/>
            <w:tcBorders>
              <w:top w:val="single" w:sz="4" w:space="0" w:color="A6A6A6" w:themeColor="background1" w:themeShade="A6"/>
              <w:left w:val="nil"/>
              <w:bottom w:val="single" w:sz="4" w:space="0" w:color="A6A6A6" w:themeColor="background1" w:themeShade="A6"/>
              <w:right w:val="nil"/>
            </w:tcBorders>
          </w:tcPr>
          <w:p w14:paraId="5B9ACF62" w14:textId="53376F62" w:rsidR="00EF61EC" w:rsidRDefault="00EF61EC" w:rsidP="00EF61EC">
            <w:pPr>
              <w:pStyle w:val="TableText"/>
              <w:ind w:left="57" w:right="57"/>
              <w:rPr>
                <w:lang w:val="en-GB"/>
              </w:rPr>
            </w:pPr>
            <w:r w:rsidRPr="005F4174">
              <w:t>Other</w:t>
            </w:r>
          </w:p>
        </w:tc>
        <w:tc>
          <w:tcPr>
            <w:tcW w:w="1984" w:type="dxa"/>
            <w:tcBorders>
              <w:top w:val="single" w:sz="4" w:space="0" w:color="A6A6A6" w:themeColor="background1" w:themeShade="A6"/>
              <w:left w:val="nil"/>
              <w:bottom w:val="single" w:sz="4" w:space="0" w:color="A6A6A6" w:themeColor="background1" w:themeShade="A6"/>
              <w:right w:val="nil"/>
            </w:tcBorders>
          </w:tcPr>
          <w:p w14:paraId="5D12B6E5" w14:textId="4830CE07" w:rsidR="00EF61EC" w:rsidRPr="00EF61EC" w:rsidRDefault="00EF61EC" w:rsidP="00EF61EC">
            <w:pPr>
              <w:pStyle w:val="TableText"/>
              <w:ind w:right="57"/>
              <w:jc w:val="right"/>
            </w:pPr>
            <w:r w:rsidRPr="00EF61EC">
              <w:t>3.6%</w:t>
            </w:r>
          </w:p>
        </w:tc>
        <w:tc>
          <w:tcPr>
            <w:tcW w:w="2691" w:type="dxa"/>
            <w:tcBorders>
              <w:top w:val="single" w:sz="4" w:space="0" w:color="A6A6A6" w:themeColor="background1" w:themeShade="A6"/>
              <w:left w:val="nil"/>
              <w:bottom w:val="single" w:sz="4" w:space="0" w:color="A6A6A6" w:themeColor="background1" w:themeShade="A6"/>
              <w:right w:val="nil"/>
            </w:tcBorders>
          </w:tcPr>
          <w:p w14:paraId="31FF564B" w14:textId="135CCE85" w:rsidR="00EF61EC" w:rsidRPr="00EF61EC" w:rsidRDefault="00EF61EC" w:rsidP="00EF61EC">
            <w:pPr>
              <w:pStyle w:val="TableText"/>
              <w:ind w:right="57"/>
              <w:jc w:val="right"/>
            </w:pPr>
            <w:r w:rsidRPr="00EF61EC">
              <w:t>2.0%</w:t>
            </w:r>
          </w:p>
        </w:tc>
      </w:tr>
    </w:tbl>
    <w:p w14:paraId="19F229EC" w14:textId="2416B6C3" w:rsidR="00AE2C86" w:rsidRDefault="00AE2C86" w:rsidP="00A66B6E">
      <w:pPr>
        <w:pStyle w:val="Note"/>
        <w:ind w:left="426" w:hanging="426"/>
      </w:pPr>
    </w:p>
    <w:p w14:paraId="166E23B8" w14:textId="77777777" w:rsidR="00AE2C86" w:rsidRPr="00AE2C86" w:rsidRDefault="00AE2C86" w:rsidP="00AE2C86"/>
    <w:tbl>
      <w:tblPr>
        <w:tblW w:w="8073" w:type="dxa"/>
        <w:tblInd w:w="7" w:type="dxa"/>
        <w:tblLayout w:type="fixed"/>
        <w:tblCellMar>
          <w:left w:w="0" w:type="dxa"/>
          <w:right w:w="0" w:type="dxa"/>
        </w:tblCellMar>
        <w:tblLook w:val="01E0" w:firstRow="1" w:lastRow="1" w:firstColumn="1" w:lastColumn="1" w:noHBand="0" w:noVBand="0"/>
      </w:tblPr>
      <w:tblGrid>
        <w:gridCol w:w="1978"/>
        <w:gridCol w:w="1523"/>
        <w:gridCol w:w="1524"/>
        <w:gridCol w:w="1524"/>
        <w:gridCol w:w="1524"/>
      </w:tblGrid>
      <w:tr w:rsidR="00AE2C86" w14:paraId="6249289A" w14:textId="77777777" w:rsidTr="00AE2C86">
        <w:trPr>
          <w:trHeight w:val="369"/>
        </w:trPr>
        <w:tc>
          <w:tcPr>
            <w:tcW w:w="8070" w:type="dxa"/>
            <w:gridSpan w:val="5"/>
            <w:shd w:val="clear" w:color="auto" w:fill="D9D9D9" w:themeFill="background1" w:themeFillShade="D9"/>
            <w:hideMark/>
          </w:tcPr>
          <w:p w14:paraId="670C69F1" w14:textId="77777777" w:rsidR="00AE2C86" w:rsidRDefault="00AE2C86" w:rsidP="00277DE3">
            <w:pPr>
              <w:pStyle w:val="TableText"/>
              <w:ind w:left="57"/>
              <w:rPr>
                <w:b/>
                <w:bCs/>
              </w:rPr>
            </w:pPr>
            <w:r>
              <w:rPr>
                <w:b/>
                <w:bCs/>
              </w:rPr>
              <w:t>Age group by gender</w:t>
            </w:r>
          </w:p>
        </w:tc>
      </w:tr>
      <w:tr w:rsidR="00AE2C86" w:rsidRPr="00AE2C86" w14:paraId="54F94755" w14:textId="77777777" w:rsidTr="00AE2C86">
        <w:trPr>
          <w:trHeight w:val="351"/>
        </w:trPr>
        <w:tc>
          <w:tcPr>
            <w:tcW w:w="1978" w:type="dxa"/>
            <w:tcBorders>
              <w:top w:val="nil"/>
              <w:left w:val="nil"/>
              <w:bottom w:val="single" w:sz="4" w:space="0" w:color="A6A6A6" w:themeColor="background1" w:themeShade="A6"/>
              <w:right w:val="nil"/>
            </w:tcBorders>
            <w:shd w:val="clear" w:color="auto" w:fill="F2F2F2" w:themeFill="background1" w:themeFillShade="F2"/>
          </w:tcPr>
          <w:p w14:paraId="2BA784EC" w14:textId="4D659EFB" w:rsidR="00AE2C86" w:rsidRPr="00AE2C86" w:rsidRDefault="00AE2C86" w:rsidP="00AE2C86">
            <w:pPr>
              <w:pStyle w:val="TableText"/>
              <w:ind w:left="57" w:right="57"/>
              <w:rPr>
                <w:b/>
                <w:bCs/>
              </w:rPr>
            </w:pPr>
            <w:r w:rsidRPr="00AE2C86">
              <w:rPr>
                <w:b/>
                <w:bCs/>
              </w:rPr>
              <w:t>Ethnicity</w:t>
            </w:r>
          </w:p>
        </w:tc>
        <w:tc>
          <w:tcPr>
            <w:tcW w:w="1523" w:type="dxa"/>
            <w:tcBorders>
              <w:top w:val="nil"/>
              <w:left w:val="nil"/>
              <w:bottom w:val="single" w:sz="4" w:space="0" w:color="A6A6A6" w:themeColor="background1" w:themeShade="A6"/>
              <w:right w:val="nil"/>
            </w:tcBorders>
            <w:shd w:val="clear" w:color="auto" w:fill="F2F2F2" w:themeFill="background1" w:themeFillShade="F2"/>
            <w:hideMark/>
          </w:tcPr>
          <w:p w14:paraId="54A31791" w14:textId="291F9977" w:rsidR="00AE2C86" w:rsidRPr="00AE2C86" w:rsidRDefault="00AE2C86" w:rsidP="00AE2C86">
            <w:pPr>
              <w:pStyle w:val="TableText"/>
              <w:ind w:right="57"/>
              <w:jc w:val="right"/>
              <w:rPr>
                <w:b/>
                <w:bCs/>
              </w:rPr>
            </w:pPr>
            <w:r w:rsidRPr="00AE2C86">
              <w:rPr>
                <w:b/>
                <w:bCs/>
              </w:rPr>
              <w:t>2021</w:t>
            </w:r>
          </w:p>
        </w:tc>
        <w:tc>
          <w:tcPr>
            <w:tcW w:w="1524" w:type="dxa"/>
            <w:tcBorders>
              <w:top w:val="nil"/>
              <w:left w:val="nil"/>
              <w:bottom w:val="single" w:sz="4" w:space="0" w:color="A6A6A6" w:themeColor="background1" w:themeShade="A6"/>
              <w:right w:val="nil"/>
            </w:tcBorders>
            <w:shd w:val="clear" w:color="auto" w:fill="F2F2F2" w:themeFill="background1" w:themeFillShade="F2"/>
          </w:tcPr>
          <w:p w14:paraId="30B45230" w14:textId="3C4F3130" w:rsidR="00AE2C86" w:rsidRPr="00AE2C86" w:rsidRDefault="00AE2C86" w:rsidP="00AE2C86">
            <w:pPr>
              <w:pStyle w:val="TableText"/>
              <w:ind w:right="57"/>
              <w:jc w:val="right"/>
              <w:rPr>
                <w:b/>
                <w:bCs/>
              </w:rPr>
            </w:pPr>
            <w:r w:rsidRPr="00AE2C86">
              <w:rPr>
                <w:b/>
                <w:bCs/>
              </w:rPr>
              <w:t>2022</w:t>
            </w:r>
          </w:p>
        </w:tc>
        <w:tc>
          <w:tcPr>
            <w:tcW w:w="1524" w:type="dxa"/>
            <w:tcBorders>
              <w:top w:val="nil"/>
              <w:left w:val="nil"/>
              <w:bottom w:val="single" w:sz="4" w:space="0" w:color="A6A6A6" w:themeColor="background1" w:themeShade="A6"/>
              <w:right w:val="nil"/>
            </w:tcBorders>
            <w:shd w:val="clear" w:color="auto" w:fill="F2F2F2" w:themeFill="background1" w:themeFillShade="F2"/>
            <w:hideMark/>
          </w:tcPr>
          <w:p w14:paraId="0FCBFA9C" w14:textId="4B700C8F" w:rsidR="00AE2C86" w:rsidRPr="00AE2C86" w:rsidRDefault="00AE2C86" w:rsidP="00AE2C86">
            <w:pPr>
              <w:pStyle w:val="TableText"/>
              <w:ind w:right="57"/>
              <w:jc w:val="right"/>
              <w:rPr>
                <w:b/>
                <w:bCs/>
              </w:rPr>
            </w:pPr>
            <w:r w:rsidRPr="00AE2C86">
              <w:rPr>
                <w:b/>
                <w:bCs/>
              </w:rPr>
              <w:t>2023</w:t>
            </w:r>
          </w:p>
        </w:tc>
        <w:tc>
          <w:tcPr>
            <w:tcW w:w="1524" w:type="dxa"/>
            <w:tcBorders>
              <w:top w:val="nil"/>
              <w:left w:val="nil"/>
              <w:bottom w:val="single" w:sz="4" w:space="0" w:color="A6A6A6" w:themeColor="background1" w:themeShade="A6"/>
              <w:right w:val="nil"/>
            </w:tcBorders>
            <w:shd w:val="clear" w:color="auto" w:fill="F2F2F2" w:themeFill="background1" w:themeFillShade="F2"/>
            <w:hideMark/>
          </w:tcPr>
          <w:p w14:paraId="1F59D97D" w14:textId="765A1E67" w:rsidR="00AE2C86" w:rsidRPr="00AE2C86" w:rsidRDefault="00AE2C86" w:rsidP="00AE2C86">
            <w:pPr>
              <w:pStyle w:val="TableText"/>
              <w:ind w:right="57"/>
              <w:jc w:val="right"/>
              <w:rPr>
                <w:b/>
                <w:bCs/>
              </w:rPr>
            </w:pPr>
            <w:r w:rsidRPr="00AE2C86">
              <w:rPr>
                <w:b/>
                <w:bCs/>
              </w:rPr>
              <w:t>2024</w:t>
            </w:r>
          </w:p>
        </w:tc>
      </w:tr>
      <w:tr w:rsidR="00AE2C86" w14:paraId="4DEDD1B0" w14:textId="77777777" w:rsidTr="00AE2C86">
        <w:trPr>
          <w:trHeight w:val="344"/>
        </w:trPr>
        <w:tc>
          <w:tcPr>
            <w:tcW w:w="1978" w:type="dxa"/>
            <w:tcBorders>
              <w:top w:val="single" w:sz="4" w:space="0" w:color="A6A6A6" w:themeColor="background1" w:themeShade="A6"/>
              <w:left w:val="nil"/>
              <w:bottom w:val="single" w:sz="4" w:space="0" w:color="A6A6A6" w:themeColor="background1" w:themeShade="A6"/>
              <w:right w:val="nil"/>
            </w:tcBorders>
            <w:hideMark/>
          </w:tcPr>
          <w:p w14:paraId="7A32672F" w14:textId="03CC273C" w:rsidR="00AE2C86" w:rsidRPr="00A71D99" w:rsidRDefault="00AE2C86" w:rsidP="00AE2C86">
            <w:pPr>
              <w:pStyle w:val="TableText"/>
              <w:ind w:left="57" w:right="57"/>
            </w:pPr>
            <w:r w:rsidRPr="00AE2C86">
              <w:t>European</w:t>
            </w:r>
          </w:p>
        </w:tc>
        <w:tc>
          <w:tcPr>
            <w:tcW w:w="1523" w:type="dxa"/>
            <w:tcBorders>
              <w:top w:val="single" w:sz="4" w:space="0" w:color="A6A6A6" w:themeColor="background1" w:themeShade="A6"/>
              <w:left w:val="nil"/>
              <w:bottom w:val="single" w:sz="4" w:space="0" w:color="A6A6A6" w:themeColor="background1" w:themeShade="A6"/>
              <w:right w:val="nil"/>
            </w:tcBorders>
            <w:hideMark/>
          </w:tcPr>
          <w:p w14:paraId="7AAD7812" w14:textId="76B34257" w:rsidR="00AE2C86" w:rsidRPr="00A71D99" w:rsidRDefault="00AE2C86" w:rsidP="00AE2C86">
            <w:pPr>
              <w:pStyle w:val="TableText"/>
              <w:ind w:right="57"/>
              <w:jc w:val="right"/>
            </w:pPr>
            <w:r w:rsidRPr="00AE2C86">
              <w:t>–13.8%</w:t>
            </w:r>
          </w:p>
        </w:tc>
        <w:tc>
          <w:tcPr>
            <w:tcW w:w="1524" w:type="dxa"/>
            <w:tcBorders>
              <w:top w:val="single" w:sz="4" w:space="0" w:color="A6A6A6" w:themeColor="background1" w:themeShade="A6"/>
              <w:left w:val="nil"/>
              <w:bottom w:val="single" w:sz="4" w:space="0" w:color="A6A6A6" w:themeColor="background1" w:themeShade="A6"/>
              <w:right w:val="nil"/>
            </w:tcBorders>
          </w:tcPr>
          <w:p w14:paraId="73AA7E4B" w14:textId="560503F5" w:rsidR="00AE2C86" w:rsidRPr="00A71D99" w:rsidRDefault="00AE2C86" w:rsidP="00AE2C86">
            <w:pPr>
              <w:pStyle w:val="TableText"/>
              <w:ind w:right="57"/>
              <w:jc w:val="right"/>
            </w:pPr>
            <w:r w:rsidRPr="00AE2C86">
              <w:t>–8.4%</w:t>
            </w:r>
          </w:p>
        </w:tc>
        <w:tc>
          <w:tcPr>
            <w:tcW w:w="1524" w:type="dxa"/>
            <w:tcBorders>
              <w:top w:val="single" w:sz="4" w:space="0" w:color="A6A6A6" w:themeColor="background1" w:themeShade="A6"/>
              <w:left w:val="nil"/>
              <w:bottom w:val="single" w:sz="4" w:space="0" w:color="A6A6A6" w:themeColor="background1" w:themeShade="A6"/>
              <w:right w:val="nil"/>
            </w:tcBorders>
            <w:hideMark/>
          </w:tcPr>
          <w:p w14:paraId="6BE4506F" w14:textId="5295110D" w:rsidR="00AE2C86" w:rsidRPr="00A71D99" w:rsidRDefault="00AE2C86" w:rsidP="00AE2C86">
            <w:pPr>
              <w:pStyle w:val="TableText"/>
              <w:ind w:right="57"/>
              <w:jc w:val="right"/>
            </w:pPr>
            <w:r w:rsidRPr="00AE2C86">
              <w:t>–9.5%</w:t>
            </w:r>
          </w:p>
        </w:tc>
        <w:tc>
          <w:tcPr>
            <w:tcW w:w="1524" w:type="dxa"/>
            <w:tcBorders>
              <w:top w:val="single" w:sz="4" w:space="0" w:color="A6A6A6" w:themeColor="background1" w:themeShade="A6"/>
              <w:left w:val="nil"/>
              <w:bottom w:val="single" w:sz="4" w:space="0" w:color="A6A6A6" w:themeColor="background1" w:themeShade="A6"/>
              <w:right w:val="nil"/>
            </w:tcBorders>
            <w:hideMark/>
          </w:tcPr>
          <w:p w14:paraId="30EEA2F1" w14:textId="38E2B2A3" w:rsidR="00AE2C86" w:rsidRPr="00A71D99" w:rsidRDefault="00AE2C86" w:rsidP="00AE2C86">
            <w:pPr>
              <w:pStyle w:val="TableText"/>
              <w:ind w:right="57"/>
              <w:jc w:val="right"/>
            </w:pPr>
            <w:r w:rsidRPr="00AE2C86">
              <w:t>–8.7%</w:t>
            </w:r>
          </w:p>
        </w:tc>
      </w:tr>
      <w:tr w:rsidR="00AE2C86" w14:paraId="7FDD4A48" w14:textId="77777777" w:rsidTr="00AE2C86">
        <w:trPr>
          <w:trHeight w:val="344"/>
        </w:trPr>
        <w:tc>
          <w:tcPr>
            <w:tcW w:w="1978" w:type="dxa"/>
            <w:tcBorders>
              <w:top w:val="single" w:sz="4" w:space="0" w:color="A6A6A6" w:themeColor="background1" w:themeShade="A6"/>
              <w:left w:val="nil"/>
              <w:bottom w:val="single" w:sz="4" w:space="0" w:color="A6A6A6" w:themeColor="background1" w:themeShade="A6"/>
              <w:right w:val="nil"/>
            </w:tcBorders>
            <w:hideMark/>
          </w:tcPr>
          <w:p w14:paraId="37923A7C" w14:textId="52835AAD" w:rsidR="00AE2C86" w:rsidRPr="00A71D99" w:rsidRDefault="00AE2C86" w:rsidP="00AE2C86">
            <w:pPr>
              <w:pStyle w:val="TableText"/>
              <w:ind w:left="57" w:right="57"/>
            </w:pPr>
            <w:r w:rsidRPr="00AE2C86">
              <w:t>Māori</w:t>
            </w:r>
          </w:p>
        </w:tc>
        <w:tc>
          <w:tcPr>
            <w:tcW w:w="1523" w:type="dxa"/>
            <w:tcBorders>
              <w:top w:val="single" w:sz="4" w:space="0" w:color="A6A6A6" w:themeColor="background1" w:themeShade="A6"/>
              <w:left w:val="nil"/>
              <w:bottom w:val="single" w:sz="4" w:space="0" w:color="A6A6A6" w:themeColor="background1" w:themeShade="A6"/>
              <w:right w:val="nil"/>
            </w:tcBorders>
            <w:hideMark/>
          </w:tcPr>
          <w:p w14:paraId="7FDA6FF3" w14:textId="22294A21" w:rsidR="00AE2C86" w:rsidRPr="00A71D99" w:rsidRDefault="00AE2C86" w:rsidP="00AE2C86">
            <w:pPr>
              <w:pStyle w:val="TableText"/>
              <w:ind w:right="57"/>
              <w:jc w:val="right"/>
            </w:pPr>
            <w:r w:rsidRPr="00AE2C86">
              <w:t>1.2%</w:t>
            </w:r>
          </w:p>
        </w:tc>
        <w:tc>
          <w:tcPr>
            <w:tcW w:w="1524" w:type="dxa"/>
            <w:tcBorders>
              <w:top w:val="single" w:sz="4" w:space="0" w:color="A6A6A6" w:themeColor="background1" w:themeShade="A6"/>
              <w:left w:val="nil"/>
              <w:bottom w:val="single" w:sz="4" w:space="0" w:color="A6A6A6" w:themeColor="background1" w:themeShade="A6"/>
              <w:right w:val="nil"/>
            </w:tcBorders>
          </w:tcPr>
          <w:p w14:paraId="3E4A5F9C" w14:textId="250D9780" w:rsidR="00AE2C86" w:rsidRPr="00A71D99" w:rsidRDefault="00AE2C86" w:rsidP="00AE2C86">
            <w:pPr>
              <w:pStyle w:val="TableText"/>
              <w:ind w:right="57"/>
              <w:jc w:val="right"/>
            </w:pPr>
            <w:r w:rsidRPr="00AE2C86">
              <w:t>2.5%</w:t>
            </w:r>
          </w:p>
        </w:tc>
        <w:tc>
          <w:tcPr>
            <w:tcW w:w="1524" w:type="dxa"/>
            <w:tcBorders>
              <w:top w:val="single" w:sz="4" w:space="0" w:color="A6A6A6" w:themeColor="background1" w:themeShade="A6"/>
              <w:left w:val="nil"/>
              <w:bottom w:val="single" w:sz="4" w:space="0" w:color="A6A6A6" w:themeColor="background1" w:themeShade="A6"/>
              <w:right w:val="nil"/>
            </w:tcBorders>
            <w:hideMark/>
          </w:tcPr>
          <w:p w14:paraId="7A05B35C" w14:textId="7E1C48E8" w:rsidR="00AE2C86" w:rsidRPr="00A71D99" w:rsidRDefault="00AE2C86" w:rsidP="00AE2C86">
            <w:pPr>
              <w:pStyle w:val="TableText"/>
              <w:ind w:right="57"/>
              <w:jc w:val="right"/>
            </w:pPr>
            <w:r w:rsidRPr="00AE2C86">
              <w:t>3.0%</w:t>
            </w:r>
          </w:p>
        </w:tc>
        <w:tc>
          <w:tcPr>
            <w:tcW w:w="1524" w:type="dxa"/>
            <w:tcBorders>
              <w:top w:val="single" w:sz="4" w:space="0" w:color="A6A6A6" w:themeColor="background1" w:themeShade="A6"/>
              <w:left w:val="nil"/>
              <w:bottom w:val="single" w:sz="4" w:space="0" w:color="A6A6A6" w:themeColor="background1" w:themeShade="A6"/>
              <w:right w:val="nil"/>
            </w:tcBorders>
            <w:hideMark/>
          </w:tcPr>
          <w:p w14:paraId="47BEDAD0" w14:textId="2EB4D0F7" w:rsidR="00AE2C86" w:rsidRPr="00A71D99" w:rsidRDefault="00AE2C86" w:rsidP="00AE2C86">
            <w:pPr>
              <w:pStyle w:val="TableText"/>
              <w:ind w:right="57"/>
              <w:jc w:val="right"/>
            </w:pPr>
            <w:r w:rsidRPr="00AE2C86">
              <w:t>1.6%</w:t>
            </w:r>
          </w:p>
        </w:tc>
      </w:tr>
      <w:tr w:rsidR="00AE2C86" w14:paraId="4C221FEE" w14:textId="77777777" w:rsidTr="00AE2C86">
        <w:trPr>
          <w:trHeight w:val="344"/>
        </w:trPr>
        <w:tc>
          <w:tcPr>
            <w:tcW w:w="1978" w:type="dxa"/>
            <w:tcBorders>
              <w:top w:val="single" w:sz="4" w:space="0" w:color="A6A6A6" w:themeColor="background1" w:themeShade="A6"/>
              <w:left w:val="nil"/>
              <w:bottom w:val="single" w:sz="4" w:space="0" w:color="A6A6A6" w:themeColor="background1" w:themeShade="A6"/>
              <w:right w:val="nil"/>
            </w:tcBorders>
            <w:hideMark/>
          </w:tcPr>
          <w:p w14:paraId="67779B7F" w14:textId="3CEE67B4" w:rsidR="00AE2C86" w:rsidRPr="00A71D99" w:rsidRDefault="00AE2C86" w:rsidP="00AE2C86">
            <w:pPr>
              <w:pStyle w:val="TableText"/>
              <w:ind w:left="57" w:right="57"/>
            </w:pPr>
            <w:r w:rsidRPr="00AE2C86">
              <w:t>Pacific peoples</w:t>
            </w:r>
          </w:p>
        </w:tc>
        <w:tc>
          <w:tcPr>
            <w:tcW w:w="1523" w:type="dxa"/>
            <w:tcBorders>
              <w:top w:val="single" w:sz="4" w:space="0" w:color="A6A6A6" w:themeColor="background1" w:themeShade="A6"/>
              <w:left w:val="nil"/>
              <w:bottom w:val="single" w:sz="4" w:space="0" w:color="A6A6A6" w:themeColor="background1" w:themeShade="A6"/>
              <w:right w:val="nil"/>
            </w:tcBorders>
            <w:hideMark/>
          </w:tcPr>
          <w:p w14:paraId="72955457" w14:textId="122225BE" w:rsidR="00AE2C86" w:rsidRPr="00A71D99" w:rsidRDefault="00AE2C86" w:rsidP="00AE2C86">
            <w:pPr>
              <w:pStyle w:val="TableText"/>
              <w:ind w:right="57"/>
              <w:jc w:val="right"/>
            </w:pPr>
            <w:r w:rsidRPr="00AE2C86">
              <w:t>17.7%</w:t>
            </w:r>
          </w:p>
        </w:tc>
        <w:tc>
          <w:tcPr>
            <w:tcW w:w="1524" w:type="dxa"/>
            <w:tcBorders>
              <w:top w:val="single" w:sz="4" w:space="0" w:color="A6A6A6" w:themeColor="background1" w:themeShade="A6"/>
              <w:left w:val="nil"/>
              <w:bottom w:val="single" w:sz="4" w:space="0" w:color="A6A6A6" w:themeColor="background1" w:themeShade="A6"/>
              <w:right w:val="nil"/>
            </w:tcBorders>
          </w:tcPr>
          <w:p w14:paraId="09F15651" w14:textId="430E9555" w:rsidR="00AE2C86" w:rsidRPr="00A71D99" w:rsidRDefault="00AE2C86" w:rsidP="00AE2C86">
            <w:pPr>
              <w:pStyle w:val="TableText"/>
              <w:ind w:right="57"/>
              <w:jc w:val="right"/>
            </w:pPr>
            <w:r w:rsidRPr="00AE2C86">
              <w:t>12.3%</w:t>
            </w:r>
          </w:p>
        </w:tc>
        <w:tc>
          <w:tcPr>
            <w:tcW w:w="1524" w:type="dxa"/>
            <w:tcBorders>
              <w:top w:val="single" w:sz="4" w:space="0" w:color="A6A6A6" w:themeColor="background1" w:themeShade="A6"/>
              <w:left w:val="nil"/>
              <w:bottom w:val="single" w:sz="4" w:space="0" w:color="A6A6A6" w:themeColor="background1" w:themeShade="A6"/>
              <w:right w:val="nil"/>
            </w:tcBorders>
            <w:hideMark/>
          </w:tcPr>
          <w:p w14:paraId="65D17B73" w14:textId="551AA04A" w:rsidR="00AE2C86" w:rsidRPr="00A71D99" w:rsidRDefault="00AE2C86" w:rsidP="00AE2C86">
            <w:pPr>
              <w:pStyle w:val="TableText"/>
              <w:ind w:right="57"/>
              <w:jc w:val="right"/>
            </w:pPr>
            <w:r w:rsidRPr="00AE2C86">
              <w:t>5.0%</w:t>
            </w:r>
          </w:p>
        </w:tc>
        <w:tc>
          <w:tcPr>
            <w:tcW w:w="1524" w:type="dxa"/>
            <w:tcBorders>
              <w:top w:val="single" w:sz="4" w:space="0" w:color="A6A6A6" w:themeColor="background1" w:themeShade="A6"/>
              <w:left w:val="nil"/>
              <w:bottom w:val="single" w:sz="4" w:space="0" w:color="A6A6A6" w:themeColor="background1" w:themeShade="A6"/>
              <w:right w:val="nil"/>
            </w:tcBorders>
            <w:hideMark/>
          </w:tcPr>
          <w:p w14:paraId="3079CFB5" w14:textId="5E25B0FA" w:rsidR="00AE2C86" w:rsidRPr="00A71D99" w:rsidRDefault="00AE2C86" w:rsidP="00AE2C86">
            <w:pPr>
              <w:pStyle w:val="TableText"/>
              <w:ind w:right="57"/>
              <w:jc w:val="right"/>
            </w:pPr>
            <w:r w:rsidRPr="00AE2C86">
              <w:t>3.9%</w:t>
            </w:r>
          </w:p>
        </w:tc>
      </w:tr>
      <w:tr w:rsidR="00AE2C86" w14:paraId="0D8CB28A" w14:textId="77777777" w:rsidTr="00AE2C86">
        <w:trPr>
          <w:trHeight w:val="344"/>
        </w:trPr>
        <w:tc>
          <w:tcPr>
            <w:tcW w:w="1978" w:type="dxa"/>
            <w:tcBorders>
              <w:top w:val="single" w:sz="4" w:space="0" w:color="A6A6A6" w:themeColor="background1" w:themeShade="A6"/>
              <w:left w:val="nil"/>
              <w:bottom w:val="single" w:sz="4" w:space="0" w:color="A6A6A6" w:themeColor="background1" w:themeShade="A6"/>
              <w:right w:val="nil"/>
            </w:tcBorders>
            <w:hideMark/>
          </w:tcPr>
          <w:p w14:paraId="542FCABF" w14:textId="03E858A8" w:rsidR="00AE2C86" w:rsidRPr="00A71D99" w:rsidRDefault="00AE2C86" w:rsidP="00AE2C86">
            <w:pPr>
              <w:pStyle w:val="TableText"/>
              <w:ind w:left="57" w:right="57"/>
            </w:pPr>
            <w:r w:rsidRPr="00AE2C86">
              <w:t>Middle Eastern, Latin American, African</w:t>
            </w:r>
          </w:p>
        </w:tc>
        <w:tc>
          <w:tcPr>
            <w:tcW w:w="1523" w:type="dxa"/>
            <w:tcBorders>
              <w:top w:val="single" w:sz="4" w:space="0" w:color="A6A6A6" w:themeColor="background1" w:themeShade="A6"/>
              <w:left w:val="nil"/>
              <w:bottom w:val="single" w:sz="4" w:space="0" w:color="A6A6A6" w:themeColor="background1" w:themeShade="A6"/>
              <w:right w:val="nil"/>
            </w:tcBorders>
            <w:hideMark/>
          </w:tcPr>
          <w:p w14:paraId="4881E0B2" w14:textId="57AA9A5E" w:rsidR="00AE2C86" w:rsidRPr="00A71D99" w:rsidRDefault="00AE2C86" w:rsidP="00AE2C86">
            <w:pPr>
              <w:pStyle w:val="TableText"/>
              <w:ind w:right="57"/>
              <w:jc w:val="right"/>
            </w:pPr>
            <w:r w:rsidRPr="00AE2C86">
              <w:t>NA</w:t>
            </w:r>
          </w:p>
        </w:tc>
        <w:tc>
          <w:tcPr>
            <w:tcW w:w="1524" w:type="dxa"/>
            <w:tcBorders>
              <w:top w:val="single" w:sz="4" w:space="0" w:color="A6A6A6" w:themeColor="background1" w:themeShade="A6"/>
              <w:left w:val="nil"/>
              <w:bottom w:val="single" w:sz="4" w:space="0" w:color="A6A6A6" w:themeColor="background1" w:themeShade="A6"/>
              <w:right w:val="nil"/>
            </w:tcBorders>
          </w:tcPr>
          <w:p w14:paraId="4838B07C" w14:textId="46F0DB18" w:rsidR="00AE2C86" w:rsidRPr="00A71D99" w:rsidRDefault="00AE2C86" w:rsidP="00AE2C86">
            <w:pPr>
              <w:pStyle w:val="TableText"/>
              <w:ind w:right="57"/>
              <w:jc w:val="right"/>
            </w:pPr>
            <w:r w:rsidRPr="00AE2C86">
              <w:t>NA</w:t>
            </w:r>
          </w:p>
        </w:tc>
        <w:tc>
          <w:tcPr>
            <w:tcW w:w="1524" w:type="dxa"/>
            <w:tcBorders>
              <w:top w:val="single" w:sz="4" w:space="0" w:color="A6A6A6" w:themeColor="background1" w:themeShade="A6"/>
              <w:left w:val="nil"/>
              <w:bottom w:val="single" w:sz="4" w:space="0" w:color="A6A6A6" w:themeColor="background1" w:themeShade="A6"/>
              <w:right w:val="nil"/>
            </w:tcBorders>
            <w:hideMark/>
          </w:tcPr>
          <w:p w14:paraId="3995E84D" w14:textId="4B42B794" w:rsidR="00AE2C86" w:rsidRPr="00A71D99" w:rsidRDefault="00AE2C86" w:rsidP="00AE2C86">
            <w:pPr>
              <w:pStyle w:val="TableText"/>
              <w:ind w:right="57"/>
              <w:jc w:val="right"/>
            </w:pPr>
            <w:r w:rsidRPr="00AE2C86">
              <w:t>NA</w:t>
            </w:r>
          </w:p>
        </w:tc>
        <w:tc>
          <w:tcPr>
            <w:tcW w:w="1524" w:type="dxa"/>
            <w:tcBorders>
              <w:top w:val="single" w:sz="4" w:space="0" w:color="A6A6A6" w:themeColor="background1" w:themeShade="A6"/>
              <w:left w:val="nil"/>
              <w:bottom w:val="single" w:sz="4" w:space="0" w:color="A6A6A6" w:themeColor="background1" w:themeShade="A6"/>
              <w:right w:val="nil"/>
            </w:tcBorders>
            <w:hideMark/>
          </w:tcPr>
          <w:p w14:paraId="46FDB16E" w14:textId="0A3C334E" w:rsidR="00AE2C86" w:rsidRPr="00A71D99" w:rsidRDefault="00AE2C86" w:rsidP="00AE2C86">
            <w:pPr>
              <w:pStyle w:val="TableText"/>
              <w:ind w:right="57"/>
              <w:jc w:val="right"/>
            </w:pPr>
            <w:r w:rsidRPr="00AE2C86">
              <w:t>NA</w:t>
            </w:r>
          </w:p>
        </w:tc>
      </w:tr>
      <w:tr w:rsidR="00AE2C86" w14:paraId="48561B38" w14:textId="77777777" w:rsidTr="00AE2C86">
        <w:trPr>
          <w:trHeight w:val="344"/>
        </w:trPr>
        <w:tc>
          <w:tcPr>
            <w:tcW w:w="1978" w:type="dxa"/>
            <w:tcBorders>
              <w:top w:val="single" w:sz="4" w:space="0" w:color="A6A6A6" w:themeColor="background1" w:themeShade="A6"/>
              <w:left w:val="nil"/>
              <w:bottom w:val="single" w:sz="4" w:space="0" w:color="A6A6A6" w:themeColor="background1" w:themeShade="A6"/>
              <w:right w:val="nil"/>
            </w:tcBorders>
            <w:hideMark/>
          </w:tcPr>
          <w:p w14:paraId="69AA08FC" w14:textId="19F29BBF" w:rsidR="00AE2C86" w:rsidRPr="00A71D99" w:rsidRDefault="00AE2C86" w:rsidP="00AE2C86">
            <w:pPr>
              <w:pStyle w:val="TableText"/>
              <w:ind w:left="57" w:right="57"/>
            </w:pPr>
            <w:r w:rsidRPr="00AE2C86">
              <w:t>Asian</w:t>
            </w:r>
          </w:p>
        </w:tc>
        <w:tc>
          <w:tcPr>
            <w:tcW w:w="1523" w:type="dxa"/>
            <w:tcBorders>
              <w:top w:val="single" w:sz="4" w:space="0" w:color="A6A6A6" w:themeColor="background1" w:themeShade="A6"/>
              <w:left w:val="nil"/>
              <w:bottom w:val="single" w:sz="4" w:space="0" w:color="A6A6A6" w:themeColor="background1" w:themeShade="A6"/>
              <w:right w:val="nil"/>
            </w:tcBorders>
            <w:hideMark/>
          </w:tcPr>
          <w:p w14:paraId="3B2795DF" w14:textId="3CC8C723" w:rsidR="00AE2C86" w:rsidRPr="00A71D99" w:rsidRDefault="00AE2C86" w:rsidP="00AE2C86">
            <w:pPr>
              <w:pStyle w:val="TableText"/>
              <w:ind w:right="57"/>
              <w:jc w:val="right"/>
            </w:pPr>
            <w:r w:rsidRPr="00AE2C86">
              <w:t>14.2%</w:t>
            </w:r>
          </w:p>
        </w:tc>
        <w:tc>
          <w:tcPr>
            <w:tcW w:w="1524" w:type="dxa"/>
            <w:tcBorders>
              <w:top w:val="single" w:sz="4" w:space="0" w:color="A6A6A6" w:themeColor="background1" w:themeShade="A6"/>
              <w:left w:val="nil"/>
              <w:bottom w:val="single" w:sz="4" w:space="0" w:color="A6A6A6" w:themeColor="background1" w:themeShade="A6"/>
              <w:right w:val="nil"/>
            </w:tcBorders>
          </w:tcPr>
          <w:p w14:paraId="00BBA0FC" w14:textId="7D8C6978" w:rsidR="00AE2C86" w:rsidRPr="00A71D99" w:rsidRDefault="00AE2C86" w:rsidP="00AE2C86">
            <w:pPr>
              <w:pStyle w:val="TableText"/>
              <w:ind w:right="57"/>
              <w:jc w:val="right"/>
            </w:pPr>
            <w:r w:rsidRPr="00AE2C86">
              <w:t>10.0%</w:t>
            </w:r>
          </w:p>
        </w:tc>
        <w:tc>
          <w:tcPr>
            <w:tcW w:w="1524" w:type="dxa"/>
            <w:tcBorders>
              <w:top w:val="single" w:sz="4" w:space="0" w:color="A6A6A6" w:themeColor="background1" w:themeShade="A6"/>
              <w:left w:val="nil"/>
              <w:bottom w:val="single" w:sz="4" w:space="0" w:color="A6A6A6" w:themeColor="background1" w:themeShade="A6"/>
              <w:right w:val="nil"/>
            </w:tcBorders>
            <w:hideMark/>
          </w:tcPr>
          <w:p w14:paraId="78AD5C2F" w14:textId="233B3ACE" w:rsidR="00AE2C86" w:rsidRPr="00A71D99" w:rsidRDefault="00AE2C86" w:rsidP="00AE2C86">
            <w:pPr>
              <w:pStyle w:val="TableText"/>
              <w:ind w:right="57"/>
              <w:jc w:val="right"/>
            </w:pPr>
            <w:r w:rsidRPr="00AE2C86">
              <w:t>13.6%</w:t>
            </w:r>
          </w:p>
        </w:tc>
        <w:tc>
          <w:tcPr>
            <w:tcW w:w="1524" w:type="dxa"/>
            <w:tcBorders>
              <w:top w:val="single" w:sz="4" w:space="0" w:color="A6A6A6" w:themeColor="background1" w:themeShade="A6"/>
              <w:left w:val="nil"/>
              <w:bottom w:val="single" w:sz="4" w:space="0" w:color="A6A6A6" w:themeColor="background1" w:themeShade="A6"/>
              <w:right w:val="nil"/>
            </w:tcBorders>
            <w:hideMark/>
          </w:tcPr>
          <w:p w14:paraId="2DB65E8D" w14:textId="1EA897AC" w:rsidR="00AE2C86" w:rsidRPr="00A71D99" w:rsidRDefault="00AE2C86" w:rsidP="00AE2C86">
            <w:pPr>
              <w:pStyle w:val="TableText"/>
              <w:ind w:right="57"/>
              <w:jc w:val="right"/>
            </w:pPr>
            <w:r w:rsidRPr="00AE2C86">
              <w:t>17.0%</w:t>
            </w:r>
          </w:p>
        </w:tc>
      </w:tr>
      <w:tr w:rsidR="00AE2C86" w14:paraId="0F17EE1E" w14:textId="77777777" w:rsidTr="00AE2C86">
        <w:trPr>
          <w:trHeight w:val="344"/>
        </w:trPr>
        <w:tc>
          <w:tcPr>
            <w:tcW w:w="1978" w:type="dxa"/>
            <w:tcBorders>
              <w:top w:val="single" w:sz="4" w:space="0" w:color="A6A6A6" w:themeColor="background1" w:themeShade="A6"/>
              <w:left w:val="nil"/>
              <w:bottom w:val="single" w:sz="4" w:space="0" w:color="A6A6A6" w:themeColor="background1" w:themeShade="A6"/>
              <w:right w:val="nil"/>
            </w:tcBorders>
            <w:hideMark/>
          </w:tcPr>
          <w:p w14:paraId="2A5EFE93" w14:textId="623A44AF" w:rsidR="00AE2C86" w:rsidRPr="00A71D99" w:rsidRDefault="00AE2C86" w:rsidP="00AE2C86">
            <w:pPr>
              <w:pStyle w:val="TableText"/>
              <w:ind w:left="57" w:right="57"/>
            </w:pPr>
            <w:r w:rsidRPr="00AE2C86">
              <w:t>Other</w:t>
            </w:r>
          </w:p>
        </w:tc>
        <w:tc>
          <w:tcPr>
            <w:tcW w:w="1523" w:type="dxa"/>
            <w:tcBorders>
              <w:top w:val="single" w:sz="4" w:space="0" w:color="A6A6A6" w:themeColor="background1" w:themeShade="A6"/>
              <w:left w:val="nil"/>
              <w:bottom w:val="single" w:sz="4" w:space="0" w:color="A6A6A6" w:themeColor="background1" w:themeShade="A6"/>
              <w:right w:val="nil"/>
            </w:tcBorders>
            <w:hideMark/>
          </w:tcPr>
          <w:p w14:paraId="19590EF8" w14:textId="2572DAEA" w:rsidR="00AE2C86" w:rsidRPr="00A71D99" w:rsidRDefault="00AE2C86" w:rsidP="00AE2C86">
            <w:pPr>
              <w:pStyle w:val="TableText"/>
              <w:ind w:right="57"/>
              <w:jc w:val="right"/>
            </w:pPr>
            <w:r w:rsidRPr="00AE2C86">
              <w:t>NA</w:t>
            </w:r>
          </w:p>
        </w:tc>
        <w:tc>
          <w:tcPr>
            <w:tcW w:w="1524" w:type="dxa"/>
            <w:tcBorders>
              <w:top w:val="single" w:sz="4" w:space="0" w:color="A6A6A6" w:themeColor="background1" w:themeShade="A6"/>
              <w:left w:val="nil"/>
              <w:bottom w:val="single" w:sz="4" w:space="0" w:color="A6A6A6" w:themeColor="background1" w:themeShade="A6"/>
              <w:right w:val="nil"/>
            </w:tcBorders>
          </w:tcPr>
          <w:p w14:paraId="6F36389D" w14:textId="42450791" w:rsidR="00AE2C86" w:rsidRPr="00A71D99" w:rsidRDefault="00AE2C86" w:rsidP="00AE2C86">
            <w:pPr>
              <w:pStyle w:val="TableText"/>
              <w:ind w:right="57"/>
              <w:jc w:val="right"/>
            </w:pPr>
            <w:r w:rsidRPr="00AE2C86">
              <w:t>NA</w:t>
            </w:r>
          </w:p>
        </w:tc>
        <w:tc>
          <w:tcPr>
            <w:tcW w:w="1524" w:type="dxa"/>
            <w:tcBorders>
              <w:top w:val="single" w:sz="4" w:space="0" w:color="A6A6A6" w:themeColor="background1" w:themeShade="A6"/>
              <w:left w:val="nil"/>
              <w:bottom w:val="single" w:sz="4" w:space="0" w:color="A6A6A6" w:themeColor="background1" w:themeShade="A6"/>
              <w:right w:val="nil"/>
            </w:tcBorders>
            <w:hideMark/>
          </w:tcPr>
          <w:p w14:paraId="089FF11A" w14:textId="512DEF4E" w:rsidR="00AE2C86" w:rsidRPr="00A71D99" w:rsidRDefault="00AE2C86" w:rsidP="00AE2C86">
            <w:pPr>
              <w:pStyle w:val="TableText"/>
              <w:ind w:right="57"/>
              <w:jc w:val="right"/>
            </w:pPr>
            <w:r w:rsidRPr="00AE2C86">
              <w:t>NA</w:t>
            </w:r>
          </w:p>
        </w:tc>
        <w:tc>
          <w:tcPr>
            <w:tcW w:w="1524" w:type="dxa"/>
            <w:tcBorders>
              <w:top w:val="single" w:sz="4" w:space="0" w:color="A6A6A6" w:themeColor="background1" w:themeShade="A6"/>
              <w:left w:val="nil"/>
              <w:bottom w:val="single" w:sz="4" w:space="0" w:color="A6A6A6" w:themeColor="background1" w:themeShade="A6"/>
              <w:right w:val="nil"/>
            </w:tcBorders>
            <w:hideMark/>
          </w:tcPr>
          <w:p w14:paraId="7AF11DFA" w14:textId="0E901DF0" w:rsidR="00AE2C86" w:rsidRPr="00A71D99" w:rsidRDefault="00AE2C86" w:rsidP="00AE2C86">
            <w:pPr>
              <w:pStyle w:val="TableText"/>
              <w:ind w:right="57"/>
              <w:jc w:val="right"/>
            </w:pPr>
            <w:r w:rsidRPr="00AE2C86">
              <w:t>NA</w:t>
            </w:r>
          </w:p>
        </w:tc>
      </w:tr>
    </w:tbl>
    <w:p w14:paraId="28026143" w14:textId="5846160D" w:rsidR="00EF61EC" w:rsidRDefault="00EF61EC" w:rsidP="00A66B6E">
      <w:pPr>
        <w:pStyle w:val="Note"/>
        <w:ind w:left="426" w:hanging="426"/>
      </w:pPr>
      <w:r>
        <w:t xml:space="preserve">Note: </w:t>
      </w:r>
      <w:r w:rsidR="00A66B6E">
        <w:tab/>
      </w:r>
      <w:r>
        <w:t>NA (not applicable) indicates where one ethnic group did not have more than 20 employees.</w:t>
      </w:r>
    </w:p>
    <w:p w14:paraId="0CA82EEC" w14:textId="77777777" w:rsidR="00EF61EC" w:rsidRDefault="00EF61EC" w:rsidP="00EF61EC"/>
    <w:p w14:paraId="7E5A1A5B" w14:textId="2B1CC291" w:rsidR="00EF61EC" w:rsidRDefault="00EF61EC" w:rsidP="00EF61EC">
      <w:r>
        <w:t>Where an employee has identified multiple ethnicities, their data is counted within each ethnic group that they identify with.</w:t>
      </w:r>
    </w:p>
    <w:p w14:paraId="0960FC50" w14:textId="77777777" w:rsidR="00EF61EC" w:rsidRDefault="00EF61EC" w:rsidP="00EF61EC"/>
    <w:p w14:paraId="3E332922" w14:textId="0523D724" w:rsidR="00EF61EC" w:rsidRDefault="00EF61EC" w:rsidP="00EF61EC">
      <w:r>
        <w:t>The pay gaps for European, Māori and Pacific staff have continued to close. However, the Asian pay gap has increased considerably. The Ministry will explore reasons for this increase when we complete our Kia Toipoto – Pay Gap Action Plan.</w:t>
      </w:r>
    </w:p>
    <w:p w14:paraId="4B012518" w14:textId="77777777" w:rsidR="00941EF1" w:rsidRDefault="00941EF1" w:rsidP="00EF61EC"/>
    <w:p w14:paraId="4B37B885" w14:textId="77777777" w:rsidR="00EF61EC" w:rsidRDefault="00EF61EC" w:rsidP="00EF61EC"/>
    <w:p w14:paraId="6FA0733D" w14:textId="77777777" w:rsidR="00B1451F" w:rsidRDefault="00B1451F" w:rsidP="00EF61EC">
      <w:pPr>
        <w:sectPr w:rsidR="00B1451F" w:rsidSect="008F0115">
          <w:pgSz w:w="11907" w:h="16840" w:code="9"/>
          <w:pgMar w:top="1418" w:right="1701" w:bottom="1134" w:left="1843" w:header="284" w:footer="425" w:gutter="284"/>
          <w:cols w:space="720"/>
        </w:sectPr>
      </w:pPr>
    </w:p>
    <w:p w14:paraId="6A94FF4B" w14:textId="6CEC043A" w:rsidR="00EF61EC" w:rsidRDefault="00B1451F" w:rsidP="00B1451F">
      <w:pPr>
        <w:pStyle w:val="Heading1"/>
      </w:pPr>
      <w:bookmarkStart w:id="33" w:name="_Toc180077029"/>
      <w:r>
        <w:lastRenderedPageBreak/>
        <w:t xml:space="preserve">How we manage our business </w:t>
      </w:r>
      <w:r w:rsidR="0044431F">
        <w:t>–</w:t>
      </w:r>
      <w:r>
        <w:t xml:space="preserve"> Ngā whakahaere</w:t>
      </w:r>
      <w:bookmarkEnd w:id="33"/>
    </w:p>
    <w:p w14:paraId="51514EFF" w14:textId="77777777" w:rsidR="00B1451F" w:rsidRDefault="00B1451F" w:rsidP="00B1451F">
      <w:pPr>
        <w:pStyle w:val="Heading2"/>
      </w:pPr>
      <w:bookmarkStart w:id="34" w:name="_Toc180077030"/>
      <w:r w:rsidRPr="00B1451F">
        <w:t>The Ministry as a good employer</w:t>
      </w:r>
      <w:bookmarkEnd w:id="34"/>
    </w:p>
    <w:p w14:paraId="2BAFD491" w14:textId="77777777" w:rsidR="00B1451F" w:rsidRDefault="00B1451F" w:rsidP="00FD7891">
      <w:pPr>
        <w:pStyle w:val="Heading4"/>
      </w:pPr>
      <w:r w:rsidRPr="00B1451F">
        <w:t>Our People Retention Strategy</w:t>
      </w:r>
    </w:p>
    <w:p w14:paraId="67C7BEC8" w14:textId="48C14CD5" w:rsidR="00B1451F" w:rsidRDefault="00B1451F" w:rsidP="00941EF1">
      <w:r>
        <w:t>The Ministry continued to implement Kia Mau Rā – People Retention Strategy and achieve key milestones across the three-year programme of work that began in November 2022. The strategy focuses on nine core influences spanning social connection, work enablement and organisational success.</w:t>
      </w:r>
    </w:p>
    <w:p w14:paraId="3AAD5827" w14:textId="77777777" w:rsidR="00941EF1" w:rsidRDefault="00941EF1" w:rsidP="00941EF1"/>
    <w:p w14:paraId="74EEEF1F" w14:textId="271BA2AA" w:rsidR="00B1451F" w:rsidRDefault="00B1451F" w:rsidP="00941EF1">
      <w:r>
        <w:t>We monitor retention outcomes quarterly by analysing unplanned turnover and employee experience. The insights inform the actions we take. The 12-month rolling average unplanned turnover rate reduced from 20.9% in 2022/23 to 14.6% in 2023/24. Following the elevated rate since 2020, the rate now aligns with longer-term turnover statistics.</w:t>
      </w:r>
    </w:p>
    <w:p w14:paraId="6A3C2D12" w14:textId="77777777" w:rsidR="00941EF1" w:rsidRDefault="00941EF1" w:rsidP="00941EF1"/>
    <w:p w14:paraId="0D586AC1" w14:textId="2199F929" w:rsidR="00B1451F" w:rsidRDefault="00B1451F" w:rsidP="00941EF1">
      <w:r>
        <w:t>We launched the Leadership Progression Programme for managers and team leaders who aspire to higher or more complex leadership roles. To date, 19 leaders have participated in the programme.</w:t>
      </w:r>
    </w:p>
    <w:p w14:paraId="2AF869C5" w14:textId="77777777" w:rsidR="00941EF1" w:rsidRDefault="00941EF1" w:rsidP="00941EF1"/>
    <w:p w14:paraId="14043692" w14:textId="16FE762C" w:rsidR="00B1451F" w:rsidRDefault="00B1451F" w:rsidP="00941EF1">
      <w:r>
        <w:t>Recognising career development as a key indicator of retention, we launched the Internal Opportunities Platform in February 2024. This provides on-the-job work opportunities to help people build their skills.</w:t>
      </w:r>
    </w:p>
    <w:p w14:paraId="3B083407" w14:textId="77777777" w:rsidR="00941EF1" w:rsidRDefault="00941EF1" w:rsidP="00941EF1"/>
    <w:p w14:paraId="2FAB8B1B" w14:textId="77777777" w:rsidR="00B1451F" w:rsidRDefault="00B1451F" w:rsidP="00941EF1">
      <w:r>
        <w:t>Other ongoing work under Whiria Te Tangata – Our Culture and Inclusion Strategy, Kia Tū Kaha – Wellbeing Plan and the transformation programme has continued to support the People Retention Strategy.</w:t>
      </w:r>
    </w:p>
    <w:p w14:paraId="3FAFA38E" w14:textId="77777777" w:rsidR="00941EF1" w:rsidRDefault="00941EF1" w:rsidP="00FD7891">
      <w:pPr>
        <w:pStyle w:val="Heading4"/>
      </w:pPr>
      <w:r>
        <w:t xml:space="preserve">The Ministry as a great place to </w:t>
      </w:r>
      <w:proofErr w:type="gramStart"/>
      <w:r>
        <w:t>work</w:t>
      </w:r>
      <w:proofErr w:type="gramEnd"/>
    </w:p>
    <w:p w14:paraId="0F7C8F69" w14:textId="77777777" w:rsidR="00941EF1" w:rsidRDefault="00941EF1" w:rsidP="00941EF1">
      <w:r>
        <w:t>We engage with our people to understand how they feel about working at the Ministry, and to gain insights into where we should focus our efforts. This engagement includes the Ministry’s Kōrero Mai Employee Experience Survey, and onboarding and exit surveys. The following table sets out the key results from these surveys.</w:t>
      </w:r>
    </w:p>
    <w:p w14:paraId="58ACE741" w14:textId="452BDEB1" w:rsidR="00941EF1" w:rsidRPr="00FD7891" w:rsidRDefault="00941EF1" w:rsidP="00FD7891">
      <w:pPr>
        <w:pStyle w:val="Heading5"/>
      </w:pPr>
      <w:r w:rsidRPr="00FD7891">
        <w:t xml:space="preserve">Key results of the Ministry’s staff </w:t>
      </w:r>
      <w:proofErr w:type="gramStart"/>
      <w:r w:rsidRPr="00FD7891">
        <w:t>surveys</w:t>
      </w:r>
      <w:proofErr w:type="gramEnd"/>
    </w:p>
    <w:tbl>
      <w:tblPr>
        <w:tblW w:w="8073" w:type="dxa"/>
        <w:tblInd w:w="7" w:type="dxa"/>
        <w:tblLayout w:type="fixed"/>
        <w:tblCellMar>
          <w:left w:w="0" w:type="dxa"/>
          <w:right w:w="0" w:type="dxa"/>
        </w:tblCellMar>
        <w:tblLook w:val="01E0" w:firstRow="1" w:lastRow="1" w:firstColumn="1" w:lastColumn="1" w:noHBand="0" w:noVBand="0"/>
      </w:tblPr>
      <w:tblGrid>
        <w:gridCol w:w="2545"/>
        <w:gridCol w:w="5528"/>
      </w:tblGrid>
      <w:tr w:rsidR="00941EF1" w14:paraId="66FBB63D" w14:textId="77777777" w:rsidTr="00FD7891">
        <w:trPr>
          <w:trHeight w:val="351"/>
          <w:tblHeader/>
        </w:trPr>
        <w:tc>
          <w:tcPr>
            <w:tcW w:w="2545" w:type="dxa"/>
            <w:tcBorders>
              <w:top w:val="nil"/>
              <w:left w:val="nil"/>
              <w:bottom w:val="single" w:sz="4" w:space="0" w:color="A6A6A6" w:themeColor="background1" w:themeShade="A6"/>
              <w:right w:val="nil"/>
            </w:tcBorders>
            <w:shd w:val="clear" w:color="auto" w:fill="F2F2F2" w:themeFill="background1" w:themeFillShade="F2"/>
            <w:hideMark/>
          </w:tcPr>
          <w:p w14:paraId="05F8D939" w14:textId="366C260E" w:rsidR="00941EF1" w:rsidRDefault="00941EF1" w:rsidP="00FD7891">
            <w:pPr>
              <w:pStyle w:val="TableText"/>
              <w:ind w:left="57" w:right="57"/>
              <w:rPr>
                <w:b/>
                <w:bCs/>
                <w:lang w:val="en-GB"/>
              </w:rPr>
            </w:pPr>
            <w:r>
              <w:rPr>
                <w:b/>
                <w:bCs/>
                <w:lang w:val="en-GB"/>
              </w:rPr>
              <w:t xml:space="preserve">Survey </w:t>
            </w:r>
          </w:p>
        </w:tc>
        <w:tc>
          <w:tcPr>
            <w:tcW w:w="5528" w:type="dxa"/>
            <w:tcBorders>
              <w:top w:val="nil"/>
              <w:left w:val="nil"/>
              <w:bottom w:val="single" w:sz="4" w:space="0" w:color="A6A6A6" w:themeColor="background1" w:themeShade="A6"/>
              <w:right w:val="nil"/>
            </w:tcBorders>
            <w:shd w:val="clear" w:color="auto" w:fill="F2F2F2" w:themeFill="background1" w:themeFillShade="F2"/>
            <w:hideMark/>
          </w:tcPr>
          <w:p w14:paraId="36B20878" w14:textId="415B4C04" w:rsidR="00941EF1" w:rsidRDefault="00941EF1" w:rsidP="00941EF1">
            <w:pPr>
              <w:pStyle w:val="TableText"/>
              <w:ind w:left="57" w:right="57"/>
              <w:rPr>
                <w:b/>
                <w:bCs/>
                <w:lang w:val="en-GB"/>
              </w:rPr>
            </w:pPr>
            <w:r>
              <w:rPr>
                <w:b/>
                <w:bCs/>
                <w:lang w:val="en-GB"/>
              </w:rPr>
              <w:t>Main findings</w:t>
            </w:r>
          </w:p>
        </w:tc>
      </w:tr>
      <w:tr w:rsidR="00941EF1" w:rsidRPr="00EF61EC" w14:paraId="1EF5934E" w14:textId="77777777" w:rsidTr="00941EF1">
        <w:trPr>
          <w:trHeight w:val="344"/>
        </w:trPr>
        <w:tc>
          <w:tcPr>
            <w:tcW w:w="2545" w:type="dxa"/>
            <w:tcBorders>
              <w:top w:val="single" w:sz="4" w:space="0" w:color="A6A6A6" w:themeColor="background1" w:themeShade="A6"/>
              <w:left w:val="nil"/>
              <w:bottom w:val="single" w:sz="4" w:space="0" w:color="A6A6A6" w:themeColor="background1" w:themeShade="A6"/>
              <w:right w:val="nil"/>
            </w:tcBorders>
            <w:hideMark/>
          </w:tcPr>
          <w:p w14:paraId="618B2969" w14:textId="728095DC" w:rsidR="00941EF1" w:rsidRPr="00EF61EC" w:rsidRDefault="00941EF1" w:rsidP="00941EF1">
            <w:pPr>
              <w:pStyle w:val="TableText"/>
              <w:ind w:left="57"/>
            </w:pPr>
            <w:r w:rsidRPr="0012638B">
              <w:t>Kōrero Mai Employee Experience (last conducted October 2023)</w:t>
            </w:r>
          </w:p>
        </w:tc>
        <w:tc>
          <w:tcPr>
            <w:tcW w:w="5528" w:type="dxa"/>
            <w:tcBorders>
              <w:top w:val="single" w:sz="4" w:space="0" w:color="A6A6A6" w:themeColor="background1" w:themeShade="A6"/>
              <w:left w:val="nil"/>
              <w:bottom w:val="single" w:sz="4" w:space="0" w:color="A6A6A6" w:themeColor="background1" w:themeShade="A6"/>
              <w:right w:val="nil"/>
            </w:tcBorders>
            <w:hideMark/>
          </w:tcPr>
          <w:p w14:paraId="41A92149" w14:textId="77777777" w:rsidR="00941EF1" w:rsidRDefault="00941EF1" w:rsidP="00941EF1">
            <w:pPr>
              <w:pStyle w:val="TableText"/>
              <w:ind w:right="57"/>
            </w:pPr>
            <w:r>
              <w:t>79% of staff responded.</w:t>
            </w:r>
          </w:p>
          <w:p w14:paraId="106EB993" w14:textId="77777777" w:rsidR="00941EF1" w:rsidRDefault="00941EF1" w:rsidP="00941EF1">
            <w:pPr>
              <w:pStyle w:val="TableText"/>
              <w:ind w:right="57"/>
            </w:pPr>
            <w:r>
              <w:t>93% of respondents agreed (somewhat agreed, agreed, or strongly agreed) that the Ministry is a great place to work (up from 88% in 2022 and 87% in 2020).</w:t>
            </w:r>
          </w:p>
          <w:p w14:paraId="32C08686" w14:textId="02D1FDE5" w:rsidR="00941EF1" w:rsidRPr="00EF61EC" w:rsidRDefault="00941EF1" w:rsidP="00941EF1">
            <w:pPr>
              <w:pStyle w:val="TableText"/>
              <w:ind w:right="57"/>
            </w:pPr>
            <w:r>
              <w:t>The overall score, remained stable and positive at 74% (compared with 72% in 2022).</w:t>
            </w:r>
          </w:p>
        </w:tc>
      </w:tr>
      <w:tr w:rsidR="00941EF1" w:rsidRPr="00EF61EC" w14:paraId="7B35A941" w14:textId="77777777" w:rsidTr="00941EF1">
        <w:trPr>
          <w:trHeight w:val="344"/>
        </w:trPr>
        <w:tc>
          <w:tcPr>
            <w:tcW w:w="2545" w:type="dxa"/>
            <w:tcBorders>
              <w:top w:val="single" w:sz="4" w:space="0" w:color="A6A6A6" w:themeColor="background1" w:themeShade="A6"/>
              <w:left w:val="nil"/>
              <w:bottom w:val="single" w:sz="4" w:space="0" w:color="A6A6A6" w:themeColor="background1" w:themeShade="A6"/>
              <w:right w:val="nil"/>
            </w:tcBorders>
            <w:hideMark/>
          </w:tcPr>
          <w:p w14:paraId="4E20DBE5" w14:textId="48FBBDCE" w:rsidR="00941EF1" w:rsidRPr="00EF61EC" w:rsidRDefault="00941EF1" w:rsidP="00941EF1">
            <w:pPr>
              <w:pStyle w:val="TableText"/>
              <w:ind w:left="57" w:right="146"/>
            </w:pPr>
            <w:r w:rsidRPr="0012638B">
              <w:lastRenderedPageBreak/>
              <w:t>Ministry’s 90- day onboarding survey</w:t>
            </w:r>
          </w:p>
        </w:tc>
        <w:tc>
          <w:tcPr>
            <w:tcW w:w="5528" w:type="dxa"/>
            <w:tcBorders>
              <w:top w:val="single" w:sz="4" w:space="0" w:color="A6A6A6" w:themeColor="background1" w:themeShade="A6"/>
              <w:left w:val="nil"/>
              <w:bottom w:val="single" w:sz="4" w:space="0" w:color="A6A6A6" w:themeColor="background1" w:themeShade="A6"/>
              <w:right w:val="nil"/>
            </w:tcBorders>
          </w:tcPr>
          <w:p w14:paraId="5AADEC8B" w14:textId="77777777" w:rsidR="00941EF1" w:rsidRDefault="00941EF1" w:rsidP="00941EF1">
            <w:pPr>
              <w:pStyle w:val="TableText"/>
              <w:ind w:right="57"/>
            </w:pPr>
            <w:r>
              <w:t>43% of new staff completed the survey.</w:t>
            </w:r>
          </w:p>
          <w:p w14:paraId="5DA0C1BF" w14:textId="5D5868D6" w:rsidR="00941EF1" w:rsidRPr="00EF61EC" w:rsidRDefault="00941EF1" w:rsidP="00941EF1">
            <w:pPr>
              <w:pStyle w:val="TableText"/>
              <w:ind w:right="57"/>
            </w:pPr>
            <w:r>
              <w:t xml:space="preserve">98% agreed that </w:t>
            </w:r>
            <w:proofErr w:type="gramStart"/>
            <w:r>
              <w:t>overall</w:t>
            </w:r>
            <w:proofErr w:type="gramEnd"/>
            <w:r>
              <w:t xml:space="preserve"> they had a good experience at the Ministry.</w:t>
            </w:r>
          </w:p>
        </w:tc>
      </w:tr>
      <w:tr w:rsidR="00941EF1" w:rsidRPr="00EF61EC" w14:paraId="6B1C0E3C" w14:textId="77777777" w:rsidTr="00941EF1">
        <w:trPr>
          <w:trHeight w:val="344"/>
        </w:trPr>
        <w:tc>
          <w:tcPr>
            <w:tcW w:w="2545" w:type="dxa"/>
            <w:tcBorders>
              <w:top w:val="single" w:sz="4" w:space="0" w:color="A6A6A6" w:themeColor="background1" w:themeShade="A6"/>
              <w:left w:val="nil"/>
              <w:bottom w:val="single" w:sz="4" w:space="0" w:color="A6A6A6" w:themeColor="background1" w:themeShade="A6"/>
              <w:right w:val="nil"/>
            </w:tcBorders>
            <w:hideMark/>
          </w:tcPr>
          <w:p w14:paraId="54AB1FE4" w14:textId="24A28356" w:rsidR="00941EF1" w:rsidRPr="00EF61EC" w:rsidRDefault="00941EF1" w:rsidP="00941EF1">
            <w:pPr>
              <w:pStyle w:val="TableText"/>
              <w:ind w:left="57"/>
            </w:pPr>
            <w:r w:rsidRPr="0012638B">
              <w:t>Ministry’s exit survey</w:t>
            </w:r>
          </w:p>
        </w:tc>
        <w:tc>
          <w:tcPr>
            <w:tcW w:w="5528" w:type="dxa"/>
            <w:tcBorders>
              <w:top w:val="single" w:sz="4" w:space="0" w:color="A6A6A6" w:themeColor="background1" w:themeShade="A6"/>
              <w:left w:val="nil"/>
              <w:bottom w:val="single" w:sz="4" w:space="0" w:color="A6A6A6" w:themeColor="background1" w:themeShade="A6"/>
              <w:right w:val="nil"/>
            </w:tcBorders>
          </w:tcPr>
          <w:p w14:paraId="22FA86CA" w14:textId="77777777" w:rsidR="00941EF1" w:rsidRDefault="00941EF1" w:rsidP="00941EF1">
            <w:pPr>
              <w:pStyle w:val="TableText"/>
              <w:ind w:right="57"/>
            </w:pPr>
            <w:r>
              <w:t>82% of respondents who were leaving the Ministry agreed they would recommend the Ministry as a place to work.</w:t>
            </w:r>
          </w:p>
          <w:p w14:paraId="43F362A4" w14:textId="0011C7D5" w:rsidR="00941EF1" w:rsidRPr="00EF61EC" w:rsidRDefault="00941EF1" w:rsidP="00941EF1">
            <w:pPr>
              <w:pStyle w:val="TableText"/>
              <w:ind w:right="57"/>
            </w:pPr>
            <w:r>
              <w:t>90% would consider re-joining the Ministry if an opportunity arose.</w:t>
            </w:r>
          </w:p>
        </w:tc>
      </w:tr>
    </w:tbl>
    <w:p w14:paraId="69565C98" w14:textId="4B750BC7" w:rsidR="00941EF1" w:rsidRDefault="00941EF1" w:rsidP="00941EF1">
      <w:pPr>
        <w:pStyle w:val="Heading4"/>
      </w:pPr>
      <w:r w:rsidRPr="00941EF1">
        <w:t>Our Culture and Inclusion Strategy</w:t>
      </w:r>
    </w:p>
    <w:p w14:paraId="2D45DD50" w14:textId="5C59FE5E" w:rsidR="00A73A57" w:rsidRDefault="00A73A57" w:rsidP="00A73A57">
      <w:r>
        <w:t>The Ministry is committed to supporting our people to behave and make decisions in a manner that is consistent with promoting diversity and inclusion. Whiria te Tangata – Our Culture and Inclusion Strategy sets out the actions we will take to achieve this and aligns directly with Kia Toipoto – Pay Gap Action Plan and the Public Service Commission’s Papa Pounamu – Diversity and Inclusion Programme.</w:t>
      </w:r>
    </w:p>
    <w:p w14:paraId="038032D8" w14:textId="77777777" w:rsidR="00A73A57" w:rsidRDefault="00A73A57" w:rsidP="00A73A57"/>
    <w:p w14:paraId="6C480214" w14:textId="205F469B" w:rsidR="00A73A57" w:rsidRDefault="00A73A57" w:rsidP="00A73A57">
      <w:r>
        <w:t>We have continued to deliver on our Kia Toipoto – Pay Gap Action Plan.</w:t>
      </w:r>
      <w:r>
        <w:rPr>
          <w:rStyle w:val="FootnoteReference"/>
        </w:rPr>
        <w:footnoteReference w:id="38"/>
      </w:r>
      <w:r>
        <w:t xml:space="preserve"> We intend to publish Whiria te Tangata – Our Culture and Inclusion Strategy and Kia Toipoto in a single integrated plan by 15 November 2024.</w:t>
      </w:r>
    </w:p>
    <w:p w14:paraId="5E905A1C" w14:textId="77777777" w:rsidR="00A73A57" w:rsidRDefault="00A73A57" w:rsidP="00A73A57"/>
    <w:p w14:paraId="2184A610" w14:textId="62DDC906" w:rsidR="00A73A57" w:rsidRDefault="00A73A57" w:rsidP="00A73A57">
      <w:r>
        <w:t>In August 2023, we conducted a review of Whiria te Tangata with input from key stakeholders across the Ministry, including our employee-led networks. The results of this review have enabled us to set the future direction and next actions for the strategy.</w:t>
      </w:r>
    </w:p>
    <w:p w14:paraId="7175D7C0" w14:textId="77777777" w:rsidR="00A73A57" w:rsidRDefault="00A73A57" w:rsidP="00A73A57"/>
    <w:p w14:paraId="78E383C2" w14:textId="77777777" w:rsidR="00A73A57" w:rsidRDefault="00A73A57" w:rsidP="00A73A57">
      <w:r>
        <w:t>Our achievements contributing to diversity and inclusion during 2023/24 include the following.</w:t>
      </w:r>
    </w:p>
    <w:p w14:paraId="4B42A269" w14:textId="263F5778" w:rsidR="00A73A57" w:rsidRDefault="00A73A57" w:rsidP="00A73A57">
      <w:pPr>
        <w:pStyle w:val="Bullet"/>
      </w:pPr>
      <w:r>
        <w:t>Of the people who responded to our Kōrero Mai Employee Experience survey in 2023, 85% agreed that the person they reported to creates an inclusive team environment and shows care for their success and wellbeing.</w:t>
      </w:r>
    </w:p>
    <w:p w14:paraId="565D7694" w14:textId="37F17D08" w:rsidR="00A73A57" w:rsidRDefault="00A73A57" w:rsidP="00A73A57">
      <w:pPr>
        <w:pStyle w:val="Bullet"/>
      </w:pPr>
      <w:r>
        <w:t>We continued to support five employee-led networks: the Rainbow Network, Asian Network, Women’s Network, Pacific Forum and Disability Network.</w:t>
      </w:r>
    </w:p>
    <w:p w14:paraId="0216EC1E" w14:textId="2970FBE6" w:rsidR="00A73A57" w:rsidRDefault="00A73A57" w:rsidP="00FD7891">
      <w:pPr>
        <w:pStyle w:val="Bullet"/>
      </w:pPr>
      <w:r>
        <w:t>Our Asian Network was a winner of one of the Ministry’s 2023 Ngā Uaratanga Awards for its dedication to fostering inclusivity, celebrating diversity and supporting one another.</w:t>
      </w:r>
    </w:p>
    <w:p w14:paraId="446CDD5E" w14:textId="3964D3B8" w:rsidR="00A73A57" w:rsidRDefault="00A73A57" w:rsidP="00A73A57">
      <w:pPr>
        <w:pStyle w:val="Bullet"/>
      </w:pPr>
      <w:r>
        <w:t>We continued to support events promoting diversity and inclusion, such as Pink Shirt Day, Matariki, Chinese New Year and Pacific Language Week.</w:t>
      </w:r>
    </w:p>
    <w:p w14:paraId="1F7527E9" w14:textId="62AA1675" w:rsidR="00A73A57" w:rsidRDefault="00A73A57" w:rsidP="00A73A57">
      <w:pPr>
        <w:pStyle w:val="Bullet"/>
      </w:pPr>
      <w:r>
        <w:t>We delivered disability awareness training to 107 staff.</w:t>
      </w:r>
    </w:p>
    <w:p w14:paraId="6C88C812" w14:textId="6BE05CFC" w:rsidR="00A73A57" w:rsidRDefault="00A73A57" w:rsidP="00A73A57">
      <w:pPr>
        <w:pStyle w:val="Bullet"/>
      </w:pPr>
      <w:r>
        <w:t>We held Te Tupuranga – a te reo and tikanga Māori programme for staff who have Māori whakapapa.</w:t>
      </w:r>
    </w:p>
    <w:p w14:paraId="56703DBE" w14:textId="7B9324B1" w:rsidR="00A73A57" w:rsidRDefault="00A73A57" w:rsidP="00A73A57">
      <w:pPr>
        <w:pStyle w:val="Bullet"/>
      </w:pPr>
      <w:r>
        <w:t>Unconscious bias e-learning remains mandatory for all new staff.</w:t>
      </w:r>
    </w:p>
    <w:p w14:paraId="6451AC42" w14:textId="7B347D2B" w:rsidR="00941EF1" w:rsidRPr="00941EF1" w:rsidRDefault="00A73A57" w:rsidP="00A73A57">
      <w:pPr>
        <w:pStyle w:val="Bullet"/>
      </w:pPr>
      <w:r>
        <w:t>We actively monitored our demographics to understand our people and leadership workforce and their career aspirations.</w:t>
      </w:r>
    </w:p>
    <w:p w14:paraId="3A7CC546" w14:textId="77777777" w:rsidR="00941EF1" w:rsidRDefault="00A73A57" w:rsidP="00A73A57">
      <w:pPr>
        <w:pStyle w:val="Heading4"/>
      </w:pPr>
      <w:r w:rsidRPr="00A73A57">
        <w:lastRenderedPageBreak/>
        <w:t>Accessibility and flexible work</w:t>
      </w:r>
    </w:p>
    <w:p w14:paraId="7AFBEE2E" w14:textId="021C7EEB" w:rsidR="00A73A57" w:rsidRDefault="00A73A57" w:rsidP="00A73A57">
      <w:r>
        <w:t>The Ministry has continued to provide an environment that enables a balance between work requirements and personal commitments. Our Flexible First policy plays a big part in our culture and the way we do our work.</w:t>
      </w:r>
    </w:p>
    <w:p w14:paraId="1A3DB81E" w14:textId="77777777" w:rsidR="00A73A57" w:rsidRDefault="00A73A57" w:rsidP="00A73A57"/>
    <w:p w14:paraId="7369D2A6" w14:textId="5D52D917" w:rsidR="00A73A57" w:rsidRDefault="00A73A57" w:rsidP="00A73A57">
      <w:r>
        <w:t>The Ministry is committed to providing our staff with accessible and inclusive services, support and advice, regardless of their disability, ethnicity, faith, sexual orientation, gender or location. We have maintained the Accessibility Tick,</w:t>
      </w:r>
      <w:r w:rsidR="00F13919">
        <w:rPr>
          <w:rStyle w:val="FootnoteReference"/>
        </w:rPr>
        <w:footnoteReference w:id="39"/>
      </w:r>
      <w:r>
        <w:t xml:space="preserve"> which recognises our commitment to being an accessible and inclusive workplace.</w:t>
      </w:r>
    </w:p>
    <w:p w14:paraId="261564E1" w14:textId="77777777" w:rsidR="00A73A57" w:rsidRDefault="00A73A57" w:rsidP="00A73A57">
      <w:pPr>
        <w:pStyle w:val="Heading4"/>
      </w:pPr>
      <w:r w:rsidRPr="00A73A57">
        <w:t xml:space="preserve">Building our capability to engage with </w:t>
      </w:r>
      <w:proofErr w:type="gramStart"/>
      <w:r w:rsidRPr="00A73A57">
        <w:t>Māori</w:t>
      </w:r>
      <w:proofErr w:type="gramEnd"/>
    </w:p>
    <w:p w14:paraId="63E47026" w14:textId="1849D6DF" w:rsidR="00A73A57" w:rsidRDefault="00A73A57" w:rsidP="00A73A57">
      <w:r w:rsidRPr="00A73A57">
        <w:t>Whāinga Amorangi is our action plan for developing capability and confidence in te reo and tikanga Māori. We achieved the following key initiatives under Whāinga Amorangi in 2023/24.</w:t>
      </w:r>
    </w:p>
    <w:p w14:paraId="3213E397" w14:textId="08C6CE59" w:rsidR="00A73A57" w:rsidRDefault="00A73A57" w:rsidP="00A73A57">
      <w:pPr>
        <w:pStyle w:val="Bullet"/>
      </w:pPr>
      <w:r>
        <w:t>We formed Tū Tira, the Ministry’s equity, Te Tiriti and anti-racism community of practice.</w:t>
      </w:r>
    </w:p>
    <w:p w14:paraId="400EF25F" w14:textId="20ACA4CE" w:rsidR="00A73A57" w:rsidRDefault="00A73A57" w:rsidP="00A73A57">
      <w:pPr>
        <w:pStyle w:val="Bullet"/>
      </w:pPr>
      <w:r>
        <w:t>We refreshed and implemented Te Pūtahi Whakawhiti Reo Māori, which provides translation guidance and business rules in te reo Māori for written products.</w:t>
      </w:r>
    </w:p>
    <w:p w14:paraId="1874EA2D" w14:textId="6B870DBB" w:rsidR="00A73A57" w:rsidRDefault="00A73A57" w:rsidP="00A73A57">
      <w:pPr>
        <w:pStyle w:val="Bullet"/>
      </w:pPr>
      <w:r>
        <w:t>We developed a Ministry corpus of te reo Māori words and phrases as a companion guide for Ministry translation work.</w:t>
      </w:r>
    </w:p>
    <w:p w14:paraId="584874A5" w14:textId="61C7D2C2" w:rsidR="00A73A57" w:rsidRDefault="00A73A57" w:rsidP="00A73A57">
      <w:pPr>
        <w:pStyle w:val="Bullet"/>
      </w:pPr>
      <w:r>
        <w:t>Our people have continued to use Whāia, an interactive learning resource that allows them to improve their understanding of and engagement in te ao Māori.</w:t>
      </w:r>
    </w:p>
    <w:p w14:paraId="6EAFD5E6" w14:textId="2D3DE81B" w:rsidR="00A73A57" w:rsidRDefault="00A73A57" w:rsidP="00A73A57">
      <w:pPr>
        <w:pStyle w:val="Bullet"/>
      </w:pPr>
      <w:r>
        <w:t>We continued to hold a mihi whakatau to welcome each of our new people to the Ministry building.</w:t>
      </w:r>
    </w:p>
    <w:p w14:paraId="6AADD156" w14:textId="4358346B" w:rsidR="00A73A57" w:rsidRDefault="00A73A57" w:rsidP="00A73A57">
      <w:pPr>
        <w:pStyle w:val="Bullet"/>
      </w:pPr>
      <w:r>
        <w:t>We rolled out the results of our second Whāinga Amorangi survey through our Tū Tira champions. The findings were used to inform directorate plans related to Te Tiriti and equity.</w:t>
      </w:r>
    </w:p>
    <w:p w14:paraId="2944C8F4" w14:textId="07DCF10B" w:rsidR="00A73A57" w:rsidRDefault="00A73A57" w:rsidP="00A73A57">
      <w:pPr>
        <w:pStyle w:val="Bullet"/>
      </w:pPr>
      <w:r>
        <w:t>We continued to implement our Te Māhere Reo Māori – Māori language plan by running regular te reo Māori programmes at levels 1 and 2.</w:t>
      </w:r>
    </w:p>
    <w:p w14:paraId="364D0351" w14:textId="5610EF4B" w:rsidR="00A73A57" w:rsidRDefault="00A73A57" w:rsidP="00FD7891">
      <w:pPr>
        <w:pStyle w:val="Bullet"/>
      </w:pPr>
      <w:r>
        <w:t>We continued to offer a variety of opportunities to learn more about te reo and tikanga Māori, including through e-learning. Wall Walk sessions are designed to raise collective awareness of key events in the history of Aotearoa New Zealand’s bicultural relations. Staff could also participate in introductory workshops on engagement with Māori, delivered by Te Arawhiti – Office for Māori Crown Relations, and Ki Tua – an immersive learning experience on Te Tiriti, equity planning and anti-racism.</w:t>
      </w:r>
    </w:p>
    <w:p w14:paraId="4B376755" w14:textId="77777777" w:rsidR="00A73A57" w:rsidRDefault="00A73A57" w:rsidP="00A73A57">
      <w:pPr>
        <w:pStyle w:val="Bullet"/>
      </w:pPr>
      <w:r>
        <w:t>We continued to support Matariki and Te Wiki o te Reo Māori.</w:t>
      </w:r>
    </w:p>
    <w:p w14:paraId="1092E6E1" w14:textId="77777777" w:rsidR="00992461" w:rsidRDefault="00992461" w:rsidP="00992461">
      <w:pPr>
        <w:pStyle w:val="Bullet"/>
        <w:numPr>
          <w:ilvl w:val="0"/>
          <w:numId w:val="0"/>
        </w:numPr>
        <w:ind w:left="284" w:hanging="284"/>
      </w:pPr>
    </w:p>
    <w:p w14:paraId="6F298DF6" w14:textId="77777777" w:rsidR="00992461" w:rsidRDefault="00992461" w:rsidP="00992461">
      <w:pPr>
        <w:pStyle w:val="Bullet"/>
        <w:numPr>
          <w:ilvl w:val="0"/>
          <w:numId w:val="0"/>
        </w:numPr>
        <w:ind w:left="284" w:hanging="284"/>
        <w:sectPr w:rsidR="00992461" w:rsidSect="008F0115">
          <w:pgSz w:w="11907" w:h="16840" w:code="9"/>
          <w:pgMar w:top="1418" w:right="1701" w:bottom="1134" w:left="1843" w:header="284" w:footer="425" w:gutter="284"/>
          <w:cols w:space="720"/>
        </w:sectPr>
      </w:pPr>
    </w:p>
    <w:p w14:paraId="7777D826" w14:textId="77777777" w:rsidR="00992461" w:rsidRDefault="00992461" w:rsidP="00992461">
      <w:pPr>
        <w:pStyle w:val="Heading4"/>
        <w:spacing w:before="0"/>
      </w:pPr>
      <w:r w:rsidRPr="00992461">
        <w:lastRenderedPageBreak/>
        <w:t xml:space="preserve">Learning and development </w:t>
      </w:r>
    </w:p>
    <w:p w14:paraId="6FC8EF65" w14:textId="737A7E93" w:rsidR="00992461" w:rsidRDefault="00992461" w:rsidP="00992461">
      <w:r>
        <w:t>We support online and in-person development opportunities. These opportunities include our orientation programme, as well as learning and development related to disability awareness, te reo Māori, engaging with Māori and writing skills. A ‘Policy Hub’ was developed to embed the refreshed Policy Skills Framework released by the Department of the Prime Minister and Cabinet.</w:t>
      </w:r>
    </w:p>
    <w:p w14:paraId="3D56BA33" w14:textId="77777777" w:rsidR="00992461" w:rsidRDefault="00992461" w:rsidP="00992461"/>
    <w:p w14:paraId="0A94EB68" w14:textId="4332067A" w:rsidR="00992461" w:rsidRDefault="00992461" w:rsidP="00992461">
      <w:r>
        <w:t>We use performance and development plans to support our people to set objectives so they can grow and develop in their roles and have opportunities for professional development.</w:t>
      </w:r>
    </w:p>
    <w:p w14:paraId="712F48E3" w14:textId="77777777" w:rsidR="00992461" w:rsidRDefault="00992461" w:rsidP="00992461"/>
    <w:p w14:paraId="5CB6664D" w14:textId="409D509B" w:rsidR="00992461" w:rsidRDefault="00992461" w:rsidP="00992461">
      <w:r>
        <w:t>In 2023/24, we provided study assistance to 13 staff undertaking tertiary study. We held two emerging leader programmes with 33 participants, and 15 people leaders attended the New People Leaders Programme. In March 2024, the Ministry held a Leadership Hui that brought together over 150 leaders to focus on priorities, collaboration and preparing for change.</w:t>
      </w:r>
    </w:p>
    <w:p w14:paraId="7B8986D4" w14:textId="2A40D1EE" w:rsidR="00992461" w:rsidRDefault="00992461" w:rsidP="00992461">
      <w:pPr>
        <w:pStyle w:val="Heading4"/>
      </w:pPr>
      <w:r w:rsidRPr="00992461">
        <w:t>Early in Career Programme</w:t>
      </w:r>
    </w:p>
    <w:p w14:paraId="499A6EAF" w14:textId="2668A43B" w:rsidR="00992461" w:rsidRDefault="00992461" w:rsidP="00992461">
      <w:r>
        <w:t>As part of our Early in Career Programme, 13 interns from across the organisation engaged in the third Summer Internship Programme, which was completed in February 2024.</w:t>
      </w:r>
    </w:p>
    <w:p w14:paraId="17713564" w14:textId="77777777" w:rsidR="00992461" w:rsidRDefault="00992461" w:rsidP="00992461"/>
    <w:p w14:paraId="13C26AA2" w14:textId="6D19FB84" w:rsidR="00992461" w:rsidRDefault="00992461" w:rsidP="00992461">
      <w:r>
        <w:t>The Ministry has built strong partnerships with several organisations and programmes to help attract and engage diverse staff. We continue to provide valuable learning opportunities to current students seeking a career in the health sector.</w:t>
      </w:r>
    </w:p>
    <w:p w14:paraId="18E9040C" w14:textId="77777777" w:rsidR="00992461" w:rsidRDefault="00992461" w:rsidP="00992461">
      <w:pPr>
        <w:pStyle w:val="Heading4"/>
      </w:pPr>
      <w:r w:rsidRPr="00992461">
        <w:t>Health, safety and wellbeing</w:t>
      </w:r>
    </w:p>
    <w:p w14:paraId="73C653B9" w14:textId="77777777" w:rsidR="00992461" w:rsidRDefault="00992461" w:rsidP="00992461">
      <w:pPr>
        <w:pStyle w:val="Heading5"/>
      </w:pPr>
      <w:r>
        <w:t>Strengthening our health, safety and wellbeing leadership</w:t>
      </w:r>
    </w:p>
    <w:p w14:paraId="1A86D3C0" w14:textId="77777777" w:rsidR="00992461" w:rsidRDefault="00992461" w:rsidP="00992461">
      <w:r>
        <w:t>In 2023/24, our senior leaders developed their health, safety and wellbeing governance capability by taking part in an officer development course facilitated by the Institute of Directors. Our senior leaders gained assurance by:</w:t>
      </w:r>
    </w:p>
    <w:p w14:paraId="417623D3" w14:textId="1A6EC537" w:rsidR="00992461" w:rsidRDefault="00992461" w:rsidP="00992461">
      <w:pPr>
        <w:pStyle w:val="Bullet"/>
      </w:pPr>
      <w:r>
        <w:t>participating in deep dives into areas of higher risk</w:t>
      </w:r>
    </w:p>
    <w:p w14:paraId="6C491C88" w14:textId="1333F9CC" w:rsidR="00992461" w:rsidRDefault="00992461" w:rsidP="00992461">
      <w:pPr>
        <w:pStyle w:val="Bullet"/>
      </w:pPr>
      <w:r>
        <w:t>considering high-level data, including lead and lag indicators of health, safety and wellbeing performance</w:t>
      </w:r>
    </w:p>
    <w:p w14:paraId="4BD8872A" w14:textId="202A1940" w:rsidR="00992461" w:rsidRDefault="00992461" w:rsidP="00992461">
      <w:pPr>
        <w:pStyle w:val="Bullet"/>
      </w:pPr>
      <w:r>
        <w:t>participating in safety observations</w:t>
      </w:r>
    </w:p>
    <w:p w14:paraId="4CC6368A" w14:textId="42F5F83C" w:rsidR="00992461" w:rsidRDefault="00992461" w:rsidP="00992461">
      <w:pPr>
        <w:pStyle w:val="Bullet"/>
      </w:pPr>
      <w:r>
        <w:t>sponsoring a range of events, such as Pink Shirt Day, Mental Health Awareness Week and ShakeOut.</w:t>
      </w:r>
    </w:p>
    <w:p w14:paraId="6B2735A1" w14:textId="77777777" w:rsidR="00992461" w:rsidRDefault="00992461" w:rsidP="00992461">
      <w:pPr>
        <w:pStyle w:val="Heading5"/>
      </w:pPr>
      <w:r>
        <w:t>Engaging with our people</w:t>
      </w:r>
    </w:p>
    <w:p w14:paraId="17DDA59B" w14:textId="0CB3A6C4" w:rsidR="00992461" w:rsidRDefault="00992461" w:rsidP="00992461">
      <w:r>
        <w:t>Health and safety representatives (HSRs) have continued to build their capability, including through training and participating in quarterly HSR committee meetings. Five HSRs attended the Government Health and Safety Lead (GHSL) HSRs Conference.</w:t>
      </w:r>
    </w:p>
    <w:p w14:paraId="631170C9" w14:textId="77777777" w:rsidR="00992461" w:rsidRDefault="00992461" w:rsidP="00992461"/>
    <w:p w14:paraId="2D26DBB7" w14:textId="77777777" w:rsidR="00992461" w:rsidRDefault="00992461" w:rsidP="00992461">
      <w:r>
        <w:t>The health and safety committees have input into the annual reviews of Haerenga ki te Ora – our Health, Safety and Wellbeing Strategy, and our Health, Safety and Wellbeing Policy.</w:t>
      </w:r>
    </w:p>
    <w:p w14:paraId="17CED9FD" w14:textId="77777777" w:rsidR="00992461" w:rsidRDefault="00992461" w:rsidP="00992461">
      <w:r>
        <w:lastRenderedPageBreak/>
        <w:t>Our Wellbeing Rōpū is comprised of people from across the Ministry. The rōpū is a key enabler of our psychosocial wellbeing programme of work. It keeps our focus on the lived experience of our people.</w:t>
      </w:r>
    </w:p>
    <w:p w14:paraId="4FEEF22E" w14:textId="77777777" w:rsidR="00992461" w:rsidRDefault="00992461" w:rsidP="00992461">
      <w:pPr>
        <w:pStyle w:val="Heading5"/>
      </w:pPr>
      <w:r>
        <w:t>Protecting psychosocial wellbeing during times of change</w:t>
      </w:r>
    </w:p>
    <w:p w14:paraId="1CCDB690" w14:textId="6A4481E6" w:rsidR="00992461" w:rsidRDefault="00992461" w:rsidP="00992461">
      <w:r>
        <w:t>The Wellbeing Rōpū enabled the Ministry to deliver effective support to our people during the change process, including through regular communications, workshops and wellbeing sessions. On-site counsellors were available during the consultation period and when decision documents were released.</w:t>
      </w:r>
    </w:p>
    <w:p w14:paraId="61384CE3" w14:textId="77777777" w:rsidR="00992461" w:rsidRDefault="00992461" w:rsidP="00992461"/>
    <w:p w14:paraId="1AE182B7" w14:textId="77777777" w:rsidR="00992461" w:rsidRDefault="00992461" w:rsidP="00992461">
      <w:r>
        <w:t>The Ministry’s Kia tū Kaha: Wellbeing Plan 2023–2026 entered its second year of implementation. Highlights for 2023/24 include:</w:t>
      </w:r>
    </w:p>
    <w:p w14:paraId="58605622" w14:textId="0D7EE4AE" w:rsidR="00992461" w:rsidRDefault="00992461" w:rsidP="00992461">
      <w:pPr>
        <w:pStyle w:val="Bullet"/>
      </w:pPr>
      <w:r>
        <w:t>delivering the Leading Wellbeing Programme pilot for people leaders</w:t>
      </w:r>
    </w:p>
    <w:p w14:paraId="02D54447" w14:textId="1B3A1E7E" w:rsidR="00992461" w:rsidRDefault="00992461" w:rsidP="00992461">
      <w:pPr>
        <w:pStyle w:val="Bullet"/>
      </w:pPr>
      <w:r>
        <w:t>developing resources for conducting sensitive or high-profile work</w:t>
      </w:r>
    </w:p>
    <w:p w14:paraId="4AA8F6D0" w14:textId="14781EFA" w:rsidR="00992461" w:rsidRDefault="00992461" w:rsidP="00992461">
      <w:pPr>
        <w:pStyle w:val="Bullet"/>
      </w:pPr>
      <w:r>
        <w:t>providing support that is relevant to the cultural contexts of our people such as by launching a pilot that offers rongoā Māori services through our employee assistance programme provider.</w:t>
      </w:r>
    </w:p>
    <w:p w14:paraId="115381AA" w14:textId="77777777" w:rsidR="00992461" w:rsidRDefault="00992461" w:rsidP="00992461"/>
    <w:p w14:paraId="2252B2C4" w14:textId="77777777" w:rsidR="00992461" w:rsidRDefault="00992461" w:rsidP="00992461">
      <w:r>
        <w:t>We continued to support the GHSL Mentally Healthy Work Community of Practice by serving as one of its chairs.</w:t>
      </w:r>
    </w:p>
    <w:p w14:paraId="7D0B026C" w14:textId="77777777" w:rsidR="00992461" w:rsidRDefault="00992461" w:rsidP="00992461">
      <w:pPr>
        <w:pStyle w:val="Heading5"/>
      </w:pPr>
      <w:r>
        <w:t>Managing our risks</w:t>
      </w:r>
    </w:p>
    <w:p w14:paraId="2A68E58B" w14:textId="77777777" w:rsidR="00992461" w:rsidRDefault="00992461" w:rsidP="00992461">
      <w:r>
        <w:t>The following are highlights in our work to manage our risks in 2023/24.</w:t>
      </w:r>
    </w:p>
    <w:p w14:paraId="153AC62A" w14:textId="17E591EE" w:rsidR="00992461" w:rsidRDefault="00992461" w:rsidP="00992461">
      <w:pPr>
        <w:pStyle w:val="Bullet"/>
      </w:pPr>
      <w:r>
        <w:t>In August 2023, the Ministry again achieved tertiary status as part of the Accident Compensation Corporation (ACC) Accredited Employers Programme audit.</w:t>
      </w:r>
    </w:p>
    <w:p w14:paraId="0AD0E35F" w14:textId="187A83C0" w:rsidR="00992461" w:rsidRDefault="00992461" w:rsidP="00992461">
      <w:pPr>
        <w:pStyle w:val="Bullet"/>
      </w:pPr>
      <w:r>
        <w:t xml:space="preserve">Our proactive management for pain and discomfort includes an early pain and discomfort programme that provides physiotherapy and </w:t>
      </w:r>
      <w:proofErr w:type="gramStart"/>
      <w:r>
        <w:t>work station</w:t>
      </w:r>
      <w:proofErr w:type="gramEnd"/>
      <w:r>
        <w:t xml:space="preserve"> assessments.</w:t>
      </w:r>
    </w:p>
    <w:p w14:paraId="4059746C" w14:textId="77777777" w:rsidR="00992461" w:rsidRDefault="00992461" w:rsidP="00992461">
      <w:pPr>
        <w:pStyle w:val="Bullet"/>
      </w:pPr>
      <w:r>
        <w:t>We have developed mitigations for other significant risks (eg, natural disasters and driving at work).</w:t>
      </w:r>
    </w:p>
    <w:p w14:paraId="11F60660" w14:textId="13E1B34D" w:rsidR="00FD7891" w:rsidRDefault="00FD7891" w:rsidP="00FD7891">
      <w:pPr>
        <w:pStyle w:val="Heading4"/>
      </w:pPr>
      <w:r w:rsidRPr="00FD7891">
        <w:t>Improving our IT infrastructure</w:t>
      </w:r>
    </w:p>
    <w:p w14:paraId="710F01E2" w14:textId="0478D50A" w:rsidR="00FD7891" w:rsidRDefault="00FD7891" w:rsidP="00FD7891">
      <w:r>
        <w:t>In 2023/24, we completed and closed the ‘Modernising Manatū Hauora’ programme. In February 2024, we completed the work to migrate over 80 million documents from Lotus Notes into Pātengi (our information management system).</w:t>
      </w:r>
    </w:p>
    <w:p w14:paraId="2A919562" w14:textId="77777777" w:rsidR="00FD7891" w:rsidRDefault="00FD7891" w:rsidP="00FD7891"/>
    <w:p w14:paraId="54A84798" w14:textId="2E1CA5A6" w:rsidR="00FD7891" w:rsidRDefault="00FD7891" w:rsidP="00FD7891">
      <w:r>
        <w:t>In addition, we supported the migration of technology and information from the Ministry to Health New Zealand, Te Aka Whai Ora and Whaikaha. Throughout 2023/24, we worked closely with our agency counterparts to support and enable the successful data migration of user accounts, including information and applications required for people to continue their work.</w:t>
      </w:r>
    </w:p>
    <w:p w14:paraId="40AC42E0" w14:textId="77777777" w:rsidR="00FD7891" w:rsidRDefault="00FD7891" w:rsidP="00FD7891">
      <w:pPr>
        <w:pStyle w:val="Heading4"/>
      </w:pPr>
      <w:r>
        <w:t>Our ongoing investment and technology upgrades</w:t>
      </w:r>
    </w:p>
    <w:p w14:paraId="32FFB33B" w14:textId="77777777" w:rsidR="00FD7891" w:rsidRDefault="00FD7891" w:rsidP="00FD7891">
      <w:r>
        <w:t>We continued to improve the technology systems that support the Ministry. During 2023/24, improvements included:</w:t>
      </w:r>
    </w:p>
    <w:p w14:paraId="3E38B8D9" w14:textId="14ADE748" w:rsidR="00FD7891" w:rsidRDefault="00FD7891" w:rsidP="00FD7891">
      <w:pPr>
        <w:pStyle w:val="Bullet"/>
      </w:pPr>
      <w:r>
        <w:t>deploying a new phishing awareness tool</w:t>
      </w:r>
    </w:p>
    <w:p w14:paraId="211827EA" w14:textId="6BDA57C9" w:rsidR="00FD7891" w:rsidRDefault="00FD7891" w:rsidP="00FD7891">
      <w:pPr>
        <w:pStyle w:val="Bullet"/>
      </w:pPr>
      <w:r>
        <w:t>implementing a new IT Service Management tool and retiring the old solution</w:t>
      </w:r>
    </w:p>
    <w:p w14:paraId="36BFEFA2" w14:textId="25236695" w:rsidR="00FD7891" w:rsidRDefault="00FD7891" w:rsidP="00FD7891">
      <w:pPr>
        <w:pStyle w:val="Bullet"/>
      </w:pPr>
      <w:r>
        <w:lastRenderedPageBreak/>
        <w:t>upgrading and replacing our printing solutions</w:t>
      </w:r>
    </w:p>
    <w:p w14:paraId="7C58F975" w14:textId="138CD89B" w:rsidR="00FD7891" w:rsidRDefault="00FD7891" w:rsidP="00FD7891">
      <w:pPr>
        <w:pStyle w:val="Bullet"/>
      </w:pPr>
      <w:r>
        <w:t>implementing a new library management system</w:t>
      </w:r>
    </w:p>
    <w:p w14:paraId="7C66F503" w14:textId="4C39A1BF" w:rsidR="00FD7891" w:rsidRDefault="00FD7891" w:rsidP="00FD7891">
      <w:pPr>
        <w:pStyle w:val="Bullet"/>
      </w:pPr>
      <w:r>
        <w:t>supporting several business-led technology replacement projects such as the Ministry website replacement project, the Regulatory Platforms replacement programme and a new centralised contracts management solution</w:t>
      </w:r>
    </w:p>
    <w:p w14:paraId="14D26981" w14:textId="27D6A29C" w:rsidR="00FD7891" w:rsidRDefault="00FD7891" w:rsidP="00FD7891">
      <w:pPr>
        <w:pStyle w:val="Bullet"/>
      </w:pPr>
      <w:r>
        <w:t>making upgrades to maintain IT infrastructure for our people.</w:t>
      </w:r>
    </w:p>
    <w:p w14:paraId="1A4E65C3" w14:textId="77777777" w:rsidR="00FD7891" w:rsidRDefault="00FD7891" w:rsidP="00FD7891"/>
    <w:p w14:paraId="72C859FA" w14:textId="77777777" w:rsidR="00FD7891" w:rsidRDefault="00FD7891" w:rsidP="00FD7891">
      <w:r>
        <w:t>New or substantially upgraded IT systems delivered during the reporting period have been certified and accredited according to our protective security requirements. They all meet New Zealand Information Security Manual obligations.</w:t>
      </w:r>
    </w:p>
    <w:p w14:paraId="599CE1AA" w14:textId="77777777" w:rsidR="00FD7891" w:rsidRDefault="00FD7891" w:rsidP="00FD7891">
      <w:pPr>
        <w:pStyle w:val="Heading4"/>
      </w:pPr>
      <w:r w:rsidRPr="00FD7891">
        <w:t xml:space="preserve">Service critical </w:t>
      </w:r>
      <w:proofErr w:type="gramStart"/>
      <w:r w:rsidRPr="00FD7891">
        <w:t>assets</w:t>
      </w:r>
      <w:proofErr w:type="gramEnd"/>
    </w:p>
    <w:p w14:paraId="256C16FE" w14:textId="77777777" w:rsidR="00FD7891" w:rsidRDefault="00FD7891" w:rsidP="00FD7891">
      <w:r>
        <w:t>Appendix 5 sets out our asset performance indicators for property. We are assessing the requirement for a set of asset performance indicators for our service critical assets that meets the Cabinet Office circular CO(23)9: Investment Management and Asset Performance in Departments and Other Entities. The annual report for 2024/25 will include any reporting against these indicators.</w:t>
      </w:r>
    </w:p>
    <w:p w14:paraId="217EC832" w14:textId="77777777" w:rsidR="00F13919" w:rsidRDefault="00F13919" w:rsidP="00FD7891"/>
    <w:p w14:paraId="106429B3" w14:textId="77777777" w:rsidR="00F13919" w:rsidRDefault="00F13919" w:rsidP="00FD7891">
      <w:pPr>
        <w:sectPr w:rsidR="00F13919" w:rsidSect="008F0115">
          <w:pgSz w:w="11907" w:h="16840" w:code="9"/>
          <w:pgMar w:top="1418" w:right="1701" w:bottom="1134" w:left="1843" w:header="284" w:footer="425" w:gutter="284"/>
          <w:cols w:space="720"/>
        </w:sectPr>
      </w:pPr>
    </w:p>
    <w:p w14:paraId="576A5C84" w14:textId="6745E56C" w:rsidR="00F13919" w:rsidRDefault="00F13919" w:rsidP="00F13919">
      <w:pPr>
        <w:pStyle w:val="Heading1"/>
      </w:pPr>
      <w:bookmarkStart w:id="35" w:name="_Toc180077031"/>
      <w:r>
        <w:lastRenderedPageBreak/>
        <w:t xml:space="preserve">Our statement of service performance </w:t>
      </w:r>
      <w:r w:rsidR="0044431F">
        <w:t>–</w:t>
      </w:r>
      <w:r>
        <w:t xml:space="preserve"> He tauāki mō ngā hua o ngā whakatutukinga</w:t>
      </w:r>
      <w:bookmarkEnd w:id="35"/>
    </w:p>
    <w:p w14:paraId="427E940E" w14:textId="77777777" w:rsidR="00F13919" w:rsidRPr="00F13919" w:rsidRDefault="00F13919" w:rsidP="00F13919">
      <w:pPr>
        <w:pStyle w:val="Heading2"/>
      </w:pPr>
      <w:bookmarkStart w:id="36" w:name="_Toc180077032"/>
      <w:r w:rsidRPr="00F13919">
        <w:t>Our statement of service performance policies and significant judgements</w:t>
      </w:r>
      <w:bookmarkEnd w:id="36"/>
    </w:p>
    <w:p w14:paraId="7571AF00" w14:textId="76F7B9FC" w:rsidR="00F13919" w:rsidRDefault="00F13919" w:rsidP="00F13919">
      <w:r w:rsidRPr="00F13919">
        <w:t>This statement sets out the significant judgements that the Ministry has used in preparing and selecting service performance information for Vote Health.</w:t>
      </w:r>
    </w:p>
    <w:p w14:paraId="18A6F169" w14:textId="5787FC2B" w:rsidR="00F13919" w:rsidRDefault="00F13919" w:rsidP="00F13919"/>
    <w:p w14:paraId="1279EACE" w14:textId="6D9B4B8A" w:rsidR="00F13919" w:rsidRDefault="00F13919" w:rsidP="00F13919">
      <w:r>
        <w:t>For information on the Ministry as the reporting entity, see note 1 to the financial statements.</w:t>
      </w:r>
    </w:p>
    <w:p w14:paraId="79ADDF9F" w14:textId="77777777" w:rsidR="00F13919" w:rsidRDefault="00F13919" w:rsidP="00F13919"/>
    <w:p w14:paraId="6A319FC6" w14:textId="1E68C595" w:rsidR="00F13919" w:rsidRDefault="00F13919" w:rsidP="00F13919">
      <w:r>
        <w:t xml:space="preserve">The </w:t>
      </w:r>
      <w:r w:rsidRPr="00F13919">
        <w:rPr>
          <w:i/>
          <w:iCs/>
        </w:rPr>
        <w:t>About us</w:t>
      </w:r>
      <w:r>
        <w:t xml:space="preserve"> section (</w:t>
      </w:r>
      <w:r w:rsidRPr="003A7F19">
        <w:t>pages 7 to 13</w:t>
      </w:r>
      <w:r>
        <w:t xml:space="preserve">) and </w:t>
      </w:r>
      <w:r w:rsidRPr="00F13919">
        <w:rPr>
          <w:i/>
          <w:iCs/>
        </w:rPr>
        <w:t>Who we are and what we do</w:t>
      </w:r>
      <w:r>
        <w:t xml:space="preserve"> section (pages </w:t>
      </w:r>
      <w:r w:rsidRPr="003A7F19">
        <w:t>77 to 82</w:t>
      </w:r>
      <w:r>
        <w:t>) set out our role and purpose. At a high level, we are the steward of Aotearoa New Zealand’s health system, advising the Government on health policy, setting the direction for the health system, and regulating and monitoring it so that it performs well and delivers better health outcomes for everyone.</w:t>
      </w:r>
    </w:p>
    <w:p w14:paraId="3470B17B" w14:textId="77777777" w:rsidR="00F13919" w:rsidRDefault="00F13919" w:rsidP="00F13919"/>
    <w:p w14:paraId="0CCB5EF3" w14:textId="6255990B" w:rsidR="00F13919" w:rsidRDefault="00F13919" w:rsidP="00F13919">
      <w:r>
        <w:t>This service performance information for the Ministry presents the performance measures and information for each appropriation funded under Vote Health (</w:t>
      </w:r>
      <w:r w:rsidRPr="003A7F19">
        <w:t>pages 97 to 109</w:t>
      </w:r>
      <w:r>
        <w:t>).</w:t>
      </w:r>
    </w:p>
    <w:p w14:paraId="08DD2147" w14:textId="77777777" w:rsidR="00F13919" w:rsidRDefault="00F13919" w:rsidP="00F13919"/>
    <w:p w14:paraId="710658F5" w14:textId="32A92816" w:rsidR="00F13919" w:rsidRDefault="00F13919" w:rsidP="00F13919">
      <w:r w:rsidRPr="00F13919">
        <w:rPr>
          <w:i/>
          <w:iCs/>
        </w:rPr>
        <w:t>Developing the future Ministry of Health: Our strategy and strategic intentions, 2022 to 2026</w:t>
      </w:r>
      <w:r>
        <w:t xml:space="preserve"> (strategic intentions 2022–2026) outlines how we will achieve our goals.</w:t>
      </w:r>
      <w:r>
        <w:rPr>
          <w:rStyle w:val="FootnoteReference"/>
        </w:rPr>
        <w:footnoteReference w:id="40"/>
      </w:r>
      <w:r>
        <w:t xml:space="preserve"> We report on progress against our strategic intentions in Our performance story, which includes the results from outcome measures and interim system-level measures (</w:t>
      </w:r>
      <w:r w:rsidRPr="003A7F19">
        <w:t>pages 61 to 73</w:t>
      </w:r>
      <w:r>
        <w:t>).</w:t>
      </w:r>
    </w:p>
    <w:p w14:paraId="3F1E90BF" w14:textId="77777777" w:rsidR="00F13919" w:rsidRDefault="00F13919" w:rsidP="00F13919"/>
    <w:p w14:paraId="324012AA" w14:textId="65FA3A03" w:rsidR="00F13919" w:rsidRDefault="00F13919" w:rsidP="00F13919">
      <w:r>
        <w:t>In the following sections, we explain our strategic intentions and the progress that the Ministry has made towards achieving these intentions.</w:t>
      </w:r>
    </w:p>
    <w:p w14:paraId="07E5BC6E" w14:textId="77777777" w:rsidR="00FE662D" w:rsidRDefault="00FE662D" w:rsidP="00FE662D">
      <w:pPr>
        <w:pStyle w:val="Heading3"/>
      </w:pPr>
      <w:r>
        <w:lastRenderedPageBreak/>
        <w:t>Additional disclosures</w:t>
      </w:r>
    </w:p>
    <w:p w14:paraId="7288C3C6" w14:textId="1459816B" w:rsidR="00FE662D" w:rsidRDefault="00FE662D" w:rsidP="00AE2C86">
      <w:pPr>
        <w:pStyle w:val="Heading4"/>
      </w:pPr>
      <w:r>
        <w:t>Reporting service performance information</w:t>
      </w:r>
    </w:p>
    <w:p w14:paraId="03CB6730" w14:textId="46EC44AD" w:rsidR="00FE662D" w:rsidRDefault="00FE662D" w:rsidP="00FE662D">
      <w:r>
        <w:t>The Ministry’s statement of service performance is prepared in accordance with the Public Finance Act 1989. As a public benefit entity (PBE), the Ministry is subject to the requirements of the PBE-FRS 48</w:t>
      </w:r>
      <w:r>
        <w:rPr>
          <w:rStyle w:val="FootnoteReference"/>
        </w:rPr>
        <w:footnoteReference w:id="41"/>
      </w:r>
      <w:r>
        <w:t xml:space="preserve"> on service reporting (the Standard).</w:t>
      </w:r>
    </w:p>
    <w:p w14:paraId="4B321B3E" w14:textId="77777777" w:rsidR="00FE662D" w:rsidRDefault="00FE662D" w:rsidP="00FE662D"/>
    <w:p w14:paraId="5B6812B9" w14:textId="77777777" w:rsidR="00F13919" w:rsidRDefault="00FE662D" w:rsidP="00FE662D">
      <w:r>
        <w:t>The Standard establishes the requirements for selecting and presenting service performance information. It requires additional information to be disclosed on the judgements that have the most significant effect on the selection, measurement, aggregation and presentation of service performance information.</w:t>
      </w:r>
    </w:p>
    <w:p w14:paraId="3CD4DBB5" w14:textId="77777777" w:rsidR="00FE662D" w:rsidRDefault="00FE662D" w:rsidP="00FE662D">
      <w:pPr>
        <w:pStyle w:val="Heading4"/>
      </w:pPr>
      <w:r>
        <w:t>Selection of measures</w:t>
      </w:r>
      <w:r>
        <w:tab/>
      </w:r>
    </w:p>
    <w:p w14:paraId="66C04FAC" w14:textId="3347685D" w:rsidR="00FE662D" w:rsidRDefault="00FE662D" w:rsidP="00FE662D">
      <w:r>
        <w:t>The performance measures we have continued to use or have added were selected to cover a range of qualitative and quantitative measures across the functions the Ministry is intended to deliver. The measures are aligned to their respective output expense appropriations.</w:t>
      </w:r>
    </w:p>
    <w:p w14:paraId="557B8AF4" w14:textId="77777777" w:rsidR="00FE662D" w:rsidRDefault="00FE662D" w:rsidP="00FE662D"/>
    <w:p w14:paraId="7ABD6202" w14:textId="7F8EA44E" w:rsidR="00FE662D" w:rsidRDefault="00FE662D" w:rsidP="00FE662D">
      <w:r>
        <w:t>The Ministry undertook a review of the appropriateness of our existing suite of non-financial performance measures and made some minimal changes through the 2023/24 Estimates of Appropriation process and Supplementary Estimates 2023/24. Any such changes were made to enhance existing performance measures and/or to add new measures that reflect new policy decisions.</w:t>
      </w:r>
    </w:p>
    <w:p w14:paraId="1E42333B" w14:textId="77777777" w:rsidR="00FE662D" w:rsidRDefault="00FE662D" w:rsidP="00FE662D"/>
    <w:p w14:paraId="69D44ABF" w14:textId="6CB431AD" w:rsidR="00FE662D" w:rsidRDefault="00FE662D" w:rsidP="00FE662D">
      <w:r>
        <w:t>Changes made to measures during 2023/24 in the Stewardship of the New Zealand health system multi-category appropriation (MCA) relate to the following output expense subcategories.</w:t>
      </w:r>
    </w:p>
    <w:p w14:paraId="66EB4384" w14:textId="2F7E0A7A" w:rsidR="00FE662D" w:rsidRDefault="00FE662D" w:rsidP="00FE662D">
      <w:pPr>
        <w:pStyle w:val="Bullet"/>
      </w:pPr>
      <w:r w:rsidRPr="00FE662D">
        <w:rPr>
          <w:b/>
          <w:bCs/>
        </w:rPr>
        <w:t>Equity, evidence and outcomes</w:t>
      </w:r>
      <w:r>
        <w:t>: Two additional performance measures were added to reflect the policies of the Government of the day. These were completing baseline research on the Smokefree Aotearoa 2025 Action Plan and developing a shared work programme for health research with Health New Zealand and Te Aka Whai Ora.</w:t>
      </w:r>
    </w:p>
    <w:p w14:paraId="6A8A1FAD" w14:textId="5E84A713" w:rsidR="00FE662D" w:rsidRDefault="00FE662D" w:rsidP="00FE662D">
      <w:pPr>
        <w:pStyle w:val="Bullet"/>
      </w:pPr>
      <w:r w:rsidRPr="00FE662D">
        <w:rPr>
          <w:b/>
          <w:bCs/>
        </w:rPr>
        <w:t>Public health and population health leadership</w:t>
      </w:r>
      <w:r>
        <w:t>: The Public Health Agency added three new measures to reflect its role. These covered setting up the Public Health Knowledge and Surveillance System and the Intelligence, Surveillance and Knowledge system work programmes, and a measure on building a work programme that collects data relating to the health of Pacific peoples.</w:t>
      </w:r>
    </w:p>
    <w:p w14:paraId="022E3A09" w14:textId="77777777" w:rsidR="00FE662D" w:rsidRDefault="00FE662D" w:rsidP="00FE662D"/>
    <w:p w14:paraId="57E2B27B" w14:textId="42752869" w:rsidR="00FE662D" w:rsidRDefault="00FE662D" w:rsidP="00FE662D">
      <w:r>
        <w:t>For full information on the 2023/24 performance measures, and any adjustments to them, see the Vote Health Estimates of Appropriation 2023/24 and Supplementary Estimates of Appropriation 2023/24.</w:t>
      </w:r>
    </w:p>
    <w:p w14:paraId="239C2661" w14:textId="387926BD" w:rsidR="00FE662D" w:rsidRDefault="00FE662D" w:rsidP="00FE662D"/>
    <w:p w14:paraId="1C4AAA15" w14:textId="77777777" w:rsidR="00FE662D" w:rsidRDefault="00FE662D" w:rsidP="00FE662D">
      <w:pPr>
        <w:pStyle w:val="Heading4"/>
      </w:pPr>
      <w:r>
        <w:lastRenderedPageBreak/>
        <w:t>Aggregation of service performance information</w:t>
      </w:r>
    </w:p>
    <w:p w14:paraId="76246CBC" w14:textId="77777777" w:rsidR="00FE662D" w:rsidRDefault="00FE662D" w:rsidP="00FE662D">
      <w:r>
        <w:t>The Ministry used the following level of aggregation.</w:t>
      </w:r>
    </w:p>
    <w:p w14:paraId="6E6C704A" w14:textId="5EED82F8" w:rsidR="00FE662D" w:rsidRDefault="00FE662D" w:rsidP="00FE662D">
      <w:pPr>
        <w:pStyle w:val="Bullet"/>
      </w:pPr>
      <w:r>
        <w:t>Reporting against the strategic intentions (grouping the activities provided within ‘Our performance story’ within each strategic intention listed)</w:t>
      </w:r>
    </w:p>
    <w:p w14:paraId="511CBACC" w14:textId="68719C53" w:rsidR="00FE662D" w:rsidRDefault="00FE662D" w:rsidP="00FE662D">
      <w:pPr>
        <w:pStyle w:val="Letter"/>
        <w:ind w:left="709" w:hanging="425"/>
      </w:pPr>
      <w:r>
        <w:t>Reporting on non-financial performance measures</w:t>
      </w:r>
    </w:p>
    <w:p w14:paraId="5636FDF3" w14:textId="1D9181DC" w:rsidR="00FE662D" w:rsidRDefault="00FE662D" w:rsidP="00FE662D">
      <w:pPr>
        <w:pStyle w:val="Roman"/>
        <w:ind w:left="1134" w:hanging="425"/>
      </w:pPr>
      <w:r>
        <w:t>Vote Health Estimates of Appropriation 2023/24 and Supplementary Estimates of Appropriation 2023/24</w:t>
      </w:r>
    </w:p>
    <w:p w14:paraId="16B924F4" w14:textId="79CB8DB7" w:rsidR="00FE662D" w:rsidRDefault="00FE662D" w:rsidP="00FE662D">
      <w:pPr>
        <w:pStyle w:val="Letter"/>
        <w:ind w:left="709" w:hanging="425"/>
      </w:pPr>
      <w:r>
        <w:t>Departmental agency reporting</w:t>
      </w:r>
    </w:p>
    <w:p w14:paraId="1ACFEFC9" w14:textId="732EDE6A" w:rsidR="00FE662D" w:rsidRDefault="00FE662D" w:rsidP="00AE2C86">
      <w:pPr>
        <w:pStyle w:val="Roman"/>
        <w:numPr>
          <w:ilvl w:val="2"/>
          <w:numId w:val="37"/>
        </w:numPr>
        <w:ind w:left="1134" w:hanging="425"/>
      </w:pPr>
      <w:r>
        <w:tab/>
        <w:t>Te Aho o Te Kahu – Cancer Control Agency annual report is attached and audited alongside the Ministry’s annual report.</w:t>
      </w:r>
    </w:p>
    <w:p w14:paraId="0EB3BD7C" w14:textId="77777777" w:rsidR="00FE662D" w:rsidRDefault="00FE662D" w:rsidP="00FE662D"/>
    <w:p w14:paraId="3CF11428" w14:textId="77777777" w:rsidR="00673E82" w:rsidRDefault="00673E82" w:rsidP="00673E82">
      <w:pPr>
        <w:pStyle w:val="Heading2"/>
        <w:sectPr w:rsidR="00673E82" w:rsidSect="008F0115">
          <w:pgSz w:w="11907" w:h="16840" w:code="9"/>
          <w:pgMar w:top="1418" w:right="1701" w:bottom="1134" w:left="1843" w:header="284" w:footer="425" w:gutter="284"/>
          <w:cols w:space="720"/>
        </w:sectPr>
      </w:pPr>
    </w:p>
    <w:p w14:paraId="7D5282B7" w14:textId="77777777" w:rsidR="00FE662D" w:rsidRDefault="00673E82" w:rsidP="00673E82">
      <w:pPr>
        <w:pStyle w:val="Heading2"/>
        <w:spacing w:before="0"/>
      </w:pPr>
      <w:bookmarkStart w:id="37" w:name="_Toc180077033"/>
      <w:r w:rsidRPr="00673E82">
        <w:lastRenderedPageBreak/>
        <w:t>Performance of the Ministry of Health</w:t>
      </w:r>
      <w:bookmarkEnd w:id="37"/>
    </w:p>
    <w:p w14:paraId="411570D6" w14:textId="1FB08990" w:rsidR="00673E82" w:rsidRDefault="00673E82" w:rsidP="00673E82">
      <w:r w:rsidRPr="00673E82">
        <w:t>This section details the performance of the Ministry against our output measures and targets specified in Vote Health – Main Estimates of Appropriation 2023/24</w:t>
      </w:r>
      <w:r>
        <w:rPr>
          <w:rStyle w:val="FootnoteReference"/>
        </w:rPr>
        <w:footnoteReference w:id="42"/>
      </w:r>
      <w:r w:rsidRPr="00673E82">
        <w:t xml:space="preserve"> and (where updated) in Vote Health – Supplementary Estimates of Appropriation 2023/24</w:t>
      </w:r>
      <w:r w:rsidR="00AF5E3F">
        <w:rPr>
          <w:rStyle w:val="FootnoteReference"/>
        </w:rPr>
        <w:footnoteReference w:id="43"/>
      </w:r>
      <w:r w:rsidRPr="00673E82">
        <w:t xml:space="preserve"> for the multi-category expenses for our departmental and non-departmental output expenses and capital expenditure appropriations.</w:t>
      </w:r>
    </w:p>
    <w:p w14:paraId="2E2769C6" w14:textId="77777777" w:rsidR="00AF5E3F" w:rsidRDefault="00AF5E3F" w:rsidP="00673E82"/>
    <w:p w14:paraId="6492FECD" w14:textId="77777777" w:rsidR="00AF5E3F" w:rsidRDefault="00AF5E3F" w:rsidP="00AF5E3F">
      <w:r>
        <w:t>This section focuses on our performance, measured by the following output categories, which we are responsible for:</w:t>
      </w:r>
    </w:p>
    <w:p w14:paraId="7645DDC7" w14:textId="74842677" w:rsidR="00AF5E3F" w:rsidRDefault="00AF5E3F" w:rsidP="00AF5E3F">
      <w:pPr>
        <w:pStyle w:val="Bullet"/>
      </w:pPr>
      <w:r>
        <w:t>Stewardship of the New Zealand health system MCA</w:t>
      </w:r>
    </w:p>
    <w:p w14:paraId="715A1D4A" w14:textId="4125FCF7" w:rsidR="00AF5E3F" w:rsidRDefault="00AF5E3F" w:rsidP="00AF5E3F">
      <w:pPr>
        <w:pStyle w:val="Dash"/>
      </w:pPr>
      <w:r>
        <w:t>Equity, Evidence and Outcomes</w:t>
      </w:r>
    </w:p>
    <w:p w14:paraId="2922A5C8" w14:textId="4CD1FDF3" w:rsidR="00AF5E3F" w:rsidRDefault="00AF5E3F" w:rsidP="00AF5E3F">
      <w:pPr>
        <w:pStyle w:val="Dash"/>
      </w:pPr>
      <w:r>
        <w:t>Policy Advice and Related Services</w:t>
      </w:r>
    </w:p>
    <w:p w14:paraId="313EB3E9" w14:textId="25080B95" w:rsidR="00AF5E3F" w:rsidRDefault="00AF5E3F" w:rsidP="00AF5E3F">
      <w:pPr>
        <w:pStyle w:val="Dash"/>
      </w:pPr>
      <w:r>
        <w:t>Public Health and Population Health Leadership</w:t>
      </w:r>
    </w:p>
    <w:p w14:paraId="4D88CBB5" w14:textId="430DEF05" w:rsidR="00AF5E3F" w:rsidRDefault="00AF5E3F" w:rsidP="00AF5E3F">
      <w:pPr>
        <w:pStyle w:val="Dash"/>
      </w:pPr>
      <w:r>
        <w:t>Regulatory and Enforcement Services</w:t>
      </w:r>
    </w:p>
    <w:p w14:paraId="13FBC555" w14:textId="458C08E9" w:rsidR="00AF5E3F" w:rsidRDefault="00AF5E3F" w:rsidP="00AF5E3F">
      <w:pPr>
        <w:pStyle w:val="Dash"/>
      </w:pPr>
      <w:r>
        <w:t>Sector Performance and Monitoring</w:t>
      </w:r>
    </w:p>
    <w:p w14:paraId="3CCE1AE8" w14:textId="09828AAB" w:rsidR="00AF5E3F" w:rsidRDefault="00AF5E3F" w:rsidP="00AF5E3F">
      <w:pPr>
        <w:pStyle w:val="Bullet"/>
      </w:pPr>
      <w:r>
        <w:t>Implementing the COVID-19 Vaccine Strategy</w:t>
      </w:r>
    </w:p>
    <w:p w14:paraId="49EB05A1" w14:textId="75CDBFBC" w:rsidR="00AF5E3F" w:rsidRDefault="00AF5E3F" w:rsidP="00AF5E3F">
      <w:pPr>
        <w:pStyle w:val="Dash"/>
      </w:pPr>
      <w:r>
        <w:t xml:space="preserve">Non-departmental output expenses supporting the implementation of the COVID-19 vaccine </w:t>
      </w:r>
      <w:proofErr w:type="gramStart"/>
      <w:r>
        <w:t>strategy</w:t>
      </w:r>
      <w:proofErr w:type="gramEnd"/>
    </w:p>
    <w:p w14:paraId="5843D90A" w14:textId="78A71036" w:rsidR="00AF5E3F" w:rsidRDefault="00AF5E3F" w:rsidP="00AF5E3F">
      <w:pPr>
        <w:pStyle w:val="Bullet"/>
      </w:pPr>
      <w:r>
        <w:t>National Response to COVID-19 Across the Health Sector</w:t>
      </w:r>
    </w:p>
    <w:p w14:paraId="3DEA2F85" w14:textId="16942585" w:rsidR="00AF5E3F" w:rsidRDefault="00AF5E3F" w:rsidP="00AF5E3F">
      <w:pPr>
        <w:pStyle w:val="Dash"/>
      </w:pPr>
      <w:r>
        <w:t xml:space="preserve"> National health response to COVID-19</w:t>
      </w:r>
    </w:p>
    <w:p w14:paraId="5C2DE7D1" w14:textId="0428D4EE" w:rsidR="00AF5E3F" w:rsidRDefault="00AF5E3F" w:rsidP="00AF5E3F">
      <w:pPr>
        <w:pStyle w:val="Bullet"/>
      </w:pPr>
      <w:r>
        <w:t>Ministry of Health – Capital Expenditure Permanent Legislative Authority.</w:t>
      </w:r>
    </w:p>
    <w:p w14:paraId="3BFDFE90" w14:textId="77777777" w:rsidR="00AF5E3F" w:rsidRDefault="00AF5E3F" w:rsidP="00AF5E3F"/>
    <w:p w14:paraId="3103CE8F" w14:textId="21D7CA60" w:rsidR="00AF5E3F" w:rsidRDefault="00AF5E3F" w:rsidP="00AF5E3F">
      <w:r>
        <w:t>The 2023/24 actual results are reported against each measure’s Budget Standard (target) for 2022/23 as a measure of the actual performance. Where applicable, we compare our actual performance this year against the output measures and results from last year (2022/23).</w:t>
      </w:r>
    </w:p>
    <w:p w14:paraId="6027577B" w14:textId="77777777" w:rsidR="00AF5E3F" w:rsidRDefault="00AF5E3F" w:rsidP="00AF5E3F">
      <w:pPr>
        <w:pStyle w:val="Heading4"/>
        <w:sectPr w:rsidR="00AF5E3F" w:rsidSect="008F0115">
          <w:pgSz w:w="11907" w:h="16840" w:code="9"/>
          <w:pgMar w:top="1418" w:right="1701" w:bottom="1134" w:left="1843" w:header="284" w:footer="425" w:gutter="284"/>
          <w:cols w:space="720"/>
        </w:sectPr>
      </w:pPr>
    </w:p>
    <w:p w14:paraId="0B2FF511" w14:textId="7AC484CB" w:rsidR="00AF5E3F" w:rsidRDefault="00AF5E3F" w:rsidP="00AF5E3F">
      <w:pPr>
        <w:pStyle w:val="Heading4"/>
        <w:spacing w:before="0"/>
      </w:pPr>
      <w:r w:rsidRPr="00AF5E3F">
        <w:lastRenderedPageBreak/>
        <w:t>The Ministry’s 37 non-financial performance measures</w:t>
      </w:r>
    </w:p>
    <w:p w14:paraId="48525A64" w14:textId="3D8ACF16" w:rsidR="00AF5E3F" w:rsidRDefault="00AF5E3F" w:rsidP="00AF5E3F">
      <w:r>
        <w:t>Results for 2023/24 show that of the Ministry’s 37 non-financial performance measures, 29 have met or exceeded the Budget Standard. Eight have not met the Budget Standard and insights from these measures will be used to improve our performance in outyears.</w:t>
      </w:r>
    </w:p>
    <w:p w14:paraId="113742BB" w14:textId="77777777" w:rsidR="00AF5E3F" w:rsidRDefault="00AF5E3F" w:rsidP="00AF5E3F"/>
    <w:p w14:paraId="13A5875F" w14:textId="6053EDB6" w:rsidR="00AF5E3F" w:rsidRDefault="00AF5E3F" w:rsidP="00AF5E3F">
      <w:r>
        <w:t>Within each output class in this section, we use the following symbols to provide a quick check for the 2023/24 results:</w:t>
      </w:r>
    </w:p>
    <w:p w14:paraId="0ED34BC4" w14:textId="5B0E6037" w:rsidR="00AF5E3F" w:rsidRDefault="00AF5E3F" w:rsidP="00AF5E3F"/>
    <w:tbl>
      <w:tblPr>
        <w:tblW w:w="4820" w:type="dxa"/>
        <w:shd w:val="clear" w:color="auto" w:fill="D9D9D9" w:themeFill="background1" w:themeFillShade="D9"/>
        <w:tblLayout w:type="fixed"/>
        <w:tblCellMar>
          <w:left w:w="0" w:type="dxa"/>
          <w:right w:w="0" w:type="dxa"/>
        </w:tblCellMar>
        <w:tblLook w:val="01E0" w:firstRow="1" w:lastRow="1" w:firstColumn="1" w:lastColumn="1" w:noHBand="0" w:noVBand="0"/>
      </w:tblPr>
      <w:tblGrid>
        <w:gridCol w:w="3261"/>
        <w:gridCol w:w="1559"/>
      </w:tblGrid>
      <w:tr w:rsidR="00AF5E3F" w14:paraId="7511A2B7" w14:textId="77777777" w:rsidTr="00AF5E3F">
        <w:trPr>
          <w:trHeight w:val="1021"/>
        </w:trPr>
        <w:tc>
          <w:tcPr>
            <w:tcW w:w="3261" w:type="dxa"/>
            <w:shd w:val="clear" w:color="auto" w:fill="D9D9D9" w:themeFill="background1" w:themeFillShade="D9"/>
            <w:hideMark/>
          </w:tcPr>
          <w:p w14:paraId="4D5DECFC" w14:textId="77777777" w:rsidR="00AF5E3F" w:rsidRPr="00AF5E3F" w:rsidRDefault="00AF5E3F" w:rsidP="00AF5E3F">
            <w:pPr>
              <w:pStyle w:val="TableText"/>
              <w:ind w:left="57"/>
              <w:rPr>
                <w:lang w:val="en-GB"/>
              </w:rPr>
            </w:pPr>
            <w:r w:rsidRPr="00AF5E3F">
              <w:rPr>
                <w:lang w:val="en-GB"/>
              </w:rPr>
              <w:t>Met or exceeded the Budget Standard</w:t>
            </w:r>
          </w:p>
          <w:p w14:paraId="464E5D1D" w14:textId="77777777" w:rsidR="00AF5E3F" w:rsidRDefault="00AF5E3F" w:rsidP="00AF5E3F">
            <w:pPr>
              <w:pStyle w:val="TableText"/>
              <w:ind w:left="57"/>
              <w:rPr>
                <w:lang w:val="en-GB"/>
              </w:rPr>
            </w:pPr>
            <w:r w:rsidRPr="00AF5E3F">
              <w:rPr>
                <w:lang w:val="en-GB"/>
              </w:rPr>
              <w:t xml:space="preserve">Did not meet the Budget Standard </w:t>
            </w:r>
          </w:p>
          <w:p w14:paraId="191A63B8" w14:textId="2814F02B" w:rsidR="00AF5E3F" w:rsidRDefault="00AF5E3F" w:rsidP="00AF5E3F">
            <w:pPr>
              <w:pStyle w:val="TableText"/>
              <w:ind w:left="57"/>
              <w:rPr>
                <w:lang w:val="en-GB"/>
              </w:rPr>
            </w:pPr>
            <w:r w:rsidRPr="00AF5E3F">
              <w:rPr>
                <w:lang w:val="en-GB"/>
              </w:rPr>
              <w:t>Not available or Not assessed</w:t>
            </w:r>
          </w:p>
        </w:tc>
        <w:tc>
          <w:tcPr>
            <w:tcW w:w="1559" w:type="dxa"/>
            <w:shd w:val="clear" w:color="auto" w:fill="D9D9D9" w:themeFill="background1" w:themeFillShade="D9"/>
            <w:hideMark/>
          </w:tcPr>
          <w:p w14:paraId="247050BA" w14:textId="77777777" w:rsidR="00AF5E3F" w:rsidRDefault="00AF5E3F" w:rsidP="00AF5E3F">
            <w:pPr>
              <w:spacing w:before="60" w:after="60"/>
              <w:ind w:left="-1" w:firstLine="1"/>
              <w:jc w:val="center"/>
              <w:rPr>
                <w:lang w:val="en-GB"/>
              </w:rPr>
            </w:pPr>
            <w:r>
              <w:rPr>
                <w:lang w:val="en-GB"/>
              </w:rPr>
              <w:sym w:font="Wingdings" w:char="F0FC"/>
            </w:r>
          </w:p>
          <w:p w14:paraId="03D5C2F8" w14:textId="77777777" w:rsidR="00AF5E3F" w:rsidRDefault="00AF5E3F">
            <w:pPr>
              <w:spacing w:before="60" w:after="60"/>
              <w:jc w:val="center"/>
              <w:rPr>
                <w:lang w:val="en-GB"/>
              </w:rPr>
            </w:pPr>
            <w:r>
              <w:rPr>
                <w:lang w:val="en-GB"/>
              </w:rPr>
              <w:sym w:font="Wingdings" w:char="F0FB"/>
            </w:r>
          </w:p>
          <w:p w14:paraId="3AA55DF0" w14:textId="77777777" w:rsidR="00AF5E3F" w:rsidRDefault="00AF5E3F">
            <w:pPr>
              <w:pStyle w:val="TableText"/>
              <w:jc w:val="center"/>
              <w:rPr>
                <w:b/>
                <w:bCs/>
                <w:lang w:val="en-GB"/>
              </w:rPr>
            </w:pPr>
            <w:r>
              <w:rPr>
                <w:b/>
                <w:bCs/>
                <w:lang w:val="en-GB"/>
              </w:rPr>
              <w:t>NA</w:t>
            </w:r>
          </w:p>
        </w:tc>
      </w:tr>
    </w:tbl>
    <w:p w14:paraId="518DF8CB" w14:textId="77777777" w:rsidR="00AF5E3F" w:rsidRDefault="00AF5E3F" w:rsidP="00AF5E3F"/>
    <w:p w14:paraId="4D0959BD" w14:textId="7D501579" w:rsidR="00AF5E3F" w:rsidRDefault="00AF5E3F" w:rsidP="00AF5E3F">
      <w:r>
        <w:rPr>
          <w:noProof/>
        </w:rPr>
        <w:drawing>
          <wp:inline distT="0" distB="0" distL="0" distR="0" wp14:anchorId="0F329DCA" wp14:editId="08EC1E65">
            <wp:extent cx="3585210" cy="1981200"/>
            <wp:effectExtent l="0" t="0" r="0" b="0"/>
            <wp:docPr id="451" name="Picture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3590771" cy="1984057"/>
                    </a:xfrm>
                    <a:prstGeom prst="rect">
                      <a:avLst/>
                    </a:prstGeom>
                  </pic:spPr>
                </pic:pic>
              </a:graphicData>
            </a:graphic>
          </wp:inline>
        </w:drawing>
      </w:r>
    </w:p>
    <w:p w14:paraId="73680EF8" w14:textId="77777777" w:rsidR="00AF5E3F" w:rsidRDefault="00AF5E3F" w:rsidP="00AF5E3F">
      <w:pPr>
        <w:pStyle w:val="Heading3"/>
      </w:pPr>
      <w:r>
        <w:t>Stewardship of the New Zealand health system MCA</w:t>
      </w:r>
    </w:p>
    <w:p w14:paraId="66A542B5" w14:textId="77777777" w:rsidR="00AF5E3F" w:rsidRDefault="00AF5E3F" w:rsidP="00AF5E3F">
      <w:r>
        <w:t>The single overarching purpose of this appropriation is to enable the Ministry to discharge its role as the chief steward of New Zealand’s health system and principal advisor to the Minister of Health.</w:t>
      </w:r>
    </w:p>
    <w:p w14:paraId="3F72FBE2" w14:textId="77777777" w:rsidR="00AF5E3F" w:rsidRDefault="00AF5E3F" w:rsidP="00AF5E3F"/>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3969"/>
        <w:gridCol w:w="851"/>
        <w:gridCol w:w="1134"/>
        <w:gridCol w:w="1134"/>
        <w:gridCol w:w="992"/>
      </w:tblGrid>
      <w:tr w:rsidR="00C83D9B" w:rsidRPr="005437CA" w14:paraId="1872FA43" w14:textId="77777777" w:rsidTr="00C83D9B">
        <w:tc>
          <w:tcPr>
            <w:tcW w:w="8080" w:type="dxa"/>
            <w:gridSpan w:val="5"/>
            <w:tcBorders>
              <w:top w:val="nil"/>
              <w:left w:val="nil"/>
              <w:bottom w:val="nil"/>
              <w:right w:val="nil"/>
            </w:tcBorders>
            <w:shd w:val="clear" w:color="auto" w:fill="D9D9D9" w:themeFill="background1" w:themeFillShade="D9"/>
            <w:hideMark/>
          </w:tcPr>
          <w:p w14:paraId="13B817BA" w14:textId="77777777" w:rsidR="00C83D9B" w:rsidRPr="005437CA" w:rsidRDefault="00C83D9B">
            <w:pPr>
              <w:pStyle w:val="TableText"/>
              <w:rPr>
                <w:b/>
                <w:bCs/>
                <w:szCs w:val="18"/>
              </w:rPr>
            </w:pPr>
            <w:r w:rsidRPr="005437CA">
              <w:rPr>
                <w:b/>
                <w:bCs/>
                <w:szCs w:val="18"/>
              </w:rPr>
              <w:t>Performance assessment</w:t>
            </w:r>
          </w:p>
        </w:tc>
      </w:tr>
      <w:tr w:rsidR="00C83D9B" w:rsidRPr="00C83D9B" w14:paraId="72640C3F" w14:textId="77777777" w:rsidTr="00C83D9B">
        <w:tc>
          <w:tcPr>
            <w:tcW w:w="3969"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0DF79EF4" w14:textId="77777777" w:rsidR="00C83D9B" w:rsidRPr="00C83D9B" w:rsidRDefault="00C83D9B">
            <w:pPr>
              <w:pStyle w:val="TableText"/>
              <w:rPr>
                <w:b/>
                <w:bCs/>
                <w:sz w:val="16"/>
                <w:szCs w:val="16"/>
              </w:rPr>
            </w:pPr>
            <w:r w:rsidRPr="00C83D9B">
              <w:rPr>
                <w:b/>
                <w:bCs/>
                <w:sz w:val="16"/>
                <w:szCs w:val="16"/>
              </w:rPr>
              <w:t>Performance measure</w:t>
            </w:r>
          </w:p>
        </w:tc>
        <w:tc>
          <w:tcPr>
            <w:tcW w:w="851"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6F99BC79" w14:textId="77777777" w:rsidR="00C83D9B" w:rsidRPr="00C83D9B" w:rsidRDefault="00C83D9B">
            <w:pPr>
              <w:pStyle w:val="TableText"/>
              <w:jc w:val="right"/>
              <w:rPr>
                <w:b/>
                <w:bCs/>
                <w:sz w:val="16"/>
                <w:szCs w:val="16"/>
              </w:rPr>
            </w:pPr>
            <w:r w:rsidRPr="00C83D9B">
              <w:rPr>
                <w:b/>
                <w:bCs/>
                <w:sz w:val="16"/>
                <w:szCs w:val="16"/>
              </w:rPr>
              <w:t>Actual</w:t>
            </w:r>
          </w:p>
          <w:p w14:paraId="77E052E2" w14:textId="2E79367D" w:rsidR="00C83D9B" w:rsidRPr="00C83D9B" w:rsidRDefault="00C83D9B">
            <w:pPr>
              <w:pStyle w:val="TableText"/>
              <w:jc w:val="right"/>
              <w:rPr>
                <w:b/>
                <w:bCs/>
                <w:sz w:val="16"/>
                <w:szCs w:val="16"/>
              </w:rPr>
            </w:pPr>
            <w:r w:rsidRPr="00C83D9B">
              <w:rPr>
                <w:b/>
                <w:bCs/>
                <w:sz w:val="16"/>
                <w:szCs w:val="16"/>
              </w:rPr>
              <w:t>2022/23</w:t>
            </w:r>
          </w:p>
        </w:tc>
        <w:tc>
          <w:tcPr>
            <w:tcW w:w="1134"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73D89BB7" w14:textId="77777777" w:rsidR="00C83D9B" w:rsidRPr="00C83D9B" w:rsidRDefault="00C83D9B">
            <w:pPr>
              <w:pStyle w:val="TableText"/>
              <w:jc w:val="right"/>
              <w:rPr>
                <w:b/>
                <w:bCs/>
                <w:sz w:val="16"/>
                <w:szCs w:val="16"/>
              </w:rPr>
            </w:pPr>
            <w:r w:rsidRPr="00C83D9B">
              <w:rPr>
                <w:b/>
                <w:bCs/>
                <w:sz w:val="16"/>
                <w:szCs w:val="16"/>
              </w:rPr>
              <w:t>Budget Standard</w:t>
            </w:r>
          </w:p>
          <w:p w14:paraId="57DA9FCF" w14:textId="26EF9C27" w:rsidR="00C83D9B" w:rsidRPr="00C83D9B" w:rsidRDefault="00C83D9B">
            <w:pPr>
              <w:pStyle w:val="TableText"/>
              <w:jc w:val="right"/>
              <w:rPr>
                <w:b/>
                <w:bCs/>
                <w:sz w:val="16"/>
                <w:szCs w:val="16"/>
              </w:rPr>
            </w:pPr>
            <w:r w:rsidRPr="00C83D9B">
              <w:rPr>
                <w:b/>
                <w:bCs/>
                <w:sz w:val="16"/>
                <w:szCs w:val="16"/>
              </w:rPr>
              <w:t>2023/24</w:t>
            </w:r>
          </w:p>
        </w:tc>
        <w:tc>
          <w:tcPr>
            <w:tcW w:w="1134"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7931AA6D" w14:textId="77777777" w:rsidR="00C83D9B" w:rsidRPr="00C83D9B" w:rsidRDefault="00C83D9B">
            <w:pPr>
              <w:pStyle w:val="TableText"/>
              <w:jc w:val="right"/>
              <w:rPr>
                <w:b/>
                <w:bCs/>
                <w:sz w:val="16"/>
                <w:szCs w:val="16"/>
              </w:rPr>
            </w:pPr>
            <w:r w:rsidRPr="00C83D9B">
              <w:rPr>
                <w:b/>
                <w:bCs/>
                <w:sz w:val="16"/>
                <w:szCs w:val="16"/>
              </w:rPr>
              <w:t>Actual</w:t>
            </w:r>
          </w:p>
          <w:p w14:paraId="01641CD3" w14:textId="22CF4538" w:rsidR="00C83D9B" w:rsidRPr="00C83D9B" w:rsidRDefault="00C83D9B">
            <w:pPr>
              <w:pStyle w:val="TableText"/>
              <w:jc w:val="right"/>
              <w:rPr>
                <w:b/>
                <w:bCs/>
                <w:sz w:val="16"/>
                <w:szCs w:val="16"/>
              </w:rPr>
            </w:pPr>
            <w:r w:rsidRPr="00C83D9B">
              <w:rPr>
                <w:b/>
                <w:bCs/>
                <w:sz w:val="16"/>
                <w:szCs w:val="16"/>
              </w:rPr>
              <w:t>2023/24</w:t>
            </w:r>
          </w:p>
        </w:tc>
        <w:tc>
          <w:tcPr>
            <w:tcW w:w="992"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78B27CA0" w14:textId="77777777" w:rsidR="00C83D9B" w:rsidRPr="00C83D9B" w:rsidRDefault="00C83D9B">
            <w:pPr>
              <w:pStyle w:val="TableText"/>
              <w:jc w:val="right"/>
              <w:rPr>
                <w:b/>
                <w:bCs/>
                <w:sz w:val="16"/>
                <w:szCs w:val="16"/>
              </w:rPr>
            </w:pPr>
            <w:r w:rsidRPr="00C83D9B">
              <w:rPr>
                <w:b/>
                <w:bCs/>
                <w:sz w:val="16"/>
                <w:szCs w:val="16"/>
              </w:rPr>
              <w:t xml:space="preserve">At a </w:t>
            </w:r>
            <w:r w:rsidRPr="00C83D9B">
              <w:rPr>
                <w:b/>
                <w:bCs/>
                <w:sz w:val="16"/>
                <w:szCs w:val="16"/>
              </w:rPr>
              <w:br/>
              <w:t>glance</w:t>
            </w:r>
          </w:p>
        </w:tc>
      </w:tr>
      <w:tr w:rsidR="00C83D9B" w:rsidRPr="00C83D9B" w14:paraId="245D460C" w14:textId="77777777" w:rsidTr="00C83D9B">
        <w:tc>
          <w:tcPr>
            <w:tcW w:w="3969" w:type="dxa"/>
            <w:tcBorders>
              <w:top w:val="single" w:sz="4" w:space="0" w:color="A6A6A6" w:themeColor="background1" w:themeShade="A6"/>
              <w:left w:val="nil"/>
              <w:bottom w:val="single" w:sz="4" w:space="0" w:color="A6A6A6" w:themeColor="background1" w:themeShade="A6"/>
              <w:right w:val="nil"/>
            </w:tcBorders>
            <w:hideMark/>
          </w:tcPr>
          <w:p w14:paraId="0336B784" w14:textId="0C391E07" w:rsidR="00C83D9B" w:rsidRPr="00C83D9B" w:rsidRDefault="00C83D9B" w:rsidP="00C83D9B">
            <w:pPr>
              <w:pStyle w:val="TableText"/>
              <w:rPr>
                <w:sz w:val="16"/>
                <w:szCs w:val="16"/>
              </w:rPr>
            </w:pPr>
            <w:r w:rsidRPr="00C83D9B">
              <w:rPr>
                <w:w w:val="105"/>
                <w:sz w:val="16"/>
                <w:szCs w:val="16"/>
              </w:rPr>
              <w:t xml:space="preserve">Ministerial satisfaction with how </w:t>
            </w:r>
            <w:r w:rsidRPr="00C83D9B">
              <w:rPr>
                <w:sz w:val="16"/>
                <w:szCs w:val="16"/>
              </w:rPr>
              <w:t xml:space="preserve">the Ministry has discharged its role </w:t>
            </w:r>
            <w:r w:rsidRPr="00C83D9B">
              <w:rPr>
                <w:w w:val="105"/>
                <w:sz w:val="16"/>
                <w:szCs w:val="16"/>
              </w:rPr>
              <w:t>as</w:t>
            </w:r>
            <w:r w:rsidRPr="00C83D9B">
              <w:rPr>
                <w:spacing w:val="-6"/>
                <w:w w:val="105"/>
                <w:sz w:val="16"/>
                <w:szCs w:val="16"/>
              </w:rPr>
              <w:t xml:space="preserve"> </w:t>
            </w:r>
            <w:r w:rsidRPr="00C83D9B">
              <w:rPr>
                <w:w w:val="105"/>
                <w:sz w:val="16"/>
                <w:szCs w:val="16"/>
              </w:rPr>
              <w:t>chief</w:t>
            </w:r>
            <w:r w:rsidRPr="00C83D9B">
              <w:rPr>
                <w:spacing w:val="-6"/>
                <w:w w:val="105"/>
                <w:sz w:val="16"/>
                <w:szCs w:val="16"/>
              </w:rPr>
              <w:t xml:space="preserve"> </w:t>
            </w:r>
            <w:r w:rsidRPr="00C83D9B">
              <w:rPr>
                <w:w w:val="105"/>
                <w:sz w:val="16"/>
                <w:szCs w:val="16"/>
              </w:rPr>
              <w:t>steward</w:t>
            </w:r>
            <w:r w:rsidRPr="00C83D9B">
              <w:rPr>
                <w:spacing w:val="-6"/>
                <w:w w:val="105"/>
                <w:sz w:val="16"/>
                <w:szCs w:val="16"/>
              </w:rPr>
              <w:t xml:space="preserve"> </w:t>
            </w:r>
            <w:r w:rsidRPr="00C83D9B">
              <w:rPr>
                <w:w w:val="105"/>
                <w:sz w:val="16"/>
                <w:szCs w:val="16"/>
              </w:rPr>
              <w:t>of</w:t>
            </w:r>
            <w:r w:rsidRPr="00C83D9B">
              <w:rPr>
                <w:spacing w:val="-6"/>
                <w:w w:val="105"/>
                <w:sz w:val="16"/>
                <w:szCs w:val="16"/>
              </w:rPr>
              <w:t xml:space="preserve"> </w:t>
            </w:r>
            <w:r w:rsidRPr="00C83D9B">
              <w:rPr>
                <w:w w:val="105"/>
                <w:sz w:val="16"/>
                <w:szCs w:val="16"/>
              </w:rPr>
              <w:t>New</w:t>
            </w:r>
            <w:r w:rsidRPr="00C83D9B">
              <w:rPr>
                <w:spacing w:val="-6"/>
                <w:w w:val="105"/>
                <w:sz w:val="16"/>
                <w:szCs w:val="16"/>
              </w:rPr>
              <w:t xml:space="preserve"> </w:t>
            </w:r>
            <w:r w:rsidRPr="00C83D9B">
              <w:rPr>
                <w:w w:val="105"/>
                <w:sz w:val="16"/>
                <w:szCs w:val="16"/>
              </w:rPr>
              <w:t>Zealand’s health</w:t>
            </w:r>
            <w:r w:rsidRPr="00C83D9B">
              <w:rPr>
                <w:spacing w:val="-16"/>
                <w:w w:val="105"/>
                <w:sz w:val="16"/>
                <w:szCs w:val="16"/>
              </w:rPr>
              <w:t xml:space="preserve"> </w:t>
            </w:r>
            <w:r w:rsidRPr="00C83D9B">
              <w:rPr>
                <w:w w:val="105"/>
                <w:sz w:val="16"/>
                <w:szCs w:val="16"/>
              </w:rPr>
              <w:t>system</w:t>
            </w:r>
            <w:r w:rsidRPr="00C83D9B">
              <w:rPr>
                <w:spacing w:val="-16"/>
                <w:w w:val="105"/>
                <w:sz w:val="16"/>
                <w:szCs w:val="16"/>
              </w:rPr>
              <w:t xml:space="preserve"> </w:t>
            </w:r>
            <w:r w:rsidRPr="00C83D9B">
              <w:rPr>
                <w:w w:val="105"/>
                <w:sz w:val="16"/>
                <w:szCs w:val="16"/>
              </w:rPr>
              <w:t>and</w:t>
            </w:r>
            <w:r w:rsidRPr="00C83D9B">
              <w:rPr>
                <w:spacing w:val="-16"/>
                <w:w w:val="105"/>
                <w:sz w:val="16"/>
                <w:szCs w:val="16"/>
              </w:rPr>
              <w:t xml:space="preserve"> </w:t>
            </w:r>
            <w:r w:rsidRPr="00C83D9B">
              <w:rPr>
                <w:w w:val="105"/>
                <w:sz w:val="16"/>
                <w:szCs w:val="16"/>
              </w:rPr>
              <w:t>principal</w:t>
            </w:r>
            <w:r w:rsidRPr="00C83D9B">
              <w:rPr>
                <w:spacing w:val="-16"/>
                <w:w w:val="105"/>
                <w:sz w:val="16"/>
                <w:szCs w:val="16"/>
              </w:rPr>
              <w:t xml:space="preserve"> </w:t>
            </w:r>
            <w:r w:rsidRPr="00C83D9B">
              <w:rPr>
                <w:w w:val="105"/>
                <w:sz w:val="16"/>
                <w:szCs w:val="16"/>
              </w:rPr>
              <w:t>advisor to the Minister of Health</w:t>
            </w:r>
          </w:p>
        </w:tc>
        <w:tc>
          <w:tcPr>
            <w:tcW w:w="851" w:type="dxa"/>
            <w:tcBorders>
              <w:top w:val="single" w:sz="4" w:space="0" w:color="A6A6A6" w:themeColor="background1" w:themeShade="A6"/>
              <w:left w:val="nil"/>
              <w:bottom w:val="single" w:sz="4" w:space="0" w:color="A6A6A6" w:themeColor="background1" w:themeShade="A6"/>
              <w:right w:val="nil"/>
            </w:tcBorders>
            <w:hideMark/>
          </w:tcPr>
          <w:p w14:paraId="652AE259" w14:textId="07E58243" w:rsidR="00C83D9B" w:rsidRPr="00C83D9B" w:rsidRDefault="00C83D9B" w:rsidP="00C83D9B">
            <w:pPr>
              <w:pStyle w:val="TableText"/>
              <w:jc w:val="right"/>
              <w:rPr>
                <w:sz w:val="16"/>
                <w:szCs w:val="16"/>
              </w:rPr>
            </w:pPr>
            <w:r w:rsidRPr="00C83D9B">
              <w:rPr>
                <w:sz w:val="16"/>
                <w:szCs w:val="16"/>
              </w:rPr>
              <w:t>3</w:t>
            </w:r>
          </w:p>
        </w:tc>
        <w:tc>
          <w:tcPr>
            <w:tcW w:w="1134" w:type="dxa"/>
            <w:tcBorders>
              <w:top w:val="single" w:sz="4" w:space="0" w:color="A6A6A6" w:themeColor="background1" w:themeShade="A6"/>
              <w:left w:val="nil"/>
              <w:bottom w:val="single" w:sz="4" w:space="0" w:color="A6A6A6" w:themeColor="background1" w:themeShade="A6"/>
              <w:right w:val="nil"/>
            </w:tcBorders>
            <w:hideMark/>
          </w:tcPr>
          <w:p w14:paraId="393A4E4C" w14:textId="6DA94F3C" w:rsidR="00C83D9B" w:rsidRPr="00C83D9B" w:rsidRDefault="00C83D9B" w:rsidP="00C83D9B">
            <w:pPr>
              <w:pStyle w:val="TableText"/>
              <w:jc w:val="right"/>
              <w:rPr>
                <w:sz w:val="16"/>
                <w:szCs w:val="16"/>
              </w:rPr>
            </w:pPr>
            <w:r w:rsidRPr="00C83D9B">
              <w:rPr>
                <w:sz w:val="16"/>
                <w:szCs w:val="16"/>
              </w:rPr>
              <w:t>Equal to or greater than 4 out of 5</w:t>
            </w:r>
          </w:p>
        </w:tc>
        <w:tc>
          <w:tcPr>
            <w:tcW w:w="1134" w:type="dxa"/>
            <w:tcBorders>
              <w:top w:val="single" w:sz="4" w:space="0" w:color="A6A6A6" w:themeColor="background1" w:themeShade="A6"/>
              <w:left w:val="nil"/>
              <w:bottom w:val="single" w:sz="4" w:space="0" w:color="A6A6A6" w:themeColor="background1" w:themeShade="A6"/>
              <w:right w:val="nil"/>
            </w:tcBorders>
            <w:hideMark/>
          </w:tcPr>
          <w:p w14:paraId="0CDA7B8D" w14:textId="08315211" w:rsidR="00C83D9B" w:rsidRPr="00C83D9B" w:rsidRDefault="00C83D9B" w:rsidP="00C83D9B">
            <w:pPr>
              <w:pStyle w:val="TableText"/>
              <w:jc w:val="right"/>
              <w:rPr>
                <w:sz w:val="16"/>
                <w:szCs w:val="16"/>
              </w:rPr>
            </w:pPr>
            <w:r w:rsidRPr="00C83D9B">
              <w:rPr>
                <w:sz w:val="16"/>
                <w:szCs w:val="16"/>
              </w:rPr>
              <w:t>4.5</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650B25B8" w14:textId="77777777" w:rsidR="00C83D9B" w:rsidRPr="00C83D9B" w:rsidRDefault="00C83D9B" w:rsidP="00C83D9B">
            <w:pPr>
              <w:pStyle w:val="TableText"/>
              <w:jc w:val="right"/>
              <w:rPr>
                <w:rFonts w:ascii="Wingdings" w:hAnsi="Wingdings"/>
                <w:sz w:val="16"/>
                <w:szCs w:val="16"/>
              </w:rPr>
            </w:pPr>
            <w:r w:rsidRPr="00C83D9B">
              <w:rPr>
                <w:rFonts w:ascii="Wingdings" w:hAnsi="Wingdings"/>
                <w:sz w:val="16"/>
                <w:szCs w:val="16"/>
              </w:rPr>
              <w:t>ü</w:t>
            </w:r>
          </w:p>
          <w:p w14:paraId="34C27DB5" w14:textId="56A0F4D0" w:rsidR="00C83D9B" w:rsidRPr="00C83D9B" w:rsidRDefault="00C83D9B" w:rsidP="00C83D9B">
            <w:pPr>
              <w:pStyle w:val="TableText"/>
              <w:jc w:val="right"/>
              <w:rPr>
                <w:sz w:val="16"/>
                <w:szCs w:val="16"/>
              </w:rPr>
            </w:pPr>
            <w:r w:rsidRPr="00C83D9B">
              <w:rPr>
                <w:sz w:val="16"/>
                <w:szCs w:val="16"/>
              </w:rPr>
              <w:t>(Note 1)</w:t>
            </w:r>
          </w:p>
        </w:tc>
      </w:tr>
      <w:tr w:rsidR="00C83D9B" w:rsidRPr="00C83D9B" w14:paraId="6E99A4BE" w14:textId="77777777" w:rsidTr="00C83D9B">
        <w:tc>
          <w:tcPr>
            <w:tcW w:w="3969" w:type="dxa"/>
            <w:tcBorders>
              <w:top w:val="single" w:sz="4" w:space="0" w:color="A6A6A6" w:themeColor="background1" w:themeShade="A6"/>
              <w:left w:val="nil"/>
              <w:bottom w:val="single" w:sz="4" w:space="0" w:color="A6A6A6" w:themeColor="background1" w:themeShade="A6"/>
              <w:right w:val="nil"/>
            </w:tcBorders>
          </w:tcPr>
          <w:p w14:paraId="0B2A6532" w14:textId="77B60883" w:rsidR="00C83D9B" w:rsidRPr="00C83D9B" w:rsidRDefault="00C83D9B" w:rsidP="00C83D9B">
            <w:pPr>
              <w:pStyle w:val="TableText"/>
              <w:rPr>
                <w:sz w:val="16"/>
                <w:szCs w:val="16"/>
              </w:rPr>
            </w:pPr>
            <w:r w:rsidRPr="00C83D9B">
              <w:rPr>
                <w:sz w:val="16"/>
                <w:szCs w:val="16"/>
              </w:rPr>
              <w:t>Ministerial Advisory Committee (MAC)</w:t>
            </w:r>
            <w:r>
              <w:rPr>
                <w:rStyle w:val="FootnoteReference"/>
                <w:sz w:val="16"/>
                <w:szCs w:val="16"/>
              </w:rPr>
              <w:footnoteReference w:id="44"/>
            </w:r>
            <w:r w:rsidRPr="00C83D9B">
              <w:rPr>
                <w:sz w:val="16"/>
                <w:szCs w:val="16"/>
              </w:rPr>
              <w:t xml:space="preserve"> assessment of the Ministry of Health’s progress in establishing its role in the reformed system</w:t>
            </w:r>
          </w:p>
        </w:tc>
        <w:tc>
          <w:tcPr>
            <w:tcW w:w="851" w:type="dxa"/>
            <w:tcBorders>
              <w:top w:val="single" w:sz="4" w:space="0" w:color="A6A6A6" w:themeColor="background1" w:themeShade="A6"/>
              <w:left w:val="nil"/>
              <w:bottom w:val="single" w:sz="4" w:space="0" w:color="A6A6A6" w:themeColor="background1" w:themeShade="A6"/>
              <w:right w:val="nil"/>
            </w:tcBorders>
          </w:tcPr>
          <w:p w14:paraId="7478EA6E" w14:textId="0AC30455" w:rsidR="00C83D9B" w:rsidRPr="00C83D9B" w:rsidRDefault="00C83D9B" w:rsidP="00C83D9B">
            <w:pPr>
              <w:pStyle w:val="TableText"/>
              <w:jc w:val="right"/>
              <w:rPr>
                <w:sz w:val="16"/>
                <w:szCs w:val="16"/>
              </w:rPr>
            </w:pPr>
            <w:r w:rsidRPr="00C83D9B">
              <w:rPr>
                <w:sz w:val="16"/>
                <w:szCs w:val="16"/>
              </w:rPr>
              <w:t>3</w:t>
            </w:r>
          </w:p>
        </w:tc>
        <w:tc>
          <w:tcPr>
            <w:tcW w:w="1134" w:type="dxa"/>
            <w:tcBorders>
              <w:top w:val="single" w:sz="4" w:space="0" w:color="A6A6A6" w:themeColor="background1" w:themeShade="A6"/>
              <w:left w:val="nil"/>
              <w:bottom w:val="single" w:sz="4" w:space="0" w:color="A6A6A6" w:themeColor="background1" w:themeShade="A6"/>
              <w:right w:val="nil"/>
            </w:tcBorders>
          </w:tcPr>
          <w:p w14:paraId="5DC671CC" w14:textId="1351B20D" w:rsidR="00C83D9B" w:rsidRPr="00C83D9B" w:rsidRDefault="00C83D9B" w:rsidP="00C83D9B">
            <w:pPr>
              <w:pStyle w:val="TableText"/>
              <w:jc w:val="right"/>
              <w:rPr>
                <w:sz w:val="16"/>
                <w:szCs w:val="16"/>
              </w:rPr>
            </w:pPr>
            <w:r w:rsidRPr="00C83D9B">
              <w:rPr>
                <w:sz w:val="16"/>
                <w:szCs w:val="16"/>
              </w:rPr>
              <w:t>Equal to or greater than 4 out of 5</w:t>
            </w:r>
          </w:p>
        </w:tc>
        <w:tc>
          <w:tcPr>
            <w:tcW w:w="1134" w:type="dxa"/>
            <w:tcBorders>
              <w:top w:val="single" w:sz="4" w:space="0" w:color="A6A6A6" w:themeColor="background1" w:themeShade="A6"/>
              <w:left w:val="nil"/>
              <w:bottom w:val="single" w:sz="4" w:space="0" w:color="A6A6A6" w:themeColor="background1" w:themeShade="A6"/>
              <w:right w:val="nil"/>
            </w:tcBorders>
          </w:tcPr>
          <w:p w14:paraId="2108986C" w14:textId="67261650" w:rsidR="00C83D9B" w:rsidRPr="00C83D9B" w:rsidRDefault="00C83D9B" w:rsidP="00C83D9B">
            <w:pPr>
              <w:pStyle w:val="TableText"/>
              <w:jc w:val="right"/>
              <w:rPr>
                <w:sz w:val="16"/>
                <w:szCs w:val="16"/>
              </w:rPr>
            </w:pPr>
            <w:r w:rsidRPr="00C83D9B">
              <w:rPr>
                <w:sz w:val="16"/>
                <w:szCs w:val="16"/>
              </w:rPr>
              <w:t>5</w:t>
            </w:r>
          </w:p>
        </w:tc>
        <w:tc>
          <w:tcPr>
            <w:tcW w:w="992" w:type="dxa"/>
            <w:tcBorders>
              <w:top w:val="single" w:sz="4" w:space="0" w:color="A6A6A6" w:themeColor="background1" w:themeShade="A6"/>
              <w:left w:val="nil"/>
              <w:bottom w:val="single" w:sz="4" w:space="0" w:color="A6A6A6" w:themeColor="background1" w:themeShade="A6"/>
              <w:right w:val="nil"/>
            </w:tcBorders>
          </w:tcPr>
          <w:p w14:paraId="2AE75385" w14:textId="77777777" w:rsidR="00C83D9B" w:rsidRPr="00C83D9B" w:rsidRDefault="00C83D9B" w:rsidP="00C83D9B">
            <w:pPr>
              <w:pStyle w:val="TableText"/>
              <w:jc w:val="right"/>
              <w:rPr>
                <w:rFonts w:ascii="Wingdings" w:hAnsi="Wingdings"/>
                <w:sz w:val="16"/>
                <w:szCs w:val="16"/>
              </w:rPr>
            </w:pPr>
            <w:r w:rsidRPr="00C83D9B">
              <w:rPr>
                <w:rFonts w:ascii="Wingdings" w:hAnsi="Wingdings"/>
                <w:sz w:val="16"/>
                <w:szCs w:val="16"/>
              </w:rPr>
              <w:t>ü</w:t>
            </w:r>
          </w:p>
          <w:p w14:paraId="61CC1DA1" w14:textId="77777777" w:rsidR="00C83D9B" w:rsidRPr="00C83D9B" w:rsidRDefault="00C83D9B" w:rsidP="00C83D9B">
            <w:pPr>
              <w:pStyle w:val="TableText"/>
              <w:jc w:val="right"/>
              <w:rPr>
                <w:rFonts w:ascii="Wingdings" w:hAnsi="Wingdings"/>
                <w:sz w:val="16"/>
                <w:szCs w:val="16"/>
              </w:rPr>
            </w:pPr>
          </w:p>
        </w:tc>
      </w:tr>
    </w:tbl>
    <w:p w14:paraId="37F715C1" w14:textId="6EEC92C5" w:rsidR="00F13919" w:rsidRPr="00C83D9B" w:rsidRDefault="00C83D9B" w:rsidP="00A66B6E">
      <w:pPr>
        <w:pStyle w:val="Note"/>
        <w:ind w:left="709" w:hanging="709"/>
        <w:sectPr w:rsidR="00F13919" w:rsidRPr="00C83D9B" w:rsidSect="000A3324">
          <w:pgSz w:w="11907" w:h="16840" w:code="9"/>
          <w:pgMar w:top="1418" w:right="1701" w:bottom="1134" w:left="1843" w:header="284" w:footer="425" w:gutter="284"/>
          <w:cols w:space="720"/>
        </w:sectPr>
      </w:pPr>
      <w:r w:rsidRPr="00C83D9B">
        <w:t xml:space="preserve">Note 1: </w:t>
      </w:r>
      <w:r w:rsidR="00A66B6E">
        <w:tab/>
      </w:r>
      <w:r w:rsidRPr="00C83D9B">
        <w:t>The survey was completed by the Hon Dr Shane Reti, who became the Minister of Health in November 2023.</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895"/>
        <w:gridCol w:w="1100"/>
        <w:gridCol w:w="985"/>
        <w:gridCol w:w="1259"/>
        <w:gridCol w:w="840"/>
      </w:tblGrid>
      <w:tr w:rsidR="00C83D9B" w14:paraId="0141D8AA" w14:textId="77777777" w:rsidTr="00C83D9B">
        <w:tc>
          <w:tcPr>
            <w:tcW w:w="8079" w:type="dxa"/>
            <w:gridSpan w:val="5"/>
            <w:tcBorders>
              <w:top w:val="nil"/>
              <w:left w:val="nil"/>
              <w:bottom w:val="nil"/>
              <w:right w:val="nil"/>
            </w:tcBorders>
            <w:shd w:val="clear" w:color="auto" w:fill="D9D9D9" w:themeFill="background1" w:themeFillShade="D9"/>
            <w:hideMark/>
          </w:tcPr>
          <w:p w14:paraId="11B253B4" w14:textId="77777777" w:rsidR="00C83D9B" w:rsidRDefault="00C83D9B">
            <w:pPr>
              <w:pStyle w:val="TableText"/>
              <w:rPr>
                <w:b/>
                <w:bCs/>
              </w:rPr>
            </w:pPr>
            <w:r>
              <w:rPr>
                <w:b/>
                <w:bCs/>
              </w:rPr>
              <w:lastRenderedPageBreak/>
              <w:t>Financial performance</w:t>
            </w:r>
          </w:p>
        </w:tc>
      </w:tr>
      <w:tr w:rsidR="00C83D9B" w14:paraId="025D4972" w14:textId="77777777" w:rsidTr="00C83D9B">
        <w:tc>
          <w:tcPr>
            <w:tcW w:w="3895"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0C0168A3" w14:textId="77777777" w:rsidR="00C83D9B" w:rsidRPr="00C83D9B" w:rsidRDefault="00C83D9B" w:rsidP="00C83D9B">
            <w:pPr>
              <w:pStyle w:val="TableText"/>
              <w:rPr>
                <w:b/>
                <w:bCs/>
                <w:sz w:val="16"/>
                <w:szCs w:val="16"/>
              </w:rPr>
            </w:pPr>
          </w:p>
          <w:p w14:paraId="5621B50B" w14:textId="2D17DB21" w:rsidR="00C83D9B" w:rsidRDefault="00C83D9B" w:rsidP="00C83D9B">
            <w:pPr>
              <w:pStyle w:val="TableText"/>
              <w:rPr>
                <w:b/>
                <w:bCs/>
                <w:sz w:val="16"/>
                <w:szCs w:val="16"/>
              </w:rPr>
            </w:pPr>
            <w:r w:rsidRPr="00C83D9B">
              <w:rPr>
                <w:b/>
                <w:bCs/>
                <w:sz w:val="16"/>
                <w:szCs w:val="16"/>
              </w:rPr>
              <w:t>Stewardship of the New Zealand health system</w:t>
            </w:r>
          </w:p>
        </w:tc>
        <w:tc>
          <w:tcPr>
            <w:tcW w:w="1100"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662B452E" w14:textId="77777777" w:rsidR="00C83D9B" w:rsidRDefault="00C83D9B">
            <w:pPr>
              <w:pStyle w:val="TableText"/>
              <w:jc w:val="right"/>
              <w:rPr>
                <w:b/>
                <w:bCs/>
                <w:sz w:val="16"/>
                <w:szCs w:val="16"/>
              </w:rPr>
            </w:pPr>
            <w:r>
              <w:rPr>
                <w:b/>
                <w:bCs/>
                <w:sz w:val="16"/>
                <w:szCs w:val="16"/>
              </w:rPr>
              <w:t>Actual</w:t>
            </w:r>
          </w:p>
          <w:p w14:paraId="2509E761" w14:textId="4C7B2755" w:rsidR="00C83D9B" w:rsidRDefault="00C83D9B">
            <w:pPr>
              <w:pStyle w:val="TableText"/>
              <w:jc w:val="right"/>
              <w:rPr>
                <w:b/>
                <w:bCs/>
                <w:sz w:val="16"/>
                <w:szCs w:val="16"/>
              </w:rPr>
            </w:pPr>
            <w:r>
              <w:rPr>
                <w:b/>
                <w:bCs/>
                <w:sz w:val="16"/>
                <w:szCs w:val="16"/>
              </w:rPr>
              <w:t>2022/23</w:t>
            </w:r>
          </w:p>
          <w:p w14:paraId="07FE3CC6" w14:textId="77777777" w:rsidR="00C83D9B" w:rsidRDefault="00C83D9B">
            <w:pPr>
              <w:pStyle w:val="TableText"/>
              <w:jc w:val="right"/>
              <w:rPr>
                <w:b/>
                <w:bCs/>
                <w:sz w:val="16"/>
                <w:szCs w:val="16"/>
              </w:rPr>
            </w:pPr>
            <w:r>
              <w:rPr>
                <w:b/>
                <w:bCs/>
                <w:sz w:val="16"/>
                <w:szCs w:val="16"/>
              </w:rPr>
              <w:t>$000</w:t>
            </w:r>
          </w:p>
        </w:tc>
        <w:tc>
          <w:tcPr>
            <w:tcW w:w="985"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3F6E24D0" w14:textId="77777777" w:rsidR="00C83D9B" w:rsidRDefault="00C83D9B">
            <w:pPr>
              <w:pStyle w:val="TableText"/>
              <w:jc w:val="right"/>
              <w:rPr>
                <w:b/>
                <w:bCs/>
                <w:sz w:val="16"/>
                <w:szCs w:val="16"/>
              </w:rPr>
            </w:pPr>
            <w:r>
              <w:rPr>
                <w:b/>
                <w:bCs/>
                <w:sz w:val="16"/>
                <w:szCs w:val="16"/>
              </w:rPr>
              <w:t>Main estimates</w:t>
            </w:r>
          </w:p>
          <w:p w14:paraId="5253F495" w14:textId="77777777" w:rsidR="00C83D9B" w:rsidRDefault="00C83D9B" w:rsidP="00C83D9B">
            <w:pPr>
              <w:pStyle w:val="TableText"/>
              <w:jc w:val="right"/>
              <w:rPr>
                <w:b/>
                <w:bCs/>
                <w:sz w:val="16"/>
                <w:szCs w:val="16"/>
              </w:rPr>
            </w:pPr>
            <w:r>
              <w:rPr>
                <w:b/>
                <w:bCs/>
                <w:sz w:val="16"/>
                <w:szCs w:val="16"/>
              </w:rPr>
              <w:t>2022/23</w:t>
            </w:r>
          </w:p>
          <w:p w14:paraId="7BC40326" w14:textId="77777777" w:rsidR="00C83D9B" w:rsidRDefault="00C83D9B">
            <w:pPr>
              <w:pStyle w:val="TableText"/>
              <w:jc w:val="right"/>
              <w:rPr>
                <w:b/>
                <w:bCs/>
                <w:sz w:val="16"/>
                <w:szCs w:val="16"/>
              </w:rPr>
            </w:pPr>
            <w:r>
              <w:rPr>
                <w:b/>
                <w:bCs/>
                <w:sz w:val="16"/>
                <w:szCs w:val="16"/>
              </w:rPr>
              <w:t>$000</w:t>
            </w:r>
          </w:p>
        </w:tc>
        <w:tc>
          <w:tcPr>
            <w:tcW w:w="1259"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29B9C2DD" w14:textId="77777777" w:rsidR="00C83D9B" w:rsidRDefault="00C83D9B">
            <w:pPr>
              <w:pStyle w:val="TableText"/>
              <w:jc w:val="right"/>
              <w:rPr>
                <w:b/>
                <w:bCs/>
                <w:sz w:val="16"/>
                <w:szCs w:val="16"/>
              </w:rPr>
            </w:pPr>
            <w:r>
              <w:rPr>
                <w:b/>
                <w:bCs/>
                <w:sz w:val="16"/>
                <w:szCs w:val="16"/>
              </w:rPr>
              <w:t xml:space="preserve">Voted </w:t>
            </w:r>
            <w:proofErr w:type="gramStart"/>
            <w:r>
              <w:rPr>
                <w:b/>
                <w:bCs/>
                <w:sz w:val="16"/>
                <w:szCs w:val="16"/>
              </w:rPr>
              <w:t>appropriation</w:t>
            </w:r>
            <w:proofErr w:type="gramEnd"/>
          </w:p>
          <w:p w14:paraId="507657BD" w14:textId="77777777" w:rsidR="00956117" w:rsidRDefault="00C83D9B" w:rsidP="00C83D9B">
            <w:pPr>
              <w:pStyle w:val="TableText"/>
              <w:jc w:val="right"/>
              <w:rPr>
                <w:b/>
                <w:bCs/>
                <w:sz w:val="16"/>
                <w:szCs w:val="16"/>
              </w:rPr>
            </w:pPr>
            <w:r>
              <w:rPr>
                <w:b/>
                <w:bCs/>
                <w:sz w:val="16"/>
                <w:szCs w:val="16"/>
              </w:rPr>
              <w:t>2023/24</w:t>
            </w:r>
          </w:p>
          <w:p w14:paraId="720CCE47" w14:textId="7AC7723C" w:rsidR="00C83D9B" w:rsidRDefault="00C83D9B" w:rsidP="00C83D9B">
            <w:pPr>
              <w:pStyle w:val="TableText"/>
              <w:jc w:val="right"/>
              <w:rPr>
                <w:b/>
                <w:bCs/>
                <w:sz w:val="16"/>
                <w:szCs w:val="16"/>
              </w:rPr>
            </w:pPr>
            <w:r>
              <w:rPr>
                <w:b/>
                <w:bCs/>
                <w:sz w:val="16"/>
                <w:szCs w:val="16"/>
              </w:rPr>
              <w:t>$000</w:t>
            </w:r>
          </w:p>
        </w:tc>
        <w:tc>
          <w:tcPr>
            <w:tcW w:w="840"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705271E7" w14:textId="77777777" w:rsidR="00C83D9B" w:rsidRDefault="00C83D9B">
            <w:pPr>
              <w:pStyle w:val="TableText"/>
              <w:jc w:val="right"/>
              <w:rPr>
                <w:b/>
                <w:bCs/>
                <w:sz w:val="16"/>
                <w:szCs w:val="16"/>
              </w:rPr>
            </w:pPr>
            <w:r>
              <w:rPr>
                <w:b/>
                <w:bCs/>
                <w:sz w:val="16"/>
                <w:szCs w:val="16"/>
              </w:rPr>
              <w:t>Actual</w:t>
            </w:r>
          </w:p>
          <w:p w14:paraId="25E88B5A" w14:textId="26DC7CCC" w:rsidR="00C83D9B" w:rsidRDefault="00C83D9B">
            <w:pPr>
              <w:pStyle w:val="TableText"/>
              <w:jc w:val="right"/>
              <w:rPr>
                <w:b/>
                <w:bCs/>
                <w:sz w:val="16"/>
                <w:szCs w:val="16"/>
              </w:rPr>
            </w:pPr>
            <w:r>
              <w:rPr>
                <w:b/>
                <w:bCs/>
                <w:sz w:val="16"/>
                <w:szCs w:val="16"/>
              </w:rPr>
              <w:t>2022/24</w:t>
            </w:r>
          </w:p>
          <w:p w14:paraId="6536CCD7" w14:textId="77777777" w:rsidR="00C83D9B" w:rsidRDefault="00C83D9B">
            <w:pPr>
              <w:pStyle w:val="TableText"/>
              <w:jc w:val="right"/>
              <w:rPr>
                <w:b/>
                <w:bCs/>
                <w:sz w:val="16"/>
                <w:szCs w:val="16"/>
              </w:rPr>
            </w:pPr>
            <w:r>
              <w:rPr>
                <w:b/>
                <w:bCs/>
                <w:sz w:val="16"/>
                <w:szCs w:val="16"/>
              </w:rPr>
              <w:t>$000</w:t>
            </w:r>
          </w:p>
        </w:tc>
      </w:tr>
      <w:tr w:rsidR="00C83D9B" w14:paraId="3A3ECBD0" w14:textId="77777777" w:rsidTr="00C83D9B">
        <w:tc>
          <w:tcPr>
            <w:tcW w:w="3895" w:type="dxa"/>
            <w:tcBorders>
              <w:top w:val="single" w:sz="4" w:space="0" w:color="A6A6A6" w:themeColor="background1" w:themeShade="A6"/>
              <w:left w:val="nil"/>
              <w:bottom w:val="single" w:sz="4" w:space="0" w:color="A6A6A6" w:themeColor="background1" w:themeShade="A6"/>
              <w:right w:val="nil"/>
            </w:tcBorders>
            <w:hideMark/>
          </w:tcPr>
          <w:p w14:paraId="4FD75F1F" w14:textId="20B93515" w:rsidR="00C83D9B" w:rsidRPr="00C83D9B" w:rsidRDefault="00C83D9B" w:rsidP="00C83D9B">
            <w:pPr>
              <w:pStyle w:val="TableText"/>
              <w:rPr>
                <w:b/>
                <w:bCs/>
                <w:sz w:val="16"/>
                <w:szCs w:val="18"/>
              </w:rPr>
            </w:pPr>
            <w:r w:rsidRPr="00C83D9B">
              <w:rPr>
                <w:b/>
                <w:bCs/>
                <w:sz w:val="16"/>
                <w:szCs w:val="18"/>
              </w:rPr>
              <w:t>Departmental output expense</w:t>
            </w:r>
          </w:p>
        </w:tc>
        <w:tc>
          <w:tcPr>
            <w:tcW w:w="1100" w:type="dxa"/>
            <w:tcBorders>
              <w:top w:val="single" w:sz="4" w:space="0" w:color="A6A6A6" w:themeColor="background1" w:themeShade="A6"/>
              <w:left w:val="nil"/>
              <w:bottom w:val="single" w:sz="4" w:space="0" w:color="A6A6A6" w:themeColor="background1" w:themeShade="A6"/>
              <w:right w:val="nil"/>
            </w:tcBorders>
          </w:tcPr>
          <w:p w14:paraId="146917C3" w14:textId="77777777" w:rsidR="00C83D9B" w:rsidRDefault="00C83D9B" w:rsidP="00C83D9B">
            <w:pPr>
              <w:pStyle w:val="TableText"/>
              <w:jc w:val="right"/>
              <w:rPr>
                <w:b/>
                <w:bCs/>
                <w:sz w:val="16"/>
                <w:szCs w:val="16"/>
              </w:rPr>
            </w:pPr>
          </w:p>
        </w:tc>
        <w:tc>
          <w:tcPr>
            <w:tcW w:w="985" w:type="dxa"/>
            <w:tcBorders>
              <w:top w:val="single" w:sz="4" w:space="0" w:color="A6A6A6" w:themeColor="background1" w:themeShade="A6"/>
              <w:left w:val="nil"/>
              <w:bottom w:val="single" w:sz="4" w:space="0" w:color="A6A6A6" w:themeColor="background1" w:themeShade="A6"/>
              <w:right w:val="nil"/>
            </w:tcBorders>
          </w:tcPr>
          <w:p w14:paraId="1EC142BF" w14:textId="77777777" w:rsidR="00C83D9B" w:rsidRDefault="00C83D9B" w:rsidP="00C83D9B">
            <w:pPr>
              <w:pStyle w:val="TableText"/>
              <w:jc w:val="right"/>
              <w:rPr>
                <w:b/>
                <w:bCs/>
                <w:sz w:val="16"/>
                <w:szCs w:val="16"/>
              </w:rPr>
            </w:pPr>
          </w:p>
        </w:tc>
        <w:tc>
          <w:tcPr>
            <w:tcW w:w="1259" w:type="dxa"/>
            <w:tcBorders>
              <w:top w:val="single" w:sz="4" w:space="0" w:color="A6A6A6" w:themeColor="background1" w:themeShade="A6"/>
              <w:left w:val="nil"/>
              <w:bottom w:val="single" w:sz="4" w:space="0" w:color="A6A6A6" w:themeColor="background1" w:themeShade="A6"/>
              <w:right w:val="nil"/>
            </w:tcBorders>
          </w:tcPr>
          <w:p w14:paraId="772A67FC" w14:textId="77777777" w:rsidR="00C83D9B" w:rsidRDefault="00C83D9B" w:rsidP="00C83D9B">
            <w:pPr>
              <w:pStyle w:val="TableText"/>
              <w:jc w:val="right"/>
              <w:rPr>
                <w:b/>
                <w:bCs/>
                <w:sz w:val="16"/>
                <w:szCs w:val="16"/>
              </w:rPr>
            </w:pPr>
          </w:p>
        </w:tc>
        <w:tc>
          <w:tcPr>
            <w:tcW w:w="840" w:type="dxa"/>
            <w:tcBorders>
              <w:top w:val="single" w:sz="4" w:space="0" w:color="A6A6A6" w:themeColor="background1" w:themeShade="A6"/>
              <w:left w:val="nil"/>
              <w:bottom w:val="single" w:sz="4" w:space="0" w:color="A6A6A6" w:themeColor="background1" w:themeShade="A6"/>
              <w:right w:val="nil"/>
            </w:tcBorders>
          </w:tcPr>
          <w:p w14:paraId="30E41D24" w14:textId="77777777" w:rsidR="00C83D9B" w:rsidRDefault="00C83D9B" w:rsidP="00C83D9B">
            <w:pPr>
              <w:pStyle w:val="TableText"/>
              <w:jc w:val="right"/>
              <w:rPr>
                <w:b/>
                <w:bCs/>
                <w:sz w:val="16"/>
                <w:szCs w:val="16"/>
              </w:rPr>
            </w:pPr>
          </w:p>
        </w:tc>
      </w:tr>
      <w:tr w:rsidR="00C83D9B" w14:paraId="7FB46618" w14:textId="77777777" w:rsidTr="00C83D9B">
        <w:tc>
          <w:tcPr>
            <w:tcW w:w="3895" w:type="dxa"/>
            <w:tcBorders>
              <w:top w:val="single" w:sz="4" w:space="0" w:color="A6A6A6" w:themeColor="background1" w:themeShade="A6"/>
              <w:left w:val="nil"/>
              <w:bottom w:val="single" w:sz="4" w:space="0" w:color="A6A6A6" w:themeColor="background1" w:themeShade="A6"/>
              <w:right w:val="nil"/>
            </w:tcBorders>
            <w:hideMark/>
          </w:tcPr>
          <w:p w14:paraId="161DCD52" w14:textId="42F60B15" w:rsidR="00C83D9B" w:rsidRPr="00C83D9B" w:rsidRDefault="00C83D9B" w:rsidP="00C83D9B">
            <w:pPr>
              <w:pStyle w:val="TableText"/>
              <w:rPr>
                <w:b/>
                <w:bCs/>
                <w:sz w:val="16"/>
                <w:szCs w:val="18"/>
              </w:rPr>
            </w:pPr>
            <w:r w:rsidRPr="00C83D9B">
              <w:rPr>
                <w:b/>
                <w:bCs/>
                <w:sz w:val="16"/>
                <w:szCs w:val="18"/>
              </w:rPr>
              <w:t>Revenue</w:t>
            </w:r>
          </w:p>
        </w:tc>
        <w:tc>
          <w:tcPr>
            <w:tcW w:w="1100" w:type="dxa"/>
            <w:tcBorders>
              <w:top w:val="single" w:sz="4" w:space="0" w:color="A6A6A6" w:themeColor="background1" w:themeShade="A6"/>
              <w:left w:val="nil"/>
              <w:bottom w:val="single" w:sz="4" w:space="0" w:color="A6A6A6" w:themeColor="background1" w:themeShade="A6"/>
              <w:right w:val="nil"/>
            </w:tcBorders>
          </w:tcPr>
          <w:p w14:paraId="105A85B4" w14:textId="6DAE3418" w:rsidR="00C83D9B" w:rsidRPr="00C83D9B" w:rsidRDefault="00C83D9B" w:rsidP="00C83D9B">
            <w:pPr>
              <w:pStyle w:val="TableText"/>
              <w:ind w:right="57"/>
              <w:jc w:val="right"/>
              <w:rPr>
                <w:sz w:val="16"/>
                <w:szCs w:val="18"/>
              </w:rPr>
            </w:pPr>
          </w:p>
        </w:tc>
        <w:tc>
          <w:tcPr>
            <w:tcW w:w="985" w:type="dxa"/>
            <w:tcBorders>
              <w:top w:val="single" w:sz="4" w:space="0" w:color="A6A6A6" w:themeColor="background1" w:themeShade="A6"/>
              <w:left w:val="nil"/>
              <w:bottom w:val="single" w:sz="4" w:space="0" w:color="A6A6A6" w:themeColor="background1" w:themeShade="A6"/>
              <w:right w:val="nil"/>
            </w:tcBorders>
          </w:tcPr>
          <w:p w14:paraId="7BC805BB" w14:textId="49416AE2" w:rsidR="00C83D9B" w:rsidRPr="00C83D9B" w:rsidRDefault="00C83D9B" w:rsidP="00C83D9B">
            <w:pPr>
              <w:pStyle w:val="TableText"/>
              <w:ind w:right="57"/>
              <w:jc w:val="right"/>
              <w:rPr>
                <w:sz w:val="16"/>
                <w:szCs w:val="18"/>
              </w:rPr>
            </w:pPr>
          </w:p>
        </w:tc>
        <w:tc>
          <w:tcPr>
            <w:tcW w:w="1259" w:type="dxa"/>
            <w:tcBorders>
              <w:top w:val="single" w:sz="4" w:space="0" w:color="A6A6A6" w:themeColor="background1" w:themeShade="A6"/>
              <w:left w:val="nil"/>
              <w:bottom w:val="single" w:sz="4" w:space="0" w:color="A6A6A6" w:themeColor="background1" w:themeShade="A6"/>
              <w:right w:val="nil"/>
            </w:tcBorders>
          </w:tcPr>
          <w:p w14:paraId="4390D1BE" w14:textId="67447B77" w:rsidR="00C83D9B" w:rsidRPr="00C83D9B" w:rsidRDefault="00C83D9B" w:rsidP="00C83D9B">
            <w:pPr>
              <w:pStyle w:val="TableText"/>
              <w:ind w:right="57"/>
              <w:jc w:val="right"/>
              <w:rPr>
                <w:sz w:val="16"/>
                <w:szCs w:val="18"/>
              </w:rPr>
            </w:pPr>
          </w:p>
        </w:tc>
        <w:tc>
          <w:tcPr>
            <w:tcW w:w="840" w:type="dxa"/>
            <w:tcBorders>
              <w:top w:val="single" w:sz="4" w:space="0" w:color="A6A6A6" w:themeColor="background1" w:themeShade="A6"/>
              <w:left w:val="nil"/>
              <w:bottom w:val="single" w:sz="4" w:space="0" w:color="A6A6A6" w:themeColor="background1" w:themeShade="A6"/>
              <w:right w:val="nil"/>
            </w:tcBorders>
          </w:tcPr>
          <w:p w14:paraId="25CB34C6" w14:textId="5B445382" w:rsidR="00C83D9B" w:rsidRPr="00C83D9B" w:rsidRDefault="00C83D9B" w:rsidP="00C83D9B">
            <w:pPr>
              <w:pStyle w:val="TableText"/>
              <w:ind w:right="57"/>
              <w:jc w:val="right"/>
              <w:rPr>
                <w:sz w:val="16"/>
                <w:szCs w:val="18"/>
              </w:rPr>
            </w:pPr>
          </w:p>
        </w:tc>
      </w:tr>
      <w:tr w:rsidR="00C83D9B" w14:paraId="41FBB263" w14:textId="77777777" w:rsidTr="00C83D9B">
        <w:tc>
          <w:tcPr>
            <w:tcW w:w="3895" w:type="dxa"/>
            <w:tcBorders>
              <w:top w:val="single" w:sz="4" w:space="0" w:color="A6A6A6" w:themeColor="background1" w:themeShade="A6"/>
              <w:left w:val="nil"/>
              <w:bottom w:val="single" w:sz="4" w:space="0" w:color="A6A6A6" w:themeColor="background1" w:themeShade="A6"/>
              <w:right w:val="nil"/>
            </w:tcBorders>
          </w:tcPr>
          <w:p w14:paraId="2300E436" w14:textId="74140B5A" w:rsidR="00C83D9B" w:rsidRPr="00C83D9B" w:rsidRDefault="00C83D9B" w:rsidP="00C83D9B">
            <w:pPr>
              <w:pStyle w:val="TableText"/>
              <w:rPr>
                <w:sz w:val="16"/>
                <w:szCs w:val="18"/>
              </w:rPr>
            </w:pPr>
            <w:r w:rsidRPr="00C83D9B">
              <w:rPr>
                <w:sz w:val="16"/>
                <w:szCs w:val="18"/>
              </w:rPr>
              <w:t>Crown revenue</w:t>
            </w:r>
          </w:p>
        </w:tc>
        <w:tc>
          <w:tcPr>
            <w:tcW w:w="1100" w:type="dxa"/>
            <w:tcBorders>
              <w:top w:val="single" w:sz="4" w:space="0" w:color="A6A6A6" w:themeColor="background1" w:themeShade="A6"/>
              <w:left w:val="nil"/>
              <w:bottom w:val="single" w:sz="4" w:space="0" w:color="A6A6A6" w:themeColor="background1" w:themeShade="A6"/>
              <w:right w:val="nil"/>
            </w:tcBorders>
          </w:tcPr>
          <w:p w14:paraId="743FC035" w14:textId="0B8469A5" w:rsidR="00C83D9B" w:rsidRPr="00C83D9B" w:rsidRDefault="00C83D9B" w:rsidP="00C83D9B">
            <w:pPr>
              <w:pStyle w:val="TableText"/>
              <w:ind w:right="57"/>
              <w:jc w:val="right"/>
              <w:rPr>
                <w:sz w:val="16"/>
                <w:szCs w:val="18"/>
              </w:rPr>
            </w:pPr>
            <w:r w:rsidRPr="00C83D9B">
              <w:rPr>
                <w:sz w:val="16"/>
                <w:szCs w:val="18"/>
              </w:rPr>
              <w:t>230,017</w:t>
            </w:r>
          </w:p>
        </w:tc>
        <w:tc>
          <w:tcPr>
            <w:tcW w:w="985" w:type="dxa"/>
            <w:tcBorders>
              <w:top w:val="single" w:sz="4" w:space="0" w:color="A6A6A6" w:themeColor="background1" w:themeShade="A6"/>
              <w:left w:val="nil"/>
              <w:bottom w:val="single" w:sz="4" w:space="0" w:color="A6A6A6" w:themeColor="background1" w:themeShade="A6"/>
              <w:right w:val="nil"/>
            </w:tcBorders>
          </w:tcPr>
          <w:p w14:paraId="4CBDB43A" w14:textId="71D59782" w:rsidR="00C83D9B" w:rsidRPr="00C83D9B" w:rsidRDefault="00C83D9B" w:rsidP="00C83D9B">
            <w:pPr>
              <w:pStyle w:val="TableText"/>
              <w:ind w:right="57"/>
              <w:jc w:val="right"/>
              <w:rPr>
                <w:sz w:val="16"/>
                <w:szCs w:val="18"/>
              </w:rPr>
            </w:pPr>
            <w:r w:rsidRPr="00C83D9B">
              <w:rPr>
                <w:sz w:val="16"/>
                <w:szCs w:val="18"/>
              </w:rPr>
              <w:t>219,534</w:t>
            </w:r>
          </w:p>
        </w:tc>
        <w:tc>
          <w:tcPr>
            <w:tcW w:w="1259" w:type="dxa"/>
            <w:tcBorders>
              <w:top w:val="single" w:sz="4" w:space="0" w:color="A6A6A6" w:themeColor="background1" w:themeShade="A6"/>
              <w:left w:val="nil"/>
              <w:bottom w:val="single" w:sz="4" w:space="0" w:color="A6A6A6" w:themeColor="background1" w:themeShade="A6"/>
              <w:right w:val="nil"/>
            </w:tcBorders>
          </w:tcPr>
          <w:p w14:paraId="24B80265" w14:textId="2A225BC0" w:rsidR="00C83D9B" w:rsidRPr="00C83D9B" w:rsidRDefault="00C83D9B" w:rsidP="00C83D9B">
            <w:pPr>
              <w:pStyle w:val="TableText"/>
              <w:ind w:right="57"/>
              <w:jc w:val="right"/>
              <w:rPr>
                <w:sz w:val="16"/>
                <w:szCs w:val="18"/>
              </w:rPr>
            </w:pPr>
            <w:r w:rsidRPr="00C83D9B">
              <w:rPr>
                <w:sz w:val="16"/>
                <w:szCs w:val="18"/>
              </w:rPr>
              <w:t>254,065</w:t>
            </w:r>
          </w:p>
        </w:tc>
        <w:tc>
          <w:tcPr>
            <w:tcW w:w="840" w:type="dxa"/>
            <w:tcBorders>
              <w:top w:val="single" w:sz="4" w:space="0" w:color="A6A6A6" w:themeColor="background1" w:themeShade="A6"/>
              <w:left w:val="nil"/>
              <w:bottom w:val="single" w:sz="4" w:space="0" w:color="A6A6A6" w:themeColor="background1" w:themeShade="A6"/>
              <w:right w:val="nil"/>
            </w:tcBorders>
          </w:tcPr>
          <w:p w14:paraId="424090B1" w14:textId="0326A29B" w:rsidR="00C83D9B" w:rsidRPr="00C83D9B" w:rsidRDefault="00C83D9B" w:rsidP="00C83D9B">
            <w:pPr>
              <w:pStyle w:val="TableText"/>
              <w:ind w:right="57"/>
              <w:jc w:val="right"/>
              <w:rPr>
                <w:sz w:val="16"/>
                <w:szCs w:val="18"/>
              </w:rPr>
            </w:pPr>
            <w:r w:rsidRPr="00C83D9B">
              <w:rPr>
                <w:sz w:val="16"/>
                <w:szCs w:val="18"/>
              </w:rPr>
              <w:t>254,065</w:t>
            </w:r>
          </w:p>
        </w:tc>
      </w:tr>
      <w:tr w:rsidR="00C83D9B" w14:paraId="2795240F" w14:textId="77777777" w:rsidTr="00C83D9B">
        <w:tc>
          <w:tcPr>
            <w:tcW w:w="3895" w:type="dxa"/>
            <w:tcBorders>
              <w:top w:val="single" w:sz="4" w:space="0" w:color="A6A6A6" w:themeColor="background1" w:themeShade="A6"/>
              <w:left w:val="nil"/>
              <w:bottom w:val="single" w:sz="4" w:space="0" w:color="A6A6A6" w:themeColor="background1" w:themeShade="A6"/>
              <w:right w:val="nil"/>
            </w:tcBorders>
          </w:tcPr>
          <w:p w14:paraId="1B1B3445" w14:textId="40047D06" w:rsidR="00C83D9B" w:rsidRPr="00C83D9B" w:rsidRDefault="00C83D9B" w:rsidP="00C83D9B">
            <w:pPr>
              <w:pStyle w:val="TableText"/>
              <w:rPr>
                <w:sz w:val="16"/>
                <w:szCs w:val="18"/>
              </w:rPr>
            </w:pPr>
            <w:r w:rsidRPr="00C83D9B">
              <w:rPr>
                <w:sz w:val="16"/>
                <w:szCs w:val="18"/>
              </w:rPr>
              <w:t>Other revenue</w:t>
            </w:r>
          </w:p>
        </w:tc>
        <w:tc>
          <w:tcPr>
            <w:tcW w:w="1100" w:type="dxa"/>
            <w:tcBorders>
              <w:top w:val="single" w:sz="4" w:space="0" w:color="A6A6A6" w:themeColor="background1" w:themeShade="A6"/>
              <w:left w:val="nil"/>
              <w:bottom w:val="single" w:sz="4" w:space="0" w:color="A6A6A6" w:themeColor="background1" w:themeShade="A6"/>
              <w:right w:val="nil"/>
            </w:tcBorders>
          </w:tcPr>
          <w:p w14:paraId="7DB0F32F" w14:textId="7C38BD37" w:rsidR="00C83D9B" w:rsidRPr="00C83D9B" w:rsidRDefault="00C83D9B" w:rsidP="00C83D9B">
            <w:pPr>
              <w:pStyle w:val="TableText"/>
              <w:ind w:right="57"/>
              <w:jc w:val="right"/>
              <w:rPr>
                <w:sz w:val="16"/>
                <w:szCs w:val="18"/>
              </w:rPr>
            </w:pPr>
            <w:r w:rsidRPr="00C83D9B">
              <w:rPr>
                <w:sz w:val="16"/>
                <w:szCs w:val="18"/>
              </w:rPr>
              <w:t>19,646</w:t>
            </w:r>
          </w:p>
        </w:tc>
        <w:tc>
          <w:tcPr>
            <w:tcW w:w="985" w:type="dxa"/>
            <w:tcBorders>
              <w:top w:val="single" w:sz="4" w:space="0" w:color="A6A6A6" w:themeColor="background1" w:themeShade="A6"/>
              <w:left w:val="nil"/>
              <w:bottom w:val="single" w:sz="4" w:space="0" w:color="A6A6A6" w:themeColor="background1" w:themeShade="A6"/>
              <w:right w:val="nil"/>
            </w:tcBorders>
          </w:tcPr>
          <w:p w14:paraId="086E5427" w14:textId="27BFEDEE" w:rsidR="00C83D9B" w:rsidRPr="00C83D9B" w:rsidRDefault="00C83D9B" w:rsidP="00C83D9B">
            <w:pPr>
              <w:pStyle w:val="TableText"/>
              <w:ind w:right="57"/>
              <w:jc w:val="right"/>
              <w:rPr>
                <w:sz w:val="16"/>
                <w:szCs w:val="18"/>
              </w:rPr>
            </w:pPr>
            <w:r w:rsidRPr="00C83D9B">
              <w:rPr>
                <w:sz w:val="16"/>
                <w:szCs w:val="18"/>
              </w:rPr>
              <w:t>18,225</w:t>
            </w:r>
          </w:p>
        </w:tc>
        <w:tc>
          <w:tcPr>
            <w:tcW w:w="1259" w:type="dxa"/>
            <w:tcBorders>
              <w:top w:val="single" w:sz="4" w:space="0" w:color="A6A6A6" w:themeColor="background1" w:themeShade="A6"/>
              <w:left w:val="nil"/>
              <w:bottom w:val="single" w:sz="4" w:space="0" w:color="A6A6A6" w:themeColor="background1" w:themeShade="A6"/>
              <w:right w:val="nil"/>
            </w:tcBorders>
          </w:tcPr>
          <w:p w14:paraId="0B9F1C3C" w14:textId="0917931D" w:rsidR="00C83D9B" w:rsidRPr="00C83D9B" w:rsidRDefault="00C83D9B" w:rsidP="00C83D9B">
            <w:pPr>
              <w:pStyle w:val="TableText"/>
              <w:ind w:right="57"/>
              <w:jc w:val="right"/>
              <w:rPr>
                <w:sz w:val="16"/>
                <w:szCs w:val="18"/>
              </w:rPr>
            </w:pPr>
            <w:r w:rsidRPr="00C83D9B">
              <w:rPr>
                <w:sz w:val="16"/>
                <w:szCs w:val="18"/>
              </w:rPr>
              <w:t>31,981</w:t>
            </w:r>
          </w:p>
        </w:tc>
        <w:tc>
          <w:tcPr>
            <w:tcW w:w="840" w:type="dxa"/>
            <w:tcBorders>
              <w:top w:val="single" w:sz="4" w:space="0" w:color="A6A6A6" w:themeColor="background1" w:themeShade="A6"/>
              <w:left w:val="nil"/>
              <w:bottom w:val="single" w:sz="4" w:space="0" w:color="A6A6A6" w:themeColor="background1" w:themeShade="A6"/>
              <w:right w:val="nil"/>
            </w:tcBorders>
          </w:tcPr>
          <w:p w14:paraId="720AE8E2" w14:textId="6873763B" w:rsidR="00C83D9B" w:rsidRPr="00C83D9B" w:rsidRDefault="00C83D9B" w:rsidP="00C83D9B">
            <w:pPr>
              <w:pStyle w:val="TableText"/>
              <w:ind w:right="57"/>
              <w:jc w:val="right"/>
              <w:rPr>
                <w:sz w:val="16"/>
                <w:szCs w:val="18"/>
              </w:rPr>
            </w:pPr>
            <w:r w:rsidRPr="00C83D9B">
              <w:rPr>
                <w:sz w:val="16"/>
                <w:szCs w:val="18"/>
              </w:rPr>
              <w:t>29,857</w:t>
            </w:r>
          </w:p>
        </w:tc>
      </w:tr>
      <w:tr w:rsidR="00C83D9B" w14:paraId="3C9CE58D" w14:textId="77777777" w:rsidTr="00C83D9B">
        <w:tc>
          <w:tcPr>
            <w:tcW w:w="3895" w:type="dxa"/>
            <w:tcBorders>
              <w:top w:val="single" w:sz="4" w:space="0" w:color="A6A6A6" w:themeColor="background1" w:themeShade="A6"/>
              <w:left w:val="nil"/>
              <w:bottom w:val="single" w:sz="4" w:space="0" w:color="A6A6A6" w:themeColor="background1" w:themeShade="A6"/>
              <w:right w:val="nil"/>
            </w:tcBorders>
          </w:tcPr>
          <w:p w14:paraId="24BC91F8" w14:textId="073D1671" w:rsidR="00C83D9B" w:rsidRPr="00C83D9B" w:rsidRDefault="00C83D9B" w:rsidP="00C83D9B">
            <w:pPr>
              <w:pStyle w:val="TableText"/>
              <w:rPr>
                <w:sz w:val="16"/>
                <w:szCs w:val="18"/>
              </w:rPr>
            </w:pPr>
            <w:r w:rsidRPr="00C83D9B">
              <w:rPr>
                <w:sz w:val="16"/>
                <w:szCs w:val="18"/>
              </w:rPr>
              <w:t>Total revenue</w:t>
            </w:r>
          </w:p>
        </w:tc>
        <w:tc>
          <w:tcPr>
            <w:tcW w:w="1100" w:type="dxa"/>
            <w:tcBorders>
              <w:top w:val="single" w:sz="4" w:space="0" w:color="A6A6A6" w:themeColor="background1" w:themeShade="A6"/>
              <w:left w:val="nil"/>
              <w:bottom w:val="single" w:sz="4" w:space="0" w:color="A6A6A6" w:themeColor="background1" w:themeShade="A6"/>
              <w:right w:val="nil"/>
            </w:tcBorders>
          </w:tcPr>
          <w:p w14:paraId="71389548" w14:textId="308BA634" w:rsidR="00C83D9B" w:rsidRPr="00C83D9B" w:rsidRDefault="00C83D9B" w:rsidP="00C83D9B">
            <w:pPr>
              <w:pStyle w:val="TableText"/>
              <w:ind w:right="57"/>
              <w:jc w:val="right"/>
              <w:rPr>
                <w:sz w:val="16"/>
                <w:szCs w:val="18"/>
              </w:rPr>
            </w:pPr>
            <w:r w:rsidRPr="00C83D9B">
              <w:rPr>
                <w:sz w:val="16"/>
                <w:szCs w:val="18"/>
              </w:rPr>
              <w:t>249,663</w:t>
            </w:r>
          </w:p>
        </w:tc>
        <w:tc>
          <w:tcPr>
            <w:tcW w:w="985" w:type="dxa"/>
            <w:tcBorders>
              <w:top w:val="single" w:sz="4" w:space="0" w:color="A6A6A6" w:themeColor="background1" w:themeShade="A6"/>
              <w:left w:val="nil"/>
              <w:bottom w:val="single" w:sz="4" w:space="0" w:color="A6A6A6" w:themeColor="background1" w:themeShade="A6"/>
              <w:right w:val="nil"/>
            </w:tcBorders>
          </w:tcPr>
          <w:p w14:paraId="22C3E238" w14:textId="7873DA86" w:rsidR="00C83D9B" w:rsidRPr="00C83D9B" w:rsidRDefault="00C83D9B" w:rsidP="00C83D9B">
            <w:pPr>
              <w:pStyle w:val="TableText"/>
              <w:ind w:right="57"/>
              <w:jc w:val="right"/>
              <w:rPr>
                <w:sz w:val="16"/>
                <w:szCs w:val="18"/>
              </w:rPr>
            </w:pPr>
            <w:r w:rsidRPr="00C83D9B">
              <w:rPr>
                <w:sz w:val="16"/>
                <w:szCs w:val="18"/>
              </w:rPr>
              <w:t>237,759</w:t>
            </w:r>
          </w:p>
        </w:tc>
        <w:tc>
          <w:tcPr>
            <w:tcW w:w="1259" w:type="dxa"/>
            <w:tcBorders>
              <w:top w:val="single" w:sz="4" w:space="0" w:color="A6A6A6" w:themeColor="background1" w:themeShade="A6"/>
              <w:left w:val="nil"/>
              <w:bottom w:val="single" w:sz="4" w:space="0" w:color="A6A6A6" w:themeColor="background1" w:themeShade="A6"/>
              <w:right w:val="nil"/>
            </w:tcBorders>
          </w:tcPr>
          <w:p w14:paraId="4FCA49F2" w14:textId="0F934B62" w:rsidR="00C83D9B" w:rsidRPr="00C83D9B" w:rsidRDefault="00C83D9B" w:rsidP="00C83D9B">
            <w:pPr>
              <w:pStyle w:val="TableText"/>
              <w:ind w:right="57"/>
              <w:jc w:val="right"/>
              <w:rPr>
                <w:sz w:val="16"/>
                <w:szCs w:val="18"/>
              </w:rPr>
            </w:pPr>
            <w:r w:rsidRPr="00C83D9B">
              <w:rPr>
                <w:sz w:val="16"/>
                <w:szCs w:val="18"/>
              </w:rPr>
              <w:t>286,046</w:t>
            </w:r>
          </w:p>
        </w:tc>
        <w:tc>
          <w:tcPr>
            <w:tcW w:w="840" w:type="dxa"/>
            <w:tcBorders>
              <w:top w:val="single" w:sz="4" w:space="0" w:color="A6A6A6" w:themeColor="background1" w:themeShade="A6"/>
              <w:left w:val="nil"/>
              <w:bottom w:val="single" w:sz="4" w:space="0" w:color="A6A6A6" w:themeColor="background1" w:themeShade="A6"/>
              <w:right w:val="nil"/>
            </w:tcBorders>
          </w:tcPr>
          <w:p w14:paraId="1E83AD52" w14:textId="20BF9617" w:rsidR="00C83D9B" w:rsidRPr="00C83D9B" w:rsidRDefault="00C83D9B" w:rsidP="00C83D9B">
            <w:pPr>
              <w:pStyle w:val="TableText"/>
              <w:ind w:right="57"/>
              <w:jc w:val="right"/>
              <w:rPr>
                <w:sz w:val="16"/>
                <w:szCs w:val="18"/>
              </w:rPr>
            </w:pPr>
            <w:r w:rsidRPr="00C83D9B">
              <w:rPr>
                <w:sz w:val="16"/>
                <w:szCs w:val="18"/>
              </w:rPr>
              <w:t>283,922</w:t>
            </w:r>
          </w:p>
        </w:tc>
      </w:tr>
      <w:tr w:rsidR="00C83D9B" w14:paraId="5AEE3E20" w14:textId="77777777" w:rsidTr="00C83D9B">
        <w:tc>
          <w:tcPr>
            <w:tcW w:w="3895" w:type="dxa"/>
            <w:tcBorders>
              <w:top w:val="single" w:sz="4" w:space="0" w:color="A6A6A6" w:themeColor="background1" w:themeShade="A6"/>
              <w:left w:val="nil"/>
              <w:bottom w:val="single" w:sz="4" w:space="0" w:color="A6A6A6" w:themeColor="background1" w:themeShade="A6"/>
              <w:right w:val="nil"/>
            </w:tcBorders>
          </w:tcPr>
          <w:p w14:paraId="4E5D62BF" w14:textId="4D929690" w:rsidR="00C83D9B" w:rsidRPr="00C83D9B" w:rsidRDefault="00C83D9B" w:rsidP="00C83D9B">
            <w:pPr>
              <w:pStyle w:val="TableText"/>
              <w:rPr>
                <w:b/>
                <w:bCs/>
                <w:sz w:val="16"/>
                <w:szCs w:val="18"/>
              </w:rPr>
            </w:pPr>
            <w:r w:rsidRPr="00C83D9B">
              <w:rPr>
                <w:b/>
                <w:bCs/>
                <w:sz w:val="16"/>
                <w:szCs w:val="18"/>
              </w:rPr>
              <w:t>Expenses by output category</w:t>
            </w:r>
          </w:p>
        </w:tc>
        <w:tc>
          <w:tcPr>
            <w:tcW w:w="1100" w:type="dxa"/>
            <w:tcBorders>
              <w:top w:val="single" w:sz="4" w:space="0" w:color="A6A6A6" w:themeColor="background1" w:themeShade="A6"/>
              <w:left w:val="nil"/>
              <w:bottom w:val="single" w:sz="4" w:space="0" w:color="A6A6A6" w:themeColor="background1" w:themeShade="A6"/>
              <w:right w:val="nil"/>
            </w:tcBorders>
          </w:tcPr>
          <w:p w14:paraId="6FA208E2" w14:textId="48CAF4BE" w:rsidR="00C83D9B" w:rsidRPr="00C83D9B" w:rsidRDefault="00C83D9B" w:rsidP="00C83D9B">
            <w:pPr>
              <w:pStyle w:val="TableText"/>
              <w:ind w:right="57"/>
              <w:jc w:val="right"/>
              <w:rPr>
                <w:sz w:val="16"/>
                <w:szCs w:val="18"/>
              </w:rPr>
            </w:pPr>
          </w:p>
        </w:tc>
        <w:tc>
          <w:tcPr>
            <w:tcW w:w="985" w:type="dxa"/>
            <w:tcBorders>
              <w:top w:val="single" w:sz="4" w:space="0" w:color="A6A6A6" w:themeColor="background1" w:themeShade="A6"/>
              <w:left w:val="nil"/>
              <w:bottom w:val="single" w:sz="4" w:space="0" w:color="A6A6A6" w:themeColor="background1" w:themeShade="A6"/>
              <w:right w:val="nil"/>
            </w:tcBorders>
          </w:tcPr>
          <w:p w14:paraId="363BBB97" w14:textId="6866BF6F" w:rsidR="00C83D9B" w:rsidRPr="00C83D9B" w:rsidRDefault="00C83D9B" w:rsidP="00C83D9B">
            <w:pPr>
              <w:pStyle w:val="TableText"/>
              <w:ind w:right="57"/>
              <w:jc w:val="right"/>
              <w:rPr>
                <w:sz w:val="16"/>
                <w:szCs w:val="18"/>
              </w:rPr>
            </w:pPr>
          </w:p>
        </w:tc>
        <w:tc>
          <w:tcPr>
            <w:tcW w:w="1259" w:type="dxa"/>
            <w:tcBorders>
              <w:top w:val="single" w:sz="4" w:space="0" w:color="A6A6A6" w:themeColor="background1" w:themeShade="A6"/>
              <w:left w:val="nil"/>
              <w:bottom w:val="single" w:sz="4" w:space="0" w:color="A6A6A6" w:themeColor="background1" w:themeShade="A6"/>
              <w:right w:val="nil"/>
            </w:tcBorders>
          </w:tcPr>
          <w:p w14:paraId="2C986281" w14:textId="768BB334" w:rsidR="00C83D9B" w:rsidRPr="00C83D9B" w:rsidRDefault="00C83D9B" w:rsidP="00C83D9B">
            <w:pPr>
              <w:pStyle w:val="TableText"/>
              <w:ind w:right="57"/>
              <w:jc w:val="right"/>
              <w:rPr>
                <w:sz w:val="16"/>
                <w:szCs w:val="18"/>
              </w:rPr>
            </w:pPr>
          </w:p>
        </w:tc>
        <w:tc>
          <w:tcPr>
            <w:tcW w:w="840" w:type="dxa"/>
            <w:tcBorders>
              <w:top w:val="single" w:sz="4" w:space="0" w:color="A6A6A6" w:themeColor="background1" w:themeShade="A6"/>
              <w:left w:val="nil"/>
              <w:bottom w:val="single" w:sz="4" w:space="0" w:color="A6A6A6" w:themeColor="background1" w:themeShade="A6"/>
              <w:right w:val="nil"/>
            </w:tcBorders>
          </w:tcPr>
          <w:p w14:paraId="6D07AFC0" w14:textId="5CBA6A45" w:rsidR="00C83D9B" w:rsidRPr="00C83D9B" w:rsidRDefault="00C83D9B" w:rsidP="00C83D9B">
            <w:pPr>
              <w:pStyle w:val="TableText"/>
              <w:ind w:right="57"/>
              <w:jc w:val="right"/>
              <w:rPr>
                <w:sz w:val="16"/>
                <w:szCs w:val="18"/>
              </w:rPr>
            </w:pPr>
          </w:p>
        </w:tc>
      </w:tr>
      <w:tr w:rsidR="00C83D9B" w14:paraId="59EAD628" w14:textId="77777777" w:rsidTr="00C83D9B">
        <w:tc>
          <w:tcPr>
            <w:tcW w:w="3895" w:type="dxa"/>
            <w:tcBorders>
              <w:top w:val="single" w:sz="4" w:space="0" w:color="A6A6A6" w:themeColor="background1" w:themeShade="A6"/>
              <w:left w:val="nil"/>
              <w:bottom w:val="single" w:sz="4" w:space="0" w:color="A6A6A6" w:themeColor="background1" w:themeShade="A6"/>
              <w:right w:val="nil"/>
            </w:tcBorders>
          </w:tcPr>
          <w:p w14:paraId="6B9AA919" w14:textId="0BA6DDEB" w:rsidR="00C83D9B" w:rsidRPr="00C83D9B" w:rsidRDefault="00C83D9B" w:rsidP="00C83D9B">
            <w:pPr>
              <w:pStyle w:val="TableText"/>
              <w:rPr>
                <w:sz w:val="16"/>
                <w:szCs w:val="18"/>
              </w:rPr>
            </w:pPr>
            <w:r w:rsidRPr="00C83D9B">
              <w:rPr>
                <w:sz w:val="16"/>
                <w:szCs w:val="18"/>
              </w:rPr>
              <w:t>Equity, evidence and outcomes</w:t>
            </w:r>
          </w:p>
        </w:tc>
        <w:tc>
          <w:tcPr>
            <w:tcW w:w="1100" w:type="dxa"/>
            <w:tcBorders>
              <w:top w:val="single" w:sz="4" w:space="0" w:color="A6A6A6" w:themeColor="background1" w:themeShade="A6"/>
              <w:left w:val="nil"/>
              <w:bottom w:val="single" w:sz="4" w:space="0" w:color="A6A6A6" w:themeColor="background1" w:themeShade="A6"/>
              <w:right w:val="nil"/>
            </w:tcBorders>
          </w:tcPr>
          <w:p w14:paraId="27560B7C" w14:textId="70EDBFA0" w:rsidR="00C83D9B" w:rsidRPr="00C83D9B" w:rsidRDefault="00C83D9B" w:rsidP="00C83D9B">
            <w:pPr>
              <w:pStyle w:val="TableText"/>
              <w:ind w:right="57"/>
              <w:jc w:val="right"/>
              <w:rPr>
                <w:sz w:val="16"/>
                <w:szCs w:val="18"/>
              </w:rPr>
            </w:pPr>
            <w:r w:rsidRPr="00C83D9B">
              <w:rPr>
                <w:sz w:val="16"/>
                <w:szCs w:val="18"/>
              </w:rPr>
              <w:t>19,158</w:t>
            </w:r>
          </w:p>
        </w:tc>
        <w:tc>
          <w:tcPr>
            <w:tcW w:w="985" w:type="dxa"/>
            <w:tcBorders>
              <w:top w:val="single" w:sz="4" w:space="0" w:color="A6A6A6" w:themeColor="background1" w:themeShade="A6"/>
              <w:left w:val="nil"/>
              <w:bottom w:val="single" w:sz="4" w:space="0" w:color="A6A6A6" w:themeColor="background1" w:themeShade="A6"/>
              <w:right w:val="nil"/>
            </w:tcBorders>
          </w:tcPr>
          <w:p w14:paraId="2B036100" w14:textId="6BDD6412" w:rsidR="00C83D9B" w:rsidRPr="00C83D9B" w:rsidRDefault="00C83D9B" w:rsidP="00C83D9B">
            <w:pPr>
              <w:pStyle w:val="TableText"/>
              <w:ind w:right="57"/>
              <w:jc w:val="right"/>
              <w:rPr>
                <w:sz w:val="16"/>
                <w:szCs w:val="18"/>
              </w:rPr>
            </w:pPr>
            <w:r w:rsidRPr="00C83D9B">
              <w:rPr>
                <w:sz w:val="16"/>
                <w:szCs w:val="18"/>
              </w:rPr>
              <w:t>15,563</w:t>
            </w:r>
          </w:p>
        </w:tc>
        <w:tc>
          <w:tcPr>
            <w:tcW w:w="1259" w:type="dxa"/>
            <w:tcBorders>
              <w:top w:val="single" w:sz="4" w:space="0" w:color="A6A6A6" w:themeColor="background1" w:themeShade="A6"/>
              <w:left w:val="nil"/>
              <w:bottom w:val="single" w:sz="4" w:space="0" w:color="A6A6A6" w:themeColor="background1" w:themeShade="A6"/>
              <w:right w:val="nil"/>
            </w:tcBorders>
          </w:tcPr>
          <w:p w14:paraId="3BAD0562" w14:textId="2754E5A0" w:rsidR="00C83D9B" w:rsidRPr="00C83D9B" w:rsidRDefault="00C83D9B" w:rsidP="00C83D9B">
            <w:pPr>
              <w:pStyle w:val="TableText"/>
              <w:ind w:right="57"/>
              <w:jc w:val="right"/>
              <w:rPr>
                <w:sz w:val="16"/>
                <w:szCs w:val="18"/>
              </w:rPr>
            </w:pPr>
            <w:r w:rsidRPr="00C83D9B">
              <w:rPr>
                <w:sz w:val="16"/>
                <w:szCs w:val="18"/>
              </w:rPr>
              <w:t>22,394</w:t>
            </w:r>
          </w:p>
        </w:tc>
        <w:tc>
          <w:tcPr>
            <w:tcW w:w="840" w:type="dxa"/>
            <w:tcBorders>
              <w:top w:val="single" w:sz="4" w:space="0" w:color="A6A6A6" w:themeColor="background1" w:themeShade="A6"/>
              <w:left w:val="nil"/>
              <w:bottom w:val="single" w:sz="4" w:space="0" w:color="A6A6A6" w:themeColor="background1" w:themeShade="A6"/>
              <w:right w:val="nil"/>
            </w:tcBorders>
          </w:tcPr>
          <w:p w14:paraId="77B445E8" w14:textId="7EF9F1EE" w:rsidR="00C83D9B" w:rsidRPr="00C83D9B" w:rsidRDefault="00C83D9B" w:rsidP="00C83D9B">
            <w:pPr>
              <w:pStyle w:val="TableText"/>
              <w:ind w:right="57"/>
              <w:jc w:val="right"/>
              <w:rPr>
                <w:sz w:val="16"/>
                <w:szCs w:val="18"/>
              </w:rPr>
            </w:pPr>
            <w:r w:rsidRPr="00C83D9B">
              <w:rPr>
                <w:sz w:val="16"/>
                <w:szCs w:val="18"/>
              </w:rPr>
              <w:t>23,432</w:t>
            </w:r>
          </w:p>
        </w:tc>
      </w:tr>
      <w:tr w:rsidR="00C83D9B" w14:paraId="2D8E1231" w14:textId="77777777" w:rsidTr="00C83D9B">
        <w:tc>
          <w:tcPr>
            <w:tcW w:w="3895" w:type="dxa"/>
            <w:tcBorders>
              <w:top w:val="single" w:sz="4" w:space="0" w:color="A6A6A6" w:themeColor="background1" w:themeShade="A6"/>
              <w:left w:val="nil"/>
              <w:bottom w:val="single" w:sz="4" w:space="0" w:color="A6A6A6" w:themeColor="background1" w:themeShade="A6"/>
              <w:right w:val="nil"/>
            </w:tcBorders>
          </w:tcPr>
          <w:p w14:paraId="36AC8FAA" w14:textId="1B9C3E6A" w:rsidR="00C83D9B" w:rsidRPr="00C83D9B" w:rsidRDefault="00C83D9B" w:rsidP="00C83D9B">
            <w:pPr>
              <w:pStyle w:val="TableText"/>
              <w:rPr>
                <w:sz w:val="16"/>
                <w:szCs w:val="18"/>
              </w:rPr>
            </w:pPr>
            <w:r w:rsidRPr="00C83D9B">
              <w:rPr>
                <w:sz w:val="16"/>
                <w:szCs w:val="18"/>
              </w:rPr>
              <w:t>Policy advice and related services</w:t>
            </w:r>
          </w:p>
        </w:tc>
        <w:tc>
          <w:tcPr>
            <w:tcW w:w="1100" w:type="dxa"/>
            <w:tcBorders>
              <w:top w:val="single" w:sz="4" w:space="0" w:color="A6A6A6" w:themeColor="background1" w:themeShade="A6"/>
              <w:left w:val="nil"/>
              <w:bottom w:val="single" w:sz="4" w:space="0" w:color="A6A6A6" w:themeColor="background1" w:themeShade="A6"/>
              <w:right w:val="nil"/>
            </w:tcBorders>
          </w:tcPr>
          <w:p w14:paraId="1510391D" w14:textId="55C32A40" w:rsidR="00C83D9B" w:rsidRPr="00C83D9B" w:rsidRDefault="00C83D9B" w:rsidP="00C83D9B">
            <w:pPr>
              <w:pStyle w:val="TableText"/>
              <w:ind w:right="57"/>
              <w:jc w:val="right"/>
              <w:rPr>
                <w:sz w:val="16"/>
                <w:szCs w:val="18"/>
              </w:rPr>
            </w:pPr>
            <w:r w:rsidRPr="00C83D9B">
              <w:rPr>
                <w:sz w:val="16"/>
                <w:szCs w:val="18"/>
              </w:rPr>
              <w:t>44,737</w:t>
            </w:r>
          </w:p>
        </w:tc>
        <w:tc>
          <w:tcPr>
            <w:tcW w:w="985" w:type="dxa"/>
            <w:tcBorders>
              <w:top w:val="single" w:sz="4" w:space="0" w:color="A6A6A6" w:themeColor="background1" w:themeShade="A6"/>
              <w:left w:val="nil"/>
              <w:bottom w:val="single" w:sz="4" w:space="0" w:color="A6A6A6" w:themeColor="background1" w:themeShade="A6"/>
              <w:right w:val="nil"/>
            </w:tcBorders>
          </w:tcPr>
          <w:p w14:paraId="2A6BC489" w14:textId="3B38BD94" w:rsidR="00C83D9B" w:rsidRPr="00C83D9B" w:rsidRDefault="00C83D9B" w:rsidP="00C83D9B">
            <w:pPr>
              <w:pStyle w:val="TableText"/>
              <w:ind w:right="57"/>
              <w:jc w:val="right"/>
              <w:rPr>
                <w:sz w:val="16"/>
                <w:szCs w:val="18"/>
              </w:rPr>
            </w:pPr>
            <w:r w:rsidRPr="00C83D9B">
              <w:rPr>
                <w:sz w:val="16"/>
                <w:szCs w:val="18"/>
              </w:rPr>
              <w:t>31,630</w:t>
            </w:r>
          </w:p>
        </w:tc>
        <w:tc>
          <w:tcPr>
            <w:tcW w:w="1259" w:type="dxa"/>
            <w:tcBorders>
              <w:top w:val="single" w:sz="4" w:space="0" w:color="A6A6A6" w:themeColor="background1" w:themeShade="A6"/>
              <w:left w:val="nil"/>
              <w:bottom w:val="single" w:sz="4" w:space="0" w:color="A6A6A6" w:themeColor="background1" w:themeShade="A6"/>
              <w:right w:val="nil"/>
            </w:tcBorders>
          </w:tcPr>
          <w:p w14:paraId="035F7BB0" w14:textId="0ACDB8ED" w:rsidR="00C83D9B" w:rsidRPr="00C83D9B" w:rsidRDefault="00C83D9B" w:rsidP="00C83D9B">
            <w:pPr>
              <w:pStyle w:val="TableText"/>
              <w:ind w:right="57"/>
              <w:jc w:val="right"/>
              <w:rPr>
                <w:sz w:val="16"/>
                <w:szCs w:val="18"/>
              </w:rPr>
            </w:pPr>
            <w:r w:rsidRPr="00C83D9B">
              <w:rPr>
                <w:sz w:val="16"/>
                <w:szCs w:val="18"/>
              </w:rPr>
              <w:t>44,169</w:t>
            </w:r>
          </w:p>
        </w:tc>
        <w:tc>
          <w:tcPr>
            <w:tcW w:w="840" w:type="dxa"/>
            <w:tcBorders>
              <w:top w:val="single" w:sz="4" w:space="0" w:color="A6A6A6" w:themeColor="background1" w:themeShade="A6"/>
              <w:left w:val="nil"/>
              <w:bottom w:val="single" w:sz="4" w:space="0" w:color="A6A6A6" w:themeColor="background1" w:themeShade="A6"/>
              <w:right w:val="nil"/>
            </w:tcBorders>
          </w:tcPr>
          <w:p w14:paraId="0118C018" w14:textId="113C0DA1" w:rsidR="00C83D9B" w:rsidRPr="00C83D9B" w:rsidRDefault="00C83D9B" w:rsidP="00C83D9B">
            <w:pPr>
              <w:pStyle w:val="TableText"/>
              <w:ind w:right="57"/>
              <w:jc w:val="right"/>
              <w:rPr>
                <w:sz w:val="16"/>
                <w:szCs w:val="18"/>
              </w:rPr>
            </w:pPr>
            <w:r w:rsidRPr="00C83D9B">
              <w:rPr>
                <w:sz w:val="16"/>
                <w:szCs w:val="18"/>
              </w:rPr>
              <w:t>43,456</w:t>
            </w:r>
          </w:p>
        </w:tc>
      </w:tr>
      <w:tr w:rsidR="00C83D9B" w14:paraId="2AA24C4C" w14:textId="77777777" w:rsidTr="00C83D9B">
        <w:tc>
          <w:tcPr>
            <w:tcW w:w="3895" w:type="dxa"/>
            <w:tcBorders>
              <w:top w:val="single" w:sz="4" w:space="0" w:color="A6A6A6" w:themeColor="background1" w:themeShade="A6"/>
              <w:left w:val="nil"/>
              <w:bottom w:val="single" w:sz="4" w:space="0" w:color="A6A6A6" w:themeColor="background1" w:themeShade="A6"/>
              <w:right w:val="nil"/>
            </w:tcBorders>
          </w:tcPr>
          <w:p w14:paraId="79F780F9" w14:textId="54132B45" w:rsidR="00C83D9B" w:rsidRPr="00C83D9B" w:rsidRDefault="00C83D9B" w:rsidP="00C83D9B">
            <w:pPr>
              <w:pStyle w:val="TableText"/>
              <w:rPr>
                <w:sz w:val="16"/>
                <w:szCs w:val="18"/>
              </w:rPr>
            </w:pPr>
            <w:r w:rsidRPr="00C83D9B">
              <w:rPr>
                <w:sz w:val="16"/>
                <w:szCs w:val="18"/>
              </w:rPr>
              <w:t>Public health and population health leadership</w:t>
            </w:r>
          </w:p>
        </w:tc>
        <w:tc>
          <w:tcPr>
            <w:tcW w:w="1100" w:type="dxa"/>
            <w:tcBorders>
              <w:top w:val="single" w:sz="4" w:space="0" w:color="A6A6A6" w:themeColor="background1" w:themeShade="A6"/>
              <w:left w:val="nil"/>
              <w:bottom w:val="single" w:sz="4" w:space="0" w:color="A6A6A6" w:themeColor="background1" w:themeShade="A6"/>
              <w:right w:val="nil"/>
            </w:tcBorders>
          </w:tcPr>
          <w:p w14:paraId="271BBCF5" w14:textId="47E38F70" w:rsidR="00C83D9B" w:rsidRPr="00C83D9B" w:rsidRDefault="00C83D9B" w:rsidP="00C83D9B">
            <w:pPr>
              <w:pStyle w:val="TableText"/>
              <w:ind w:right="57"/>
              <w:jc w:val="right"/>
              <w:rPr>
                <w:sz w:val="16"/>
                <w:szCs w:val="18"/>
              </w:rPr>
            </w:pPr>
            <w:r w:rsidRPr="00C83D9B">
              <w:rPr>
                <w:sz w:val="16"/>
                <w:szCs w:val="18"/>
              </w:rPr>
              <w:t>85,963</w:t>
            </w:r>
          </w:p>
        </w:tc>
        <w:tc>
          <w:tcPr>
            <w:tcW w:w="985" w:type="dxa"/>
            <w:tcBorders>
              <w:top w:val="single" w:sz="4" w:space="0" w:color="A6A6A6" w:themeColor="background1" w:themeShade="A6"/>
              <w:left w:val="nil"/>
              <w:bottom w:val="single" w:sz="4" w:space="0" w:color="A6A6A6" w:themeColor="background1" w:themeShade="A6"/>
              <w:right w:val="nil"/>
            </w:tcBorders>
          </w:tcPr>
          <w:p w14:paraId="6E2CC576" w14:textId="00028D24" w:rsidR="00C83D9B" w:rsidRPr="00C83D9B" w:rsidRDefault="00C83D9B" w:rsidP="00C83D9B">
            <w:pPr>
              <w:pStyle w:val="TableText"/>
              <w:ind w:right="57"/>
              <w:jc w:val="right"/>
              <w:rPr>
                <w:sz w:val="16"/>
                <w:szCs w:val="18"/>
              </w:rPr>
            </w:pPr>
            <w:r w:rsidRPr="00C83D9B">
              <w:rPr>
                <w:sz w:val="16"/>
                <w:szCs w:val="18"/>
              </w:rPr>
              <w:t>107,224</w:t>
            </w:r>
          </w:p>
        </w:tc>
        <w:tc>
          <w:tcPr>
            <w:tcW w:w="1259" w:type="dxa"/>
            <w:tcBorders>
              <w:top w:val="single" w:sz="4" w:space="0" w:color="A6A6A6" w:themeColor="background1" w:themeShade="A6"/>
              <w:left w:val="nil"/>
              <w:bottom w:val="single" w:sz="4" w:space="0" w:color="A6A6A6" w:themeColor="background1" w:themeShade="A6"/>
              <w:right w:val="nil"/>
            </w:tcBorders>
          </w:tcPr>
          <w:p w14:paraId="46A0447D" w14:textId="7CED3C32" w:rsidR="00C83D9B" w:rsidRPr="00C83D9B" w:rsidRDefault="00C83D9B" w:rsidP="00C83D9B">
            <w:pPr>
              <w:pStyle w:val="TableText"/>
              <w:ind w:right="57"/>
              <w:jc w:val="right"/>
              <w:rPr>
                <w:sz w:val="16"/>
                <w:szCs w:val="18"/>
              </w:rPr>
            </w:pPr>
            <w:r w:rsidRPr="00C83D9B">
              <w:rPr>
                <w:sz w:val="16"/>
                <w:szCs w:val="18"/>
              </w:rPr>
              <w:t>139,864</w:t>
            </w:r>
          </w:p>
        </w:tc>
        <w:tc>
          <w:tcPr>
            <w:tcW w:w="840" w:type="dxa"/>
            <w:tcBorders>
              <w:top w:val="single" w:sz="4" w:space="0" w:color="A6A6A6" w:themeColor="background1" w:themeShade="A6"/>
              <w:left w:val="nil"/>
              <w:bottom w:val="single" w:sz="4" w:space="0" w:color="A6A6A6" w:themeColor="background1" w:themeShade="A6"/>
              <w:right w:val="nil"/>
            </w:tcBorders>
          </w:tcPr>
          <w:p w14:paraId="0D705CBC" w14:textId="342B4B1E" w:rsidR="00C83D9B" w:rsidRPr="00C83D9B" w:rsidRDefault="00C83D9B" w:rsidP="00C83D9B">
            <w:pPr>
              <w:pStyle w:val="TableText"/>
              <w:ind w:right="57"/>
              <w:jc w:val="right"/>
              <w:rPr>
                <w:sz w:val="16"/>
                <w:szCs w:val="18"/>
              </w:rPr>
            </w:pPr>
            <w:r w:rsidRPr="00C83D9B">
              <w:rPr>
                <w:sz w:val="16"/>
                <w:szCs w:val="18"/>
              </w:rPr>
              <w:t>125,443</w:t>
            </w:r>
          </w:p>
        </w:tc>
      </w:tr>
      <w:tr w:rsidR="00C83D9B" w14:paraId="6CF9F474" w14:textId="77777777" w:rsidTr="00C83D9B">
        <w:tc>
          <w:tcPr>
            <w:tcW w:w="3895" w:type="dxa"/>
            <w:tcBorders>
              <w:top w:val="single" w:sz="4" w:space="0" w:color="A6A6A6" w:themeColor="background1" w:themeShade="A6"/>
              <w:left w:val="nil"/>
              <w:bottom w:val="single" w:sz="4" w:space="0" w:color="A6A6A6" w:themeColor="background1" w:themeShade="A6"/>
              <w:right w:val="nil"/>
            </w:tcBorders>
          </w:tcPr>
          <w:p w14:paraId="0A99C219" w14:textId="7E6FC9D5" w:rsidR="00C83D9B" w:rsidRPr="00C83D9B" w:rsidRDefault="00C83D9B" w:rsidP="00C83D9B">
            <w:pPr>
              <w:pStyle w:val="TableText"/>
              <w:rPr>
                <w:sz w:val="16"/>
                <w:szCs w:val="18"/>
              </w:rPr>
            </w:pPr>
            <w:r w:rsidRPr="00C83D9B">
              <w:rPr>
                <w:sz w:val="16"/>
                <w:szCs w:val="18"/>
              </w:rPr>
              <w:t>Regulatory and enforcement services</w:t>
            </w:r>
          </w:p>
        </w:tc>
        <w:tc>
          <w:tcPr>
            <w:tcW w:w="1100" w:type="dxa"/>
            <w:tcBorders>
              <w:top w:val="single" w:sz="4" w:space="0" w:color="A6A6A6" w:themeColor="background1" w:themeShade="A6"/>
              <w:left w:val="nil"/>
              <w:bottom w:val="single" w:sz="4" w:space="0" w:color="A6A6A6" w:themeColor="background1" w:themeShade="A6"/>
              <w:right w:val="nil"/>
            </w:tcBorders>
          </w:tcPr>
          <w:p w14:paraId="47B7EDFB" w14:textId="7BED9663" w:rsidR="00C83D9B" w:rsidRPr="00C83D9B" w:rsidRDefault="00C83D9B" w:rsidP="00C83D9B">
            <w:pPr>
              <w:pStyle w:val="TableText"/>
              <w:ind w:right="57"/>
              <w:jc w:val="right"/>
              <w:rPr>
                <w:sz w:val="16"/>
                <w:szCs w:val="18"/>
              </w:rPr>
            </w:pPr>
            <w:r w:rsidRPr="00C83D9B">
              <w:rPr>
                <w:sz w:val="16"/>
                <w:szCs w:val="18"/>
              </w:rPr>
              <w:t>65,891</w:t>
            </w:r>
          </w:p>
        </w:tc>
        <w:tc>
          <w:tcPr>
            <w:tcW w:w="985" w:type="dxa"/>
            <w:tcBorders>
              <w:top w:val="single" w:sz="4" w:space="0" w:color="A6A6A6" w:themeColor="background1" w:themeShade="A6"/>
              <w:left w:val="nil"/>
              <w:bottom w:val="single" w:sz="4" w:space="0" w:color="A6A6A6" w:themeColor="background1" w:themeShade="A6"/>
              <w:right w:val="nil"/>
            </w:tcBorders>
          </w:tcPr>
          <w:p w14:paraId="76319929" w14:textId="64AF41A8" w:rsidR="00C83D9B" w:rsidRPr="00C83D9B" w:rsidRDefault="00C83D9B" w:rsidP="00C83D9B">
            <w:pPr>
              <w:pStyle w:val="TableText"/>
              <w:ind w:right="57"/>
              <w:jc w:val="right"/>
              <w:rPr>
                <w:sz w:val="16"/>
                <w:szCs w:val="18"/>
              </w:rPr>
            </w:pPr>
            <w:r w:rsidRPr="00C83D9B">
              <w:rPr>
                <w:sz w:val="16"/>
                <w:szCs w:val="18"/>
              </w:rPr>
              <w:t>55,088</w:t>
            </w:r>
          </w:p>
        </w:tc>
        <w:tc>
          <w:tcPr>
            <w:tcW w:w="1259" w:type="dxa"/>
            <w:tcBorders>
              <w:top w:val="single" w:sz="4" w:space="0" w:color="A6A6A6" w:themeColor="background1" w:themeShade="A6"/>
              <w:left w:val="nil"/>
              <w:bottom w:val="single" w:sz="4" w:space="0" w:color="A6A6A6" w:themeColor="background1" w:themeShade="A6"/>
              <w:right w:val="nil"/>
            </w:tcBorders>
          </w:tcPr>
          <w:p w14:paraId="67CDB812" w14:textId="3276C73D" w:rsidR="00C83D9B" w:rsidRPr="00C83D9B" w:rsidRDefault="00C83D9B" w:rsidP="00C83D9B">
            <w:pPr>
              <w:pStyle w:val="TableText"/>
              <w:ind w:right="57"/>
              <w:jc w:val="right"/>
              <w:rPr>
                <w:sz w:val="16"/>
                <w:szCs w:val="18"/>
              </w:rPr>
            </w:pPr>
            <w:r w:rsidRPr="00C83D9B">
              <w:rPr>
                <w:sz w:val="16"/>
                <w:szCs w:val="18"/>
              </w:rPr>
              <w:t>61,573</w:t>
            </w:r>
          </w:p>
        </w:tc>
        <w:tc>
          <w:tcPr>
            <w:tcW w:w="840" w:type="dxa"/>
            <w:tcBorders>
              <w:top w:val="single" w:sz="4" w:space="0" w:color="A6A6A6" w:themeColor="background1" w:themeShade="A6"/>
              <w:left w:val="nil"/>
              <w:bottom w:val="single" w:sz="4" w:space="0" w:color="A6A6A6" w:themeColor="background1" w:themeShade="A6"/>
              <w:right w:val="nil"/>
            </w:tcBorders>
          </w:tcPr>
          <w:p w14:paraId="5A1B863F" w14:textId="11C636A5" w:rsidR="00C83D9B" w:rsidRPr="00C83D9B" w:rsidRDefault="00C83D9B" w:rsidP="00C83D9B">
            <w:pPr>
              <w:pStyle w:val="TableText"/>
              <w:ind w:right="57"/>
              <w:jc w:val="right"/>
              <w:rPr>
                <w:sz w:val="16"/>
                <w:szCs w:val="18"/>
              </w:rPr>
            </w:pPr>
            <w:r w:rsidRPr="00C83D9B">
              <w:rPr>
                <w:sz w:val="16"/>
                <w:szCs w:val="18"/>
              </w:rPr>
              <w:t>61,814</w:t>
            </w:r>
          </w:p>
        </w:tc>
      </w:tr>
      <w:tr w:rsidR="00C83D9B" w14:paraId="7B093CDE" w14:textId="77777777" w:rsidTr="00C83D9B">
        <w:tc>
          <w:tcPr>
            <w:tcW w:w="3895" w:type="dxa"/>
            <w:tcBorders>
              <w:top w:val="single" w:sz="4" w:space="0" w:color="A6A6A6" w:themeColor="background1" w:themeShade="A6"/>
              <w:left w:val="nil"/>
              <w:bottom w:val="single" w:sz="4" w:space="0" w:color="A6A6A6" w:themeColor="background1" w:themeShade="A6"/>
              <w:right w:val="nil"/>
            </w:tcBorders>
          </w:tcPr>
          <w:p w14:paraId="40260208" w14:textId="219EF36E" w:rsidR="00C83D9B" w:rsidRPr="00C83D9B" w:rsidRDefault="00C83D9B" w:rsidP="00C83D9B">
            <w:pPr>
              <w:pStyle w:val="TableText"/>
              <w:rPr>
                <w:sz w:val="16"/>
                <w:szCs w:val="18"/>
              </w:rPr>
            </w:pPr>
            <w:r w:rsidRPr="00C83D9B">
              <w:rPr>
                <w:sz w:val="16"/>
                <w:szCs w:val="18"/>
              </w:rPr>
              <w:t>Sector performance and monitoring</w:t>
            </w:r>
          </w:p>
        </w:tc>
        <w:tc>
          <w:tcPr>
            <w:tcW w:w="1100" w:type="dxa"/>
            <w:tcBorders>
              <w:top w:val="single" w:sz="4" w:space="0" w:color="A6A6A6" w:themeColor="background1" w:themeShade="A6"/>
              <w:left w:val="nil"/>
              <w:bottom w:val="single" w:sz="4" w:space="0" w:color="A6A6A6" w:themeColor="background1" w:themeShade="A6"/>
              <w:right w:val="nil"/>
            </w:tcBorders>
          </w:tcPr>
          <w:p w14:paraId="0D28BCDC" w14:textId="7C2B165A" w:rsidR="00C83D9B" w:rsidRPr="00C83D9B" w:rsidRDefault="00C83D9B" w:rsidP="00C83D9B">
            <w:pPr>
              <w:pStyle w:val="TableText"/>
              <w:ind w:right="57"/>
              <w:jc w:val="right"/>
              <w:rPr>
                <w:sz w:val="16"/>
                <w:szCs w:val="18"/>
              </w:rPr>
            </w:pPr>
            <w:r w:rsidRPr="00C83D9B">
              <w:rPr>
                <w:sz w:val="16"/>
                <w:szCs w:val="18"/>
              </w:rPr>
              <w:t>12,962</w:t>
            </w:r>
          </w:p>
        </w:tc>
        <w:tc>
          <w:tcPr>
            <w:tcW w:w="985" w:type="dxa"/>
            <w:tcBorders>
              <w:top w:val="single" w:sz="4" w:space="0" w:color="A6A6A6" w:themeColor="background1" w:themeShade="A6"/>
              <w:left w:val="nil"/>
              <w:bottom w:val="single" w:sz="4" w:space="0" w:color="A6A6A6" w:themeColor="background1" w:themeShade="A6"/>
              <w:right w:val="nil"/>
            </w:tcBorders>
          </w:tcPr>
          <w:p w14:paraId="6EE1F021" w14:textId="1C0586AA" w:rsidR="00C83D9B" w:rsidRPr="00C83D9B" w:rsidRDefault="00C83D9B" w:rsidP="00C83D9B">
            <w:pPr>
              <w:pStyle w:val="TableText"/>
              <w:ind w:right="57"/>
              <w:jc w:val="right"/>
              <w:rPr>
                <w:sz w:val="16"/>
                <w:szCs w:val="18"/>
              </w:rPr>
            </w:pPr>
            <w:r w:rsidRPr="00C83D9B">
              <w:rPr>
                <w:sz w:val="16"/>
                <w:szCs w:val="18"/>
              </w:rPr>
              <w:t>28,254</w:t>
            </w:r>
          </w:p>
        </w:tc>
        <w:tc>
          <w:tcPr>
            <w:tcW w:w="1259" w:type="dxa"/>
            <w:tcBorders>
              <w:top w:val="single" w:sz="4" w:space="0" w:color="A6A6A6" w:themeColor="background1" w:themeShade="A6"/>
              <w:left w:val="nil"/>
              <w:bottom w:val="single" w:sz="4" w:space="0" w:color="A6A6A6" w:themeColor="background1" w:themeShade="A6"/>
              <w:right w:val="nil"/>
            </w:tcBorders>
          </w:tcPr>
          <w:p w14:paraId="6CC60245" w14:textId="1B0BE6ED" w:rsidR="00C83D9B" w:rsidRPr="00C83D9B" w:rsidRDefault="00C83D9B" w:rsidP="00C83D9B">
            <w:pPr>
              <w:pStyle w:val="TableText"/>
              <w:ind w:right="57"/>
              <w:jc w:val="right"/>
              <w:rPr>
                <w:sz w:val="16"/>
                <w:szCs w:val="18"/>
              </w:rPr>
            </w:pPr>
            <w:r w:rsidRPr="00C83D9B">
              <w:rPr>
                <w:sz w:val="16"/>
                <w:szCs w:val="18"/>
              </w:rPr>
              <w:t>18,046</w:t>
            </w:r>
          </w:p>
        </w:tc>
        <w:tc>
          <w:tcPr>
            <w:tcW w:w="840" w:type="dxa"/>
            <w:tcBorders>
              <w:top w:val="single" w:sz="4" w:space="0" w:color="A6A6A6" w:themeColor="background1" w:themeShade="A6"/>
              <w:left w:val="nil"/>
              <w:bottom w:val="single" w:sz="4" w:space="0" w:color="A6A6A6" w:themeColor="background1" w:themeShade="A6"/>
              <w:right w:val="nil"/>
            </w:tcBorders>
          </w:tcPr>
          <w:p w14:paraId="0351FAA5" w14:textId="32A6CA4C" w:rsidR="00C83D9B" w:rsidRPr="00C83D9B" w:rsidRDefault="00C83D9B" w:rsidP="00C83D9B">
            <w:pPr>
              <w:pStyle w:val="TableText"/>
              <w:ind w:right="57"/>
              <w:jc w:val="right"/>
              <w:rPr>
                <w:sz w:val="16"/>
                <w:szCs w:val="18"/>
              </w:rPr>
            </w:pPr>
            <w:r w:rsidRPr="00C83D9B">
              <w:rPr>
                <w:sz w:val="16"/>
                <w:szCs w:val="18"/>
              </w:rPr>
              <w:t>14,925</w:t>
            </w:r>
          </w:p>
        </w:tc>
      </w:tr>
      <w:tr w:rsidR="00C83D9B" w14:paraId="6CE6E507" w14:textId="77777777" w:rsidTr="00C83D9B">
        <w:tc>
          <w:tcPr>
            <w:tcW w:w="3895" w:type="dxa"/>
            <w:tcBorders>
              <w:top w:val="single" w:sz="4" w:space="0" w:color="A6A6A6" w:themeColor="background1" w:themeShade="A6"/>
              <w:left w:val="nil"/>
              <w:bottom w:val="single" w:sz="4" w:space="0" w:color="A6A6A6" w:themeColor="background1" w:themeShade="A6"/>
              <w:right w:val="nil"/>
            </w:tcBorders>
          </w:tcPr>
          <w:p w14:paraId="207A3A1E" w14:textId="69ED90F6" w:rsidR="00C83D9B" w:rsidRPr="00C83D9B" w:rsidRDefault="00C83D9B" w:rsidP="00C83D9B">
            <w:pPr>
              <w:pStyle w:val="TableText"/>
              <w:rPr>
                <w:sz w:val="16"/>
                <w:szCs w:val="18"/>
              </w:rPr>
            </w:pPr>
            <w:r w:rsidRPr="00C83D9B">
              <w:rPr>
                <w:sz w:val="16"/>
                <w:szCs w:val="18"/>
              </w:rPr>
              <w:t>Total expense</w:t>
            </w:r>
          </w:p>
        </w:tc>
        <w:tc>
          <w:tcPr>
            <w:tcW w:w="1100" w:type="dxa"/>
            <w:tcBorders>
              <w:top w:val="single" w:sz="4" w:space="0" w:color="A6A6A6" w:themeColor="background1" w:themeShade="A6"/>
              <w:left w:val="nil"/>
              <w:bottom w:val="single" w:sz="4" w:space="0" w:color="A6A6A6" w:themeColor="background1" w:themeShade="A6"/>
              <w:right w:val="nil"/>
            </w:tcBorders>
          </w:tcPr>
          <w:p w14:paraId="0C1452FD" w14:textId="43AB81ED" w:rsidR="00C83D9B" w:rsidRPr="00C83D9B" w:rsidRDefault="00C83D9B" w:rsidP="00C83D9B">
            <w:pPr>
              <w:pStyle w:val="TableText"/>
              <w:ind w:right="57"/>
              <w:jc w:val="right"/>
              <w:rPr>
                <w:sz w:val="16"/>
                <w:szCs w:val="18"/>
              </w:rPr>
            </w:pPr>
            <w:r w:rsidRPr="00C83D9B">
              <w:rPr>
                <w:sz w:val="16"/>
                <w:szCs w:val="18"/>
              </w:rPr>
              <w:t>228,711</w:t>
            </w:r>
          </w:p>
        </w:tc>
        <w:tc>
          <w:tcPr>
            <w:tcW w:w="985" w:type="dxa"/>
            <w:tcBorders>
              <w:top w:val="single" w:sz="4" w:space="0" w:color="A6A6A6" w:themeColor="background1" w:themeShade="A6"/>
              <w:left w:val="nil"/>
              <w:bottom w:val="single" w:sz="4" w:space="0" w:color="A6A6A6" w:themeColor="background1" w:themeShade="A6"/>
              <w:right w:val="nil"/>
            </w:tcBorders>
          </w:tcPr>
          <w:p w14:paraId="02C06F55" w14:textId="25A44368" w:rsidR="00C83D9B" w:rsidRPr="00C83D9B" w:rsidRDefault="00C83D9B" w:rsidP="00C83D9B">
            <w:pPr>
              <w:pStyle w:val="TableText"/>
              <w:ind w:right="57"/>
              <w:jc w:val="right"/>
              <w:rPr>
                <w:sz w:val="16"/>
                <w:szCs w:val="18"/>
              </w:rPr>
            </w:pPr>
            <w:r w:rsidRPr="00C83D9B">
              <w:rPr>
                <w:sz w:val="16"/>
                <w:szCs w:val="18"/>
              </w:rPr>
              <w:t>237,759</w:t>
            </w:r>
          </w:p>
        </w:tc>
        <w:tc>
          <w:tcPr>
            <w:tcW w:w="1259" w:type="dxa"/>
            <w:tcBorders>
              <w:top w:val="single" w:sz="4" w:space="0" w:color="A6A6A6" w:themeColor="background1" w:themeShade="A6"/>
              <w:left w:val="nil"/>
              <w:bottom w:val="single" w:sz="4" w:space="0" w:color="A6A6A6" w:themeColor="background1" w:themeShade="A6"/>
              <w:right w:val="nil"/>
            </w:tcBorders>
          </w:tcPr>
          <w:p w14:paraId="2B7BC4EE" w14:textId="29BAAC3F" w:rsidR="00C83D9B" w:rsidRPr="00C83D9B" w:rsidRDefault="00C83D9B" w:rsidP="00C83D9B">
            <w:pPr>
              <w:pStyle w:val="TableText"/>
              <w:ind w:right="57"/>
              <w:jc w:val="right"/>
              <w:rPr>
                <w:sz w:val="16"/>
                <w:szCs w:val="18"/>
              </w:rPr>
            </w:pPr>
            <w:r w:rsidRPr="00C83D9B">
              <w:rPr>
                <w:sz w:val="16"/>
                <w:szCs w:val="18"/>
              </w:rPr>
              <w:t>286,046</w:t>
            </w:r>
          </w:p>
        </w:tc>
        <w:tc>
          <w:tcPr>
            <w:tcW w:w="840" w:type="dxa"/>
            <w:tcBorders>
              <w:top w:val="single" w:sz="4" w:space="0" w:color="A6A6A6" w:themeColor="background1" w:themeShade="A6"/>
              <w:left w:val="nil"/>
              <w:bottom w:val="single" w:sz="4" w:space="0" w:color="A6A6A6" w:themeColor="background1" w:themeShade="A6"/>
              <w:right w:val="nil"/>
            </w:tcBorders>
          </w:tcPr>
          <w:p w14:paraId="463EA904" w14:textId="796EC0F4" w:rsidR="00C83D9B" w:rsidRPr="00C83D9B" w:rsidRDefault="00C83D9B" w:rsidP="00C83D9B">
            <w:pPr>
              <w:pStyle w:val="TableText"/>
              <w:ind w:right="57"/>
              <w:jc w:val="right"/>
              <w:rPr>
                <w:sz w:val="16"/>
                <w:szCs w:val="18"/>
              </w:rPr>
            </w:pPr>
            <w:r w:rsidRPr="00C83D9B">
              <w:rPr>
                <w:sz w:val="16"/>
                <w:szCs w:val="18"/>
              </w:rPr>
              <w:t>269,070</w:t>
            </w:r>
          </w:p>
        </w:tc>
      </w:tr>
      <w:tr w:rsidR="00C83D9B" w14:paraId="782A200C" w14:textId="77777777" w:rsidTr="00C83D9B">
        <w:tc>
          <w:tcPr>
            <w:tcW w:w="3895" w:type="dxa"/>
            <w:tcBorders>
              <w:top w:val="single" w:sz="4" w:space="0" w:color="A6A6A6" w:themeColor="background1" w:themeShade="A6"/>
              <w:left w:val="nil"/>
              <w:bottom w:val="single" w:sz="4" w:space="0" w:color="A6A6A6" w:themeColor="background1" w:themeShade="A6"/>
              <w:right w:val="nil"/>
            </w:tcBorders>
          </w:tcPr>
          <w:p w14:paraId="274EA361" w14:textId="59DF0A94" w:rsidR="00C83D9B" w:rsidRPr="00C83D9B" w:rsidRDefault="00C83D9B" w:rsidP="00C83D9B">
            <w:pPr>
              <w:pStyle w:val="TableText"/>
              <w:rPr>
                <w:sz w:val="16"/>
                <w:szCs w:val="18"/>
              </w:rPr>
            </w:pPr>
            <w:r w:rsidRPr="00C83D9B">
              <w:rPr>
                <w:sz w:val="16"/>
                <w:szCs w:val="18"/>
              </w:rPr>
              <w:t>Net surplus / (deficit)</w:t>
            </w:r>
          </w:p>
        </w:tc>
        <w:tc>
          <w:tcPr>
            <w:tcW w:w="1100" w:type="dxa"/>
            <w:tcBorders>
              <w:top w:val="single" w:sz="4" w:space="0" w:color="A6A6A6" w:themeColor="background1" w:themeShade="A6"/>
              <w:left w:val="nil"/>
              <w:bottom w:val="single" w:sz="4" w:space="0" w:color="A6A6A6" w:themeColor="background1" w:themeShade="A6"/>
              <w:right w:val="nil"/>
            </w:tcBorders>
          </w:tcPr>
          <w:p w14:paraId="0EDE889F" w14:textId="28ED4934" w:rsidR="00C83D9B" w:rsidRPr="00C83D9B" w:rsidRDefault="00C83D9B" w:rsidP="00C83D9B">
            <w:pPr>
              <w:pStyle w:val="TableText"/>
              <w:ind w:right="57"/>
              <w:jc w:val="right"/>
              <w:rPr>
                <w:sz w:val="16"/>
                <w:szCs w:val="18"/>
              </w:rPr>
            </w:pPr>
            <w:r w:rsidRPr="00C83D9B">
              <w:rPr>
                <w:sz w:val="16"/>
                <w:szCs w:val="18"/>
              </w:rPr>
              <w:t>20,952</w:t>
            </w:r>
          </w:p>
        </w:tc>
        <w:tc>
          <w:tcPr>
            <w:tcW w:w="985" w:type="dxa"/>
            <w:tcBorders>
              <w:top w:val="single" w:sz="4" w:space="0" w:color="A6A6A6" w:themeColor="background1" w:themeShade="A6"/>
              <w:left w:val="nil"/>
              <w:bottom w:val="single" w:sz="4" w:space="0" w:color="A6A6A6" w:themeColor="background1" w:themeShade="A6"/>
              <w:right w:val="nil"/>
            </w:tcBorders>
          </w:tcPr>
          <w:p w14:paraId="0A2C0113" w14:textId="321E0D68" w:rsidR="00C83D9B" w:rsidRPr="00C83D9B" w:rsidRDefault="00C83D9B" w:rsidP="00C83D9B">
            <w:pPr>
              <w:pStyle w:val="TableText"/>
              <w:ind w:right="57"/>
              <w:jc w:val="right"/>
              <w:rPr>
                <w:sz w:val="16"/>
                <w:szCs w:val="18"/>
              </w:rPr>
            </w:pPr>
            <w:r w:rsidRPr="00C83D9B">
              <w:rPr>
                <w:sz w:val="16"/>
                <w:szCs w:val="18"/>
              </w:rPr>
              <w:t>-</w:t>
            </w:r>
          </w:p>
        </w:tc>
        <w:tc>
          <w:tcPr>
            <w:tcW w:w="1259" w:type="dxa"/>
            <w:tcBorders>
              <w:top w:val="single" w:sz="4" w:space="0" w:color="A6A6A6" w:themeColor="background1" w:themeShade="A6"/>
              <w:left w:val="nil"/>
              <w:bottom w:val="single" w:sz="4" w:space="0" w:color="A6A6A6" w:themeColor="background1" w:themeShade="A6"/>
              <w:right w:val="nil"/>
            </w:tcBorders>
          </w:tcPr>
          <w:p w14:paraId="5531EA0D" w14:textId="45F52D7E" w:rsidR="00C83D9B" w:rsidRPr="00C83D9B" w:rsidRDefault="00C83D9B" w:rsidP="00C83D9B">
            <w:pPr>
              <w:pStyle w:val="TableText"/>
              <w:ind w:right="57"/>
              <w:jc w:val="right"/>
              <w:rPr>
                <w:sz w:val="16"/>
                <w:szCs w:val="18"/>
              </w:rPr>
            </w:pPr>
            <w:r w:rsidRPr="00C83D9B">
              <w:rPr>
                <w:sz w:val="16"/>
                <w:szCs w:val="18"/>
              </w:rPr>
              <w:t>-</w:t>
            </w:r>
          </w:p>
        </w:tc>
        <w:tc>
          <w:tcPr>
            <w:tcW w:w="840" w:type="dxa"/>
            <w:tcBorders>
              <w:top w:val="single" w:sz="4" w:space="0" w:color="A6A6A6" w:themeColor="background1" w:themeShade="A6"/>
              <w:left w:val="nil"/>
              <w:bottom w:val="single" w:sz="4" w:space="0" w:color="A6A6A6" w:themeColor="background1" w:themeShade="A6"/>
              <w:right w:val="nil"/>
            </w:tcBorders>
          </w:tcPr>
          <w:p w14:paraId="76ECDEBE" w14:textId="69DF0506" w:rsidR="00C83D9B" w:rsidRPr="00C83D9B" w:rsidRDefault="00C83D9B" w:rsidP="00C83D9B">
            <w:pPr>
              <w:pStyle w:val="TableText"/>
              <w:ind w:right="57"/>
              <w:jc w:val="right"/>
              <w:rPr>
                <w:sz w:val="16"/>
                <w:szCs w:val="18"/>
              </w:rPr>
            </w:pPr>
            <w:r w:rsidRPr="00C83D9B">
              <w:rPr>
                <w:sz w:val="16"/>
                <w:szCs w:val="18"/>
              </w:rPr>
              <w:t>14,852</w:t>
            </w:r>
          </w:p>
        </w:tc>
      </w:tr>
    </w:tbl>
    <w:p w14:paraId="318B567D" w14:textId="77777777" w:rsidR="00C83D9B" w:rsidRDefault="00C83D9B" w:rsidP="00C83D9B"/>
    <w:p w14:paraId="7EA308FB" w14:textId="4981C05E" w:rsidR="00C83D9B" w:rsidRDefault="00C83D9B" w:rsidP="00C83D9B">
      <w:r>
        <w:t>The variance of the actual spend against the Stewardship of the New Zealand health system final budget is mainly from the public health and population health leadership and sector performance and monitoring category. This is mainly due to the change in Government priorities. The majority of the variances in each categories compared to the final budget does not reflect redundancy changes as decisions had not been finalised at the time the supplementary estimates were finalised.</w:t>
      </w:r>
    </w:p>
    <w:p w14:paraId="11BDB084" w14:textId="77777777" w:rsidR="00C83D9B" w:rsidRDefault="00C83D9B" w:rsidP="00C83D9B"/>
    <w:p w14:paraId="116168C2" w14:textId="7494F0B1" w:rsidR="00C83D9B" w:rsidRDefault="00C83D9B" w:rsidP="00C83D9B">
      <w:r>
        <w:t>The Minister of Finance and the Minister of Health (Joint Ministers) have approved in-</w:t>
      </w:r>
      <w:proofErr w:type="gramStart"/>
      <w:r>
        <w:t>principle</w:t>
      </w:r>
      <w:proofErr w:type="gramEnd"/>
      <w:r>
        <w:t xml:space="preserve"> expense transfers from 2023/24 to 2024/25 of up to $12.916 million of which $6.7 million is for sanitary capital works subsidies. A further $3.121 million is for vaping and tobacco technology platform work. The in-</w:t>
      </w:r>
      <w:proofErr w:type="gramStart"/>
      <w:r>
        <w:t>principle</w:t>
      </w:r>
      <w:proofErr w:type="gramEnd"/>
      <w:r>
        <w:t xml:space="preserve"> expense transfers will be confirmed as part of the October 2024 Baseline Update.</w:t>
      </w:r>
    </w:p>
    <w:p w14:paraId="10E2B78E" w14:textId="64A882CC" w:rsidR="005437CA" w:rsidRDefault="005437CA" w:rsidP="00C83D9B"/>
    <w:p w14:paraId="332FC745" w14:textId="77777777" w:rsidR="005437CA" w:rsidRDefault="005437CA" w:rsidP="005437CA">
      <w:pPr>
        <w:pStyle w:val="Heading4"/>
        <w:sectPr w:rsidR="005437CA" w:rsidSect="000A3324">
          <w:pgSz w:w="11907" w:h="16840" w:code="9"/>
          <w:pgMar w:top="1418" w:right="1701" w:bottom="1134" w:left="1843" w:header="284" w:footer="425" w:gutter="284"/>
          <w:cols w:space="720"/>
        </w:sectPr>
      </w:pPr>
    </w:p>
    <w:p w14:paraId="2778939A" w14:textId="7787E381" w:rsidR="005437CA" w:rsidRDefault="005437CA" w:rsidP="005437CA">
      <w:pPr>
        <w:pStyle w:val="Heading4"/>
        <w:spacing w:before="0"/>
      </w:pPr>
      <w:r>
        <w:lastRenderedPageBreak/>
        <w:t>Equity, Evidence and Outcomes</w:t>
      </w:r>
    </w:p>
    <w:p w14:paraId="232B382A" w14:textId="457EAEE0" w:rsidR="005437CA" w:rsidRDefault="005437CA" w:rsidP="005437CA">
      <w:r>
        <w:t>This category is limited to health science research, leadership, analysis and publishing quality evidence, data and insights.</w:t>
      </w:r>
    </w:p>
    <w:p w14:paraId="1556FEEE" w14:textId="77777777" w:rsidR="005437CA" w:rsidRDefault="005437CA" w:rsidP="005437CA"/>
    <w:tbl>
      <w:tblPr>
        <w:tblStyle w:val="TableGrid"/>
        <w:tblW w:w="82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119"/>
        <w:gridCol w:w="1417"/>
        <w:gridCol w:w="1240"/>
        <w:gridCol w:w="1240"/>
        <w:gridCol w:w="1241"/>
      </w:tblGrid>
      <w:tr w:rsidR="00956117" w14:paraId="71201456" w14:textId="77777777" w:rsidTr="005437CA">
        <w:tc>
          <w:tcPr>
            <w:tcW w:w="8257" w:type="dxa"/>
            <w:gridSpan w:val="5"/>
            <w:tcBorders>
              <w:top w:val="nil"/>
              <w:left w:val="nil"/>
              <w:bottom w:val="nil"/>
              <w:right w:val="nil"/>
            </w:tcBorders>
            <w:shd w:val="clear" w:color="auto" w:fill="D9D9D9" w:themeFill="background1" w:themeFillShade="D9"/>
            <w:hideMark/>
          </w:tcPr>
          <w:p w14:paraId="7B2FBAD9" w14:textId="77777777" w:rsidR="00956117" w:rsidRDefault="00956117">
            <w:pPr>
              <w:pStyle w:val="TableText"/>
              <w:rPr>
                <w:b/>
                <w:bCs/>
              </w:rPr>
            </w:pPr>
            <w:r>
              <w:rPr>
                <w:b/>
                <w:bCs/>
              </w:rPr>
              <w:t>Performance assessment</w:t>
            </w:r>
          </w:p>
        </w:tc>
      </w:tr>
      <w:tr w:rsidR="00956117" w14:paraId="1E770C71" w14:textId="77777777" w:rsidTr="00956117">
        <w:tc>
          <w:tcPr>
            <w:tcW w:w="3119"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76B90AAB" w14:textId="77777777" w:rsidR="00956117" w:rsidRDefault="00956117">
            <w:pPr>
              <w:pStyle w:val="TableText"/>
              <w:rPr>
                <w:b/>
                <w:bCs/>
                <w:sz w:val="16"/>
                <w:szCs w:val="16"/>
              </w:rPr>
            </w:pPr>
            <w:r>
              <w:rPr>
                <w:b/>
                <w:bCs/>
                <w:sz w:val="16"/>
                <w:szCs w:val="16"/>
              </w:rPr>
              <w:t>Performance measure</w:t>
            </w:r>
          </w:p>
        </w:tc>
        <w:tc>
          <w:tcPr>
            <w:tcW w:w="1417"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33DB43D3" w14:textId="77777777" w:rsidR="00956117" w:rsidRDefault="00956117">
            <w:pPr>
              <w:pStyle w:val="TableText"/>
              <w:jc w:val="right"/>
              <w:rPr>
                <w:b/>
                <w:bCs/>
                <w:sz w:val="16"/>
                <w:szCs w:val="16"/>
              </w:rPr>
            </w:pPr>
            <w:r>
              <w:rPr>
                <w:b/>
                <w:bCs/>
                <w:sz w:val="16"/>
                <w:szCs w:val="16"/>
              </w:rPr>
              <w:t>Actual</w:t>
            </w:r>
          </w:p>
          <w:p w14:paraId="7DC5B94F" w14:textId="0938E20C" w:rsidR="00956117" w:rsidRDefault="00956117">
            <w:pPr>
              <w:pStyle w:val="TableText"/>
              <w:jc w:val="right"/>
              <w:rPr>
                <w:b/>
                <w:bCs/>
                <w:sz w:val="16"/>
                <w:szCs w:val="16"/>
              </w:rPr>
            </w:pPr>
            <w:r>
              <w:rPr>
                <w:b/>
                <w:bCs/>
                <w:sz w:val="16"/>
                <w:szCs w:val="16"/>
              </w:rPr>
              <w:t>2022/23</w:t>
            </w:r>
          </w:p>
        </w:tc>
        <w:tc>
          <w:tcPr>
            <w:tcW w:w="1240"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25630CBA" w14:textId="77777777" w:rsidR="00956117" w:rsidRDefault="00956117">
            <w:pPr>
              <w:pStyle w:val="TableText"/>
              <w:jc w:val="right"/>
              <w:rPr>
                <w:b/>
                <w:bCs/>
                <w:sz w:val="16"/>
                <w:szCs w:val="16"/>
              </w:rPr>
            </w:pPr>
            <w:r>
              <w:rPr>
                <w:b/>
                <w:bCs/>
                <w:sz w:val="16"/>
                <w:szCs w:val="16"/>
              </w:rPr>
              <w:t>Budget Standard</w:t>
            </w:r>
          </w:p>
          <w:p w14:paraId="63EC0D51" w14:textId="160A21A2" w:rsidR="00956117" w:rsidRDefault="00956117">
            <w:pPr>
              <w:pStyle w:val="TableText"/>
              <w:jc w:val="right"/>
              <w:rPr>
                <w:b/>
                <w:bCs/>
                <w:sz w:val="16"/>
                <w:szCs w:val="16"/>
              </w:rPr>
            </w:pPr>
            <w:r>
              <w:rPr>
                <w:b/>
                <w:bCs/>
                <w:sz w:val="16"/>
                <w:szCs w:val="16"/>
              </w:rPr>
              <w:t>2023/24</w:t>
            </w:r>
          </w:p>
        </w:tc>
        <w:tc>
          <w:tcPr>
            <w:tcW w:w="1240"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71C7BCC8" w14:textId="77777777" w:rsidR="00956117" w:rsidRDefault="00956117">
            <w:pPr>
              <w:pStyle w:val="TableText"/>
              <w:jc w:val="right"/>
              <w:rPr>
                <w:b/>
                <w:bCs/>
                <w:sz w:val="16"/>
                <w:szCs w:val="16"/>
              </w:rPr>
            </w:pPr>
            <w:r>
              <w:rPr>
                <w:b/>
                <w:bCs/>
                <w:sz w:val="16"/>
                <w:szCs w:val="16"/>
              </w:rPr>
              <w:t>Actual</w:t>
            </w:r>
          </w:p>
          <w:p w14:paraId="16A23520" w14:textId="3960C7C8" w:rsidR="00956117" w:rsidRDefault="00956117">
            <w:pPr>
              <w:pStyle w:val="TableText"/>
              <w:jc w:val="right"/>
              <w:rPr>
                <w:b/>
                <w:bCs/>
                <w:sz w:val="16"/>
                <w:szCs w:val="16"/>
              </w:rPr>
            </w:pPr>
            <w:r>
              <w:rPr>
                <w:b/>
                <w:bCs/>
                <w:sz w:val="16"/>
                <w:szCs w:val="16"/>
              </w:rPr>
              <w:t>2023/24</w:t>
            </w:r>
          </w:p>
        </w:tc>
        <w:tc>
          <w:tcPr>
            <w:tcW w:w="1241"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67DCD8D3" w14:textId="77777777" w:rsidR="00956117" w:rsidRDefault="00956117">
            <w:pPr>
              <w:pStyle w:val="TableText"/>
              <w:jc w:val="right"/>
              <w:rPr>
                <w:b/>
                <w:bCs/>
                <w:sz w:val="16"/>
                <w:szCs w:val="16"/>
              </w:rPr>
            </w:pPr>
            <w:r>
              <w:rPr>
                <w:b/>
                <w:bCs/>
                <w:sz w:val="16"/>
                <w:szCs w:val="16"/>
              </w:rPr>
              <w:t xml:space="preserve">At a </w:t>
            </w:r>
            <w:r>
              <w:rPr>
                <w:b/>
                <w:bCs/>
                <w:sz w:val="16"/>
                <w:szCs w:val="16"/>
              </w:rPr>
              <w:br/>
              <w:t>glance</w:t>
            </w:r>
          </w:p>
        </w:tc>
      </w:tr>
      <w:tr w:rsidR="00956117" w14:paraId="58BFBE0F" w14:textId="77777777" w:rsidTr="00956117">
        <w:tc>
          <w:tcPr>
            <w:tcW w:w="3119" w:type="dxa"/>
            <w:tcBorders>
              <w:top w:val="single" w:sz="4" w:space="0" w:color="A6A6A6" w:themeColor="background1" w:themeShade="A6"/>
              <w:left w:val="nil"/>
              <w:bottom w:val="single" w:sz="4" w:space="0" w:color="A6A6A6" w:themeColor="background1" w:themeShade="A6"/>
              <w:right w:val="nil"/>
            </w:tcBorders>
            <w:hideMark/>
          </w:tcPr>
          <w:p w14:paraId="58251335" w14:textId="40D7F0A6" w:rsidR="00956117" w:rsidRPr="00956117" w:rsidRDefault="00956117" w:rsidP="00956117">
            <w:pPr>
              <w:pStyle w:val="TableText"/>
              <w:rPr>
                <w:sz w:val="16"/>
                <w:szCs w:val="18"/>
              </w:rPr>
            </w:pPr>
            <w:r w:rsidRPr="00956117">
              <w:rPr>
                <w:sz w:val="16"/>
                <w:szCs w:val="18"/>
              </w:rPr>
              <w:t>Number of page views of the Health Survey web pages</w:t>
            </w:r>
          </w:p>
        </w:tc>
        <w:tc>
          <w:tcPr>
            <w:tcW w:w="1417" w:type="dxa"/>
            <w:tcBorders>
              <w:top w:val="single" w:sz="4" w:space="0" w:color="A6A6A6" w:themeColor="background1" w:themeShade="A6"/>
              <w:left w:val="nil"/>
              <w:bottom w:val="single" w:sz="4" w:space="0" w:color="A6A6A6" w:themeColor="background1" w:themeShade="A6"/>
              <w:right w:val="nil"/>
            </w:tcBorders>
            <w:hideMark/>
          </w:tcPr>
          <w:p w14:paraId="215EAF06" w14:textId="44FA0E08" w:rsidR="00956117" w:rsidRPr="00956117" w:rsidRDefault="00956117" w:rsidP="004819F0">
            <w:pPr>
              <w:pStyle w:val="TableText"/>
              <w:ind w:right="57"/>
              <w:jc w:val="right"/>
              <w:rPr>
                <w:sz w:val="16"/>
                <w:szCs w:val="18"/>
              </w:rPr>
            </w:pPr>
            <w:r w:rsidRPr="00956117">
              <w:rPr>
                <w:sz w:val="16"/>
                <w:szCs w:val="18"/>
              </w:rPr>
              <w:t>Year-on-</w:t>
            </w:r>
            <w:r w:rsidRPr="00956117">
              <w:rPr>
                <w:spacing w:val="-4"/>
                <w:sz w:val="16"/>
                <w:szCs w:val="18"/>
              </w:rPr>
              <w:t>year</w:t>
            </w:r>
            <w:r w:rsidR="004819F0">
              <w:rPr>
                <w:spacing w:val="-4"/>
                <w:sz w:val="16"/>
                <w:szCs w:val="18"/>
              </w:rPr>
              <w:t xml:space="preserve"> </w:t>
            </w:r>
            <w:r w:rsidRPr="00956117">
              <w:rPr>
                <w:spacing w:val="-2"/>
                <w:w w:val="105"/>
                <w:sz w:val="16"/>
                <w:szCs w:val="18"/>
              </w:rPr>
              <w:t>increase</w:t>
            </w:r>
          </w:p>
        </w:tc>
        <w:tc>
          <w:tcPr>
            <w:tcW w:w="1240" w:type="dxa"/>
            <w:tcBorders>
              <w:top w:val="single" w:sz="4" w:space="0" w:color="A6A6A6" w:themeColor="background1" w:themeShade="A6"/>
              <w:left w:val="nil"/>
              <w:bottom w:val="single" w:sz="4" w:space="0" w:color="A6A6A6" w:themeColor="background1" w:themeShade="A6"/>
              <w:right w:val="nil"/>
            </w:tcBorders>
            <w:hideMark/>
          </w:tcPr>
          <w:p w14:paraId="486D39B1" w14:textId="3AA89737" w:rsidR="00956117" w:rsidRPr="00956117" w:rsidRDefault="00956117" w:rsidP="004819F0">
            <w:pPr>
              <w:pStyle w:val="TableText"/>
              <w:ind w:right="57"/>
              <w:jc w:val="right"/>
              <w:rPr>
                <w:sz w:val="16"/>
                <w:szCs w:val="18"/>
              </w:rPr>
            </w:pPr>
            <w:r w:rsidRPr="00956117">
              <w:rPr>
                <w:sz w:val="16"/>
                <w:szCs w:val="18"/>
              </w:rPr>
              <w:t>Year-on-</w:t>
            </w:r>
            <w:r w:rsidRPr="00956117">
              <w:rPr>
                <w:spacing w:val="-4"/>
                <w:sz w:val="16"/>
                <w:szCs w:val="18"/>
              </w:rPr>
              <w:t>year</w:t>
            </w:r>
            <w:r w:rsidR="004819F0">
              <w:rPr>
                <w:spacing w:val="-4"/>
                <w:sz w:val="16"/>
                <w:szCs w:val="18"/>
              </w:rPr>
              <w:t xml:space="preserve"> </w:t>
            </w:r>
            <w:r w:rsidRPr="00956117">
              <w:rPr>
                <w:spacing w:val="-2"/>
                <w:w w:val="105"/>
                <w:sz w:val="16"/>
                <w:szCs w:val="18"/>
              </w:rPr>
              <w:t>increase</w:t>
            </w:r>
          </w:p>
        </w:tc>
        <w:tc>
          <w:tcPr>
            <w:tcW w:w="1240" w:type="dxa"/>
            <w:tcBorders>
              <w:top w:val="single" w:sz="4" w:space="0" w:color="A6A6A6" w:themeColor="background1" w:themeShade="A6"/>
              <w:left w:val="nil"/>
              <w:bottom w:val="single" w:sz="4" w:space="0" w:color="A6A6A6" w:themeColor="background1" w:themeShade="A6"/>
              <w:right w:val="nil"/>
            </w:tcBorders>
            <w:hideMark/>
          </w:tcPr>
          <w:p w14:paraId="214B2434" w14:textId="4297AE45" w:rsidR="00956117" w:rsidRPr="00956117" w:rsidRDefault="00956117" w:rsidP="004819F0">
            <w:pPr>
              <w:pStyle w:val="TableText"/>
              <w:ind w:right="57"/>
              <w:jc w:val="right"/>
              <w:rPr>
                <w:sz w:val="16"/>
                <w:szCs w:val="18"/>
              </w:rPr>
            </w:pPr>
            <w:r w:rsidRPr="00956117">
              <w:rPr>
                <w:sz w:val="16"/>
                <w:szCs w:val="18"/>
              </w:rPr>
              <w:t>Year-on-</w:t>
            </w:r>
            <w:r w:rsidRPr="00956117">
              <w:rPr>
                <w:spacing w:val="-4"/>
                <w:sz w:val="16"/>
                <w:szCs w:val="18"/>
              </w:rPr>
              <w:t>year</w:t>
            </w:r>
            <w:r w:rsidR="004819F0">
              <w:rPr>
                <w:spacing w:val="-4"/>
                <w:sz w:val="16"/>
                <w:szCs w:val="18"/>
              </w:rPr>
              <w:t xml:space="preserve"> </w:t>
            </w:r>
            <w:r w:rsidRPr="00956117">
              <w:rPr>
                <w:spacing w:val="-2"/>
                <w:w w:val="105"/>
                <w:sz w:val="16"/>
                <w:szCs w:val="18"/>
              </w:rPr>
              <w:t>increase</w:t>
            </w:r>
          </w:p>
        </w:tc>
        <w:tc>
          <w:tcPr>
            <w:tcW w:w="1241" w:type="dxa"/>
            <w:tcBorders>
              <w:top w:val="single" w:sz="4" w:space="0" w:color="A6A6A6" w:themeColor="background1" w:themeShade="A6"/>
              <w:left w:val="nil"/>
              <w:bottom w:val="single" w:sz="4" w:space="0" w:color="A6A6A6" w:themeColor="background1" w:themeShade="A6"/>
              <w:right w:val="nil"/>
            </w:tcBorders>
            <w:hideMark/>
          </w:tcPr>
          <w:p w14:paraId="1D084A85" w14:textId="77777777" w:rsidR="00956117" w:rsidRPr="00956117" w:rsidRDefault="00956117" w:rsidP="00956117">
            <w:pPr>
              <w:pStyle w:val="TableText"/>
              <w:ind w:right="57"/>
              <w:jc w:val="right"/>
              <w:rPr>
                <w:rFonts w:ascii="Wingdings" w:hAnsi="Wingdings"/>
                <w:sz w:val="16"/>
                <w:szCs w:val="18"/>
              </w:rPr>
            </w:pPr>
            <w:r w:rsidRPr="00956117">
              <w:rPr>
                <w:rFonts w:ascii="Wingdings" w:hAnsi="Wingdings"/>
                <w:spacing w:val="-10"/>
                <w:sz w:val="16"/>
                <w:szCs w:val="18"/>
              </w:rPr>
              <w:t>ü</w:t>
            </w:r>
          </w:p>
          <w:p w14:paraId="7788DE29" w14:textId="621F8823" w:rsidR="00956117" w:rsidRPr="00956117" w:rsidRDefault="00956117" w:rsidP="00956117">
            <w:pPr>
              <w:pStyle w:val="TableText"/>
              <w:ind w:right="57"/>
              <w:jc w:val="right"/>
              <w:rPr>
                <w:sz w:val="16"/>
                <w:szCs w:val="18"/>
              </w:rPr>
            </w:pPr>
            <w:r w:rsidRPr="00956117">
              <w:rPr>
                <w:sz w:val="16"/>
                <w:szCs w:val="18"/>
              </w:rPr>
              <w:t>(Note</w:t>
            </w:r>
            <w:r w:rsidRPr="00956117">
              <w:rPr>
                <w:spacing w:val="19"/>
                <w:sz w:val="16"/>
                <w:szCs w:val="18"/>
              </w:rPr>
              <w:t xml:space="preserve"> </w:t>
            </w:r>
            <w:r w:rsidRPr="00956117">
              <w:rPr>
                <w:spacing w:val="-5"/>
                <w:sz w:val="16"/>
                <w:szCs w:val="18"/>
              </w:rPr>
              <w:t>1)</w:t>
            </w:r>
          </w:p>
        </w:tc>
      </w:tr>
      <w:tr w:rsidR="00956117" w14:paraId="61C2AC5A" w14:textId="77777777" w:rsidTr="00956117">
        <w:tc>
          <w:tcPr>
            <w:tcW w:w="3119" w:type="dxa"/>
            <w:tcBorders>
              <w:top w:val="single" w:sz="4" w:space="0" w:color="A6A6A6" w:themeColor="background1" w:themeShade="A6"/>
              <w:left w:val="nil"/>
              <w:bottom w:val="single" w:sz="4" w:space="0" w:color="A6A6A6" w:themeColor="background1" w:themeShade="A6"/>
              <w:right w:val="nil"/>
            </w:tcBorders>
          </w:tcPr>
          <w:p w14:paraId="247CFBF3" w14:textId="3737F41C" w:rsidR="00956117" w:rsidRPr="00956117" w:rsidRDefault="00956117" w:rsidP="00956117">
            <w:pPr>
              <w:pStyle w:val="TableText"/>
              <w:rPr>
                <w:sz w:val="16"/>
                <w:szCs w:val="18"/>
              </w:rPr>
            </w:pPr>
            <w:r w:rsidRPr="00956117">
              <w:rPr>
                <w:sz w:val="16"/>
                <w:szCs w:val="18"/>
              </w:rPr>
              <w:t>Health Survey release is free from significant errors</w:t>
            </w:r>
          </w:p>
        </w:tc>
        <w:tc>
          <w:tcPr>
            <w:tcW w:w="1417" w:type="dxa"/>
            <w:tcBorders>
              <w:top w:val="single" w:sz="4" w:space="0" w:color="A6A6A6" w:themeColor="background1" w:themeShade="A6"/>
              <w:left w:val="nil"/>
              <w:bottom w:val="single" w:sz="4" w:space="0" w:color="A6A6A6" w:themeColor="background1" w:themeShade="A6"/>
              <w:right w:val="nil"/>
            </w:tcBorders>
          </w:tcPr>
          <w:p w14:paraId="69DA4E06" w14:textId="6EB68CEA" w:rsidR="00956117" w:rsidRPr="00956117" w:rsidRDefault="00956117" w:rsidP="00956117">
            <w:pPr>
              <w:pStyle w:val="TableText"/>
              <w:ind w:right="57"/>
              <w:jc w:val="right"/>
              <w:rPr>
                <w:spacing w:val="-2"/>
                <w:w w:val="105"/>
                <w:sz w:val="16"/>
                <w:szCs w:val="18"/>
              </w:rPr>
            </w:pPr>
            <w:r w:rsidRPr="00956117">
              <w:rPr>
                <w:spacing w:val="-2"/>
                <w:w w:val="105"/>
                <w:sz w:val="16"/>
                <w:szCs w:val="18"/>
              </w:rPr>
              <w:t>Achieved</w:t>
            </w:r>
          </w:p>
        </w:tc>
        <w:tc>
          <w:tcPr>
            <w:tcW w:w="1240" w:type="dxa"/>
            <w:tcBorders>
              <w:top w:val="single" w:sz="4" w:space="0" w:color="A6A6A6" w:themeColor="background1" w:themeShade="A6"/>
              <w:left w:val="nil"/>
              <w:bottom w:val="single" w:sz="4" w:space="0" w:color="A6A6A6" w:themeColor="background1" w:themeShade="A6"/>
              <w:right w:val="nil"/>
            </w:tcBorders>
          </w:tcPr>
          <w:p w14:paraId="76F03795" w14:textId="6C48E3EB" w:rsidR="00956117" w:rsidRPr="00956117" w:rsidRDefault="00956117" w:rsidP="00956117">
            <w:pPr>
              <w:pStyle w:val="TableText"/>
              <w:ind w:right="57"/>
              <w:jc w:val="right"/>
              <w:rPr>
                <w:sz w:val="16"/>
                <w:szCs w:val="18"/>
              </w:rPr>
            </w:pPr>
            <w:r w:rsidRPr="00956117">
              <w:rPr>
                <w:spacing w:val="-2"/>
                <w:w w:val="105"/>
                <w:sz w:val="16"/>
                <w:szCs w:val="18"/>
              </w:rPr>
              <w:t>Achieved</w:t>
            </w:r>
          </w:p>
        </w:tc>
        <w:tc>
          <w:tcPr>
            <w:tcW w:w="1240" w:type="dxa"/>
            <w:tcBorders>
              <w:top w:val="single" w:sz="4" w:space="0" w:color="A6A6A6" w:themeColor="background1" w:themeShade="A6"/>
              <w:left w:val="nil"/>
              <w:bottom w:val="single" w:sz="4" w:space="0" w:color="A6A6A6" w:themeColor="background1" w:themeShade="A6"/>
              <w:right w:val="nil"/>
            </w:tcBorders>
          </w:tcPr>
          <w:p w14:paraId="7891558C" w14:textId="435C9267" w:rsidR="00956117" w:rsidRPr="00956117" w:rsidRDefault="00956117" w:rsidP="00956117">
            <w:pPr>
              <w:pStyle w:val="TableText"/>
              <w:ind w:right="57"/>
              <w:jc w:val="right"/>
              <w:rPr>
                <w:sz w:val="16"/>
                <w:szCs w:val="18"/>
              </w:rPr>
            </w:pPr>
            <w:r w:rsidRPr="00956117">
              <w:rPr>
                <w:spacing w:val="-2"/>
                <w:w w:val="105"/>
                <w:sz w:val="16"/>
                <w:szCs w:val="18"/>
              </w:rPr>
              <w:t>Achieved</w:t>
            </w:r>
          </w:p>
        </w:tc>
        <w:tc>
          <w:tcPr>
            <w:tcW w:w="1241" w:type="dxa"/>
            <w:tcBorders>
              <w:top w:val="single" w:sz="4" w:space="0" w:color="A6A6A6" w:themeColor="background1" w:themeShade="A6"/>
              <w:left w:val="nil"/>
              <w:bottom w:val="single" w:sz="4" w:space="0" w:color="A6A6A6" w:themeColor="background1" w:themeShade="A6"/>
              <w:right w:val="nil"/>
            </w:tcBorders>
          </w:tcPr>
          <w:p w14:paraId="7A8BD6F7" w14:textId="51693FC6" w:rsidR="00956117" w:rsidRPr="00956117" w:rsidRDefault="00956117" w:rsidP="00956117">
            <w:pPr>
              <w:pStyle w:val="TableText"/>
              <w:ind w:right="57"/>
              <w:jc w:val="right"/>
              <w:rPr>
                <w:sz w:val="16"/>
                <w:szCs w:val="18"/>
              </w:rPr>
            </w:pPr>
            <w:r w:rsidRPr="00956117">
              <w:rPr>
                <w:rFonts w:ascii="Wingdings" w:hAnsi="Wingdings"/>
                <w:spacing w:val="-10"/>
                <w:sz w:val="16"/>
                <w:szCs w:val="18"/>
              </w:rPr>
              <w:t>ü</w:t>
            </w:r>
          </w:p>
        </w:tc>
      </w:tr>
      <w:tr w:rsidR="00956117" w14:paraId="0FE112E0" w14:textId="77777777" w:rsidTr="00956117">
        <w:tc>
          <w:tcPr>
            <w:tcW w:w="3119" w:type="dxa"/>
            <w:tcBorders>
              <w:top w:val="single" w:sz="4" w:space="0" w:color="A6A6A6" w:themeColor="background1" w:themeShade="A6"/>
              <w:left w:val="nil"/>
              <w:bottom w:val="single" w:sz="4" w:space="0" w:color="A6A6A6" w:themeColor="background1" w:themeShade="A6"/>
              <w:right w:val="nil"/>
            </w:tcBorders>
          </w:tcPr>
          <w:p w14:paraId="38DEF7CF" w14:textId="789CADE9" w:rsidR="00956117" w:rsidRPr="00956117" w:rsidRDefault="00956117" w:rsidP="00956117">
            <w:pPr>
              <w:pStyle w:val="TableText"/>
              <w:rPr>
                <w:sz w:val="16"/>
                <w:szCs w:val="18"/>
              </w:rPr>
            </w:pPr>
            <w:r w:rsidRPr="00956117">
              <w:rPr>
                <w:sz w:val="16"/>
                <w:szCs w:val="18"/>
              </w:rPr>
              <w:t>Health Survey release is published annually no later than 1 December</w:t>
            </w:r>
          </w:p>
        </w:tc>
        <w:tc>
          <w:tcPr>
            <w:tcW w:w="1417" w:type="dxa"/>
            <w:tcBorders>
              <w:top w:val="single" w:sz="4" w:space="0" w:color="A6A6A6" w:themeColor="background1" w:themeShade="A6"/>
              <w:left w:val="nil"/>
              <w:bottom w:val="single" w:sz="4" w:space="0" w:color="A6A6A6" w:themeColor="background1" w:themeShade="A6"/>
              <w:right w:val="nil"/>
            </w:tcBorders>
          </w:tcPr>
          <w:p w14:paraId="5CD59B76" w14:textId="2193A115" w:rsidR="00956117" w:rsidRPr="00956117" w:rsidRDefault="00956117" w:rsidP="004819F0">
            <w:pPr>
              <w:pStyle w:val="TableText"/>
              <w:ind w:right="57"/>
              <w:jc w:val="right"/>
              <w:rPr>
                <w:spacing w:val="-2"/>
                <w:w w:val="105"/>
                <w:sz w:val="16"/>
                <w:szCs w:val="18"/>
              </w:rPr>
            </w:pPr>
            <w:r w:rsidRPr="00956117">
              <w:rPr>
                <w:spacing w:val="-2"/>
                <w:w w:val="105"/>
                <w:sz w:val="16"/>
                <w:szCs w:val="18"/>
              </w:rPr>
              <w:t>17 November</w:t>
            </w:r>
            <w:r w:rsidR="004819F0">
              <w:rPr>
                <w:spacing w:val="-2"/>
                <w:w w:val="105"/>
                <w:sz w:val="16"/>
                <w:szCs w:val="18"/>
              </w:rPr>
              <w:t xml:space="preserve"> </w:t>
            </w:r>
            <w:r w:rsidRPr="00956117">
              <w:rPr>
                <w:spacing w:val="-2"/>
                <w:w w:val="105"/>
                <w:sz w:val="16"/>
                <w:szCs w:val="18"/>
              </w:rPr>
              <w:t>2022</w:t>
            </w:r>
          </w:p>
        </w:tc>
        <w:tc>
          <w:tcPr>
            <w:tcW w:w="1240" w:type="dxa"/>
            <w:tcBorders>
              <w:top w:val="single" w:sz="4" w:space="0" w:color="A6A6A6" w:themeColor="background1" w:themeShade="A6"/>
              <w:left w:val="nil"/>
              <w:bottom w:val="single" w:sz="4" w:space="0" w:color="A6A6A6" w:themeColor="background1" w:themeShade="A6"/>
              <w:right w:val="nil"/>
            </w:tcBorders>
          </w:tcPr>
          <w:p w14:paraId="09B9E0DA" w14:textId="142BF72C" w:rsidR="00956117" w:rsidRPr="00956117" w:rsidRDefault="00956117" w:rsidP="00956117">
            <w:pPr>
              <w:pStyle w:val="TableText"/>
              <w:ind w:right="57"/>
              <w:jc w:val="right"/>
              <w:rPr>
                <w:sz w:val="16"/>
                <w:szCs w:val="18"/>
              </w:rPr>
            </w:pPr>
            <w:r w:rsidRPr="00956117">
              <w:rPr>
                <w:spacing w:val="-2"/>
                <w:w w:val="105"/>
                <w:sz w:val="16"/>
                <w:szCs w:val="18"/>
              </w:rPr>
              <w:t>Achieved</w:t>
            </w:r>
          </w:p>
        </w:tc>
        <w:tc>
          <w:tcPr>
            <w:tcW w:w="1240" w:type="dxa"/>
            <w:tcBorders>
              <w:top w:val="single" w:sz="4" w:space="0" w:color="A6A6A6" w:themeColor="background1" w:themeShade="A6"/>
              <w:left w:val="nil"/>
              <w:bottom w:val="single" w:sz="4" w:space="0" w:color="A6A6A6" w:themeColor="background1" w:themeShade="A6"/>
              <w:right w:val="nil"/>
            </w:tcBorders>
          </w:tcPr>
          <w:p w14:paraId="3AF3BCA6" w14:textId="75B619A4" w:rsidR="00956117" w:rsidRPr="00956117" w:rsidRDefault="00956117" w:rsidP="00956117">
            <w:pPr>
              <w:pStyle w:val="TableText"/>
              <w:ind w:right="57"/>
              <w:jc w:val="right"/>
              <w:rPr>
                <w:sz w:val="16"/>
                <w:szCs w:val="18"/>
              </w:rPr>
            </w:pPr>
            <w:r w:rsidRPr="00956117">
              <w:rPr>
                <w:spacing w:val="-2"/>
                <w:sz w:val="16"/>
                <w:szCs w:val="18"/>
              </w:rPr>
              <w:t>Not</w:t>
            </w:r>
            <w:r w:rsidRPr="00956117">
              <w:rPr>
                <w:spacing w:val="-10"/>
                <w:sz w:val="16"/>
                <w:szCs w:val="18"/>
              </w:rPr>
              <w:t xml:space="preserve"> </w:t>
            </w:r>
            <w:r w:rsidRPr="00956117">
              <w:rPr>
                <w:spacing w:val="-2"/>
                <w:sz w:val="16"/>
                <w:szCs w:val="18"/>
              </w:rPr>
              <w:t>achieved</w:t>
            </w:r>
          </w:p>
        </w:tc>
        <w:tc>
          <w:tcPr>
            <w:tcW w:w="1241" w:type="dxa"/>
            <w:tcBorders>
              <w:top w:val="single" w:sz="4" w:space="0" w:color="A6A6A6" w:themeColor="background1" w:themeShade="A6"/>
              <w:left w:val="nil"/>
              <w:bottom w:val="single" w:sz="4" w:space="0" w:color="A6A6A6" w:themeColor="background1" w:themeShade="A6"/>
              <w:right w:val="nil"/>
            </w:tcBorders>
          </w:tcPr>
          <w:p w14:paraId="66028D6E" w14:textId="77777777" w:rsidR="00956117" w:rsidRPr="00956117" w:rsidRDefault="00956117" w:rsidP="00956117">
            <w:pPr>
              <w:pStyle w:val="TableText"/>
              <w:ind w:right="57"/>
              <w:jc w:val="right"/>
              <w:rPr>
                <w:rFonts w:ascii="Wingdings" w:hAnsi="Wingdings"/>
                <w:sz w:val="16"/>
                <w:szCs w:val="18"/>
              </w:rPr>
            </w:pPr>
            <w:r w:rsidRPr="00956117">
              <w:rPr>
                <w:rFonts w:ascii="Wingdings" w:hAnsi="Wingdings"/>
                <w:spacing w:val="-10"/>
                <w:sz w:val="16"/>
                <w:szCs w:val="18"/>
              </w:rPr>
              <w:t>û</w:t>
            </w:r>
          </w:p>
          <w:p w14:paraId="339901A6" w14:textId="0AF8A1AF" w:rsidR="00956117" w:rsidRPr="00956117" w:rsidRDefault="00956117" w:rsidP="00956117">
            <w:pPr>
              <w:pStyle w:val="TableText"/>
              <w:ind w:right="57"/>
              <w:jc w:val="right"/>
              <w:rPr>
                <w:sz w:val="16"/>
                <w:szCs w:val="18"/>
              </w:rPr>
            </w:pPr>
            <w:r w:rsidRPr="00956117">
              <w:rPr>
                <w:w w:val="105"/>
                <w:sz w:val="16"/>
                <w:szCs w:val="18"/>
              </w:rPr>
              <w:t>(Note</w:t>
            </w:r>
            <w:r w:rsidRPr="00956117">
              <w:rPr>
                <w:spacing w:val="-8"/>
                <w:w w:val="105"/>
                <w:sz w:val="16"/>
                <w:szCs w:val="18"/>
              </w:rPr>
              <w:t xml:space="preserve"> </w:t>
            </w:r>
            <w:r w:rsidRPr="00956117">
              <w:rPr>
                <w:spacing w:val="-5"/>
                <w:w w:val="105"/>
                <w:sz w:val="16"/>
                <w:szCs w:val="18"/>
              </w:rPr>
              <w:t>2)</w:t>
            </w:r>
          </w:p>
        </w:tc>
      </w:tr>
      <w:tr w:rsidR="00956117" w14:paraId="7070CAB2" w14:textId="77777777" w:rsidTr="00956117">
        <w:tc>
          <w:tcPr>
            <w:tcW w:w="3119" w:type="dxa"/>
            <w:tcBorders>
              <w:top w:val="single" w:sz="4" w:space="0" w:color="A6A6A6" w:themeColor="background1" w:themeShade="A6"/>
              <w:left w:val="nil"/>
              <w:bottom w:val="single" w:sz="4" w:space="0" w:color="A6A6A6" w:themeColor="background1" w:themeShade="A6"/>
              <w:right w:val="nil"/>
            </w:tcBorders>
          </w:tcPr>
          <w:p w14:paraId="21630D8F" w14:textId="2DC8B862" w:rsidR="00956117" w:rsidRPr="00956117" w:rsidRDefault="00956117" w:rsidP="00956117">
            <w:pPr>
              <w:pStyle w:val="TableText"/>
              <w:rPr>
                <w:sz w:val="16"/>
                <w:szCs w:val="18"/>
              </w:rPr>
            </w:pPr>
            <w:r w:rsidRPr="00956117">
              <w:rPr>
                <w:sz w:val="16"/>
                <w:szCs w:val="18"/>
              </w:rPr>
              <w:t>Health and Independence Report is published annually</w:t>
            </w:r>
          </w:p>
        </w:tc>
        <w:tc>
          <w:tcPr>
            <w:tcW w:w="1417" w:type="dxa"/>
            <w:tcBorders>
              <w:top w:val="single" w:sz="4" w:space="0" w:color="A6A6A6" w:themeColor="background1" w:themeShade="A6"/>
              <w:left w:val="nil"/>
              <w:bottom w:val="single" w:sz="4" w:space="0" w:color="A6A6A6" w:themeColor="background1" w:themeShade="A6"/>
              <w:right w:val="nil"/>
            </w:tcBorders>
          </w:tcPr>
          <w:p w14:paraId="700BE9DC" w14:textId="7F5F7F8D" w:rsidR="00956117" w:rsidRPr="00956117" w:rsidRDefault="00956117" w:rsidP="00956117">
            <w:pPr>
              <w:pStyle w:val="TableText"/>
              <w:ind w:right="57"/>
              <w:jc w:val="right"/>
              <w:rPr>
                <w:spacing w:val="-2"/>
                <w:w w:val="105"/>
                <w:sz w:val="16"/>
                <w:szCs w:val="18"/>
              </w:rPr>
            </w:pPr>
            <w:r w:rsidRPr="00956117">
              <w:rPr>
                <w:spacing w:val="-2"/>
                <w:w w:val="105"/>
                <w:sz w:val="16"/>
                <w:szCs w:val="18"/>
              </w:rPr>
              <w:t>Achieved</w:t>
            </w:r>
          </w:p>
        </w:tc>
        <w:tc>
          <w:tcPr>
            <w:tcW w:w="1240" w:type="dxa"/>
            <w:tcBorders>
              <w:top w:val="single" w:sz="4" w:space="0" w:color="A6A6A6" w:themeColor="background1" w:themeShade="A6"/>
              <w:left w:val="nil"/>
              <w:bottom w:val="single" w:sz="4" w:space="0" w:color="A6A6A6" w:themeColor="background1" w:themeShade="A6"/>
              <w:right w:val="nil"/>
            </w:tcBorders>
          </w:tcPr>
          <w:p w14:paraId="14177EA2" w14:textId="0DAD4148" w:rsidR="00956117" w:rsidRPr="00956117" w:rsidRDefault="00956117" w:rsidP="00956117">
            <w:pPr>
              <w:pStyle w:val="TableText"/>
              <w:ind w:right="57"/>
              <w:jc w:val="right"/>
              <w:rPr>
                <w:sz w:val="16"/>
                <w:szCs w:val="18"/>
              </w:rPr>
            </w:pPr>
            <w:r w:rsidRPr="00956117">
              <w:rPr>
                <w:spacing w:val="-2"/>
                <w:w w:val="105"/>
                <w:sz w:val="16"/>
                <w:szCs w:val="18"/>
              </w:rPr>
              <w:t>Achieved</w:t>
            </w:r>
          </w:p>
        </w:tc>
        <w:tc>
          <w:tcPr>
            <w:tcW w:w="1240" w:type="dxa"/>
            <w:tcBorders>
              <w:top w:val="single" w:sz="4" w:space="0" w:color="A6A6A6" w:themeColor="background1" w:themeShade="A6"/>
              <w:left w:val="nil"/>
              <w:bottom w:val="single" w:sz="4" w:space="0" w:color="A6A6A6" w:themeColor="background1" w:themeShade="A6"/>
              <w:right w:val="nil"/>
            </w:tcBorders>
          </w:tcPr>
          <w:p w14:paraId="6461BAEE" w14:textId="4AAE20C7" w:rsidR="00956117" w:rsidRPr="00956117" w:rsidRDefault="00956117" w:rsidP="00956117">
            <w:pPr>
              <w:pStyle w:val="TableText"/>
              <w:ind w:right="57"/>
              <w:jc w:val="right"/>
              <w:rPr>
                <w:sz w:val="16"/>
                <w:szCs w:val="18"/>
              </w:rPr>
            </w:pPr>
            <w:r w:rsidRPr="00956117">
              <w:rPr>
                <w:spacing w:val="-2"/>
                <w:w w:val="105"/>
                <w:sz w:val="16"/>
                <w:szCs w:val="18"/>
              </w:rPr>
              <w:t>Achieved</w:t>
            </w:r>
          </w:p>
        </w:tc>
        <w:tc>
          <w:tcPr>
            <w:tcW w:w="1241" w:type="dxa"/>
            <w:tcBorders>
              <w:top w:val="single" w:sz="4" w:space="0" w:color="A6A6A6" w:themeColor="background1" w:themeShade="A6"/>
              <w:left w:val="nil"/>
              <w:bottom w:val="single" w:sz="4" w:space="0" w:color="A6A6A6" w:themeColor="background1" w:themeShade="A6"/>
              <w:right w:val="nil"/>
            </w:tcBorders>
          </w:tcPr>
          <w:p w14:paraId="144D3180" w14:textId="152C3FEC" w:rsidR="00956117" w:rsidRPr="00956117" w:rsidRDefault="00956117" w:rsidP="00956117">
            <w:pPr>
              <w:pStyle w:val="TableText"/>
              <w:ind w:right="57"/>
              <w:jc w:val="right"/>
              <w:rPr>
                <w:sz w:val="16"/>
                <w:szCs w:val="18"/>
              </w:rPr>
            </w:pPr>
            <w:r w:rsidRPr="00956117">
              <w:rPr>
                <w:rFonts w:ascii="Wingdings" w:hAnsi="Wingdings"/>
                <w:spacing w:val="-10"/>
                <w:sz w:val="16"/>
                <w:szCs w:val="18"/>
              </w:rPr>
              <w:t>ü</w:t>
            </w:r>
          </w:p>
        </w:tc>
      </w:tr>
      <w:tr w:rsidR="00956117" w14:paraId="632FF37B" w14:textId="77777777" w:rsidTr="00956117">
        <w:tc>
          <w:tcPr>
            <w:tcW w:w="3119" w:type="dxa"/>
            <w:tcBorders>
              <w:top w:val="single" w:sz="4" w:space="0" w:color="A6A6A6" w:themeColor="background1" w:themeShade="A6"/>
              <w:left w:val="nil"/>
              <w:bottom w:val="single" w:sz="4" w:space="0" w:color="A6A6A6" w:themeColor="background1" w:themeShade="A6"/>
              <w:right w:val="nil"/>
            </w:tcBorders>
          </w:tcPr>
          <w:p w14:paraId="31C65FF1" w14:textId="08566172" w:rsidR="00956117" w:rsidRPr="00956117" w:rsidRDefault="00956117" w:rsidP="00956117">
            <w:pPr>
              <w:pStyle w:val="TableText"/>
              <w:rPr>
                <w:sz w:val="16"/>
                <w:szCs w:val="18"/>
              </w:rPr>
            </w:pPr>
            <w:r w:rsidRPr="00956117">
              <w:rPr>
                <w:sz w:val="16"/>
                <w:szCs w:val="18"/>
              </w:rPr>
              <w:t>Establish with Te Aka Whai Ora and Health New Zealand cross-agency leadership, governance and a shared work programme for health research system strategic initiatives by December 2023</w:t>
            </w:r>
          </w:p>
        </w:tc>
        <w:tc>
          <w:tcPr>
            <w:tcW w:w="1417" w:type="dxa"/>
            <w:tcBorders>
              <w:top w:val="single" w:sz="4" w:space="0" w:color="A6A6A6" w:themeColor="background1" w:themeShade="A6"/>
              <w:left w:val="nil"/>
              <w:bottom w:val="single" w:sz="4" w:space="0" w:color="A6A6A6" w:themeColor="background1" w:themeShade="A6"/>
              <w:right w:val="nil"/>
            </w:tcBorders>
          </w:tcPr>
          <w:p w14:paraId="225B6A95" w14:textId="5D9CFB1A" w:rsidR="00956117" w:rsidRPr="00956117" w:rsidRDefault="00956117" w:rsidP="00956117">
            <w:pPr>
              <w:pStyle w:val="TableText"/>
              <w:ind w:right="57"/>
              <w:jc w:val="right"/>
              <w:rPr>
                <w:sz w:val="16"/>
                <w:szCs w:val="18"/>
              </w:rPr>
            </w:pPr>
            <w:r w:rsidRPr="00956117">
              <w:rPr>
                <w:sz w:val="16"/>
                <w:szCs w:val="18"/>
              </w:rPr>
              <w:t>New</w:t>
            </w:r>
            <w:r w:rsidRPr="00956117">
              <w:rPr>
                <w:spacing w:val="2"/>
                <w:sz w:val="16"/>
                <w:szCs w:val="18"/>
              </w:rPr>
              <w:t xml:space="preserve"> </w:t>
            </w:r>
            <w:r w:rsidRPr="00956117">
              <w:rPr>
                <w:spacing w:val="-2"/>
                <w:sz w:val="16"/>
                <w:szCs w:val="18"/>
              </w:rPr>
              <w:t>measure</w:t>
            </w:r>
          </w:p>
        </w:tc>
        <w:tc>
          <w:tcPr>
            <w:tcW w:w="1240" w:type="dxa"/>
            <w:tcBorders>
              <w:top w:val="single" w:sz="4" w:space="0" w:color="A6A6A6" w:themeColor="background1" w:themeShade="A6"/>
              <w:left w:val="nil"/>
              <w:bottom w:val="single" w:sz="4" w:space="0" w:color="A6A6A6" w:themeColor="background1" w:themeShade="A6"/>
              <w:right w:val="nil"/>
            </w:tcBorders>
          </w:tcPr>
          <w:p w14:paraId="28149B4A" w14:textId="6A5A0164" w:rsidR="00956117" w:rsidRPr="00956117" w:rsidRDefault="00956117" w:rsidP="00956117">
            <w:pPr>
              <w:pStyle w:val="TableText"/>
              <w:ind w:right="57"/>
              <w:jc w:val="right"/>
              <w:rPr>
                <w:sz w:val="16"/>
                <w:szCs w:val="18"/>
              </w:rPr>
            </w:pPr>
            <w:r w:rsidRPr="00956117">
              <w:rPr>
                <w:spacing w:val="-2"/>
                <w:w w:val="105"/>
                <w:sz w:val="16"/>
                <w:szCs w:val="18"/>
              </w:rPr>
              <w:t>Achieved</w:t>
            </w:r>
          </w:p>
        </w:tc>
        <w:tc>
          <w:tcPr>
            <w:tcW w:w="1240" w:type="dxa"/>
            <w:tcBorders>
              <w:top w:val="single" w:sz="4" w:space="0" w:color="A6A6A6" w:themeColor="background1" w:themeShade="A6"/>
              <w:left w:val="nil"/>
              <w:bottom w:val="single" w:sz="4" w:space="0" w:color="A6A6A6" w:themeColor="background1" w:themeShade="A6"/>
              <w:right w:val="nil"/>
            </w:tcBorders>
          </w:tcPr>
          <w:p w14:paraId="39963276" w14:textId="19F43737" w:rsidR="00956117" w:rsidRPr="00956117" w:rsidRDefault="00956117" w:rsidP="00956117">
            <w:pPr>
              <w:pStyle w:val="TableText"/>
              <w:ind w:right="57"/>
              <w:jc w:val="right"/>
              <w:rPr>
                <w:sz w:val="16"/>
                <w:szCs w:val="18"/>
              </w:rPr>
            </w:pPr>
            <w:r w:rsidRPr="00956117">
              <w:rPr>
                <w:spacing w:val="-2"/>
                <w:sz w:val="16"/>
                <w:szCs w:val="18"/>
              </w:rPr>
              <w:t>Not</w:t>
            </w:r>
            <w:r w:rsidRPr="00956117">
              <w:rPr>
                <w:spacing w:val="-10"/>
                <w:sz w:val="16"/>
                <w:szCs w:val="18"/>
              </w:rPr>
              <w:t xml:space="preserve"> </w:t>
            </w:r>
            <w:r w:rsidRPr="00956117">
              <w:rPr>
                <w:spacing w:val="-2"/>
                <w:sz w:val="16"/>
                <w:szCs w:val="18"/>
              </w:rPr>
              <w:t>achieved</w:t>
            </w:r>
          </w:p>
        </w:tc>
        <w:tc>
          <w:tcPr>
            <w:tcW w:w="1241" w:type="dxa"/>
            <w:tcBorders>
              <w:top w:val="single" w:sz="4" w:space="0" w:color="A6A6A6" w:themeColor="background1" w:themeShade="A6"/>
              <w:left w:val="nil"/>
              <w:bottom w:val="single" w:sz="4" w:space="0" w:color="A6A6A6" w:themeColor="background1" w:themeShade="A6"/>
              <w:right w:val="nil"/>
            </w:tcBorders>
          </w:tcPr>
          <w:p w14:paraId="48F7034F" w14:textId="77777777" w:rsidR="00956117" w:rsidRPr="00956117" w:rsidRDefault="00956117" w:rsidP="00956117">
            <w:pPr>
              <w:pStyle w:val="TableText"/>
              <w:ind w:right="57"/>
              <w:jc w:val="right"/>
              <w:rPr>
                <w:rFonts w:ascii="Wingdings" w:hAnsi="Wingdings"/>
                <w:sz w:val="16"/>
                <w:szCs w:val="18"/>
              </w:rPr>
            </w:pPr>
            <w:r w:rsidRPr="00956117">
              <w:rPr>
                <w:rFonts w:ascii="Wingdings" w:hAnsi="Wingdings"/>
                <w:spacing w:val="-10"/>
                <w:sz w:val="16"/>
                <w:szCs w:val="18"/>
              </w:rPr>
              <w:t>û</w:t>
            </w:r>
          </w:p>
          <w:p w14:paraId="521AA4C5" w14:textId="4746CEBB" w:rsidR="00956117" w:rsidRPr="00956117" w:rsidRDefault="00956117" w:rsidP="00956117">
            <w:pPr>
              <w:pStyle w:val="TableText"/>
              <w:ind w:right="57"/>
              <w:jc w:val="right"/>
              <w:rPr>
                <w:sz w:val="16"/>
                <w:szCs w:val="18"/>
              </w:rPr>
            </w:pPr>
            <w:r w:rsidRPr="00956117">
              <w:rPr>
                <w:w w:val="105"/>
                <w:sz w:val="16"/>
                <w:szCs w:val="18"/>
              </w:rPr>
              <w:t>(Note</w:t>
            </w:r>
            <w:r w:rsidRPr="00956117">
              <w:rPr>
                <w:spacing w:val="-8"/>
                <w:w w:val="105"/>
                <w:sz w:val="16"/>
                <w:szCs w:val="18"/>
              </w:rPr>
              <w:t xml:space="preserve"> </w:t>
            </w:r>
            <w:r w:rsidRPr="00956117">
              <w:rPr>
                <w:spacing w:val="-5"/>
                <w:w w:val="105"/>
                <w:sz w:val="16"/>
                <w:szCs w:val="18"/>
              </w:rPr>
              <w:t>3)</w:t>
            </w:r>
          </w:p>
        </w:tc>
      </w:tr>
      <w:tr w:rsidR="00956117" w14:paraId="0860E530" w14:textId="77777777" w:rsidTr="00956117">
        <w:tc>
          <w:tcPr>
            <w:tcW w:w="3119" w:type="dxa"/>
            <w:tcBorders>
              <w:top w:val="single" w:sz="4" w:space="0" w:color="A6A6A6" w:themeColor="background1" w:themeShade="A6"/>
              <w:left w:val="nil"/>
              <w:bottom w:val="single" w:sz="4" w:space="0" w:color="A6A6A6" w:themeColor="background1" w:themeShade="A6"/>
              <w:right w:val="nil"/>
            </w:tcBorders>
          </w:tcPr>
          <w:p w14:paraId="6E48B564" w14:textId="74E4FDB8" w:rsidR="00956117" w:rsidRPr="00956117" w:rsidRDefault="00956117" w:rsidP="00956117">
            <w:pPr>
              <w:pStyle w:val="TableText"/>
              <w:rPr>
                <w:sz w:val="16"/>
                <w:szCs w:val="18"/>
              </w:rPr>
            </w:pPr>
            <w:r w:rsidRPr="00956117">
              <w:rPr>
                <w:sz w:val="16"/>
                <w:szCs w:val="18"/>
              </w:rPr>
              <w:t>Complete scoping and commence baseline research on the Smokefree Aotearoa 2025 action plan by January 2024</w:t>
            </w:r>
          </w:p>
        </w:tc>
        <w:tc>
          <w:tcPr>
            <w:tcW w:w="1417" w:type="dxa"/>
            <w:tcBorders>
              <w:top w:val="single" w:sz="4" w:space="0" w:color="A6A6A6" w:themeColor="background1" w:themeShade="A6"/>
              <w:left w:val="nil"/>
              <w:bottom w:val="single" w:sz="4" w:space="0" w:color="A6A6A6" w:themeColor="background1" w:themeShade="A6"/>
              <w:right w:val="nil"/>
            </w:tcBorders>
          </w:tcPr>
          <w:p w14:paraId="7663A1F4" w14:textId="0275BE65" w:rsidR="00956117" w:rsidRPr="00956117" w:rsidRDefault="00956117" w:rsidP="00956117">
            <w:pPr>
              <w:pStyle w:val="TableText"/>
              <w:ind w:right="57"/>
              <w:jc w:val="right"/>
              <w:rPr>
                <w:sz w:val="16"/>
                <w:szCs w:val="18"/>
              </w:rPr>
            </w:pPr>
            <w:r w:rsidRPr="00956117">
              <w:rPr>
                <w:sz w:val="16"/>
                <w:szCs w:val="18"/>
              </w:rPr>
              <w:t>New</w:t>
            </w:r>
            <w:r w:rsidRPr="00956117">
              <w:rPr>
                <w:spacing w:val="2"/>
                <w:sz w:val="16"/>
                <w:szCs w:val="18"/>
              </w:rPr>
              <w:t xml:space="preserve"> </w:t>
            </w:r>
            <w:r w:rsidRPr="00956117">
              <w:rPr>
                <w:spacing w:val="-2"/>
                <w:sz w:val="16"/>
                <w:szCs w:val="18"/>
              </w:rPr>
              <w:t>measure</w:t>
            </w:r>
          </w:p>
        </w:tc>
        <w:tc>
          <w:tcPr>
            <w:tcW w:w="1240" w:type="dxa"/>
            <w:tcBorders>
              <w:top w:val="single" w:sz="4" w:space="0" w:color="A6A6A6" w:themeColor="background1" w:themeShade="A6"/>
              <w:left w:val="nil"/>
              <w:bottom w:val="single" w:sz="4" w:space="0" w:color="A6A6A6" w:themeColor="background1" w:themeShade="A6"/>
              <w:right w:val="nil"/>
            </w:tcBorders>
          </w:tcPr>
          <w:p w14:paraId="67490BBE" w14:textId="7A15CFBA" w:rsidR="00956117" w:rsidRPr="00956117" w:rsidRDefault="00956117" w:rsidP="00956117">
            <w:pPr>
              <w:pStyle w:val="TableText"/>
              <w:ind w:right="57"/>
              <w:jc w:val="right"/>
              <w:rPr>
                <w:sz w:val="16"/>
                <w:szCs w:val="18"/>
              </w:rPr>
            </w:pPr>
            <w:r w:rsidRPr="00956117">
              <w:rPr>
                <w:spacing w:val="-2"/>
                <w:w w:val="105"/>
                <w:sz w:val="16"/>
                <w:szCs w:val="18"/>
              </w:rPr>
              <w:t>Achieved</w:t>
            </w:r>
          </w:p>
        </w:tc>
        <w:tc>
          <w:tcPr>
            <w:tcW w:w="1240" w:type="dxa"/>
            <w:tcBorders>
              <w:top w:val="single" w:sz="4" w:space="0" w:color="A6A6A6" w:themeColor="background1" w:themeShade="A6"/>
              <w:left w:val="nil"/>
              <w:bottom w:val="single" w:sz="4" w:space="0" w:color="A6A6A6" w:themeColor="background1" w:themeShade="A6"/>
              <w:right w:val="nil"/>
            </w:tcBorders>
          </w:tcPr>
          <w:p w14:paraId="78546CD5" w14:textId="31CF04C4" w:rsidR="00956117" w:rsidRPr="00956117" w:rsidRDefault="00956117" w:rsidP="00956117">
            <w:pPr>
              <w:pStyle w:val="TableText"/>
              <w:ind w:right="57"/>
              <w:jc w:val="right"/>
              <w:rPr>
                <w:sz w:val="16"/>
                <w:szCs w:val="18"/>
              </w:rPr>
            </w:pPr>
            <w:r w:rsidRPr="00956117">
              <w:rPr>
                <w:spacing w:val="-2"/>
                <w:sz w:val="16"/>
                <w:szCs w:val="18"/>
              </w:rPr>
              <w:t>Not</w:t>
            </w:r>
            <w:r w:rsidRPr="00956117">
              <w:rPr>
                <w:spacing w:val="-10"/>
                <w:sz w:val="16"/>
                <w:szCs w:val="18"/>
              </w:rPr>
              <w:t xml:space="preserve"> </w:t>
            </w:r>
            <w:r w:rsidRPr="00956117">
              <w:rPr>
                <w:spacing w:val="-2"/>
                <w:sz w:val="16"/>
                <w:szCs w:val="18"/>
              </w:rPr>
              <w:t>achieved</w:t>
            </w:r>
          </w:p>
        </w:tc>
        <w:tc>
          <w:tcPr>
            <w:tcW w:w="1241" w:type="dxa"/>
            <w:tcBorders>
              <w:top w:val="single" w:sz="4" w:space="0" w:color="A6A6A6" w:themeColor="background1" w:themeShade="A6"/>
              <w:left w:val="nil"/>
              <w:bottom w:val="single" w:sz="4" w:space="0" w:color="A6A6A6" w:themeColor="background1" w:themeShade="A6"/>
              <w:right w:val="nil"/>
            </w:tcBorders>
          </w:tcPr>
          <w:p w14:paraId="6DF696DC" w14:textId="77777777" w:rsidR="00956117" w:rsidRPr="00956117" w:rsidRDefault="00956117" w:rsidP="00956117">
            <w:pPr>
              <w:pStyle w:val="TableText"/>
              <w:ind w:right="57"/>
              <w:jc w:val="right"/>
              <w:rPr>
                <w:rFonts w:ascii="Wingdings" w:hAnsi="Wingdings"/>
                <w:sz w:val="16"/>
                <w:szCs w:val="18"/>
              </w:rPr>
            </w:pPr>
            <w:r w:rsidRPr="00956117">
              <w:rPr>
                <w:rFonts w:ascii="Wingdings" w:hAnsi="Wingdings"/>
                <w:spacing w:val="-10"/>
                <w:sz w:val="16"/>
                <w:szCs w:val="18"/>
              </w:rPr>
              <w:t>û</w:t>
            </w:r>
          </w:p>
          <w:p w14:paraId="59E02E66" w14:textId="280676F3" w:rsidR="00956117" w:rsidRPr="00956117" w:rsidRDefault="00956117" w:rsidP="00956117">
            <w:pPr>
              <w:pStyle w:val="TableText"/>
              <w:ind w:right="57"/>
              <w:jc w:val="right"/>
              <w:rPr>
                <w:sz w:val="16"/>
                <w:szCs w:val="18"/>
              </w:rPr>
            </w:pPr>
            <w:r w:rsidRPr="00956117">
              <w:rPr>
                <w:w w:val="105"/>
                <w:sz w:val="16"/>
                <w:szCs w:val="18"/>
              </w:rPr>
              <w:t>(Note</w:t>
            </w:r>
            <w:r w:rsidRPr="00956117">
              <w:rPr>
                <w:spacing w:val="-8"/>
                <w:w w:val="105"/>
                <w:sz w:val="16"/>
                <w:szCs w:val="18"/>
              </w:rPr>
              <w:t xml:space="preserve"> </w:t>
            </w:r>
            <w:r w:rsidRPr="00956117">
              <w:rPr>
                <w:spacing w:val="-5"/>
                <w:w w:val="110"/>
                <w:sz w:val="16"/>
                <w:szCs w:val="18"/>
              </w:rPr>
              <w:t>4)</w:t>
            </w:r>
          </w:p>
        </w:tc>
      </w:tr>
    </w:tbl>
    <w:p w14:paraId="1E9A5813" w14:textId="2A3C4D40" w:rsidR="00956117" w:rsidRDefault="00956117" w:rsidP="00A66B6E">
      <w:pPr>
        <w:pStyle w:val="Note"/>
        <w:ind w:left="709" w:hanging="709"/>
      </w:pPr>
      <w:r>
        <w:t xml:space="preserve">Note 1: </w:t>
      </w:r>
      <w:r w:rsidR="00A66B6E">
        <w:tab/>
      </w:r>
      <w:r>
        <w:t xml:space="preserve">Total page views of the New Zealand Health Survey in the 2023/24 financial year </w:t>
      </w:r>
      <w:proofErr w:type="gramStart"/>
      <w:r>
        <w:t>was</w:t>
      </w:r>
      <w:proofErr w:type="gramEnd"/>
      <w:r>
        <w:t xml:space="preserve"> 83,000. The total number of page views in the 2022/23 financial year was 72,000.</w:t>
      </w:r>
    </w:p>
    <w:p w14:paraId="659E3622" w14:textId="1196965F" w:rsidR="00956117" w:rsidRDefault="00956117" w:rsidP="00A66B6E">
      <w:pPr>
        <w:pStyle w:val="Note"/>
        <w:ind w:left="709" w:hanging="709"/>
      </w:pPr>
      <w:r>
        <w:t xml:space="preserve">Note 2: </w:t>
      </w:r>
      <w:r w:rsidR="00A66B6E">
        <w:tab/>
      </w:r>
      <w:r>
        <w:t>The 2022/23 release was delayed due to an error identified late in the analysis process.</w:t>
      </w:r>
      <w:r w:rsidR="00A66B6E">
        <w:t xml:space="preserve"> </w:t>
      </w:r>
      <w:r>
        <w:t>The release was published on 14 December 2023.</w:t>
      </w:r>
    </w:p>
    <w:p w14:paraId="018FB00A" w14:textId="59137C39" w:rsidR="00956117" w:rsidRDefault="00956117" w:rsidP="00A66B6E">
      <w:pPr>
        <w:pStyle w:val="Note"/>
        <w:ind w:left="709" w:hanging="709"/>
      </w:pPr>
      <w:r>
        <w:t xml:space="preserve">Note 3: </w:t>
      </w:r>
      <w:r w:rsidR="00A66B6E">
        <w:tab/>
      </w:r>
      <w:r>
        <w:t>Finalisation of the shared work programme has been delayed due to funding needing to be secured. A cross-agency leadership team and governance process has been agreed.</w:t>
      </w:r>
    </w:p>
    <w:p w14:paraId="16B923B4" w14:textId="5B917C02" w:rsidR="00956117" w:rsidRDefault="00956117" w:rsidP="00A66B6E">
      <w:pPr>
        <w:pStyle w:val="Note"/>
        <w:ind w:left="709" w:hanging="709"/>
      </w:pPr>
      <w:r>
        <w:t xml:space="preserve">Note 4: </w:t>
      </w:r>
      <w:r w:rsidR="00A66B6E">
        <w:tab/>
      </w:r>
      <w:r>
        <w:t>All scoping for the evaluation was completed, the research was paused at the request of the customer.</w:t>
      </w:r>
    </w:p>
    <w:p w14:paraId="7E1C9B49" w14:textId="77777777" w:rsidR="005437CA" w:rsidRDefault="005437CA" w:rsidP="005437CA"/>
    <w:p w14:paraId="4603C91D" w14:textId="77777777" w:rsidR="005437CA" w:rsidRDefault="005437CA" w:rsidP="005437CA"/>
    <w:p w14:paraId="3794A186" w14:textId="77777777" w:rsidR="005437CA" w:rsidRDefault="005437CA" w:rsidP="005437CA">
      <w:pPr>
        <w:sectPr w:rsidR="005437CA" w:rsidSect="000A3324">
          <w:pgSz w:w="11907" w:h="16840" w:code="9"/>
          <w:pgMar w:top="1418" w:right="1701" w:bottom="1134" w:left="1843" w:header="284" w:footer="425" w:gutter="284"/>
          <w:cols w:space="720"/>
        </w:sectPr>
      </w:pPr>
    </w:p>
    <w:p w14:paraId="6CE321B5" w14:textId="77777777" w:rsidR="005437CA" w:rsidRDefault="005437CA" w:rsidP="00DD3379">
      <w:pPr>
        <w:pStyle w:val="Heading4"/>
        <w:spacing w:before="0"/>
      </w:pPr>
      <w:r>
        <w:lastRenderedPageBreak/>
        <w:t>Policy Advice and Related Services</w:t>
      </w:r>
    </w:p>
    <w:p w14:paraId="0E688983" w14:textId="77777777" w:rsidR="005437CA" w:rsidRDefault="005437CA" w:rsidP="005437CA">
      <w:r>
        <w:t>This category is limited to the provision of policy advice (including second opinion advice and contributions to policy advice led by other agencies) and other support to Ministers in discharging their policy decision-making and other portfolio responsibilities relating to health.</w:t>
      </w:r>
    </w:p>
    <w:p w14:paraId="706D6CFE" w14:textId="77777777" w:rsidR="005437CA" w:rsidRDefault="005437CA" w:rsidP="005437CA"/>
    <w:tbl>
      <w:tblPr>
        <w:tblStyle w:val="TableGrid"/>
        <w:tblW w:w="82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119"/>
        <w:gridCol w:w="1417"/>
        <w:gridCol w:w="1240"/>
        <w:gridCol w:w="1240"/>
        <w:gridCol w:w="1241"/>
      </w:tblGrid>
      <w:tr w:rsidR="005437CA" w14:paraId="58F33B11" w14:textId="77777777" w:rsidTr="005437CA">
        <w:tc>
          <w:tcPr>
            <w:tcW w:w="8257" w:type="dxa"/>
            <w:gridSpan w:val="5"/>
            <w:tcBorders>
              <w:top w:val="nil"/>
              <w:left w:val="nil"/>
              <w:bottom w:val="nil"/>
              <w:right w:val="nil"/>
            </w:tcBorders>
            <w:shd w:val="clear" w:color="auto" w:fill="D9D9D9" w:themeFill="background1" w:themeFillShade="D9"/>
            <w:hideMark/>
          </w:tcPr>
          <w:p w14:paraId="7A6D94D2" w14:textId="77777777" w:rsidR="005437CA" w:rsidRDefault="005437CA" w:rsidP="005437CA">
            <w:pPr>
              <w:pStyle w:val="TableText"/>
              <w:rPr>
                <w:b/>
                <w:bCs/>
              </w:rPr>
            </w:pPr>
            <w:r>
              <w:rPr>
                <w:b/>
                <w:bCs/>
              </w:rPr>
              <w:t>Performance assessment</w:t>
            </w:r>
          </w:p>
        </w:tc>
      </w:tr>
      <w:tr w:rsidR="005437CA" w14:paraId="6567812A" w14:textId="77777777" w:rsidTr="005437CA">
        <w:tc>
          <w:tcPr>
            <w:tcW w:w="3119"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062DE1E8" w14:textId="77777777" w:rsidR="005437CA" w:rsidRDefault="005437CA" w:rsidP="005437CA">
            <w:pPr>
              <w:pStyle w:val="TableText"/>
              <w:rPr>
                <w:b/>
                <w:bCs/>
                <w:sz w:val="16"/>
                <w:szCs w:val="16"/>
              </w:rPr>
            </w:pPr>
            <w:r>
              <w:rPr>
                <w:b/>
                <w:bCs/>
                <w:sz w:val="16"/>
                <w:szCs w:val="16"/>
              </w:rPr>
              <w:t>Performance measure</w:t>
            </w:r>
          </w:p>
        </w:tc>
        <w:tc>
          <w:tcPr>
            <w:tcW w:w="1417"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294035E2" w14:textId="77777777" w:rsidR="005437CA" w:rsidRDefault="005437CA" w:rsidP="005437CA">
            <w:pPr>
              <w:pStyle w:val="TableText"/>
              <w:jc w:val="right"/>
              <w:rPr>
                <w:b/>
                <w:bCs/>
                <w:sz w:val="16"/>
                <w:szCs w:val="16"/>
              </w:rPr>
            </w:pPr>
            <w:r>
              <w:rPr>
                <w:b/>
                <w:bCs/>
                <w:sz w:val="16"/>
                <w:szCs w:val="16"/>
              </w:rPr>
              <w:t>Actual</w:t>
            </w:r>
          </w:p>
          <w:p w14:paraId="1F5FE636" w14:textId="77777777" w:rsidR="005437CA" w:rsidRDefault="005437CA" w:rsidP="005437CA">
            <w:pPr>
              <w:pStyle w:val="TableText"/>
              <w:jc w:val="right"/>
              <w:rPr>
                <w:b/>
                <w:bCs/>
                <w:sz w:val="16"/>
                <w:szCs w:val="16"/>
              </w:rPr>
            </w:pPr>
            <w:r>
              <w:rPr>
                <w:b/>
                <w:bCs/>
                <w:sz w:val="16"/>
                <w:szCs w:val="16"/>
              </w:rPr>
              <w:t>2022/23</w:t>
            </w:r>
          </w:p>
        </w:tc>
        <w:tc>
          <w:tcPr>
            <w:tcW w:w="1240"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3D0F678E" w14:textId="77777777" w:rsidR="005437CA" w:rsidRDefault="005437CA" w:rsidP="005437CA">
            <w:pPr>
              <w:pStyle w:val="TableText"/>
              <w:jc w:val="right"/>
              <w:rPr>
                <w:b/>
                <w:bCs/>
                <w:sz w:val="16"/>
                <w:szCs w:val="16"/>
              </w:rPr>
            </w:pPr>
            <w:r>
              <w:rPr>
                <w:b/>
                <w:bCs/>
                <w:sz w:val="16"/>
                <w:szCs w:val="16"/>
              </w:rPr>
              <w:t>Budget Standard</w:t>
            </w:r>
          </w:p>
          <w:p w14:paraId="1304866F" w14:textId="77777777" w:rsidR="005437CA" w:rsidRDefault="005437CA" w:rsidP="005437CA">
            <w:pPr>
              <w:pStyle w:val="TableText"/>
              <w:jc w:val="right"/>
              <w:rPr>
                <w:b/>
                <w:bCs/>
                <w:sz w:val="16"/>
                <w:szCs w:val="16"/>
              </w:rPr>
            </w:pPr>
            <w:r>
              <w:rPr>
                <w:b/>
                <w:bCs/>
                <w:sz w:val="16"/>
                <w:szCs w:val="16"/>
              </w:rPr>
              <w:t>2023/24</w:t>
            </w:r>
          </w:p>
        </w:tc>
        <w:tc>
          <w:tcPr>
            <w:tcW w:w="1240"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2FA60D9E" w14:textId="77777777" w:rsidR="005437CA" w:rsidRDefault="005437CA" w:rsidP="005437CA">
            <w:pPr>
              <w:pStyle w:val="TableText"/>
              <w:jc w:val="right"/>
              <w:rPr>
                <w:b/>
                <w:bCs/>
                <w:sz w:val="16"/>
                <w:szCs w:val="16"/>
              </w:rPr>
            </w:pPr>
            <w:r>
              <w:rPr>
                <w:b/>
                <w:bCs/>
                <w:sz w:val="16"/>
                <w:szCs w:val="16"/>
              </w:rPr>
              <w:t>Actual</w:t>
            </w:r>
          </w:p>
          <w:p w14:paraId="10653035" w14:textId="77777777" w:rsidR="005437CA" w:rsidRDefault="005437CA" w:rsidP="005437CA">
            <w:pPr>
              <w:pStyle w:val="TableText"/>
              <w:jc w:val="right"/>
              <w:rPr>
                <w:b/>
                <w:bCs/>
                <w:sz w:val="16"/>
                <w:szCs w:val="16"/>
              </w:rPr>
            </w:pPr>
            <w:r>
              <w:rPr>
                <w:b/>
                <w:bCs/>
                <w:sz w:val="16"/>
                <w:szCs w:val="16"/>
              </w:rPr>
              <w:t>2023/24</w:t>
            </w:r>
          </w:p>
        </w:tc>
        <w:tc>
          <w:tcPr>
            <w:tcW w:w="1241"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14F71183" w14:textId="77777777" w:rsidR="005437CA" w:rsidRDefault="005437CA" w:rsidP="005437CA">
            <w:pPr>
              <w:pStyle w:val="TableText"/>
              <w:jc w:val="right"/>
              <w:rPr>
                <w:b/>
                <w:bCs/>
                <w:sz w:val="16"/>
                <w:szCs w:val="16"/>
              </w:rPr>
            </w:pPr>
            <w:r>
              <w:rPr>
                <w:b/>
                <w:bCs/>
                <w:sz w:val="16"/>
                <w:szCs w:val="16"/>
              </w:rPr>
              <w:t xml:space="preserve">At a </w:t>
            </w:r>
            <w:r>
              <w:rPr>
                <w:b/>
                <w:bCs/>
                <w:sz w:val="16"/>
                <w:szCs w:val="16"/>
              </w:rPr>
              <w:br/>
              <w:t>glance</w:t>
            </w:r>
          </w:p>
        </w:tc>
      </w:tr>
      <w:tr w:rsidR="005437CA" w14:paraId="3F3D9ABC" w14:textId="77777777" w:rsidTr="005437CA">
        <w:tc>
          <w:tcPr>
            <w:tcW w:w="3119" w:type="dxa"/>
            <w:tcBorders>
              <w:top w:val="single" w:sz="4" w:space="0" w:color="A6A6A6" w:themeColor="background1" w:themeShade="A6"/>
              <w:left w:val="nil"/>
              <w:bottom w:val="single" w:sz="4" w:space="0" w:color="A6A6A6" w:themeColor="background1" w:themeShade="A6"/>
              <w:right w:val="nil"/>
            </w:tcBorders>
          </w:tcPr>
          <w:p w14:paraId="4ED31966" w14:textId="215D7D58" w:rsidR="005437CA" w:rsidRPr="00956117" w:rsidRDefault="005437CA" w:rsidP="005437CA">
            <w:pPr>
              <w:pStyle w:val="TableText"/>
              <w:rPr>
                <w:sz w:val="16"/>
                <w:szCs w:val="18"/>
              </w:rPr>
            </w:pPr>
            <w:r w:rsidRPr="005437CA">
              <w:rPr>
                <w:sz w:val="16"/>
                <w:szCs w:val="18"/>
              </w:rPr>
              <w:t>Percentage of Ministerial letter response provided to the Minister within agreed timeframes</w:t>
            </w:r>
          </w:p>
        </w:tc>
        <w:tc>
          <w:tcPr>
            <w:tcW w:w="1417" w:type="dxa"/>
            <w:tcBorders>
              <w:top w:val="single" w:sz="4" w:space="0" w:color="A6A6A6" w:themeColor="background1" w:themeShade="A6"/>
              <w:left w:val="nil"/>
              <w:bottom w:val="single" w:sz="4" w:space="0" w:color="A6A6A6" w:themeColor="background1" w:themeShade="A6"/>
              <w:right w:val="nil"/>
            </w:tcBorders>
          </w:tcPr>
          <w:p w14:paraId="073F4B81" w14:textId="585F66C6" w:rsidR="005437CA" w:rsidRPr="00956117" w:rsidRDefault="005437CA" w:rsidP="005437CA">
            <w:pPr>
              <w:pStyle w:val="TableText"/>
              <w:ind w:right="57"/>
              <w:jc w:val="right"/>
              <w:rPr>
                <w:sz w:val="16"/>
                <w:szCs w:val="18"/>
              </w:rPr>
            </w:pPr>
            <w:r w:rsidRPr="005437CA">
              <w:rPr>
                <w:sz w:val="16"/>
                <w:szCs w:val="18"/>
              </w:rPr>
              <w:t>98.6%</w:t>
            </w:r>
          </w:p>
        </w:tc>
        <w:tc>
          <w:tcPr>
            <w:tcW w:w="1240" w:type="dxa"/>
            <w:tcBorders>
              <w:top w:val="single" w:sz="4" w:space="0" w:color="A6A6A6" w:themeColor="background1" w:themeShade="A6"/>
              <w:left w:val="nil"/>
              <w:bottom w:val="single" w:sz="4" w:space="0" w:color="A6A6A6" w:themeColor="background1" w:themeShade="A6"/>
              <w:right w:val="nil"/>
            </w:tcBorders>
          </w:tcPr>
          <w:p w14:paraId="1576B7DE" w14:textId="74D439BC" w:rsidR="005437CA" w:rsidRPr="00956117" w:rsidRDefault="005437CA" w:rsidP="005437CA">
            <w:pPr>
              <w:pStyle w:val="TableText"/>
              <w:ind w:right="57"/>
              <w:jc w:val="right"/>
              <w:rPr>
                <w:sz w:val="16"/>
                <w:szCs w:val="18"/>
              </w:rPr>
            </w:pPr>
            <w:r w:rsidRPr="005437CA">
              <w:rPr>
                <w:sz w:val="16"/>
                <w:szCs w:val="18"/>
              </w:rPr>
              <w:t>95%</w:t>
            </w:r>
          </w:p>
        </w:tc>
        <w:tc>
          <w:tcPr>
            <w:tcW w:w="1240" w:type="dxa"/>
            <w:tcBorders>
              <w:top w:val="single" w:sz="4" w:space="0" w:color="A6A6A6" w:themeColor="background1" w:themeShade="A6"/>
              <w:left w:val="nil"/>
              <w:bottom w:val="single" w:sz="4" w:space="0" w:color="A6A6A6" w:themeColor="background1" w:themeShade="A6"/>
              <w:right w:val="nil"/>
            </w:tcBorders>
          </w:tcPr>
          <w:p w14:paraId="5954FCB9" w14:textId="47482EF4" w:rsidR="005437CA" w:rsidRPr="00956117" w:rsidRDefault="005437CA" w:rsidP="005437CA">
            <w:pPr>
              <w:pStyle w:val="TableText"/>
              <w:ind w:right="57"/>
              <w:jc w:val="right"/>
              <w:rPr>
                <w:sz w:val="16"/>
                <w:szCs w:val="18"/>
              </w:rPr>
            </w:pPr>
            <w:r w:rsidRPr="005437CA">
              <w:rPr>
                <w:sz w:val="16"/>
                <w:szCs w:val="18"/>
              </w:rPr>
              <w:t>99.5%</w:t>
            </w:r>
          </w:p>
        </w:tc>
        <w:tc>
          <w:tcPr>
            <w:tcW w:w="1241" w:type="dxa"/>
            <w:tcBorders>
              <w:top w:val="single" w:sz="4" w:space="0" w:color="A6A6A6" w:themeColor="background1" w:themeShade="A6"/>
              <w:left w:val="nil"/>
              <w:bottom w:val="single" w:sz="4" w:space="0" w:color="A6A6A6" w:themeColor="background1" w:themeShade="A6"/>
              <w:right w:val="nil"/>
            </w:tcBorders>
          </w:tcPr>
          <w:p w14:paraId="65105945" w14:textId="70E446EF" w:rsidR="005437CA" w:rsidRPr="00956117" w:rsidRDefault="005437CA" w:rsidP="005437CA">
            <w:pPr>
              <w:pStyle w:val="TableText"/>
              <w:ind w:right="57"/>
              <w:jc w:val="right"/>
              <w:rPr>
                <w:sz w:val="16"/>
                <w:szCs w:val="18"/>
              </w:rPr>
            </w:pPr>
            <w:r w:rsidRPr="00BD423C">
              <w:rPr>
                <w:rFonts w:ascii="Wingdings" w:hAnsi="Wingdings"/>
                <w:spacing w:val="-10"/>
                <w:sz w:val="16"/>
                <w:szCs w:val="18"/>
              </w:rPr>
              <w:t>ü</w:t>
            </w:r>
          </w:p>
        </w:tc>
      </w:tr>
      <w:tr w:rsidR="005437CA" w14:paraId="6FB526B5" w14:textId="77777777" w:rsidTr="005437CA">
        <w:tc>
          <w:tcPr>
            <w:tcW w:w="3119" w:type="dxa"/>
            <w:tcBorders>
              <w:top w:val="single" w:sz="4" w:space="0" w:color="A6A6A6" w:themeColor="background1" w:themeShade="A6"/>
              <w:left w:val="nil"/>
              <w:bottom w:val="single" w:sz="4" w:space="0" w:color="A6A6A6" w:themeColor="background1" w:themeShade="A6"/>
              <w:right w:val="nil"/>
            </w:tcBorders>
          </w:tcPr>
          <w:p w14:paraId="39660300" w14:textId="311DEB79" w:rsidR="005437CA" w:rsidRPr="00956117" w:rsidRDefault="005437CA" w:rsidP="005437CA">
            <w:pPr>
              <w:pStyle w:val="TableText"/>
              <w:rPr>
                <w:sz w:val="16"/>
                <w:szCs w:val="18"/>
              </w:rPr>
            </w:pPr>
            <w:r w:rsidRPr="005437CA">
              <w:rPr>
                <w:sz w:val="16"/>
                <w:szCs w:val="18"/>
              </w:rPr>
              <w:t>Percentage of Written Parliamentary</w:t>
            </w:r>
            <w:r>
              <w:rPr>
                <w:sz w:val="16"/>
                <w:szCs w:val="18"/>
              </w:rPr>
              <w:t xml:space="preserve"> </w:t>
            </w:r>
            <w:r w:rsidRPr="005437CA">
              <w:rPr>
                <w:sz w:val="16"/>
                <w:szCs w:val="18"/>
              </w:rPr>
              <w:t>Question responses provided to the</w:t>
            </w:r>
            <w:r>
              <w:rPr>
                <w:sz w:val="16"/>
                <w:szCs w:val="18"/>
              </w:rPr>
              <w:t xml:space="preserve"> </w:t>
            </w:r>
            <w:r w:rsidRPr="005437CA">
              <w:rPr>
                <w:sz w:val="16"/>
                <w:szCs w:val="18"/>
              </w:rPr>
              <w:t>Minister within agreed timeframes</w:t>
            </w:r>
          </w:p>
        </w:tc>
        <w:tc>
          <w:tcPr>
            <w:tcW w:w="1417" w:type="dxa"/>
            <w:tcBorders>
              <w:top w:val="single" w:sz="4" w:space="0" w:color="A6A6A6" w:themeColor="background1" w:themeShade="A6"/>
              <w:left w:val="nil"/>
              <w:bottom w:val="single" w:sz="4" w:space="0" w:color="A6A6A6" w:themeColor="background1" w:themeShade="A6"/>
              <w:right w:val="nil"/>
            </w:tcBorders>
          </w:tcPr>
          <w:p w14:paraId="198DF5A3" w14:textId="1688C659" w:rsidR="005437CA" w:rsidRPr="00956117" w:rsidRDefault="005437CA" w:rsidP="005437CA">
            <w:pPr>
              <w:pStyle w:val="TableText"/>
              <w:ind w:right="57"/>
              <w:jc w:val="right"/>
              <w:rPr>
                <w:spacing w:val="-2"/>
                <w:w w:val="105"/>
                <w:sz w:val="16"/>
                <w:szCs w:val="18"/>
              </w:rPr>
            </w:pPr>
            <w:r w:rsidRPr="005437CA">
              <w:rPr>
                <w:spacing w:val="-2"/>
                <w:w w:val="105"/>
                <w:sz w:val="16"/>
                <w:szCs w:val="18"/>
              </w:rPr>
              <w:t>99.7%</w:t>
            </w:r>
          </w:p>
        </w:tc>
        <w:tc>
          <w:tcPr>
            <w:tcW w:w="1240" w:type="dxa"/>
            <w:tcBorders>
              <w:top w:val="single" w:sz="4" w:space="0" w:color="A6A6A6" w:themeColor="background1" w:themeShade="A6"/>
              <w:left w:val="nil"/>
              <w:bottom w:val="single" w:sz="4" w:space="0" w:color="A6A6A6" w:themeColor="background1" w:themeShade="A6"/>
              <w:right w:val="nil"/>
            </w:tcBorders>
          </w:tcPr>
          <w:p w14:paraId="7615317F" w14:textId="2E004727" w:rsidR="005437CA" w:rsidRPr="00956117" w:rsidRDefault="005437CA" w:rsidP="005437CA">
            <w:pPr>
              <w:pStyle w:val="TableText"/>
              <w:ind w:right="57"/>
              <w:jc w:val="right"/>
              <w:rPr>
                <w:sz w:val="16"/>
                <w:szCs w:val="18"/>
              </w:rPr>
            </w:pPr>
            <w:r w:rsidRPr="005437CA">
              <w:rPr>
                <w:sz w:val="16"/>
                <w:szCs w:val="18"/>
              </w:rPr>
              <w:t>95%</w:t>
            </w:r>
          </w:p>
        </w:tc>
        <w:tc>
          <w:tcPr>
            <w:tcW w:w="1240" w:type="dxa"/>
            <w:tcBorders>
              <w:top w:val="single" w:sz="4" w:space="0" w:color="A6A6A6" w:themeColor="background1" w:themeShade="A6"/>
              <w:left w:val="nil"/>
              <w:bottom w:val="single" w:sz="4" w:space="0" w:color="A6A6A6" w:themeColor="background1" w:themeShade="A6"/>
              <w:right w:val="nil"/>
            </w:tcBorders>
          </w:tcPr>
          <w:p w14:paraId="2618D9B0" w14:textId="6BC4930F" w:rsidR="005437CA" w:rsidRPr="00956117" w:rsidRDefault="005437CA" w:rsidP="005437CA">
            <w:pPr>
              <w:pStyle w:val="TableText"/>
              <w:ind w:right="57"/>
              <w:jc w:val="right"/>
              <w:rPr>
                <w:sz w:val="16"/>
                <w:szCs w:val="18"/>
              </w:rPr>
            </w:pPr>
            <w:r w:rsidRPr="005437CA">
              <w:rPr>
                <w:sz w:val="16"/>
                <w:szCs w:val="18"/>
              </w:rPr>
              <w:t>99.7%</w:t>
            </w:r>
          </w:p>
        </w:tc>
        <w:tc>
          <w:tcPr>
            <w:tcW w:w="1241" w:type="dxa"/>
            <w:tcBorders>
              <w:top w:val="single" w:sz="4" w:space="0" w:color="A6A6A6" w:themeColor="background1" w:themeShade="A6"/>
              <w:left w:val="nil"/>
              <w:bottom w:val="single" w:sz="4" w:space="0" w:color="A6A6A6" w:themeColor="background1" w:themeShade="A6"/>
              <w:right w:val="nil"/>
            </w:tcBorders>
          </w:tcPr>
          <w:p w14:paraId="2263F4DA" w14:textId="00823331" w:rsidR="005437CA" w:rsidRPr="00956117" w:rsidRDefault="005437CA" w:rsidP="005437CA">
            <w:pPr>
              <w:pStyle w:val="TableText"/>
              <w:ind w:right="57"/>
              <w:jc w:val="right"/>
              <w:rPr>
                <w:sz w:val="16"/>
                <w:szCs w:val="18"/>
              </w:rPr>
            </w:pPr>
            <w:r w:rsidRPr="00BD423C">
              <w:rPr>
                <w:rFonts w:ascii="Wingdings" w:hAnsi="Wingdings"/>
                <w:spacing w:val="-10"/>
                <w:sz w:val="16"/>
                <w:szCs w:val="18"/>
              </w:rPr>
              <w:t>ü</w:t>
            </w:r>
          </w:p>
        </w:tc>
      </w:tr>
      <w:tr w:rsidR="005437CA" w14:paraId="6C8F1781" w14:textId="77777777" w:rsidTr="005437CA">
        <w:tc>
          <w:tcPr>
            <w:tcW w:w="3119" w:type="dxa"/>
            <w:tcBorders>
              <w:top w:val="single" w:sz="4" w:space="0" w:color="A6A6A6" w:themeColor="background1" w:themeShade="A6"/>
              <w:left w:val="nil"/>
              <w:bottom w:val="single" w:sz="4" w:space="0" w:color="A6A6A6" w:themeColor="background1" w:themeShade="A6"/>
              <w:right w:val="nil"/>
            </w:tcBorders>
          </w:tcPr>
          <w:p w14:paraId="139AF3F4" w14:textId="45EB3006" w:rsidR="005437CA" w:rsidRPr="00956117" w:rsidRDefault="005437CA" w:rsidP="005437CA">
            <w:pPr>
              <w:pStyle w:val="TableText"/>
              <w:rPr>
                <w:sz w:val="16"/>
                <w:szCs w:val="18"/>
              </w:rPr>
            </w:pPr>
            <w:r w:rsidRPr="005437CA">
              <w:rPr>
                <w:sz w:val="16"/>
                <w:szCs w:val="18"/>
              </w:rPr>
              <w:t>Percentage of Ministerial Official</w:t>
            </w:r>
            <w:r>
              <w:rPr>
                <w:sz w:val="16"/>
                <w:szCs w:val="18"/>
              </w:rPr>
              <w:t xml:space="preserve"> </w:t>
            </w:r>
            <w:r w:rsidRPr="005437CA">
              <w:rPr>
                <w:sz w:val="16"/>
                <w:szCs w:val="18"/>
              </w:rPr>
              <w:t>Information Act 1982 request</w:t>
            </w:r>
            <w:r>
              <w:rPr>
                <w:sz w:val="16"/>
                <w:szCs w:val="18"/>
              </w:rPr>
              <w:t xml:space="preserve"> </w:t>
            </w:r>
            <w:r w:rsidRPr="005437CA">
              <w:rPr>
                <w:sz w:val="16"/>
                <w:szCs w:val="18"/>
              </w:rPr>
              <w:t>responses provided to the Minister</w:t>
            </w:r>
            <w:r>
              <w:rPr>
                <w:sz w:val="16"/>
                <w:szCs w:val="18"/>
              </w:rPr>
              <w:t xml:space="preserve"> </w:t>
            </w:r>
            <w:r w:rsidRPr="005437CA">
              <w:rPr>
                <w:sz w:val="16"/>
                <w:szCs w:val="18"/>
              </w:rPr>
              <w:t>within agreed timeframes.</w:t>
            </w:r>
          </w:p>
        </w:tc>
        <w:tc>
          <w:tcPr>
            <w:tcW w:w="1417" w:type="dxa"/>
            <w:tcBorders>
              <w:top w:val="single" w:sz="4" w:space="0" w:color="A6A6A6" w:themeColor="background1" w:themeShade="A6"/>
              <w:left w:val="nil"/>
              <w:bottom w:val="single" w:sz="4" w:space="0" w:color="A6A6A6" w:themeColor="background1" w:themeShade="A6"/>
              <w:right w:val="nil"/>
            </w:tcBorders>
          </w:tcPr>
          <w:p w14:paraId="64F63A5C" w14:textId="0BAEC765" w:rsidR="005437CA" w:rsidRPr="00956117" w:rsidRDefault="005437CA" w:rsidP="005437CA">
            <w:pPr>
              <w:pStyle w:val="TableText"/>
              <w:ind w:right="57"/>
              <w:jc w:val="right"/>
              <w:rPr>
                <w:spacing w:val="-2"/>
                <w:w w:val="105"/>
                <w:sz w:val="16"/>
                <w:szCs w:val="18"/>
              </w:rPr>
            </w:pPr>
            <w:r w:rsidRPr="005437CA">
              <w:rPr>
                <w:spacing w:val="-2"/>
                <w:w w:val="105"/>
                <w:sz w:val="16"/>
                <w:szCs w:val="18"/>
              </w:rPr>
              <w:t>98.59%</w:t>
            </w:r>
          </w:p>
        </w:tc>
        <w:tc>
          <w:tcPr>
            <w:tcW w:w="1240" w:type="dxa"/>
            <w:tcBorders>
              <w:top w:val="single" w:sz="4" w:space="0" w:color="A6A6A6" w:themeColor="background1" w:themeShade="A6"/>
              <w:left w:val="nil"/>
              <w:bottom w:val="single" w:sz="4" w:space="0" w:color="A6A6A6" w:themeColor="background1" w:themeShade="A6"/>
              <w:right w:val="nil"/>
            </w:tcBorders>
          </w:tcPr>
          <w:p w14:paraId="5529C37F" w14:textId="402A4EEA" w:rsidR="005437CA" w:rsidRPr="00956117" w:rsidRDefault="005437CA" w:rsidP="005437CA">
            <w:pPr>
              <w:pStyle w:val="TableText"/>
              <w:ind w:right="57"/>
              <w:jc w:val="right"/>
              <w:rPr>
                <w:sz w:val="16"/>
                <w:szCs w:val="18"/>
              </w:rPr>
            </w:pPr>
            <w:r w:rsidRPr="005437CA">
              <w:rPr>
                <w:sz w:val="16"/>
                <w:szCs w:val="18"/>
              </w:rPr>
              <w:t>95%</w:t>
            </w:r>
          </w:p>
        </w:tc>
        <w:tc>
          <w:tcPr>
            <w:tcW w:w="1240" w:type="dxa"/>
            <w:tcBorders>
              <w:top w:val="single" w:sz="4" w:space="0" w:color="A6A6A6" w:themeColor="background1" w:themeShade="A6"/>
              <w:left w:val="nil"/>
              <w:bottom w:val="single" w:sz="4" w:space="0" w:color="A6A6A6" w:themeColor="background1" w:themeShade="A6"/>
              <w:right w:val="nil"/>
            </w:tcBorders>
          </w:tcPr>
          <w:p w14:paraId="3E3DC471" w14:textId="724E1177" w:rsidR="005437CA" w:rsidRPr="00956117" w:rsidRDefault="005437CA" w:rsidP="005437CA">
            <w:pPr>
              <w:pStyle w:val="TableText"/>
              <w:ind w:right="57"/>
              <w:jc w:val="right"/>
              <w:rPr>
                <w:sz w:val="16"/>
                <w:szCs w:val="18"/>
              </w:rPr>
            </w:pPr>
            <w:r w:rsidRPr="005437CA">
              <w:rPr>
                <w:sz w:val="16"/>
                <w:szCs w:val="18"/>
              </w:rPr>
              <w:t>99.4%</w:t>
            </w:r>
          </w:p>
        </w:tc>
        <w:tc>
          <w:tcPr>
            <w:tcW w:w="1241" w:type="dxa"/>
            <w:tcBorders>
              <w:top w:val="single" w:sz="4" w:space="0" w:color="A6A6A6" w:themeColor="background1" w:themeShade="A6"/>
              <w:left w:val="nil"/>
              <w:bottom w:val="single" w:sz="4" w:space="0" w:color="A6A6A6" w:themeColor="background1" w:themeShade="A6"/>
              <w:right w:val="nil"/>
            </w:tcBorders>
          </w:tcPr>
          <w:p w14:paraId="1276A470" w14:textId="1DF295BA" w:rsidR="005437CA" w:rsidRPr="00956117" w:rsidRDefault="005437CA" w:rsidP="005437CA">
            <w:pPr>
              <w:pStyle w:val="TableText"/>
              <w:ind w:right="57"/>
              <w:jc w:val="right"/>
              <w:rPr>
                <w:sz w:val="16"/>
                <w:szCs w:val="18"/>
              </w:rPr>
            </w:pPr>
            <w:r w:rsidRPr="00BD423C">
              <w:rPr>
                <w:rFonts w:ascii="Wingdings" w:hAnsi="Wingdings"/>
                <w:spacing w:val="-10"/>
                <w:sz w:val="16"/>
                <w:szCs w:val="18"/>
              </w:rPr>
              <w:t>ü</w:t>
            </w:r>
          </w:p>
        </w:tc>
      </w:tr>
      <w:tr w:rsidR="005437CA" w14:paraId="7EB14B7B" w14:textId="77777777" w:rsidTr="005437CA">
        <w:tc>
          <w:tcPr>
            <w:tcW w:w="3119" w:type="dxa"/>
            <w:tcBorders>
              <w:top w:val="single" w:sz="4" w:space="0" w:color="A6A6A6" w:themeColor="background1" w:themeShade="A6"/>
              <w:left w:val="nil"/>
              <w:bottom w:val="single" w:sz="4" w:space="0" w:color="A6A6A6" w:themeColor="background1" w:themeShade="A6"/>
              <w:right w:val="nil"/>
            </w:tcBorders>
          </w:tcPr>
          <w:p w14:paraId="4885A041" w14:textId="7BF1AFEB" w:rsidR="005437CA" w:rsidRPr="00956117" w:rsidRDefault="005437CA" w:rsidP="005437CA">
            <w:pPr>
              <w:pStyle w:val="TableText"/>
              <w:rPr>
                <w:sz w:val="16"/>
                <w:szCs w:val="18"/>
              </w:rPr>
            </w:pPr>
            <w:r w:rsidRPr="005437CA">
              <w:rPr>
                <w:sz w:val="16"/>
                <w:szCs w:val="18"/>
              </w:rPr>
              <w:t>Percentage of Ministerial Letter</w:t>
            </w:r>
            <w:r>
              <w:rPr>
                <w:sz w:val="16"/>
                <w:szCs w:val="18"/>
              </w:rPr>
              <w:t xml:space="preserve"> </w:t>
            </w:r>
            <w:r w:rsidRPr="005437CA">
              <w:rPr>
                <w:sz w:val="16"/>
                <w:szCs w:val="18"/>
              </w:rPr>
              <w:t>responses provided to the Minister</w:t>
            </w:r>
            <w:r>
              <w:rPr>
                <w:sz w:val="16"/>
                <w:szCs w:val="18"/>
              </w:rPr>
              <w:t xml:space="preserve"> </w:t>
            </w:r>
            <w:r w:rsidRPr="005437CA">
              <w:rPr>
                <w:sz w:val="16"/>
                <w:szCs w:val="18"/>
              </w:rPr>
              <w:t>that required no [substantive]</w:t>
            </w:r>
            <w:r>
              <w:rPr>
                <w:sz w:val="16"/>
                <w:szCs w:val="18"/>
              </w:rPr>
              <w:t xml:space="preserve"> </w:t>
            </w:r>
            <w:r w:rsidRPr="005437CA">
              <w:rPr>
                <w:sz w:val="16"/>
                <w:szCs w:val="18"/>
              </w:rPr>
              <w:t>amendments.</w:t>
            </w:r>
          </w:p>
        </w:tc>
        <w:tc>
          <w:tcPr>
            <w:tcW w:w="1417" w:type="dxa"/>
            <w:tcBorders>
              <w:top w:val="single" w:sz="4" w:space="0" w:color="A6A6A6" w:themeColor="background1" w:themeShade="A6"/>
              <w:left w:val="nil"/>
              <w:bottom w:val="single" w:sz="4" w:space="0" w:color="A6A6A6" w:themeColor="background1" w:themeShade="A6"/>
              <w:right w:val="nil"/>
            </w:tcBorders>
          </w:tcPr>
          <w:p w14:paraId="4961C923" w14:textId="5C642B8B" w:rsidR="005437CA" w:rsidRPr="00956117" w:rsidRDefault="005437CA" w:rsidP="005437CA">
            <w:pPr>
              <w:pStyle w:val="TableText"/>
              <w:ind w:right="57"/>
              <w:jc w:val="right"/>
              <w:rPr>
                <w:spacing w:val="-2"/>
                <w:w w:val="105"/>
                <w:sz w:val="16"/>
                <w:szCs w:val="18"/>
              </w:rPr>
            </w:pPr>
            <w:r w:rsidRPr="005437CA">
              <w:rPr>
                <w:spacing w:val="-2"/>
                <w:w w:val="105"/>
                <w:sz w:val="16"/>
                <w:szCs w:val="18"/>
              </w:rPr>
              <w:t>99.85%</w:t>
            </w:r>
          </w:p>
        </w:tc>
        <w:tc>
          <w:tcPr>
            <w:tcW w:w="1240" w:type="dxa"/>
            <w:tcBorders>
              <w:top w:val="single" w:sz="4" w:space="0" w:color="A6A6A6" w:themeColor="background1" w:themeShade="A6"/>
              <w:left w:val="nil"/>
              <w:bottom w:val="single" w:sz="4" w:space="0" w:color="A6A6A6" w:themeColor="background1" w:themeShade="A6"/>
              <w:right w:val="nil"/>
            </w:tcBorders>
          </w:tcPr>
          <w:p w14:paraId="476E104B" w14:textId="32222F8A" w:rsidR="005437CA" w:rsidRPr="00956117" w:rsidRDefault="005437CA" w:rsidP="005437CA">
            <w:pPr>
              <w:pStyle w:val="TableText"/>
              <w:ind w:right="57"/>
              <w:jc w:val="right"/>
              <w:rPr>
                <w:sz w:val="16"/>
                <w:szCs w:val="18"/>
              </w:rPr>
            </w:pPr>
            <w:r w:rsidRPr="005437CA">
              <w:rPr>
                <w:sz w:val="16"/>
                <w:szCs w:val="18"/>
              </w:rPr>
              <w:t>95%</w:t>
            </w:r>
          </w:p>
        </w:tc>
        <w:tc>
          <w:tcPr>
            <w:tcW w:w="1240" w:type="dxa"/>
            <w:tcBorders>
              <w:top w:val="single" w:sz="4" w:space="0" w:color="A6A6A6" w:themeColor="background1" w:themeShade="A6"/>
              <w:left w:val="nil"/>
              <w:bottom w:val="single" w:sz="4" w:space="0" w:color="A6A6A6" w:themeColor="background1" w:themeShade="A6"/>
              <w:right w:val="nil"/>
            </w:tcBorders>
          </w:tcPr>
          <w:p w14:paraId="6473D926" w14:textId="2304492C" w:rsidR="005437CA" w:rsidRPr="00956117" w:rsidRDefault="005437CA" w:rsidP="005437CA">
            <w:pPr>
              <w:pStyle w:val="TableText"/>
              <w:ind w:right="57"/>
              <w:jc w:val="right"/>
              <w:rPr>
                <w:sz w:val="16"/>
                <w:szCs w:val="18"/>
              </w:rPr>
            </w:pPr>
            <w:r w:rsidRPr="005437CA">
              <w:rPr>
                <w:sz w:val="16"/>
                <w:szCs w:val="18"/>
              </w:rPr>
              <w:t>100%</w:t>
            </w:r>
          </w:p>
        </w:tc>
        <w:tc>
          <w:tcPr>
            <w:tcW w:w="1241" w:type="dxa"/>
            <w:tcBorders>
              <w:top w:val="single" w:sz="4" w:space="0" w:color="A6A6A6" w:themeColor="background1" w:themeShade="A6"/>
              <w:left w:val="nil"/>
              <w:bottom w:val="single" w:sz="4" w:space="0" w:color="A6A6A6" w:themeColor="background1" w:themeShade="A6"/>
              <w:right w:val="nil"/>
            </w:tcBorders>
          </w:tcPr>
          <w:p w14:paraId="4B5E60B8" w14:textId="7E66B983" w:rsidR="005437CA" w:rsidRPr="00956117" w:rsidRDefault="005437CA" w:rsidP="005437CA">
            <w:pPr>
              <w:pStyle w:val="TableText"/>
              <w:ind w:right="57"/>
              <w:jc w:val="right"/>
              <w:rPr>
                <w:sz w:val="16"/>
                <w:szCs w:val="18"/>
              </w:rPr>
            </w:pPr>
            <w:r w:rsidRPr="00BD423C">
              <w:rPr>
                <w:rFonts w:ascii="Wingdings" w:hAnsi="Wingdings"/>
                <w:spacing w:val="-10"/>
                <w:sz w:val="16"/>
                <w:szCs w:val="18"/>
              </w:rPr>
              <w:t>ü</w:t>
            </w:r>
          </w:p>
        </w:tc>
      </w:tr>
      <w:tr w:rsidR="005437CA" w14:paraId="3D645760" w14:textId="77777777" w:rsidTr="005437CA">
        <w:tc>
          <w:tcPr>
            <w:tcW w:w="3119" w:type="dxa"/>
            <w:tcBorders>
              <w:top w:val="single" w:sz="4" w:space="0" w:color="A6A6A6" w:themeColor="background1" w:themeShade="A6"/>
              <w:left w:val="nil"/>
              <w:bottom w:val="single" w:sz="4" w:space="0" w:color="A6A6A6" w:themeColor="background1" w:themeShade="A6"/>
              <w:right w:val="nil"/>
            </w:tcBorders>
          </w:tcPr>
          <w:p w14:paraId="72A9A950" w14:textId="220808B9" w:rsidR="005437CA" w:rsidRPr="00956117" w:rsidRDefault="005437CA" w:rsidP="005437CA">
            <w:pPr>
              <w:pStyle w:val="TableText"/>
              <w:rPr>
                <w:sz w:val="16"/>
                <w:szCs w:val="18"/>
              </w:rPr>
            </w:pPr>
            <w:r w:rsidRPr="005437CA">
              <w:rPr>
                <w:sz w:val="16"/>
                <w:szCs w:val="18"/>
              </w:rPr>
              <w:t>Percentage of Written Parliamentary</w:t>
            </w:r>
            <w:r>
              <w:rPr>
                <w:sz w:val="16"/>
                <w:szCs w:val="18"/>
              </w:rPr>
              <w:t xml:space="preserve"> </w:t>
            </w:r>
            <w:r w:rsidRPr="005437CA">
              <w:rPr>
                <w:sz w:val="16"/>
                <w:szCs w:val="18"/>
              </w:rPr>
              <w:t>Question responses provided</w:t>
            </w:r>
            <w:r>
              <w:rPr>
                <w:sz w:val="16"/>
                <w:szCs w:val="18"/>
              </w:rPr>
              <w:t xml:space="preserve"> </w:t>
            </w:r>
            <w:r w:rsidRPr="005437CA">
              <w:rPr>
                <w:sz w:val="16"/>
                <w:szCs w:val="18"/>
              </w:rPr>
              <w:t>to the Minister that required no</w:t>
            </w:r>
            <w:r>
              <w:rPr>
                <w:sz w:val="16"/>
                <w:szCs w:val="18"/>
              </w:rPr>
              <w:t xml:space="preserve"> </w:t>
            </w:r>
            <w:r w:rsidRPr="005437CA">
              <w:rPr>
                <w:sz w:val="16"/>
                <w:szCs w:val="18"/>
              </w:rPr>
              <w:t>[substantive] amendments.</w:t>
            </w:r>
          </w:p>
        </w:tc>
        <w:tc>
          <w:tcPr>
            <w:tcW w:w="1417" w:type="dxa"/>
            <w:tcBorders>
              <w:top w:val="single" w:sz="4" w:space="0" w:color="A6A6A6" w:themeColor="background1" w:themeShade="A6"/>
              <w:left w:val="nil"/>
              <w:bottom w:val="single" w:sz="4" w:space="0" w:color="A6A6A6" w:themeColor="background1" w:themeShade="A6"/>
              <w:right w:val="nil"/>
            </w:tcBorders>
          </w:tcPr>
          <w:p w14:paraId="71D1572C" w14:textId="43933C64" w:rsidR="005437CA" w:rsidRPr="00956117" w:rsidRDefault="005437CA" w:rsidP="005437CA">
            <w:pPr>
              <w:pStyle w:val="TableText"/>
              <w:ind w:right="57"/>
              <w:jc w:val="right"/>
              <w:rPr>
                <w:sz w:val="16"/>
                <w:szCs w:val="18"/>
              </w:rPr>
            </w:pPr>
            <w:r w:rsidRPr="005437CA">
              <w:rPr>
                <w:sz w:val="16"/>
                <w:szCs w:val="18"/>
              </w:rPr>
              <w:t>100%</w:t>
            </w:r>
          </w:p>
        </w:tc>
        <w:tc>
          <w:tcPr>
            <w:tcW w:w="1240" w:type="dxa"/>
            <w:tcBorders>
              <w:top w:val="single" w:sz="4" w:space="0" w:color="A6A6A6" w:themeColor="background1" w:themeShade="A6"/>
              <w:left w:val="nil"/>
              <w:bottom w:val="single" w:sz="4" w:space="0" w:color="A6A6A6" w:themeColor="background1" w:themeShade="A6"/>
              <w:right w:val="nil"/>
            </w:tcBorders>
          </w:tcPr>
          <w:p w14:paraId="070A2F98" w14:textId="03423E99" w:rsidR="005437CA" w:rsidRPr="00956117" w:rsidRDefault="005437CA" w:rsidP="005437CA">
            <w:pPr>
              <w:pStyle w:val="TableText"/>
              <w:ind w:right="57"/>
              <w:jc w:val="right"/>
              <w:rPr>
                <w:sz w:val="16"/>
                <w:szCs w:val="18"/>
              </w:rPr>
            </w:pPr>
            <w:r w:rsidRPr="005437CA">
              <w:rPr>
                <w:sz w:val="16"/>
                <w:szCs w:val="18"/>
              </w:rPr>
              <w:t>95%</w:t>
            </w:r>
          </w:p>
        </w:tc>
        <w:tc>
          <w:tcPr>
            <w:tcW w:w="1240" w:type="dxa"/>
            <w:tcBorders>
              <w:top w:val="single" w:sz="4" w:space="0" w:color="A6A6A6" w:themeColor="background1" w:themeShade="A6"/>
              <w:left w:val="nil"/>
              <w:bottom w:val="single" w:sz="4" w:space="0" w:color="A6A6A6" w:themeColor="background1" w:themeShade="A6"/>
              <w:right w:val="nil"/>
            </w:tcBorders>
          </w:tcPr>
          <w:p w14:paraId="2CD09065" w14:textId="292F9FB7" w:rsidR="005437CA" w:rsidRPr="00956117" w:rsidRDefault="005437CA" w:rsidP="005437CA">
            <w:pPr>
              <w:pStyle w:val="TableText"/>
              <w:ind w:right="57"/>
              <w:jc w:val="right"/>
              <w:rPr>
                <w:sz w:val="16"/>
                <w:szCs w:val="18"/>
              </w:rPr>
            </w:pPr>
            <w:r w:rsidRPr="005437CA">
              <w:rPr>
                <w:sz w:val="16"/>
                <w:szCs w:val="18"/>
              </w:rPr>
              <w:t>100%</w:t>
            </w:r>
          </w:p>
        </w:tc>
        <w:tc>
          <w:tcPr>
            <w:tcW w:w="1241" w:type="dxa"/>
            <w:tcBorders>
              <w:top w:val="single" w:sz="4" w:space="0" w:color="A6A6A6" w:themeColor="background1" w:themeShade="A6"/>
              <w:left w:val="nil"/>
              <w:bottom w:val="single" w:sz="4" w:space="0" w:color="A6A6A6" w:themeColor="background1" w:themeShade="A6"/>
              <w:right w:val="nil"/>
            </w:tcBorders>
          </w:tcPr>
          <w:p w14:paraId="31E51BB2" w14:textId="45E7E418" w:rsidR="005437CA" w:rsidRPr="00956117" w:rsidRDefault="005437CA" w:rsidP="005437CA">
            <w:pPr>
              <w:pStyle w:val="TableText"/>
              <w:ind w:right="57"/>
              <w:jc w:val="right"/>
              <w:rPr>
                <w:sz w:val="16"/>
                <w:szCs w:val="18"/>
              </w:rPr>
            </w:pPr>
            <w:r w:rsidRPr="00BD423C">
              <w:rPr>
                <w:rFonts w:ascii="Wingdings" w:hAnsi="Wingdings"/>
                <w:spacing w:val="-10"/>
                <w:sz w:val="16"/>
                <w:szCs w:val="18"/>
              </w:rPr>
              <w:t>ü</w:t>
            </w:r>
          </w:p>
        </w:tc>
      </w:tr>
      <w:tr w:rsidR="005437CA" w14:paraId="36CF3733" w14:textId="77777777" w:rsidTr="005437CA">
        <w:tc>
          <w:tcPr>
            <w:tcW w:w="3119" w:type="dxa"/>
            <w:tcBorders>
              <w:top w:val="single" w:sz="4" w:space="0" w:color="A6A6A6" w:themeColor="background1" w:themeShade="A6"/>
              <w:left w:val="nil"/>
              <w:bottom w:val="single" w:sz="4" w:space="0" w:color="A6A6A6" w:themeColor="background1" w:themeShade="A6"/>
              <w:right w:val="nil"/>
            </w:tcBorders>
          </w:tcPr>
          <w:p w14:paraId="102F9B9D" w14:textId="3776EC9A" w:rsidR="005437CA" w:rsidRPr="005437CA" w:rsidRDefault="005437CA" w:rsidP="005437CA">
            <w:pPr>
              <w:pStyle w:val="TableText"/>
              <w:rPr>
                <w:sz w:val="16"/>
                <w:szCs w:val="18"/>
              </w:rPr>
            </w:pPr>
            <w:r w:rsidRPr="005437CA">
              <w:rPr>
                <w:sz w:val="16"/>
                <w:szCs w:val="18"/>
              </w:rPr>
              <w:t xml:space="preserve">Percentage of Ministerial Official </w:t>
            </w:r>
            <w:r>
              <w:rPr>
                <w:sz w:val="16"/>
                <w:szCs w:val="18"/>
              </w:rPr>
              <w:t xml:space="preserve"> </w:t>
            </w:r>
            <w:r w:rsidRPr="005437CA">
              <w:rPr>
                <w:sz w:val="16"/>
                <w:szCs w:val="18"/>
              </w:rPr>
              <w:t>Information Act 1982 request responses provided to the Minister that required no [substantive] amendments.</w:t>
            </w:r>
          </w:p>
        </w:tc>
        <w:tc>
          <w:tcPr>
            <w:tcW w:w="1417" w:type="dxa"/>
            <w:tcBorders>
              <w:top w:val="single" w:sz="4" w:space="0" w:color="A6A6A6" w:themeColor="background1" w:themeShade="A6"/>
              <w:left w:val="nil"/>
              <w:bottom w:val="single" w:sz="4" w:space="0" w:color="A6A6A6" w:themeColor="background1" w:themeShade="A6"/>
              <w:right w:val="nil"/>
            </w:tcBorders>
          </w:tcPr>
          <w:p w14:paraId="0D7185C5" w14:textId="0BF61920" w:rsidR="005437CA" w:rsidRPr="005437CA" w:rsidRDefault="005437CA" w:rsidP="005437CA">
            <w:pPr>
              <w:pStyle w:val="TableText"/>
              <w:ind w:right="57"/>
              <w:jc w:val="right"/>
              <w:rPr>
                <w:sz w:val="16"/>
                <w:szCs w:val="18"/>
              </w:rPr>
            </w:pPr>
            <w:r w:rsidRPr="005437CA">
              <w:rPr>
                <w:sz w:val="16"/>
                <w:szCs w:val="18"/>
              </w:rPr>
              <w:t>100%</w:t>
            </w:r>
          </w:p>
        </w:tc>
        <w:tc>
          <w:tcPr>
            <w:tcW w:w="1240" w:type="dxa"/>
            <w:tcBorders>
              <w:top w:val="single" w:sz="4" w:space="0" w:color="A6A6A6" w:themeColor="background1" w:themeShade="A6"/>
              <w:left w:val="nil"/>
              <w:bottom w:val="single" w:sz="4" w:space="0" w:color="A6A6A6" w:themeColor="background1" w:themeShade="A6"/>
              <w:right w:val="nil"/>
            </w:tcBorders>
          </w:tcPr>
          <w:p w14:paraId="57257EBA" w14:textId="1F683299" w:rsidR="005437CA" w:rsidRPr="00956117" w:rsidRDefault="005437CA" w:rsidP="005437CA">
            <w:pPr>
              <w:pStyle w:val="TableText"/>
              <w:ind w:right="57"/>
              <w:jc w:val="right"/>
              <w:rPr>
                <w:sz w:val="16"/>
                <w:szCs w:val="18"/>
              </w:rPr>
            </w:pPr>
            <w:r w:rsidRPr="005437CA">
              <w:rPr>
                <w:sz w:val="16"/>
                <w:szCs w:val="18"/>
              </w:rPr>
              <w:t>95%</w:t>
            </w:r>
          </w:p>
        </w:tc>
        <w:tc>
          <w:tcPr>
            <w:tcW w:w="1240" w:type="dxa"/>
            <w:tcBorders>
              <w:top w:val="single" w:sz="4" w:space="0" w:color="A6A6A6" w:themeColor="background1" w:themeShade="A6"/>
              <w:left w:val="nil"/>
              <w:bottom w:val="single" w:sz="4" w:space="0" w:color="A6A6A6" w:themeColor="background1" w:themeShade="A6"/>
              <w:right w:val="nil"/>
            </w:tcBorders>
          </w:tcPr>
          <w:p w14:paraId="547B8D32" w14:textId="240E5F53" w:rsidR="005437CA" w:rsidRPr="00956117" w:rsidRDefault="005437CA" w:rsidP="005437CA">
            <w:pPr>
              <w:pStyle w:val="TableText"/>
              <w:ind w:right="57"/>
              <w:jc w:val="right"/>
              <w:rPr>
                <w:sz w:val="16"/>
                <w:szCs w:val="18"/>
              </w:rPr>
            </w:pPr>
            <w:r w:rsidRPr="005437CA">
              <w:rPr>
                <w:sz w:val="16"/>
                <w:szCs w:val="18"/>
              </w:rPr>
              <w:t>100%</w:t>
            </w:r>
          </w:p>
        </w:tc>
        <w:tc>
          <w:tcPr>
            <w:tcW w:w="1241" w:type="dxa"/>
            <w:tcBorders>
              <w:top w:val="single" w:sz="4" w:space="0" w:color="A6A6A6" w:themeColor="background1" w:themeShade="A6"/>
              <w:left w:val="nil"/>
              <w:bottom w:val="single" w:sz="4" w:space="0" w:color="A6A6A6" w:themeColor="background1" w:themeShade="A6"/>
              <w:right w:val="nil"/>
            </w:tcBorders>
          </w:tcPr>
          <w:p w14:paraId="22E49906" w14:textId="6C263493" w:rsidR="005437CA" w:rsidRPr="00956117" w:rsidRDefault="005437CA" w:rsidP="005437CA">
            <w:pPr>
              <w:pStyle w:val="TableText"/>
              <w:ind w:right="57"/>
              <w:jc w:val="right"/>
              <w:rPr>
                <w:sz w:val="16"/>
                <w:szCs w:val="18"/>
              </w:rPr>
            </w:pPr>
            <w:r w:rsidRPr="00BD423C">
              <w:rPr>
                <w:rFonts w:ascii="Wingdings" w:hAnsi="Wingdings"/>
                <w:spacing w:val="-10"/>
                <w:sz w:val="16"/>
                <w:szCs w:val="18"/>
              </w:rPr>
              <w:t>ü</w:t>
            </w:r>
          </w:p>
        </w:tc>
      </w:tr>
      <w:tr w:rsidR="005437CA" w14:paraId="7ABD7C1D" w14:textId="77777777" w:rsidTr="005437CA">
        <w:tc>
          <w:tcPr>
            <w:tcW w:w="3119" w:type="dxa"/>
            <w:tcBorders>
              <w:top w:val="single" w:sz="4" w:space="0" w:color="A6A6A6" w:themeColor="background1" w:themeShade="A6"/>
              <w:left w:val="nil"/>
              <w:bottom w:val="single" w:sz="4" w:space="0" w:color="A6A6A6" w:themeColor="background1" w:themeShade="A6"/>
              <w:right w:val="nil"/>
            </w:tcBorders>
          </w:tcPr>
          <w:p w14:paraId="4E941AD2" w14:textId="7215F5E2" w:rsidR="005437CA" w:rsidRPr="00956117" w:rsidRDefault="005437CA" w:rsidP="005437CA">
            <w:pPr>
              <w:pStyle w:val="TableText"/>
              <w:rPr>
                <w:sz w:val="16"/>
                <w:szCs w:val="18"/>
              </w:rPr>
            </w:pPr>
            <w:r w:rsidRPr="005437CA">
              <w:rPr>
                <w:sz w:val="16"/>
                <w:szCs w:val="18"/>
              </w:rPr>
              <w:t>Average score attained from a</w:t>
            </w:r>
            <w:r>
              <w:rPr>
                <w:sz w:val="16"/>
                <w:szCs w:val="18"/>
              </w:rPr>
              <w:t xml:space="preserve"> </w:t>
            </w:r>
            <w:r w:rsidRPr="005437CA">
              <w:rPr>
                <w:sz w:val="16"/>
                <w:szCs w:val="18"/>
              </w:rPr>
              <w:t>sample of the Ministry’s written</w:t>
            </w:r>
            <w:r>
              <w:rPr>
                <w:sz w:val="16"/>
                <w:szCs w:val="18"/>
              </w:rPr>
              <w:t xml:space="preserve"> </w:t>
            </w:r>
            <w:r w:rsidRPr="005437CA">
              <w:rPr>
                <w:sz w:val="16"/>
                <w:szCs w:val="18"/>
              </w:rPr>
              <w:t>policy advice as assessed using the</w:t>
            </w:r>
            <w:r>
              <w:rPr>
                <w:sz w:val="16"/>
                <w:szCs w:val="18"/>
              </w:rPr>
              <w:t xml:space="preserve"> </w:t>
            </w:r>
            <w:r w:rsidRPr="005437CA">
              <w:rPr>
                <w:sz w:val="16"/>
                <w:szCs w:val="18"/>
              </w:rPr>
              <w:t>agreed DPMC Framework</w:t>
            </w:r>
            <w:r>
              <w:rPr>
                <w:rStyle w:val="FootnoteReference"/>
                <w:sz w:val="16"/>
                <w:szCs w:val="18"/>
              </w:rPr>
              <w:footnoteReference w:id="45"/>
            </w:r>
          </w:p>
        </w:tc>
        <w:tc>
          <w:tcPr>
            <w:tcW w:w="1417" w:type="dxa"/>
            <w:tcBorders>
              <w:top w:val="single" w:sz="4" w:space="0" w:color="A6A6A6" w:themeColor="background1" w:themeShade="A6"/>
              <w:left w:val="nil"/>
              <w:bottom w:val="single" w:sz="4" w:space="0" w:color="A6A6A6" w:themeColor="background1" w:themeShade="A6"/>
              <w:right w:val="nil"/>
            </w:tcBorders>
          </w:tcPr>
          <w:p w14:paraId="22D5D79D" w14:textId="7B2E9F09" w:rsidR="005437CA" w:rsidRPr="00956117" w:rsidRDefault="005437CA" w:rsidP="005437CA">
            <w:pPr>
              <w:pStyle w:val="TableText"/>
              <w:ind w:right="57"/>
              <w:jc w:val="right"/>
              <w:rPr>
                <w:sz w:val="16"/>
                <w:szCs w:val="18"/>
              </w:rPr>
            </w:pPr>
            <w:r w:rsidRPr="005437CA">
              <w:rPr>
                <w:sz w:val="16"/>
                <w:szCs w:val="18"/>
              </w:rPr>
              <w:t>3.48</w:t>
            </w:r>
          </w:p>
        </w:tc>
        <w:tc>
          <w:tcPr>
            <w:tcW w:w="1240" w:type="dxa"/>
            <w:tcBorders>
              <w:top w:val="single" w:sz="4" w:space="0" w:color="A6A6A6" w:themeColor="background1" w:themeShade="A6"/>
              <w:left w:val="nil"/>
              <w:bottom w:val="single" w:sz="4" w:space="0" w:color="A6A6A6" w:themeColor="background1" w:themeShade="A6"/>
              <w:right w:val="nil"/>
            </w:tcBorders>
          </w:tcPr>
          <w:p w14:paraId="00BD560A" w14:textId="47DE67D4" w:rsidR="005437CA" w:rsidRPr="00956117" w:rsidRDefault="005437CA" w:rsidP="005437CA">
            <w:pPr>
              <w:pStyle w:val="TableText"/>
              <w:ind w:right="57"/>
              <w:jc w:val="right"/>
              <w:rPr>
                <w:spacing w:val="-2"/>
                <w:w w:val="105"/>
                <w:sz w:val="16"/>
                <w:szCs w:val="18"/>
              </w:rPr>
            </w:pPr>
            <w:r w:rsidRPr="005437CA">
              <w:rPr>
                <w:spacing w:val="-2"/>
                <w:w w:val="105"/>
                <w:sz w:val="16"/>
                <w:szCs w:val="18"/>
              </w:rPr>
              <w:t>Greater than 3.2 out of 5</w:t>
            </w:r>
          </w:p>
        </w:tc>
        <w:tc>
          <w:tcPr>
            <w:tcW w:w="1240" w:type="dxa"/>
            <w:tcBorders>
              <w:top w:val="single" w:sz="4" w:space="0" w:color="A6A6A6" w:themeColor="background1" w:themeShade="A6"/>
              <w:left w:val="nil"/>
              <w:bottom w:val="single" w:sz="4" w:space="0" w:color="A6A6A6" w:themeColor="background1" w:themeShade="A6"/>
              <w:right w:val="nil"/>
            </w:tcBorders>
          </w:tcPr>
          <w:p w14:paraId="7A9A735A" w14:textId="745D5AB1" w:rsidR="005437CA" w:rsidRPr="00956117" w:rsidRDefault="005437CA" w:rsidP="005437CA">
            <w:pPr>
              <w:pStyle w:val="TableText"/>
              <w:ind w:right="57"/>
              <w:jc w:val="right"/>
              <w:rPr>
                <w:spacing w:val="-2"/>
                <w:sz w:val="16"/>
                <w:szCs w:val="18"/>
              </w:rPr>
            </w:pPr>
            <w:r w:rsidRPr="005437CA">
              <w:rPr>
                <w:spacing w:val="-2"/>
                <w:sz w:val="16"/>
                <w:szCs w:val="18"/>
              </w:rPr>
              <w:t>3.55</w:t>
            </w:r>
          </w:p>
        </w:tc>
        <w:tc>
          <w:tcPr>
            <w:tcW w:w="1241" w:type="dxa"/>
            <w:tcBorders>
              <w:top w:val="single" w:sz="4" w:space="0" w:color="A6A6A6" w:themeColor="background1" w:themeShade="A6"/>
              <w:left w:val="nil"/>
              <w:bottom w:val="single" w:sz="4" w:space="0" w:color="A6A6A6" w:themeColor="background1" w:themeShade="A6"/>
              <w:right w:val="nil"/>
            </w:tcBorders>
          </w:tcPr>
          <w:p w14:paraId="12484CF8" w14:textId="10BBCCAA" w:rsidR="005437CA" w:rsidRPr="00956117" w:rsidRDefault="005437CA" w:rsidP="005437CA">
            <w:pPr>
              <w:pStyle w:val="TableText"/>
              <w:ind w:right="57"/>
              <w:jc w:val="right"/>
              <w:rPr>
                <w:rFonts w:ascii="Wingdings" w:hAnsi="Wingdings"/>
                <w:spacing w:val="-10"/>
                <w:sz w:val="16"/>
                <w:szCs w:val="18"/>
              </w:rPr>
            </w:pPr>
            <w:r w:rsidRPr="00BD423C">
              <w:rPr>
                <w:rFonts w:ascii="Wingdings" w:hAnsi="Wingdings"/>
                <w:spacing w:val="-10"/>
                <w:sz w:val="16"/>
                <w:szCs w:val="18"/>
              </w:rPr>
              <w:t>ü</w:t>
            </w:r>
          </w:p>
        </w:tc>
      </w:tr>
      <w:tr w:rsidR="005437CA" w14:paraId="266BDE28" w14:textId="77777777" w:rsidTr="005437CA">
        <w:tc>
          <w:tcPr>
            <w:tcW w:w="3119" w:type="dxa"/>
            <w:tcBorders>
              <w:top w:val="single" w:sz="4" w:space="0" w:color="A6A6A6" w:themeColor="background1" w:themeShade="A6"/>
              <w:left w:val="nil"/>
              <w:bottom w:val="single" w:sz="4" w:space="0" w:color="A6A6A6" w:themeColor="background1" w:themeShade="A6"/>
              <w:right w:val="nil"/>
            </w:tcBorders>
          </w:tcPr>
          <w:p w14:paraId="77E8EA27" w14:textId="46665060" w:rsidR="005437CA" w:rsidRPr="00956117" w:rsidRDefault="005437CA" w:rsidP="005437CA">
            <w:pPr>
              <w:pStyle w:val="TableText"/>
              <w:rPr>
                <w:sz w:val="16"/>
                <w:szCs w:val="18"/>
              </w:rPr>
            </w:pPr>
            <w:r w:rsidRPr="005437CA">
              <w:rPr>
                <w:sz w:val="16"/>
                <w:szCs w:val="18"/>
              </w:rPr>
              <w:t>Ministerial satisfaction with the</w:t>
            </w:r>
            <w:r>
              <w:rPr>
                <w:sz w:val="16"/>
                <w:szCs w:val="18"/>
              </w:rPr>
              <w:t xml:space="preserve"> </w:t>
            </w:r>
            <w:r w:rsidRPr="005437CA">
              <w:rPr>
                <w:sz w:val="16"/>
                <w:szCs w:val="18"/>
              </w:rPr>
              <w:t>policy advice service</w:t>
            </w:r>
          </w:p>
        </w:tc>
        <w:tc>
          <w:tcPr>
            <w:tcW w:w="1417" w:type="dxa"/>
            <w:tcBorders>
              <w:top w:val="single" w:sz="4" w:space="0" w:color="A6A6A6" w:themeColor="background1" w:themeShade="A6"/>
              <w:left w:val="nil"/>
              <w:bottom w:val="single" w:sz="4" w:space="0" w:color="A6A6A6" w:themeColor="background1" w:themeShade="A6"/>
              <w:right w:val="nil"/>
            </w:tcBorders>
          </w:tcPr>
          <w:p w14:paraId="3D6BD4D3" w14:textId="3B50E742" w:rsidR="005437CA" w:rsidRPr="00956117" w:rsidRDefault="005437CA" w:rsidP="005437CA">
            <w:pPr>
              <w:pStyle w:val="TableText"/>
              <w:ind w:right="57"/>
              <w:jc w:val="right"/>
              <w:rPr>
                <w:sz w:val="16"/>
                <w:szCs w:val="18"/>
              </w:rPr>
            </w:pPr>
            <w:r w:rsidRPr="005437CA">
              <w:rPr>
                <w:sz w:val="16"/>
                <w:szCs w:val="18"/>
              </w:rPr>
              <w:t>2.96</w:t>
            </w:r>
          </w:p>
        </w:tc>
        <w:tc>
          <w:tcPr>
            <w:tcW w:w="1240" w:type="dxa"/>
            <w:tcBorders>
              <w:top w:val="single" w:sz="4" w:space="0" w:color="A6A6A6" w:themeColor="background1" w:themeShade="A6"/>
              <w:left w:val="nil"/>
              <w:bottom w:val="single" w:sz="4" w:space="0" w:color="A6A6A6" w:themeColor="background1" w:themeShade="A6"/>
              <w:right w:val="nil"/>
            </w:tcBorders>
          </w:tcPr>
          <w:p w14:paraId="6CD089D4" w14:textId="7BD0925D" w:rsidR="005437CA" w:rsidRPr="00956117" w:rsidRDefault="005437CA" w:rsidP="005437CA">
            <w:pPr>
              <w:pStyle w:val="TableText"/>
              <w:ind w:right="57"/>
              <w:jc w:val="right"/>
              <w:rPr>
                <w:spacing w:val="-2"/>
                <w:w w:val="105"/>
                <w:sz w:val="16"/>
                <w:szCs w:val="18"/>
              </w:rPr>
            </w:pPr>
            <w:r w:rsidRPr="005437CA">
              <w:rPr>
                <w:spacing w:val="-2"/>
                <w:w w:val="105"/>
                <w:sz w:val="16"/>
                <w:szCs w:val="18"/>
              </w:rPr>
              <w:t>Equal to or greater</w:t>
            </w:r>
            <w:r>
              <w:rPr>
                <w:spacing w:val="-2"/>
                <w:w w:val="105"/>
                <w:sz w:val="16"/>
                <w:szCs w:val="18"/>
              </w:rPr>
              <w:t xml:space="preserve"> </w:t>
            </w:r>
            <w:r w:rsidRPr="005437CA">
              <w:rPr>
                <w:spacing w:val="-2"/>
                <w:w w:val="105"/>
                <w:sz w:val="16"/>
                <w:szCs w:val="18"/>
              </w:rPr>
              <w:t>than</w:t>
            </w:r>
            <w:r w:rsidR="004819F0">
              <w:rPr>
                <w:spacing w:val="-2"/>
                <w:w w:val="105"/>
                <w:sz w:val="16"/>
                <w:szCs w:val="18"/>
              </w:rPr>
              <w:t xml:space="preserve"> </w:t>
            </w:r>
            <w:r w:rsidRPr="005437CA">
              <w:rPr>
                <w:spacing w:val="-2"/>
                <w:w w:val="105"/>
                <w:sz w:val="16"/>
                <w:szCs w:val="18"/>
              </w:rPr>
              <w:t>4 out of 5</w:t>
            </w:r>
          </w:p>
        </w:tc>
        <w:tc>
          <w:tcPr>
            <w:tcW w:w="1240" w:type="dxa"/>
            <w:tcBorders>
              <w:top w:val="single" w:sz="4" w:space="0" w:color="A6A6A6" w:themeColor="background1" w:themeShade="A6"/>
              <w:left w:val="nil"/>
              <w:bottom w:val="single" w:sz="4" w:space="0" w:color="A6A6A6" w:themeColor="background1" w:themeShade="A6"/>
              <w:right w:val="nil"/>
            </w:tcBorders>
          </w:tcPr>
          <w:p w14:paraId="1744686E" w14:textId="0F6CF7E9" w:rsidR="005437CA" w:rsidRPr="00956117" w:rsidRDefault="005437CA" w:rsidP="005437CA">
            <w:pPr>
              <w:pStyle w:val="TableText"/>
              <w:ind w:right="57"/>
              <w:jc w:val="right"/>
              <w:rPr>
                <w:spacing w:val="-2"/>
                <w:sz w:val="16"/>
                <w:szCs w:val="18"/>
              </w:rPr>
            </w:pPr>
            <w:r w:rsidRPr="005437CA">
              <w:rPr>
                <w:spacing w:val="-2"/>
                <w:sz w:val="16"/>
                <w:szCs w:val="18"/>
              </w:rPr>
              <w:t>4.27</w:t>
            </w:r>
          </w:p>
        </w:tc>
        <w:tc>
          <w:tcPr>
            <w:tcW w:w="1241" w:type="dxa"/>
            <w:tcBorders>
              <w:top w:val="single" w:sz="4" w:space="0" w:color="A6A6A6" w:themeColor="background1" w:themeShade="A6"/>
              <w:left w:val="nil"/>
              <w:bottom w:val="single" w:sz="4" w:space="0" w:color="A6A6A6" w:themeColor="background1" w:themeShade="A6"/>
              <w:right w:val="nil"/>
            </w:tcBorders>
          </w:tcPr>
          <w:p w14:paraId="06838F95" w14:textId="77777777" w:rsidR="005437CA" w:rsidRPr="00956117" w:rsidRDefault="005437CA" w:rsidP="005437CA">
            <w:pPr>
              <w:pStyle w:val="TableText"/>
              <w:ind w:right="57"/>
              <w:jc w:val="right"/>
              <w:rPr>
                <w:rFonts w:ascii="Wingdings" w:hAnsi="Wingdings"/>
                <w:sz w:val="16"/>
                <w:szCs w:val="18"/>
              </w:rPr>
            </w:pPr>
            <w:r w:rsidRPr="00956117">
              <w:rPr>
                <w:rFonts w:ascii="Wingdings" w:hAnsi="Wingdings"/>
                <w:spacing w:val="-10"/>
                <w:sz w:val="16"/>
                <w:szCs w:val="18"/>
              </w:rPr>
              <w:t>ü</w:t>
            </w:r>
          </w:p>
          <w:p w14:paraId="3666F258" w14:textId="0027FE35" w:rsidR="005437CA" w:rsidRPr="00956117" w:rsidRDefault="005437CA" w:rsidP="005437CA">
            <w:pPr>
              <w:pStyle w:val="TableText"/>
              <w:ind w:right="57"/>
              <w:jc w:val="right"/>
              <w:rPr>
                <w:rFonts w:ascii="Wingdings" w:hAnsi="Wingdings"/>
                <w:spacing w:val="-10"/>
                <w:sz w:val="16"/>
                <w:szCs w:val="18"/>
              </w:rPr>
            </w:pPr>
            <w:r w:rsidRPr="00956117">
              <w:rPr>
                <w:sz w:val="16"/>
                <w:szCs w:val="18"/>
              </w:rPr>
              <w:t>(Note</w:t>
            </w:r>
            <w:r w:rsidRPr="00956117">
              <w:rPr>
                <w:spacing w:val="19"/>
                <w:sz w:val="16"/>
                <w:szCs w:val="18"/>
              </w:rPr>
              <w:t xml:space="preserve"> </w:t>
            </w:r>
            <w:r w:rsidRPr="00956117">
              <w:rPr>
                <w:spacing w:val="-5"/>
                <w:sz w:val="16"/>
                <w:szCs w:val="18"/>
              </w:rPr>
              <w:t>1)</w:t>
            </w:r>
          </w:p>
        </w:tc>
      </w:tr>
      <w:tr w:rsidR="005437CA" w14:paraId="6BB40519" w14:textId="77777777" w:rsidTr="005437CA">
        <w:tc>
          <w:tcPr>
            <w:tcW w:w="3119" w:type="dxa"/>
            <w:tcBorders>
              <w:top w:val="single" w:sz="4" w:space="0" w:color="A6A6A6" w:themeColor="background1" w:themeShade="A6"/>
              <w:left w:val="nil"/>
              <w:bottom w:val="single" w:sz="4" w:space="0" w:color="A6A6A6" w:themeColor="background1" w:themeShade="A6"/>
              <w:right w:val="nil"/>
            </w:tcBorders>
          </w:tcPr>
          <w:p w14:paraId="55C3039A" w14:textId="3525B52C" w:rsidR="005437CA" w:rsidRPr="00956117" w:rsidRDefault="005437CA" w:rsidP="005437CA">
            <w:pPr>
              <w:pStyle w:val="TableText"/>
              <w:rPr>
                <w:sz w:val="16"/>
                <w:szCs w:val="18"/>
              </w:rPr>
            </w:pPr>
            <w:r w:rsidRPr="005437CA">
              <w:rPr>
                <w:sz w:val="16"/>
                <w:szCs w:val="18"/>
              </w:rPr>
              <w:t>Quality of policy advice papers –</w:t>
            </w:r>
            <w:r>
              <w:rPr>
                <w:sz w:val="16"/>
                <w:szCs w:val="18"/>
              </w:rPr>
              <w:t xml:space="preserve"> </w:t>
            </w:r>
            <w:r w:rsidRPr="005437CA">
              <w:rPr>
                <w:sz w:val="16"/>
                <w:szCs w:val="18"/>
              </w:rPr>
              <w:t>85% score 3 or higher and 25% score</w:t>
            </w:r>
            <w:r>
              <w:rPr>
                <w:sz w:val="16"/>
                <w:szCs w:val="18"/>
              </w:rPr>
              <w:t xml:space="preserve"> </w:t>
            </w:r>
            <w:r w:rsidRPr="005437CA">
              <w:rPr>
                <w:sz w:val="16"/>
                <w:szCs w:val="18"/>
              </w:rPr>
              <w:t>4 or higher</w:t>
            </w:r>
            <w:r>
              <w:rPr>
                <w:rStyle w:val="FootnoteReference"/>
                <w:sz w:val="16"/>
                <w:szCs w:val="18"/>
              </w:rPr>
              <w:footnoteReference w:id="46"/>
            </w:r>
          </w:p>
        </w:tc>
        <w:tc>
          <w:tcPr>
            <w:tcW w:w="1417" w:type="dxa"/>
            <w:tcBorders>
              <w:top w:val="single" w:sz="4" w:space="0" w:color="A6A6A6" w:themeColor="background1" w:themeShade="A6"/>
              <w:left w:val="nil"/>
              <w:bottom w:val="single" w:sz="4" w:space="0" w:color="A6A6A6" w:themeColor="background1" w:themeShade="A6"/>
              <w:right w:val="nil"/>
            </w:tcBorders>
          </w:tcPr>
          <w:p w14:paraId="356DFC52" w14:textId="419DDED8" w:rsidR="005437CA" w:rsidRPr="00956117" w:rsidRDefault="005437CA" w:rsidP="005437CA">
            <w:pPr>
              <w:pStyle w:val="TableText"/>
              <w:ind w:right="57"/>
              <w:jc w:val="right"/>
              <w:rPr>
                <w:sz w:val="16"/>
                <w:szCs w:val="18"/>
              </w:rPr>
            </w:pPr>
            <w:r w:rsidRPr="005437CA">
              <w:rPr>
                <w:sz w:val="16"/>
                <w:szCs w:val="18"/>
              </w:rPr>
              <w:t>Achieved</w:t>
            </w:r>
          </w:p>
        </w:tc>
        <w:tc>
          <w:tcPr>
            <w:tcW w:w="1240" w:type="dxa"/>
            <w:tcBorders>
              <w:top w:val="single" w:sz="4" w:space="0" w:color="A6A6A6" w:themeColor="background1" w:themeShade="A6"/>
              <w:left w:val="nil"/>
              <w:bottom w:val="single" w:sz="4" w:space="0" w:color="A6A6A6" w:themeColor="background1" w:themeShade="A6"/>
              <w:right w:val="nil"/>
            </w:tcBorders>
          </w:tcPr>
          <w:p w14:paraId="5775934E" w14:textId="50CA48A4" w:rsidR="005437CA" w:rsidRPr="00956117" w:rsidRDefault="005437CA" w:rsidP="005437CA">
            <w:pPr>
              <w:pStyle w:val="TableText"/>
              <w:ind w:right="57"/>
              <w:jc w:val="right"/>
              <w:rPr>
                <w:spacing w:val="-2"/>
                <w:w w:val="105"/>
                <w:sz w:val="16"/>
                <w:szCs w:val="18"/>
              </w:rPr>
            </w:pPr>
            <w:r w:rsidRPr="005437CA">
              <w:rPr>
                <w:spacing w:val="-2"/>
                <w:w w:val="105"/>
                <w:sz w:val="16"/>
                <w:szCs w:val="18"/>
              </w:rPr>
              <w:t>Achieved</w:t>
            </w:r>
          </w:p>
        </w:tc>
        <w:tc>
          <w:tcPr>
            <w:tcW w:w="1240" w:type="dxa"/>
            <w:tcBorders>
              <w:top w:val="single" w:sz="4" w:space="0" w:color="A6A6A6" w:themeColor="background1" w:themeShade="A6"/>
              <w:left w:val="nil"/>
              <w:bottom w:val="single" w:sz="4" w:space="0" w:color="A6A6A6" w:themeColor="background1" w:themeShade="A6"/>
              <w:right w:val="nil"/>
            </w:tcBorders>
          </w:tcPr>
          <w:p w14:paraId="54A0F60B" w14:textId="2D679558" w:rsidR="005437CA" w:rsidRPr="00956117" w:rsidRDefault="005437CA" w:rsidP="005437CA">
            <w:pPr>
              <w:pStyle w:val="TableText"/>
              <w:ind w:right="57"/>
              <w:jc w:val="right"/>
              <w:rPr>
                <w:spacing w:val="-2"/>
                <w:sz w:val="16"/>
                <w:szCs w:val="18"/>
              </w:rPr>
            </w:pPr>
            <w:r w:rsidRPr="005437CA">
              <w:rPr>
                <w:spacing w:val="-2"/>
                <w:sz w:val="16"/>
                <w:szCs w:val="18"/>
              </w:rPr>
              <w:t>Achieved</w:t>
            </w:r>
          </w:p>
        </w:tc>
        <w:tc>
          <w:tcPr>
            <w:tcW w:w="1241" w:type="dxa"/>
            <w:tcBorders>
              <w:top w:val="single" w:sz="4" w:space="0" w:color="A6A6A6" w:themeColor="background1" w:themeShade="A6"/>
              <w:left w:val="nil"/>
              <w:bottom w:val="single" w:sz="4" w:space="0" w:color="A6A6A6" w:themeColor="background1" w:themeShade="A6"/>
              <w:right w:val="nil"/>
            </w:tcBorders>
          </w:tcPr>
          <w:p w14:paraId="02CE50BB" w14:textId="77777777" w:rsidR="005437CA" w:rsidRPr="00956117" w:rsidRDefault="005437CA" w:rsidP="005437CA">
            <w:pPr>
              <w:pStyle w:val="TableText"/>
              <w:ind w:right="57"/>
              <w:jc w:val="right"/>
              <w:rPr>
                <w:rFonts w:ascii="Wingdings" w:hAnsi="Wingdings"/>
                <w:sz w:val="16"/>
                <w:szCs w:val="18"/>
              </w:rPr>
            </w:pPr>
            <w:r w:rsidRPr="00956117">
              <w:rPr>
                <w:rFonts w:ascii="Wingdings" w:hAnsi="Wingdings"/>
                <w:spacing w:val="-10"/>
                <w:sz w:val="16"/>
                <w:szCs w:val="18"/>
              </w:rPr>
              <w:t>ü</w:t>
            </w:r>
          </w:p>
          <w:p w14:paraId="3E0BF49D" w14:textId="77777777" w:rsidR="005437CA" w:rsidRPr="00956117" w:rsidRDefault="005437CA" w:rsidP="005437CA">
            <w:pPr>
              <w:pStyle w:val="TableText"/>
              <w:ind w:right="57"/>
              <w:jc w:val="right"/>
              <w:rPr>
                <w:rFonts w:ascii="Wingdings" w:hAnsi="Wingdings"/>
                <w:spacing w:val="-10"/>
                <w:sz w:val="16"/>
                <w:szCs w:val="18"/>
              </w:rPr>
            </w:pPr>
          </w:p>
        </w:tc>
      </w:tr>
    </w:tbl>
    <w:p w14:paraId="29A0FA8A" w14:textId="2753BC10" w:rsidR="005437CA" w:rsidRPr="005437CA" w:rsidRDefault="005437CA" w:rsidP="00A66B6E">
      <w:pPr>
        <w:pStyle w:val="Note"/>
        <w:ind w:left="709" w:hanging="709"/>
        <w:sectPr w:rsidR="005437CA" w:rsidRPr="005437CA" w:rsidSect="000A3324">
          <w:pgSz w:w="11907" w:h="16840" w:code="9"/>
          <w:pgMar w:top="1418" w:right="1701" w:bottom="1134" w:left="1843" w:header="284" w:footer="425" w:gutter="284"/>
          <w:cols w:space="720"/>
        </w:sectPr>
      </w:pPr>
      <w:r w:rsidRPr="005437CA">
        <w:t xml:space="preserve">Note 1: </w:t>
      </w:r>
      <w:r w:rsidR="00A66B6E">
        <w:tab/>
      </w:r>
      <w:r w:rsidRPr="005437CA">
        <w:t>The survey was completed by both Hon Dr Shane Reti and Hon Matt Doocey, who became the Minister of Health and Minister for Mental Health respectively in November 2023. The result is the average of the two survey responses.</w:t>
      </w:r>
    </w:p>
    <w:p w14:paraId="11274EF9" w14:textId="77777777" w:rsidR="00530ED2" w:rsidRDefault="00530ED2" w:rsidP="00530ED2">
      <w:pPr>
        <w:pStyle w:val="Heading4"/>
        <w:spacing w:before="0"/>
      </w:pPr>
      <w:r>
        <w:lastRenderedPageBreak/>
        <w:t>Public Health and Population Health Leadership</w:t>
      </w:r>
    </w:p>
    <w:p w14:paraId="3BB2E50E" w14:textId="2C2461C5" w:rsidR="00530ED2" w:rsidRDefault="00530ED2" w:rsidP="00530ED2">
      <w:r>
        <w:t>This category is limited to providing leadership on policy, strategy, regulatory, intelligence, surveillance, and monitoring related to public and population health.</w:t>
      </w:r>
    </w:p>
    <w:p w14:paraId="790C6E5B" w14:textId="77777777" w:rsidR="00530ED2" w:rsidRDefault="00530ED2" w:rsidP="00530ED2"/>
    <w:tbl>
      <w:tblPr>
        <w:tblStyle w:val="TableGrid"/>
        <w:tblW w:w="833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119"/>
        <w:gridCol w:w="1417"/>
        <w:gridCol w:w="1418"/>
        <w:gridCol w:w="1134"/>
        <w:gridCol w:w="1239"/>
        <w:gridCol w:w="6"/>
      </w:tblGrid>
      <w:tr w:rsidR="00530ED2" w14:paraId="3164774C" w14:textId="77777777" w:rsidTr="00530ED2">
        <w:trPr>
          <w:gridAfter w:val="1"/>
          <w:wAfter w:w="6" w:type="dxa"/>
        </w:trPr>
        <w:tc>
          <w:tcPr>
            <w:tcW w:w="8327" w:type="dxa"/>
            <w:gridSpan w:val="5"/>
            <w:tcBorders>
              <w:top w:val="nil"/>
              <w:left w:val="nil"/>
              <w:bottom w:val="nil"/>
              <w:right w:val="nil"/>
            </w:tcBorders>
            <w:shd w:val="clear" w:color="auto" w:fill="D9D9D9" w:themeFill="background1" w:themeFillShade="D9"/>
            <w:hideMark/>
          </w:tcPr>
          <w:p w14:paraId="6CF295A9" w14:textId="77777777" w:rsidR="00530ED2" w:rsidRDefault="00530ED2" w:rsidP="005734DE">
            <w:pPr>
              <w:pStyle w:val="TableText"/>
              <w:rPr>
                <w:b/>
                <w:bCs/>
              </w:rPr>
            </w:pPr>
            <w:r>
              <w:rPr>
                <w:b/>
                <w:bCs/>
              </w:rPr>
              <w:t>Performance assessment</w:t>
            </w:r>
          </w:p>
        </w:tc>
      </w:tr>
      <w:tr w:rsidR="00530ED2" w14:paraId="1E69F158" w14:textId="77777777" w:rsidTr="00530ED2">
        <w:tc>
          <w:tcPr>
            <w:tcW w:w="3119"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76415EAC" w14:textId="77777777" w:rsidR="00530ED2" w:rsidRDefault="00530ED2" w:rsidP="005734DE">
            <w:pPr>
              <w:pStyle w:val="TableText"/>
              <w:rPr>
                <w:b/>
                <w:bCs/>
                <w:sz w:val="16"/>
                <w:szCs w:val="16"/>
              </w:rPr>
            </w:pPr>
            <w:r>
              <w:rPr>
                <w:b/>
                <w:bCs/>
                <w:sz w:val="16"/>
                <w:szCs w:val="16"/>
              </w:rPr>
              <w:t>Performance measure</w:t>
            </w:r>
          </w:p>
        </w:tc>
        <w:tc>
          <w:tcPr>
            <w:tcW w:w="1417"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44D9D1F0" w14:textId="77777777" w:rsidR="00530ED2" w:rsidRDefault="00530ED2" w:rsidP="005734DE">
            <w:pPr>
              <w:pStyle w:val="TableText"/>
              <w:jc w:val="right"/>
              <w:rPr>
                <w:b/>
                <w:bCs/>
                <w:sz w:val="16"/>
                <w:szCs w:val="16"/>
              </w:rPr>
            </w:pPr>
            <w:r>
              <w:rPr>
                <w:b/>
                <w:bCs/>
                <w:sz w:val="16"/>
                <w:szCs w:val="16"/>
              </w:rPr>
              <w:t>Actual</w:t>
            </w:r>
          </w:p>
          <w:p w14:paraId="7357BBED" w14:textId="77777777" w:rsidR="00530ED2" w:rsidRDefault="00530ED2" w:rsidP="005734DE">
            <w:pPr>
              <w:pStyle w:val="TableText"/>
              <w:jc w:val="right"/>
              <w:rPr>
                <w:b/>
                <w:bCs/>
                <w:sz w:val="16"/>
                <w:szCs w:val="16"/>
              </w:rPr>
            </w:pPr>
            <w:r>
              <w:rPr>
                <w:b/>
                <w:bCs/>
                <w:sz w:val="16"/>
                <w:szCs w:val="16"/>
              </w:rPr>
              <w:t>2022/23</w:t>
            </w:r>
          </w:p>
        </w:tc>
        <w:tc>
          <w:tcPr>
            <w:tcW w:w="1418"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07D167D7" w14:textId="77777777" w:rsidR="00530ED2" w:rsidRDefault="00530ED2" w:rsidP="005734DE">
            <w:pPr>
              <w:pStyle w:val="TableText"/>
              <w:jc w:val="right"/>
              <w:rPr>
                <w:b/>
                <w:bCs/>
                <w:sz w:val="16"/>
                <w:szCs w:val="16"/>
              </w:rPr>
            </w:pPr>
            <w:r>
              <w:rPr>
                <w:b/>
                <w:bCs/>
                <w:sz w:val="16"/>
                <w:szCs w:val="16"/>
              </w:rPr>
              <w:t>Budget Standard</w:t>
            </w:r>
          </w:p>
          <w:p w14:paraId="07895696" w14:textId="77777777" w:rsidR="00530ED2" w:rsidRDefault="00530ED2" w:rsidP="005734DE">
            <w:pPr>
              <w:pStyle w:val="TableText"/>
              <w:jc w:val="right"/>
              <w:rPr>
                <w:b/>
                <w:bCs/>
                <w:sz w:val="16"/>
                <w:szCs w:val="16"/>
              </w:rPr>
            </w:pPr>
            <w:r>
              <w:rPr>
                <w:b/>
                <w:bCs/>
                <w:sz w:val="16"/>
                <w:szCs w:val="16"/>
              </w:rPr>
              <w:t>2023/24</w:t>
            </w:r>
          </w:p>
        </w:tc>
        <w:tc>
          <w:tcPr>
            <w:tcW w:w="1134"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3ACB63CD" w14:textId="77777777" w:rsidR="00530ED2" w:rsidRDefault="00530ED2" w:rsidP="005734DE">
            <w:pPr>
              <w:pStyle w:val="TableText"/>
              <w:jc w:val="right"/>
              <w:rPr>
                <w:b/>
                <w:bCs/>
                <w:sz w:val="16"/>
                <w:szCs w:val="16"/>
              </w:rPr>
            </w:pPr>
            <w:r>
              <w:rPr>
                <w:b/>
                <w:bCs/>
                <w:sz w:val="16"/>
                <w:szCs w:val="16"/>
              </w:rPr>
              <w:t>Actual</w:t>
            </w:r>
          </w:p>
          <w:p w14:paraId="27C088DD" w14:textId="77777777" w:rsidR="00530ED2" w:rsidRDefault="00530ED2" w:rsidP="005734DE">
            <w:pPr>
              <w:pStyle w:val="TableText"/>
              <w:jc w:val="right"/>
              <w:rPr>
                <w:b/>
                <w:bCs/>
                <w:sz w:val="16"/>
                <w:szCs w:val="16"/>
              </w:rPr>
            </w:pPr>
            <w:r>
              <w:rPr>
                <w:b/>
                <w:bCs/>
                <w:sz w:val="16"/>
                <w:szCs w:val="16"/>
              </w:rPr>
              <w:t>2023/24</w:t>
            </w:r>
          </w:p>
        </w:tc>
        <w:tc>
          <w:tcPr>
            <w:tcW w:w="1245" w:type="dxa"/>
            <w:gridSpan w:val="2"/>
            <w:tcBorders>
              <w:top w:val="nil"/>
              <w:left w:val="nil"/>
              <w:bottom w:val="single" w:sz="4" w:space="0" w:color="A6A6A6" w:themeColor="background1" w:themeShade="A6"/>
              <w:right w:val="nil"/>
            </w:tcBorders>
            <w:shd w:val="clear" w:color="auto" w:fill="F2F2F2" w:themeFill="background1" w:themeFillShade="F2"/>
            <w:vAlign w:val="bottom"/>
            <w:hideMark/>
          </w:tcPr>
          <w:p w14:paraId="204F5483" w14:textId="77777777" w:rsidR="00530ED2" w:rsidRDefault="00530ED2" w:rsidP="005734DE">
            <w:pPr>
              <w:pStyle w:val="TableText"/>
              <w:jc w:val="right"/>
              <w:rPr>
                <w:b/>
                <w:bCs/>
                <w:sz w:val="16"/>
                <w:szCs w:val="16"/>
              </w:rPr>
            </w:pPr>
            <w:r>
              <w:rPr>
                <w:b/>
                <w:bCs/>
                <w:sz w:val="16"/>
                <w:szCs w:val="16"/>
              </w:rPr>
              <w:t xml:space="preserve">At a </w:t>
            </w:r>
            <w:r>
              <w:rPr>
                <w:b/>
                <w:bCs/>
                <w:sz w:val="16"/>
                <w:szCs w:val="16"/>
              </w:rPr>
              <w:br/>
              <w:t>glance</w:t>
            </w:r>
          </w:p>
        </w:tc>
      </w:tr>
      <w:tr w:rsidR="00530ED2" w14:paraId="3C9F4874" w14:textId="77777777" w:rsidTr="00530ED2">
        <w:tc>
          <w:tcPr>
            <w:tcW w:w="3119" w:type="dxa"/>
            <w:tcBorders>
              <w:top w:val="single" w:sz="4" w:space="0" w:color="A6A6A6" w:themeColor="background1" w:themeShade="A6"/>
              <w:left w:val="nil"/>
              <w:bottom w:val="single" w:sz="4" w:space="0" w:color="A6A6A6" w:themeColor="background1" w:themeShade="A6"/>
              <w:right w:val="nil"/>
            </w:tcBorders>
          </w:tcPr>
          <w:p w14:paraId="615C88F2" w14:textId="1CC69502" w:rsidR="00530ED2" w:rsidRPr="00530ED2" w:rsidRDefault="00530ED2" w:rsidP="00530ED2">
            <w:pPr>
              <w:pStyle w:val="TableText"/>
              <w:rPr>
                <w:sz w:val="16"/>
                <w:szCs w:val="18"/>
              </w:rPr>
            </w:pPr>
            <w:r w:rsidRPr="00530ED2">
              <w:rPr>
                <w:sz w:val="16"/>
                <w:szCs w:val="18"/>
              </w:rPr>
              <w:t>Ministerial satisfaction with how the Ministry provided leadership on policy, strategy, regulatory, intelligence, surveillance and monitoring of public and population health</w:t>
            </w:r>
          </w:p>
        </w:tc>
        <w:tc>
          <w:tcPr>
            <w:tcW w:w="1417" w:type="dxa"/>
            <w:tcBorders>
              <w:top w:val="single" w:sz="4" w:space="0" w:color="A6A6A6" w:themeColor="background1" w:themeShade="A6"/>
              <w:left w:val="nil"/>
              <w:bottom w:val="single" w:sz="4" w:space="0" w:color="A6A6A6" w:themeColor="background1" w:themeShade="A6"/>
              <w:right w:val="nil"/>
            </w:tcBorders>
          </w:tcPr>
          <w:p w14:paraId="35FE8CCC" w14:textId="6212989A" w:rsidR="00530ED2" w:rsidRPr="00530ED2" w:rsidRDefault="00530ED2" w:rsidP="00530ED2">
            <w:pPr>
              <w:pStyle w:val="TableText"/>
              <w:ind w:right="57"/>
              <w:jc w:val="right"/>
              <w:rPr>
                <w:sz w:val="16"/>
                <w:szCs w:val="16"/>
              </w:rPr>
            </w:pPr>
            <w:r w:rsidRPr="00530ED2">
              <w:rPr>
                <w:sz w:val="16"/>
                <w:szCs w:val="16"/>
              </w:rPr>
              <w:t>2.67</w:t>
            </w:r>
          </w:p>
        </w:tc>
        <w:tc>
          <w:tcPr>
            <w:tcW w:w="1418" w:type="dxa"/>
            <w:tcBorders>
              <w:top w:val="single" w:sz="4" w:space="0" w:color="A6A6A6" w:themeColor="background1" w:themeShade="A6"/>
              <w:left w:val="nil"/>
              <w:bottom w:val="single" w:sz="4" w:space="0" w:color="A6A6A6" w:themeColor="background1" w:themeShade="A6"/>
              <w:right w:val="nil"/>
            </w:tcBorders>
          </w:tcPr>
          <w:p w14:paraId="016C42A2" w14:textId="1886A92C" w:rsidR="00530ED2" w:rsidRPr="00530ED2" w:rsidRDefault="00530ED2" w:rsidP="00530ED2">
            <w:pPr>
              <w:pStyle w:val="TableText"/>
              <w:ind w:right="57"/>
              <w:jc w:val="right"/>
              <w:rPr>
                <w:sz w:val="16"/>
                <w:szCs w:val="16"/>
              </w:rPr>
            </w:pPr>
            <w:r w:rsidRPr="00530ED2">
              <w:rPr>
                <w:sz w:val="16"/>
                <w:szCs w:val="16"/>
              </w:rPr>
              <w:t>Equal to or greater than 4 out of 5</w:t>
            </w:r>
          </w:p>
        </w:tc>
        <w:tc>
          <w:tcPr>
            <w:tcW w:w="1134" w:type="dxa"/>
            <w:tcBorders>
              <w:top w:val="single" w:sz="4" w:space="0" w:color="A6A6A6" w:themeColor="background1" w:themeShade="A6"/>
              <w:left w:val="nil"/>
              <w:bottom w:val="single" w:sz="4" w:space="0" w:color="A6A6A6" w:themeColor="background1" w:themeShade="A6"/>
              <w:right w:val="nil"/>
            </w:tcBorders>
          </w:tcPr>
          <w:p w14:paraId="3144F022" w14:textId="46EAB006" w:rsidR="00530ED2" w:rsidRPr="00530ED2" w:rsidRDefault="00530ED2" w:rsidP="00530ED2">
            <w:pPr>
              <w:pStyle w:val="TableText"/>
              <w:ind w:right="57"/>
              <w:jc w:val="right"/>
              <w:rPr>
                <w:sz w:val="16"/>
                <w:szCs w:val="16"/>
              </w:rPr>
            </w:pPr>
            <w:r w:rsidRPr="00530ED2">
              <w:rPr>
                <w:sz w:val="16"/>
                <w:szCs w:val="16"/>
              </w:rPr>
              <w:t>4</w:t>
            </w:r>
          </w:p>
        </w:tc>
        <w:tc>
          <w:tcPr>
            <w:tcW w:w="1245" w:type="dxa"/>
            <w:gridSpan w:val="2"/>
            <w:tcBorders>
              <w:top w:val="single" w:sz="4" w:space="0" w:color="A6A6A6" w:themeColor="background1" w:themeShade="A6"/>
              <w:left w:val="nil"/>
              <w:bottom w:val="single" w:sz="4" w:space="0" w:color="A6A6A6" w:themeColor="background1" w:themeShade="A6"/>
              <w:right w:val="nil"/>
            </w:tcBorders>
          </w:tcPr>
          <w:p w14:paraId="3DF68D38" w14:textId="77777777" w:rsidR="00530ED2" w:rsidRPr="00530ED2" w:rsidRDefault="00530ED2" w:rsidP="00530ED2">
            <w:pPr>
              <w:pStyle w:val="TableParagraph"/>
              <w:spacing w:before="76" w:line="192" w:lineRule="exact"/>
              <w:ind w:right="113"/>
              <w:jc w:val="right"/>
              <w:rPr>
                <w:rFonts w:ascii="Wingdings" w:hAnsi="Wingdings"/>
                <w:sz w:val="16"/>
                <w:szCs w:val="16"/>
              </w:rPr>
            </w:pPr>
            <w:r w:rsidRPr="00530ED2">
              <w:rPr>
                <w:rFonts w:ascii="Wingdings" w:hAnsi="Wingdings"/>
                <w:spacing w:val="-10"/>
                <w:sz w:val="16"/>
                <w:szCs w:val="16"/>
              </w:rPr>
              <w:t>ü</w:t>
            </w:r>
          </w:p>
          <w:p w14:paraId="3CBD136E" w14:textId="369464FA" w:rsidR="00530ED2" w:rsidRPr="00530ED2" w:rsidRDefault="00530ED2" w:rsidP="00530ED2">
            <w:pPr>
              <w:pStyle w:val="TableText"/>
              <w:ind w:right="57"/>
              <w:jc w:val="right"/>
              <w:rPr>
                <w:sz w:val="16"/>
                <w:szCs w:val="16"/>
              </w:rPr>
            </w:pPr>
            <w:r w:rsidRPr="00530ED2">
              <w:rPr>
                <w:sz w:val="16"/>
                <w:szCs w:val="16"/>
              </w:rPr>
              <w:t>(Note</w:t>
            </w:r>
            <w:r w:rsidRPr="00530ED2">
              <w:rPr>
                <w:spacing w:val="19"/>
                <w:sz w:val="16"/>
                <w:szCs w:val="16"/>
              </w:rPr>
              <w:t xml:space="preserve"> </w:t>
            </w:r>
            <w:r w:rsidRPr="00530ED2">
              <w:rPr>
                <w:spacing w:val="-5"/>
                <w:sz w:val="16"/>
                <w:szCs w:val="16"/>
              </w:rPr>
              <w:t>1)</w:t>
            </w:r>
          </w:p>
        </w:tc>
      </w:tr>
      <w:tr w:rsidR="00530ED2" w14:paraId="529561BC" w14:textId="77777777" w:rsidTr="00530ED2">
        <w:tc>
          <w:tcPr>
            <w:tcW w:w="3119" w:type="dxa"/>
            <w:tcBorders>
              <w:top w:val="single" w:sz="4" w:space="0" w:color="A6A6A6" w:themeColor="background1" w:themeShade="A6"/>
              <w:left w:val="nil"/>
              <w:bottom w:val="single" w:sz="4" w:space="0" w:color="A6A6A6" w:themeColor="background1" w:themeShade="A6"/>
              <w:right w:val="nil"/>
            </w:tcBorders>
          </w:tcPr>
          <w:p w14:paraId="45AB5212" w14:textId="3FF268F0" w:rsidR="00530ED2" w:rsidRPr="00530ED2" w:rsidRDefault="00530ED2" w:rsidP="00530ED2">
            <w:pPr>
              <w:pStyle w:val="TableText"/>
              <w:rPr>
                <w:sz w:val="16"/>
                <w:szCs w:val="18"/>
              </w:rPr>
            </w:pPr>
            <w:r w:rsidRPr="00530ED2">
              <w:rPr>
                <w:sz w:val="16"/>
                <w:szCs w:val="18"/>
              </w:rPr>
              <w:t>Annual work programme is developed and agreed with the public health advisory committee chair, Public Health Agency in the Ministry of Health and the Minister. All reports are delivered on time</w:t>
            </w:r>
          </w:p>
        </w:tc>
        <w:tc>
          <w:tcPr>
            <w:tcW w:w="1417" w:type="dxa"/>
            <w:tcBorders>
              <w:top w:val="single" w:sz="4" w:space="0" w:color="A6A6A6" w:themeColor="background1" w:themeShade="A6"/>
              <w:left w:val="nil"/>
              <w:bottom w:val="single" w:sz="4" w:space="0" w:color="A6A6A6" w:themeColor="background1" w:themeShade="A6"/>
              <w:right w:val="nil"/>
            </w:tcBorders>
          </w:tcPr>
          <w:p w14:paraId="587864C3" w14:textId="7E753391" w:rsidR="00530ED2" w:rsidRPr="00530ED2" w:rsidRDefault="00530ED2" w:rsidP="00530ED2">
            <w:pPr>
              <w:pStyle w:val="TableText"/>
              <w:ind w:right="57"/>
              <w:jc w:val="right"/>
              <w:rPr>
                <w:spacing w:val="-2"/>
                <w:w w:val="105"/>
                <w:sz w:val="16"/>
                <w:szCs w:val="16"/>
              </w:rPr>
            </w:pPr>
            <w:r w:rsidRPr="00530ED2">
              <w:rPr>
                <w:sz w:val="16"/>
                <w:szCs w:val="16"/>
              </w:rPr>
              <w:t>Achieved</w:t>
            </w:r>
          </w:p>
        </w:tc>
        <w:tc>
          <w:tcPr>
            <w:tcW w:w="1418" w:type="dxa"/>
            <w:tcBorders>
              <w:top w:val="single" w:sz="4" w:space="0" w:color="A6A6A6" w:themeColor="background1" w:themeShade="A6"/>
              <w:left w:val="nil"/>
              <w:bottom w:val="single" w:sz="4" w:space="0" w:color="A6A6A6" w:themeColor="background1" w:themeShade="A6"/>
              <w:right w:val="nil"/>
            </w:tcBorders>
          </w:tcPr>
          <w:p w14:paraId="1DBE8015" w14:textId="0114BBDA" w:rsidR="00530ED2" w:rsidRPr="00530ED2" w:rsidRDefault="00530ED2" w:rsidP="00530ED2">
            <w:pPr>
              <w:pStyle w:val="TableText"/>
              <w:ind w:right="57"/>
              <w:jc w:val="right"/>
              <w:rPr>
                <w:sz w:val="16"/>
                <w:szCs w:val="16"/>
              </w:rPr>
            </w:pPr>
            <w:r w:rsidRPr="00530ED2">
              <w:rPr>
                <w:sz w:val="16"/>
                <w:szCs w:val="16"/>
              </w:rPr>
              <w:t>Achieved</w:t>
            </w:r>
          </w:p>
        </w:tc>
        <w:tc>
          <w:tcPr>
            <w:tcW w:w="1134" w:type="dxa"/>
            <w:tcBorders>
              <w:top w:val="single" w:sz="4" w:space="0" w:color="A6A6A6" w:themeColor="background1" w:themeShade="A6"/>
              <w:left w:val="nil"/>
              <w:bottom w:val="single" w:sz="4" w:space="0" w:color="A6A6A6" w:themeColor="background1" w:themeShade="A6"/>
              <w:right w:val="nil"/>
            </w:tcBorders>
          </w:tcPr>
          <w:p w14:paraId="3044670B" w14:textId="346FB258" w:rsidR="00530ED2" w:rsidRPr="00530ED2" w:rsidRDefault="00530ED2" w:rsidP="00530ED2">
            <w:pPr>
              <w:pStyle w:val="TableText"/>
              <w:ind w:right="57"/>
              <w:jc w:val="right"/>
              <w:rPr>
                <w:sz w:val="16"/>
                <w:szCs w:val="16"/>
              </w:rPr>
            </w:pPr>
            <w:r w:rsidRPr="00530ED2">
              <w:rPr>
                <w:sz w:val="16"/>
                <w:szCs w:val="16"/>
              </w:rPr>
              <w:t>Achieved</w:t>
            </w:r>
          </w:p>
        </w:tc>
        <w:tc>
          <w:tcPr>
            <w:tcW w:w="1245" w:type="dxa"/>
            <w:gridSpan w:val="2"/>
            <w:tcBorders>
              <w:top w:val="single" w:sz="4" w:space="0" w:color="A6A6A6" w:themeColor="background1" w:themeShade="A6"/>
              <w:left w:val="nil"/>
              <w:bottom w:val="single" w:sz="4" w:space="0" w:color="A6A6A6" w:themeColor="background1" w:themeShade="A6"/>
              <w:right w:val="nil"/>
            </w:tcBorders>
          </w:tcPr>
          <w:p w14:paraId="4B31DA6D" w14:textId="769E5058" w:rsidR="00530ED2" w:rsidRPr="00530ED2" w:rsidRDefault="00530ED2" w:rsidP="00530ED2">
            <w:pPr>
              <w:pStyle w:val="TableText"/>
              <w:ind w:right="57"/>
              <w:jc w:val="right"/>
              <w:rPr>
                <w:sz w:val="16"/>
                <w:szCs w:val="16"/>
              </w:rPr>
            </w:pPr>
            <w:r w:rsidRPr="00530ED2">
              <w:rPr>
                <w:rFonts w:ascii="Wingdings" w:hAnsi="Wingdings"/>
                <w:spacing w:val="-10"/>
                <w:sz w:val="16"/>
                <w:szCs w:val="16"/>
              </w:rPr>
              <w:t>ü</w:t>
            </w:r>
          </w:p>
        </w:tc>
      </w:tr>
      <w:tr w:rsidR="00530ED2" w14:paraId="67178CCD" w14:textId="77777777" w:rsidTr="00530ED2">
        <w:tc>
          <w:tcPr>
            <w:tcW w:w="3119" w:type="dxa"/>
            <w:tcBorders>
              <w:top w:val="single" w:sz="4" w:space="0" w:color="A6A6A6" w:themeColor="background1" w:themeShade="A6"/>
              <w:left w:val="nil"/>
              <w:bottom w:val="single" w:sz="4" w:space="0" w:color="A6A6A6" w:themeColor="background1" w:themeShade="A6"/>
              <w:right w:val="nil"/>
            </w:tcBorders>
          </w:tcPr>
          <w:p w14:paraId="47D356D8" w14:textId="7C9B4DDA" w:rsidR="00530ED2" w:rsidRPr="00530ED2" w:rsidRDefault="00530ED2" w:rsidP="00530ED2">
            <w:pPr>
              <w:pStyle w:val="TableText"/>
              <w:rPr>
                <w:sz w:val="16"/>
                <w:szCs w:val="18"/>
              </w:rPr>
            </w:pPr>
            <w:r w:rsidRPr="00530ED2">
              <w:rPr>
                <w:sz w:val="16"/>
                <w:szCs w:val="18"/>
              </w:rPr>
              <w:t>Establish a Pacific Health Chart Book work programme of health outcomes and system performance for Pacific peoples by 30 June 2024</w:t>
            </w:r>
          </w:p>
        </w:tc>
        <w:tc>
          <w:tcPr>
            <w:tcW w:w="1417" w:type="dxa"/>
            <w:tcBorders>
              <w:top w:val="single" w:sz="4" w:space="0" w:color="A6A6A6" w:themeColor="background1" w:themeShade="A6"/>
              <w:left w:val="nil"/>
              <w:bottom w:val="single" w:sz="4" w:space="0" w:color="A6A6A6" w:themeColor="background1" w:themeShade="A6"/>
              <w:right w:val="nil"/>
            </w:tcBorders>
          </w:tcPr>
          <w:p w14:paraId="11B76561" w14:textId="714849E5" w:rsidR="00530ED2" w:rsidRPr="00530ED2" w:rsidRDefault="00530ED2" w:rsidP="00530ED2">
            <w:pPr>
              <w:pStyle w:val="TableText"/>
              <w:ind w:right="57"/>
              <w:jc w:val="right"/>
              <w:rPr>
                <w:spacing w:val="-2"/>
                <w:w w:val="105"/>
                <w:sz w:val="16"/>
                <w:szCs w:val="16"/>
              </w:rPr>
            </w:pPr>
            <w:r w:rsidRPr="00530ED2">
              <w:rPr>
                <w:sz w:val="16"/>
                <w:szCs w:val="16"/>
              </w:rPr>
              <w:t>New measure</w:t>
            </w:r>
          </w:p>
        </w:tc>
        <w:tc>
          <w:tcPr>
            <w:tcW w:w="1418" w:type="dxa"/>
            <w:tcBorders>
              <w:top w:val="single" w:sz="4" w:space="0" w:color="A6A6A6" w:themeColor="background1" w:themeShade="A6"/>
              <w:left w:val="nil"/>
              <w:bottom w:val="single" w:sz="4" w:space="0" w:color="A6A6A6" w:themeColor="background1" w:themeShade="A6"/>
              <w:right w:val="nil"/>
            </w:tcBorders>
          </w:tcPr>
          <w:p w14:paraId="43B8E399" w14:textId="13775CE2" w:rsidR="00530ED2" w:rsidRPr="00530ED2" w:rsidRDefault="00530ED2" w:rsidP="00530ED2">
            <w:pPr>
              <w:pStyle w:val="TableText"/>
              <w:ind w:right="57"/>
              <w:jc w:val="right"/>
              <w:rPr>
                <w:sz w:val="16"/>
                <w:szCs w:val="16"/>
              </w:rPr>
            </w:pPr>
            <w:r w:rsidRPr="00530ED2">
              <w:rPr>
                <w:sz w:val="16"/>
                <w:szCs w:val="16"/>
              </w:rPr>
              <w:t>Achieved</w:t>
            </w:r>
          </w:p>
        </w:tc>
        <w:tc>
          <w:tcPr>
            <w:tcW w:w="1134" w:type="dxa"/>
            <w:tcBorders>
              <w:top w:val="single" w:sz="4" w:space="0" w:color="A6A6A6" w:themeColor="background1" w:themeShade="A6"/>
              <w:left w:val="nil"/>
              <w:bottom w:val="single" w:sz="4" w:space="0" w:color="A6A6A6" w:themeColor="background1" w:themeShade="A6"/>
              <w:right w:val="nil"/>
            </w:tcBorders>
          </w:tcPr>
          <w:p w14:paraId="2700489D" w14:textId="3C199D7B" w:rsidR="00530ED2" w:rsidRPr="00530ED2" w:rsidRDefault="00530ED2" w:rsidP="00530ED2">
            <w:pPr>
              <w:pStyle w:val="TableText"/>
              <w:ind w:right="57"/>
              <w:jc w:val="right"/>
              <w:rPr>
                <w:sz w:val="16"/>
                <w:szCs w:val="16"/>
              </w:rPr>
            </w:pPr>
            <w:r w:rsidRPr="00530ED2">
              <w:rPr>
                <w:sz w:val="16"/>
                <w:szCs w:val="16"/>
              </w:rPr>
              <w:t>Not achieved</w:t>
            </w:r>
          </w:p>
        </w:tc>
        <w:tc>
          <w:tcPr>
            <w:tcW w:w="1245" w:type="dxa"/>
            <w:gridSpan w:val="2"/>
            <w:tcBorders>
              <w:top w:val="single" w:sz="4" w:space="0" w:color="A6A6A6" w:themeColor="background1" w:themeShade="A6"/>
              <w:left w:val="nil"/>
              <w:bottom w:val="single" w:sz="4" w:space="0" w:color="A6A6A6" w:themeColor="background1" w:themeShade="A6"/>
              <w:right w:val="nil"/>
            </w:tcBorders>
          </w:tcPr>
          <w:p w14:paraId="0636D639" w14:textId="77777777" w:rsidR="00530ED2" w:rsidRPr="00530ED2" w:rsidRDefault="00530ED2" w:rsidP="00530ED2">
            <w:pPr>
              <w:pStyle w:val="TableParagraph"/>
              <w:spacing w:before="76"/>
              <w:ind w:right="113"/>
              <w:jc w:val="right"/>
              <w:rPr>
                <w:rFonts w:ascii="Wingdings" w:hAnsi="Wingdings"/>
                <w:sz w:val="16"/>
                <w:szCs w:val="16"/>
              </w:rPr>
            </w:pPr>
            <w:r w:rsidRPr="00530ED2">
              <w:rPr>
                <w:rFonts w:ascii="Wingdings" w:hAnsi="Wingdings"/>
                <w:spacing w:val="-10"/>
                <w:sz w:val="16"/>
                <w:szCs w:val="16"/>
              </w:rPr>
              <w:t>û</w:t>
            </w:r>
          </w:p>
          <w:p w14:paraId="50EE7551" w14:textId="00C500E8" w:rsidR="00530ED2" w:rsidRPr="00530ED2" w:rsidRDefault="00530ED2" w:rsidP="00530ED2">
            <w:pPr>
              <w:pStyle w:val="TableText"/>
              <w:ind w:right="57"/>
              <w:jc w:val="right"/>
              <w:rPr>
                <w:sz w:val="16"/>
                <w:szCs w:val="16"/>
              </w:rPr>
            </w:pPr>
            <w:r w:rsidRPr="00530ED2">
              <w:rPr>
                <w:w w:val="105"/>
                <w:sz w:val="16"/>
                <w:szCs w:val="16"/>
              </w:rPr>
              <w:t>(Note</w:t>
            </w:r>
            <w:r w:rsidRPr="00530ED2">
              <w:rPr>
                <w:spacing w:val="-9"/>
                <w:w w:val="105"/>
                <w:sz w:val="16"/>
                <w:szCs w:val="16"/>
              </w:rPr>
              <w:t xml:space="preserve"> </w:t>
            </w:r>
            <w:r w:rsidRPr="00530ED2">
              <w:rPr>
                <w:spacing w:val="-7"/>
                <w:w w:val="105"/>
                <w:sz w:val="16"/>
                <w:szCs w:val="16"/>
              </w:rPr>
              <w:t>2)</w:t>
            </w:r>
          </w:p>
        </w:tc>
      </w:tr>
      <w:tr w:rsidR="00530ED2" w14:paraId="62C61AB8" w14:textId="77777777" w:rsidTr="00530ED2">
        <w:tc>
          <w:tcPr>
            <w:tcW w:w="3119" w:type="dxa"/>
            <w:tcBorders>
              <w:top w:val="single" w:sz="4" w:space="0" w:color="A6A6A6" w:themeColor="background1" w:themeShade="A6"/>
              <w:left w:val="nil"/>
              <w:bottom w:val="single" w:sz="4" w:space="0" w:color="A6A6A6" w:themeColor="background1" w:themeShade="A6"/>
              <w:right w:val="nil"/>
            </w:tcBorders>
          </w:tcPr>
          <w:p w14:paraId="0E51F11F" w14:textId="77777777" w:rsidR="00530ED2" w:rsidRPr="00530ED2" w:rsidRDefault="00530ED2" w:rsidP="00530ED2">
            <w:pPr>
              <w:pStyle w:val="TableText"/>
              <w:rPr>
                <w:sz w:val="16"/>
                <w:szCs w:val="18"/>
              </w:rPr>
            </w:pPr>
            <w:r w:rsidRPr="00530ED2">
              <w:rPr>
                <w:sz w:val="16"/>
                <w:szCs w:val="18"/>
              </w:rPr>
              <w:t>Set the foundations for an effective Intelligence, Surveillance and Knowledge system by:</w:t>
            </w:r>
          </w:p>
          <w:p w14:paraId="789BF6F8" w14:textId="455FAAEE" w:rsidR="00530ED2" w:rsidRPr="00530ED2" w:rsidRDefault="00530ED2" w:rsidP="00530ED2">
            <w:pPr>
              <w:pStyle w:val="Bullet"/>
              <w:spacing w:after="60"/>
              <w:rPr>
                <w:sz w:val="16"/>
                <w:szCs w:val="16"/>
              </w:rPr>
            </w:pPr>
            <w:r w:rsidRPr="00530ED2">
              <w:rPr>
                <w:sz w:val="16"/>
                <w:szCs w:val="16"/>
              </w:rPr>
              <w:t>establishing the Public Health Knowledge and Surveillance System (PHKSS) programme alongside Te Aka Whai Ora</w:t>
            </w:r>
          </w:p>
          <w:p w14:paraId="0D816F4A" w14:textId="53E041D9" w:rsidR="00530ED2" w:rsidRPr="00956117" w:rsidRDefault="00530ED2" w:rsidP="00530ED2">
            <w:pPr>
              <w:pStyle w:val="Bullet"/>
              <w:spacing w:after="60"/>
            </w:pPr>
            <w:r w:rsidRPr="00530ED2">
              <w:rPr>
                <w:sz w:val="16"/>
                <w:szCs w:val="16"/>
              </w:rPr>
              <w:t>developing frameworks and systems to ensure that</w:t>
            </w:r>
            <w:r>
              <w:rPr>
                <w:sz w:val="16"/>
                <w:szCs w:val="16"/>
              </w:rPr>
              <w:t xml:space="preserve"> </w:t>
            </w:r>
            <w:r w:rsidRPr="00530ED2">
              <w:rPr>
                <w:sz w:val="16"/>
                <w:szCs w:val="16"/>
              </w:rPr>
              <w:t>Aotearoa’s public health system is well supported with evidence, data and insights</w:t>
            </w:r>
          </w:p>
        </w:tc>
        <w:tc>
          <w:tcPr>
            <w:tcW w:w="1417" w:type="dxa"/>
            <w:tcBorders>
              <w:top w:val="single" w:sz="4" w:space="0" w:color="A6A6A6" w:themeColor="background1" w:themeShade="A6"/>
              <w:left w:val="nil"/>
              <w:bottom w:val="single" w:sz="4" w:space="0" w:color="A6A6A6" w:themeColor="background1" w:themeShade="A6"/>
              <w:right w:val="nil"/>
            </w:tcBorders>
          </w:tcPr>
          <w:p w14:paraId="3997230E" w14:textId="7D47B8B8" w:rsidR="00530ED2" w:rsidRPr="00530ED2" w:rsidRDefault="00530ED2" w:rsidP="00530ED2">
            <w:pPr>
              <w:pStyle w:val="TableText"/>
              <w:ind w:right="57"/>
              <w:jc w:val="right"/>
              <w:rPr>
                <w:spacing w:val="-2"/>
                <w:w w:val="105"/>
                <w:sz w:val="16"/>
                <w:szCs w:val="16"/>
              </w:rPr>
            </w:pPr>
            <w:r w:rsidRPr="00530ED2">
              <w:rPr>
                <w:sz w:val="16"/>
                <w:szCs w:val="16"/>
              </w:rPr>
              <w:t>New measure</w:t>
            </w:r>
          </w:p>
        </w:tc>
        <w:tc>
          <w:tcPr>
            <w:tcW w:w="1418" w:type="dxa"/>
            <w:tcBorders>
              <w:top w:val="single" w:sz="4" w:space="0" w:color="A6A6A6" w:themeColor="background1" w:themeShade="A6"/>
              <w:left w:val="nil"/>
              <w:bottom w:val="single" w:sz="4" w:space="0" w:color="A6A6A6" w:themeColor="background1" w:themeShade="A6"/>
              <w:right w:val="nil"/>
            </w:tcBorders>
          </w:tcPr>
          <w:p w14:paraId="76289A43" w14:textId="653316E7" w:rsidR="00530ED2" w:rsidRPr="00530ED2" w:rsidRDefault="00530ED2" w:rsidP="00530ED2">
            <w:pPr>
              <w:pStyle w:val="TableText"/>
              <w:ind w:right="57"/>
              <w:jc w:val="right"/>
              <w:rPr>
                <w:sz w:val="16"/>
                <w:szCs w:val="16"/>
              </w:rPr>
            </w:pPr>
            <w:r w:rsidRPr="00530ED2">
              <w:rPr>
                <w:sz w:val="16"/>
                <w:szCs w:val="16"/>
              </w:rPr>
              <w:t>Achieved</w:t>
            </w:r>
          </w:p>
        </w:tc>
        <w:tc>
          <w:tcPr>
            <w:tcW w:w="1134" w:type="dxa"/>
            <w:tcBorders>
              <w:top w:val="single" w:sz="4" w:space="0" w:color="A6A6A6" w:themeColor="background1" w:themeShade="A6"/>
              <w:left w:val="nil"/>
              <w:bottom w:val="single" w:sz="4" w:space="0" w:color="A6A6A6" w:themeColor="background1" w:themeShade="A6"/>
              <w:right w:val="nil"/>
            </w:tcBorders>
          </w:tcPr>
          <w:p w14:paraId="0EB2F5CD" w14:textId="3DBB4469" w:rsidR="00530ED2" w:rsidRPr="00530ED2" w:rsidRDefault="00530ED2" w:rsidP="00530ED2">
            <w:pPr>
              <w:pStyle w:val="TableText"/>
              <w:ind w:right="57"/>
              <w:jc w:val="right"/>
              <w:rPr>
                <w:sz w:val="16"/>
                <w:szCs w:val="16"/>
              </w:rPr>
            </w:pPr>
            <w:r w:rsidRPr="00530ED2">
              <w:rPr>
                <w:sz w:val="16"/>
                <w:szCs w:val="16"/>
              </w:rPr>
              <w:t>Achieved</w:t>
            </w:r>
          </w:p>
        </w:tc>
        <w:tc>
          <w:tcPr>
            <w:tcW w:w="1245" w:type="dxa"/>
            <w:gridSpan w:val="2"/>
            <w:tcBorders>
              <w:top w:val="single" w:sz="4" w:space="0" w:color="A6A6A6" w:themeColor="background1" w:themeShade="A6"/>
              <w:left w:val="nil"/>
              <w:bottom w:val="single" w:sz="4" w:space="0" w:color="A6A6A6" w:themeColor="background1" w:themeShade="A6"/>
              <w:right w:val="nil"/>
            </w:tcBorders>
          </w:tcPr>
          <w:p w14:paraId="028C7DE3" w14:textId="20C0809A" w:rsidR="00530ED2" w:rsidRPr="00530ED2" w:rsidRDefault="00530ED2" w:rsidP="00530ED2">
            <w:pPr>
              <w:pStyle w:val="TableText"/>
              <w:ind w:right="57"/>
              <w:jc w:val="right"/>
              <w:rPr>
                <w:sz w:val="16"/>
                <w:szCs w:val="16"/>
              </w:rPr>
            </w:pPr>
            <w:r w:rsidRPr="00530ED2">
              <w:rPr>
                <w:rFonts w:ascii="Wingdings" w:hAnsi="Wingdings"/>
                <w:spacing w:val="-10"/>
                <w:sz w:val="16"/>
                <w:szCs w:val="16"/>
              </w:rPr>
              <w:t>ü</w:t>
            </w:r>
          </w:p>
        </w:tc>
      </w:tr>
      <w:tr w:rsidR="00530ED2" w14:paraId="004FE91E" w14:textId="77777777" w:rsidTr="00530ED2">
        <w:tc>
          <w:tcPr>
            <w:tcW w:w="3119" w:type="dxa"/>
            <w:tcBorders>
              <w:top w:val="single" w:sz="4" w:space="0" w:color="A6A6A6" w:themeColor="background1" w:themeShade="A6"/>
              <w:left w:val="nil"/>
              <w:bottom w:val="single" w:sz="4" w:space="0" w:color="A6A6A6" w:themeColor="background1" w:themeShade="A6"/>
              <w:right w:val="nil"/>
            </w:tcBorders>
          </w:tcPr>
          <w:p w14:paraId="64FBF9F5" w14:textId="2598550D" w:rsidR="00530ED2" w:rsidRPr="00956117" w:rsidRDefault="00530ED2" w:rsidP="00530ED2">
            <w:pPr>
              <w:pStyle w:val="TableText"/>
              <w:rPr>
                <w:sz w:val="16"/>
                <w:szCs w:val="18"/>
              </w:rPr>
            </w:pPr>
            <w:r w:rsidRPr="00530ED2">
              <w:rPr>
                <w:sz w:val="16"/>
                <w:szCs w:val="18"/>
              </w:rPr>
              <w:t>Set up the Public Health Knowledge and Surveillance System to consistently collect and disaggregate Māori data that demonstrates how public health programmes and activities impact on public health outcomes for Māori by 30 June 2024</w:t>
            </w:r>
          </w:p>
        </w:tc>
        <w:tc>
          <w:tcPr>
            <w:tcW w:w="1417" w:type="dxa"/>
            <w:tcBorders>
              <w:top w:val="single" w:sz="4" w:space="0" w:color="A6A6A6" w:themeColor="background1" w:themeShade="A6"/>
              <w:left w:val="nil"/>
              <w:bottom w:val="single" w:sz="4" w:space="0" w:color="A6A6A6" w:themeColor="background1" w:themeShade="A6"/>
              <w:right w:val="nil"/>
            </w:tcBorders>
          </w:tcPr>
          <w:p w14:paraId="31B1192D" w14:textId="0C1CD926" w:rsidR="00530ED2" w:rsidRPr="00956117" w:rsidRDefault="00530ED2" w:rsidP="00530ED2">
            <w:pPr>
              <w:pStyle w:val="TableText"/>
              <w:ind w:right="57"/>
              <w:jc w:val="right"/>
              <w:rPr>
                <w:sz w:val="16"/>
                <w:szCs w:val="18"/>
              </w:rPr>
            </w:pPr>
            <w:r w:rsidRPr="00530ED2">
              <w:rPr>
                <w:sz w:val="16"/>
                <w:szCs w:val="16"/>
              </w:rPr>
              <w:t>New measure</w:t>
            </w:r>
          </w:p>
        </w:tc>
        <w:tc>
          <w:tcPr>
            <w:tcW w:w="1418" w:type="dxa"/>
            <w:tcBorders>
              <w:top w:val="single" w:sz="4" w:space="0" w:color="A6A6A6" w:themeColor="background1" w:themeShade="A6"/>
              <w:left w:val="nil"/>
              <w:bottom w:val="single" w:sz="4" w:space="0" w:color="A6A6A6" w:themeColor="background1" w:themeShade="A6"/>
              <w:right w:val="nil"/>
            </w:tcBorders>
          </w:tcPr>
          <w:p w14:paraId="721F9FC6" w14:textId="49C345F8" w:rsidR="00530ED2" w:rsidRPr="00956117" w:rsidRDefault="00530ED2" w:rsidP="00530ED2">
            <w:pPr>
              <w:pStyle w:val="TableText"/>
              <w:ind w:right="57"/>
              <w:jc w:val="right"/>
              <w:rPr>
                <w:sz w:val="16"/>
                <w:szCs w:val="18"/>
              </w:rPr>
            </w:pPr>
            <w:r w:rsidRPr="00530ED2">
              <w:rPr>
                <w:sz w:val="16"/>
                <w:szCs w:val="16"/>
              </w:rPr>
              <w:t>Achieved</w:t>
            </w:r>
          </w:p>
        </w:tc>
        <w:tc>
          <w:tcPr>
            <w:tcW w:w="1134" w:type="dxa"/>
            <w:tcBorders>
              <w:top w:val="single" w:sz="4" w:space="0" w:color="A6A6A6" w:themeColor="background1" w:themeShade="A6"/>
              <w:left w:val="nil"/>
              <w:bottom w:val="single" w:sz="4" w:space="0" w:color="A6A6A6" w:themeColor="background1" w:themeShade="A6"/>
              <w:right w:val="nil"/>
            </w:tcBorders>
          </w:tcPr>
          <w:p w14:paraId="42415342" w14:textId="636019A7" w:rsidR="00530ED2" w:rsidRPr="00956117" w:rsidRDefault="00530ED2" w:rsidP="00530ED2">
            <w:pPr>
              <w:pStyle w:val="TableText"/>
              <w:ind w:right="57"/>
              <w:jc w:val="right"/>
              <w:rPr>
                <w:sz w:val="16"/>
                <w:szCs w:val="18"/>
              </w:rPr>
            </w:pPr>
            <w:r w:rsidRPr="00530ED2">
              <w:rPr>
                <w:sz w:val="16"/>
                <w:szCs w:val="16"/>
              </w:rPr>
              <w:t>Not achieved</w:t>
            </w:r>
          </w:p>
        </w:tc>
        <w:tc>
          <w:tcPr>
            <w:tcW w:w="1245" w:type="dxa"/>
            <w:gridSpan w:val="2"/>
            <w:tcBorders>
              <w:top w:val="single" w:sz="4" w:space="0" w:color="A6A6A6" w:themeColor="background1" w:themeShade="A6"/>
              <w:left w:val="nil"/>
              <w:bottom w:val="single" w:sz="4" w:space="0" w:color="A6A6A6" w:themeColor="background1" w:themeShade="A6"/>
              <w:right w:val="nil"/>
            </w:tcBorders>
          </w:tcPr>
          <w:p w14:paraId="1C2D190B" w14:textId="77777777" w:rsidR="00530ED2" w:rsidRPr="00530ED2" w:rsidRDefault="00530ED2" w:rsidP="00530ED2">
            <w:pPr>
              <w:pStyle w:val="TableParagraph"/>
              <w:spacing w:before="76"/>
              <w:ind w:right="113"/>
              <w:jc w:val="right"/>
              <w:rPr>
                <w:rFonts w:ascii="Wingdings" w:hAnsi="Wingdings"/>
                <w:sz w:val="16"/>
                <w:szCs w:val="16"/>
              </w:rPr>
            </w:pPr>
            <w:r w:rsidRPr="00530ED2">
              <w:rPr>
                <w:rFonts w:ascii="Wingdings" w:hAnsi="Wingdings"/>
                <w:spacing w:val="-10"/>
                <w:sz w:val="16"/>
                <w:szCs w:val="16"/>
              </w:rPr>
              <w:t>û</w:t>
            </w:r>
          </w:p>
          <w:p w14:paraId="5F23ED35" w14:textId="0F7D8D52" w:rsidR="00530ED2" w:rsidRPr="00956117" w:rsidRDefault="00530ED2" w:rsidP="00530ED2">
            <w:pPr>
              <w:pStyle w:val="TableText"/>
              <w:ind w:right="57"/>
              <w:jc w:val="right"/>
              <w:rPr>
                <w:sz w:val="16"/>
                <w:szCs w:val="18"/>
              </w:rPr>
            </w:pPr>
            <w:r w:rsidRPr="00530ED2">
              <w:rPr>
                <w:w w:val="105"/>
                <w:sz w:val="16"/>
                <w:szCs w:val="16"/>
              </w:rPr>
              <w:t>(Note</w:t>
            </w:r>
            <w:r w:rsidRPr="00530ED2">
              <w:rPr>
                <w:spacing w:val="-9"/>
                <w:w w:val="105"/>
                <w:sz w:val="16"/>
                <w:szCs w:val="16"/>
              </w:rPr>
              <w:t xml:space="preserve"> </w:t>
            </w:r>
            <w:r>
              <w:rPr>
                <w:spacing w:val="-9"/>
                <w:w w:val="105"/>
                <w:sz w:val="16"/>
                <w:szCs w:val="16"/>
              </w:rPr>
              <w:t>3</w:t>
            </w:r>
            <w:r w:rsidRPr="00530ED2">
              <w:rPr>
                <w:spacing w:val="-7"/>
                <w:w w:val="105"/>
                <w:sz w:val="16"/>
                <w:szCs w:val="16"/>
              </w:rPr>
              <w:t>)</w:t>
            </w:r>
          </w:p>
        </w:tc>
      </w:tr>
    </w:tbl>
    <w:p w14:paraId="46F076CD" w14:textId="444363E5" w:rsidR="00530ED2" w:rsidRDefault="00530ED2" w:rsidP="00A66B6E">
      <w:pPr>
        <w:pStyle w:val="Note"/>
        <w:tabs>
          <w:tab w:val="left" w:pos="709"/>
        </w:tabs>
        <w:ind w:left="709" w:hanging="709"/>
      </w:pPr>
      <w:r>
        <w:t xml:space="preserve">Note 1: </w:t>
      </w:r>
      <w:r w:rsidR="00A66B6E">
        <w:tab/>
      </w:r>
      <w:r>
        <w:t>The survey was completed by Hon Dr Shane Reti, who became the Minister of Health in November 2023.</w:t>
      </w:r>
    </w:p>
    <w:p w14:paraId="120A67A0" w14:textId="0DD121E8" w:rsidR="00530ED2" w:rsidRDefault="00530ED2" w:rsidP="00A66B6E">
      <w:pPr>
        <w:pStyle w:val="Note"/>
        <w:tabs>
          <w:tab w:val="left" w:pos="709"/>
        </w:tabs>
        <w:ind w:left="709" w:hanging="709"/>
      </w:pPr>
      <w:r>
        <w:t xml:space="preserve">Note 2: </w:t>
      </w:r>
      <w:r w:rsidR="00A66B6E">
        <w:tab/>
      </w:r>
      <w:r>
        <w:t>The original timeline has been extended to August 2024 as capacity and capability constraints have slowed progress on the Chartbook and affected delivery.</w:t>
      </w:r>
    </w:p>
    <w:p w14:paraId="26B0DB6A" w14:textId="2B0E79DB" w:rsidR="00530ED2" w:rsidRDefault="00530ED2" w:rsidP="00A66B6E">
      <w:pPr>
        <w:pStyle w:val="Note"/>
        <w:tabs>
          <w:tab w:val="left" w:pos="709"/>
        </w:tabs>
        <w:ind w:left="709" w:hanging="709"/>
        <w:sectPr w:rsidR="00530ED2" w:rsidSect="000A3324">
          <w:pgSz w:w="11907" w:h="16840" w:code="9"/>
          <w:pgMar w:top="1418" w:right="1701" w:bottom="1134" w:left="1843" w:header="284" w:footer="425" w:gutter="284"/>
          <w:cols w:space="720"/>
        </w:sectPr>
      </w:pPr>
      <w:r>
        <w:t xml:space="preserve">Note 3: </w:t>
      </w:r>
      <w:r w:rsidR="00A66B6E">
        <w:tab/>
      </w:r>
      <w:r>
        <w:t>Whilst we have established the PHKSS work programme with the aim of consistently collecting and disaggregating Māori data, ongoing challenges with data systems across the health sector hinder progress. Addressing baseline data collection issues is the first step, and we are working towards this.</w:t>
      </w:r>
    </w:p>
    <w:p w14:paraId="621AA280" w14:textId="77777777" w:rsidR="00513B74" w:rsidRDefault="00513B74" w:rsidP="00513B74">
      <w:pPr>
        <w:pStyle w:val="Heading4"/>
        <w:spacing w:before="0"/>
      </w:pPr>
      <w:r>
        <w:lastRenderedPageBreak/>
        <w:t>Regulatory and Enforcement Services</w:t>
      </w:r>
    </w:p>
    <w:p w14:paraId="051AF9CF" w14:textId="77777777" w:rsidR="00530ED2" w:rsidRDefault="00513B74" w:rsidP="00513B74">
      <w:r>
        <w:t>This category is limited to implementing, enforcing and administering health-related legislation and regulations, the provision of regulatory advice to the sector and to Ministers, and support services for committees appointed by the Minister under statute.</w:t>
      </w:r>
    </w:p>
    <w:p w14:paraId="2B7E1A1E" w14:textId="77777777" w:rsidR="00513B74" w:rsidRDefault="00513B74" w:rsidP="00513B74"/>
    <w:tbl>
      <w:tblPr>
        <w:tblStyle w:val="TableGrid"/>
        <w:tblW w:w="82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119"/>
        <w:gridCol w:w="1417"/>
        <w:gridCol w:w="1240"/>
        <w:gridCol w:w="1240"/>
        <w:gridCol w:w="1241"/>
      </w:tblGrid>
      <w:tr w:rsidR="00513B74" w14:paraId="5B287C38" w14:textId="77777777" w:rsidTr="005734DE">
        <w:tc>
          <w:tcPr>
            <w:tcW w:w="8257" w:type="dxa"/>
            <w:gridSpan w:val="5"/>
            <w:tcBorders>
              <w:top w:val="nil"/>
              <w:left w:val="nil"/>
              <w:bottom w:val="nil"/>
              <w:right w:val="nil"/>
            </w:tcBorders>
            <w:shd w:val="clear" w:color="auto" w:fill="D9D9D9" w:themeFill="background1" w:themeFillShade="D9"/>
            <w:hideMark/>
          </w:tcPr>
          <w:p w14:paraId="1C148B16" w14:textId="77777777" w:rsidR="00513B74" w:rsidRDefault="00513B74" w:rsidP="005734DE">
            <w:pPr>
              <w:pStyle w:val="TableText"/>
              <w:rPr>
                <w:b/>
                <w:bCs/>
              </w:rPr>
            </w:pPr>
            <w:r>
              <w:rPr>
                <w:b/>
                <w:bCs/>
              </w:rPr>
              <w:t>Performance assessment</w:t>
            </w:r>
          </w:p>
        </w:tc>
      </w:tr>
      <w:tr w:rsidR="00513B74" w14:paraId="77A7C90B" w14:textId="77777777" w:rsidTr="005734DE">
        <w:tc>
          <w:tcPr>
            <w:tcW w:w="3119"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3B325725" w14:textId="77777777" w:rsidR="00513B74" w:rsidRDefault="00513B74" w:rsidP="005734DE">
            <w:pPr>
              <w:pStyle w:val="TableText"/>
              <w:rPr>
                <w:b/>
                <w:bCs/>
                <w:sz w:val="16"/>
                <w:szCs w:val="16"/>
              </w:rPr>
            </w:pPr>
            <w:r>
              <w:rPr>
                <w:b/>
                <w:bCs/>
                <w:sz w:val="16"/>
                <w:szCs w:val="16"/>
              </w:rPr>
              <w:t>Performance measure</w:t>
            </w:r>
          </w:p>
        </w:tc>
        <w:tc>
          <w:tcPr>
            <w:tcW w:w="1417"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15460860" w14:textId="77777777" w:rsidR="00513B74" w:rsidRDefault="00513B74" w:rsidP="005734DE">
            <w:pPr>
              <w:pStyle w:val="TableText"/>
              <w:jc w:val="right"/>
              <w:rPr>
                <w:b/>
                <w:bCs/>
                <w:sz w:val="16"/>
                <w:szCs w:val="16"/>
              </w:rPr>
            </w:pPr>
            <w:r>
              <w:rPr>
                <w:b/>
                <w:bCs/>
                <w:sz w:val="16"/>
                <w:szCs w:val="16"/>
              </w:rPr>
              <w:t>Actual</w:t>
            </w:r>
          </w:p>
          <w:p w14:paraId="3ABC0DDD" w14:textId="77777777" w:rsidR="00513B74" w:rsidRDefault="00513B74" w:rsidP="005734DE">
            <w:pPr>
              <w:pStyle w:val="TableText"/>
              <w:jc w:val="right"/>
              <w:rPr>
                <w:b/>
                <w:bCs/>
                <w:sz w:val="16"/>
                <w:szCs w:val="16"/>
              </w:rPr>
            </w:pPr>
            <w:r>
              <w:rPr>
                <w:b/>
                <w:bCs/>
                <w:sz w:val="16"/>
                <w:szCs w:val="16"/>
              </w:rPr>
              <w:t>2022/23</w:t>
            </w:r>
          </w:p>
        </w:tc>
        <w:tc>
          <w:tcPr>
            <w:tcW w:w="1240"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5B6C9998" w14:textId="77777777" w:rsidR="00513B74" w:rsidRDefault="00513B74" w:rsidP="005734DE">
            <w:pPr>
              <w:pStyle w:val="TableText"/>
              <w:jc w:val="right"/>
              <w:rPr>
                <w:b/>
                <w:bCs/>
                <w:sz w:val="16"/>
                <w:szCs w:val="16"/>
              </w:rPr>
            </w:pPr>
            <w:r>
              <w:rPr>
                <w:b/>
                <w:bCs/>
                <w:sz w:val="16"/>
                <w:szCs w:val="16"/>
              </w:rPr>
              <w:t>Budget Standard</w:t>
            </w:r>
          </w:p>
          <w:p w14:paraId="704D52E7" w14:textId="77777777" w:rsidR="00513B74" w:rsidRDefault="00513B74" w:rsidP="005734DE">
            <w:pPr>
              <w:pStyle w:val="TableText"/>
              <w:jc w:val="right"/>
              <w:rPr>
                <w:b/>
                <w:bCs/>
                <w:sz w:val="16"/>
                <w:szCs w:val="16"/>
              </w:rPr>
            </w:pPr>
            <w:r>
              <w:rPr>
                <w:b/>
                <w:bCs/>
                <w:sz w:val="16"/>
                <w:szCs w:val="16"/>
              </w:rPr>
              <w:t>2023/24</w:t>
            </w:r>
          </w:p>
        </w:tc>
        <w:tc>
          <w:tcPr>
            <w:tcW w:w="1240"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61725D54" w14:textId="77777777" w:rsidR="00513B74" w:rsidRDefault="00513B74" w:rsidP="005734DE">
            <w:pPr>
              <w:pStyle w:val="TableText"/>
              <w:jc w:val="right"/>
              <w:rPr>
                <w:b/>
                <w:bCs/>
                <w:sz w:val="16"/>
                <w:szCs w:val="16"/>
              </w:rPr>
            </w:pPr>
            <w:r>
              <w:rPr>
                <w:b/>
                <w:bCs/>
                <w:sz w:val="16"/>
                <w:szCs w:val="16"/>
              </w:rPr>
              <w:t>Actual</w:t>
            </w:r>
          </w:p>
          <w:p w14:paraId="7B7351A1" w14:textId="77777777" w:rsidR="00513B74" w:rsidRDefault="00513B74" w:rsidP="005734DE">
            <w:pPr>
              <w:pStyle w:val="TableText"/>
              <w:jc w:val="right"/>
              <w:rPr>
                <w:b/>
                <w:bCs/>
                <w:sz w:val="16"/>
                <w:szCs w:val="16"/>
              </w:rPr>
            </w:pPr>
            <w:r>
              <w:rPr>
                <w:b/>
                <w:bCs/>
                <w:sz w:val="16"/>
                <w:szCs w:val="16"/>
              </w:rPr>
              <w:t>2023/24</w:t>
            </w:r>
          </w:p>
        </w:tc>
        <w:tc>
          <w:tcPr>
            <w:tcW w:w="1241"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120F7FD5" w14:textId="77777777" w:rsidR="00513B74" w:rsidRDefault="00513B74" w:rsidP="005734DE">
            <w:pPr>
              <w:pStyle w:val="TableText"/>
              <w:jc w:val="right"/>
              <w:rPr>
                <w:b/>
                <w:bCs/>
                <w:sz w:val="16"/>
                <w:szCs w:val="16"/>
              </w:rPr>
            </w:pPr>
            <w:r>
              <w:rPr>
                <w:b/>
                <w:bCs/>
                <w:sz w:val="16"/>
                <w:szCs w:val="16"/>
              </w:rPr>
              <w:t xml:space="preserve">At a </w:t>
            </w:r>
            <w:r>
              <w:rPr>
                <w:b/>
                <w:bCs/>
                <w:sz w:val="16"/>
                <w:szCs w:val="16"/>
              </w:rPr>
              <w:br/>
              <w:t>glance</w:t>
            </w:r>
          </w:p>
        </w:tc>
      </w:tr>
      <w:tr w:rsidR="00513B74" w14:paraId="1BD3F467" w14:textId="77777777" w:rsidTr="005734DE">
        <w:tc>
          <w:tcPr>
            <w:tcW w:w="3119" w:type="dxa"/>
            <w:tcBorders>
              <w:top w:val="single" w:sz="4" w:space="0" w:color="A6A6A6" w:themeColor="background1" w:themeShade="A6"/>
              <w:left w:val="nil"/>
              <w:bottom w:val="single" w:sz="4" w:space="0" w:color="A6A6A6" w:themeColor="background1" w:themeShade="A6"/>
              <w:right w:val="nil"/>
            </w:tcBorders>
          </w:tcPr>
          <w:p w14:paraId="7AD8B3D0" w14:textId="20577A9E" w:rsidR="00513B74" w:rsidRPr="00513B74" w:rsidRDefault="00513B74" w:rsidP="00513B74">
            <w:pPr>
              <w:pStyle w:val="TableText"/>
              <w:rPr>
                <w:sz w:val="16"/>
                <w:szCs w:val="18"/>
              </w:rPr>
            </w:pPr>
            <w:r w:rsidRPr="00513B74">
              <w:rPr>
                <w:sz w:val="16"/>
                <w:szCs w:val="18"/>
              </w:rPr>
              <w:t>The percentage of high priority incident notifications relating to medicines and medical devices that undergo an initial evaluation within 5 working days.</w:t>
            </w:r>
          </w:p>
        </w:tc>
        <w:tc>
          <w:tcPr>
            <w:tcW w:w="1417" w:type="dxa"/>
            <w:tcBorders>
              <w:top w:val="single" w:sz="4" w:space="0" w:color="A6A6A6" w:themeColor="background1" w:themeShade="A6"/>
              <w:left w:val="nil"/>
              <w:bottom w:val="single" w:sz="4" w:space="0" w:color="A6A6A6" w:themeColor="background1" w:themeShade="A6"/>
              <w:right w:val="nil"/>
            </w:tcBorders>
          </w:tcPr>
          <w:p w14:paraId="66772679" w14:textId="2D8A385F" w:rsidR="00513B74" w:rsidRPr="00513B74" w:rsidRDefault="00513B74" w:rsidP="00513B74">
            <w:pPr>
              <w:pStyle w:val="TableText"/>
              <w:ind w:right="57"/>
              <w:jc w:val="right"/>
              <w:rPr>
                <w:sz w:val="16"/>
                <w:szCs w:val="18"/>
              </w:rPr>
            </w:pPr>
            <w:r w:rsidRPr="00513B74">
              <w:rPr>
                <w:sz w:val="16"/>
                <w:szCs w:val="18"/>
              </w:rPr>
              <w:t>100%</w:t>
            </w:r>
          </w:p>
        </w:tc>
        <w:tc>
          <w:tcPr>
            <w:tcW w:w="1240" w:type="dxa"/>
            <w:tcBorders>
              <w:top w:val="single" w:sz="4" w:space="0" w:color="A6A6A6" w:themeColor="background1" w:themeShade="A6"/>
              <w:left w:val="nil"/>
              <w:bottom w:val="single" w:sz="4" w:space="0" w:color="A6A6A6" w:themeColor="background1" w:themeShade="A6"/>
              <w:right w:val="nil"/>
            </w:tcBorders>
          </w:tcPr>
          <w:p w14:paraId="040BF02A" w14:textId="0AEE6895" w:rsidR="00513B74" w:rsidRPr="00513B74" w:rsidRDefault="00513B74" w:rsidP="00513B74">
            <w:pPr>
              <w:pStyle w:val="TableText"/>
              <w:ind w:right="57"/>
              <w:jc w:val="right"/>
              <w:rPr>
                <w:sz w:val="16"/>
                <w:szCs w:val="18"/>
              </w:rPr>
            </w:pPr>
            <w:r w:rsidRPr="00513B74">
              <w:rPr>
                <w:spacing w:val="-5"/>
                <w:w w:val="105"/>
                <w:sz w:val="16"/>
                <w:szCs w:val="18"/>
              </w:rPr>
              <w:t>90%</w:t>
            </w:r>
          </w:p>
        </w:tc>
        <w:tc>
          <w:tcPr>
            <w:tcW w:w="1240" w:type="dxa"/>
            <w:tcBorders>
              <w:top w:val="single" w:sz="4" w:space="0" w:color="A6A6A6" w:themeColor="background1" w:themeShade="A6"/>
              <w:left w:val="nil"/>
              <w:bottom w:val="single" w:sz="4" w:space="0" w:color="A6A6A6" w:themeColor="background1" w:themeShade="A6"/>
              <w:right w:val="nil"/>
            </w:tcBorders>
          </w:tcPr>
          <w:p w14:paraId="59092691" w14:textId="5A40FA95" w:rsidR="00513B74" w:rsidRPr="00513B74" w:rsidRDefault="00513B74" w:rsidP="00513B74">
            <w:pPr>
              <w:pStyle w:val="TableText"/>
              <w:ind w:right="57"/>
              <w:jc w:val="right"/>
              <w:rPr>
                <w:sz w:val="16"/>
                <w:szCs w:val="18"/>
              </w:rPr>
            </w:pPr>
            <w:r w:rsidRPr="00513B74">
              <w:rPr>
                <w:sz w:val="16"/>
                <w:szCs w:val="18"/>
              </w:rPr>
              <w:t>100%</w:t>
            </w:r>
          </w:p>
        </w:tc>
        <w:tc>
          <w:tcPr>
            <w:tcW w:w="1241" w:type="dxa"/>
            <w:tcBorders>
              <w:top w:val="single" w:sz="4" w:space="0" w:color="A6A6A6" w:themeColor="background1" w:themeShade="A6"/>
              <w:left w:val="nil"/>
              <w:bottom w:val="single" w:sz="4" w:space="0" w:color="A6A6A6" w:themeColor="background1" w:themeShade="A6"/>
              <w:right w:val="nil"/>
            </w:tcBorders>
          </w:tcPr>
          <w:p w14:paraId="4F196211" w14:textId="77777777" w:rsidR="00513B74" w:rsidRPr="00956117" w:rsidRDefault="00513B74" w:rsidP="00513B74">
            <w:pPr>
              <w:pStyle w:val="TableText"/>
              <w:ind w:right="57"/>
              <w:jc w:val="right"/>
              <w:rPr>
                <w:sz w:val="16"/>
                <w:szCs w:val="18"/>
              </w:rPr>
            </w:pPr>
            <w:r w:rsidRPr="00BD423C">
              <w:rPr>
                <w:rFonts w:ascii="Wingdings" w:hAnsi="Wingdings"/>
                <w:spacing w:val="-10"/>
                <w:sz w:val="16"/>
                <w:szCs w:val="18"/>
              </w:rPr>
              <w:t>ü</w:t>
            </w:r>
          </w:p>
        </w:tc>
      </w:tr>
      <w:tr w:rsidR="00513B74" w14:paraId="500DF0B2" w14:textId="77777777" w:rsidTr="005734DE">
        <w:tc>
          <w:tcPr>
            <w:tcW w:w="3119" w:type="dxa"/>
            <w:tcBorders>
              <w:top w:val="single" w:sz="4" w:space="0" w:color="A6A6A6" w:themeColor="background1" w:themeShade="A6"/>
              <w:left w:val="nil"/>
              <w:bottom w:val="single" w:sz="4" w:space="0" w:color="A6A6A6" w:themeColor="background1" w:themeShade="A6"/>
              <w:right w:val="nil"/>
            </w:tcBorders>
          </w:tcPr>
          <w:p w14:paraId="2D53DF2C" w14:textId="5E2F43FE" w:rsidR="00513B74" w:rsidRPr="00513B74" w:rsidRDefault="00513B74" w:rsidP="00513B74">
            <w:pPr>
              <w:pStyle w:val="TableText"/>
              <w:rPr>
                <w:sz w:val="16"/>
                <w:szCs w:val="18"/>
              </w:rPr>
            </w:pPr>
            <w:r w:rsidRPr="00513B74">
              <w:rPr>
                <w:sz w:val="16"/>
                <w:szCs w:val="18"/>
              </w:rPr>
              <w:t>The percentage of all certificates issued to providers under the Health and Disability Services (Safety) Act 2001 within target timeframes.</w:t>
            </w:r>
          </w:p>
        </w:tc>
        <w:tc>
          <w:tcPr>
            <w:tcW w:w="1417" w:type="dxa"/>
            <w:tcBorders>
              <w:top w:val="single" w:sz="4" w:space="0" w:color="A6A6A6" w:themeColor="background1" w:themeShade="A6"/>
              <w:left w:val="nil"/>
              <w:bottom w:val="single" w:sz="4" w:space="0" w:color="A6A6A6" w:themeColor="background1" w:themeShade="A6"/>
              <w:right w:val="nil"/>
            </w:tcBorders>
          </w:tcPr>
          <w:p w14:paraId="05A566F7" w14:textId="0D2C0886" w:rsidR="00513B74" w:rsidRPr="00513B74" w:rsidRDefault="00513B74" w:rsidP="00513B74">
            <w:pPr>
              <w:pStyle w:val="TableText"/>
              <w:ind w:right="57"/>
              <w:jc w:val="right"/>
              <w:rPr>
                <w:spacing w:val="-2"/>
                <w:w w:val="105"/>
                <w:sz w:val="16"/>
                <w:szCs w:val="18"/>
              </w:rPr>
            </w:pPr>
            <w:r w:rsidRPr="00513B74">
              <w:rPr>
                <w:spacing w:val="-5"/>
                <w:w w:val="105"/>
                <w:sz w:val="16"/>
                <w:szCs w:val="18"/>
              </w:rPr>
              <w:t>90%</w:t>
            </w:r>
          </w:p>
        </w:tc>
        <w:tc>
          <w:tcPr>
            <w:tcW w:w="1240" w:type="dxa"/>
            <w:tcBorders>
              <w:top w:val="single" w:sz="4" w:space="0" w:color="A6A6A6" w:themeColor="background1" w:themeShade="A6"/>
              <w:left w:val="nil"/>
              <w:bottom w:val="single" w:sz="4" w:space="0" w:color="A6A6A6" w:themeColor="background1" w:themeShade="A6"/>
              <w:right w:val="nil"/>
            </w:tcBorders>
          </w:tcPr>
          <w:p w14:paraId="356BCC40" w14:textId="2816DE52" w:rsidR="00513B74" w:rsidRPr="00513B74" w:rsidRDefault="00513B74" w:rsidP="00513B74">
            <w:pPr>
              <w:pStyle w:val="TableText"/>
              <w:ind w:right="57"/>
              <w:jc w:val="right"/>
              <w:rPr>
                <w:sz w:val="16"/>
                <w:szCs w:val="18"/>
              </w:rPr>
            </w:pPr>
            <w:r w:rsidRPr="00513B74">
              <w:rPr>
                <w:spacing w:val="-5"/>
                <w:w w:val="105"/>
                <w:sz w:val="16"/>
                <w:szCs w:val="18"/>
              </w:rPr>
              <w:t>90%</w:t>
            </w:r>
          </w:p>
        </w:tc>
        <w:tc>
          <w:tcPr>
            <w:tcW w:w="1240" w:type="dxa"/>
            <w:tcBorders>
              <w:top w:val="single" w:sz="4" w:space="0" w:color="A6A6A6" w:themeColor="background1" w:themeShade="A6"/>
              <w:left w:val="nil"/>
              <w:bottom w:val="single" w:sz="4" w:space="0" w:color="A6A6A6" w:themeColor="background1" w:themeShade="A6"/>
              <w:right w:val="nil"/>
            </w:tcBorders>
          </w:tcPr>
          <w:p w14:paraId="038787C6" w14:textId="2B6D0182" w:rsidR="00513B74" w:rsidRPr="00513B74" w:rsidRDefault="00513B74" w:rsidP="00513B74">
            <w:pPr>
              <w:pStyle w:val="TableText"/>
              <w:ind w:right="57"/>
              <w:jc w:val="right"/>
              <w:rPr>
                <w:sz w:val="16"/>
                <w:szCs w:val="18"/>
              </w:rPr>
            </w:pPr>
            <w:r w:rsidRPr="00513B74">
              <w:rPr>
                <w:spacing w:val="-5"/>
                <w:sz w:val="16"/>
                <w:szCs w:val="18"/>
              </w:rPr>
              <w:t>91%</w:t>
            </w:r>
          </w:p>
        </w:tc>
        <w:tc>
          <w:tcPr>
            <w:tcW w:w="1241" w:type="dxa"/>
            <w:tcBorders>
              <w:top w:val="single" w:sz="4" w:space="0" w:color="A6A6A6" w:themeColor="background1" w:themeShade="A6"/>
              <w:left w:val="nil"/>
              <w:bottom w:val="single" w:sz="4" w:space="0" w:color="A6A6A6" w:themeColor="background1" w:themeShade="A6"/>
              <w:right w:val="nil"/>
            </w:tcBorders>
          </w:tcPr>
          <w:p w14:paraId="01706637" w14:textId="77777777" w:rsidR="00513B74" w:rsidRPr="00956117" w:rsidRDefault="00513B74" w:rsidP="00513B74">
            <w:pPr>
              <w:pStyle w:val="TableText"/>
              <w:ind w:right="57"/>
              <w:jc w:val="right"/>
              <w:rPr>
                <w:sz w:val="16"/>
                <w:szCs w:val="18"/>
              </w:rPr>
            </w:pPr>
            <w:r w:rsidRPr="00BD423C">
              <w:rPr>
                <w:rFonts w:ascii="Wingdings" w:hAnsi="Wingdings"/>
                <w:spacing w:val="-10"/>
                <w:sz w:val="16"/>
                <w:szCs w:val="18"/>
              </w:rPr>
              <w:t>ü</w:t>
            </w:r>
          </w:p>
        </w:tc>
      </w:tr>
      <w:tr w:rsidR="00513B74" w14:paraId="0FB1E3B4" w14:textId="77777777" w:rsidTr="005734DE">
        <w:tc>
          <w:tcPr>
            <w:tcW w:w="3119" w:type="dxa"/>
            <w:tcBorders>
              <w:top w:val="single" w:sz="4" w:space="0" w:color="A6A6A6" w:themeColor="background1" w:themeShade="A6"/>
              <w:left w:val="nil"/>
              <w:bottom w:val="single" w:sz="4" w:space="0" w:color="A6A6A6" w:themeColor="background1" w:themeShade="A6"/>
              <w:right w:val="nil"/>
            </w:tcBorders>
          </w:tcPr>
          <w:p w14:paraId="41D7B6A8" w14:textId="6290A82B" w:rsidR="00513B74" w:rsidRPr="00513B74" w:rsidRDefault="00513B74" w:rsidP="00513B74">
            <w:pPr>
              <w:pStyle w:val="TableText"/>
              <w:rPr>
                <w:sz w:val="16"/>
                <w:szCs w:val="18"/>
              </w:rPr>
            </w:pPr>
            <w:r w:rsidRPr="00513B74">
              <w:rPr>
                <w:sz w:val="16"/>
                <w:szCs w:val="18"/>
              </w:rPr>
              <w:t>Percentage of licences and authorities issued under the Medicines Act 1981 and Misuse of Drugs Act 1975 within target timeframes</w:t>
            </w:r>
          </w:p>
        </w:tc>
        <w:tc>
          <w:tcPr>
            <w:tcW w:w="1417" w:type="dxa"/>
            <w:tcBorders>
              <w:top w:val="single" w:sz="4" w:space="0" w:color="A6A6A6" w:themeColor="background1" w:themeShade="A6"/>
              <w:left w:val="nil"/>
              <w:bottom w:val="single" w:sz="4" w:space="0" w:color="A6A6A6" w:themeColor="background1" w:themeShade="A6"/>
              <w:right w:val="nil"/>
            </w:tcBorders>
          </w:tcPr>
          <w:p w14:paraId="0B870FBE" w14:textId="1157E387" w:rsidR="00513B74" w:rsidRPr="00513B74" w:rsidRDefault="00513B74" w:rsidP="00513B74">
            <w:pPr>
              <w:pStyle w:val="TableText"/>
              <w:ind w:right="57"/>
              <w:jc w:val="right"/>
              <w:rPr>
                <w:spacing w:val="-2"/>
                <w:w w:val="105"/>
                <w:sz w:val="16"/>
                <w:szCs w:val="18"/>
              </w:rPr>
            </w:pPr>
            <w:r w:rsidRPr="00513B74">
              <w:rPr>
                <w:spacing w:val="-5"/>
                <w:sz w:val="16"/>
                <w:szCs w:val="18"/>
              </w:rPr>
              <w:t>91%</w:t>
            </w:r>
          </w:p>
        </w:tc>
        <w:tc>
          <w:tcPr>
            <w:tcW w:w="1240" w:type="dxa"/>
            <w:tcBorders>
              <w:top w:val="single" w:sz="4" w:space="0" w:color="A6A6A6" w:themeColor="background1" w:themeShade="A6"/>
              <w:left w:val="nil"/>
              <w:bottom w:val="single" w:sz="4" w:space="0" w:color="A6A6A6" w:themeColor="background1" w:themeShade="A6"/>
              <w:right w:val="nil"/>
            </w:tcBorders>
          </w:tcPr>
          <w:p w14:paraId="5773B527" w14:textId="36E0F28B" w:rsidR="00513B74" w:rsidRPr="00513B74" w:rsidRDefault="00513B74" w:rsidP="00513B74">
            <w:pPr>
              <w:pStyle w:val="TableText"/>
              <w:ind w:right="57"/>
              <w:jc w:val="right"/>
              <w:rPr>
                <w:sz w:val="16"/>
                <w:szCs w:val="18"/>
              </w:rPr>
            </w:pPr>
            <w:r w:rsidRPr="00513B74">
              <w:rPr>
                <w:spacing w:val="-5"/>
                <w:w w:val="105"/>
                <w:sz w:val="16"/>
                <w:szCs w:val="18"/>
              </w:rPr>
              <w:t>90%</w:t>
            </w:r>
          </w:p>
        </w:tc>
        <w:tc>
          <w:tcPr>
            <w:tcW w:w="1240" w:type="dxa"/>
            <w:tcBorders>
              <w:top w:val="single" w:sz="4" w:space="0" w:color="A6A6A6" w:themeColor="background1" w:themeShade="A6"/>
              <w:left w:val="nil"/>
              <w:bottom w:val="single" w:sz="4" w:space="0" w:color="A6A6A6" w:themeColor="background1" w:themeShade="A6"/>
              <w:right w:val="nil"/>
            </w:tcBorders>
          </w:tcPr>
          <w:p w14:paraId="0CF97DCD" w14:textId="29501C82" w:rsidR="00513B74" w:rsidRPr="00513B74" w:rsidRDefault="00513B74" w:rsidP="00513B74">
            <w:pPr>
              <w:pStyle w:val="TableText"/>
              <w:ind w:right="57"/>
              <w:jc w:val="right"/>
              <w:rPr>
                <w:sz w:val="16"/>
                <w:szCs w:val="18"/>
              </w:rPr>
            </w:pPr>
            <w:r w:rsidRPr="00513B74">
              <w:rPr>
                <w:spacing w:val="-5"/>
                <w:sz w:val="16"/>
                <w:szCs w:val="18"/>
              </w:rPr>
              <w:t>79%</w:t>
            </w:r>
          </w:p>
        </w:tc>
        <w:tc>
          <w:tcPr>
            <w:tcW w:w="1241" w:type="dxa"/>
            <w:tcBorders>
              <w:top w:val="single" w:sz="4" w:space="0" w:color="A6A6A6" w:themeColor="background1" w:themeShade="A6"/>
              <w:left w:val="nil"/>
              <w:bottom w:val="single" w:sz="4" w:space="0" w:color="A6A6A6" w:themeColor="background1" w:themeShade="A6"/>
              <w:right w:val="nil"/>
            </w:tcBorders>
          </w:tcPr>
          <w:p w14:paraId="6B1DE45C" w14:textId="77777777" w:rsidR="00513B74" w:rsidRPr="00513B74" w:rsidRDefault="00513B74" w:rsidP="00513B74">
            <w:pPr>
              <w:pStyle w:val="TableParagraph"/>
              <w:spacing w:before="76"/>
              <w:ind w:right="57"/>
              <w:jc w:val="right"/>
              <w:rPr>
                <w:rFonts w:ascii="Wingdings" w:hAnsi="Wingdings"/>
                <w:sz w:val="16"/>
                <w:szCs w:val="16"/>
              </w:rPr>
            </w:pPr>
            <w:r w:rsidRPr="00513B74">
              <w:rPr>
                <w:rFonts w:ascii="Wingdings" w:hAnsi="Wingdings"/>
                <w:spacing w:val="-10"/>
                <w:sz w:val="16"/>
                <w:szCs w:val="16"/>
              </w:rPr>
              <w:t>û</w:t>
            </w:r>
          </w:p>
          <w:p w14:paraId="5A5BD2C6" w14:textId="74CE9022" w:rsidR="00513B74" w:rsidRPr="00513B74" w:rsidRDefault="00513B74" w:rsidP="00513B74">
            <w:pPr>
              <w:pStyle w:val="TableText"/>
              <w:ind w:right="57"/>
              <w:jc w:val="right"/>
              <w:rPr>
                <w:sz w:val="16"/>
                <w:szCs w:val="16"/>
              </w:rPr>
            </w:pPr>
            <w:r w:rsidRPr="00513B74">
              <w:rPr>
                <w:sz w:val="16"/>
                <w:szCs w:val="16"/>
              </w:rPr>
              <w:t>(Note</w:t>
            </w:r>
            <w:r w:rsidRPr="00513B74">
              <w:rPr>
                <w:spacing w:val="19"/>
                <w:sz w:val="16"/>
                <w:szCs w:val="16"/>
              </w:rPr>
              <w:t xml:space="preserve"> </w:t>
            </w:r>
            <w:r w:rsidRPr="00513B74">
              <w:rPr>
                <w:spacing w:val="-5"/>
                <w:sz w:val="16"/>
                <w:szCs w:val="16"/>
              </w:rPr>
              <w:t>1)</w:t>
            </w:r>
          </w:p>
        </w:tc>
      </w:tr>
      <w:tr w:rsidR="00513B74" w14:paraId="7DEBEB70" w14:textId="77777777" w:rsidTr="005734DE">
        <w:tc>
          <w:tcPr>
            <w:tcW w:w="3119" w:type="dxa"/>
            <w:tcBorders>
              <w:top w:val="single" w:sz="4" w:space="0" w:color="A6A6A6" w:themeColor="background1" w:themeShade="A6"/>
              <w:left w:val="nil"/>
              <w:bottom w:val="single" w:sz="4" w:space="0" w:color="A6A6A6" w:themeColor="background1" w:themeShade="A6"/>
              <w:right w:val="nil"/>
            </w:tcBorders>
          </w:tcPr>
          <w:p w14:paraId="367927D7" w14:textId="570F59D4" w:rsidR="00513B74" w:rsidRPr="00513B74" w:rsidRDefault="00513B74" w:rsidP="00513B74">
            <w:pPr>
              <w:pStyle w:val="TableText"/>
              <w:rPr>
                <w:sz w:val="16"/>
                <w:szCs w:val="18"/>
              </w:rPr>
            </w:pPr>
            <w:r w:rsidRPr="00513B74">
              <w:rPr>
                <w:sz w:val="16"/>
                <w:szCs w:val="18"/>
              </w:rPr>
              <w:t>The percentage of all licences and consents issued to radiation users under the Radiation Safety Act 2016 within 10 working days of accepting the application</w:t>
            </w:r>
          </w:p>
        </w:tc>
        <w:tc>
          <w:tcPr>
            <w:tcW w:w="1417" w:type="dxa"/>
            <w:tcBorders>
              <w:top w:val="single" w:sz="4" w:space="0" w:color="A6A6A6" w:themeColor="background1" w:themeShade="A6"/>
              <w:left w:val="nil"/>
              <w:bottom w:val="single" w:sz="4" w:space="0" w:color="A6A6A6" w:themeColor="background1" w:themeShade="A6"/>
              <w:right w:val="nil"/>
            </w:tcBorders>
          </w:tcPr>
          <w:p w14:paraId="60FA2677" w14:textId="3840DA67" w:rsidR="00513B74" w:rsidRPr="00513B74" w:rsidRDefault="00513B74" w:rsidP="00513B74">
            <w:pPr>
              <w:pStyle w:val="TableText"/>
              <w:ind w:right="57"/>
              <w:jc w:val="right"/>
              <w:rPr>
                <w:spacing w:val="-2"/>
                <w:w w:val="105"/>
                <w:sz w:val="16"/>
                <w:szCs w:val="18"/>
              </w:rPr>
            </w:pPr>
            <w:r w:rsidRPr="00513B74">
              <w:rPr>
                <w:spacing w:val="-5"/>
                <w:w w:val="105"/>
                <w:sz w:val="16"/>
                <w:szCs w:val="18"/>
              </w:rPr>
              <w:t>98%</w:t>
            </w:r>
          </w:p>
        </w:tc>
        <w:tc>
          <w:tcPr>
            <w:tcW w:w="1240" w:type="dxa"/>
            <w:tcBorders>
              <w:top w:val="single" w:sz="4" w:space="0" w:color="A6A6A6" w:themeColor="background1" w:themeShade="A6"/>
              <w:left w:val="nil"/>
              <w:bottom w:val="single" w:sz="4" w:space="0" w:color="A6A6A6" w:themeColor="background1" w:themeShade="A6"/>
              <w:right w:val="nil"/>
            </w:tcBorders>
          </w:tcPr>
          <w:p w14:paraId="77A28861" w14:textId="5A35A2EB" w:rsidR="00513B74" w:rsidRPr="00513B74" w:rsidRDefault="00513B74" w:rsidP="00513B74">
            <w:pPr>
              <w:pStyle w:val="TableText"/>
              <w:ind w:right="57"/>
              <w:jc w:val="right"/>
              <w:rPr>
                <w:sz w:val="16"/>
                <w:szCs w:val="18"/>
              </w:rPr>
            </w:pPr>
            <w:r w:rsidRPr="00513B74">
              <w:rPr>
                <w:spacing w:val="-5"/>
                <w:w w:val="105"/>
                <w:sz w:val="16"/>
                <w:szCs w:val="18"/>
              </w:rPr>
              <w:t>90%</w:t>
            </w:r>
          </w:p>
        </w:tc>
        <w:tc>
          <w:tcPr>
            <w:tcW w:w="1240" w:type="dxa"/>
            <w:tcBorders>
              <w:top w:val="single" w:sz="4" w:space="0" w:color="A6A6A6" w:themeColor="background1" w:themeShade="A6"/>
              <w:left w:val="nil"/>
              <w:bottom w:val="single" w:sz="4" w:space="0" w:color="A6A6A6" w:themeColor="background1" w:themeShade="A6"/>
              <w:right w:val="nil"/>
            </w:tcBorders>
          </w:tcPr>
          <w:p w14:paraId="3156F9AF" w14:textId="6D8171D7" w:rsidR="00513B74" w:rsidRPr="00513B74" w:rsidRDefault="00513B74" w:rsidP="00513B74">
            <w:pPr>
              <w:pStyle w:val="TableText"/>
              <w:ind w:right="57"/>
              <w:jc w:val="right"/>
              <w:rPr>
                <w:sz w:val="16"/>
                <w:szCs w:val="18"/>
              </w:rPr>
            </w:pPr>
            <w:r w:rsidRPr="00513B74">
              <w:rPr>
                <w:spacing w:val="-5"/>
                <w:w w:val="105"/>
                <w:sz w:val="16"/>
                <w:szCs w:val="18"/>
              </w:rPr>
              <w:t>86%</w:t>
            </w:r>
          </w:p>
        </w:tc>
        <w:tc>
          <w:tcPr>
            <w:tcW w:w="1241" w:type="dxa"/>
            <w:tcBorders>
              <w:top w:val="single" w:sz="4" w:space="0" w:color="A6A6A6" w:themeColor="background1" w:themeShade="A6"/>
              <w:left w:val="nil"/>
              <w:bottom w:val="single" w:sz="4" w:space="0" w:color="A6A6A6" w:themeColor="background1" w:themeShade="A6"/>
              <w:right w:val="nil"/>
            </w:tcBorders>
          </w:tcPr>
          <w:p w14:paraId="474DDB20" w14:textId="77777777" w:rsidR="00513B74" w:rsidRPr="00513B74" w:rsidRDefault="00513B74" w:rsidP="00513B74">
            <w:pPr>
              <w:pStyle w:val="TableParagraph"/>
              <w:spacing w:before="76"/>
              <w:ind w:right="57"/>
              <w:jc w:val="right"/>
              <w:rPr>
                <w:rFonts w:ascii="Wingdings" w:hAnsi="Wingdings"/>
                <w:sz w:val="16"/>
                <w:szCs w:val="16"/>
              </w:rPr>
            </w:pPr>
            <w:r w:rsidRPr="00513B74">
              <w:rPr>
                <w:rFonts w:ascii="Wingdings" w:hAnsi="Wingdings"/>
                <w:spacing w:val="-10"/>
                <w:sz w:val="16"/>
                <w:szCs w:val="16"/>
              </w:rPr>
              <w:t>û</w:t>
            </w:r>
          </w:p>
          <w:p w14:paraId="70B57F92" w14:textId="10DC34FE" w:rsidR="00513B74" w:rsidRPr="00513B74" w:rsidRDefault="00513B74" w:rsidP="00513B74">
            <w:pPr>
              <w:pStyle w:val="TableText"/>
              <w:ind w:right="57"/>
              <w:jc w:val="right"/>
              <w:rPr>
                <w:sz w:val="16"/>
                <w:szCs w:val="16"/>
              </w:rPr>
            </w:pPr>
            <w:r w:rsidRPr="00513B74">
              <w:rPr>
                <w:w w:val="105"/>
                <w:sz w:val="16"/>
                <w:szCs w:val="16"/>
              </w:rPr>
              <w:t>(Note</w:t>
            </w:r>
            <w:r w:rsidRPr="00513B74">
              <w:rPr>
                <w:spacing w:val="-9"/>
                <w:w w:val="105"/>
                <w:sz w:val="16"/>
                <w:szCs w:val="16"/>
              </w:rPr>
              <w:t xml:space="preserve"> </w:t>
            </w:r>
            <w:r w:rsidRPr="00513B74">
              <w:rPr>
                <w:spacing w:val="-7"/>
                <w:w w:val="105"/>
                <w:sz w:val="16"/>
                <w:szCs w:val="16"/>
              </w:rPr>
              <w:t>2)</w:t>
            </w:r>
          </w:p>
        </w:tc>
      </w:tr>
      <w:tr w:rsidR="00513B74" w14:paraId="3A54368B" w14:textId="77777777" w:rsidTr="005734DE">
        <w:tc>
          <w:tcPr>
            <w:tcW w:w="3119" w:type="dxa"/>
            <w:tcBorders>
              <w:top w:val="single" w:sz="4" w:space="0" w:color="A6A6A6" w:themeColor="background1" w:themeShade="A6"/>
              <w:left w:val="nil"/>
              <w:bottom w:val="single" w:sz="4" w:space="0" w:color="A6A6A6" w:themeColor="background1" w:themeShade="A6"/>
              <w:right w:val="nil"/>
            </w:tcBorders>
          </w:tcPr>
          <w:p w14:paraId="5EB41B00" w14:textId="340E4266" w:rsidR="00513B74" w:rsidRPr="00513B74" w:rsidRDefault="00513B74" w:rsidP="00513B74">
            <w:pPr>
              <w:pStyle w:val="TableText"/>
              <w:rPr>
                <w:sz w:val="16"/>
                <w:szCs w:val="18"/>
              </w:rPr>
            </w:pPr>
            <w:r w:rsidRPr="00513B74">
              <w:rPr>
                <w:sz w:val="16"/>
                <w:szCs w:val="18"/>
              </w:rPr>
              <w:t>The percentage of all New Medicines Applications (for ministerial consent to market) that receive an initial assessment within 200 days</w:t>
            </w:r>
          </w:p>
        </w:tc>
        <w:tc>
          <w:tcPr>
            <w:tcW w:w="1417" w:type="dxa"/>
            <w:tcBorders>
              <w:top w:val="single" w:sz="4" w:space="0" w:color="A6A6A6" w:themeColor="background1" w:themeShade="A6"/>
              <w:left w:val="nil"/>
              <w:bottom w:val="single" w:sz="4" w:space="0" w:color="A6A6A6" w:themeColor="background1" w:themeShade="A6"/>
              <w:right w:val="nil"/>
            </w:tcBorders>
          </w:tcPr>
          <w:p w14:paraId="3E7CBDD2" w14:textId="0988E92C" w:rsidR="00513B74" w:rsidRPr="00513B74" w:rsidRDefault="00513B74" w:rsidP="00513B74">
            <w:pPr>
              <w:pStyle w:val="TableText"/>
              <w:ind w:right="57"/>
              <w:jc w:val="right"/>
              <w:rPr>
                <w:sz w:val="16"/>
                <w:szCs w:val="18"/>
              </w:rPr>
            </w:pPr>
            <w:r w:rsidRPr="00513B74">
              <w:rPr>
                <w:spacing w:val="-5"/>
                <w:sz w:val="16"/>
                <w:szCs w:val="18"/>
              </w:rPr>
              <w:t>81%</w:t>
            </w:r>
          </w:p>
        </w:tc>
        <w:tc>
          <w:tcPr>
            <w:tcW w:w="1240" w:type="dxa"/>
            <w:tcBorders>
              <w:top w:val="single" w:sz="4" w:space="0" w:color="A6A6A6" w:themeColor="background1" w:themeShade="A6"/>
              <w:left w:val="nil"/>
              <w:bottom w:val="single" w:sz="4" w:space="0" w:color="A6A6A6" w:themeColor="background1" w:themeShade="A6"/>
              <w:right w:val="nil"/>
            </w:tcBorders>
          </w:tcPr>
          <w:p w14:paraId="528AED91" w14:textId="37C93964" w:rsidR="00513B74" w:rsidRPr="00513B74" w:rsidRDefault="00513B74" w:rsidP="00513B74">
            <w:pPr>
              <w:pStyle w:val="TableText"/>
              <w:ind w:right="57"/>
              <w:jc w:val="right"/>
              <w:rPr>
                <w:sz w:val="16"/>
                <w:szCs w:val="18"/>
              </w:rPr>
            </w:pPr>
            <w:r w:rsidRPr="00513B74">
              <w:rPr>
                <w:spacing w:val="-5"/>
                <w:w w:val="105"/>
                <w:sz w:val="16"/>
                <w:szCs w:val="18"/>
              </w:rPr>
              <w:t>80%</w:t>
            </w:r>
          </w:p>
        </w:tc>
        <w:tc>
          <w:tcPr>
            <w:tcW w:w="1240" w:type="dxa"/>
            <w:tcBorders>
              <w:top w:val="single" w:sz="4" w:space="0" w:color="A6A6A6" w:themeColor="background1" w:themeShade="A6"/>
              <w:left w:val="nil"/>
              <w:bottom w:val="single" w:sz="4" w:space="0" w:color="A6A6A6" w:themeColor="background1" w:themeShade="A6"/>
              <w:right w:val="nil"/>
            </w:tcBorders>
          </w:tcPr>
          <w:p w14:paraId="36C8AA12" w14:textId="77A53232" w:rsidR="00513B74" w:rsidRPr="00513B74" w:rsidRDefault="00513B74" w:rsidP="00513B74">
            <w:pPr>
              <w:pStyle w:val="TableText"/>
              <w:ind w:right="57"/>
              <w:jc w:val="right"/>
              <w:rPr>
                <w:sz w:val="16"/>
                <w:szCs w:val="18"/>
              </w:rPr>
            </w:pPr>
            <w:r w:rsidRPr="00513B74">
              <w:rPr>
                <w:spacing w:val="-5"/>
                <w:w w:val="105"/>
                <w:sz w:val="16"/>
                <w:szCs w:val="18"/>
              </w:rPr>
              <w:t>88%</w:t>
            </w:r>
          </w:p>
        </w:tc>
        <w:tc>
          <w:tcPr>
            <w:tcW w:w="1241" w:type="dxa"/>
            <w:tcBorders>
              <w:top w:val="single" w:sz="4" w:space="0" w:color="A6A6A6" w:themeColor="background1" w:themeShade="A6"/>
              <w:left w:val="nil"/>
              <w:bottom w:val="single" w:sz="4" w:space="0" w:color="A6A6A6" w:themeColor="background1" w:themeShade="A6"/>
              <w:right w:val="nil"/>
            </w:tcBorders>
          </w:tcPr>
          <w:p w14:paraId="4B313893" w14:textId="77777777" w:rsidR="00513B74" w:rsidRPr="00956117" w:rsidRDefault="00513B74" w:rsidP="00513B74">
            <w:pPr>
              <w:pStyle w:val="TableText"/>
              <w:ind w:right="57"/>
              <w:jc w:val="right"/>
              <w:rPr>
                <w:sz w:val="16"/>
                <w:szCs w:val="18"/>
              </w:rPr>
            </w:pPr>
            <w:r w:rsidRPr="00BD423C">
              <w:rPr>
                <w:rFonts w:ascii="Wingdings" w:hAnsi="Wingdings"/>
                <w:spacing w:val="-10"/>
                <w:sz w:val="16"/>
                <w:szCs w:val="18"/>
              </w:rPr>
              <w:t>ü</w:t>
            </w:r>
          </w:p>
        </w:tc>
      </w:tr>
      <w:tr w:rsidR="00513B74" w14:paraId="22D9F9BE" w14:textId="77777777" w:rsidTr="005734DE">
        <w:tc>
          <w:tcPr>
            <w:tcW w:w="3119" w:type="dxa"/>
            <w:tcBorders>
              <w:top w:val="single" w:sz="4" w:space="0" w:color="A6A6A6" w:themeColor="background1" w:themeShade="A6"/>
              <w:left w:val="nil"/>
              <w:bottom w:val="single" w:sz="4" w:space="0" w:color="A6A6A6" w:themeColor="background1" w:themeShade="A6"/>
              <w:right w:val="nil"/>
            </w:tcBorders>
          </w:tcPr>
          <w:p w14:paraId="4BBD55DA" w14:textId="44CFAC55" w:rsidR="00513B74" w:rsidRPr="00513B74" w:rsidRDefault="00513B74" w:rsidP="00513B74">
            <w:pPr>
              <w:pStyle w:val="TableText"/>
              <w:rPr>
                <w:sz w:val="16"/>
                <w:szCs w:val="18"/>
              </w:rPr>
            </w:pPr>
            <w:r w:rsidRPr="00513B74">
              <w:rPr>
                <w:sz w:val="16"/>
                <w:szCs w:val="18"/>
              </w:rPr>
              <w:t>The percentage of all Changed Medicines Notifications (for ministerial consent to market) responded to within 45 days</w:t>
            </w:r>
          </w:p>
        </w:tc>
        <w:tc>
          <w:tcPr>
            <w:tcW w:w="1417" w:type="dxa"/>
            <w:tcBorders>
              <w:top w:val="single" w:sz="4" w:space="0" w:color="A6A6A6" w:themeColor="background1" w:themeShade="A6"/>
              <w:left w:val="nil"/>
              <w:bottom w:val="single" w:sz="4" w:space="0" w:color="A6A6A6" w:themeColor="background1" w:themeShade="A6"/>
              <w:right w:val="nil"/>
            </w:tcBorders>
          </w:tcPr>
          <w:p w14:paraId="3993607E" w14:textId="320702A7" w:rsidR="00513B74" w:rsidRPr="00513B74" w:rsidRDefault="00513B74" w:rsidP="00513B74">
            <w:pPr>
              <w:pStyle w:val="TableText"/>
              <w:ind w:right="57"/>
              <w:jc w:val="right"/>
              <w:rPr>
                <w:sz w:val="16"/>
                <w:szCs w:val="18"/>
              </w:rPr>
            </w:pPr>
            <w:r w:rsidRPr="00513B74">
              <w:rPr>
                <w:spacing w:val="-5"/>
                <w:w w:val="105"/>
                <w:sz w:val="16"/>
                <w:szCs w:val="18"/>
              </w:rPr>
              <w:t>99%</w:t>
            </w:r>
          </w:p>
        </w:tc>
        <w:tc>
          <w:tcPr>
            <w:tcW w:w="1240" w:type="dxa"/>
            <w:tcBorders>
              <w:top w:val="single" w:sz="4" w:space="0" w:color="A6A6A6" w:themeColor="background1" w:themeShade="A6"/>
              <w:left w:val="nil"/>
              <w:bottom w:val="single" w:sz="4" w:space="0" w:color="A6A6A6" w:themeColor="background1" w:themeShade="A6"/>
              <w:right w:val="nil"/>
            </w:tcBorders>
          </w:tcPr>
          <w:p w14:paraId="65E98282" w14:textId="05040E1B" w:rsidR="00513B74" w:rsidRPr="00513B74" w:rsidRDefault="00513B74" w:rsidP="00513B74">
            <w:pPr>
              <w:pStyle w:val="TableText"/>
              <w:ind w:right="57"/>
              <w:jc w:val="right"/>
              <w:rPr>
                <w:sz w:val="16"/>
                <w:szCs w:val="18"/>
              </w:rPr>
            </w:pPr>
            <w:r w:rsidRPr="00513B74">
              <w:rPr>
                <w:sz w:val="16"/>
                <w:szCs w:val="18"/>
              </w:rPr>
              <w:t>100%</w:t>
            </w:r>
          </w:p>
        </w:tc>
        <w:tc>
          <w:tcPr>
            <w:tcW w:w="1240" w:type="dxa"/>
            <w:tcBorders>
              <w:top w:val="single" w:sz="4" w:space="0" w:color="A6A6A6" w:themeColor="background1" w:themeShade="A6"/>
              <w:left w:val="nil"/>
              <w:bottom w:val="single" w:sz="4" w:space="0" w:color="A6A6A6" w:themeColor="background1" w:themeShade="A6"/>
              <w:right w:val="nil"/>
            </w:tcBorders>
          </w:tcPr>
          <w:p w14:paraId="4A40B308" w14:textId="4E2E7621" w:rsidR="00513B74" w:rsidRPr="00513B74" w:rsidRDefault="00513B74" w:rsidP="00513B74">
            <w:pPr>
              <w:pStyle w:val="TableText"/>
              <w:ind w:right="57"/>
              <w:jc w:val="right"/>
              <w:rPr>
                <w:sz w:val="16"/>
                <w:szCs w:val="18"/>
              </w:rPr>
            </w:pPr>
            <w:r w:rsidRPr="00513B74">
              <w:rPr>
                <w:sz w:val="16"/>
                <w:szCs w:val="18"/>
              </w:rPr>
              <w:t>100%</w:t>
            </w:r>
          </w:p>
        </w:tc>
        <w:tc>
          <w:tcPr>
            <w:tcW w:w="1241" w:type="dxa"/>
            <w:tcBorders>
              <w:top w:val="single" w:sz="4" w:space="0" w:color="A6A6A6" w:themeColor="background1" w:themeShade="A6"/>
              <w:left w:val="nil"/>
              <w:bottom w:val="single" w:sz="4" w:space="0" w:color="A6A6A6" w:themeColor="background1" w:themeShade="A6"/>
              <w:right w:val="nil"/>
            </w:tcBorders>
          </w:tcPr>
          <w:p w14:paraId="2F2112C6" w14:textId="77777777" w:rsidR="00513B74" w:rsidRPr="00956117" w:rsidRDefault="00513B74" w:rsidP="00513B74">
            <w:pPr>
              <w:pStyle w:val="TableText"/>
              <w:ind w:right="57"/>
              <w:jc w:val="right"/>
              <w:rPr>
                <w:sz w:val="16"/>
                <w:szCs w:val="18"/>
              </w:rPr>
            </w:pPr>
            <w:r w:rsidRPr="00BD423C">
              <w:rPr>
                <w:rFonts w:ascii="Wingdings" w:hAnsi="Wingdings"/>
                <w:spacing w:val="-10"/>
                <w:sz w:val="16"/>
                <w:szCs w:val="18"/>
              </w:rPr>
              <w:t>ü</w:t>
            </w:r>
          </w:p>
        </w:tc>
      </w:tr>
      <w:tr w:rsidR="00513B74" w14:paraId="1372F514" w14:textId="77777777" w:rsidTr="005734DE">
        <w:tc>
          <w:tcPr>
            <w:tcW w:w="3119" w:type="dxa"/>
            <w:tcBorders>
              <w:top w:val="single" w:sz="4" w:space="0" w:color="A6A6A6" w:themeColor="background1" w:themeShade="A6"/>
              <w:left w:val="nil"/>
              <w:bottom w:val="single" w:sz="4" w:space="0" w:color="A6A6A6" w:themeColor="background1" w:themeShade="A6"/>
              <w:right w:val="nil"/>
            </w:tcBorders>
          </w:tcPr>
          <w:p w14:paraId="1F4EB043" w14:textId="6D77065E" w:rsidR="00513B74" w:rsidRPr="00513B74" w:rsidRDefault="00513B74" w:rsidP="00513B74">
            <w:pPr>
              <w:pStyle w:val="TableText"/>
              <w:rPr>
                <w:sz w:val="16"/>
                <w:szCs w:val="18"/>
              </w:rPr>
            </w:pPr>
            <w:r w:rsidRPr="00513B74">
              <w:rPr>
                <w:sz w:val="16"/>
                <w:szCs w:val="18"/>
              </w:rPr>
              <w:t>Mean rating for statutory committee satisfaction with the secretariat services provided by the Ministry</w:t>
            </w:r>
          </w:p>
        </w:tc>
        <w:tc>
          <w:tcPr>
            <w:tcW w:w="1417" w:type="dxa"/>
            <w:tcBorders>
              <w:top w:val="single" w:sz="4" w:space="0" w:color="A6A6A6" w:themeColor="background1" w:themeShade="A6"/>
              <w:left w:val="nil"/>
              <w:bottom w:val="single" w:sz="4" w:space="0" w:color="A6A6A6" w:themeColor="background1" w:themeShade="A6"/>
              <w:right w:val="nil"/>
            </w:tcBorders>
          </w:tcPr>
          <w:p w14:paraId="4F2A1281" w14:textId="77777777" w:rsidR="00513B74" w:rsidRPr="00513B74" w:rsidRDefault="00513B74" w:rsidP="00513B74">
            <w:pPr>
              <w:pStyle w:val="TableText"/>
              <w:ind w:right="57"/>
              <w:jc w:val="right"/>
              <w:rPr>
                <w:sz w:val="16"/>
                <w:szCs w:val="18"/>
              </w:rPr>
            </w:pPr>
            <w:r w:rsidRPr="00513B74">
              <w:rPr>
                <w:w w:val="90"/>
                <w:sz w:val="16"/>
                <w:szCs w:val="18"/>
              </w:rPr>
              <w:t>3.75</w:t>
            </w:r>
            <w:r w:rsidRPr="00513B74">
              <w:rPr>
                <w:spacing w:val="-8"/>
                <w:w w:val="90"/>
                <w:sz w:val="16"/>
                <w:szCs w:val="18"/>
              </w:rPr>
              <w:t xml:space="preserve"> </w:t>
            </w:r>
            <w:r w:rsidRPr="00513B74">
              <w:rPr>
                <w:spacing w:val="-5"/>
                <w:sz w:val="16"/>
                <w:szCs w:val="18"/>
              </w:rPr>
              <w:t>out</w:t>
            </w:r>
          </w:p>
          <w:p w14:paraId="28CCC3B2" w14:textId="1C14C691" w:rsidR="00513B74" w:rsidRPr="00513B74" w:rsidRDefault="00513B74" w:rsidP="00513B74">
            <w:pPr>
              <w:pStyle w:val="TableText"/>
              <w:ind w:right="57"/>
              <w:jc w:val="right"/>
              <w:rPr>
                <w:sz w:val="16"/>
                <w:szCs w:val="18"/>
              </w:rPr>
            </w:pPr>
            <w:r w:rsidRPr="00513B74">
              <w:rPr>
                <w:sz w:val="16"/>
                <w:szCs w:val="18"/>
              </w:rPr>
              <w:t>of</w:t>
            </w:r>
            <w:r w:rsidRPr="00513B74">
              <w:rPr>
                <w:spacing w:val="-13"/>
                <w:sz w:val="16"/>
                <w:szCs w:val="18"/>
              </w:rPr>
              <w:t xml:space="preserve"> </w:t>
            </w:r>
            <w:r w:rsidRPr="00513B74">
              <w:rPr>
                <w:spacing w:val="-10"/>
                <w:sz w:val="16"/>
                <w:szCs w:val="18"/>
              </w:rPr>
              <w:t>5</w:t>
            </w:r>
          </w:p>
        </w:tc>
        <w:tc>
          <w:tcPr>
            <w:tcW w:w="1240" w:type="dxa"/>
            <w:tcBorders>
              <w:top w:val="single" w:sz="4" w:space="0" w:color="A6A6A6" w:themeColor="background1" w:themeShade="A6"/>
              <w:left w:val="nil"/>
              <w:bottom w:val="single" w:sz="4" w:space="0" w:color="A6A6A6" w:themeColor="background1" w:themeShade="A6"/>
              <w:right w:val="nil"/>
            </w:tcBorders>
          </w:tcPr>
          <w:p w14:paraId="527C56D5" w14:textId="56350053" w:rsidR="00513B74" w:rsidRPr="00513B74" w:rsidRDefault="00513B74" w:rsidP="00513B74">
            <w:pPr>
              <w:pStyle w:val="TableText"/>
              <w:ind w:right="57"/>
              <w:jc w:val="right"/>
              <w:rPr>
                <w:spacing w:val="-2"/>
                <w:w w:val="105"/>
                <w:sz w:val="16"/>
                <w:szCs w:val="18"/>
              </w:rPr>
            </w:pPr>
            <w:r w:rsidRPr="00513B74">
              <w:rPr>
                <w:sz w:val="16"/>
                <w:szCs w:val="18"/>
              </w:rPr>
              <w:t>4</w:t>
            </w:r>
            <w:r w:rsidRPr="00513B74">
              <w:rPr>
                <w:spacing w:val="-15"/>
                <w:sz w:val="16"/>
                <w:szCs w:val="18"/>
              </w:rPr>
              <w:t xml:space="preserve"> </w:t>
            </w:r>
            <w:r w:rsidRPr="00513B74">
              <w:rPr>
                <w:sz w:val="16"/>
                <w:szCs w:val="18"/>
              </w:rPr>
              <w:t>out</w:t>
            </w:r>
            <w:r w:rsidRPr="00513B74">
              <w:rPr>
                <w:spacing w:val="-14"/>
                <w:sz w:val="16"/>
                <w:szCs w:val="18"/>
              </w:rPr>
              <w:t xml:space="preserve"> </w:t>
            </w:r>
            <w:r w:rsidRPr="00513B74">
              <w:rPr>
                <w:sz w:val="16"/>
                <w:szCs w:val="18"/>
              </w:rPr>
              <w:t>of</w:t>
            </w:r>
            <w:r w:rsidRPr="00513B74">
              <w:rPr>
                <w:spacing w:val="-14"/>
                <w:sz w:val="16"/>
                <w:szCs w:val="18"/>
              </w:rPr>
              <w:t xml:space="preserve"> </w:t>
            </w:r>
            <w:r w:rsidRPr="00513B74">
              <w:rPr>
                <w:sz w:val="16"/>
                <w:szCs w:val="18"/>
              </w:rPr>
              <w:t xml:space="preserve">5 </w:t>
            </w:r>
            <w:r w:rsidR="00BF5468">
              <w:rPr>
                <w:sz w:val="16"/>
                <w:szCs w:val="18"/>
              </w:rPr>
              <w:br/>
            </w:r>
            <w:r w:rsidRPr="00513B74">
              <w:rPr>
                <w:sz w:val="16"/>
                <w:szCs w:val="18"/>
              </w:rPr>
              <w:t>or</w:t>
            </w:r>
            <w:r w:rsidRPr="00513B74">
              <w:rPr>
                <w:spacing w:val="-13"/>
                <w:sz w:val="16"/>
                <w:szCs w:val="18"/>
              </w:rPr>
              <w:t xml:space="preserve"> </w:t>
            </w:r>
            <w:r w:rsidRPr="00513B74">
              <w:rPr>
                <w:spacing w:val="-2"/>
                <w:sz w:val="16"/>
                <w:szCs w:val="18"/>
              </w:rPr>
              <w:t>greater</w:t>
            </w:r>
          </w:p>
        </w:tc>
        <w:tc>
          <w:tcPr>
            <w:tcW w:w="1240" w:type="dxa"/>
            <w:tcBorders>
              <w:top w:val="single" w:sz="4" w:space="0" w:color="A6A6A6" w:themeColor="background1" w:themeShade="A6"/>
              <w:left w:val="nil"/>
              <w:bottom w:val="single" w:sz="4" w:space="0" w:color="A6A6A6" w:themeColor="background1" w:themeShade="A6"/>
              <w:right w:val="nil"/>
            </w:tcBorders>
          </w:tcPr>
          <w:p w14:paraId="071C1B0D" w14:textId="7E4B28E9" w:rsidR="00513B74" w:rsidRPr="00513B74" w:rsidRDefault="00513B74" w:rsidP="00513B74">
            <w:pPr>
              <w:pStyle w:val="TableText"/>
              <w:ind w:right="57"/>
              <w:jc w:val="right"/>
              <w:rPr>
                <w:spacing w:val="-2"/>
                <w:sz w:val="16"/>
                <w:szCs w:val="18"/>
              </w:rPr>
            </w:pPr>
            <w:r w:rsidRPr="00513B74">
              <w:rPr>
                <w:sz w:val="16"/>
                <w:szCs w:val="18"/>
              </w:rPr>
              <w:t>4.36</w:t>
            </w:r>
          </w:p>
        </w:tc>
        <w:tc>
          <w:tcPr>
            <w:tcW w:w="1241" w:type="dxa"/>
            <w:tcBorders>
              <w:top w:val="single" w:sz="4" w:space="0" w:color="A6A6A6" w:themeColor="background1" w:themeShade="A6"/>
              <w:left w:val="nil"/>
              <w:bottom w:val="single" w:sz="4" w:space="0" w:color="A6A6A6" w:themeColor="background1" w:themeShade="A6"/>
              <w:right w:val="nil"/>
            </w:tcBorders>
          </w:tcPr>
          <w:p w14:paraId="5C4663E3" w14:textId="77777777" w:rsidR="00513B74" w:rsidRPr="00956117" w:rsidRDefault="00513B74" w:rsidP="00513B74">
            <w:pPr>
              <w:pStyle w:val="TableText"/>
              <w:ind w:right="57"/>
              <w:jc w:val="right"/>
              <w:rPr>
                <w:rFonts w:ascii="Wingdings" w:hAnsi="Wingdings"/>
                <w:spacing w:val="-10"/>
                <w:sz w:val="16"/>
                <w:szCs w:val="18"/>
              </w:rPr>
            </w:pPr>
            <w:r w:rsidRPr="00BD423C">
              <w:rPr>
                <w:rFonts w:ascii="Wingdings" w:hAnsi="Wingdings"/>
                <w:spacing w:val="-10"/>
                <w:sz w:val="16"/>
                <w:szCs w:val="18"/>
              </w:rPr>
              <w:t>ü</w:t>
            </w:r>
          </w:p>
        </w:tc>
      </w:tr>
      <w:tr w:rsidR="00513B74" w14:paraId="59252633" w14:textId="77777777" w:rsidTr="005734DE">
        <w:tc>
          <w:tcPr>
            <w:tcW w:w="3119" w:type="dxa"/>
            <w:tcBorders>
              <w:top w:val="single" w:sz="4" w:space="0" w:color="A6A6A6" w:themeColor="background1" w:themeShade="A6"/>
              <w:left w:val="nil"/>
              <w:bottom w:val="single" w:sz="4" w:space="0" w:color="A6A6A6" w:themeColor="background1" w:themeShade="A6"/>
              <w:right w:val="nil"/>
            </w:tcBorders>
          </w:tcPr>
          <w:p w14:paraId="3C30AC2D" w14:textId="409EF5EA" w:rsidR="00513B74" w:rsidRPr="00513B74" w:rsidRDefault="00513B74" w:rsidP="00513B74">
            <w:pPr>
              <w:pStyle w:val="TableText"/>
              <w:rPr>
                <w:sz w:val="16"/>
                <w:szCs w:val="18"/>
              </w:rPr>
            </w:pPr>
            <w:r w:rsidRPr="00513B74">
              <w:rPr>
                <w:sz w:val="16"/>
                <w:szCs w:val="18"/>
              </w:rPr>
              <w:t>The percentage of District Mental Health Inspectors’ monthly reports, on their duties undertaken, sent to the Director of Mental Health, within one month after completion</w:t>
            </w:r>
          </w:p>
        </w:tc>
        <w:tc>
          <w:tcPr>
            <w:tcW w:w="1417" w:type="dxa"/>
            <w:tcBorders>
              <w:top w:val="single" w:sz="4" w:space="0" w:color="A6A6A6" w:themeColor="background1" w:themeShade="A6"/>
              <w:left w:val="nil"/>
              <w:bottom w:val="single" w:sz="4" w:space="0" w:color="A6A6A6" w:themeColor="background1" w:themeShade="A6"/>
              <w:right w:val="nil"/>
            </w:tcBorders>
          </w:tcPr>
          <w:p w14:paraId="3249FEC2" w14:textId="176E2E7A" w:rsidR="00513B74" w:rsidRPr="00513B74" w:rsidRDefault="00513B74" w:rsidP="00513B74">
            <w:pPr>
              <w:pStyle w:val="TableText"/>
              <w:ind w:right="57"/>
              <w:jc w:val="right"/>
              <w:rPr>
                <w:sz w:val="16"/>
                <w:szCs w:val="18"/>
              </w:rPr>
            </w:pPr>
            <w:r w:rsidRPr="00513B74">
              <w:rPr>
                <w:spacing w:val="-2"/>
                <w:sz w:val="16"/>
                <w:szCs w:val="18"/>
              </w:rPr>
              <w:t>82.76%</w:t>
            </w:r>
          </w:p>
        </w:tc>
        <w:tc>
          <w:tcPr>
            <w:tcW w:w="1240" w:type="dxa"/>
            <w:tcBorders>
              <w:top w:val="single" w:sz="4" w:space="0" w:color="A6A6A6" w:themeColor="background1" w:themeShade="A6"/>
              <w:left w:val="nil"/>
              <w:bottom w:val="single" w:sz="4" w:space="0" w:color="A6A6A6" w:themeColor="background1" w:themeShade="A6"/>
              <w:right w:val="nil"/>
            </w:tcBorders>
          </w:tcPr>
          <w:p w14:paraId="5BBF2C18" w14:textId="1EE7481E" w:rsidR="00513B74" w:rsidRPr="00513B74" w:rsidRDefault="00513B74" w:rsidP="00513B74">
            <w:pPr>
              <w:pStyle w:val="TableText"/>
              <w:ind w:right="57"/>
              <w:jc w:val="right"/>
              <w:rPr>
                <w:spacing w:val="-2"/>
                <w:w w:val="105"/>
                <w:sz w:val="16"/>
                <w:szCs w:val="18"/>
              </w:rPr>
            </w:pPr>
            <w:r w:rsidRPr="00513B74">
              <w:rPr>
                <w:spacing w:val="-5"/>
                <w:w w:val="105"/>
                <w:sz w:val="16"/>
                <w:szCs w:val="18"/>
              </w:rPr>
              <w:t>90%</w:t>
            </w:r>
          </w:p>
        </w:tc>
        <w:tc>
          <w:tcPr>
            <w:tcW w:w="1240" w:type="dxa"/>
            <w:tcBorders>
              <w:top w:val="single" w:sz="4" w:space="0" w:color="A6A6A6" w:themeColor="background1" w:themeShade="A6"/>
              <w:left w:val="nil"/>
              <w:bottom w:val="single" w:sz="4" w:space="0" w:color="A6A6A6" w:themeColor="background1" w:themeShade="A6"/>
              <w:right w:val="nil"/>
            </w:tcBorders>
          </w:tcPr>
          <w:p w14:paraId="500B89D5" w14:textId="3E14F20A" w:rsidR="00513B74" w:rsidRPr="00513B74" w:rsidRDefault="00513B74" w:rsidP="00513B74">
            <w:pPr>
              <w:pStyle w:val="TableText"/>
              <w:ind w:right="57"/>
              <w:jc w:val="right"/>
              <w:rPr>
                <w:spacing w:val="-2"/>
                <w:sz w:val="16"/>
                <w:szCs w:val="18"/>
              </w:rPr>
            </w:pPr>
            <w:r w:rsidRPr="00513B74">
              <w:rPr>
                <w:spacing w:val="-2"/>
                <w:sz w:val="16"/>
                <w:szCs w:val="18"/>
              </w:rPr>
              <w:t>95.6%</w:t>
            </w:r>
          </w:p>
        </w:tc>
        <w:tc>
          <w:tcPr>
            <w:tcW w:w="1241" w:type="dxa"/>
            <w:tcBorders>
              <w:top w:val="single" w:sz="4" w:space="0" w:color="A6A6A6" w:themeColor="background1" w:themeShade="A6"/>
              <w:left w:val="nil"/>
              <w:bottom w:val="single" w:sz="4" w:space="0" w:color="A6A6A6" w:themeColor="background1" w:themeShade="A6"/>
              <w:right w:val="nil"/>
            </w:tcBorders>
          </w:tcPr>
          <w:p w14:paraId="333D7E5B" w14:textId="02391ED0" w:rsidR="00513B74" w:rsidRPr="00513B74" w:rsidRDefault="00513B74" w:rsidP="00513B74">
            <w:pPr>
              <w:pStyle w:val="TableText"/>
              <w:ind w:right="57"/>
              <w:jc w:val="right"/>
              <w:rPr>
                <w:rFonts w:ascii="Wingdings" w:hAnsi="Wingdings"/>
                <w:sz w:val="16"/>
                <w:szCs w:val="18"/>
              </w:rPr>
            </w:pPr>
            <w:r w:rsidRPr="00956117">
              <w:rPr>
                <w:rFonts w:ascii="Wingdings" w:hAnsi="Wingdings"/>
                <w:spacing w:val="-10"/>
                <w:sz w:val="16"/>
                <w:szCs w:val="18"/>
              </w:rPr>
              <w:t>ü</w:t>
            </w:r>
          </w:p>
        </w:tc>
      </w:tr>
      <w:tr w:rsidR="00513B74" w14:paraId="1ECBDDC0" w14:textId="77777777" w:rsidTr="005734DE">
        <w:tc>
          <w:tcPr>
            <w:tcW w:w="3119" w:type="dxa"/>
            <w:tcBorders>
              <w:top w:val="single" w:sz="4" w:space="0" w:color="A6A6A6" w:themeColor="background1" w:themeShade="A6"/>
              <w:left w:val="nil"/>
              <w:bottom w:val="single" w:sz="4" w:space="0" w:color="A6A6A6" w:themeColor="background1" w:themeShade="A6"/>
              <w:right w:val="nil"/>
            </w:tcBorders>
          </w:tcPr>
          <w:p w14:paraId="013754C3" w14:textId="7A909A8B" w:rsidR="00513B74" w:rsidRPr="00513B74" w:rsidRDefault="00513B74" w:rsidP="00513B74">
            <w:pPr>
              <w:pStyle w:val="TableText"/>
              <w:rPr>
                <w:sz w:val="16"/>
                <w:szCs w:val="18"/>
              </w:rPr>
            </w:pPr>
            <w:r w:rsidRPr="00513B74">
              <w:rPr>
                <w:sz w:val="16"/>
                <w:szCs w:val="18"/>
              </w:rPr>
              <w:t xml:space="preserve">The start of the Mental Health Tribunal reviews </w:t>
            </w:r>
            <w:proofErr w:type="gramStart"/>
            <w:r w:rsidRPr="00513B74">
              <w:rPr>
                <w:sz w:val="16"/>
                <w:szCs w:val="18"/>
              </w:rPr>
              <w:t>are</w:t>
            </w:r>
            <w:proofErr w:type="gramEnd"/>
            <w:r w:rsidRPr="00513B74">
              <w:rPr>
                <w:sz w:val="16"/>
                <w:szCs w:val="18"/>
              </w:rPr>
              <w:t xml:space="preserve"> held within 28 days of receipt of the applications</w:t>
            </w:r>
          </w:p>
        </w:tc>
        <w:tc>
          <w:tcPr>
            <w:tcW w:w="1417" w:type="dxa"/>
            <w:tcBorders>
              <w:top w:val="single" w:sz="4" w:space="0" w:color="A6A6A6" w:themeColor="background1" w:themeShade="A6"/>
              <w:left w:val="nil"/>
              <w:bottom w:val="single" w:sz="4" w:space="0" w:color="A6A6A6" w:themeColor="background1" w:themeShade="A6"/>
              <w:right w:val="nil"/>
            </w:tcBorders>
          </w:tcPr>
          <w:p w14:paraId="42BB7556" w14:textId="55CF31CC" w:rsidR="00513B74" w:rsidRPr="00513B74" w:rsidRDefault="00513B74" w:rsidP="00513B74">
            <w:pPr>
              <w:pStyle w:val="TableText"/>
              <w:ind w:right="57"/>
              <w:jc w:val="right"/>
              <w:rPr>
                <w:sz w:val="16"/>
                <w:szCs w:val="18"/>
              </w:rPr>
            </w:pPr>
            <w:r w:rsidRPr="00513B74">
              <w:rPr>
                <w:spacing w:val="-2"/>
                <w:sz w:val="16"/>
                <w:szCs w:val="18"/>
              </w:rPr>
              <w:t>98.5%</w:t>
            </w:r>
          </w:p>
        </w:tc>
        <w:tc>
          <w:tcPr>
            <w:tcW w:w="1240" w:type="dxa"/>
            <w:tcBorders>
              <w:top w:val="single" w:sz="4" w:space="0" w:color="A6A6A6" w:themeColor="background1" w:themeShade="A6"/>
              <w:left w:val="nil"/>
              <w:bottom w:val="single" w:sz="4" w:space="0" w:color="A6A6A6" w:themeColor="background1" w:themeShade="A6"/>
              <w:right w:val="nil"/>
            </w:tcBorders>
          </w:tcPr>
          <w:p w14:paraId="2C913C6F" w14:textId="53CA3BE5" w:rsidR="00513B74" w:rsidRPr="00513B74" w:rsidRDefault="00513B74" w:rsidP="00513B74">
            <w:pPr>
              <w:pStyle w:val="TableText"/>
              <w:ind w:right="57"/>
              <w:jc w:val="right"/>
              <w:rPr>
                <w:spacing w:val="-2"/>
                <w:w w:val="105"/>
                <w:sz w:val="16"/>
                <w:szCs w:val="18"/>
              </w:rPr>
            </w:pPr>
            <w:r w:rsidRPr="00513B74">
              <w:rPr>
                <w:spacing w:val="-5"/>
                <w:w w:val="105"/>
                <w:sz w:val="16"/>
                <w:szCs w:val="18"/>
              </w:rPr>
              <w:t>80%</w:t>
            </w:r>
          </w:p>
        </w:tc>
        <w:tc>
          <w:tcPr>
            <w:tcW w:w="1240" w:type="dxa"/>
            <w:tcBorders>
              <w:top w:val="single" w:sz="4" w:space="0" w:color="A6A6A6" w:themeColor="background1" w:themeShade="A6"/>
              <w:left w:val="nil"/>
              <w:bottom w:val="single" w:sz="4" w:space="0" w:color="A6A6A6" w:themeColor="background1" w:themeShade="A6"/>
              <w:right w:val="nil"/>
            </w:tcBorders>
          </w:tcPr>
          <w:p w14:paraId="5AC84B9C" w14:textId="17F57610" w:rsidR="00513B74" w:rsidRPr="00513B74" w:rsidRDefault="00513B74" w:rsidP="00513B74">
            <w:pPr>
              <w:pStyle w:val="TableText"/>
              <w:ind w:right="57"/>
              <w:jc w:val="right"/>
              <w:rPr>
                <w:spacing w:val="-2"/>
                <w:sz w:val="16"/>
                <w:szCs w:val="18"/>
              </w:rPr>
            </w:pPr>
            <w:r w:rsidRPr="00513B74">
              <w:rPr>
                <w:spacing w:val="-2"/>
                <w:sz w:val="16"/>
                <w:szCs w:val="18"/>
              </w:rPr>
              <w:t>98.9%</w:t>
            </w:r>
          </w:p>
        </w:tc>
        <w:tc>
          <w:tcPr>
            <w:tcW w:w="1241" w:type="dxa"/>
            <w:tcBorders>
              <w:top w:val="single" w:sz="4" w:space="0" w:color="A6A6A6" w:themeColor="background1" w:themeShade="A6"/>
              <w:left w:val="nil"/>
              <w:bottom w:val="single" w:sz="4" w:space="0" w:color="A6A6A6" w:themeColor="background1" w:themeShade="A6"/>
              <w:right w:val="nil"/>
            </w:tcBorders>
          </w:tcPr>
          <w:p w14:paraId="51097EFB" w14:textId="77777777" w:rsidR="00513B74" w:rsidRPr="00956117" w:rsidRDefault="00513B74" w:rsidP="00513B74">
            <w:pPr>
              <w:pStyle w:val="TableText"/>
              <w:ind w:right="57"/>
              <w:jc w:val="right"/>
              <w:rPr>
                <w:rFonts w:ascii="Wingdings" w:hAnsi="Wingdings"/>
                <w:sz w:val="16"/>
                <w:szCs w:val="18"/>
              </w:rPr>
            </w:pPr>
            <w:r w:rsidRPr="00956117">
              <w:rPr>
                <w:rFonts w:ascii="Wingdings" w:hAnsi="Wingdings"/>
                <w:spacing w:val="-10"/>
                <w:sz w:val="16"/>
                <w:szCs w:val="18"/>
              </w:rPr>
              <w:t>ü</w:t>
            </w:r>
          </w:p>
          <w:p w14:paraId="74593ED1" w14:textId="77777777" w:rsidR="00513B74" w:rsidRPr="00956117" w:rsidRDefault="00513B74" w:rsidP="00513B74">
            <w:pPr>
              <w:pStyle w:val="TableText"/>
              <w:ind w:right="57"/>
              <w:jc w:val="right"/>
              <w:rPr>
                <w:rFonts w:ascii="Wingdings" w:hAnsi="Wingdings"/>
                <w:spacing w:val="-10"/>
                <w:sz w:val="16"/>
                <w:szCs w:val="18"/>
              </w:rPr>
            </w:pPr>
          </w:p>
        </w:tc>
      </w:tr>
    </w:tbl>
    <w:p w14:paraId="628FCD7F" w14:textId="7A2B4422" w:rsidR="00513B74" w:rsidRDefault="00513B74" w:rsidP="00513B74">
      <w:pPr>
        <w:pStyle w:val="Note"/>
        <w:tabs>
          <w:tab w:val="left" w:pos="709"/>
        </w:tabs>
        <w:ind w:left="709" w:hanging="709"/>
      </w:pPr>
      <w:r>
        <w:t xml:space="preserve">Note 1: </w:t>
      </w:r>
      <w:r>
        <w:tab/>
        <w:t>Impact on pharmacy licensing resulting from a judicial review decision relating to pharmacy ownership. The impact has occurred during the 2023/24 year.</w:t>
      </w:r>
    </w:p>
    <w:p w14:paraId="06791411" w14:textId="77777777" w:rsidR="00513B74" w:rsidRDefault="00513B74" w:rsidP="00513B74">
      <w:pPr>
        <w:pStyle w:val="Note"/>
        <w:tabs>
          <w:tab w:val="left" w:pos="709"/>
        </w:tabs>
        <w:ind w:left="709" w:hanging="709"/>
      </w:pPr>
      <w:r>
        <w:t xml:space="preserve">Note 2: </w:t>
      </w:r>
      <w:r>
        <w:tab/>
        <w:t>Resourcing constraints have caused delays in issuing licenses.</w:t>
      </w:r>
    </w:p>
    <w:p w14:paraId="199EDB2B" w14:textId="77777777" w:rsidR="00BF5468" w:rsidRDefault="00BF5468" w:rsidP="00BF5468"/>
    <w:p w14:paraId="1444E53D" w14:textId="77777777" w:rsidR="00BF5468" w:rsidRDefault="00BF5468" w:rsidP="00BF5468"/>
    <w:p w14:paraId="12C4C9BA" w14:textId="77777777" w:rsidR="00BF5468" w:rsidRDefault="00BF5468" w:rsidP="00BF5468">
      <w:pPr>
        <w:pStyle w:val="Heading4"/>
        <w:spacing w:before="0"/>
      </w:pPr>
      <w:r>
        <w:lastRenderedPageBreak/>
        <w:t>Sector Performance and Monitoring</w:t>
      </w:r>
    </w:p>
    <w:p w14:paraId="5CED94C3" w14:textId="55769AB2" w:rsidR="00BF5468" w:rsidRDefault="00BF5468" w:rsidP="00BF5468">
      <w:r>
        <w:t>This category is intended to advise and provide assurance on health sector planning and system performance including the Government Policy Statement on Health and the New Zealand Health Plan and monitoring and supporting the governance of health sector Crown entities.</w:t>
      </w:r>
    </w:p>
    <w:p w14:paraId="421973C8" w14:textId="657BA6AE" w:rsidR="00BF5468" w:rsidRDefault="00BF5468" w:rsidP="00BF5468"/>
    <w:tbl>
      <w:tblPr>
        <w:tblStyle w:val="TableGrid"/>
        <w:tblW w:w="8116"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261"/>
        <w:gridCol w:w="1134"/>
        <w:gridCol w:w="1240"/>
        <w:gridCol w:w="1240"/>
        <w:gridCol w:w="1241"/>
      </w:tblGrid>
      <w:tr w:rsidR="00BF5468" w14:paraId="28C2265A" w14:textId="77777777" w:rsidTr="00BF5468">
        <w:tc>
          <w:tcPr>
            <w:tcW w:w="8114" w:type="dxa"/>
            <w:gridSpan w:val="5"/>
            <w:tcBorders>
              <w:top w:val="nil"/>
              <w:left w:val="nil"/>
              <w:bottom w:val="nil"/>
              <w:right w:val="nil"/>
            </w:tcBorders>
            <w:shd w:val="clear" w:color="auto" w:fill="D9D9D9" w:themeFill="background1" w:themeFillShade="D9"/>
            <w:hideMark/>
          </w:tcPr>
          <w:p w14:paraId="7758E7D1" w14:textId="77777777" w:rsidR="00BF5468" w:rsidRDefault="00BF5468" w:rsidP="005734DE">
            <w:pPr>
              <w:pStyle w:val="TableText"/>
              <w:rPr>
                <w:b/>
                <w:bCs/>
              </w:rPr>
            </w:pPr>
            <w:r>
              <w:rPr>
                <w:b/>
                <w:bCs/>
              </w:rPr>
              <w:t>Performance assessment</w:t>
            </w:r>
          </w:p>
        </w:tc>
      </w:tr>
      <w:tr w:rsidR="00BF5468" w14:paraId="42132B44" w14:textId="77777777" w:rsidTr="00BF5468">
        <w:tc>
          <w:tcPr>
            <w:tcW w:w="3261"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3B46140D" w14:textId="77777777" w:rsidR="00BF5468" w:rsidRPr="00BF5468" w:rsidRDefault="00BF5468" w:rsidP="005734DE">
            <w:pPr>
              <w:pStyle w:val="TableText"/>
              <w:rPr>
                <w:b/>
                <w:bCs/>
                <w:sz w:val="16"/>
                <w:szCs w:val="16"/>
              </w:rPr>
            </w:pPr>
            <w:r w:rsidRPr="00BF5468">
              <w:rPr>
                <w:b/>
                <w:bCs/>
                <w:sz w:val="16"/>
                <w:szCs w:val="16"/>
              </w:rPr>
              <w:t>Performance measure</w:t>
            </w:r>
          </w:p>
        </w:tc>
        <w:tc>
          <w:tcPr>
            <w:tcW w:w="1134"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0A7C09E6" w14:textId="77777777" w:rsidR="00BF5468" w:rsidRDefault="00BF5468" w:rsidP="005734DE">
            <w:pPr>
              <w:pStyle w:val="TableText"/>
              <w:jc w:val="right"/>
              <w:rPr>
                <w:b/>
                <w:bCs/>
                <w:sz w:val="16"/>
                <w:szCs w:val="16"/>
              </w:rPr>
            </w:pPr>
            <w:r>
              <w:rPr>
                <w:b/>
                <w:bCs/>
                <w:sz w:val="16"/>
                <w:szCs w:val="16"/>
              </w:rPr>
              <w:t>Actual</w:t>
            </w:r>
          </w:p>
          <w:p w14:paraId="5394617E" w14:textId="77777777" w:rsidR="00BF5468" w:rsidRDefault="00BF5468" w:rsidP="005734DE">
            <w:pPr>
              <w:pStyle w:val="TableText"/>
              <w:jc w:val="right"/>
              <w:rPr>
                <w:b/>
                <w:bCs/>
                <w:sz w:val="16"/>
                <w:szCs w:val="16"/>
              </w:rPr>
            </w:pPr>
            <w:r>
              <w:rPr>
                <w:b/>
                <w:bCs/>
                <w:sz w:val="16"/>
                <w:szCs w:val="16"/>
              </w:rPr>
              <w:t>2022/23</w:t>
            </w:r>
          </w:p>
        </w:tc>
        <w:tc>
          <w:tcPr>
            <w:tcW w:w="1240"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7E6D0DAA" w14:textId="77777777" w:rsidR="00BF5468" w:rsidRDefault="00BF5468" w:rsidP="005734DE">
            <w:pPr>
              <w:pStyle w:val="TableText"/>
              <w:jc w:val="right"/>
              <w:rPr>
                <w:b/>
                <w:bCs/>
                <w:sz w:val="16"/>
                <w:szCs w:val="16"/>
              </w:rPr>
            </w:pPr>
            <w:r>
              <w:rPr>
                <w:b/>
                <w:bCs/>
                <w:sz w:val="16"/>
                <w:szCs w:val="16"/>
              </w:rPr>
              <w:t>Budget Standard</w:t>
            </w:r>
          </w:p>
          <w:p w14:paraId="38B22C5E" w14:textId="77777777" w:rsidR="00BF5468" w:rsidRDefault="00BF5468" w:rsidP="005734DE">
            <w:pPr>
              <w:pStyle w:val="TableText"/>
              <w:jc w:val="right"/>
              <w:rPr>
                <w:b/>
                <w:bCs/>
                <w:sz w:val="16"/>
                <w:szCs w:val="16"/>
              </w:rPr>
            </w:pPr>
            <w:r>
              <w:rPr>
                <w:b/>
                <w:bCs/>
                <w:sz w:val="16"/>
                <w:szCs w:val="16"/>
              </w:rPr>
              <w:t>2023/24</w:t>
            </w:r>
          </w:p>
        </w:tc>
        <w:tc>
          <w:tcPr>
            <w:tcW w:w="1240"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265CE47F" w14:textId="77777777" w:rsidR="00BF5468" w:rsidRDefault="00BF5468" w:rsidP="005734DE">
            <w:pPr>
              <w:pStyle w:val="TableText"/>
              <w:jc w:val="right"/>
              <w:rPr>
                <w:b/>
                <w:bCs/>
                <w:sz w:val="16"/>
                <w:szCs w:val="16"/>
              </w:rPr>
            </w:pPr>
            <w:r>
              <w:rPr>
                <w:b/>
                <w:bCs/>
                <w:sz w:val="16"/>
                <w:szCs w:val="16"/>
              </w:rPr>
              <w:t>Actual</w:t>
            </w:r>
          </w:p>
          <w:p w14:paraId="54B6A783" w14:textId="77777777" w:rsidR="00BF5468" w:rsidRDefault="00BF5468" w:rsidP="005734DE">
            <w:pPr>
              <w:pStyle w:val="TableText"/>
              <w:jc w:val="right"/>
              <w:rPr>
                <w:b/>
                <w:bCs/>
                <w:sz w:val="16"/>
                <w:szCs w:val="16"/>
              </w:rPr>
            </w:pPr>
            <w:r>
              <w:rPr>
                <w:b/>
                <w:bCs/>
                <w:sz w:val="16"/>
                <w:szCs w:val="16"/>
              </w:rPr>
              <w:t>2023/24</w:t>
            </w:r>
          </w:p>
        </w:tc>
        <w:tc>
          <w:tcPr>
            <w:tcW w:w="1241"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7E454273" w14:textId="77777777" w:rsidR="00BF5468" w:rsidRDefault="00BF5468" w:rsidP="005734DE">
            <w:pPr>
              <w:pStyle w:val="TableText"/>
              <w:jc w:val="right"/>
              <w:rPr>
                <w:b/>
                <w:bCs/>
                <w:sz w:val="16"/>
                <w:szCs w:val="16"/>
              </w:rPr>
            </w:pPr>
            <w:r>
              <w:rPr>
                <w:b/>
                <w:bCs/>
                <w:sz w:val="16"/>
                <w:szCs w:val="16"/>
              </w:rPr>
              <w:t xml:space="preserve">At a </w:t>
            </w:r>
            <w:r>
              <w:rPr>
                <w:b/>
                <w:bCs/>
                <w:sz w:val="16"/>
                <w:szCs w:val="16"/>
              </w:rPr>
              <w:br/>
              <w:t>glance</w:t>
            </w:r>
          </w:p>
        </w:tc>
      </w:tr>
      <w:tr w:rsidR="00BF5468" w14:paraId="7F3DF1F6" w14:textId="77777777" w:rsidTr="00BF5468">
        <w:tc>
          <w:tcPr>
            <w:tcW w:w="3261" w:type="dxa"/>
            <w:tcBorders>
              <w:top w:val="single" w:sz="4" w:space="0" w:color="A6A6A6" w:themeColor="background1" w:themeShade="A6"/>
              <w:left w:val="nil"/>
              <w:bottom w:val="single" w:sz="4" w:space="0" w:color="A6A6A6" w:themeColor="background1" w:themeShade="A6"/>
              <w:right w:val="nil"/>
            </w:tcBorders>
          </w:tcPr>
          <w:p w14:paraId="746FA259" w14:textId="135FDA05" w:rsidR="00BF5468" w:rsidRPr="00BF5468" w:rsidRDefault="00BF5468" w:rsidP="00BF5468">
            <w:pPr>
              <w:pStyle w:val="TableText"/>
              <w:rPr>
                <w:sz w:val="16"/>
                <w:szCs w:val="16"/>
              </w:rPr>
            </w:pPr>
            <w:r w:rsidRPr="00BF5468">
              <w:rPr>
                <w:sz w:val="16"/>
                <w:szCs w:val="16"/>
              </w:rPr>
              <w:t>The percentage of quarterly monitoring reports about Crown entities (includes Te Aka Whai Ora and Health New Zealand) provided to the Minister within agreed timeframes</w:t>
            </w:r>
          </w:p>
        </w:tc>
        <w:tc>
          <w:tcPr>
            <w:tcW w:w="1134" w:type="dxa"/>
            <w:tcBorders>
              <w:top w:val="single" w:sz="4" w:space="0" w:color="A6A6A6" w:themeColor="background1" w:themeShade="A6"/>
              <w:left w:val="nil"/>
              <w:bottom w:val="single" w:sz="4" w:space="0" w:color="A6A6A6" w:themeColor="background1" w:themeShade="A6"/>
              <w:right w:val="nil"/>
            </w:tcBorders>
          </w:tcPr>
          <w:p w14:paraId="79B41794" w14:textId="277A7B4B" w:rsidR="00BF5468" w:rsidRPr="00BF5468" w:rsidRDefault="00BF5468" w:rsidP="00BF5468">
            <w:pPr>
              <w:pStyle w:val="TableText"/>
              <w:ind w:right="57"/>
              <w:jc w:val="right"/>
              <w:rPr>
                <w:sz w:val="16"/>
                <w:szCs w:val="18"/>
              </w:rPr>
            </w:pPr>
            <w:r w:rsidRPr="00BF5468">
              <w:rPr>
                <w:sz w:val="16"/>
                <w:szCs w:val="18"/>
              </w:rPr>
              <w:t>100%</w:t>
            </w:r>
          </w:p>
        </w:tc>
        <w:tc>
          <w:tcPr>
            <w:tcW w:w="1240" w:type="dxa"/>
            <w:tcBorders>
              <w:top w:val="single" w:sz="4" w:space="0" w:color="A6A6A6" w:themeColor="background1" w:themeShade="A6"/>
              <w:left w:val="nil"/>
              <w:bottom w:val="single" w:sz="4" w:space="0" w:color="A6A6A6" w:themeColor="background1" w:themeShade="A6"/>
              <w:right w:val="nil"/>
            </w:tcBorders>
          </w:tcPr>
          <w:p w14:paraId="0CF994A9" w14:textId="31E188F7" w:rsidR="00BF5468" w:rsidRPr="00BF5468" w:rsidRDefault="00BF5468" w:rsidP="00BF5468">
            <w:pPr>
              <w:pStyle w:val="TableText"/>
              <w:ind w:right="57"/>
              <w:jc w:val="right"/>
              <w:rPr>
                <w:sz w:val="16"/>
                <w:szCs w:val="18"/>
              </w:rPr>
            </w:pPr>
            <w:r w:rsidRPr="00BF5468">
              <w:rPr>
                <w:sz w:val="16"/>
                <w:szCs w:val="18"/>
              </w:rPr>
              <w:t>100%</w:t>
            </w:r>
          </w:p>
        </w:tc>
        <w:tc>
          <w:tcPr>
            <w:tcW w:w="1240" w:type="dxa"/>
            <w:tcBorders>
              <w:top w:val="single" w:sz="4" w:space="0" w:color="A6A6A6" w:themeColor="background1" w:themeShade="A6"/>
              <w:left w:val="nil"/>
              <w:bottom w:val="single" w:sz="4" w:space="0" w:color="A6A6A6" w:themeColor="background1" w:themeShade="A6"/>
              <w:right w:val="nil"/>
            </w:tcBorders>
          </w:tcPr>
          <w:p w14:paraId="5DC8CFAA" w14:textId="05FFC9EC" w:rsidR="00BF5468" w:rsidRPr="00BF5468" w:rsidRDefault="00BF5468" w:rsidP="00BF5468">
            <w:pPr>
              <w:pStyle w:val="TableText"/>
              <w:ind w:right="57"/>
              <w:jc w:val="right"/>
              <w:rPr>
                <w:sz w:val="16"/>
                <w:szCs w:val="18"/>
              </w:rPr>
            </w:pPr>
            <w:r w:rsidRPr="00BF5468">
              <w:rPr>
                <w:sz w:val="16"/>
                <w:szCs w:val="18"/>
              </w:rPr>
              <w:t>100%</w:t>
            </w:r>
          </w:p>
        </w:tc>
        <w:tc>
          <w:tcPr>
            <w:tcW w:w="1241" w:type="dxa"/>
            <w:tcBorders>
              <w:top w:val="single" w:sz="4" w:space="0" w:color="A6A6A6" w:themeColor="background1" w:themeShade="A6"/>
              <w:left w:val="nil"/>
              <w:bottom w:val="single" w:sz="4" w:space="0" w:color="A6A6A6" w:themeColor="background1" w:themeShade="A6"/>
              <w:right w:val="nil"/>
            </w:tcBorders>
          </w:tcPr>
          <w:p w14:paraId="7BD39667" w14:textId="77777777" w:rsidR="00BF5468" w:rsidRPr="00956117" w:rsidRDefault="00BF5468" w:rsidP="00BF5468">
            <w:pPr>
              <w:pStyle w:val="TableText"/>
              <w:ind w:right="57"/>
              <w:jc w:val="right"/>
              <w:rPr>
                <w:sz w:val="16"/>
                <w:szCs w:val="18"/>
              </w:rPr>
            </w:pPr>
            <w:r w:rsidRPr="00BD423C">
              <w:rPr>
                <w:rFonts w:ascii="Wingdings" w:hAnsi="Wingdings"/>
                <w:spacing w:val="-10"/>
                <w:sz w:val="16"/>
                <w:szCs w:val="18"/>
              </w:rPr>
              <w:t>ü</w:t>
            </w:r>
          </w:p>
        </w:tc>
      </w:tr>
      <w:tr w:rsidR="00BF5468" w14:paraId="43461002" w14:textId="77777777" w:rsidTr="00BF5468">
        <w:trPr>
          <w:trHeight w:val="1513"/>
        </w:trPr>
        <w:tc>
          <w:tcPr>
            <w:tcW w:w="3261" w:type="dxa"/>
            <w:tcBorders>
              <w:top w:val="single" w:sz="4" w:space="0" w:color="A6A6A6" w:themeColor="background1" w:themeShade="A6"/>
              <w:left w:val="nil"/>
              <w:bottom w:val="single" w:sz="4" w:space="0" w:color="A6A6A6" w:themeColor="background1" w:themeShade="A6"/>
              <w:right w:val="nil"/>
            </w:tcBorders>
          </w:tcPr>
          <w:p w14:paraId="06787703" w14:textId="61BEC1FD" w:rsidR="00BF5468" w:rsidRPr="00BF5468" w:rsidRDefault="00BF5468" w:rsidP="00BF5468">
            <w:pPr>
              <w:pStyle w:val="TableText"/>
              <w:rPr>
                <w:sz w:val="16"/>
                <w:szCs w:val="16"/>
              </w:rPr>
            </w:pPr>
            <w:r w:rsidRPr="00BF5468">
              <w:rPr>
                <w:sz w:val="16"/>
                <w:szCs w:val="16"/>
              </w:rPr>
              <w:t xml:space="preserve">The percentage of appointments to other health Crown entity boards (includes Te Aka Whai Ora </w:t>
            </w:r>
            <w:r>
              <w:rPr>
                <w:sz w:val="16"/>
                <w:szCs w:val="16"/>
              </w:rPr>
              <w:t>–</w:t>
            </w:r>
            <w:r w:rsidRPr="00BF5468">
              <w:rPr>
                <w:sz w:val="16"/>
                <w:szCs w:val="16"/>
              </w:rPr>
              <w:t xml:space="preserve"> Māori</w:t>
            </w:r>
            <w:r>
              <w:rPr>
                <w:sz w:val="16"/>
                <w:szCs w:val="16"/>
              </w:rPr>
              <w:t xml:space="preserve"> </w:t>
            </w:r>
            <w:r w:rsidRPr="00BF5468">
              <w:rPr>
                <w:sz w:val="16"/>
                <w:szCs w:val="16"/>
              </w:rPr>
              <w:t>Health Authority and Te Whatu Ora - Health New Zealand) where advice is presented to the Minister prior to the current appointee’s term expiring</w:t>
            </w:r>
          </w:p>
        </w:tc>
        <w:tc>
          <w:tcPr>
            <w:tcW w:w="1134" w:type="dxa"/>
            <w:tcBorders>
              <w:top w:val="single" w:sz="4" w:space="0" w:color="A6A6A6" w:themeColor="background1" w:themeShade="A6"/>
              <w:left w:val="nil"/>
              <w:bottom w:val="single" w:sz="4" w:space="0" w:color="A6A6A6" w:themeColor="background1" w:themeShade="A6"/>
              <w:right w:val="nil"/>
            </w:tcBorders>
          </w:tcPr>
          <w:p w14:paraId="567A5F51" w14:textId="231F9DB9" w:rsidR="00BF5468" w:rsidRPr="00BF5468" w:rsidRDefault="00BF5468" w:rsidP="00BF5468">
            <w:pPr>
              <w:pStyle w:val="TableText"/>
              <w:ind w:right="57"/>
              <w:jc w:val="right"/>
              <w:rPr>
                <w:spacing w:val="-2"/>
                <w:w w:val="105"/>
                <w:sz w:val="16"/>
                <w:szCs w:val="18"/>
              </w:rPr>
            </w:pPr>
            <w:r w:rsidRPr="00BF5468">
              <w:rPr>
                <w:sz w:val="16"/>
                <w:szCs w:val="18"/>
              </w:rPr>
              <w:t>100%</w:t>
            </w:r>
          </w:p>
        </w:tc>
        <w:tc>
          <w:tcPr>
            <w:tcW w:w="1240" w:type="dxa"/>
            <w:tcBorders>
              <w:top w:val="single" w:sz="4" w:space="0" w:color="A6A6A6" w:themeColor="background1" w:themeShade="A6"/>
              <w:left w:val="nil"/>
              <w:bottom w:val="single" w:sz="4" w:space="0" w:color="A6A6A6" w:themeColor="background1" w:themeShade="A6"/>
              <w:right w:val="nil"/>
            </w:tcBorders>
          </w:tcPr>
          <w:p w14:paraId="2FA78D3B" w14:textId="06D309AA" w:rsidR="00BF5468" w:rsidRPr="00BF5468" w:rsidRDefault="00BF5468" w:rsidP="00BF5468">
            <w:pPr>
              <w:pStyle w:val="TableText"/>
              <w:ind w:right="57"/>
              <w:jc w:val="right"/>
              <w:rPr>
                <w:sz w:val="16"/>
                <w:szCs w:val="18"/>
              </w:rPr>
            </w:pPr>
            <w:r w:rsidRPr="00BF5468">
              <w:rPr>
                <w:sz w:val="16"/>
                <w:szCs w:val="18"/>
              </w:rPr>
              <w:t>95%</w:t>
            </w:r>
          </w:p>
        </w:tc>
        <w:tc>
          <w:tcPr>
            <w:tcW w:w="1240" w:type="dxa"/>
            <w:tcBorders>
              <w:top w:val="single" w:sz="4" w:space="0" w:color="A6A6A6" w:themeColor="background1" w:themeShade="A6"/>
              <w:left w:val="nil"/>
              <w:bottom w:val="single" w:sz="4" w:space="0" w:color="A6A6A6" w:themeColor="background1" w:themeShade="A6"/>
              <w:right w:val="nil"/>
            </w:tcBorders>
          </w:tcPr>
          <w:p w14:paraId="49E1CC00" w14:textId="020D8414" w:rsidR="00BF5468" w:rsidRPr="00BF5468" w:rsidRDefault="00BF5468" w:rsidP="00BF5468">
            <w:pPr>
              <w:pStyle w:val="TableText"/>
              <w:ind w:right="57"/>
              <w:jc w:val="right"/>
              <w:rPr>
                <w:sz w:val="16"/>
                <w:szCs w:val="18"/>
              </w:rPr>
            </w:pPr>
            <w:r w:rsidRPr="00BF5468">
              <w:rPr>
                <w:sz w:val="16"/>
                <w:szCs w:val="18"/>
              </w:rPr>
              <w:t>100%</w:t>
            </w:r>
          </w:p>
        </w:tc>
        <w:tc>
          <w:tcPr>
            <w:tcW w:w="1241" w:type="dxa"/>
            <w:tcBorders>
              <w:top w:val="single" w:sz="4" w:space="0" w:color="A6A6A6" w:themeColor="background1" w:themeShade="A6"/>
              <w:left w:val="nil"/>
              <w:bottom w:val="single" w:sz="4" w:space="0" w:color="A6A6A6" w:themeColor="background1" w:themeShade="A6"/>
              <w:right w:val="nil"/>
            </w:tcBorders>
          </w:tcPr>
          <w:p w14:paraId="765C0559" w14:textId="77777777" w:rsidR="00BF5468" w:rsidRPr="00956117" w:rsidRDefault="00BF5468" w:rsidP="00BF5468">
            <w:pPr>
              <w:pStyle w:val="TableText"/>
              <w:ind w:right="57"/>
              <w:jc w:val="right"/>
              <w:rPr>
                <w:sz w:val="16"/>
                <w:szCs w:val="18"/>
              </w:rPr>
            </w:pPr>
            <w:r w:rsidRPr="00BD423C">
              <w:rPr>
                <w:rFonts w:ascii="Wingdings" w:hAnsi="Wingdings"/>
                <w:spacing w:val="-10"/>
                <w:sz w:val="16"/>
                <w:szCs w:val="18"/>
              </w:rPr>
              <w:t>ü</w:t>
            </w:r>
          </w:p>
        </w:tc>
      </w:tr>
    </w:tbl>
    <w:p w14:paraId="2158893D" w14:textId="77777777" w:rsidR="00A2059F" w:rsidRDefault="00A2059F" w:rsidP="00BF5468">
      <w:pPr>
        <w:pStyle w:val="Heading3"/>
        <w:sectPr w:rsidR="00A2059F" w:rsidSect="000A3324">
          <w:pgSz w:w="11907" w:h="16840" w:code="9"/>
          <w:pgMar w:top="1418" w:right="1701" w:bottom="1134" w:left="1843" w:header="284" w:footer="425" w:gutter="284"/>
          <w:cols w:space="720"/>
        </w:sectPr>
      </w:pPr>
    </w:p>
    <w:p w14:paraId="083E45C6" w14:textId="71E60B9D" w:rsidR="00BF5468" w:rsidRDefault="00BF5468" w:rsidP="00A2059F">
      <w:pPr>
        <w:pStyle w:val="Heading3"/>
        <w:spacing w:before="0"/>
      </w:pPr>
      <w:r>
        <w:lastRenderedPageBreak/>
        <w:t>Implementing the COVID-19 Vaccine Strategy</w:t>
      </w:r>
    </w:p>
    <w:p w14:paraId="4C46A2EB" w14:textId="325301BA" w:rsidR="00BF5468" w:rsidRDefault="00BF5468" w:rsidP="00BF5468">
      <w:r>
        <w:t>The single overarching purpose of this appropriation is to implement the COVID-19 Vaccine Strategy to minimise the health impacts of COVID-19. This appropriation is intended for the purchase of potential and proven COVID-19 vaccines and other therapeutics and the delivery of COVID-19 vaccines through an immunisation programme.</w:t>
      </w:r>
    </w:p>
    <w:p w14:paraId="3576142A" w14:textId="0DF04FB3" w:rsidR="00BF5468" w:rsidRDefault="00BF5468" w:rsidP="00BF5468"/>
    <w:tbl>
      <w:tblPr>
        <w:tblStyle w:val="TableGrid"/>
        <w:tblW w:w="8116"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261"/>
        <w:gridCol w:w="1134"/>
        <w:gridCol w:w="1240"/>
        <w:gridCol w:w="1240"/>
        <w:gridCol w:w="1241"/>
      </w:tblGrid>
      <w:tr w:rsidR="00BF5468" w14:paraId="00C52D33" w14:textId="77777777" w:rsidTr="00BF5468">
        <w:tc>
          <w:tcPr>
            <w:tcW w:w="8116" w:type="dxa"/>
            <w:gridSpan w:val="5"/>
            <w:tcBorders>
              <w:top w:val="nil"/>
              <w:left w:val="nil"/>
              <w:bottom w:val="nil"/>
              <w:right w:val="nil"/>
            </w:tcBorders>
            <w:shd w:val="clear" w:color="auto" w:fill="D9D9D9" w:themeFill="background1" w:themeFillShade="D9"/>
            <w:hideMark/>
          </w:tcPr>
          <w:p w14:paraId="664BB0A9" w14:textId="77777777" w:rsidR="00BF5468" w:rsidRDefault="00BF5468" w:rsidP="005734DE">
            <w:pPr>
              <w:pStyle w:val="TableText"/>
              <w:rPr>
                <w:b/>
                <w:bCs/>
              </w:rPr>
            </w:pPr>
            <w:r>
              <w:rPr>
                <w:b/>
                <w:bCs/>
              </w:rPr>
              <w:t>Performance assessment</w:t>
            </w:r>
          </w:p>
        </w:tc>
      </w:tr>
      <w:tr w:rsidR="00BF5468" w14:paraId="4BBC4FD5" w14:textId="77777777" w:rsidTr="005734DE">
        <w:tc>
          <w:tcPr>
            <w:tcW w:w="3261"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27639CED" w14:textId="77777777" w:rsidR="00BF5468" w:rsidRPr="00BF5468" w:rsidRDefault="00BF5468" w:rsidP="005734DE">
            <w:pPr>
              <w:pStyle w:val="TableText"/>
              <w:rPr>
                <w:b/>
                <w:bCs/>
                <w:sz w:val="16"/>
                <w:szCs w:val="16"/>
              </w:rPr>
            </w:pPr>
            <w:r w:rsidRPr="00BF5468">
              <w:rPr>
                <w:b/>
                <w:bCs/>
                <w:sz w:val="16"/>
                <w:szCs w:val="16"/>
              </w:rPr>
              <w:t>Performance measure</w:t>
            </w:r>
          </w:p>
        </w:tc>
        <w:tc>
          <w:tcPr>
            <w:tcW w:w="1134"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3387E7B2" w14:textId="77777777" w:rsidR="00BF5468" w:rsidRDefault="00BF5468" w:rsidP="005734DE">
            <w:pPr>
              <w:pStyle w:val="TableText"/>
              <w:jc w:val="right"/>
              <w:rPr>
                <w:b/>
                <w:bCs/>
                <w:sz w:val="16"/>
                <w:szCs w:val="16"/>
              </w:rPr>
            </w:pPr>
            <w:r>
              <w:rPr>
                <w:b/>
                <w:bCs/>
                <w:sz w:val="16"/>
                <w:szCs w:val="16"/>
              </w:rPr>
              <w:t>Actual</w:t>
            </w:r>
          </w:p>
          <w:p w14:paraId="7FD07476" w14:textId="77777777" w:rsidR="00BF5468" w:rsidRDefault="00BF5468" w:rsidP="005734DE">
            <w:pPr>
              <w:pStyle w:val="TableText"/>
              <w:jc w:val="right"/>
              <w:rPr>
                <w:b/>
                <w:bCs/>
                <w:sz w:val="16"/>
                <w:szCs w:val="16"/>
              </w:rPr>
            </w:pPr>
            <w:r>
              <w:rPr>
                <w:b/>
                <w:bCs/>
                <w:sz w:val="16"/>
                <w:szCs w:val="16"/>
              </w:rPr>
              <w:t>2022/23</w:t>
            </w:r>
          </w:p>
        </w:tc>
        <w:tc>
          <w:tcPr>
            <w:tcW w:w="1240"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7B10BE6C" w14:textId="77777777" w:rsidR="00BF5468" w:rsidRDefault="00BF5468" w:rsidP="005734DE">
            <w:pPr>
              <w:pStyle w:val="TableText"/>
              <w:jc w:val="right"/>
              <w:rPr>
                <w:b/>
                <w:bCs/>
                <w:sz w:val="16"/>
                <w:szCs w:val="16"/>
              </w:rPr>
            </w:pPr>
            <w:r>
              <w:rPr>
                <w:b/>
                <w:bCs/>
                <w:sz w:val="16"/>
                <w:szCs w:val="16"/>
              </w:rPr>
              <w:t>Budget Standard</w:t>
            </w:r>
          </w:p>
          <w:p w14:paraId="4C663EE1" w14:textId="77777777" w:rsidR="00BF5468" w:rsidRDefault="00BF5468" w:rsidP="005734DE">
            <w:pPr>
              <w:pStyle w:val="TableText"/>
              <w:jc w:val="right"/>
              <w:rPr>
                <w:b/>
                <w:bCs/>
                <w:sz w:val="16"/>
                <w:szCs w:val="16"/>
              </w:rPr>
            </w:pPr>
            <w:r>
              <w:rPr>
                <w:b/>
                <w:bCs/>
                <w:sz w:val="16"/>
                <w:szCs w:val="16"/>
              </w:rPr>
              <w:t>2023/24</w:t>
            </w:r>
          </w:p>
        </w:tc>
        <w:tc>
          <w:tcPr>
            <w:tcW w:w="1240"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09870B25" w14:textId="77777777" w:rsidR="00BF5468" w:rsidRDefault="00BF5468" w:rsidP="005734DE">
            <w:pPr>
              <w:pStyle w:val="TableText"/>
              <w:jc w:val="right"/>
              <w:rPr>
                <w:b/>
                <w:bCs/>
                <w:sz w:val="16"/>
                <w:szCs w:val="16"/>
              </w:rPr>
            </w:pPr>
            <w:r>
              <w:rPr>
                <w:b/>
                <w:bCs/>
                <w:sz w:val="16"/>
                <w:szCs w:val="16"/>
              </w:rPr>
              <w:t>Actual</w:t>
            </w:r>
          </w:p>
          <w:p w14:paraId="1CC32FE8" w14:textId="77777777" w:rsidR="00BF5468" w:rsidRDefault="00BF5468" w:rsidP="005734DE">
            <w:pPr>
              <w:pStyle w:val="TableText"/>
              <w:jc w:val="right"/>
              <w:rPr>
                <w:b/>
                <w:bCs/>
                <w:sz w:val="16"/>
                <w:szCs w:val="16"/>
              </w:rPr>
            </w:pPr>
            <w:r>
              <w:rPr>
                <w:b/>
                <w:bCs/>
                <w:sz w:val="16"/>
                <w:szCs w:val="16"/>
              </w:rPr>
              <w:t>2023/24</w:t>
            </w:r>
          </w:p>
        </w:tc>
        <w:tc>
          <w:tcPr>
            <w:tcW w:w="1241"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0711AA3B" w14:textId="77777777" w:rsidR="00BF5468" w:rsidRDefault="00BF5468" w:rsidP="005734DE">
            <w:pPr>
              <w:pStyle w:val="TableText"/>
              <w:jc w:val="right"/>
              <w:rPr>
                <w:b/>
                <w:bCs/>
                <w:sz w:val="16"/>
                <w:szCs w:val="16"/>
              </w:rPr>
            </w:pPr>
            <w:r>
              <w:rPr>
                <w:b/>
                <w:bCs/>
                <w:sz w:val="16"/>
                <w:szCs w:val="16"/>
              </w:rPr>
              <w:t xml:space="preserve">At a </w:t>
            </w:r>
            <w:r>
              <w:rPr>
                <w:b/>
                <w:bCs/>
                <w:sz w:val="16"/>
                <w:szCs w:val="16"/>
              </w:rPr>
              <w:br/>
              <w:t>glance</w:t>
            </w:r>
          </w:p>
        </w:tc>
      </w:tr>
      <w:tr w:rsidR="00BF5468" w14:paraId="70EA2105" w14:textId="77777777" w:rsidTr="005734DE">
        <w:tc>
          <w:tcPr>
            <w:tcW w:w="3261" w:type="dxa"/>
            <w:tcBorders>
              <w:top w:val="single" w:sz="4" w:space="0" w:color="A6A6A6" w:themeColor="background1" w:themeShade="A6"/>
              <w:left w:val="nil"/>
              <w:bottom w:val="single" w:sz="4" w:space="0" w:color="A6A6A6" w:themeColor="background1" w:themeShade="A6"/>
              <w:right w:val="nil"/>
            </w:tcBorders>
          </w:tcPr>
          <w:p w14:paraId="124F7347" w14:textId="47AFB52E" w:rsidR="00BF5468" w:rsidRPr="00BF5468" w:rsidRDefault="00BF5468" w:rsidP="00BF5468">
            <w:pPr>
              <w:pStyle w:val="TableText"/>
              <w:rPr>
                <w:sz w:val="16"/>
                <w:szCs w:val="16"/>
              </w:rPr>
            </w:pPr>
            <w:r w:rsidRPr="00BF5468">
              <w:rPr>
                <w:sz w:val="16"/>
                <w:szCs w:val="16"/>
              </w:rPr>
              <w:t>Ministerial satisfaction with the implementation of the COVID-19 Vaccine Strategy</w:t>
            </w:r>
          </w:p>
        </w:tc>
        <w:tc>
          <w:tcPr>
            <w:tcW w:w="1134" w:type="dxa"/>
            <w:tcBorders>
              <w:top w:val="single" w:sz="4" w:space="0" w:color="A6A6A6" w:themeColor="background1" w:themeShade="A6"/>
              <w:left w:val="nil"/>
              <w:bottom w:val="single" w:sz="4" w:space="0" w:color="A6A6A6" w:themeColor="background1" w:themeShade="A6"/>
              <w:right w:val="nil"/>
            </w:tcBorders>
          </w:tcPr>
          <w:p w14:paraId="0D06168E" w14:textId="048521A6" w:rsidR="00BF5468" w:rsidRPr="00BF5468" w:rsidRDefault="00BF5468" w:rsidP="00BF5468">
            <w:pPr>
              <w:pStyle w:val="TableText"/>
              <w:ind w:right="57"/>
              <w:jc w:val="right"/>
              <w:rPr>
                <w:sz w:val="16"/>
                <w:szCs w:val="16"/>
              </w:rPr>
            </w:pPr>
            <w:r w:rsidRPr="00BF5468">
              <w:rPr>
                <w:spacing w:val="-10"/>
                <w:sz w:val="16"/>
                <w:szCs w:val="16"/>
              </w:rPr>
              <w:t>3</w:t>
            </w:r>
          </w:p>
        </w:tc>
        <w:tc>
          <w:tcPr>
            <w:tcW w:w="1240" w:type="dxa"/>
            <w:tcBorders>
              <w:top w:val="single" w:sz="4" w:space="0" w:color="A6A6A6" w:themeColor="background1" w:themeShade="A6"/>
              <w:left w:val="nil"/>
              <w:bottom w:val="single" w:sz="4" w:space="0" w:color="A6A6A6" w:themeColor="background1" w:themeShade="A6"/>
              <w:right w:val="nil"/>
            </w:tcBorders>
          </w:tcPr>
          <w:p w14:paraId="3D9BFC0F" w14:textId="7E5F3328" w:rsidR="00BF5468" w:rsidRPr="00BF5468" w:rsidRDefault="00BF5468" w:rsidP="00BF5468">
            <w:pPr>
              <w:pStyle w:val="TableText"/>
              <w:ind w:right="57"/>
              <w:jc w:val="right"/>
              <w:rPr>
                <w:sz w:val="16"/>
                <w:szCs w:val="16"/>
              </w:rPr>
            </w:pPr>
            <w:r w:rsidRPr="00BF5468">
              <w:rPr>
                <w:spacing w:val="-4"/>
                <w:w w:val="105"/>
                <w:sz w:val="16"/>
                <w:szCs w:val="16"/>
              </w:rPr>
              <w:t>Equal</w:t>
            </w:r>
            <w:r w:rsidRPr="00BF5468">
              <w:rPr>
                <w:spacing w:val="-12"/>
                <w:w w:val="105"/>
                <w:sz w:val="16"/>
                <w:szCs w:val="16"/>
              </w:rPr>
              <w:t xml:space="preserve"> </w:t>
            </w:r>
            <w:r w:rsidRPr="00BF5468">
              <w:rPr>
                <w:spacing w:val="-4"/>
                <w:w w:val="105"/>
                <w:sz w:val="16"/>
                <w:szCs w:val="16"/>
              </w:rPr>
              <w:t>to</w:t>
            </w:r>
            <w:r w:rsidRPr="00BF5468">
              <w:rPr>
                <w:spacing w:val="-12"/>
                <w:w w:val="105"/>
                <w:sz w:val="16"/>
                <w:szCs w:val="16"/>
              </w:rPr>
              <w:t xml:space="preserve"> </w:t>
            </w:r>
            <w:r w:rsidRPr="00BF5468">
              <w:rPr>
                <w:spacing w:val="-4"/>
                <w:w w:val="105"/>
                <w:sz w:val="16"/>
                <w:szCs w:val="16"/>
              </w:rPr>
              <w:t xml:space="preserve">or </w:t>
            </w:r>
            <w:r w:rsidRPr="00BF5468">
              <w:rPr>
                <w:w w:val="105"/>
                <w:sz w:val="16"/>
                <w:szCs w:val="16"/>
              </w:rPr>
              <w:t>greater</w:t>
            </w:r>
            <w:r w:rsidRPr="00BF5468">
              <w:rPr>
                <w:spacing w:val="-15"/>
                <w:w w:val="105"/>
                <w:sz w:val="16"/>
                <w:szCs w:val="16"/>
              </w:rPr>
              <w:t xml:space="preserve"> </w:t>
            </w:r>
            <w:r w:rsidRPr="00BF5468">
              <w:rPr>
                <w:w w:val="105"/>
                <w:sz w:val="16"/>
                <w:szCs w:val="16"/>
              </w:rPr>
              <w:t>than 4 out of 5</w:t>
            </w:r>
          </w:p>
        </w:tc>
        <w:tc>
          <w:tcPr>
            <w:tcW w:w="1240" w:type="dxa"/>
            <w:tcBorders>
              <w:top w:val="single" w:sz="4" w:space="0" w:color="A6A6A6" w:themeColor="background1" w:themeShade="A6"/>
              <w:left w:val="nil"/>
              <w:bottom w:val="single" w:sz="4" w:space="0" w:color="A6A6A6" w:themeColor="background1" w:themeShade="A6"/>
              <w:right w:val="nil"/>
            </w:tcBorders>
          </w:tcPr>
          <w:p w14:paraId="2421A750" w14:textId="4EF03F94" w:rsidR="00BF5468" w:rsidRPr="00BF5468" w:rsidRDefault="00BF5468" w:rsidP="00BF5468">
            <w:pPr>
              <w:pStyle w:val="TableText"/>
              <w:ind w:right="57"/>
              <w:jc w:val="right"/>
              <w:rPr>
                <w:sz w:val="16"/>
                <w:szCs w:val="16"/>
              </w:rPr>
            </w:pPr>
            <w:r w:rsidRPr="00BF5468">
              <w:rPr>
                <w:spacing w:val="-10"/>
                <w:sz w:val="16"/>
                <w:szCs w:val="16"/>
              </w:rPr>
              <w:t>5</w:t>
            </w:r>
          </w:p>
        </w:tc>
        <w:tc>
          <w:tcPr>
            <w:tcW w:w="1241" w:type="dxa"/>
            <w:tcBorders>
              <w:top w:val="single" w:sz="4" w:space="0" w:color="A6A6A6" w:themeColor="background1" w:themeShade="A6"/>
              <w:left w:val="nil"/>
              <w:bottom w:val="single" w:sz="4" w:space="0" w:color="A6A6A6" w:themeColor="background1" w:themeShade="A6"/>
              <w:right w:val="nil"/>
            </w:tcBorders>
          </w:tcPr>
          <w:p w14:paraId="042BAC90" w14:textId="77777777" w:rsidR="00BF5468" w:rsidRPr="00BF5468" w:rsidRDefault="00BF5468" w:rsidP="00BF5468">
            <w:pPr>
              <w:pStyle w:val="TableText"/>
              <w:ind w:right="57"/>
              <w:jc w:val="right"/>
              <w:rPr>
                <w:rFonts w:ascii="Wingdings" w:hAnsi="Wingdings"/>
                <w:spacing w:val="-10"/>
                <w:sz w:val="16"/>
                <w:szCs w:val="16"/>
              </w:rPr>
            </w:pPr>
            <w:r w:rsidRPr="00BF5468">
              <w:rPr>
                <w:rFonts w:ascii="Wingdings" w:hAnsi="Wingdings"/>
                <w:spacing w:val="-10"/>
                <w:sz w:val="16"/>
                <w:szCs w:val="16"/>
              </w:rPr>
              <w:t>ü</w:t>
            </w:r>
          </w:p>
          <w:p w14:paraId="3A1C7610" w14:textId="46FAF22F" w:rsidR="00BF5468" w:rsidRPr="00BF5468" w:rsidRDefault="00BF5468" w:rsidP="00BF5468">
            <w:pPr>
              <w:pStyle w:val="TableText"/>
              <w:ind w:right="57"/>
              <w:jc w:val="right"/>
              <w:rPr>
                <w:sz w:val="16"/>
                <w:szCs w:val="16"/>
              </w:rPr>
            </w:pPr>
            <w:r w:rsidRPr="00BF5468">
              <w:rPr>
                <w:sz w:val="16"/>
                <w:szCs w:val="16"/>
              </w:rPr>
              <w:t>(Note</w:t>
            </w:r>
            <w:r w:rsidRPr="00BF5468">
              <w:rPr>
                <w:spacing w:val="19"/>
                <w:sz w:val="16"/>
                <w:szCs w:val="16"/>
              </w:rPr>
              <w:t xml:space="preserve"> </w:t>
            </w:r>
            <w:r w:rsidRPr="00BF5468">
              <w:rPr>
                <w:spacing w:val="-5"/>
                <w:sz w:val="16"/>
                <w:szCs w:val="16"/>
              </w:rPr>
              <w:t>1)</w:t>
            </w:r>
          </w:p>
        </w:tc>
      </w:tr>
    </w:tbl>
    <w:p w14:paraId="0F808D26" w14:textId="77777777" w:rsidR="00BF5468" w:rsidRDefault="00BF5468" w:rsidP="00BF5468">
      <w:pPr>
        <w:pStyle w:val="Note"/>
        <w:ind w:left="709" w:hanging="709"/>
      </w:pPr>
      <w:r w:rsidRPr="00BF5468">
        <w:t xml:space="preserve">Note 1: </w:t>
      </w:r>
      <w:r>
        <w:tab/>
      </w:r>
      <w:r w:rsidRPr="00BF5468">
        <w:t>The survey was completed by Hon Dr Shane Reti, who became the Minister of Health in November 2023.</w:t>
      </w:r>
    </w:p>
    <w:p w14:paraId="6EDB60D4" w14:textId="77777777" w:rsidR="00A2059F" w:rsidRDefault="00A2059F" w:rsidP="00A2059F">
      <w:pPr>
        <w:rPr>
          <w:sz w:val="17"/>
        </w:rPr>
      </w:pPr>
    </w:p>
    <w:tbl>
      <w:tblPr>
        <w:tblStyle w:val="TableGrid"/>
        <w:tblW w:w="8119"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977"/>
        <w:gridCol w:w="1285"/>
        <w:gridCol w:w="1286"/>
        <w:gridCol w:w="1285"/>
        <w:gridCol w:w="1286"/>
      </w:tblGrid>
      <w:tr w:rsidR="00A2059F" w14:paraId="3447F9E2" w14:textId="77777777" w:rsidTr="00A2059F">
        <w:tc>
          <w:tcPr>
            <w:tcW w:w="8116" w:type="dxa"/>
            <w:gridSpan w:val="5"/>
            <w:tcBorders>
              <w:top w:val="nil"/>
              <w:left w:val="nil"/>
              <w:bottom w:val="nil"/>
              <w:right w:val="nil"/>
            </w:tcBorders>
            <w:shd w:val="clear" w:color="auto" w:fill="D9D9D9" w:themeFill="background1" w:themeFillShade="D9"/>
            <w:hideMark/>
          </w:tcPr>
          <w:p w14:paraId="49329341" w14:textId="0886342F" w:rsidR="00A2059F" w:rsidRDefault="00A2059F" w:rsidP="005734DE">
            <w:pPr>
              <w:pStyle w:val="TableText"/>
              <w:rPr>
                <w:b/>
                <w:bCs/>
              </w:rPr>
            </w:pPr>
            <w:r w:rsidRPr="00A2059F">
              <w:rPr>
                <w:b/>
                <w:bCs/>
              </w:rPr>
              <w:t>Financial performance</w:t>
            </w:r>
          </w:p>
        </w:tc>
      </w:tr>
      <w:tr w:rsidR="00A2059F" w14:paraId="1038690F" w14:textId="77777777" w:rsidTr="00A2059F">
        <w:tc>
          <w:tcPr>
            <w:tcW w:w="2977"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484A21B3" w14:textId="1E6DF35C" w:rsidR="00A2059F" w:rsidRPr="00BF5468" w:rsidRDefault="00A2059F" w:rsidP="005734DE">
            <w:pPr>
              <w:pStyle w:val="TableText"/>
              <w:rPr>
                <w:b/>
                <w:bCs/>
                <w:sz w:val="16"/>
                <w:szCs w:val="16"/>
              </w:rPr>
            </w:pPr>
            <w:r w:rsidRPr="00A2059F">
              <w:rPr>
                <w:b/>
                <w:bCs/>
                <w:sz w:val="16"/>
                <w:szCs w:val="16"/>
              </w:rPr>
              <w:t>Implementing the COVID-19 Vaccine Strategy</w:t>
            </w:r>
          </w:p>
        </w:tc>
        <w:tc>
          <w:tcPr>
            <w:tcW w:w="1285"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5EFBBE9F" w14:textId="77777777" w:rsidR="00A2059F" w:rsidRDefault="00A2059F" w:rsidP="005734DE">
            <w:pPr>
              <w:pStyle w:val="TableText"/>
              <w:jc w:val="right"/>
              <w:rPr>
                <w:b/>
                <w:bCs/>
                <w:sz w:val="16"/>
                <w:szCs w:val="16"/>
              </w:rPr>
            </w:pPr>
            <w:r>
              <w:rPr>
                <w:b/>
                <w:bCs/>
                <w:sz w:val="16"/>
                <w:szCs w:val="16"/>
              </w:rPr>
              <w:t>Actual</w:t>
            </w:r>
          </w:p>
          <w:p w14:paraId="423B85D8" w14:textId="77777777" w:rsidR="00A2059F" w:rsidRDefault="00A2059F" w:rsidP="005734DE">
            <w:pPr>
              <w:pStyle w:val="TableText"/>
              <w:jc w:val="right"/>
              <w:rPr>
                <w:b/>
                <w:bCs/>
                <w:sz w:val="16"/>
                <w:szCs w:val="16"/>
              </w:rPr>
            </w:pPr>
            <w:r>
              <w:rPr>
                <w:b/>
                <w:bCs/>
                <w:sz w:val="16"/>
                <w:szCs w:val="16"/>
              </w:rPr>
              <w:t>2022/23</w:t>
            </w:r>
          </w:p>
          <w:p w14:paraId="7ACCB77E" w14:textId="24C08E45" w:rsidR="00A2059F" w:rsidRDefault="00A2059F" w:rsidP="005734DE">
            <w:pPr>
              <w:pStyle w:val="TableText"/>
              <w:jc w:val="right"/>
              <w:rPr>
                <w:b/>
                <w:bCs/>
                <w:sz w:val="16"/>
                <w:szCs w:val="16"/>
              </w:rPr>
            </w:pPr>
            <w:r w:rsidRPr="00A2059F">
              <w:rPr>
                <w:b/>
                <w:bCs/>
                <w:sz w:val="16"/>
                <w:szCs w:val="16"/>
              </w:rPr>
              <w:t>$000</w:t>
            </w:r>
          </w:p>
        </w:tc>
        <w:tc>
          <w:tcPr>
            <w:tcW w:w="1286"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29CB7FB2" w14:textId="77777777" w:rsidR="00A2059F" w:rsidRPr="00A2059F" w:rsidRDefault="00A2059F" w:rsidP="00A2059F">
            <w:pPr>
              <w:pStyle w:val="TableText"/>
              <w:jc w:val="right"/>
              <w:rPr>
                <w:b/>
                <w:bCs/>
                <w:sz w:val="16"/>
                <w:szCs w:val="16"/>
              </w:rPr>
            </w:pPr>
            <w:r w:rsidRPr="00A2059F">
              <w:rPr>
                <w:b/>
                <w:bCs/>
                <w:sz w:val="16"/>
                <w:szCs w:val="16"/>
              </w:rPr>
              <w:t>Main estimates</w:t>
            </w:r>
          </w:p>
          <w:p w14:paraId="7EEEA53B" w14:textId="77777777" w:rsidR="00A2059F" w:rsidRPr="00A2059F" w:rsidRDefault="00A2059F" w:rsidP="00A2059F">
            <w:pPr>
              <w:pStyle w:val="TableText"/>
              <w:jc w:val="right"/>
              <w:rPr>
                <w:b/>
                <w:bCs/>
                <w:sz w:val="16"/>
                <w:szCs w:val="16"/>
              </w:rPr>
            </w:pPr>
            <w:r w:rsidRPr="00A2059F">
              <w:rPr>
                <w:b/>
                <w:bCs/>
                <w:sz w:val="16"/>
                <w:szCs w:val="16"/>
              </w:rPr>
              <w:t>2023/24</w:t>
            </w:r>
          </w:p>
          <w:p w14:paraId="4959C541" w14:textId="2445B2E9" w:rsidR="00A2059F" w:rsidRDefault="00A2059F" w:rsidP="00A2059F">
            <w:pPr>
              <w:pStyle w:val="TableText"/>
              <w:jc w:val="right"/>
              <w:rPr>
                <w:b/>
                <w:bCs/>
                <w:sz w:val="16"/>
                <w:szCs w:val="16"/>
              </w:rPr>
            </w:pPr>
            <w:r w:rsidRPr="00A2059F">
              <w:rPr>
                <w:b/>
                <w:bCs/>
                <w:sz w:val="16"/>
                <w:szCs w:val="16"/>
              </w:rPr>
              <w:t>$000</w:t>
            </w:r>
          </w:p>
        </w:tc>
        <w:tc>
          <w:tcPr>
            <w:tcW w:w="1285"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56DA8C4B" w14:textId="77777777" w:rsidR="00A2059F" w:rsidRPr="00A2059F" w:rsidRDefault="00A2059F" w:rsidP="00A2059F">
            <w:pPr>
              <w:pStyle w:val="TableText"/>
              <w:jc w:val="right"/>
              <w:rPr>
                <w:b/>
                <w:bCs/>
                <w:sz w:val="16"/>
                <w:szCs w:val="16"/>
              </w:rPr>
            </w:pPr>
            <w:r w:rsidRPr="00A2059F">
              <w:rPr>
                <w:b/>
                <w:bCs/>
                <w:sz w:val="16"/>
                <w:szCs w:val="16"/>
              </w:rPr>
              <w:t xml:space="preserve">Voted </w:t>
            </w:r>
            <w:proofErr w:type="gramStart"/>
            <w:r w:rsidRPr="00A2059F">
              <w:rPr>
                <w:b/>
                <w:bCs/>
                <w:sz w:val="16"/>
                <w:szCs w:val="16"/>
              </w:rPr>
              <w:t>appropriation</w:t>
            </w:r>
            <w:proofErr w:type="gramEnd"/>
          </w:p>
          <w:p w14:paraId="1944F962" w14:textId="77777777" w:rsidR="00A2059F" w:rsidRPr="00A2059F" w:rsidRDefault="00A2059F" w:rsidP="00A2059F">
            <w:pPr>
              <w:pStyle w:val="TableText"/>
              <w:jc w:val="right"/>
              <w:rPr>
                <w:b/>
                <w:bCs/>
                <w:sz w:val="16"/>
                <w:szCs w:val="16"/>
              </w:rPr>
            </w:pPr>
            <w:r w:rsidRPr="00A2059F">
              <w:rPr>
                <w:b/>
                <w:bCs/>
                <w:sz w:val="16"/>
                <w:szCs w:val="16"/>
              </w:rPr>
              <w:t>2023/24</w:t>
            </w:r>
          </w:p>
          <w:p w14:paraId="232E7865" w14:textId="061FD9CE" w:rsidR="00A2059F" w:rsidRDefault="00A2059F" w:rsidP="00A2059F">
            <w:pPr>
              <w:pStyle w:val="TableText"/>
              <w:jc w:val="right"/>
              <w:rPr>
                <w:b/>
                <w:bCs/>
                <w:sz w:val="16"/>
                <w:szCs w:val="16"/>
              </w:rPr>
            </w:pPr>
            <w:r w:rsidRPr="00A2059F">
              <w:rPr>
                <w:b/>
                <w:bCs/>
                <w:sz w:val="16"/>
                <w:szCs w:val="16"/>
              </w:rPr>
              <w:t>$000</w:t>
            </w:r>
          </w:p>
        </w:tc>
        <w:tc>
          <w:tcPr>
            <w:tcW w:w="1286"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17D39B73" w14:textId="77777777" w:rsidR="00A2059F" w:rsidRPr="00A2059F" w:rsidRDefault="00A2059F" w:rsidP="00A2059F">
            <w:pPr>
              <w:pStyle w:val="TableText"/>
              <w:jc w:val="right"/>
              <w:rPr>
                <w:b/>
                <w:bCs/>
                <w:sz w:val="16"/>
                <w:szCs w:val="16"/>
              </w:rPr>
            </w:pPr>
            <w:r w:rsidRPr="00A2059F">
              <w:rPr>
                <w:b/>
                <w:bCs/>
                <w:sz w:val="16"/>
                <w:szCs w:val="16"/>
              </w:rPr>
              <w:t>Actual 2023/24</w:t>
            </w:r>
          </w:p>
          <w:p w14:paraId="48CD8A1D" w14:textId="2BFF3A5C" w:rsidR="00A2059F" w:rsidRDefault="00A2059F" w:rsidP="00A2059F">
            <w:pPr>
              <w:pStyle w:val="TableText"/>
              <w:jc w:val="right"/>
              <w:rPr>
                <w:b/>
                <w:bCs/>
                <w:sz w:val="16"/>
                <w:szCs w:val="16"/>
              </w:rPr>
            </w:pPr>
            <w:r w:rsidRPr="00A2059F">
              <w:rPr>
                <w:b/>
                <w:bCs/>
                <w:sz w:val="16"/>
                <w:szCs w:val="16"/>
              </w:rPr>
              <w:t>$000</w:t>
            </w:r>
          </w:p>
        </w:tc>
      </w:tr>
      <w:tr w:rsidR="00A2059F" w:rsidRPr="00A2059F" w14:paraId="0E207041" w14:textId="77777777" w:rsidTr="00A2059F">
        <w:tc>
          <w:tcPr>
            <w:tcW w:w="2977" w:type="dxa"/>
            <w:tcBorders>
              <w:top w:val="single" w:sz="4" w:space="0" w:color="A6A6A6" w:themeColor="background1" w:themeShade="A6"/>
              <w:left w:val="nil"/>
              <w:bottom w:val="single" w:sz="4" w:space="0" w:color="A6A6A6" w:themeColor="background1" w:themeShade="A6"/>
              <w:right w:val="nil"/>
            </w:tcBorders>
          </w:tcPr>
          <w:p w14:paraId="5F2314DA" w14:textId="1A11CD13" w:rsidR="00A2059F" w:rsidRPr="00A2059F" w:rsidRDefault="00A2059F" w:rsidP="005734DE">
            <w:pPr>
              <w:pStyle w:val="TableText"/>
              <w:rPr>
                <w:b/>
                <w:bCs/>
                <w:sz w:val="16"/>
                <w:szCs w:val="16"/>
              </w:rPr>
            </w:pPr>
            <w:r w:rsidRPr="00A2059F">
              <w:rPr>
                <w:b/>
                <w:bCs/>
                <w:sz w:val="16"/>
                <w:szCs w:val="16"/>
              </w:rPr>
              <w:t>Non-departmental output expenses</w:t>
            </w:r>
          </w:p>
        </w:tc>
        <w:tc>
          <w:tcPr>
            <w:tcW w:w="1285" w:type="dxa"/>
            <w:tcBorders>
              <w:top w:val="single" w:sz="4" w:space="0" w:color="A6A6A6" w:themeColor="background1" w:themeShade="A6"/>
              <w:left w:val="nil"/>
              <w:bottom w:val="single" w:sz="4" w:space="0" w:color="A6A6A6" w:themeColor="background1" w:themeShade="A6"/>
              <w:right w:val="nil"/>
            </w:tcBorders>
          </w:tcPr>
          <w:p w14:paraId="5FE3D612" w14:textId="4019BC5F" w:rsidR="00A2059F" w:rsidRPr="00A2059F" w:rsidRDefault="00A2059F" w:rsidP="005734DE">
            <w:pPr>
              <w:pStyle w:val="TableText"/>
              <w:ind w:right="57"/>
              <w:jc w:val="right"/>
              <w:rPr>
                <w:b/>
                <w:bCs/>
                <w:sz w:val="16"/>
                <w:szCs w:val="18"/>
              </w:rPr>
            </w:pPr>
          </w:p>
        </w:tc>
        <w:tc>
          <w:tcPr>
            <w:tcW w:w="1286" w:type="dxa"/>
            <w:tcBorders>
              <w:top w:val="single" w:sz="4" w:space="0" w:color="A6A6A6" w:themeColor="background1" w:themeShade="A6"/>
              <w:left w:val="nil"/>
              <w:bottom w:val="single" w:sz="4" w:space="0" w:color="A6A6A6" w:themeColor="background1" w:themeShade="A6"/>
              <w:right w:val="nil"/>
            </w:tcBorders>
          </w:tcPr>
          <w:p w14:paraId="42985970" w14:textId="3F1913CF" w:rsidR="00A2059F" w:rsidRPr="00A2059F" w:rsidRDefault="00A2059F" w:rsidP="005734DE">
            <w:pPr>
              <w:pStyle w:val="TableText"/>
              <w:ind w:right="57"/>
              <w:jc w:val="right"/>
              <w:rPr>
                <w:b/>
                <w:bCs/>
                <w:sz w:val="16"/>
                <w:szCs w:val="18"/>
              </w:rPr>
            </w:pPr>
          </w:p>
        </w:tc>
        <w:tc>
          <w:tcPr>
            <w:tcW w:w="1285" w:type="dxa"/>
            <w:tcBorders>
              <w:top w:val="single" w:sz="4" w:space="0" w:color="A6A6A6" w:themeColor="background1" w:themeShade="A6"/>
              <w:left w:val="nil"/>
              <w:bottom w:val="single" w:sz="4" w:space="0" w:color="A6A6A6" w:themeColor="background1" w:themeShade="A6"/>
              <w:right w:val="nil"/>
            </w:tcBorders>
          </w:tcPr>
          <w:p w14:paraId="69AC02EA" w14:textId="296FBFAD" w:rsidR="00A2059F" w:rsidRPr="00A2059F" w:rsidRDefault="00A2059F" w:rsidP="005734DE">
            <w:pPr>
              <w:pStyle w:val="TableText"/>
              <w:ind w:right="57"/>
              <w:jc w:val="right"/>
              <w:rPr>
                <w:b/>
                <w:bCs/>
                <w:sz w:val="16"/>
                <w:szCs w:val="18"/>
              </w:rPr>
            </w:pPr>
          </w:p>
        </w:tc>
        <w:tc>
          <w:tcPr>
            <w:tcW w:w="1286" w:type="dxa"/>
            <w:tcBorders>
              <w:top w:val="single" w:sz="4" w:space="0" w:color="A6A6A6" w:themeColor="background1" w:themeShade="A6"/>
              <w:left w:val="nil"/>
              <w:bottom w:val="single" w:sz="4" w:space="0" w:color="A6A6A6" w:themeColor="background1" w:themeShade="A6"/>
              <w:right w:val="nil"/>
            </w:tcBorders>
          </w:tcPr>
          <w:p w14:paraId="06F8B410" w14:textId="652A78F8" w:rsidR="00A2059F" w:rsidRPr="00A2059F" w:rsidRDefault="00A2059F" w:rsidP="005734DE">
            <w:pPr>
              <w:pStyle w:val="TableText"/>
              <w:ind w:right="57"/>
              <w:jc w:val="right"/>
              <w:rPr>
                <w:b/>
                <w:bCs/>
                <w:sz w:val="16"/>
                <w:szCs w:val="18"/>
              </w:rPr>
            </w:pPr>
          </w:p>
        </w:tc>
      </w:tr>
      <w:tr w:rsidR="00A2059F" w:rsidRPr="00A2059F" w14:paraId="6640B5E1" w14:textId="77777777" w:rsidTr="00A2059F">
        <w:tc>
          <w:tcPr>
            <w:tcW w:w="8119" w:type="dxa"/>
            <w:gridSpan w:val="5"/>
            <w:tcBorders>
              <w:top w:val="single" w:sz="4" w:space="0" w:color="A6A6A6" w:themeColor="background1" w:themeShade="A6"/>
              <w:left w:val="nil"/>
              <w:bottom w:val="single" w:sz="4" w:space="0" w:color="A6A6A6" w:themeColor="background1" w:themeShade="A6"/>
              <w:right w:val="nil"/>
            </w:tcBorders>
          </w:tcPr>
          <w:p w14:paraId="79239CBB" w14:textId="01F828CF" w:rsidR="00A2059F" w:rsidRPr="00A2059F" w:rsidRDefault="00A2059F" w:rsidP="00A2059F">
            <w:pPr>
              <w:pStyle w:val="TableText"/>
              <w:ind w:right="57"/>
              <w:rPr>
                <w:b/>
                <w:bCs/>
                <w:sz w:val="16"/>
                <w:szCs w:val="18"/>
              </w:rPr>
            </w:pPr>
            <w:r w:rsidRPr="00A2059F">
              <w:rPr>
                <w:b/>
                <w:bCs/>
                <w:sz w:val="16"/>
                <w:szCs w:val="16"/>
              </w:rPr>
              <w:t>Implementing the COVID-19 immunisation programme</w:t>
            </w:r>
          </w:p>
        </w:tc>
      </w:tr>
      <w:tr w:rsidR="00A2059F" w14:paraId="04F3ACC3" w14:textId="77777777" w:rsidTr="00A2059F">
        <w:tc>
          <w:tcPr>
            <w:tcW w:w="2977" w:type="dxa"/>
            <w:tcBorders>
              <w:top w:val="single" w:sz="4" w:space="0" w:color="A6A6A6" w:themeColor="background1" w:themeShade="A6"/>
              <w:left w:val="nil"/>
              <w:bottom w:val="single" w:sz="4" w:space="0" w:color="A6A6A6" w:themeColor="background1" w:themeShade="A6"/>
              <w:right w:val="nil"/>
            </w:tcBorders>
          </w:tcPr>
          <w:p w14:paraId="10EFF5E9" w14:textId="69EDBFCC" w:rsidR="00A2059F" w:rsidRPr="00BF5468" w:rsidRDefault="00A2059F" w:rsidP="00A2059F">
            <w:pPr>
              <w:pStyle w:val="TableText"/>
              <w:rPr>
                <w:sz w:val="16"/>
                <w:szCs w:val="16"/>
              </w:rPr>
            </w:pPr>
            <w:r w:rsidRPr="00A2059F">
              <w:rPr>
                <w:sz w:val="16"/>
                <w:szCs w:val="16"/>
              </w:rPr>
              <w:t>Total expenses</w:t>
            </w:r>
          </w:p>
        </w:tc>
        <w:tc>
          <w:tcPr>
            <w:tcW w:w="1285" w:type="dxa"/>
            <w:tcBorders>
              <w:top w:val="single" w:sz="4" w:space="0" w:color="A6A6A6" w:themeColor="background1" w:themeShade="A6"/>
              <w:left w:val="nil"/>
              <w:bottom w:val="single" w:sz="4" w:space="0" w:color="A6A6A6" w:themeColor="background1" w:themeShade="A6"/>
              <w:right w:val="nil"/>
            </w:tcBorders>
          </w:tcPr>
          <w:p w14:paraId="60B9AEB4" w14:textId="5ADF139C" w:rsidR="00A2059F" w:rsidRPr="00A2059F" w:rsidRDefault="00A2059F" w:rsidP="00A2059F">
            <w:pPr>
              <w:pStyle w:val="TableText"/>
              <w:spacing w:line="240" w:lineRule="auto"/>
              <w:ind w:right="57"/>
              <w:jc w:val="right"/>
              <w:rPr>
                <w:sz w:val="16"/>
                <w:szCs w:val="16"/>
              </w:rPr>
            </w:pPr>
            <w:r w:rsidRPr="00A2059F">
              <w:rPr>
                <w:sz w:val="16"/>
                <w:szCs w:val="16"/>
              </w:rPr>
              <w:t>301,794</w:t>
            </w:r>
          </w:p>
        </w:tc>
        <w:tc>
          <w:tcPr>
            <w:tcW w:w="1286" w:type="dxa"/>
            <w:tcBorders>
              <w:top w:val="single" w:sz="4" w:space="0" w:color="A6A6A6" w:themeColor="background1" w:themeShade="A6"/>
              <w:left w:val="nil"/>
              <w:bottom w:val="single" w:sz="4" w:space="0" w:color="A6A6A6" w:themeColor="background1" w:themeShade="A6"/>
              <w:right w:val="nil"/>
            </w:tcBorders>
          </w:tcPr>
          <w:p w14:paraId="4E701F09" w14:textId="3B002901" w:rsidR="00A2059F" w:rsidRPr="00A2059F" w:rsidRDefault="00A2059F" w:rsidP="00A2059F">
            <w:pPr>
              <w:pStyle w:val="TableText"/>
              <w:spacing w:line="240" w:lineRule="auto"/>
              <w:ind w:right="57"/>
              <w:jc w:val="right"/>
              <w:rPr>
                <w:sz w:val="16"/>
                <w:szCs w:val="16"/>
              </w:rPr>
            </w:pPr>
            <w:r w:rsidRPr="00A2059F">
              <w:rPr>
                <w:sz w:val="16"/>
                <w:szCs w:val="16"/>
              </w:rPr>
              <w:t>129,918</w:t>
            </w:r>
          </w:p>
        </w:tc>
        <w:tc>
          <w:tcPr>
            <w:tcW w:w="1285" w:type="dxa"/>
            <w:tcBorders>
              <w:top w:val="single" w:sz="4" w:space="0" w:color="A6A6A6" w:themeColor="background1" w:themeShade="A6"/>
              <w:left w:val="nil"/>
              <w:bottom w:val="single" w:sz="4" w:space="0" w:color="A6A6A6" w:themeColor="background1" w:themeShade="A6"/>
              <w:right w:val="nil"/>
            </w:tcBorders>
          </w:tcPr>
          <w:p w14:paraId="3E636879" w14:textId="1031E355" w:rsidR="00A2059F" w:rsidRPr="00A2059F" w:rsidRDefault="00A2059F" w:rsidP="00A2059F">
            <w:pPr>
              <w:pStyle w:val="TableText"/>
              <w:spacing w:line="240" w:lineRule="auto"/>
              <w:ind w:right="57"/>
              <w:jc w:val="right"/>
              <w:rPr>
                <w:sz w:val="16"/>
                <w:szCs w:val="16"/>
              </w:rPr>
            </w:pPr>
            <w:r w:rsidRPr="00A2059F">
              <w:rPr>
                <w:sz w:val="16"/>
                <w:szCs w:val="16"/>
              </w:rPr>
              <w:t>105,287</w:t>
            </w:r>
          </w:p>
        </w:tc>
        <w:tc>
          <w:tcPr>
            <w:tcW w:w="1286" w:type="dxa"/>
            <w:tcBorders>
              <w:top w:val="single" w:sz="4" w:space="0" w:color="A6A6A6" w:themeColor="background1" w:themeShade="A6"/>
              <w:left w:val="nil"/>
              <w:bottom w:val="single" w:sz="4" w:space="0" w:color="A6A6A6" w:themeColor="background1" w:themeShade="A6"/>
              <w:right w:val="nil"/>
            </w:tcBorders>
          </w:tcPr>
          <w:p w14:paraId="06ABB963" w14:textId="64EAF0CB" w:rsidR="00A2059F" w:rsidRPr="00A2059F" w:rsidRDefault="00A2059F" w:rsidP="00A2059F">
            <w:pPr>
              <w:pStyle w:val="TableText"/>
              <w:spacing w:line="240" w:lineRule="auto"/>
              <w:ind w:right="57"/>
              <w:jc w:val="right"/>
              <w:rPr>
                <w:sz w:val="16"/>
                <w:szCs w:val="16"/>
              </w:rPr>
            </w:pPr>
            <w:r w:rsidRPr="00A2059F">
              <w:rPr>
                <w:sz w:val="16"/>
                <w:szCs w:val="16"/>
              </w:rPr>
              <w:t>70,287</w:t>
            </w:r>
          </w:p>
        </w:tc>
      </w:tr>
      <w:tr w:rsidR="00A2059F" w:rsidRPr="00A2059F" w14:paraId="0CFBF34A" w14:textId="77777777" w:rsidTr="00A2059F">
        <w:tc>
          <w:tcPr>
            <w:tcW w:w="8119" w:type="dxa"/>
            <w:gridSpan w:val="5"/>
            <w:tcBorders>
              <w:top w:val="single" w:sz="4" w:space="0" w:color="A6A6A6" w:themeColor="background1" w:themeShade="A6"/>
              <w:left w:val="nil"/>
              <w:bottom w:val="single" w:sz="4" w:space="0" w:color="A6A6A6" w:themeColor="background1" w:themeShade="A6"/>
              <w:right w:val="nil"/>
            </w:tcBorders>
          </w:tcPr>
          <w:p w14:paraId="055AF1D4" w14:textId="1DB52AF0" w:rsidR="00A2059F" w:rsidRPr="00A2059F" w:rsidRDefault="00A2059F" w:rsidP="00A2059F">
            <w:pPr>
              <w:pStyle w:val="TableText"/>
              <w:ind w:right="57"/>
              <w:rPr>
                <w:b/>
                <w:bCs/>
                <w:sz w:val="16"/>
                <w:szCs w:val="18"/>
              </w:rPr>
            </w:pPr>
            <w:r w:rsidRPr="00A2059F">
              <w:rPr>
                <w:b/>
                <w:bCs/>
                <w:sz w:val="16"/>
                <w:szCs w:val="16"/>
              </w:rPr>
              <w:t>Purchasing potential and proven COVID-19 vaccines and other therapeutics</w:t>
            </w:r>
          </w:p>
        </w:tc>
      </w:tr>
      <w:tr w:rsidR="00A2059F" w14:paraId="6623CA1C" w14:textId="77777777" w:rsidTr="00A2059F">
        <w:tc>
          <w:tcPr>
            <w:tcW w:w="2977" w:type="dxa"/>
            <w:tcBorders>
              <w:top w:val="single" w:sz="4" w:space="0" w:color="A6A6A6" w:themeColor="background1" w:themeShade="A6"/>
              <w:left w:val="nil"/>
              <w:bottom w:val="single" w:sz="4" w:space="0" w:color="A6A6A6" w:themeColor="background1" w:themeShade="A6"/>
              <w:right w:val="nil"/>
            </w:tcBorders>
          </w:tcPr>
          <w:p w14:paraId="1CF2EDE4" w14:textId="0EEC1338" w:rsidR="00A2059F" w:rsidRPr="00BF5468" w:rsidRDefault="00A2059F" w:rsidP="00A2059F">
            <w:pPr>
              <w:pStyle w:val="TableText"/>
              <w:rPr>
                <w:sz w:val="16"/>
                <w:szCs w:val="16"/>
              </w:rPr>
            </w:pPr>
            <w:r w:rsidRPr="00A2059F">
              <w:rPr>
                <w:sz w:val="16"/>
                <w:szCs w:val="16"/>
              </w:rPr>
              <w:t>Total expenses</w:t>
            </w:r>
          </w:p>
        </w:tc>
        <w:tc>
          <w:tcPr>
            <w:tcW w:w="1285" w:type="dxa"/>
            <w:tcBorders>
              <w:top w:val="single" w:sz="4" w:space="0" w:color="A6A6A6" w:themeColor="background1" w:themeShade="A6"/>
              <w:left w:val="nil"/>
              <w:bottom w:val="single" w:sz="4" w:space="0" w:color="A6A6A6" w:themeColor="background1" w:themeShade="A6"/>
              <w:right w:val="nil"/>
            </w:tcBorders>
          </w:tcPr>
          <w:p w14:paraId="2E9D0483" w14:textId="44C76352" w:rsidR="00A2059F" w:rsidRPr="00A2059F" w:rsidRDefault="00A2059F" w:rsidP="00A2059F">
            <w:pPr>
              <w:pStyle w:val="TableText"/>
              <w:spacing w:line="240" w:lineRule="auto"/>
              <w:ind w:right="57"/>
              <w:jc w:val="right"/>
              <w:rPr>
                <w:sz w:val="16"/>
                <w:szCs w:val="16"/>
              </w:rPr>
            </w:pPr>
            <w:r w:rsidRPr="00A2059F">
              <w:rPr>
                <w:sz w:val="16"/>
                <w:szCs w:val="16"/>
              </w:rPr>
              <w:t>602,086</w:t>
            </w:r>
          </w:p>
        </w:tc>
        <w:tc>
          <w:tcPr>
            <w:tcW w:w="1286" w:type="dxa"/>
            <w:tcBorders>
              <w:top w:val="single" w:sz="4" w:space="0" w:color="A6A6A6" w:themeColor="background1" w:themeShade="A6"/>
              <w:left w:val="nil"/>
              <w:bottom w:val="single" w:sz="4" w:space="0" w:color="A6A6A6" w:themeColor="background1" w:themeShade="A6"/>
              <w:right w:val="nil"/>
            </w:tcBorders>
          </w:tcPr>
          <w:p w14:paraId="58C2DE32" w14:textId="303A087F" w:rsidR="00A2059F" w:rsidRPr="00A2059F" w:rsidRDefault="00A2059F" w:rsidP="00A2059F">
            <w:pPr>
              <w:pStyle w:val="TableText"/>
              <w:spacing w:line="240" w:lineRule="auto"/>
              <w:ind w:right="57"/>
              <w:jc w:val="right"/>
              <w:rPr>
                <w:sz w:val="16"/>
                <w:szCs w:val="16"/>
              </w:rPr>
            </w:pPr>
            <w:r w:rsidRPr="00A2059F">
              <w:rPr>
                <w:sz w:val="16"/>
                <w:szCs w:val="16"/>
              </w:rPr>
              <w:t>165,200</w:t>
            </w:r>
          </w:p>
        </w:tc>
        <w:tc>
          <w:tcPr>
            <w:tcW w:w="1285" w:type="dxa"/>
            <w:tcBorders>
              <w:top w:val="single" w:sz="4" w:space="0" w:color="A6A6A6" w:themeColor="background1" w:themeShade="A6"/>
              <w:left w:val="nil"/>
              <w:bottom w:val="single" w:sz="4" w:space="0" w:color="A6A6A6" w:themeColor="background1" w:themeShade="A6"/>
              <w:right w:val="nil"/>
            </w:tcBorders>
          </w:tcPr>
          <w:p w14:paraId="46D2FE61" w14:textId="3D64C375" w:rsidR="00A2059F" w:rsidRPr="00A2059F" w:rsidRDefault="00A2059F" w:rsidP="00A2059F">
            <w:pPr>
              <w:pStyle w:val="TableText"/>
              <w:spacing w:line="240" w:lineRule="auto"/>
              <w:ind w:right="57"/>
              <w:jc w:val="right"/>
              <w:rPr>
                <w:sz w:val="16"/>
                <w:szCs w:val="16"/>
              </w:rPr>
            </w:pPr>
            <w:r w:rsidRPr="00A2059F">
              <w:rPr>
                <w:sz w:val="16"/>
                <w:szCs w:val="16"/>
              </w:rPr>
              <w:t>-</w:t>
            </w:r>
          </w:p>
        </w:tc>
        <w:tc>
          <w:tcPr>
            <w:tcW w:w="1286" w:type="dxa"/>
            <w:tcBorders>
              <w:top w:val="single" w:sz="4" w:space="0" w:color="A6A6A6" w:themeColor="background1" w:themeShade="A6"/>
              <w:left w:val="nil"/>
              <w:bottom w:val="single" w:sz="4" w:space="0" w:color="A6A6A6" w:themeColor="background1" w:themeShade="A6"/>
              <w:right w:val="nil"/>
            </w:tcBorders>
          </w:tcPr>
          <w:p w14:paraId="27759D64" w14:textId="5DAB38BE" w:rsidR="00A2059F" w:rsidRPr="00A2059F" w:rsidRDefault="00A2059F" w:rsidP="00A2059F">
            <w:pPr>
              <w:pStyle w:val="TableText"/>
              <w:spacing w:line="240" w:lineRule="auto"/>
              <w:ind w:right="57"/>
              <w:jc w:val="right"/>
              <w:rPr>
                <w:sz w:val="16"/>
                <w:szCs w:val="16"/>
              </w:rPr>
            </w:pPr>
            <w:r w:rsidRPr="00A2059F">
              <w:rPr>
                <w:sz w:val="16"/>
                <w:szCs w:val="16"/>
              </w:rPr>
              <w:t>-</w:t>
            </w:r>
          </w:p>
        </w:tc>
      </w:tr>
      <w:tr w:rsidR="00A2059F" w:rsidRPr="00A2059F" w14:paraId="76B858B4" w14:textId="77777777" w:rsidTr="00A2059F">
        <w:tc>
          <w:tcPr>
            <w:tcW w:w="2977" w:type="dxa"/>
            <w:tcBorders>
              <w:top w:val="single" w:sz="4" w:space="0" w:color="A6A6A6" w:themeColor="background1" w:themeShade="A6"/>
              <w:left w:val="nil"/>
              <w:bottom w:val="single" w:sz="4" w:space="0" w:color="A6A6A6" w:themeColor="background1" w:themeShade="A6"/>
              <w:right w:val="nil"/>
            </w:tcBorders>
          </w:tcPr>
          <w:p w14:paraId="6C1E569B" w14:textId="0C3BFBD3" w:rsidR="00A2059F" w:rsidRPr="00A2059F" w:rsidRDefault="00A2059F" w:rsidP="00A2059F">
            <w:pPr>
              <w:pStyle w:val="TableText"/>
              <w:rPr>
                <w:b/>
                <w:bCs/>
                <w:sz w:val="16"/>
                <w:szCs w:val="16"/>
              </w:rPr>
            </w:pPr>
            <w:r w:rsidRPr="00A2059F">
              <w:rPr>
                <w:b/>
                <w:bCs/>
                <w:sz w:val="16"/>
                <w:szCs w:val="16"/>
              </w:rPr>
              <w:t>Total MCA expenses</w:t>
            </w:r>
          </w:p>
        </w:tc>
        <w:tc>
          <w:tcPr>
            <w:tcW w:w="1285" w:type="dxa"/>
            <w:tcBorders>
              <w:top w:val="single" w:sz="4" w:space="0" w:color="A6A6A6" w:themeColor="background1" w:themeShade="A6"/>
              <w:left w:val="nil"/>
              <w:bottom w:val="single" w:sz="4" w:space="0" w:color="A6A6A6" w:themeColor="background1" w:themeShade="A6"/>
              <w:right w:val="nil"/>
            </w:tcBorders>
          </w:tcPr>
          <w:p w14:paraId="62ED5704" w14:textId="0CACB7AE" w:rsidR="00A2059F" w:rsidRPr="00A2059F" w:rsidRDefault="00A2059F" w:rsidP="00A2059F">
            <w:pPr>
              <w:pStyle w:val="TableText"/>
              <w:spacing w:line="240" w:lineRule="auto"/>
              <w:ind w:right="57"/>
              <w:jc w:val="right"/>
              <w:rPr>
                <w:b/>
                <w:bCs/>
                <w:sz w:val="16"/>
                <w:szCs w:val="16"/>
              </w:rPr>
            </w:pPr>
            <w:r w:rsidRPr="00A2059F">
              <w:rPr>
                <w:b/>
                <w:bCs/>
                <w:sz w:val="16"/>
                <w:szCs w:val="16"/>
              </w:rPr>
              <w:t>903,880</w:t>
            </w:r>
          </w:p>
        </w:tc>
        <w:tc>
          <w:tcPr>
            <w:tcW w:w="1286" w:type="dxa"/>
            <w:tcBorders>
              <w:top w:val="single" w:sz="4" w:space="0" w:color="A6A6A6" w:themeColor="background1" w:themeShade="A6"/>
              <w:left w:val="nil"/>
              <w:bottom w:val="single" w:sz="4" w:space="0" w:color="A6A6A6" w:themeColor="background1" w:themeShade="A6"/>
              <w:right w:val="nil"/>
            </w:tcBorders>
          </w:tcPr>
          <w:p w14:paraId="46302512" w14:textId="590F3BD7" w:rsidR="00A2059F" w:rsidRPr="00A2059F" w:rsidRDefault="00A2059F" w:rsidP="00A2059F">
            <w:pPr>
              <w:pStyle w:val="TableText"/>
              <w:spacing w:line="240" w:lineRule="auto"/>
              <w:ind w:right="57"/>
              <w:jc w:val="right"/>
              <w:rPr>
                <w:b/>
                <w:bCs/>
                <w:sz w:val="16"/>
                <w:szCs w:val="16"/>
              </w:rPr>
            </w:pPr>
            <w:r w:rsidRPr="00A2059F">
              <w:rPr>
                <w:b/>
                <w:bCs/>
                <w:sz w:val="16"/>
                <w:szCs w:val="16"/>
              </w:rPr>
              <w:t>295,118</w:t>
            </w:r>
          </w:p>
        </w:tc>
        <w:tc>
          <w:tcPr>
            <w:tcW w:w="1285" w:type="dxa"/>
            <w:tcBorders>
              <w:top w:val="single" w:sz="4" w:space="0" w:color="A6A6A6" w:themeColor="background1" w:themeShade="A6"/>
              <w:left w:val="nil"/>
              <w:bottom w:val="single" w:sz="4" w:space="0" w:color="A6A6A6" w:themeColor="background1" w:themeShade="A6"/>
              <w:right w:val="nil"/>
            </w:tcBorders>
          </w:tcPr>
          <w:p w14:paraId="400AFD9A" w14:textId="387798B3" w:rsidR="00A2059F" w:rsidRPr="00A2059F" w:rsidRDefault="00A2059F" w:rsidP="00A2059F">
            <w:pPr>
              <w:pStyle w:val="TableText"/>
              <w:spacing w:line="240" w:lineRule="auto"/>
              <w:ind w:right="57"/>
              <w:jc w:val="right"/>
              <w:rPr>
                <w:b/>
                <w:bCs/>
                <w:sz w:val="16"/>
                <w:szCs w:val="16"/>
              </w:rPr>
            </w:pPr>
            <w:r w:rsidRPr="00A2059F">
              <w:rPr>
                <w:b/>
                <w:bCs/>
                <w:sz w:val="16"/>
                <w:szCs w:val="16"/>
              </w:rPr>
              <w:t>105,287</w:t>
            </w:r>
          </w:p>
        </w:tc>
        <w:tc>
          <w:tcPr>
            <w:tcW w:w="1286" w:type="dxa"/>
            <w:tcBorders>
              <w:top w:val="single" w:sz="4" w:space="0" w:color="A6A6A6" w:themeColor="background1" w:themeShade="A6"/>
              <w:left w:val="nil"/>
              <w:bottom w:val="single" w:sz="4" w:space="0" w:color="A6A6A6" w:themeColor="background1" w:themeShade="A6"/>
              <w:right w:val="nil"/>
            </w:tcBorders>
          </w:tcPr>
          <w:p w14:paraId="00AFE387" w14:textId="5F29CC97" w:rsidR="00A2059F" w:rsidRPr="00A2059F" w:rsidRDefault="00A2059F" w:rsidP="00A2059F">
            <w:pPr>
              <w:pStyle w:val="TableText"/>
              <w:spacing w:line="240" w:lineRule="auto"/>
              <w:ind w:right="57"/>
              <w:jc w:val="right"/>
              <w:rPr>
                <w:b/>
                <w:bCs/>
                <w:sz w:val="16"/>
                <w:szCs w:val="16"/>
              </w:rPr>
            </w:pPr>
            <w:r w:rsidRPr="00A2059F">
              <w:rPr>
                <w:b/>
                <w:bCs/>
                <w:sz w:val="16"/>
                <w:szCs w:val="16"/>
              </w:rPr>
              <w:t>70,287</w:t>
            </w:r>
          </w:p>
        </w:tc>
      </w:tr>
    </w:tbl>
    <w:p w14:paraId="4025421F" w14:textId="77777777" w:rsidR="00A2059F" w:rsidRDefault="00A2059F" w:rsidP="00A2059F">
      <w:pPr>
        <w:ind w:firstLine="567"/>
        <w:rPr>
          <w:sz w:val="17"/>
        </w:rPr>
      </w:pPr>
    </w:p>
    <w:p w14:paraId="06261938" w14:textId="77777777" w:rsidR="00A2059F" w:rsidRDefault="007D57B1" w:rsidP="00A2059F">
      <w:r w:rsidRPr="007D57B1">
        <w:t>Health New Zealand manages the Implementing the COVID-19 Vaccine Strategy appropriation with the exception of the therapeutics purchases, which is managed by Pharmac – Te Pātaka Whaioranga. Activity in the COVID-19 area has been steadily decreasing as our response to the virus has become more embedded into day-to-day activities. This has meant that the levels of activity for testing and immunisation were lower than planned and the funding provided for these services was not used. The surplus funding has been returned to the Crown.</w:t>
      </w:r>
    </w:p>
    <w:p w14:paraId="2F44FE76" w14:textId="77777777" w:rsidR="007D57B1" w:rsidRDefault="007D57B1" w:rsidP="00A2059F"/>
    <w:p w14:paraId="0ABC5777" w14:textId="77777777" w:rsidR="007D57B1" w:rsidRDefault="007D57B1" w:rsidP="00A2059F">
      <w:pPr>
        <w:sectPr w:rsidR="007D57B1" w:rsidSect="000A3324">
          <w:pgSz w:w="11907" w:h="16840" w:code="9"/>
          <w:pgMar w:top="1418" w:right="1701" w:bottom="1134" w:left="1843" w:header="284" w:footer="425" w:gutter="284"/>
          <w:cols w:space="720"/>
        </w:sectPr>
      </w:pPr>
    </w:p>
    <w:p w14:paraId="39366F2C" w14:textId="77777777" w:rsidR="007D57B1" w:rsidRDefault="007D57B1" w:rsidP="007D57B1">
      <w:pPr>
        <w:pStyle w:val="Heading3"/>
        <w:spacing w:before="0"/>
      </w:pPr>
      <w:r>
        <w:lastRenderedPageBreak/>
        <w:t>National Response to COVID-19 Across the Health Sector</w:t>
      </w:r>
    </w:p>
    <w:p w14:paraId="36650361" w14:textId="77777777" w:rsidR="007D57B1" w:rsidRDefault="007D57B1" w:rsidP="007D57B1">
      <w:r>
        <w:t>The single overarching purpose of this appropriation is to implement a national response to COVID-19 across the health sector. This appropriation is intended to provide for the national response to the COVID-19 pandemic across the health sector.</w:t>
      </w:r>
    </w:p>
    <w:p w14:paraId="06447098" w14:textId="77777777" w:rsidR="005734DE" w:rsidRDefault="005734DE" w:rsidP="007D57B1"/>
    <w:tbl>
      <w:tblPr>
        <w:tblStyle w:val="TableGrid"/>
        <w:tblW w:w="8116"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261"/>
        <w:gridCol w:w="1134"/>
        <w:gridCol w:w="1240"/>
        <w:gridCol w:w="1240"/>
        <w:gridCol w:w="1241"/>
      </w:tblGrid>
      <w:tr w:rsidR="005734DE" w14:paraId="3F340232" w14:textId="77777777" w:rsidTr="005734DE">
        <w:tc>
          <w:tcPr>
            <w:tcW w:w="8116" w:type="dxa"/>
            <w:gridSpan w:val="5"/>
            <w:tcBorders>
              <w:top w:val="nil"/>
              <w:left w:val="nil"/>
              <w:bottom w:val="nil"/>
              <w:right w:val="nil"/>
            </w:tcBorders>
            <w:shd w:val="clear" w:color="auto" w:fill="D9D9D9" w:themeFill="background1" w:themeFillShade="D9"/>
            <w:hideMark/>
          </w:tcPr>
          <w:p w14:paraId="65FD3DAD" w14:textId="77777777" w:rsidR="005734DE" w:rsidRDefault="005734DE" w:rsidP="005734DE">
            <w:pPr>
              <w:pStyle w:val="TableText"/>
              <w:rPr>
                <w:b/>
                <w:bCs/>
              </w:rPr>
            </w:pPr>
            <w:r>
              <w:rPr>
                <w:b/>
                <w:bCs/>
              </w:rPr>
              <w:t>Performance assessment</w:t>
            </w:r>
          </w:p>
        </w:tc>
      </w:tr>
      <w:tr w:rsidR="005734DE" w14:paraId="7119E236" w14:textId="77777777" w:rsidTr="005734DE">
        <w:tc>
          <w:tcPr>
            <w:tcW w:w="3261"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494504AA" w14:textId="77777777" w:rsidR="005734DE" w:rsidRPr="00BF5468" w:rsidRDefault="005734DE" w:rsidP="005734DE">
            <w:pPr>
              <w:pStyle w:val="TableText"/>
              <w:rPr>
                <w:b/>
                <w:bCs/>
                <w:sz w:val="16"/>
                <w:szCs w:val="16"/>
              </w:rPr>
            </w:pPr>
            <w:r w:rsidRPr="00BF5468">
              <w:rPr>
                <w:b/>
                <w:bCs/>
                <w:sz w:val="16"/>
                <w:szCs w:val="16"/>
              </w:rPr>
              <w:t>Performance measure</w:t>
            </w:r>
          </w:p>
        </w:tc>
        <w:tc>
          <w:tcPr>
            <w:tcW w:w="1134"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77D0D90D" w14:textId="77777777" w:rsidR="005734DE" w:rsidRDefault="005734DE" w:rsidP="005734DE">
            <w:pPr>
              <w:pStyle w:val="TableText"/>
              <w:jc w:val="right"/>
              <w:rPr>
                <w:b/>
                <w:bCs/>
                <w:sz w:val="16"/>
                <w:szCs w:val="16"/>
              </w:rPr>
            </w:pPr>
            <w:r>
              <w:rPr>
                <w:b/>
                <w:bCs/>
                <w:sz w:val="16"/>
                <w:szCs w:val="16"/>
              </w:rPr>
              <w:t>Actual</w:t>
            </w:r>
          </w:p>
          <w:p w14:paraId="2223CC20" w14:textId="77777777" w:rsidR="005734DE" w:rsidRDefault="005734DE" w:rsidP="005734DE">
            <w:pPr>
              <w:pStyle w:val="TableText"/>
              <w:jc w:val="right"/>
              <w:rPr>
                <w:b/>
                <w:bCs/>
                <w:sz w:val="16"/>
                <w:szCs w:val="16"/>
              </w:rPr>
            </w:pPr>
            <w:r>
              <w:rPr>
                <w:b/>
                <w:bCs/>
                <w:sz w:val="16"/>
                <w:szCs w:val="16"/>
              </w:rPr>
              <w:t>2022/23</w:t>
            </w:r>
          </w:p>
        </w:tc>
        <w:tc>
          <w:tcPr>
            <w:tcW w:w="1240"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525A999A" w14:textId="77777777" w:rsidR="005734DE" w:rsidRDefault="005734DE" w:rsidP="005734DE">
            <w:pPr>
              <w:pStyle w:val="TableText"/>
              <w:jc w:val="right"/>
              <w:rPr>
                <w:b/>
                <w:bCs/>
                <w:sz w:val="16"/>
                <w:szCs w:val="16"/>
              </w:rPr>
            </w:pPr>
            <w:r>
              <w:rPr>
                <w:b/>
                <w:bCs/>
                <w:sz w:val="16"/>
                <w:szCs w:val="16"/>
              </w:rPr>
              <w:t>Budget Standard</w:t>
            </w:r>
          </w:p>
          <w:p w14:paraId="78C388B3" w14:textId="77777777" w:rsidR="005734DE" w:rsidRDefault="005734DE" w:rsidP="005734DE">
            <w:pPr>
              <w:pStyle w:val="TableText"/>
              <w:jc w:val="right"/>
              <w:rPr>
                <w:b/>
                <w:bCs/>
                <w:sz w:val="16"/>
                <w:szCs w:val="16"/>
              </w:rPr>
            </w:pPr>
            <w:r>
              <w:rPr>
                <w:b/>
                <w:bCs/>
                <w:sz w:val="16"/>
                <w:szCs w:val="16"/>
              </w:rPr>
              <w:t>2023/24</w:t>
            </w:r>
          </w:p>
        </w:tc>
        <w:tc>
          <w:tcPr>
            <w:tcW w:w="1240"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0060407B" w14:textId="77777777" w:rsidR="005734DE" w:rsidRDefault="005734DE" w:rsidP="005734DE">
            <w:pPr>
              <w:pStyle w:val="TableText"/>
              <w:jc w:val="right"/>
              <w:rPr>
                <w:b/>
                <w:bCs/>
                <w:sz w:val="16"/>
                <w:szCs w:val="16"/>
              </w:rPr>
            </w:pPr>
            <w:r>
              <w:rPr>
                <w:b/>
                <w:bCs/>
                <w:sz w:val="16"/>
                <w:szCs w:val="16"/>
              </w:rPr>
              <w:t>Actual</w:t>
            </w:r>
          </w:p>
          <w:p w14:paraId="07964F22" w14:textId="77777777" w:rsidR="005734DE" w:rsidRDefault="005734DE" w:rsidP="005734DE">
            <w:pPr>
              <w:pStyle w:val="TableText"/>
              <w:jc w:val="right"/>
              <w:rPr>
                <w:b/>
                <w:bCs/>
                <w:sz w:val="16"/>
                <w:szCs w:val="16"/>
              </w:rPr>
            </w:pPr>
            <w:r>
              <w:rPr>
                <w:b/>
                <w:bCs/>
                <w:sz w:val="16"/>
                <w:szCs w:val="16"/>
              </w:rPr>
              <w:t>2023/24</w:t>
            </w:r>
          </w:p>
        </w:tc>
        <w:tc>
          <w:tcPr>
            <w:tcW w:w="1241"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2C66716B" w14:textId="77777777" w:rsidR="005734DE" w:rsidRDefault="005734DE" w:rsidP="005734DE">
            <w:pPr>
              <w:pStyle w:val="TableText"/>
              <w:jc w:val="right"/>
              <w:rPr>
                <w:b/>
                <w:bCs/>
                <w:sz w:val="16"/>
                <w:szCs w:val="16"/>
              </w:rPr>
            </w:pPr>
            <w:r>
              <w:rPr>
                <w:b/>
                <w:bCs/>
                <w:sz w:val="16"/>
                <w:szCs w:val="16"/>
              </w:rPr>
              <w:t xml:space="preserve">At a </w:t>
            </w:r>
            <w:r>
              <w:rPr>
                <w:b/>
                <w:bCs/>
                <w:sz w:val="16"/>
                <w:szCs w:val="16"/>
              </w:rPr>
              <w:br/>
              <w:t>glance</w:t>
            </w:r>
          </w:p>
        </w:tc>
      </w:tr>
      <w:tr w:rsidR="005734DE" w14:paraId="1E9E71F1" w14:textId="77777777" w:rsidTr="005734DE">
        <w:tc>
          <w:tcPr>
            <w:tcW w:w="3261" w:type="dxa"/>
            <w:tcBorders>
              <w:top w:val="single" w:sz="4" w:space="0" w:color="A6A6A6" w:themeColor="background1" w:themeShade="A6"/>
              <w:left w:val="nil"/>
              <w:bottom w:val="single" w:sz="4" w:space="0" w:color="A6A6A6" w:themeColor="background1" w:themeShade="A6"/>
              <w:right w:val="nil"/>
            </w:tcBorders>
          </w:tcPr>
          <w:p w14:paraId="09082619" w14:textId="533B0A48" w:rsidR="005734DE" w:rsidRPr="00BF5468" w:rsidRDefault="005734DE" w:rsidP="005734DE">
            <w:pPr>
              <w:pStyle w:val="TableText"/>
              <w:rPr>
                <w:sz w:val="16"/>
                <w:szCs w:val="16"/>
              </w:rPr>
            </w:pPr>
            <w:r w:rsidRPr="005734DE">
              <w:rPr>
                <w:sz w:val="16"/>
                <w:szCs w:val="16"/>
              </w:rPr>
              <w:t>Ministerial satisfaction with the national response to COVID-19 across the health sector</w:t>
            </w:r>
          </w:p>
        </w:tc>
        <w:tc>
          <w:tcPr>
            <w:tcW w:w="1134" w:type="dxa"/>
            <w:tcBorders>
              <w:top w:val="single" w:sz="4" w:space="0" w:color="A6A6A6" w:themeColor="background1" w:themeShade="A6"/>
              <w:left w:val="nil"/>
              <w:bottom w:val="single" w:sz="4" w:space="0" w:color="A6A6A6" w:themeColor="background1" w:themeShade="A6"/>
              <w:right w:val="nil"/>
            </w:tcBorders>
          </w:tcPr>
          <w:p w14:paraId="18AA3B51" w14:textId="77777777" w:rsidR="005734DE" w:rsidRPr="00BF5468" w:rsidRDefault="005734DE" w:rsidP="005734DE">
            <w:pPr>
              <w:pStyle w:val="TableText"/>
              <w:ind w:right="57"/>
              <w:jc w:val="right"/>
              <w:rPr>
                <w:sz w:val="16"/>
                <w:szCs w:val="16"/>
              </w:rPr>
            </w:pPr>
            <w:r w:rsidRPr="00BF5468">
              <w:rPr>
                <w:spacing w:val="-10"/>
                <w:sz w:val="16"/>
                <w:szCs w:val="16"/>
              </w:rPr>
              <w:t>3</w:t>
            </w:r>
          </w:p>
        </w:tc>
        <w:tc>
          <w:tcPr>
            <w:tcW w:w="1240" w:type="dxa"/>
            <w:tcBorders>
              <w:top w:val="single" w:sz="4" w:space="0" w:color="A6A6A6" w:themeColor="background1" w:themeShade="A6"/>
              <w:left w:val="nil"/>
              <w:bottom w:val="single" w:sz="4" w:space="0" w:color="A6A6A6" w:themeColor="background1" w:themeShade="A6"/>
              <w:right w:val="nil"/>
            </w:tcBorders>
          </w:tcPr>
          <w:p w14:paraId="55B248AC" w14:textId="77777777" w:rsidR="005734DE" w:rsidRPr="00BF5468" w:rsidRDefault="005734DE" w:rsidP="005734DE">
            <w:pPr>
              <w:pStyle w:val="TableText"/>
              <w:ind w:right="57"/>
              <w:jc w:val="right"/>
              <w:rPr>
                <w:sz w:val="16"/>
                <w:szCs w:val="16"/>
              </w:rPr>
            </w:pPr>
            <w:r w:rsidRPr="00BF5468">
              <w:rPr>
                <w:spacing w:val="-4"/>
                <w:w w:val="105"/>
                <w:sz w:val="16"/>
                <w:szCs w:val="16"/>
              </w:rPr>
              <w:t>Equal</w:t>
            </w:r>
            <w:r w:rsidRPr="00BF5468">
              <w:rPr>
                <w:spacing w:val="-12"/>
                <w:w w:val="105"/>
                <w:sz w:val="16"/>
                <w:szCs w:val="16"/>
              </w:rPr>
              <w:t xml:space="preserve"> </w:t>
            </w:r>
            <w:r w:rsidRPr="00BF5468">
              <w:rPr>
                <w:spacing w:val="-4"/>
                <w:w w:val="105"/>
                <w:sz w:val="16"/>
                <w:szCs w:val="16"/>
              </w:rPr>
              <w:t>to</w:t>
            </w:r>
            <w:r w:rsidRPr="00BF5468">
              <w:rPr>
                <w:spacing w:val="-12"/>
                <w:w w:val="105"/>
                <w:sz w:val="16"/>
                <w:szCs w:val="16"/>
              </w:rPr>
              <w:t xml:space="preserve"> </w:t>
            </w:r>
            <w:r w:rsidRPr="00BF5468">
              <w:rPr>
                <w:spacing w:val="-4"/>
                <w:w w:val="105"/>
                <w:sz w:val="16"/>
                <w:szCs w:val="16"/>
              </w:rPr>
              <w:t xml:space="preserve">or </w:t>
            </w:r>
            <w:r w:rsidRPr="00BF5468">
              <w:rPr>
                <w:w w:val="105"/>
                <w:sz w:val="16"/>
                <w:szCs w:val="16"/>
              </w:rPr>
              <w:t>greater</w:t>
            </w:r>
            <w:r w:rsidRPr="00BF5468">
              <w:rPr>
                <w:spacing w:val="-15"/>
                <w:w w:val="105"/>
                <w:sz w:val="16"/>
                <w:szCs w:val="16"/>
              </w:rPr>
              <w:t xml:space="preserve"> </w:t>
            </w:r>
            <w:r w:rsidRPr="00BF5468">
              <w:rPr>
                <w:w w:val="105"/>
                <w:sz w:val="16"/>
                <w:szCs w:val="16"/>
              </w:rPr>
              <w:t>than 4 out of 5</w:t>
            </w:r>
          </w:p>
        </w:tc>
        <w:tc>
          <w:tcPr>
            <w:tcW w:w="1240" w:type="dxa"/>
            <w:tcBorders>
              <w:top w:val="single" w:sz="4" w:space="0" w:color="A6A6A6" w:themeColor="background1" w:themeShade="A6"/>
              <w:left w:val="nil"/>
              <w:bottom w:val="single" w:sz="4" w:space="0" w:color="A6A6A6" w:themeColor="background1" w:themeShade="A6"/>
              <w:right w:val="nil"/>
            </w:tcBorders>
          </w:tcPr>
          <w:p w14:paraId="339ADBCE" w14:textId="32A3B857" w:rsidR="005734DE" w:rsidRPr="00BF5468" w:rsidRDefault="005734DE" w:rsidP="005734DE">
            <w:pPr>
              <w:pStyle w:val="TableText"/>
              <w:ind w:right="57"/>
              <w:jc w:val="right"/>
              <w:rPr>
                <w:sz w:val="16"/>
                <w:szCs w:val="16"/>
              </w:rPr>
            </w:pPr>
            <w:r>
              <w:rPr>
                <w:spacing w:val="-10"/>
                <w:sz w:val="16"/>
                <w:szCs w:val="16"/>
              </w:rPr>
              <w:t>3</w:t>
            </w:r>
          </w:p>
        </w:tc>
        <w:tc>
          <w:tcPr>
            <w:tcW w:w="1241" w:type="dxa"/>
            <w:tcBorders>
              <w:top w:val="single" w:sz="4" w:space="0" w:color="A6A6A6" w:themeColor="background1" w:themeShade="A6"/>
              <w:left w:val="nil"/>
              <w:bottom w:val="single" w:sz="4" w:space="0" w:color="A6A6A6" w:themeColor="background1" w:themeShade="A6"/>
              <w:right w:val="nil"/>
            </w:tcBorders>
          </w:tcPr>
          <w:p w14:paraId="7600CE35" w14:textId="77777777" w:rsidR="005734DE" w:rsidRDefault="005734DE" w:rsidP="005734DE">
            <w:pPr>
              <w:pStyle w:val="TableParagraph"/>
              <w:spacing w:before="76"/>
              <w:ind w:right="116"/>
              <w:jc w:val="right"/>
              <w:rPr>
                <w:rFonts w:ascii="Wingdings" w:hAnsi="Wingdings"/>
                <w:sz w:val="18"/>
              </w:rPr>
            </w:pPr>
            <w:r>
              <w:rPr>
                <w:rFonts w:ascii="Wingdings" w:hAnsi="Wingdings"/>
                <w:spacing w:val="-10"/>
                <w:sz w:val="18"/>
              </w:rPr>
              <w:t>û</w:t>
            </w:r>
          </w:p>
          <w:p w14:paraId="34B1A89D" w14:textId="77777777" w:rsidR="005734DE" w:rsidRPr="00BF5468" w:rsidRDefault="005734DE" w:rsidP="005734DE">
            <w:pPr>
              <w:pStyle w:val="TableText"/>
              <w:ind w:right="57"/>
              <w:jc w:val="right"/>
              <w:rPr>
                <w:sz w:val="16"/>
                <w:szCs w:val="16"/>
              </w:rPr>
            </w:pPr>
            <w:r w:rsidRPr="00BF5468">
              <w:rPr>
                <w:sz w:val="16"/>
                <w:szCs w:val="16"/>
              </w:rPr>
              <w:t>(Note</w:t>
            </w:r>
            <w:r w:rsidRPr="00BF5468">
              <w:rPr>
                <w:spacing w:val="19"/>
                <w:sz w:val="16"/>
                <w:szCs w:val="16"/>
              </w:rPr>
              <w:t xml:space="preserve"> </w:t>
            </w:r>
            <w:r w:rsidRPr="00BF5468">
              <w:rPr>
                <w:spacing w:val="-5"/>
                <w:sz w:val="16"/>
                <w:szCs w:val="16"/>
              </w:rPr>
              <w:t>1)</w:t>
            </w:r>
          </w:p>
        </w:tc>
      </w:tr>
    </w:tbl>
    <w:p w14:paraId="3F85FB66" w14:textId="2ACEC2FD" w:rsidR="005734DE" w:rsidRDefault="005734DE" w:rsidP="005734DE">
      <w:pPr>
        <w:pStyle w:val="Note"/>
        <w:ind w:left="709" w:hanging="709"/>
      </w:pPr>
      <w:r w:rsidRPr="00BF5468">
        <w:t xml:space="preserve">Note 1: </w:t>
      </w:r>
      <w:r>
        <w:tab/>
      </w:r>
      <w:r w:rsidRPr="005734DE">
        <w:t>The survey was completed by the Hon Dr Shane Reti, who became the Minister of Health in November 2023.</w:t>
      </w:r>
    </w:p>
    <w:p w14:paraId="30E63083" w14:textId="22CB69A6" w:rsidR="005734DE" w:rsidRDefault="005734DE" w:rsidP="005734DE">
      <w:pPr>
        <w:pStyle w:val="Heading5"/>
      </w:pPr>
      <w:r w:rsidRPr="005734DE">
        <w:t>Departmental expenditure</w:t>
      </w:r>
    </w:p>
    <w:tbl>
      <w:tblPr>
        <w:tblStyle w:val="TableGrid"/>
        <w:tblW w:w="8116"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261"/>
        <w:gridCol w:w="1134"/>
        <w:gridCol w:w="1240"/>
        <w:gridCol w:w="1240"/>
        <w:gridCol w:w="1241"/>
      </w:tblGrid>
      <w:tr w:rsidR="005734DE" w14:paraId="0506B292" w14:textId="77777777" w:rsidTr="005734DE">
        <w:tc>
          <w:tcPr>
            <w:tcW w:w="8116" w:type="dxa"/>
            <w:gridSpan w:val="5"/>
            <w:tcBorders>
              <w:top w:val="nil"/>
              <w:left w:val="nil"/>
              <w:bottom w:val="nil"/>
              <w:right w:val="nil"/>
            </w:tcBorders>
            <w:shd w:val="clear" w:color="auto" w:fill="D9D9D9" w:themeFill="background1" w:themeFillShade="D9"/>
            <w:hideMark/>
          </w:tcPr>
          <w:p w14:paraId="723F64B0" w14:textId="77777777" w:rsidR="005734DE" w:rsidRDefault="005734DE" w:rsidP="005734DE">
            <w:pPr>
              <w:pStyle w:val="TableText"/>
              <w:rPr>
                <w:b/>
                <w:bCs/>
              </w:rPr>
            </w:pPr>
            <w:r>
              <w:rPr>
                <w:b/>
                <w:bCs/>
              </w:rPr>
              <w:t>Performance assessment</w:t>
            </w:r>
          </w:p>
        </w:tc>
      </w:tr>
      <w:tr w:rsidR="005734DE" w14:paraId="198FB2B2" w14:textId="77777777" w:rsidTr="005734DE">
        <w:tc>
          <w:tcPr>
            <w:tcW w:w="3261"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6CFD3D9D" w14:textId="77777777" w:rsidR="005734DE" w:rsidRPr="00BF5468" w:rsidRDefault="005734DE" w:rsidP="005734DE">
            <w:pPr>
              <w:pStyle w:val="TableText"/>
              <w:rPr>
                <w:b/>
                <w:bCs/>
                <w:sz w:val="16"/>
                <w:szCs w:val="16"/>
              </w:rPr>
            </w:pPr>
            <w:r w:rsidRPr="00BF5468">
              <w:rPr>
                <w:b/>
                <w:bCs/>
                <w:sz w:val="16"/>
                <w:szCs w:val="16"/>
              </w:rPr>
              <w:t>Performance measure</w:t>
            </w:r>
          </w:p>
        </w:tc>
        <w:tc>
          <w:tcPr>
            <w:tcW w:w="1134"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4A31A12D" w14:textId="77777777" w:rsidR="005734DE" w:rsidRDefault="005734DE" w:rsidP="005734DE">
            <w:pPr>
              <w:pStyle w:val="TableText"/>
              <w:jc w:val="right"/>
              <w:rPr>
                <w:b/>
                <w:bCs/>
                <w:sz w:val="16"/>
                <w:szCs w:val="16"/>
              </w:rPr>
            </w:pPr>
            <w:r>
              <w:rPr>
                <w:b/>
                <w:bCs/>
                <w:sz w:val="16"/>
                <w:szCs w:val="16"/>
              </w:rPr>
              <w:t>Actual</w:t>
            </w:r>
          </w:p>
          <w:p w14:paraId="6D011FF9" w14:textId="77777777" w:rsidR="005734DE" w:rsidRDefault="005734DE" w:rsidP="005734DE">
            <w:pPr>
              <w:pStyle w:val="TableText"/>
              <w:jc w:val="right"/>
              <w:rPr>
                <w:b/>
                <w:bCs/>
                <w:sz w:val="16"/>
                <w:szCs w:val="16"/>
              </w:rPr>
            </w:pPr>
            <w:r>
              <w:rPr>
                <w:b/>
                <w:bCs/>
                <w:sz w:val="16"/>
                <w:szCs w:val="16"/>
              </w:rPr>
              <w:t>2022/23</w:t>
            </w:r>
          </w:p>
        </w:tc>
        <w:tc>
          <w:tcPr>
            <w:tcW w:w="1240"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5F34917C" w14:textId="77777777" w:rsidR="005734DE" w:rsidRDefault="005734DE" w:rsidP="005734DE">
            <w:pPr>
              <w:pStyle w:val="TableText"/>
              <w:jc w:val="right"/>
              <w:rPr>
                <w:b/>
                <w:bCs/>
                <w:sz w:val="16"/>
                <w:szCs w:val="16"/>
              </w:rPr>
            </w:pPr>
            <w:r>
              <w:rPr>
                <w:b/>
                <w:bCs/>
                <w:sz w:val="16"/>
                <w:szCs w:val="16"/>
              </w:rPr>
              <w:t>Budget Standard</w:t>
            </w:r>
          </w:p>
          <w:p w14:paraId="7EBE2FF7" w14:textId="77777777" w:rsidR="005734DE" w:rsidRDefault="005734DE" w:rsidP="005734DE">
            <w:pPr>
              <w:pStyle w:val="TableText"/>
              <w:jc w:val="right"/>
              <w:rPr>
                <w:b/>
                <w:bCs/>
                <w:sz w:val="16"/>
                <w:szCs w:val="16"/>
              </w:rPr>
            </w:pPr>
            <w:r>
              <w:rPr>
                <w:b/>
                <w:bCs/>
                <w:sz w:val="16"/>
                <w:szCs w:val="16"/>
              </w:rPr>
              <w:t>2023/24</w:t>
            </w:r>
          </w:p>
        </w:tc>
        <w:tc>
          <w:tcPr>
            <w:tcW w:w="1240"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6143027A" w14:textId="77777777" w:rsidR="005734DE" w:rsidRDefault="005734DE" w:rsidP="005734DE">
            <w:pPr>
              <w:pStyle w:val="TableText"/>
              <w:jc w:val="right"/>
              <w:rPr>
                <w:b/>
                <w:bCs/>
                <w:sz w:val="16"/>
                <w:szCs w:val="16"/>
              </w:rPr>
            </w:pPr>
            <w:r>
              <w:rPr>
                <w:b/>
                <w:bCs/>
                <w:sz w:val="16"/>
                <w:szCs w:val="16"/>
              </w:rPr>
              <w:t>Actual</w:t>
            </w:r>
          </w:p>
          <w:p w14:paraId="62C2E3F3" w14:textId="77777777" w:rsidR="005734DE" w:rsidRDefault="005734DE" w:rsidP="005734DE">
            <w:pPr>
              <w:pStyle w:val="TableText"/>
              <w:jc w:val="right"/>
              <w:rPr>
                <w:b/>
                <w:bCs/>
                <w:sz w:val="16"/>
                <w:szCs w:val="16"/>
              </w:rPr>
            </w:pPr>
            <w:r>
              <w:rPr>
                <w:b/>
                <w:bCs/>
                <w:sz w:val="16"/>
                <w:szCs w:val="16"/>
              </w:rPr>
              <w:t>2023/24</w:t>
            </w:r>
          </w:p>
        </w:tc>
        <w:tc>
          <w:tcPr>
            <w:tcW w:w="1241"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69AFD51D" w14:textId="77777777" w:rsidR="005734DE" w:rsidRDefault="005734DE" w:rsidP="005734DE">
            <w:pPr>
              <w:pStyle w:val="TableText"/>
              <w:jc w:val="right"/>
              <w:rPr>
                <w:b/>
                <w:bCs/>
                <w:sz w:val="16"/>
                <w:szCs w:val="16"/>
              </w:rPr>
            </w:pPr>
            <w:r>
              <w:rPr>
                <w:b/>
                <w:bCs/>
                <w:sz w:val="16"/>
                <w:szCs w:val="16"/>
              </w:rPr>
              <w:t xml:space="preserve">At a </w:t>
            </w:r>
            <w:r>
              <w:rPr>
                <w:b/>
                <w:bCs/>
                <w:sz w:val="16"/>
                <w:szCs w:val="16"/>
              </w:rPr>
              <w:br/>
              <w:t>glance</w:t>
            </w:r>
          </w:p>
        </w:tc>
      </w:tr>
      <w:tr w:rsidR="005734DE" w14:paraId="60CA3E23" w14:textId="77777777" w:rsidTr="005734DE">
        <w:tc>
          <w:tcPr>
            <w:tcW w:w="3261" w:type="dxa"/>
            <w:tcBorders>
              <w:top w:val="single" w:sz="4" w:space="0" w:color="A6A6A6" w:themeColor="background1" w:themeShade="A6"/>
              <w:left w:val="nil"/>
              <w:bottom w:val="single" w:sz="4" w:space="0" w:color="A6A6A6" w:themeColor="background1" w:themeShade="A6"/>
              <w:right w:val="nil"/>
            </w:tcBorders>
          </w:tcPr>
          <w:p w14:paraId="38C7257D" w14:textId="23C2E55D" w:rsidR="005734DE" w:rsidRPr="00BF5468" w:rsidRDefault="005734DE" w:rsidP="005734DE">
            <w:pPr>
              <w:pStyle w:val="TableText"/>
              <w:rPr>
                <w:sz w:val="16"/>
                <w:szCs w:val="16"/>
              </w:rPr>
            </w:pPr>
            <w:r w:rsidRPr="005734DE">
              <w:rPr>
                <w:sz w:val="16"/>
                <w:szCs w:val="16"/>
              </w:rPr>
              <w:t>Mechanisms in place to routinely capture and inform public health science, response operations, intelligence, operational feedback</w:t>
            </w:r>
          </w:p>
        </w:tc>
        <w:tc>
          <w:tcPr>
            <w:tcW w:w="1134" w:type="dxa"/>
            <w:tcBorders>
              <w:top w:val="single" w:sz="4" w:space="0" w:color="A6A6A6" w:themeColor="background1" w:themeShade="A6"/>
              <w:left w:val="nil"/>
              <w:bottom w:val="single" w:sz="4" w:space="0" w:color="A6A6A6" w:themeColor="background1" w:themeShade="A6"/>
              <w:right w:val="nil"/>
            </w:tcBorders>
          </w:tcPr>
          <w:p w14:paraId="4AF6098C" w14:textId="661B8C3A" w:rsidR="005734DE" w:rsidRPr="005734DE" w:rsidRDefault="005734DE" w:rsidP="005734DE">
            <w:pPr>
              <w:pStyle w:val="TableText"/>
              <w:jc w:val="right"/>
              <w:rPr>
                <w:sz w:val="16"/>
                <w:szCs w:val="18"/>
              </w:rPr>
            </w:pPr>
            <w:r w:rsidRPr="005734DE">
              <w:rPr>
                <w:sz w:val="16"/>
                <w:szCs w:val="18"/>
              </w:rPr>
              <w:t>Achieved</w:t>
            </w:r>
          </w:p>
        </w:tc>
        <w:tc>
          <w:tcPr>
            <w:tcW w:w="1240" w:type="dxa"/>
            <w:tcBorders>
              <w:top w:val="single" w:sz="4" w:space="0" w:color="A6A6A6" w:themeColor="background1" w:themeShade="A6"/>
              <w:left w:val="nil"/>
              <w:bottom w:val="single" w:sz="4" w:space="0" w:color="A6A6A6" w:themeColor="background1" w:themeShade="A6"/>
              <w:right w:val="nil"/>
            </w:tcBorders>
          </w:tcPr>
          <w:p w14:paraId="5BD9113B" w14:textId="1EBC5845" w:rsidR="005734DE" w:rsidRPr="005734DE" w:rsidRDefault="005734DE" w:rsidP="005734DE">
            <w:pPr>
              <w:pStyle w:val="TableText"/>
              <w:jc w:val="right"/>
              <w:rPr>
                <w:sz w:val="16"/>
                <w:szCs w:val="18"/>
              </w:rPr>
            </w:pPr>
            <w:r w:rsidRPr="005734DE">
              <w:rPr>
                <w:sz w:val="16"/>
                <w:szCs w:val="18"/>
              </w:rPr>
              <w:t>Achieved</w:t>
            </w:r>
          </w:p>
        </w:tc>
        <w:tc>
          <w:tcPr>
            <w:tcW w:w="1240" w:type="dxa"/>
            <w:tcBorders>
              <w:top w:val="single" w:sz="4" w:space="0" w:color="A6A6A6" w:themeColor="background1" w:themeShade="A6"/>
              <w:left w:val="nil"/>
              <w:bottom w:val="single" w:sz="4" w:space="0" w:color="A6A6A6" w:themeColor="background1" w:themeShade="A6"/>
              <w:right w:val="nil"/>
            </w:tcBorders>
          </w:tcPr>
          <w:p w14:paraId="3176E850" w14:textId="4682EFC2" w:rsidR="005734DE" w:rsidRPr="005734DE" w:rsidRDefault="005734DE" w:rsidP="005734DE">
            <w:pPr>
              <w:pStyle w:val="TableText"/>
              <w:jc w:val="right"/>
              <w:rPr>
                <w:sz w:val="16"/>
                <w:szCs w:val="18"/>
              </w:rPr>
            </w:pPr>
            <w:r w:rsidRPr="005734DE">
              <w:rPr>
                <w:sz w:val="16"/>
                <w:szCs w:val="18"/>
              </w:rPr>
              <w:t>Achieved</w:t>
            </w:r>
          </w:p>
        </w:tc>
        <w:tc>
          <w:tcPr>
            <w:tcW w:w="1241" w:type="dxa"/>
            <w:tcBorders>
              <w:top w:val="single" w:sz="4" w:space="0" w:color="A6A6A6" w:themeColor="background1" w:themeShade="A6"/>
              <w:left w:val="nil"/>
              <w:bottom w:val="single" w:sz="4" w:space="0" w:color="A6A6A6" w:themeColor="background1" w:themeShade="A6"/>
              <w:right w:val="nil"/>
            </w:tcBorders>
          </w:tcPr>
          <w:p w14:paraId="08CAAD0D" w14:textId="77777777" w:rsidR="005734DE" w:rsidRPr="00BF5468" w:rsidRDefault="005734DE" w:rsidP="005734DE">
            <w:pPr>
              <w:pStyle w:val="TableText"/>
              <w:ind w:right="57"/>
              <w:jc w:val="right"/>
              <w:rPr>
                <w:rFonts w:ascii="Wingdings" w:hAnsi="Wingdings"/>
                <w:spacing w:val="-10"/>
                <w:sz w:val="16"/>
                <w:szCs w:val="16"/>
              </w:rPr>
            </w:pPr>
            <w:r w:rsidRPr="00BF5468">
              <w:rPr>
                <w:rFonts w:ascii="Wingdings" w:hAnsi="Wingdings"/>
                <w:spacing w:val="-10"/>
                <w:sz w:val="16"/>
                <w:szCs w:val="16"/>
              </w:rPr>
              <w:t>ü</w:t>
            </w:r>
          </w:p>
          <w:p w14:paraId="5B582D2F" w14:textId="52397A4D" w:rsidR="005734DE" w:rsidRPr="00BF5468" w:rsidRDefault="005734DE" w:rsidP="005734DE">
            <w:pPr>
              <w:pStyle w:val="TableText"/>
              <w:ind w:right="57"/>
              <w:jc w:val="right"/>
              <w:rPr>
                <w:sz w:val="16"/>
                <w:szCs w:val="16"/>
              </w:rPr>
            </w:pPr>
          </w:p>
        </w:tc>
      </w:tr>
    </w:tbl>
    <w:p w14:paraId="70A0C8BD" w14:textId="77777777" w:rsidR="005734DE" w:rsidRPr="005734DE" w:rsidRDefault="005734DE" w:rsidP="005734DE"/>
    <w:tbl>
      <w:tblPr>
        <w:tblStyle w:val="TableGrid"/>
        <w:tblW w:w="8119"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977"/>
        <w:gridCol w:w="1285"/>
        <w:gridCol w:w="1286"/>
        <w:gridCol w:w="1285"/>
        <w:gridCol w:w="1286"/>
      </w:tblGrid>
      <w:tr w:rsidR="005734DE" w14:paraId="6B9D2C0E" w14:textId="77777777" w:rsidTr="005734DE">
        <w:tc>
          <w:tcPr>
            <w:tcW w:w="8119" w:type="dxa"/>
            <w:gridSpan w:val="5"/>
            <w:tcBorders>
              <w:top w:val="nil"/>
              <w:left w:val="nil"/>
              <w:bottom w:val="nil"/>
              <w:right w:val="nil"/>
            </w:tcBorders>
            <w:shd w:val="clear" w:color="auto" w:fill="D9D9D9" w:themeFill="background1" w:themeFillShade="D9"/>
            <w:hideMark/>
          </w:tcPr>
          <w:p w14:paraId="09DFD93A" w14:textId="77777777" w:rsidR="005734DE" w:rsidRDefault="005734DE" w:rsidP="005734DE">
            <w:pPr>
              <w:pStyle w:val="TableText"/>
              <w:rPr>
                <w:b/>
                <w:bCs/>
              </w:rPr>
            </w:pPr>
            <w:r w:rsidRPr="00A2059F">
              <w:rPr>
                <w:b/>
                <w:bCs/>
              </w:rPr>
              <w:t>Financial performance</w:t>
            </w:r>
          </w:p>
        </w:tc>
      </w:tr>
      <w:tr w:rsidR="005734DE" w14:paraId="0F1208E6" w14:textId="77777777" w:rsidTr="005734DE">
        <w:tc>
          <w:tcPr>
            <w:tcW w:w="2977"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07B018D0" w14:textId="50573412" w:rsidR="005734DE" w:rsidRPr="00BF5468" w:rsidRDefault="005734DE" w:rsidP="005734DE">
            <w:pPr>
              <w:pStyle w:val="TableText"/>
              <w:rPr>
                <w:b/>
                <w:bCs/>
                <w:sz w:val="16"/>
                <w:szCs w:val="16"/>
              </w:rPr>
            </w:pPr>
            <w:r w:rsidRPr="005734DE">
              <w:rPr>
                <w:b/>
                <w:bCs/>
                <w:sz w:val="16"/>
                <w:szCs w:val="16"/>
              </w:rPr>
              <w:t>National Response to COVID-19 Across the Health Sector</w:t>
            </w:r>
          </w:p>
        </w:tc>
        <w:tc>
          <w:tcPr>
            <w:tcW w:w="1285"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09B4A3A1" w14:textId="77777777" w:rsidR="005734DE" w:rsidRDefault="005734DE" w:rsidP="005734DE">
            <w:pPr>
              <w:pStyle w:val="TableText"/>
              <w:jc w:val="right"/>
              <w:rPr>
                <w:b/>
                <w:bCs/>
                <w:sz w:val="16"/>
                <w:szCs w:val="16"/>
              </w:rPr>
            </w:pPr>
            <w:r>
              <w:rPr>
                <w:b/>
                <w:bCs/>
                <w:sz w:val="16"/>
                <w:szCs w:val="16"/>
              </w:rPr>
              <w:t>Actual</w:t>
            </w:r>
          </w:p>
          <w:p w14:paraId="71F61693" w14:textId="77777777" w:rsidR="005734DE" w:rsidRDefault="005734DE" w:rsidP="005734DE">
            <w:pPr>
              <w:pStyle w:val="TableText"/>
              <w:jc w:val="right"/>
              <w:rPr>
                <w:b/>
                <w:bCs/>
                <w:sz w:val="16"/>
                <w:szCs w:val="16"/>
              </w:rPr>
            </w:pPr>
            <w:r>
              <w:rPr>
                <w:b/>
                <w:bCs/>
                <w:sz w:val="16"/>
                <w:szCs w:val="16"/>
              </w:rPr>
              <w:t>2022/23</w:t>
            </w:r>
          </w:p>
          <w:p w14:paraId="08CD035C" w14:textId="77777777" w:rsidR="005734DE" w:rsidRDefault="005734DE" w:rsidP="005734DE">
            <w:pPr>
              <w:pStyle w:val="TableText"/>
              <w:jc w:val="right"/>
              <w:rPr>
                <w:b/>
                <w:bCs/>
                <w:sz w:val="16"/>
                <w:szCs w:val="16"/>
              </w:rPr>
            </w:pPr>
            <w:r w:rsidRPr="00A2059F">
              <w:rPr>
                <w:b/>
                <w:bCs/>
                <w:sz w:val="16"/>
                <w:szCs w:val="16"/>
              </w:rPr>
              <w:t>$000</w:t>
            </w:r>
          </w:p>
        </w:tc>
        <w:tc>
          <w:tcPr>
            <w:tcW w:w="1286"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3C06A0F0" w14:textId="77777777" w:rsidR="005734DE" w:rsidRPr="00A2059F" w:rsidRDefault="005734DE" w:rsidP="005734DE">
            <w:pPr>
              <w:pStyle w:val="TableText"/>
              <w:jc w:val="right"/>
              <w:rPr>
                <w:b/>
                <w:bCs/>
                <w:sz w:val="16"/>
                <w:szCs w:val="16"/>
              </w:rPr>
            </w:pPr>
            <w:r w:rsidRPr="00A2059F">
              <w:rPr>
                <w:b/>
                <w:bCs/>
                <w:sz w:val="16"/>
                <w:szCs w:val="16"/>
              </w:rPr>
              <w:t>Main estimates</w:t>
            </w:r>
          </w:p>
          <w:p w14:paraId="6558D9B9" w14:textId="77777777" w:rsidR="005734DE" w:rsidRPr="00A2059F" w:rsidRDefault="005734DE" w:rsidP="005734DE">
            <w:pPr>
              <w:pStyle w:val="TableText"/>
              <w:jc w:val="right"/>
              <w:rPr>
                <w:b/>
                <w:bCs/>
                <w:sz w:val="16"/>
                <w:szCs w:val="16"/>
              </w:rPr>
            </w:pPr>
            <w:r w:rsidRPr="00A2059F">
              <w:rPr>
                <w:b/>
                <w:bCs/>
                <w:sz w:val="16"/>
                <w:szCs w:val="16"/>
              </w:rPr>
              <w:t>2023/24</w:t>
            </w:r>
          </w:p>
          <w:p w14:paraId="1CA57370" w14:textId="77777777" w:rsidR="005734DE" w:rsidRDefault="005734DE" w:rsidP="005734DE">
            <w:pPr>
              <w:pStyle w:val="TableText"/>
              <w:jc w:val="right"/>
              <w:rPr>
                <w:b/>
                <w:bCs/>
                <w:sz w:val="16"/>
                <w:szCs w:val="16"/>
              </w:rPr>
            </w:pPr>
            <w:r w:rsidRPr="00A2059F">
              <w:rPr>
                <w:b/>
                <w:bCs/>
                <w:sz w:val="16"/>
                <w:szCs w:val="16"/>
              </w:rPr>
              <w:t>$000</w:t>
            </w:r>
          </w:p>
        </w:tc>
        <w:tc>
          <w:tcPr>
            <w:tcW w:w="1285"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124A5260" w14:textId="77777777" w:rsidR="005734DE" w:rsidRPr="00A2059F" w:rsidRDefault="005734DE" w:rsidP="005734DE">
            <w:pPr>
              <w:pStyle w:val="TableText"/>
              <w:jc w:val="right"/>
              <w:rPr>
                <w:b/>
                <w:bCs/>
                <w:sz w:val="16"/>
                <w:szCs w:val="16"/>
              </w:rPr>
            </w:pPr>
            <w:r w:rsidRPr="00A2059F">
              <w:rPr>
                <w:b/>
                <w:bCs/>
                <w:sz w:val="16"/>
                <w:szCs w:val="16"/>
              </w:rPr>
              <w:t xml:space="preserve">Voted </w:t>
            </w:r>
            <w:proofErr w:type="gramStart"/>
            <w:r w:rsidRPr="00A2059F">
              <w:rPr>
                <w:b/>
                <w:bCs/>
                <w:sz w:val="16"/>
                <w:szCs w:val="16"/>
              </w:rPr>
              <w:t>appropriation</w:t>
            </w:r>
            <w:proofErr w:type="gramEnd"/>
          </w:p>
          <w:p w14:paraId="4846F9AD" w14:textId="77777777" w:rsidR="005734DE" w:rsidRPr="00A2059F" w:rsidRDefault="005734DE" w:rsidP="005734DE">
            <w:pPr>
              <w:pStyle w:val="TableText"/>
              <w:jc w:val="right"/>
              <w:rPr>
                <w:b/>
                <w:bCs/>
                <w:sz w:val="16"/>
                <w:szCs w:val="16"/>
              </w:rPr>
            </w:pPr>
            <w:r w:rsidRPr="00A2059F">
              <w:rPr>
                <w:b/>
                <w:bCs/>
                <w:sz w:val="16"/>
                <w:szCs w:val="16"/>
              </w:rPr>
              <w:t>2023/24</w:t>
            </w:r>
          </w:p>
          <w:p w14:paraId="65E542A7" w14:textId="77777777" w:rsidR="005734DE" w:rsidRDefault="005734DE" w:rsidP="005734DE">
            <w:pPr>
              <w:pStyle w:val="TableText"/>
              <w:jc w:val="right"/>
              <w:rPr>
                <w:b/>
                <w:bCs/>
                <w:sz w:val="16"/>
                <w:szCs w:val="16"/>
              </w:rPr>
            </w:pPr>
            <w:r w:rsidRPr="00A2059F">
              <w:rPr>
                <w:b/>
                <w:bCs/>
                <w:sz w:val="16"/>
                <w:szCs w:val="16"/>
              </w:rPr>
              <w:t>$000</w:t>
            </w:r>
          </w:p>
        </w:tc>
        <w:tc>
          <w:tcPr>
            <w:tcW w:w="1286"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273AF495" w14:textId="77777777" w:rsidR="005734DE" w:rsidRPr="00A2059F" w:rsidRDefault="005734DE" w:rsidP="005734DE">
            <w:pPr>
              <w:pStyle w:val="TableText"/>
              <w:jc w:val="right"/>
              <w:rPr>
                <w:b/>
                <w:bCs/>
                <w:sz w:val="16"/>
                <w:szCs w:val="16"/>
              </w:rPr>
            </w:pPr>
            <w:r w:rsidRPr="00A2059F">
              <w:rPr>
                <w:b/>
                <w:bCs/>
                <w:sz w:val="16"/>
                <w:szCs w:val="16"/>
              </w:rPr>
              <w:t>Actual 2023/24</w:t>
            </w:r>
          </w:p>
          <w:p w14:paraId="1BC5D1E5" w14:textId="77777777" w:rsidR="005734DE" w:rsidRDefault="005734DE" w:rsidP="005734DE">
            <w:pPr>
              <w:pStyle w:val="TableText"/>
              <w:jc w:val="right"/>
              <w:rPr>
                <w:b/>
                <w:bCs/>
                <w:sz w:val="16"/>
                <w:szCs w:val="16"/>
              </w:rPr>
            </w:pPr>
            <w:r w:rsidRPr="00A2059F">
              <w:rPr>
                <w:b/>
                <w:bCs/>
                <w:sz w:val="16"/>
                <w:szCs w:val="16"/>
              </w:rPr>
              <w:t>$000</w:t>
            </w:r>
          </w:p>
        </w:tc>
      </w:tr>
      <w:tr w:rsidR="005734DE" w:rsidRPr="005734DE" w14:paraId="15E641D4" w14:textId="77777777" w:rsidTr="005734DE">
        <w:tc>
          <w:tcPr>
            <w:tcW w:w="2977" w:type="dxa"/>
            <w:tcBorders>
              <w:top w:val="single" w:sz="4" w:space="0" w:color="A6A6A6" w:themeColor="background1" w:themeShade="A6"/>
              <w:left w:val="nil"/>
              <w:bottom w:val="single" w:sz="4" w:space="0" w:color="A6A6A6" w:themeColor="background1" w:themeShade="A6"/>
              <w:right w:val="nil"/>
            </w:tcBorders>
          </w:tcPr>
          <w:p w14:paraId="41EC16B4" w14:textId="15F1F452" w:rsidR="005734DE" w:rsidRPr="00A2059F" w:rsidRDefault="005734DE" w:rsidP="005734DE">
            <w:pPr>
              <w:pStyle w:val="TableText"/>
              <w:ind w:right="57"/>
              <w:rPr>
                <w:b/>
                <w:bCs/>
                <w:sz w:val="16"/>
                <w:szCs w:val="16"/>
              </w:rPr>
            </w:pPr>
            <w:r w:rsidRPr="005734DE">
              <w:rPr>
                <w:b/>
                <w:bCs/>
                <w:sz w:val="16"/>
                <w:szCs w:val="16"/>
              </w:rPr>
              <w:t>Departmental output expenses</w:t>
            </w:r>
          </w:p>
        </w:tc>
        <w:tc>
          <w:tcPr>
            <w:tcW w:w="1285" w:type="dxa"/>
            <w:tcBorders>
              <w:top w:val="single" w:sz="4" w:space="0" w:color="A6A6A6" w:themeColor="background1" w:themeShade="A6"/>
              <w:left w:val="nil"/>
              <w:bottom w:val="single" w:sz="4" w:space="0" w:color="A6A6A6" w:themeColor="background1" w:themeShade="A6"/>
              <w:right w:val="nil"/>
            </w:tcBorders>
          </w:tcPr>
          <w:p w14:paraId="192FC53E" w14:textId="77777777" w:rsidR="005734DE" w:rsidRPr="005734DE" w:rsidRDefault="005734DE" w:rsidP="005734DE">
            <w:pPr>
              <w:pStyle w:val="TableText"/>
              <w:ind w:right="57"/>
              <w:rPr>
                <w:b/>
                <w:bCs/>
                <w:sz w:val="16"/>
                <w:szCs w:val="16"/>
              </w:rPr>
            </w:pPr>
          </w:p>
        </w:tc>
        <w:tc>
          <w:tcPr>
            <w:tcW w:w="1286" w:type="dxa"/>
            <w:tcBorders>
              <w:top w:val="single" w:sz="4" w:space="0" w:color="A6A6A6" w:themeColor="background1" w:themeShade="A6"/>
              <w:left w:val="nil"/>
              <w:bottom w:val="single" w:sz="4" w:space="0" w:color="A6A6A6" w:themeColor="background1" w:themeShade="A6"/>
              <w:right w:val="nil"/>
            </w:tcBorders>
          </w:tcPr>
          <w:p w14:paraId="58AEAACC" w14:textId="77777777" w:rsidR="005734DE" w:rsidRPr="005734DE" w:rsidRDefault="005734DE" w:rsidP="005734DE">
            <w:pPr>
              <w:pStyle w:val="TableText"/>
              <w:ind w:right="57"/>
              <w:rPr>
                <w:b/>
                <w:bCs/>
                <w:sz w:val="16"/>
                <w:szCs w:val="16"/>
              </w:rPr>
            </w:pPr>
          </w:p>
        </w:tc>
        <w:tc>
          <w:tcPr>
            <w:tcW w:w="1285" w:type="dxa"/>
            <w:tcBorders>
              <w:top w:val="single" w:sz="4" w:space="0" w:color="A6A6A6" w:themeColor="background1" w:themeShade="A6"/>
              <w:left w:val="nil"/>
              <w:bottom w:val="single" w:sz="4" w:space="0" w:color="A6A6A6" w:themeColor="background1" w:themeShade="A6"/>
              <w:right w:val="nil"/>
            </w:tcBorders>
          </w:tcPr>
          <w:p w14:paraId="3FDB34B1" w14:textId="77777777" w:rsidR="005734DE" w:rsidRPr="005734DE" w:rsidRDefault="005734DE" w:rsidP="005734DE">
            <w:pPr>
              <w:pStyle w:val="TableText"/>
              <w:ind w:right="57"/>
              <w:rPr>
                <w:b/>
                <w:bCs/>
                <w:sz w:val="16"/>
                <w:szCs w:val="16"/>
              </w:rPr>
            </w:pPr>
          </w:p>
        </w:tc>
        <w:tc>
          <w:tcPr>
            <w:tcW w:w="1286" w:type="dxa"/>
            <w:tcBorders>
              <w:top w:val="single" w:sz="4" w:space="0" w:color="A6A6A6" w:themeColor="background1" w:themeShade="A6"/>
              <w:left w:val="nil"/>
              <w:bottom w:val="single" w:sz="4" w:space="0" w:color="A6A6A6" w:themeColor="background1" w:themeShade="A6"/>
              <w:right w:val="nil"/>
            </w:tcBorders>
          </w:tcPr>
          <w:p w14:paraId="5781494F" w14:textId="77777777" w:rsidR="005734DE" w:rsidRPr="005734DE" w:rsidRDefault="005734DE" w:rsidP="005734DE">
            <w:pPr>
              <w:pStyle w:val="TableText"/>
              <w:ind w:right="57"/>
              <w:rPr>
                <w:b/>
                <w:bCs/>
                <w:sz w:val="16"/>
                <w:szCs w:val="16"/>
              </w:rPr>
            </w:pPr>
          </w:p>
        </w:tc>
      </w:tr>
      <w:tr w:rsidR="005734DE" w:rsidRPr="00A2059F" w14:paraId="462D4E4B" w14:textId="77777777" w:rsidTr="005734DE">
        <w:tc>
          <w:tcPr>
            <w:tcW w:w="8119" w:type="dxa"/>
            <w:gridSpan w:val="5"/>
            <w:tcBorders>
              <w:top w:val="single" w:sz="4" w:space="0" w:color="A6A6A6" w:themeColor="background1" w:themeShade="A6"/>
              <w:left w:val="nil"/>
              <w:bottom w:val="single" w:sz="4" w:space="0" w:color="A6A6A6" w:themeColor="background1" w:themeShade="A6"/>
              <w:right w:val="nil"/>
            </w:tcBorders>
          </w:tcPr>
          <w:p w14:paraId="3D782B98" w14:textId="71ABA272" w:rsidR="005734DE" w:rsidRPr="00A2059F" w:rsidRDefault="005734DE" w:rsidP="005734DE">
            <w:pPr>
              <w:pStyle w:val="TableText"/>
              <w:ind w:right="57"/>
              <w:rPr>
                <w:b/>
                <w:bCs/>
                <w:sz w:val="16"/>
                <w:szCs w:val="18"/>
              </w:rPr>
            </w:pPr>
            <w:r w:rsidRPr="005734DE">
              <w:rPr>
                <w:b/>
                <w:bCs/>
                <w:sz w:val="16"/>
                <w:szCs w:val="16"/>
              </w:rPr>
              <w:t>National health response to COVID-19</w:t>
            </w:r>
          </w:p>
        </w:tc>
      </w:tr>
      <w:tr w:rsidR="005734DE" w14:paraId="5F7C2E22" w14:textId="77777777" w:rsidTr="005734DE">
        <w:tc>
          <w:tcPr>
            <w:tcW w:w="2977" w:type="dxa"/>
            <w:tcBorders>
              <w:top w:val="single" w:sz="4" w:space="0" w:color="A6A6A6" w:themeColor="background1" w:themeShade="A6"/>
              <w:left w:val="nil"/>
              <w:bottom w:val="single" w:sz="4" w:space="0" w:color="A6A6A6" w:themeColor="background1" w:themeShade="A6"/>
              <w:right w:val="nil"/>
            </w:tcBorders>
          </w:tcPr>
          <w:p w14:paraId="5321788C" w14:textId="5EAE9D44" w:rsidR="005734DE" w:rsidRPr="005734DE" w:rsidRDefault="005734DE" w:rsidP="005734DE">
            <w:pPr>
              <w:pStyle w:val="TableText"/>
              <w:rPr>
                <w:sz w:val="16"/>
                <w:szCs w:val="18"/>
              </w:rPr>
            </w:pPr>
            <w:r w:rsidRPr="005734DE">
              <w:rPr>
                <w:sz w:val="16"/>
                <w:szCs w:val="18"/>
              </w:rPr>
              <w:t>Crown revenue</w:t>
            </w:r>
          </w:p>
        </w:tc>
        <w:tc>
          <w:tcPr>
            <w:tcW w:w="1285" w:type="dxa"/>
            <w:tcBorders>
              <w:top w:val="single" w:sz="4" w:space="0" w:color="A6A6A6" w:themeColor="background1" w:themeShade="A6"/>
              <w:left w:val="nil"/>
              <w:bottom w:val="single" w:sz="4" w:space="0" w:color="A6A6A6" w:themeColor="background1" w:themeShade="A6"/>
              <w:right w:val="nil"/>
            </w:tcBorders>
          </w:tcPr>
          <w:p w14:paraId="461A82E1" w14:textId="32FFF383" w:rsidR="005734DE" w:rsidRPr="005734DE" w:rsidRDefault="005734DE" w:rsidP="005734DE">
            <w:pPr>
              <w:pStyle w:val="TableText"/>
              <w:jc w:val="right"/>
              <w:rPr>
                <w:sz w:val="16"/>
                <w:szCs w:val="18"/>
              </w:rPr>
            </w:pPr>
            <w:r w:rsidRPr="005734DE">
              <w:rPr>
                <w:sz w:val="16"/>
                <w:szCs w:val="18"/>
              </w:rPr>
              <w:t>52,637</w:t>
            </w:r>
          </w:p>
        </w:tc>
        <w:tc>
          <w:tcPr>
            <w:tcW w:w="1286" w:type="dxa"/>
            <w:tcBorders>
              <w:top w:val="single" w:sz="4" w:space="0" w:color="A6A6A6" w:themeColor="background1" w:themeShade="A6"/>
              <w:left w:val="nil"/>
              <w:bottom w:val="single" w:sz="4" w:space="0" w:color="A6A6A6" w:themeColor="background1" w:themeShade="A6"/>
              <w:right w:val="nil"/>
            </w:tcBorders>
          </w:tcPr>
          <w:p w14:paraId="021BBA6C" w14:textId="202DAB34" w:rsidR="005734DE" w:rsidRPr="005734DE" w:rsidRDefault="005734DE" w:rsidP="005734DE">
            <w:pPr>
              <w:pStyle w:val="TableText"/>
              <w:jc w:val="right"/>
              <w:rPr>
                <w:sz w:val="16"/>
                <w:szCs w:val="18"/>
              </w:rPr>
            </w:pPr>
            <w:r w:rsidRPr="005734DE">
              <w:rPr>
                <w:sz w:val="16"/>
                <w:szCs w:val="18"/>
              </w:rPr>
              <w:t>-</w:t>
            </w:r>
          </w:p>
        </w:tc>
        <w:tc>
          <w:tcPr>
            <w:tcW w:w="1285" w:type="dxa"/>
            <w:tcBorders>
              <w:top w:val="single" w:sz="4" w:space="0" w:color="A6A6A6" w:themeColor="background1" w:themeShade="A6"/>
              <w:left w:val="nil"/>
              <w:bottom w:val="single" w:sz="4" w:space="0" w:color="A6A6A6" w:themeColor="background1" w:themeShade="A6"/>
              <w:right w:val="nil"/>
            </w:tcBorders>
          </w:tcPr>
          <w:p w14:paraId="7CCB7C0D" w14:textId="130DBB3A" w:rsidR="005734DE" w:rsidRPr="005734DE" w:rsidRDefault="005734DE" w:rsidP="005734DE">
            <w:pPr>
              <w:pStyle w:val="TableText"/>
              <w:jc w:val="right"/>
              <w:rPr>
                <w:sz w:val="16"/>
                <w:szCs w:val="18"/>
              </w:rPr>
            </w:pPr>
            <w:r w:rsidRPr="005734DE">
              <w:rPr>
                <w:sz w:val="16"/>
                <w:szCs w:val="18"/>
              </w:rPr>
              <w:t>10</w:t>
            </w:r>
          </w:p>
        </w:tc>
        <w:tc>
          <w:tcPr>
            <w:tcW w:w="1286" w:type="dxa"/>
            <w:tcBorders>
              <w:top w:val="single" w:sz="4" w:space="0" w:color="A6A6A6" w:themeColor="background1" w:themeShade="A6"/>
              <w:left w:val="nil"/>
              <w:bottom w:val="single" w:sz="4" w:space="0" w:color="A6A6A6" w:themeColor="background1" w:themeShade="A6"/>
              <w:right w:val="nil"/>
            </w:tcBorders>
          </w:tcPr>
          <w:p w14:paraId="2562EF1F" w14:textId="10D46D4A" w:rsidR="005734DE" w:rsidRPr="005734DE" w:rsidRDefault="005734DE" w:rsidP="005734DE">
            <w:pPr>
              <w:pStyle w:val="TableText"/>
              <w:jc w:val="right"/>
              <w:rPr>
                <w:sz w:val="16"/>
                <w:szCs w:val="18"/>
              </w:rPr>
            </w:pPr>
            <w:r w:rsidRPr="005734DE">
              <w:rPr>
                <w:sz w:val="16"/>
                <w:szCs w:val="18"/>
              </w:rPr>
              <w:t>10</w:t>
            </w:r>
          </w:p>
        </w:tc>
      </w:tr>
      <w:tr w:rsidR="005734DE" w14:paraId="30C23DCA" w14:textId="77777777" w:rsidTr="005734DE">
        <w:tc>
          <w:tcPr>
            <w:tcW w:w="2977" w:type="dxa"/>
            <w:tcBorders>
              <w:top w:val="single" w:sz="4" w:space="0" w:color="A6A6A6" w:themeColor="background1" w:themeShade="A6"/>
              <w:left w:val="nil"/>
              <w:bottom w:val="single" w:sz="4" w:space="0" w:color="A6A6A6" w:themeColor="background1" w:themeShade="A6"/>
              <w:right w:val="nil"/>
            </w:tcBorders>
          </w:tcPr>
          <w:p w14:paraId="45DC022B" w14:textId="6BD42F57" w:rsidR="005734DE" w:rsidRPr="005734DE" w:rsidRDefault="005734DE" w:rsidP="005734DE">
            <w:pPr>
              <w:pStyle w:val="TableText"/>
              <w:rPr>
                <w:sz w:val="16"/>
                <w:szCs w:val="18"/>
              </w:rPr>
            </w:pPr>
            <w:r w:rsidRPr="005734DE">
              <w:rPr>
                <w:sz w:val="16"/>
                <w:szCs w:val="18"/>
              </w:rPr>
              <w:t>Other revenue</w:t>
            </w:r>
          </w:p>
        </w:tc>
        <w:tc>
          <w:tcPr>
            <w:tcW w:w="1285" w:type="dxa"/>
            <w:tcBorders>
              <w:top w:val="single" w:sz="4" w:space="0" w:color="A6A6A6" w:themeColor="background1" w:themeShade="A6"/>
              <w:left w:val="nil"/>
              <w:bottom w:val="single" w:sz="4" w:space="0" w:color="A6A6A6" w:themeColor="background1" w:themeShade="A6"/>
              <w:right w:val="nil"/>
            </w:tcBorders>
          </w:tcPr>
          <w:p w14:paraId="244C00BE" w14:textId="4071571C" w:rsidR="005734DE" w:rsidRPr="005734DE" w:rsidRDefault="005734DE" w:rsidP="005734DE">
            <w:pPr>
              <w:pStyle w:val="TableText"/>
              <w:jc w:val="right"/>
              <w:rPr>
                <w:sz w:val="16"/>
                <w:szCs w:val="18"/>
              </w:rPr>
            </w:pPr>
            <w:r w:rsidRPr="005734DE">
              <w:rPr>
                <w:sz w:val="16"/>
                <w:szCs w:val="18"/>
              </w:rPr>
              <w:t>37</w:t>
            </w:r>
          </w:p>
        </w:tc>
        <w:tc>
          <w:tcPr>
            <w:tcW w:w="1286" w:type="dxa"/>
            <w:tcBorders>
              <w:top w:val="single" w:sz="4" w:space="0" w:color="A6A6A6" w:themeColor="background1" w:themeShade="A6"/>
              <w:left w:val="nil"/>
              <w:bottom w:val="single" w:sz="4" w:space="0" w:color="A6A6A6" w:themeColor="background1" w:themeShade="A6"/>
              <w:right w:val="nil"/>
            </w:tcBorders>
          </w:tcPr>
          <w:p w14:paraId="12C539B1" w14:textId="5727973D" w:rsidR="005734DE" w:rsidRPr="005734DE" w:rsidRDefault="005734DE" w:rsidP="005734DE">
            <w:pPr>
              <w:pStyle w:val="TableText"/>
              <w:jc w:val="right"/>
              <w:rPr>
                <w:sz w:val="16"/>
                <w:szCs w:val="18"/>
              </w:rPr>
            </w:pPr>
            <w:r w:rsidRPr="005734DE">
              <w:rPr>
                <w:sz w:val="16"/>
                <w:szCs w:val="18"/>
              </w:rPr>
              <w:t>-</w:t>
            </w:r>
          </w:p>
        </w:tc>
        <w:tc>
          <w:tcPr>
            <w:tcW w:w="1285" w:type="dxa"/>
            <w:tcBorders>
              <w:top w:val="single" w:sz="4" w:space="0" w:color="A6A6A6" w:themeColor="background1" w:themeShade="A6"/>
              <w:left w:val="nil"/>
              <w:bottom w:val="single" w:sz="4" w:space="0" w:color="A6A6A6" w:themeColor="background1" w:themeShade="A6"/>
              <w:right w:val="nil"/>
            </w:tcBorders>
          </w:tcPr>
          <w:p w14:paraId="3342E569" w14:textId="24E1DB06" w:rsidR="005734DE" w:rsidRPr="005734DE" w:rsidRDefault="005734DE" w:rsidP="005734DE">
            <w:pPr>
              <w:pStyle w:val="TableText"/>
              <w:jc w:val="right"/>
              <w:rPr>
                <w:sz w:val="16"/>
                <w:szCs w:val="18"/>
              </w:rPr>
            </w:pPr>
            <w:r w:rsidRPr="005734DE">
              <w:rPr>
                <w:sz w:val="16"/>
                <w:szCs w:val="18"/>
              </w:rPr>
              <w:t>-</w:t>
            </w:r>
          </w:p>
        </w:tc>
        <w:tc>
          <w:tcPr>
            <w:tcW w:w="1286" w:type="dxa"/>
            <w:tcBorders>
              <w:top w:val="single" w:sz="4" w:space="0" w:color="A6A6A6" w:themeColor="background1" w:themeShade="A6"/>
              <w:left w:val="nil"/>
              <w:bottom w:val="single" w:sz="4" w:space="0" w:color="A6A6A6" w:themeColor="background1" w:themeShade="A6"/>
              <w:right w:val="nil"/>
            </w:tcBorders>
          </w:tcPr>
          <w:p w14:paraId="2867CA22" w14:textId="079C432F" w:rsidR="005734DE" w:rsidRPr="005734DE" w:rsidRDefault="005734DE" w:rsidP="005734DE">
            <w:pPr>
              <w:pStyle w:val="TableText"/>
              <w:jc w:val="right"/>
              <w:rPr>
                <w:sz w:val="16"/>
                <w:szCs w:val="18"/>
              </w:rPr>
            </w:pPr>
            <w:r w:rsidRPr="005734DE">
              <w:rPr>
                <w:sz w:val="16"/>
                <w:szCs w:val="18"/>
              </w:rPr>
              <w:t>-</w:t>
            </w:r>
          </w:p>
        </w:tc>
      </w:tr>
      <w:tr w:rsidR="005734DE" w14:paraId="147901AE" w14:textId="77777777" w:rsidTr="005734DE">
        <w:tc>
          <w:tcPr>
            <w:tcW w:w="2977" w:type="dxa"/>
            <w:tcBorders>
              <w:top w:val="single" w:sz="4" w:space="0" w:color="A6A6A6" w:themeColor="background1" w:themeShade="A6"/>
              <w:left w:val="nil"/>
              <w:bottom w:val="single" w:sz="4" w:space="0" w:color="A6A6A6" w:themeColor="background1" w:themeShade="A6"/>
              <w:right w:val="nil"/>
            </w:tcBorders>
          </w:tcPr>
          <w:p w14:paraId="2DC701D9" w14:textId="4628FD30" w:rsidR="005734DE" w:rsidRPr="005734DE" w:rsidRDefault="005734DE" w:rsidP="005734DE">
            <w:pPr>
              <w:pStyle w:val="TableText"/>
              <w:rPr>
                <w:sz w:val="16"/>
                <w:szCs w:val="18"/>
              </w:rPr>
            </w:pPr>
            <w:r w:rsidRPr="005734DE">
              <w:rPr>
                <w:sz w:val="16"/>
                <w:szCs w:val="18"/>
              </w:rPr>
              <w:t>Total revenue</w:t>
            </w:r>
          </w:p>
        </w:tc>
        <w:tc>
          <w:tcPr>
            <w:tcW w:w="1285" w:type="dxa"/>
            <w:tcBorders>
              <w:top w:val="single" w:sz="4" w:space="0" w:color="A6A6A6" w:themeColor="background1" w:themeShade="A6"/>
              <w:left w:val="nil"/>
              <w:bottom w:val="single" w:sz="4" w:space="0" w:color="A6A6A6" w:themeColor="background1" w:themeShade="A6"/>
              <w:right w:val="nil"/>
            </w:tcBorders>
          </w:tcPr>
          <w:p w14:paraId="469E9D53" w14:textId="10CA18ED" w:rsidR="005734DE" w:rsidRPr="005734DE" w:rsidRDefault="005734DE" w:rsidP="005734DE">
            <w:pPr>
              <w:pStyle w:val="TableText"/>
              <w:jc w:val="right"/>
              <w:rPr>
                <w:sz w:val="16"/>
                <w:szCs w:val="18"/>
              </w:rPr>
            </w:pPr>
            <w:r w:rsidRPr="005734DE">
              <w:rPr>
                <w:sz w:val="16"/>
                <w:szCs w:val="18"/>
              </w:rPr>
              <w:t>52,674</w:t>
            </w:r>
          </w:p>
        </w:tc>
        <w:tc>
          <w:tcPr>
            <w:tcW w:w="1286" w:type="dxa"/>
            <w:tcBorders>
              <w:top w:val="single" w:sz="4" w:space="0" w:color="A6A6A6" w:themeColor="background1" w:themeShade="A6"/>
              <w:left w:val="nil"/>
              <w:bottom w:val="single" w:sz="4" w:space="0" w:color="A6A6A6" w:themeColor="background1" w:themeShade="A6"/>
              <w:right w:val="nil"/>
            </w:tcBorders>
          </w:tcPr>
          <w:p w14:paraId="4E065B88" w14:textId="342AEE13" w:rsidR="005734DE" w:rsidRPr="005734DE" w:rsidRDefault="005734DE" w:rsidP="005734DE">
            <w:pPr>
              <w:pStyle w:val="TableText"/>
              <w:jc w:val="right"/>
              <w:rPr>
                <w:sz w:val="16"/>
                <w:szCs w:val="18"/>
              </w:rPr>
            </w:pPr>
            <w:r w:rsidRPr="005734DE">
              <w:rPr>
                <w:sz w:val="16"/>
                <w:szCs w:val="18"/>
              </w:rPr>
              <w:t>-</w:t>
            </w:r>
          </w:p>
        </w:tc>
        <w:tc>
          <w:tcPr>
            <w:tcW w:w="1285" w:type="dxa"/>
            <w:tcBorders>
              <w:top w:val="single" w:sz="4" w:space="0" w:color="A6A6A6" w:themeColor="background1" w:themeShade="A6"/>
              <w:left w:val="nil"/>
              <w:bottom w:val="single" w:sz="4" w:space="0" w:color="A6A6A6" w:themeColor="background1" w:themeShade="A6"/>
              <w:right w:val="nil"/>
            </w:tcBorders>
          </w:tcPr>
          <w:p w14:paraId="64F25D33" w14:textId="6DFC2EA9" w:rsidR="005734DE" w:rsidRPr="005734DE" w:rsidRDefault="005734DE" w:rsidP="005734DE">
            <w:pPr>
              <w:pStyle w:val="TableText"/>
              <w:jc w:val="right"/>
              <w:rPr>
                <w:sz w:val="16"/>
                <w:szCs w:val="18"/>
              </w:rPr>
            </w:pPr>
            <w:r w:rsidRPr="005734DE">
              <w:rPr>
                <w:sz w:val="16"/>
                <w:szCs w:val="18"/>
              </w:rPr>
              <w:t>10</w:t>
            </w:r>
          </w:p>
        </w:tc>
        <w:tc>
          <w:tcPr>
            <w:tcW w:w="1286" w:type="dxa"/>
            <w:tcBorders>
              <w:top w:val="single" w:sz="4" w:space="0" w:color="A6A6A6" w:themeColor="background1" w:themeShade="A6"/>
              <w:left w:val="nil"/>
              <w:bottom w:val="single" w:sz="4" w:space="0" w:color="A6A6A6" w:themeColor="background1" w:themeShade="A6"/>
              <w:right w:val="nil"/>
            </w:tcBorders>
          </w:tcPr>
          <w:p w14:paraId="40EE63D7" w14:textId="7E96E87A" w:rsidR="005734DE" w:rsidRPr="005734DE" w:rsidRDefault="005734DE" w:rsidP="005734DE">
            <w:pPr>
              <w:pStyle w:val="TableText"/>
              <w:jc w:val="right"/>
              <w:rPr>
                <w:sz w:val="16"/>
                <w:szCs w:val="18"/>
              </w:rPr>
            </w:pPr>
            <w:r w:rsidRPr="005734DE">
              <w:rPr>
                <w:sz w:val="16"/>
                <w:szCs w:val="18"/>
              </w:rPr>
              <w:t>10</w:t>
            </w:r>
          </w:p>
        </w:tc>
      </w:tr>
      <w:tr w:rsidR="005734DE" w14:paraId="7C009A3A" w14:textId="77777777" w:rsidTr="005734DE">
        <w:tc>
          <w:tcPr>
            <w:tcW w:w="2977" w:type="dxa"/>
            <w:tcBorders>
              <w:top w:val="single" w:sz="4" w:space="0" w:color="A6A6A6" w:themeColor="background1" w:themeShade="A6"/>
              <w:left w:val="nil"/>
              <w:bottom w:val="single" w:sz="4" w:space="0" w:color="A6A6A6" w:themeColor="background1" w:themeShade="A6"/>
              <w:right w:val="nil"/>
            </w:tcBorders>
          </w:tcPr>
          <w:p w14:paraId="4E23AE41" w14:textId="2D85F986" w:rsidR="005734DE" w:rsidRPr="005734DE" w:rsidRDefault="005734DE" w:rsidP="005734DE">
            <w:pPr>
              <w:pStyle w:val="TableText"/>
              <w:rPr>
                <w:sz w:val="16"/>
                <w:szCs w:val="18"/>
              </w:rPr>
            </w:pPr>
            <w:r w:rsidRPr="005734DE">
              <w:rPr>
                <w:sz w:val="16"/>
                <w:szCs w:val="18"/>
              </w:rPr>
              <w:t>Total expenses</w:t>
            </w:r>
          </w:p>
        </w:tc>
        <w:tc>
          <w:tcPr>
            <w:tcW w:w="1285" w:type="dxa"/>
            <w:tcBorders>
              <w:top w:val="single" w:sz="4" w:space="0" w:color="A6A6A6" w:themeColor="background1" w:themeShade="A6"/>
              <w:left w:val="nil"/>
              <w:bottom w:val="single" w:sz="4" w:space="0" w:color="A6A6A6" w:themeColor="background1" w:themeShade="A6"/>
              <w:right w:val="nil"/>
            </w:tcBorders>
          </w:tcPr>
          <w:p w14:paraId="49E0D2B2" w14:textId="7E617D7D" w:rsidR="005734DE" w:rsidRPr="005734DE" w:rsidRDefault="005734DE" w:rsidP="005734DE">
            <w:pPr>
              <w:pStyle w:val="TableText"/>
              <w:jc w:val="right"/>
              <w:rPr>
                <w:sz w:val="16"/>
                <w:szCs w:val="18"/>
              </w:rPr>
            </w:pPr>
            <w:r w:rsidRPr="005734DE">
              <w:rPr>
                <w:sz w:val="16"/>
                <w:szCs w:val="18"/>
              </w:rPr>
              <w:t>40,471</w:t>
            </w:r>
          </w:p>
        </w:tc>
        <w:tc>
          <w:tcPr>
            <w:tcW w:w="1286" w:type="dxa"/>
            <w:tcBorders>
              <w:top w:val="single" w:sz="4" w:space="0" w:color="A6A6A6" w:themeColor="background1" w:themeShade="A6"/>
              <w:left w:val="nil"/>
              <w:bottom w:val="single" w:sz="4" w:space="0" w:color="A6A6A6" w:themeColor="background1" w:themeShade="A6"/>
              <w:right w:val="nil"/>
            </w:tcBorders>
          </w:tcPr>
          <w:p w14:paraId="50FFE3C2" w14:textId="7D181746" w:rsidR="005734DE" w:rsidRPr="005734DE" w:rsidRDefault="005734DE" w:rsidP="005734DE">
            <w:pPr>
              <w:pStyle w:val="TableText"/>
              <w:jc w:val="right"/>
              <w:rPr>
                <w:sz w:val="16"/>
                <w:szCs w:val="18"/>
              </w:rPr>
            </w:pPr>
            <w:r w:rsidRPr="005734DE">
              <w:rPr>
                <w:sz w:val="16"/>
                <w:szCs w:val="18"/>
              </w:rPr>
              <w:t>-</w:t>
            </w:r>
          </w:p>
        </w:tc>
        <w:tc>
          <w:tcPr>
            <w:tcW w:w="1285" w:type="dxa"/>
            <w:tcBorders>
              <w:top w:val="single" w:sz="4" w:space="0" w:color="A6A6A6" w:themeColor="background1" w:themeShade="A6"/>
              <w:left w:val="nil"/>
              <w:bottom w:val="single" w:sz="4" w:space="0" w:color="A6A6A6" w:themeColor="background1" w:themeShade="A6"/>
              <w:right w:val="nil"/>
            </w:tcBorders>
          </w:tcPr>
          <w:p w14:paraId="03D1754D" w14:textId="2041C3CE" w:rsidR="005734DE" w:rsidRPr="005734DE" w:rsidRDefault="005734DE" w:rsidP="005734DE">
            <w:pPr>
              <w:pStyle w:val="TableText"/>
              <w:jc w:val="right"/>
              <w:rPr>
                <w:sz w:val="16"/>
                <w:szCs w:val="18"/>
              </w:rPr>
            </w:pPr>
            <w:r w:rsidRPr="005734DE">
              <w:rPr>
                <w:sz w:val="16"/>
                <w:szCs w:val="18"/>
              </w:rPr>
              <w:t>10</w:t>
            </w:r>
          </w:p>
        </w:tc>
        <w:tc>
          <w:tcPr>
            <w:tcW w:w="1286" w:type="dxa"/>
            <w:tcBorders>
              <w:top w:val="single" w:sz="4" w:space="0" w:color="A6A6A6" w:themeColor="background1" w:themeShade="A6"/>
              <w:left w:val="nil"/>
              <w:bottom w:val="single" w:sz="4" w:space="0" w:color="A6A6A6" w:themeColor="background1" w:themeShade="A6"/>
              <w:right w:val="nil"/>
            </w:tcBorders>
          </w:tcPr>
          <w:p w14:paraId="158DCD10" w14:textId="77777777" w:rsidR="005734DE" w:rsidRPr="005734DE" w:rsidRDefault="005734DE" w:rsidP="005734DE">
            <w:pPr>
              <w:pStyle w:val="TableText"/>
              <w:jc w:val="right"/>
              <w:rPr>
                <w:sz w:val="16"/>
                <w:szCs w:val="18"/>
              </w:rPr>
            </w:pPr>
          </w:p>
        </w:tc>
      </w:tr>
      <w:tr w:rsidR="005734DE" w14:paraId="1180DEEC" w14:textId="77777777" w:rsidTr="005734DE">
        <w:tc>
          <w:tcPr>
            <w:tcW w:w="2977" w:type="dxa"/>
            <w:tcBorders>
              <w:top w:val="single" w:sz="4" w:space="0" w:color="A6A6A6" w:themeColor="background1" w:themeShade="A6"/>
              <w:left w:val="nil"/>
              <w:bottom w:val="single" w:sz="4" w:space="0" w:color="A6A6A6" w:themeColor="background1" w:themeShade="A6"/>
              <w:right w:val="nil"/>
            </w:tcBorders>
          </w:tcPr>
          <w:p w14:paraId="6A924739" w14:textId="07C2506A" w:rsidR="005734DE" w:rsidRPr="005734DE" w:rsidRDefault="005734DE" w:rsidP="005734DE">
            <w:pPr>
              <w:pStyle w:val="TableText"/>
              <w:rPr>
                <w:sz w:val="16"/>
                <w:szCs w:val="18"/>
              </w:rPr>
            </w:pPr>
            <w:r w:rsidRPr="005734DE">
              <w:rPr>
                <w:sz w:val="16"/>
                <w:szCs w:val="18"/>
              </w:rPr>
              <w:t>Net surplus (deficit)</w:t>
            </w:r>
          </w:p>
        </w:tc>
        <w:tc>
          <w:tcPr>
            <w:tcW w:w="1285" w:type="dxa"/>
            <w:tcBorders>
              <w:top w:val="single" w:sz="4" w:space="0" w:color="A6A6A6" w:themeColor="background1" w:themeShade="A6"/>
              <w:left w:val="nil"/>
              <w:bottom w:val="single" w:sz="4" w:space="0" w:color="A6A6A6" w:themeColor="background1" w:themeShade="A6"/>
              <w:right w:val="nil"/>
            </w:tcBorders>
          </w:tcPr>
          <w:p w14:paraId="08C347E7" w14:textId="1601748E" w:rsidR="005734DE" w:rsidRPr="005734DE" w:rsidRDefault="005734DE" w:rsidP="005734DE">
            <w:pPr>
              <w:pStyle w:val="TableText"/>
              <w:jc w:val="right"/>
              <w:rPr>
                <w:sz w:val="16"/>
                <w:szCs w:val="18"/>
              </w:rPr>
            </w:pPr>
            <w:r w:rsidRPr="005734DE">
              <w:rPr>
                <w:sz w:val="16"/>
                <w:szCs w:val="18"/>
              </w:rPr>
              <w:t>12,203</w:t>
            </w:r>
          </w:p>
        </w:tc>
        <w:tc>
          <w:tcPr>
            <w:tcW w:w="1286" w:type="dxa"/>
            <w:tcBorders>
              <w:top w:val="single" w:sz="4" w:space="0" w:color="A6A6A6" w:themeColor="background1" w:themeShade="A6"/>
              <w:left w:val="nil"/>
              <w:bottom w:val="single" w:sz="4" w:space="0" w:color="A6A6A6" w:themeColor="background1" w:themeShade="A6"/>
              <w:right w:val="nil"/>
            </w:tcBorders>
          </w:tcPr>
          <w:p w14:paraId="46AA1580" w14:textId="50E12056" w:rsidR="005734DE" w:rsidRPr="005734DE" w:rsidRDefault="005734DE" w:rsidP="005734DE">
            <w:pPr>
              <w:pStyle w:val="TableText"/>
              <w:jc w:val="right"/>
              <w:rPr>
                <w:sz w:val="16"/>
                <w:szCs w:val="18"/>
              </w:rPr>
            </w:pPr>
            <w:r w:rsidRPr="005734DE">
              <w:rPr>
                <w:sz w:val="16"/>
                <w:szCs w:val="18"/>
              </w:rPr>
              <w:t>-</w:t>
            </w:r>
          </w:p>
        </w:tc>
        <w:tc>
          <w:tcPr>
            <w:tcW w:w="1285" w:type="dxa"/>
            <w:tcBorders>
              <w:top w:val="single" w:sz="4" w:space="0" w:color="A6A6A6" w:themeColor="background1" w:themeShade="A6"/>
              <w:left w:val="nil"/>
              <w:bottom w:val="single" w:sz="4" w:space="0" w:color="A6A6A6" w:themeColor="background1" w:themeShade="A6"/>
              <w:right w:val="nil"/>
            </w:tcBorders>
          </w:tcPr>
          <w:p w14:paraId="0607AC44" w14:textId="67A25849" w:rsidR="005734DE" w:rsidRPr="005734DE" w:rsidRDefault="005734DE" w:rsidP="005734DE">
            <w:pPr>
              <w:pStyle w:val="TableText"/>
              <w:jc w:val="right"/>
              <w:rPr>
                <w:sz w:val="16"/>
                <w:szCs w:val="18"/>
              </w:rPr>
            </w:pPr>
            <w:r w:rsidRPr="005734DE">
              <w:rPr>
                <w:sz w:val="16"/>
                <w:szCs w:val="18"/>
              </w:rPr>
              <w:t>-</w:t>
            </w:r>
          </w:p>
        </w:tc>
        <w:tc>
          <w:tcPr>
            <w:tcW w:w="1286" w:type="dxa"/>
            <w:tcBorders>
              <w:top w:val="single" w:sz="4" w:space="0" w:color="A6A6A6" w:themeColor="background1" w:themeShade="A6"/>
              <w:left w:val="nil"/>
              <w:bottom w:val="single" w:sz="4" w:space="0" w:color="A6A6A6" w:themeColor="background1" w:themeShade="A6"/>
              <w:right w:val="nil"/>
            </w:tcBorders>
          </w:tcPr>
          <w:p w14:paraId="6F685B3B" w14:textId="5A21C894" w:rsidR="005734DE" w:rsidRPr="005734DE" w:rsidRDefault="005734DE" w:rsidP="005734DE">
            <w:pPr>
              <w:pStyle w:val="TableText"/>
              <w:jc w:val="right"/>
              <w:rPr>
                <w:sz w:val="16"/>
                <w:szCs w:val="18"/>
              </w:rPr>
            </w:pPr>
            <w:r w:rsidRPr="005734DE">
              <w:rPr>
                <w:sz w:val="16"/>
                <w:szCs w:val="18"/>
              </w:rPr>
              <w:t>10</w:t>
            </w:r>
          </w:p>
        </w:tc>
      </w:tr>
      <w:tr w:rsidR="005734DE" w:rsidRPr="005734DE" w14:paraId="41819272" w14:textId="77777777" w:rsidTr="005734DE">
        <w:tc>
          <w:tcPr>
            <w:tcW w:w="8119" w:type="dxa"/>
            <w:gridSpan w:val="5"/>
            <w:tcBorders>
              <w:top w:val="single" w:sz="4" w:space="0" w:color="A6A6A6" w:themeColor="background1" w:themeShade="A6"/>
              <w:left w:val="nil"/>
              <w:bottom w:val="single" w:sz="4" w:space="0" w:color="A6A6A6" w:themeColor="background1" w:themeShade="A6"/>
              <w:right w:val="nil"/>
            </w:tcBorders>
          </w:tcPr>
          <w:p w14:paraId="3E0E312E" w14:textId="0D9A80A1" w:rsidR="005734DE" w:rsidRPr="005734DE" w:rsidRDefault="005734DE" w:rsidP="005734DE">
            <w:pPr>
              <w:pStyle w:val="TableText"/>
              <w:ind w:right="57"/>
              <w:rPr>
                <w:b/>
                <w:bCs/>
                <w:sz w:val="16"/>
                <w:szCs w:val="16"/>
              </w:rPr>
            </w:pPr>
            <w:r w:rsidRPr="005734DE">
              <w:rPr>
                <w:b/>
                <w:bCs/>
                <w:sz w:val="16"/>
                <w:szCs w:val="16"/>
              </w:rPr>
              <w:t>Non-departmental output expenses</w:t>
            </w:r>
          </w:p>
        </w:tc>
      </w:tr>
      <w:tr w:rsidR="005734DE" w:rsidRPr="005734DE" w14:paraId="254BDACC" w14:textId="77777777" w:rsidTr="005734DE">
        <w:tc>
          <w:tcPr>
            <w:tcW w:w="8119" w:type="dxa"/>
            <w:gridSpan w:val="5"/>
            <w:tcBorders>
              <w:top w:val="single" w:sz="4" w:space="0" w:color="A6A6A6" w:themeColor="background1" w:themeShade="A6"/>
              <w:left w:val="nil"/>
              <w:bottom w:val="single" w:sz="4" w:space="0" w:color="A6A6A6" w:themeColor="background1" w:themeShade="A6"/>
              <w:right w:val="nil"/>
            </w:tcBorders>
          </w:tcPr>
          <w:p w14:paraId="7E553129" w14:textId="4B8707C0" w:rsidR="005734DE" w:rsidRPr="005734DE" w:rsidRDefault="005734DE" w:rsidP="005734DE">
            <w:pPr>
              <w:pStyle w:val="TableText"/>
              <w:ind w:right="57"/>
              <w:rPr>
                <w:b/>
                <w:bCs/>
                <w:sz w:val="16"/>
                <w:szCs w:val="16"/>
              </w:rPr>
            </w:pPr>
            <w:r w:rsidRPr="005734DE">
              <w:rPr>
                <w:b/>
                <w:bCs/>
                <w:sz w:val="16"/>
                <w:szCs w:val="16"/>
              </w:rPr>
              <w:t>COVID-19 public health response</w:t>
            </w:r>
          </w:p>
        </w:tc>
      </w:tr>
      <w:tr w:rsidR="005734DE" w14:paraId="12C93233" w14:textId="77777777" w:rsidTr="005734DE">
        <w:tc>
          <w:tcPr>
            <w:tcW w:w="2977" w:type="dxa"/>
            <w:tcBorders>
              <w:top w:val="single" w:sz="4" w:space="0" w:color="A6A6A6" w:themeColor="background1" w:themeShade="A6"/>
              <w:left w:val="nil"/>
              <w:bottom w:val="single" w:sz="4" w:space="0" w:color="A6A6A6" w:themeColor="background1" w:themeShade="A6"/>
              <w:right w:val="nil"/>
            </w:tcBorders>
          </w:tcPr>
          <w:p w14:paraId="319275AF" w14:textId="113C2392" w:rsidR="005734DE" w:rsidRPr="00A2059F" w:rsidRDefault="005734DE" w:rsidP="005734DE">
            <w:pPr>
              <w:pStyle w:val="TableText"/>
              <w:rPr>
                <w:sz w:val="16"/>
                <w:szCs w:val="16"/>
              </w:rPr>
            </w:pPr>
            <w:r w:rsidRPr="005734DE">
              <w:rPr>
                <w:sz w:val="16"/>
                <w:szCs w:val="16"/>
              </w:rPr>
              <w:t>Total expenses</w:t>
            </w:r>
          </w:p>
        </w:tc>
        <w:tc>
          <w:tcPr>
            <w:tcW w:w="1285" w:type="dxa"/>
            <w:tcBorders>
              <w:top w:val="single" w:sz="4" w:space="0" w:color="A6A6A6" w:themeColor="background1" w:themeShade="A6"/>
              <w:left w:val="nil"/>
              <w:bottom w:val="single" w:sz="4" w:space="0" w:color="A6A6A6" w:themeColor="background1" w:themeShade="A6"/>
              <w:right w:val="nil"/>
            </w:tcBorders>
          </w:tcPr>
          <w:p w14:paraId="5AB97A69" w14:textId="7BA8D6BB" w:rsidR="005734DE" w:rsidRPr="005734DE" w:rsidRDefault="005734DE" w:rsidP="005734DE">
            <w:pPr>
              <w:pStyle w:val="TableText"/>
              <w:jc w:val="right"/>
              <w:rPr>
                <w:sz w:val="16"/>
                <w:szCs w:val="18"/>
              </w:rPr>
            </w:pPr>
            <w:r w:rsidRPr="005734DE">
              <w:rPr>
                <w:sz w:val="16"/>
                <w:szCs w:val="18"/>
              </w:rPr>
              <w:t>1,140,344</w:t>
            </w:r>
          </w:p>
        </w:tc>
        <w:tc>
          <w:tcPr>
            <w:tcW w:w="1286" w:type="dxa"/>
            <w:tcBorders>
              <w:top w:val="single" w:sz="4" w:space="0" w:color="A6A6A6" w:themeColor="background1" w:themeShade="A6"/>
              <w:left w:val="nil"/>
              <w:bottom w:val="single" w:sz="4" w:space="0" w:color="A6A6A6" w:themeColor="background1" w:themeShade="A6"/>
              <w:right w:val="nil"/>
            </w:tcBorders>
          </w:tcPr>
          <w:p w14:paraId="189A050F" w14:textId="1742CBEE" w:rsidR="005734DE" w:rsidRPr="005734DE" w:rsidRDefault="005734DE" w:rsidP="005734DE">
            <w:pPr>
              <w:pStyle w:val="TableText"/>
              <w:jc w:val="right"/>
              <w:rPr>
                <w:sz w:val="16"/>
                <w:szCs w:val="18"/>
              </w:rPr>
            </w:pPr>
            <w:r w:rsidRPr="005734DE">
              <w:rPr>
                <w:sz w:val="16"/>
                <w:szCs w:val="18"/>
              </w:rPr>
              <w:t>-</w:t>
            </w:r>
          </w:p>
        </w:tc>
        <w:tc>
          <w:tcPr>
            <w:tcW w:w="1285" w:type="dxa"/>
            <w:tcBorders>
              <w:top w:val="single" w:sz="4" w:space="0" w:color="A6A6A6" w:themeColor="background1" w:themeShade="A6"/>
              <w:left w:val="nil"/>
              <w:bottom w:val="single" w:sz="4" w:space="0" w:color="A6A6A6" w:themeColor="background1" w:themeShade="A6"/>
              <w:right w:val="nil"/>
            </w:tcBorders>
          </w:tcPr>
          <w:p w14:paraId="67C0CE0A" w14:textId="78963702" w:rsidR="005734DE" w:rsidRPr="005734DE" w:rsidRDefault="005734DE" w:rsidP="005734DE">
            <w:pPr>
              <w:pStyle w:val="TableText"/>
              <w:jc w:val="right"/>
              <w:rPr>
                <w:sz w:val="16"/>
                <w:szCs w:val="18"/>
              </w:rPr>
            </w:pPr>
            <w:r w:rsidRPr="005734DE">
              <w:rPr>
                <w:sz w:val="16"/>
                <w:szCs w:val="18"/>
              </w:rPr>
              <w:t>210,951</w:t>
            </w:r>
          </w:p>
        </w:tc>
        <w:tc>
          <w:tcPr>
            <w:tcW w:w="1286" w:type="dxa"/>
            <w:tcBorders>
              <w:top w:val="single" w:sz="4" w:space="0" w:color="A6A6A6" w:themeColor="background1" w:themeShade="A6"/>
              <w:left w:val="nil"/>
              <w:bottom w:val="single" w:sz="4" w:space="0" w:color="A6A6A6" w:themeColor="background1" w:themeShade="A6"/>
              <w:right w:val="nil"/>
            </w:tcBorders>
          </w:tcPr>
          <w:p w14:paraId="6AAD3B4F" w14:textId="35C947DB" w:rsidR="005734DE" w:rsidRPr="005734DE" w:rsidRDefault="005734DE" w:rsidP="005734DE">
            <w:pPr>
              <w:pStyle w:val="TableText"/>
              <w:jc w:val="right"/>
              <w:rPr>
                <w:sz w:val="16"/>
                <w:szCs w:val="18"/>
              </w:rPr>
            </w:pPr>
            <w:r w:rsidRPr="005734DE">
              <w:rPr>
                <w:sz w:val="16"/>
                <w:szCs w:val="18"/>
              </w:rPr>
              <w:t>177,448</w:t>
            </w:r>
          </w:p>
        </w:tc>
      </w:tr>
      <w:tr w:rsidR="005734DE" w:rsidRPr="005734DE" w14:paraId="4CFCE458" w14:textId="77777777" w:rsidTr="005734DE">
        <w:tc>
          <w:tcPr>
            <w:tcW w:w="2977" w:type="dxa"/>
            <w:tcBorders>
              <w:top w:val="single" w:sz="4" w:space="0" w:color="A6A6A6" w:themeColor="background1" w:themeShade="A6"/>
              <w:left w:val="nil"/>
              <w:bottom w:val="single" w:sz="4" w:space="0" w:color="A6A6A6" w:themeColor="background1" w:themeShade="A6"/>
              <w:right w:val="nil"/>
            </w:tcBorders>
          </w:tcPr>
          <w:p w14:paraId="4DA91794" w14:textId="77777777" w:rsidR="005734DE" w:rsidRPr="005734DE" w:rsidRDefault="005734DE" w:rsidP="005734DE">
            <w:pPr>
              <w:pStyle w:val="TableText"/>
              <w:rPr>
                <w:b/>
                <w:bCs/>
                <w:sz w:val="16"/>
                <w:szCs w:val="16"/>
              </w:rPr>
            </w:pPr>
            <w:r w:rsidRPr="005734DE">
              <w:rPr>
                <w:b/>
                <w:bCs/>
                <w:sz w:val="16"/>
                <w:szCs w:val="16"/>
              </w:rPr>
              <w:t>Total MCA expenses</w:t>
            </w:r>
          </w:p>
        </w:tc>
        <w:tc>
          <w:tcPr>
            <w:tcW w:w="1285" w:type="dxa"/>
            <w:tcBorders>
              <w:top w:val="single" w:sz="4" w:space="0" w:color="A6A6A6" w:themeColor="background1" w:themeShade="A6"/>
              <w:left w:val="nil"/>
              <w:bottom w:val="single" w:sz="4" w:space="0" w:color="A6A6A6" w:themeColor="background1" w:themeShade="A6"/>
              <w:right w:val="nil"/>
            </w:tcBorders>
          </w:tcPr>
          <w:p w14:paraId="6AFA714A" w14:textId="05D6676A" w:rsidR="005734DE" w:rsidRPr="005734DE" w:rsidRDefault="005734DE" w:rsidP="005734DE">
            <w:pPr>
              <w:pStyle w:val="TableText"/>
              <w:jc w:val="right"/>
              <w:rPr>
                <w:b/>
                <w:bCs/>
                <w:sz w:val="16"/>
                <w:szCs w:val="18"/>
              </w:rPr>
            </w:pPr>
            <w:r w:rsidRPr="005734DE">
              <w:rPr>
                <w:b/>
                <w:bCs/>
                <w:sz w:val="16"/>
                <w:szCs w:val="18"/>
              </w:rPr>
              <w:t>1,180,815</w:t>
            </w:r>
          </w:p>
        </w:tc>
        <w:tc>
          <w:tcPr>
            <w:tcW w:w="1286" w:type="dxa"/>
            <w:tcBorders>
              <w:top w:val="single" w:sz="4" w:space="0" w:color="A6A6A6" w:themeColor="background1" w:themeShade="A6"/>
              <w:left w:val="nil"/>
              <w:bottom w:val="single" w:sz="4" w:space="0" w:color="A6A6A6" w:themeColor="background1" w:themeShade="A6"/>
              <w:right w:val="nil"/>
            </w:tcBorders>
          </w:tcPr>
          <w:p w14:paraId="24D90CA2" w14:textId="0D4A1298" w:rsidR="005734DE" w:rsidRPr="005734DE" w:rsidRDefault="005734DE" w:rsidP="005734DE">
            <w:pPr>
              <w:pStyle w:val="TableText"/>
              <w:jc w:val="right"/>
              <w:rPr>
                <w:b/>
                <w:bCs/>
                <w:sz w:val="16"/>
                <w:szCs w:val="18"/>
              </w:rPr>
            </w:pPr>
            <w:r w:rsidRPr="005734DE">
              <w:rPr>
                <w:b/>
                <w:bCs/>
                <w:sz w:val="16"/>
                <w:szCs w:val="18"/>
              </w:rPr>
              <w:t>-</w:t>
            </w:r>
          </w:p>
        </w:tc>
        <w:tc>
          <w:tcPr>
            <w:tcW w:w="1285" w:type="dxa"/>
            <w:tcBorders>
              <w:top w:val="single" w:sz="4" w:space="0" w:color="A6A6A6" w:themeColor="background1" w:themeShade="A6"/>
              <w:left w:val="nil"/>
              <w:bottom w:val="single" w:sz="4" w:space="0" w:color="A6A6A6" w:themeColor="background1" w:themeShade="A6"/>
              <w:right w:val="nil"/>
            </w:tcBorders>
          </w:tcPr>
          <w:p w14:paraId="35C67A4B" w14:textId="6DB816D3" w:rsidR="005734DE" w:rsidRPr="005734DE" w:rsidRDefault="005734DE" w:rsidP="005734DE">
            <w:pPr>
              <w:pStyle w:val="TableText"/>
              <w:jc w:val="right"/>
              <w:rPr>
                <w:b/>
                <w:bCs/>
                <w:sz w:val="16"/>
                <w:szCs w:val="18"/>
              </w:rPr>
            </w:pPr>
            <w:r w:rsidRPr="005734DE">
              <w:rPr>
                <w:b/>
                <w:bCs/>
                <w:sz w:val="16"/>
                <w:szCs w:val="18"/>
              </w:rPr>
              <w:t>210,961</w:t>
            </w:r>
          </w:p>
        </w:tc>
        <w:tc>
          <w:tcPr>
            <w:tcW w:w="1286" w:type="dxa"/>
            <w:tcBorders>
              <w:top w:val="single" w:sz="4" w:space="0" w:color="A6A6A6" w:themeColor="background1" w:themeShade="A6"/>
              <w:left w:val="nil"/>
              <w:bottom w:val="single" w:sz="4" w:space="0" w:color="A6A6A6" w:themeColor="background1" w:themeShade="A6"/>
              <w:right w:val="nil"/>
            </w:tcBorders>
          </w:tcPr>
          <w:p w14:paraId="1A4E681D" w14:textId="4A50930A" w:rsidR="005734DE" w:rsidRPr="005734DE" w:rsidRDefault="005734DE" w:rsidP="005734DE">
            <w:pPr>
              <w:pStyle w:val="TableText"/>
              <w:jc w:val="right"/>
              <w:rPr>
                <w:b/>
                <w:bCs/>
                <w:sz w:val="16"/>
                <w:szCs w:val="18"/>
              </w:rPr>
            </w:pPr>
            <w:r w:rsidRPr="005734DE">
              <w:rPr>
                <w:b/>
                <w:bCs/>
                <w:sz w:val="16"/>
                <w:szCs w:val="18"/>
              </w:rPr>
              <w:t>177,448</w:t>
            </w:r>
          </w:p>
        </w:tc>
      </w:tr>
    </w:tbl>
    <w:p w14:paraId="0B741B41" w14:textId="0AA0272D" w:rsidR="005734DE" w:rsidRPr="00A2059F" w:rsidRDefault="005734DE" w:rsidP="007D57B1">
      <w:pPr>
        <w:sectPr w:rsidR="005734DE" w:rsidRPr="00A2059F" w:rsidSect="000A3324">
          <w:pgSz w:w="11907" w:h="16840" w:code="9"/>
          <w:pgMar w:top="1418" w:right="1701" w:bottom="1134" w:left="1843" w:header="284" w:footer="425" w:gutter="284"/>
          <w:cols w:space="720"/>
        </w:sectPr>
      </w:pPr>
    </w:p>
    <w:p w14:paraId="124DE6AD" w14:textId="77777777" w:rsidR="005734DE" w:rsidRDefault="005734DE" w:rsidP="005734DE">
      <w:r w:rsidRPr="005734DE">
        <w:lastRenderedPageBreak/>
        <w:t>Health New Zealand now manages the national health response to COVID-19 appropriation. Activity in the COVID-19 area has been steadily decreasing as our response to the virus has become more embedded into day-to-day activities. This has meant that the levels of activity for testing and immunisation were lower than planned and the funding provided for these services was not used. The surplus funding has been returned to the Crown.</w:t>
      </w:r>
    </w:p>
    <w:p w14:paraId="2E5D88E6" w14:textId="77777777" w:rsidR="005734DE" w:rsidRDefault="005734DE" w:rsidP="005734DE"/>
    <w:p w14:paraId="6961A074" w14:textId="77777777" w:rsidR="005734DE" w:rsidRDefault="005734DE" w:rsidP="005734DE"/>
    <w:p w14:paraId="27064C32" w14:textId="77777777" w:rsidR="005734DE" w:rsidRDefault="005734DE" w:rsidP="005734DE">
      <w:pPr>
        <w:rPr>
          <w:highlight w:val="yellow"/>
        </w:rPr>
        <w:sectPr w:rsidR="005734DE" w:rsidSect="000A3324">
          <w:pgSz w:w="11907" w:h="16840" w:code="9"/>
          <w:pgMar w:top="1418" w:right="1701" w:bottom="1134" w:left="1843" w:header="284" w:footer="425" w:gutter="284"/>
          <w:cols w:space="720"/>
        </w:sectPr>
      </w:pPr>
    </w:p>
    <w:p w14:paraId="435DF7DD" w14:textId="77777777" w:rsidR="005734DE" w:rsidRDefault="005734DE" w:rsidP="005734DE">
      <w:pPr>
        <w:pStyle w:val="Heading3"/>
        <w:spacing w:before="0"/>
      </w:pPr>
      <w:r>
        <w:lastRenderedPageBreak/>
        <w:t>Ministry of Health — Capital Expenditure Permanent Legislative Authority</w:t>
      </w:r>
    </w:p>
    <w:p w14:paraId="5348FF8F" w14:textId="77777777" w:rsidR="005734DE" w:rsidRDefault="005734DE" w:rsidP="005734DE">
      <w:r>
        <w:t>This appropriation is limited to the purchase or development of assets by and for the use of the Ministry, as authorised by section 24(1) of the Public Finance Act 1989.</w:t>
      </w:r>
    </w:p>
    <w:p w14:paraId="175FF1B0" w14:textId="77777777" w:rsidR="005734DE" w:rsidRDefault="005734DE" w:rsidP="005734DE"/>
    <w:tbl>
      <w:tblPr>
        <w:tblStyle w:val="TableGrid"/>
        <w:tblW w:w="8116"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261"/>
        <w:gridCol w:w="1134"/>
        <w:gridCol w:w="1240"/>
        <w:gridCol w:w="1240"/>
        <w:gridCol w:w="1241"/>
      </w:tblGrid>
      <w:tr w:rsidR="005734DE" w14:paraId="72C3CC35" w14:textId="77777777" w:rsidTr="005734DE">
        <w:tc>
          <w:tcPr>
            <w:tcW w:w="8116" w:type="dxa"/>
            <w:gridSpan w:val="5"/>
            <w:tcBorders>
              <w:top w:val="nil"/>
              <w:left w:val="nil"/>
              <w:bottom w:val="nil"/>
              <w:right w:val="nil"/>
            </w:tcBorders>
            <w:shd w:val="clear" w:color="auto" w:fill="D9D9D9" w:themeFill="background1" w:themeFillShade="D9"/>
            <w:hideMark/>
          </w:tcPr>
          <w:p w14:paraId="6C221671" w14:textId="77777777" w:rsidR="005734DE" w:rsidRDefault="005734DE" w:rsidP="005734DE">
            <w:pPr>
              <w:pStyle w:val="TableText"/>
              <w:rPr>
                <w:b/>
                <w:bCs/>
              </w:rPr>
            </w:pPr>
            <w:r>
              <w:rPr>
                <w:b/>
                <w:bCs/>
              </w:rPr>
              <w:t>Performance assessment</w:t>
            </w:r>
          </w:p>
        </w:tc>
      </w:tr>
      <w:tr w:rsidR="005734DE" w14:paraId="64F9D7A5" w14:textId="77777777" w:rsidTr="005734DE">
        <w:tc>
          <w:tcPr>
            <w:tcW w:w="3261"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5C7E0177" w14:textId="77777777" w:rsidR="005734DE" w:rsidRPr="00BF5468" w:rsidRDefault="005734DE" w:rsidP="005734DE">
            <w:pPr>
              <w:pStyle w:val="TableText"/>
              <w:rPr>
                <w:b/>
                <w:bCs/>
                <w:sz w:val="16"/>
                <w:szCs w:val="16"/>
              </w:rPr>
            </w:pPr>
            <w:r w:rsidRPr="00BF5468">
              <w:rPr>
                <w:b/>
                <w:bCs/>
                <w:sz w:val="16"/>
                <w:szCs w:val="16"/>
              </w:rPr>
              <w:t>Performance measure</w:t>
            </w:r>
          </w:p>
        </w:tc>
        <w:tc>
          <w:tcPr>
            <w:tcW w:w="1134"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690B27F1" w14:textId="77777777" w:rsidR="005734DE" w:rsidRDefault="005734DE" w:rsidP="005734DE">
            <w:pPr>
              <w:pStyle w:val="TableText"/>
              <w:jc w:val="right"/>
              <w:rPr>
                <w:b/>
                <w:bCs/>
                <w:sz w:val="16"/>
                <w:szCs w:val="16"/>
              </w:rPr>
            </w:pPr>
            <w:r>
              <w:rPr>
                <w:b/>
                <w:bCs/>
                <w:sz w:val="16"/>
                <w:szCs w:val="16"/>
              </w:rPr>
              <w:t>Actual</w:t>
            </w:r>
          </w:p>
          <w:p w14:paraId="6C083019" w14:textId="77777777" w:rsidR="005734DE" w:rsidRDefault="005734DE" w:rsidP="005734DE">
            <w:pPr>
              <w:pStyle w:val="TableText"/>
              <w:jc w:val="right"/>
              <w:rPr>
                <w:b/>
                <w:bCs/>
                <w:sz w:val="16"/>
                <w:szCs w:val="16"/>
              </w:rPr>
            </w:pPr>
            <w:r>
              <w:rPr>
                <w:b/>
                <w:bCs/>
                <w:sz w:val="16"/>
                <w:szCs w:val="16"/>
              </w:rPr>
              <w:t>2022/23</w:t>
            </w:r>
          </w:p>
        </w:tc>
        <w:tc>
          <w:tcPr>
            <w:tcW w:w="1240"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112A3056" w14:textId="77777777" w:rsidR="005734DE" w:rsidRDefault="005734DE" w:rsidP="005734DE">
            <w:pPr>
              <w:pStyle w:val="TableText"/>
              <w:jc w:val="right"/>
              <w:rPr>
                <w:b/>
                <w:bCs/>
                <w:sz w:val="16"/>
                <w:szCs w:val="16"/>
              </w:rPr>
            </w:pPr>
            <w:r>
              <w:rPr>
                <w:b/>
                <w:bCs/>
                <w:sz w:val="16"/>
                <w:szCs w:val="16"/>
              </w:rPr>
              <w:t>Budget Standard</w:t>
            </w:r>
          </w:p>
          <w:p w14:paraId="1A8D1375" w14:textId="77777777" w:rsidR="005734DE" w:rsidRDefault="005734DE" w:rsidP="005734DE">
            <w:pPr>
              <w:pStyle w:val="TableText"/>
              <w:jc w:val="right"/>
              <w:rPr>
                <w:b/>
                <w:bCs/>
                <w:sz w:val="16"/>
                <w:szCs w:val="16"/>
              </w:rPr>
            </w:pPr>
            <w:r>
              <w:rPr>
                <w:b/>
                <w:bCs/>
                <w:sz w:val="16"/>
                <w:szCs w:val="16"/>
              </w:rPr>
              <w:t>2023/24</w:t>
            </w:r>
          </w:p>
        </w:tc>
        <w:tc>
          <w:tcPr>
            <w:tcW w:w="1240"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31303C88" w14:textId="77777777" w:rsidR="005734DE" w:rsidRDefault="005734DE" w:rsidP="005734DE">
            <w:pPr>
              <w:pStyle w:val="TableText"/>
              <w:jc w:val="right"/>
              <w:rPr>
                <w:b/>
                <w:bCs/>
                <w:sz w:val="16"/>
                <w:szCs w:val="16"/>
              </w:rPr>
            </w:pPr>
            <w:r>
              <w:rPr>
                <w:b/>
                <w:bCs/>
                <w:sz w:val="16"/>
                <w:szCs w:val="16"/>
              </w:rPr>
              <w:t>Actual</w:t>
            </w:r>
          </w:p>
          <w:p w14:paraId="228EFCC2" w14:textId="77777777" w:rsidR="005734DE" w:rsidRDefault="005734DE" w:rsidP="005734DE">
            <w:pPr>
              <w:pStyle w:val="TableText"/>
              <w:jc w:val="right"/>
              <w:rPr>
                <w:b/>
                <w:bCs/>
                <w:sz w:val="16"/>
                <w:szCs w:val="16"/>
              </w:rPr>
            </w:pPr>
            <w:r>
              <w:rPr>
                <w:b/>
                <w:bCs/>
                <w:sz w:val="16"/>
                <w:szCs w:val="16"/>
              </w:rPr>
              <w:t>2023/24</w:t>
            </w:r>
          </w:p>
        </w:tc>
        <w:tc>
          <w:tcPr>
            <w:tcW w:w="1241"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62835FAA" w14:textId="77777777" w:rsidR="005734DE" w:rsidRDefault="005734DE" w:rsidP="005734DE">
            <w:pPr>
              <w:pStyle w:val="TableText"/>
              <w:jc w:val="right"/>
              <w:rPr>
                <w:b/>
                <w:bCs/>
                <w:sz w:val="16"/>
                <w:szCs w:val="16"/>
              </w:rPr>
            </w:pPr>
            <w:r>
              <w:rPr>
                <w:b/>
                <w:bCs/>
                <w:sz w:val="16"/>
                <w:szCs w:val="16"/>
              </w:rPr>
              <w:t xml:space="preserve">At a </w:t>
            </w:r>
            <w:r>
              <w:rPr>
                <w:b/>
                <w:bCs/>
                <w:sz w:val="16"/>
                <w:szCs w:val="16"/>
              </w:rPr>
              <w:br/>
              <w:t>glance</w:t>
            </w:r>
          </w:p>
        </w:tc>
      </w:tr>
      <w:tr w:rsidR="005734DE" w14:paraId="240373F5" w14:textId="77777777" w:rsidTr="005734DE">
        <w:tc>
          <w:tcPr>
            <w:tcW w:w="3261" w:type="dxa"/>
            <w:tcBorders>
              <w:top w:val="single" w:sz="4" w:space="0" w:color="A6A6A6" w:themeColor="background1" w:themeShade="A6"/>
              <w:left w:val="nil"/>
              <w:bottom w:val="single" w:sz="4" w:space="0" w:color="A6A6A6" w:themeColor="background1" w:themeShade="A6"/>
              <w:right w:val="nil"/>
            </w:tcBorders>
          </w:tcPr>
          <w:p w14:paraId="5FD2BB71" w14:textId="4A2318A0" w:rsidR="005734DE" w:rsidRPr="00BF5468" w:rsidRDefault="005734DE" w:rsidP="005734DE">
            <w:pPr>
              <w:pStyle w:val="TableText"/>
              <w:rPr>
                <w:sz w:val="16"/>
                <w:szCs w:val="16"/>
              </w:rPr>
            </w:pPr>
            <w:r w:rsidRPr="005734DE">
              <w:rPr>
                <w:sz w:val="16"/>
                <w:szCs w:val="16"/>
              </w:rPr>
              <w:t>Expenditure is in accordance with Ministry of Health’s capital asset management plan</w:t>
            </w:r>
          </w:p>
        </w:tc>
        <w:tc>
          <w:tcPr>
            <w:tcW w:w="1134" w:type="dxa"/>
            <w:tcBorders>
              <w:top w:val="single" w:sz="4" w:space="0" w:color="A6A6A6" w:themeColor="background1" w:themeShade="A6"/>
              <w:left w:val="nil"/>
              <w:bottom w:val="single" w:sz="4" w:space="0" w:color="A6A6A6" w:themeColor="background1" w:themeShade="A6"/>
              <w:right w:val="nil"/>
            </w:tcBorders>
          </w:tcPr>
          <w:p w14:paraId="326DCA79" w14:textId="77777777" w:rsidR="005734DE" w:rsidRPr="005734DE" w:rsidRDefault="005734DE" w:rsidP="005734DE">
            <w:pPr>
              <w:pStyle w:val="TableText"/>
              <w:jc w:val="right"/>
              <w:rPr>
                <w:sz w:val="16"/>
                <w:szCs w:val="18"/>
              </w:rPr>
            </w:pPr>
            <w:r w:rsidRPr="005734DE">
              <w:rPr>
                <w:sz w:val="16"/>
                <w:szCs w:val="18"/>
              </w:rPr>
              <w:t>Achieved</w:t>
            </w:r>
          </w:p>
        </w:tc>
        <w:tc>
          <w:tcPr>
            <w:tcW w:w="1240" w:type="dxa"/>
            <w:tcBorders>
              <w:top w:val="single" w:sz="4" w:space="0" w:color="A6A6A6" w:themeColor="background1" w:themeShade="A6"/>
              <w:left w:val="nil"/>
              <w:bottom w:val="single" w:sz="4" w:space="0" w:color="A6A6A6" w:themeColor="background1" w:themeShade="A6"/>
              <w:right w:val="nil"/>
            </w:tcBorders>
          </w:tcPr>
          <w:p w14:paraId="38FD576E" w14:textId="77777777" w:rsidR="005734DE" w:rsidRPr="005734DE" w:rsidRDefault="005734DE" w:rsidP="005734DE">
            <w:pPr>
              <w:pStyle w:val="TableText"/>
              <w:jc w:val="right"/>
              <w:rPr>
                <w:sz w:val="16"/>
                <w:szCs w:val="18"/>
              </w:rPr>
            </w:pPr>
            <w:r w:rsidRPr="005734DE">
              <w:rPr>
                <w:sz w:val="16"/>
                <w:szCs w:val="18"/>
              </w:rPr>
              <w:t>Achieved</w:t>
            </w:r>
          </w:p>
        </w:tc>
        <w:tc>
          <w:tcPr>
            <w:tcW w:w="1240" w:type="dxa"/>
            <w:tcBorders>
              <w:top w:val="single" w:sz="4" w:space="0" w:color="A6A6A6" w:themeColor="background1" w:themeShade="A6"/>
              <w:left w:val="nil"/>
              <w:bottom w:val="single" w:sz="4" w:space="0" w:color="A6A6A6" w:themeColor="background1" w:themeShade="A6"/>
              <w:right w:val="nil"/>
            </w:tcBorders>
          </w:tcPr>
          <w:p w14:paraId="6A0FD7C6" w14:textId="77777777" w:rsidR="005734DE" w:rsidRPr="005734DE" w:rsidRDefault="005734DE" w:rsidP="005734DE">
            <w:pPr>
              <w:pStyle w:val="TableText"/>
              <w:jc w:val="right"/>
              <w:rPr>
                <w:sz w:val="16"/>
                <w:szCs w:val="18"/>
              </w:rPr>
            </w:pPr>
            <w:r w:rsidRPr="005734DE">
              <w:rPr>
                <w:sz w:val="16"/>
                <w:szCs w:val="18"/>
              </w:rPr>
              <w:t>Achieved</w:t>
            </w:r>
          </w:p>
        </w:tc>
        <w:tc>
          <w:tcPr>
            <w:tcW w:w="1241" w:type="dxa"/>
            <w:tcBorders>
              <w:top w:val="single" w:sz="4" w:space="0" w:color="A6A6A6" w:themeColor="background1" w:themeShade="A6"/>
              <w:left w:val="nil"/>
              <w:bottom w:val="single" w:sz="4" w:space="0" w:color="A6A6A6" w:themeColor="background1" w:themeShade="A6"/>
              <w:right w:val="nil"/>
            </w:tcBorders>
          </w:tcPr>
          <w:p w14:paraId="7CD5A556" w14:textId="77777777" w:rsidR="005734DE" w:rsidRPr="00BF5468" w:rsidRDefault="005734DE" w:rsidP="005734DE">
            <w:pPr>
              <w:pStyle w:val="TableText"/>
              <w:ind w:right="57"/>
              <w:jc w:val="right"/>
              <w:rPr>
                <w:rFonts w:ascii="Wingdings" w:hAnsi="Wingdings"/>
                <w:spacing w:val="-10"/>
                <w:sz w:val="16"/>
                <w:szCs w:val="16"/>
              </w:rPr>
            </w:pPr>
            <w:r w:rsidRPr="00BF5468">
              <w:rPr>
                <w:rFonts w:ascii="Wingdings" w:hAnsi="Wingdings"/>
                <w:spacing w:val="-10"/>
                <w:sz w:val="16"/>
                <w:szCs w:val="16"/>
              </w:rPr>
              <w:t>ü</w:t>
            </w:r>
          </w:p>
          <w:p w14:paraId="2B34CF5A" w14:textId="77777777" w:rsidR="005734DE" w:rsidRPr="00BF5468" w:rsidRDefault="005734DE" w:rsidP="005734DE">
            <w:pPr>
              <w:pStyle w:val="TableText"/>
              <w:ind w:right="57"/>
              <w:jc w:val="right"/>
              <w:rPr>
                <w:sz w:val="16"/>
                <w:szCs w:val="16"/>
              </w:rPr>
            </w:pPr>
          </w:p>
        </w:tc>
      </w:tr>
    </w:tbl>
    <w:p w14:paraId="338443B0" w14:textId="77777777" w:rsidR="005734DE" w:rsidRPr="005734DE" w:rsidRDefault="005734DE" w:rsidP="005734DE"/>
    <w:tbl>
      <w:tblPr>
        <w:tblStyle w:val="TableGrid"/>
        <w:tblW w:w="8119"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977"/>
        <w:gridCol w:w="1285"/>
        <w:gridCol w:w="1286"/>
        <w:gridCol w:w="1285"/>
        <w:gridCol w:w="1286"/>
      </w:tblGrid>
      <w:tr w:rsidR="005734DE" w14:paraId="5FC2B8E1" w14:textId="77777777" w:rsidTr="005734DE">
        <w:tc>
          <w:tcPr>
            <w:tcW w:w="8119" w:type="dxa"/>
            <w:gridSpan w:val="5"/>
            <w:tcBorders>
              <w:top w:val="nil"/>
              <w:left w:val="nil"/>
              <w:bottom w:val="nil"/>
              <w:right w:val="nil"/>
            </w:tcBorders>
            <w:shd w:val="clear" w:color="auto" w:fill="D9D9D9" w:themeFill="background1" w:themeFillShade="D9"/>
            <w:hideMark/>
          </w:tcPr>
          <w:p w14:paraId="74258DED" w14:textId="77777777" w:rsidR="005734DE" w:rsidRDefault="005734DE" w:rsidP="005734DE">
            <w:pPr>
              <w:pStyle w:val="TableText"/>
              <w:rPr>
                <w:b/>
                <w:bCs/>
              </w:rPr>
            </w:pPr>
            <w:r w:rsidRPr="00A2059F">
              <w:rPr>
                <w:b/>
                <w:bCs/>
              </w:rPr>
              <w:t>Financial performance</w:t>
            </w:r>
          </w:p>
        </w:tc>
      </w:tr>
      <w:tr w:rsidR="005734DE" w14:paraId="0C430783" w14:textId="77777777" w:rsidTr="005734DE">
        <w:tc>
          <w:tcPr>
            <w:tcW w:w="2977"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4C3B6C46" w14:textId="3AEAF5E9" w:rsidR="005734DE" w:rsidRPr="00BF5468" w:rsidRDefault="005734DE" w:rsidP="005734DE">
            <w:pPr>
              <w:pStyle w:val="TableText"/>
              <w:rPr>
                <w:b/>
                <w:bCs/>
                <w:sz w:val="16"/>
                <w:szCs w:val="16"/>
              </w:rPr>
            </w:pPr>
            <w:r w:rsidRPr="005734DE">
              <w:rPr>
                <w:b/>
                <w:bCs/>
                <w:sz w:val="16"/>
                <w:szCs w:val="16"/>
              </w:rPr>
              <w:t>Ministry of Health — Capital Expenditure PLA</w:t>
            </w:r>
          </w:p>
        </w:tc>
        <w:tc>
          <w:tcPr>
            <w:tcW w:w="1285"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1EB59FC9" w14:textId="77777777" w:rsidR="005734DE" w:rsidRDefault="005734DE" w:rsidP="005734DE">
            <w:pPr>
              <w:pStyle w:val="TableText"/>
              <w:jc w:val="right"/>
              <w:rPr>
                <w:b/>
                <w:bCs/>
                <w:sz w:val="16"/>
                <w:szCs w:val="16"/>
              </w:rPr>
            </w:pPr>
            <w:r>
              <w:rPr>
                <w:b/>
                <w:bCs/>
                <w:sz w:val="16"/>
                <w:szCs w:val="16"/>
              </w:rPr>
              <w:t>Actual</w:t>
            </w:r>
          </w:p>
          <w:p w14:paraId="38BF9A24" w14:textId="77777777" w:rsidR="005734DE" w:rsidRDefault="005734DE" w:rsidP="005734DE">
            <w:pPr>
              <w:pStyle w:val="TableText"/>
              <w:jc w:val="right"/>
              <w:rPr>
                <w:b/>
                <w:bCs/>
                <w:sz w:val="16"/>
                <w:szCs w:val="16"/>
              </w:rPr>
            </w:pPr>
            <w:r>
              <w:rPr>
                <w:b/>
                <w:bCs/>
                <w:sz w:val="16"/>
                <w:szCs w:val="16"/>
              </w:rPr>
              <w:t>2022/23</w:t>
            </w:r>
          </w:p>
          <w:p w14:paraId="298932CB" w14:textId="77777777" w:rsidR="005734DE" w:rsidRDefault="005734DE" w:rsidP="005734DE">
            <w:pPr>
              <w:pStyle w:val="TableText"/>
              <w:jc w:val="right"/>
              <w:rPr>
                <w:b/>
                <w:bCs/>
                <w:sz w:val="16"/>
                <w:szCs w:val="16"/>
              </w:rPr>
            </w:pPr>
            <w:r w:rsidRPr="00A2059F">
              <w:rPr>
                <w:b/>
                <w:bCs/>
                <w:sz w:val="16"/>
                <w:szCs w:val="16"/>
              </w:rPr>
              <w:t>$000</w:t>
            </w:r>
          </w:p>
        </w:tc>
        <w:tc>
          <w:tcPr>
            <w:tcW w:w="1286"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0F6E55D0" w14:textId="77777777" w:rsidR="005734DE" w:rsidRPr="00A2059F" w:rsidRDefault="005734DE" w:rsidP="005734DE">
            <w:pPr>
              <w:pStyle w:val="TableText"/>
              <w:jc w:val="right"/>
              <w:rPr>
                <w:b/>
                <w:bCs/>
                <w:sz w:val="16"/>
                <w:szCs w:val="16"/>
              </w:rPr>
            </w:pPr>
            <w:r w:rsidRPr="00A2059F">
              <w:rPr>
                <w:b/>
                <w:bCs/>
                <w:sz w:val="16"/>
                <w:szCs w:val="16"/>
              </w:rPr>
              <w:t>Main estimates</w:t>
            </w:r>
          </w:p>
          <w:p w14:paraId="16DECBA8" w14:textId="77777777" w:rsidR="005734DE" w:rsidRPr="00A2059F" w:rsidRDefault="005734DE" w:rsidP="005734DE">
            <w:pPr>
              <w:pStyle w:val="TableText"/>
              <w:jc w:val="right"/>
              <w:rPr>
                <w:b/>
                <w:bCs/>
                <w:sz w:val="16"/>
                <w:szCs w:val="16"/>
              </w:rPr>
            </w:pPr>
            <w:r w:rsidRPr="00A2059F">
              <w:rPr>
                <w:b/>
                <w:bCs/>
                <w:sz w:val="16"/>
                <w:szCs w:val="16"/>
              </w:rPr>
              <w:t>2023/24</w:t>
            </w:r>
          </w:p>
          <w:p w14:paraId="7C379D41" w14:textId="77777777" w:rsidR="005734DE" w:rsidRDefault="005734DE" w:rsidP="005734DE">
            <w:pPr>
              <w:pStyle w:val="TableText"/>
              <w:jc w:val="right"/>
              <w:rPr>
                <w:b/>
                <w:bCs/>
                <w:sz w:val="16"/>
                <w:szCs w:val="16"/>
              </w:rPr>
            </w:pPr>
            <w:r w:rsidRPr="00A2059F">
              <w:rPr>
                <w:b/>
                <w:bCs/>
                <w:sz w:val="16"/>
                <w:szCs w:val="16"/>
              </w:rPr>
              <w:t>$000</w:t>
            </w:r>
          </w:p>
        </w:tc>
        <w:tc>
          <w:tcPr>
            <w:tcW w:w="1285"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7C98D3C6" w14:textId="77777777" w:rsidR="005734DE" w:rsidRPr="00A2059F" w:rsidRDefault="005734DE" w:rsidP="005734DE">
            <w:pPr>
              <w:pStyle w:val="TableText"/>
              <w:jc w:val="right"/>
              <w:rPr>
                <w:b/>
                <w:bCs/>
                <w:sz w:val="16"/>
                <w:szCs w:val="16"/>
              </w:rPr>
            </w:pPr>
            <w:r w:rsidRPr="00A2059F">
              <w:rPr>
                <w:b/>
                <w:bCs/>
                <w:sz w:val="16"/>
                <w:szCs w:val="16"/>
              </w:rPr>
              <w:t xml:space="preserve">Voted </w:t>
            </w:r>
            <w:proofErr w:type="gramStart"/>
            <w:r w:rsidRPr="00A2059F">
              <w:rPr>
                <w:b/>
                <w:bCs/>
                <w:sz w:val="16"/>
                <w:szCs w:val="16"/>
              </w:rPr>
              <w:t>appropriation</w:t>
            </w:r>
            <w:proofErr w:type="gramEnd"/>
          </w:p>
          <w:p w14:paraId="0E015B3A" w14:textId="77777777" w:rsidR="005734DE" w:rsidRPr="00A2059F" w:rsidRDefault="005734DE" w:rsidP="005734DE">
            <w:pPr>
              <w:pStyle w:val="TableText"/>
              <w:jc w:val="right"/>
              <w:rPr>
                <w:b/>
                <w:bCs/>
                <w:sz w:val="16"/>
                <w:szCs w:val="16"/>
              </w:rPr>
            </w:pPr>
            <w:r w:rsidRPr="00A2059F">
              <w:rPr>
                <w:b/>
                <w:bCs/>
                <w:sz w:val="16"/>
                <w:szCs w:val="16"/>
              </w:rPr>
              <w:t>2023/24</w:t>
            </w:r>
          </w:p>
          <w:p w14:paraId="65158321" w14:textId="77777777" w:rsidR="005734DE" w:rsidRDefault="005734DE" w:rsidP="005734DE">
            <w:pPr>
              <w:pStyle w:val="TableText"/>
              <w:jc w:val="right"/>
              <w:rPr>
                <w:b/>
                <w:bCs/>
                <w:sz w:val="16"/>
                <w:szCs w:val="16"/>
              </w:rPr>
            </w:pPr>
            <w:r w:rsidRPr="00A2059F">
              <w:rPr>
                <w:b/>
                <w:bCs/>
                <w:sz w:val="16"/>
                <w:szCs w:val="16"/>
              </w:rPr>
              <w:t>$000</w:t>
            </w:r>
          </w:p>
        </w:tc>
        <w:tc>
          <w:tcPr>
            <w:tcW w:w="1286"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055478A3" w14:textId="77777777" w:rsidR="005734DE" w:rsidRPr="00A2059F" w:rsidRDefault="005734DE" w:rsidP="005734DE">
            <w:pPr>
              <w:pStyle w:val="TableText"/>
              <w:jc w:val="right"/>
              <w:rPr>
                <w:b/>
                <w:bCs/>
                <w:sz w:val="16"/>
                <w:szCs w:val="16"/>
              </w:rPr>
            </w:pPr>
            <w:r w:rsidRPr="00A2059F">
              <w:rPr>
                <w:b/>
                <w:bCs/>
                <w:sz w:val="16"/>
                <w:szCs w:val="16"/>
              </w:rPr>
              <w:t>Actual 2023/24</w:t>
            </w:r>
          </w:p>
          <w:p w14:paraId="14A4AB0E" w14:textId="77777777" w:rsidR="005734DE" w:rsidRDefault="005734DE" w:rsidP="005734DE">
            <w:pPr>
              <w:pStyle w:val="TableText"/>
              <w:jc w:val="right"/>
              <w:rPr>
                <w:b/>
                <w:bCs/>
                <w:sz w:val="16"/>
                <w:szCs w:val="16"/>
              </w:rPr>
            </w:pPr>
            <w:r w:rsidRPr="00A2059F">
              <w:rPr>
                <w:b/>
                <w:bCs/>
                <w:sz w:val="16"/>
                <w:szCs w:val="16"/>
              </w:rPr>
              <w:t>$000</w:t>
            </w:r>
          </w:p>
        </w:tc>
      </w:tr>
      <w:tr w:rsidR="005734DE" w14:paraId="4FF8DBA2" w14:textId="77777777" w:rsidTr="005734DE">
        <w:tc>
          <w:tcPr>
            <w:tcW w:w="2977" w:type="dxa"/>
            <w:tcBorders>
              <w:top w:val="single" w:sz="4" w:space="0" w:color="A6A6A6" w:themeColor="background1" w:themeShade="A6"/>
              <w:left w:val="nil"/>
              <w:bottom w:val="single" w:sz="4" w:space="0" w:color="A6A6A6" w:themeColor="background1" w:themeShade="A6"/>
              <w:right w:val="nil"/>
            </w:tcBorders>
          </w:tcPr>
          <w:p w14:paraId="5A5A63BD" w14:textId="322D36C4" w:rsidR="005734DE" w:rsidRPr="005734DE" w:rsidRDefault="005734DE" w:rsidP="005734DE">
            <w:pPr>
              <w:pStyle w:val="TableText"/>
              <w:rPr>
                <w:sz w:val="16"/>
                <w:szCs w:val="18"/>
              </w:rPr>
            </w:pPr>
            <w:r w:rsidRPr="005734DE">
              <w:rPr>
                <w:sz w:val="16"/>
                <w:szCs w:val="18"/>
              </w:rPr>
              <w:t>Total appropriation</w:t>
            </w:r>
          </w:p>
        </w:tc>
        <w:tc>
          <w:tcPr>
            <w:tcW w:w="1285" w:type="dxa"/>
            <w:tcBorders>
              <w:top w:val="single" w:sz="4" w:space="0" w:color="A6A6A6" w:themeColor="background1" w:themeShade="A6"/>
              <w:left w:val="nil"/>
              <w:bottom w:val="single" w:sz="4" w:space="0" w:color="A6A6A6" w:themeColor="background1" w:themeShade="A6"/>
              <w:right w:val="nil"/>
            </w:tcBorders>
          </w:tcPr>
          <w:p w14:paraId="58B13A20" w14:textId="5DDB8EBA" w:rsidR="005734DE" w:rsidRPr="005734DE" w:rsidRDefault="005734DE" w:rsidP="005734DE">
            <w:pPr>
              <w:pStyle w:val="TableText"/>
              <w:jc w:val="right"/>
              <w:rPr>
                <w:sz w:val="16"/>
                <w:szCs w:val="18"/>
              </w:rPr>
            </w:pPr>
            <w:r w:rsidRPr="005734DE">
              <w:rPr>
                <w:sz w:val="16"/>
                <w:szCs w:val="18"/>
              </w:rPr>
              <w:t>1,320</w:t>
            </w:r>
          </w:p>
        </w:tc>
        <w:tc>
          <w:tcPr>
            <w:tcW w:w="1286" w:type="dxa"/>
            <w:tcBorders>
              <w:top w:val="single" w:sz="4" w:space="0" w:color="A6A6A6" w:themeColor="background1" w:themeShade="A6"/>
              <w:left w:val="nil"/>
              <w:bottom w:val="single" w:sz="4" w:space="0" w:color="A6A6A6" w:themeColor="background1" w:themeShade="A6"/>
              <w:right w:val="nil"/>
            </w:tcBorders>
          </w:tcPr>
          <w:p w14:paraId="220FD01E" w14:textId="4239C26D" w:rsidR="005734DE" w:rsidRPr="005734DE" w:rsidRDefault="005734DE" w:rsidP="005734DE">
            <w:pPr>
              <w:pStyle w:val="TableText"/>
              <w:jc w:val="right"/>
              <w:rPr>
                <w:sz w:val="16"/>
                <w:szCs w:val="18"/>
              </w:rPr>
            </w:pPr>
            <w:r w:rsidRPr="005734DE">
              <w:rPr>
                <w:sz w:val="16"/>
                <w:szCs w:val="18"/>
              </w:rPr>
              <w:t>1,600</w:t>
            </w:r>
          </w:p>
        </w:tc>
        <w:tc>
          <w:tcPr>
            <w:tcW w:w="1285" w:type="dxa"/>
            <w:tcBorders>
              <w:top w:val="single" w:sz="4" w:space="0" w:color="A6A6A6" w:themeColor="background1" w:themeShade="A6"/>
              <w:left w:val="nil"/>
              <w:bottom w:val="single" w:sz="4" w:space="0" w:color="A6A6A6" w:themeColor="background1" w:themeShade="A6"/>
              <w:right w:val="nil"/>
            </w:tcBorders>
          </w:tcPr>
          <w:p w14:paraId="53AFD75A" w14:textId="29CC704D" w:rsidR="005734DE" w:rsidRPr="005734DE" w:rsidRDefault="005734DE" w:rsidP="005734DE">
            <w:pPr>
              <w:pStyle w:val="TableText"/>
              <w:jc w:val="right"/>
              <w:rPr>
                <w:sz w:val="16"/>
                <w:szCs w:val="18"/>
              </w:rPr>
            </w:pPr>
            <w:r w:rsidRPr="005734DE">
              <w:rPr>
                <w:sz w:val="16"/>
                <w:szCs w:val="18"/>
              </w:rPr>
              <w:t>2,000</w:t>
            </w:r>
          </w:p>
        </w:tc>
        <w:tc>
          <w:tcPr>
            <w:tcW w:w="1286" w:type="dxa"/>
            <w:tcBorders>
              <w:top w:val="single" w:sz="4" w:space="0" w:color="A6A6A6" w:themeColor="background1" w:themeShade="A6"/>
              <w:left w:val="nil"/>
              <w:bottom w:val="single" w:sz="4" w:space="0" w:color="A6A6A6" w:themeColor="background1" w:themeShade="A6"/>
              <w:right w:val="nil"/>
            </w:tcBorders>
          </w:tcPr>
          <w:p w14:paraId="1BE58A57" w14:textId="62470039" w:rsidR="005734DE" w:rsidRPr="005734DE" w:rsidRDefault="005734DE" w:rsidP="005734DE">
            <w:pPr>
              <w:pStyle w:val="TableText"/>
              <w:jc w:val="right"/>
              <w:rPr>
                <w:sz w:val="16"/>
                <w:szCs w:val="18"/>
              </w:rPr>
            </w:pPr>
            <w:r w:rsidRPr="005734DE">
              <w:rPr>
                <w:sz w:val="16"/>
                <w:szCs w:val="18"/>
              </w:rPr>
              <w:t>2,082</w:t>
            </w:r>
          </w:p>
        </w:tc>
      </w:tr>
    </w:tbl>
    <w:p w14:paraId="68D6E0D0" w14:textId="77777777" w:rsidR="005734DE" w:rsidRDefault="005734DE" w:rsidP="005734DE"/>
    <w:p w14:paraId="1C6B92DA" w14:textId="23A59496" w:rsidR="005734DE" w:rsidRDefault="005734DE" w:rsidP="005734DE">
      <w:r w:rsidRPr="005734DE">
        <w:t>The capital expenditure permanent legislative authority has decreased mainly due to the transfer of assets to Health New Zealand.</w:t>
      </w:r>
    </w:p>
    <w:p w14:paraId="6278E1C3" w14:textId="77777777" w:rsidR="005734DE" w:rsidRDefault="005734DE" w:rsidP="005734DE"/>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134"/>
        <w:gridCol w:w="5103"/>
        <w:gridCol w:w="1843"/>
      </w:tblGrid>
      <w:tr w:rsidR="008B1451" w14:paraId="21071E3A" w14:textId="77777777" w:rsidTr="008B1451">
        <w:tc>
          <w:tcPr>
            <w:tcW w:w="8080" w:type="dxa"/>
            <w:gridSpan w:val="3"/>
            <w:tcBorders>
              <w:top w:val="nil"/>
              <w:left w:val="nil"/>
              <w:bottom w:val="nil"/>
              <w:right w:val="nil"/>
            </w:tcBorders>
            <w:shd w:val="clear" w:color="auto" w:fill="D9D9D9" w:themeFill="background1" w:themeFillShade="D9"/>
            <w:hideMark/>
          </w:tcPr>
          <w:p w14:paraId="443ADB98" w14:textId="6B612405" w:rsidR="008B1451" w:rsidRDefault="008B1451">
            <w:pPr>
              <w:pStyle w:val="TableText"/>
              <w:rPr>
                <w:b/>
                <w:bCs/>
              </w:rPr>
            </w:pPr>
            <w:r w:rsidRPr="008B1451">
              <w:rPr>
                <w:b/>
                <w:bCs/>
              </w:rPr>
              <w:t>Reconciliation between total appropriations for departmental expenses and the departmental statement of comprehensive revenue and expense for the year ended 30 June 2024</w:t>
            </w:r>
          </w:p>
        </w:tc>
      </w:tr>
      <w:tr w:rsidR="008B1451" w14:paraId="23F601FA" w14:textId="77777777" w:rsidTr="008B1451">
        <w:tc>
          <w:tcPr>
            <w:tcW w:w="1134"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291F5FE7" w14:textId="77777777" w:rsidR="008B1451" w:rsidRDefault="008B1451">
            <w:pPr>
              <w:pStyle w:val="TableText"/>
              <w:jc w:val="right"/>
              <w:rPr>
                <w:b/>
                <w:bCs/>
                <w:sz w:val="16"/>
                <w:szCs w:val="16"/>
              </w:rPr>
            </w:pPr>
            <w:r>
              <w:rPr>
                <w:b/>
                <w:bCs/>
                <w:sz w:val="16"/>
                <w:szCs w:val="16"/>
              </w:rPr>
              <w:t>Actual</w:t>
            </w:r>
          </w:p>
          <w:p w14:paraId="33AEE9AD" w14:textId="5B5D2176" w:rsidR="008B1451" w:rsidRDefault="008B1451">
            <w:pPr>
              <w:pStyle w:val="TableText"/>
              <w:jc w:val="right"/>
              <w:rPr>
                <w:b/>
                <w:bCs/>
                <w:sz w:val="16"/>
                <w:szCs w:val="16"/>
              </w:rPr>
            </w:pPr>
            <w:r>
              <w:rPr>
                <w:b/>
                <w:bCs/>
                <w:sz w:val="16"/>
                <w:szCs w:val="16"/>
              </w:rPr>
              <w:t>2023</w:t>
            </w:r>
          </w:p>
          <w:p w14:paraId="584753A2" w14:textId="77777777" w:rsidR="008B1451" w:rsidRDefault="008B1451">
            <w:pPr>
              <w:pStyle w:val="TableText"/>
              <w:jc w:val="right"/>
              <w:rPr>
                <w:b/>
                <w:bCs/>
                <w:sz w:val="16"/>
                <w:szCs w:val="16"/>
              </w:rPr>
            </w:pPr>
            <w:r>
              <w:rPr>
                <w:b/>
                <w:bCs/>
                <w:sz w:val="16"/>
                <w:szCs w:val="16"/>
              </w:rPr>
              <w:t>$000</w:t>
            </w:r>
          </w:p>
        </w:tc>
        <w:tc>
          <w:tcPr>
            <w:tcW w:w="5103" w:type="dxa"/>
            <w:tcBorders>
              <w:top w:val="nil"/>
              <w:left w:val="nil"/>
              <w:bottom w:val="single" w:sz="4" w:space="0" w:color="A6A6A6" w:themeColor="background1" w:themeShade="A6"/>
              <w:right w:val="nil"/>
            </w:tcBorders>
            <w:shd w:val="clear" w:color="auto" w:fill="F2F2F2" w:themeFill="background1" w:themeFillShade="F2"/>
            <w:vAlign w:val="bottom"/>
          </w:tcPr>
          <w:p w14:paraId="43605A20" w14:textId="77777777" w:rsidR="008B1451" w:rsidRDefault="008B1451">
            <w:pPr>
              <w:pStyle w:val="TableText"/>
              <w:jc w:val="right"/>
              <w:rPr>
                <w:b/>
                <w:bCs/>
                <w:sz w:val="16"/>
                <w:szCs w:val="16"/>
              </w:rPr>
            </w:pPr>
          </w:p>
        </w:tc>
        <w:tc>
          <w:tcPr>
            <w:tcW w:w="1843"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626E4328" w14:textId="77777777" w:rsidR="008B1451" w:rsidRDefault="008B1451">
            <w:pPr>
              <w:pStyle w:val="TableText"/>
              <w:jc w:val="right"/>
              <w:rPr>
                <w:b/>
                <w:bCs/>
                <w:sz w:val="16"/>
                <w:szCs w:val="16"/>
              </w:rPr>
            </w:pPr>
            <w:r>
              <w:rPr>
                <w:b/>
                <w:bCs/>
                <w:sz w:val="16"/>
                <w:szCs w:val="16"/>
              </w:rPr>
              <w:t>Actual</w:t>
            </w:r>
          </w:p>
          <w:p w14:paraId="3B1344F3" w14:textId="1A38DEF0" w:rsidR="008B1451" w:rsidRDefault="008B1451">
            <w:pPr>
              <w:pStyle w:val="TableText"/>
              <w:jc w:val="right"/>
              <w:rPr>
                <w:b/>
                <w:bCs/>
                <w:sz w:val="16"/>
                <w:szCs w:val="16"/>
              </w:rPr>
            </w:pPr>
            <w:r>
              <w:rPr>
                <w:b/>
                <w:bCs/>
                <w:sz w:val="16"/>
                <w:szCs w:val="16"/>
              </w:rPr>
              <w:t>2024</w:t>
            </w:r>
          </w:p>
          <w:p w14:paraId="6D48FBEF" w14:textId="77777777" w:rsidR="008B1451" w:rsidRDefault="008B1451">
            <w:pPr>
              <w:pStyle w:val="TableText"/>
              <w:jc w:val="right"/>
              <w:rPr>
                <w:b/>
                <w:bCs/>
                <w:sz w:val="16"/>
                <w:szCs w:val="16"/>
              </w:rPr>
            </w:pPr>
            <w:r>
              <w:rPr>
                <w:b/>
                <w:bCs/>
                <w:sz w:val="16"/>
                <w:szCs w:val="16"/>
              </w:rPr>
              <w:t>$000</w:t>
            </w:r>
          </w:p>
        </w:tc>
      </w:tr>
      <w:tr w:rsidR="008B1451" w14:paraId="522F5535" w14:textId="77777777" w:rsidTr="008B1451">
        <w:tc>
          <w:tcPr>
            <w:tcW w:w="1134" w:type="dxa"/>
            <w:tcBorders>
              <w:top w:val="single" w:sz="4" w:space="0" w:color="A6A6A6" w:themeColor="background1" w:themeShade="A6"/>
              <w:left w:val="nil"/>
              <w:bottom w:val="nil"/>
              <w:right w:val="nil"/>
            </w:tcBorders>
            <w:hideMark/>
          </w:tcPr>
          <w:p w14:paraId="2FB69AEE" w14:textId="5769282B" w:rsidR="008B1451" w:rsidRDefault="008B1451" w:rsidP="008B1451">
            <w:pPr>
              <w:pStyle w:val="TableText"/>
              <w:jc w:val="right"/>
              <w:rPr>
                <w:sz w:val="16"/>
                <w:szCs w:val="16"/>
              </w:rPr>
            </w:pPr>
            <w:r w:rsidRPr="008B1451">
              <w:rPr>
                <w:sz w:val="16"/>
                <w:szCs w:val="16"/>
              </w:rPr>
              <w:t>269,392</w:t>
            </w:r>
          </w:p>
        </w:tc>
        <w:tc>
          <w:tcPr>
            <w:tcW w:w="5103" w:type="dxa"/>
            <w:tcBorders>
              <w:top w:val="single" w:sz="4" w:space="0" w:color="A6A6A6" w:themeColor="background1" w:themeShade="A6"/>
              <w:left w:val="nil"/>
              <w:bottom w:val="nil"/>
              <w:right w:val="nil"/>
            </w:tcBorders>
            <w:hideMark/>
          </w:tcPr>
          <w:p w14:paraId="0B625E67" w14:textId="50A02A99" w:rsidR="008B1451" w:rsidRDefault="008B1451" w:rsidP="008B1451">
            <w:pPr>
              <w:pStyle w:val="TableText"/>
              <w:rPr>
                <w:sz w:val="16"/>
                <w:szCs w:val="16"/>
              </w:rPr>
            </w:pPr>
            <w:r w:rsidRPr="008B1451">
              <w:rPr>
                <w:sz w:val="16"/>
                <w:szCs w:val="16"/>
              </w:rPr>
              <w:t>Total expenses in departmental statement of comprehensive revenue and expense</w:t>
            </w:r>
          </w:p>
        </w:tc>
        <w:tc>
          <w:tcPr>
            <w:tcW w:w="1843" w:type="dxa"/>
            <w:tcBorders>
              <w:top w:val="single" w:sz="4" w:space="0" w:color="A6A6A6" w:themeColor="background1" w:themeShade="A6"/>
              <w:left w:val="nil"/>
              <w:bottom w:val="nil"/>
              <w:right w:val="nil"/>
            </w:tcBorders>
            <w:hideMark/>
          </w:tcPr>
          <w:p w14:paraId="57CC42E6" w14:textId="6229BB5F" w:rsidR="008B1451" w:rsidRDefault="008B1451" w:rsidP="008B1451">
            <w:pPr>
              <w:pStyle w:val="TableText"/>
              <w:jc w:val="right"/>
              <w:rPr>
                <w:sz w:val="16"/>
                <w:szCs w:val="16"/>
              </w:rPr>
            </w:pPr>
            <w:r w:rsidRPr="008B1451">
              <w:rPr>
                <w:sz w:val="16"/>
                <w:szCs w:val="16"/>
              </w:rPr>
              <w:t>269,070</w:t>
            </w:r>
          </w:p>
        </w:tc>
      </w:tr>
      <w:tr w:rsidR="008B1451" w14:paraId="3BB4B492" w14:textId="77777777" w:rsidTr="008B1451">
        <w:tc>
          <w:tcPr>
            <w:tcW w:w="1134" w:type="dxa"/>
            <w:tcBorders>
              <w:top w:val="nil"/>
              <w:left w:val="nil"/>
              <w:bottom w:val="nil"/>
              <w:right w:val="nil"/>
            </w:tcBorders>
            <w:hideMark/>
          </w:tcPr>
          <w:p w14:paraId="7CE4C26B" w14:textId="6D5AA502" w:rsidR="008B1451" w:rsidRDefault="008B1451" w:rsidP="008B1451">
            <w:pPr>
              <w:pStyle w:val="TableText"/>
              <w:jc w:val="right"/>
              <w:rPr>
                <w:sz w:val="16"/>
                <w:szCs w:val="16"/>
              </w:rPr>
            </w:pPr>
            <w:r w:rsidRPr="008B1451">
              <w:rPr>
                <w:sz w:val="16"/>
                <w:szCs w:val="16"/>
              </w:rPr>
              <w:t>(210)</w:t>
            </w:r>
          </w:p>
        </w:tc>
        <w:tc>
          <w:tcPr>
            <w:tcW w:w="5103" w:type="dxa"/>
            <w:tcBorders>
              <w:top w:val="nil"/>
              <w:left w:val="nil"/>
              <w:bottom w:val="nil"/>
              <w:right w:val="nil"/>
            </w:tcBorders>
            <w:hideMark/>
          </w:tcPr>
          <w:p w14:paraId="6F037FD9" w14:textId="4883671A" w:rsidR="008B1451" w:rsidRDefault="008B1451" w:rsidP="008B1451">
            <w:pPr>
              <w:pStyle w:val="TableText"/>
              <w:rPr>
                <w:sz w:val="16"/>
                <w:szCs w:val="16"/>
              </w:rPr>
            </w:pPr>
            <w:r w:rsidRPr="008B1451">
              <w:rPr>
                <w:sz w:val="16"/>
                <w:szCs w:val="16"/>
              </w:rPr>
              <w:t>Expense incurred for appropriation administered by entities other than the Ministry</w:t>
            </w:r>
          </w:p>
        </w:tc>
        <w:tc>
          <w:tcPr>
            <w:tcW w:w="1843" w:type="dxa"/>
            <w:tcBorders>
              <w:top w:val="nil"/>
              <w:left w:val="nil"/>
              <w:bottom w:val="nil"/>
              <w:right w:val="nil"/>
            </w:tcBorders>
            <w:hideMark/>
          </w:tcPr>
          <w:p w14:paraId="744CA722" w14:textId="77777777" w:rsidR="008B1451" w:rsidRDefault="008B1451" w:rsidP="008B1451">
            <w:pPr>
              <w:pStyle w:val="TableText"/>
              <w:jc w:val="right"/>
              <w:rPr>
                <w:sz w:val="16"/>
                <w:szCs w:val="16"/>
              </w:rPr>
            </w:pPr>
            <w:r>
              <w:rPr>
                <w:w w:val="95"/>
                <w:sz w:val="16"/>
                <w:szCs w:val="16"/>
              </w:rPr>
              <w:t>-</w:t>
            </w:r>
          </w:p>
        </w:tc>
      </w:tr>
      <w:tr w:rsidR="008B1451" w14:paraId="5EDA1FFA" w14:textId="77777777" w:rsidTr="008B1451">
        <w:tc>
          <w:tcPr>
            <w:tcW w:w="1134" w:type="dxa"/>
            <w:tcBorders>
              <w:top w:val="single" w:sz="4" w:space="0" w:color="A6A6A6" w:themeColor="background1" w:themeShade="A6"/>
              <w:left w:val="nil"/>
              <w:bottom w:val="single" w:sz="4" w:space="0" w:color="A6A6A6" w:themeColor="background1" w:themeShade="A6"/>
              <w:right w:val="nil"/>
            </w:tcBorders>
            <w:hideMark/>
          </w:tcPr>
          <w:p w14:paraId="5291D98C" w14:textId="475012FD" w:rsidR="008B1451" w:rsidRDefault="008B1451" w:rsidP="008B1451">
            <w:pPr>
              <w:pStyle w:val="TableText"/>
              <w:jc w:val="right"/>
              <w:rPr>
                <w:b/>
                <w:bCs/>
                <w:sz w:val="16"/>
                <w:szCs w:val="16"/>
              </w:rPr>
            </w:pPr>
            <w:r w:rsidRPr="008B1451">
              <w:rPr>
                <w:b/>
                <w:bCs/>
                <w:sz w:val="16"/>
                <w:szCs w:val="16"/>
              </w:rPr>
              <w:t>269,182</w:t>
            </w:r>
          </w:p>
        </w:tc>
        <w:tc>
          <w:tcPr>
            <w:tcW w:w="5103" w:type="dxa"/>
            <w:tcBorders>
              <w:top w:val="single" w:sz="4" w:space="0" w:color="A6A6A6" w:themeColor="background1" w:themeShade="A6"/>
              <w:left w:val="nil"/>
              <w:bottom w:val="single" w:sz="4" w:space="0" w:color="A6A6A6" w:themeColor="background1" w:themeShade="A6"/>
              <w:right w:val="nil"/>
            </w:tcBorders>
            <w:hideMark/>
          </w:tcPr>
          <w:p w14:paraId="4053A534" w14:textId="4FE62781" w:rsidR="008B1451" w:rsidRDefault="008B1451" w:rsidP="008B1451">
            <w:pPr>
              <w:pStyle w:val="TableText"/>
              <w:rPr>
                <w:b/>
                <w:bCs/>
                <w:sz w:val="16"/>
                <w:szCs w:val="16"/>
              </w:rPr>
            </w:pPr>
            <w:r w:rsidRPr="008B1451">
              <w:rPr>
                <w:b/>
                <w:bCs/>
                <w:sz w:val="16"/>
                <w:szCs w:val="16"/>
              </w:rPr>
              <w:t>Total appropriation for departmental expenses</w:t>
            </w:r>
          </w:p>
        </w:tc>
        <w:tc>
          <w:tcPr>
            <w:tcW w:w="1843" w:type="dxa"/>
            <w:tcBorders>
              <w:top w:val="single" w:sz="4" w:space="0" w:color="A6A6A6" w:themeColor="background1" w:themeShade="A6"/>
              <w:left w:val="nil"/>
              <w:bottom w:val="single" w:sz="4" w:space="0" w:color="A6A6A6" w:themeColor="background1" w:themeShade="A6"/>
              <w:right w:val="nil"/>
            </w:tcBorders>
            <w:hideMark/>
          </w:tcPr>
          <w:p w14:paraId="63F59175" w14:textId="799518D3" w:rsidR="008B1451" w:rsidRDefault="008B1451" w:rsidP="008B1451">
            <w:pPr>
              <w:pStyle w:val="TableText"/>
              <w:jc w:val="right"/>
              <w:rPr>
                <w:b/>
                <w:bCs/>
                <w:sz w:val="16"/>
                <w:szCs w:val="16"/>
              </w:rPr>
            </w:pPr>
            <w:r w:rsidRPr="008B1451">
              <w:rPr>
                <w:b/>
                <w:bCs/>
                <w:sz w:val="16"/>
                <w:szCs w:val="16"/>
              </w:rPr>
              <w:t>269,070</w:t>
            </w:r>
          </w:p>
        </w:tc>
      </w:tr>
    </w:tbl>
    <w:p w14:paraId="206229AA" w14:textId="77777777" w:rsidR="008B1451" w:rsidRDefault="008B1451" w:rsidP="008B1451"/>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134"/>
        <w:gridCol w:w="5103"/>
        <w:gridCol w:w="1843"/>
      </w:tblGrid>
      <w:tr w:rsidR="008B1451" w14:paraId="228E5037" w14:textId="77777777" w:rsidTr="00CE40AF">
        <w:tc>
          <w:tcPr>
            <w:tcW w:w="8080" w:type="dxa"/>
            <w:gridSpan w:val="3"/>
            <w:tcBorders>
              <w:top w:val="nil"/>
              <w:left w:val="nil"/>
              <w:bottom w:val="nil"/>
              <w:right w:val="nil"/>
            </w:tcBorders>
            <w:shd w:val="clear" w:color="auto" w:fill="D9D9D9" w:themeFill="background1" w:themeFillShade="D9"/>
            <w:hideMark/>
          </w:tcPr>
          <w:p w14:paraId="70E52A22" w14:textId="47F515C7" w:rsidR="008B1451" w:rsidRDefault="008B1451" w:rsidP="00CE40AF">
            <w:pPr>
              <w:pStyle w:val="TableText"/>
              <w:rPr>
                <w:b/>
                <w:bCs/>
              </w:rPr>
            </w:pPr>
            <w:r w:rsidRPr="008B1451">
              <w:rPr>
                <w:b/>
                <w:bCs/>
              </w:rPr>
              <w:t>Reconciliation between total appropriations for non-departmental expenses and the schedule of non-departmental expenditure for the year ended 30 June 2024</w:t>
            </w:r>
          </w:p>
        </w:tc>
      </w:tr>
      <w:tr w:rsidR="008B1451" w14:paraId="7F83DF92" w14:textId="77777777" w:rsidTr="00CE40AF">
        <w:tc>
          <w:tcPr>
            <w:tcW w:w="1134"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48A81D2E" w14:textId="77777777" w:rsidR="008B1451" w:rsidRDefault="008B1451" w:rsidP="00CE40AF">
            <w:pPr>
              <w:pStyle w:val="TableText"/>
              <w:jc w:val="right"/>
              <w:rPr>
                <w:b/>
                <w:bCs/>
                <w:sz w:val="16"/>
                <w:szCs w:val="16"/>
              </w:rPr>
            </w:pPr>
            <w:r>
              <w:rPr>
                <w:b/>
                <w:bCs/>
                <w:sz w:val="16"/>
                <w:szCs w:val="16"/>
              </w:rPr>
              <w:t>Actual</w:t>
            </w:r>
          </w:p>
          <w:p w14:paraId="74744753" w14:textId="77777777" w:rsidR="008B1451" w:rsidRDefault="008B1451" w:rsidP="00CE40AF">
            <w:pPr>
              <w:pStyle w:val="TableText"/>
              <w:jc w:val="right"/>
              <w:rPr>
                <w:b/>
                <w:bCs/>
                <w:sz w:val="16"/>
                <w:szCs w:val="16"/>
              </w:rPr>
            </w:pPr>
            <w:r>
              <w:rPr>
                <w:b/>
                <w:bCs/>
                <w:sz w:val="16"/>
                <w:szCs w:val="16"/>
              </w:rPr>
              <w:t>2023</w:t>
            </w:r>
          </w:p>
          <w:p w14:paraId="2BE11E49" w14:textId="77777777" w:rsidR="008B1451" w:rsidRDefault="008B1451" w:rsidP="00CE40AF">
            <w:pPr>
              <w:pStyle w:val="TableText"/>
              <w:jc w:val="right"/>
              <w:rPr>
                <w:b/>
                <w:bCs/>
                <w:sz w:val="16"/>
                <w:szCs w:val="16"/>
              </w:rPr>
            </w:pPr>
            <w:r>
              <w:rPr>
                <w:b/>
                <w:bCs/>
                <w:sz w:val="16"/>
                <w:szCs w:val="16"/>
              </w:rPr>
              <w:t>$000</w:t>
            </w:r>
          </w:p>
        </w:tc>
        <w:tc>
          <w:tcPr>
            <w:tcW w:w="5103" w:type="dxa"/>
            <w:tcBorders>
              <w:top w:val="nil"/>
              <w:left w:val="nil"/>
              <w:bottom w:val="single" w:sz="4" w:space="0" w:color="A6A6A6" w:themeColor="background1" w:themeShade="A6"/>
              <w:right w:val="nil"/>
            </w:tcBorders>
            <w:shd w:val="clear" w:color="auto" w:fill="F2F2F2" w:themeFill="background1" w:themeFillShade="F2"/>
            <w:vAlign w:val="bottom"/>
          </w:tcPr>
          <w:p w14:paraId="765395FB" w14:textId="77777777" w:rsidR="008B1451" w:rsidRDefault="008B1451" w:rsidP="00CE40AF">
            <w:pPr>
              <w:pStyle w:val="TableText"/>
              <w:jc w:val="right"/>
              <w:rPr>
                <w:b/>
                <w:bCs/>
                <w:sz w:val="16"/>
                <w:szCs w:val="16"/>
              </w:rPr>
            </w:pPr>
          </w:p>
        </w:tc>
        <w:tc>
          <w:tcPr>
            <w:tcW w:w="1843" w:type="dxa"/>
            <w:tcBorders>
              <w:top w:val="nil"/>
              <w:left w:val="nil"/>
              <w:bottom w:val="single" w:sz="4" w:space="0" w:color="A6A6A6" w:themeColor="background1" w:themeShade="A6"/>
              <w:right w:val="nil"/>
            </w:tcBorders>
            <w:shd w:val="clear" w:color="auto" w:fill="F2F2F2" w:themeFill="background1" w:themeFillShade="F2"/>
            <w:vAlign w:val="bottom"/>
            <w:hideMark/>
          </w:tcPr>
          <w:p w14:paraId="7FADB89D" w14:textId="77777777" w:rsidR="008B1451" w:rsidRDefault="008B1451" w:rsidP="00CE40AF">
            <w:pPr>
              <w:pStyle w:val="TableText"/>
              <w:jc w:val="right"/>
              <w:rPr>
                <w:b/>
                <w:bCs/>
                <w:sz w:val="16"/>
                <w:szCs w:val="16"/>
              </w:rPr>
            </w:pPr>
            <w:r>
              <w:rPr>
                <w:b/>
                <w:bCs/>
                <w:sz w:val="16"/>
                <w:szCs w:val="16"/>
              </w:rPr>
              <w:t>Actual</w:t>
            </w:r>
          </w:p>
          <w:p w14:paraId="469057BF" w14:textId="77777777" w:rsidR="008B1451" w:rsidRDefault="008B1451" w:rsidP="00CE40AF">
            <w:pPr>
              <w:pStyle w:val="TableText"/>
              <w:jc w:val="right"/>
              <w:rPr>
                <w:b/>
                <w:bCs/>
                <w:sz w:val="16"/>
                <w:szCs w:val="16"/>
              </w:rPr>
            </w:pPr>
            <w:r>
              <w:rPr>
                <w:b/>
                <w:bCs/>
                <w:sz w:val="16"/>
                <w:szCs w:val="16"/>
              </w:rPr>
              <w:t>2024</w:t>
            </w:r>
          </w:p>
          <w:p w14:paraId="2A8305D7" w14:textId="77777777" w:rsidR="008B1451" w:rsidRDefault="008B1451" w:rsidP="00CE40AF">
            <w:pPr>
              <w:pStyle w:val="TableText"/>
              <w:jc w:val="right"/>
              <w:rPr>
                <w:b/>
                <w:bCs/>
                <w:sz w:val="16"/>
                <w:szCs w:val="16"/>
              </w:rPr>
            </w:pPr>
            <w:r>
              <w:rPr>
                <w:b/>
                <w:bCs/>
                <w:sz w:val="16"/>
                <w:szCs w:val="16"/>
              </w:rPr>
              <w:t>$000</w:t>
            </w:r>
          </w:p>
        </w:tc>
      </w:tr>
      <w:tr w:rsidR="008B1451" w14:paraId="16908E19" w14:textId="77777777" w:rsidTr="00CE40AF">
        <w:tc>
          <w:tcPr>
            <w:tcW w:w="1134" w:type="dxa"/>
            <w:tcBorders>
              <w:top w:val="single" w:sz="4" w:space="0" w:color="A6A6A6" w:themeColor="background1" w:themeShade="A6"/>
              <w:left w:val="nil"/>
              <w:bottom w:val="nil"/>
              <w:right w:val="nil"/>
            </w:tcBorders>
            <w:hideMark/>
          </w:tcPr>
          <w:p w14:paraId="0124D569" w14:textId="4C107150" w:rsidR="008B1451" w:rsidRDefault="008B1451" w:rsidP="008B1451">
            <w:pPr>
              <w:pStyle w:val="TableText"/>
              <w:jc w:val="right"/>
              <w:rPr>
                <w:sz w:val="16"/>
                <w:szCs w:val="16"/>
              </w:rPr>
            </w:pPr>
            <w:r w:rsidRPr="008B1451">
              <w:rPr>
                <w:sz w:val="16"/>
                <w:szCs w:val="16"/>
              </w:rPr>
              <w:t>28,375,793</w:t>
            </w:r>
          </w:p>
        </w:tc>
        <w:tc>
          <w:tcPr>
            <w:tcW w:w="5103" w:type="dxa"/>
            <w:tcBorders>
              <w:top w:val="single" w:sz="4" w:space="0" w:color="A6A6A6" w:themeColor="background1" w:themeShade="A6"/>
              <w:left w:val="nil"/>
              <w:bottom w:val="nil"/>
              <w:right w:val="nil"/>
            </w:tcBorders>
            <w:hideMark/>
          </w:tcPr>
          <w:p w14:paraId="7D1BC9E0" w14:textId="7C2A8117" w:rsidR="008B1451" w:rsidRDefault="008B1451" w:rsidP="008B1451">
            <w:pPr>
              <w:pStyle w:val="TableText"/>
              <w:rPr>
                <w:sz w:val="16"/>
                <w:szCs w:val="16"/>
              </w:rPr>
            </w:pPr>
            <w:r w:rsidRPr="008B1451">
              <w:rPr>
                <w:sz w:val="16"/>
                <w:szCs w:val="16"/>
              </w:rPr>
              <w:t>Total expenses in schedule of non-departmental expenditure</w:t>
            </w:r>
          </w:p>
        </w:tc>
        <w:tc>
          <w:tcPr>
            <w:tcW w:w="1843" w:type="dxa"/>
            <w:tcBorders>
              <w:top w:val="single" w:sz="4" w:space="0" w:color="A6A6A6" w:themeColor="background1" w:themeShade="A6"/>
              <w:left w:val="nil"/>
              <w:bottom w:val="nil"/>
              <w:right w:val="nil"/>
            </w:tcBorders>
            <w:hideMark/>
          </w:tcPr>
          <w:p w14:paraId="2E1C8113" w14:textId="2BFAAA78" w:rsidR="008B1451" w:rsidRDefault="008B1451" w:rsidP="008B1451">
            <w:pPr>
              <w:pStyle w:val="TableText"/>
              <w:jc w:val="right"/>
              <w:rPr>
                <w:sz w:val="16"/>
                <w:szCs w:val="16"/>
              </w:rPr>
            </w:pPr>
            <w:r w:rsidRPr="008B1451">
              <w:rPr>
                <w:sz w:val="16"/>
                <w:szCs w:val="16"/>
              </w:rPr>
              <w:t>29,801,933</w:t>
            </w:r>
          </w:p>
        </w:tc>
      </w:tr>
      <w:tr w:rsidR="008B1451" w14:paraId="4B1C98B2" w14:textId="77777777" w:rsidTr="00CE40AF">
        <w:tc>
          <w:tcPr>
            <w:tcW w:w="1134" w:type="dxa"/>
            <w:tcBorders>
              <w:top w:val="nil"/>
              <w:left w:val="nil"/>
              <w:bottom w:val="nil"/>
              <w:right w:val="nil"/>
            </w:tcBorders>
            <w:hideMark/>
          </w:tcPr>
          <w:p w14:paraId="42A8008A" w14:textId="4CEA76A0" w:rsidR="008B1451" w:rsidRDefault="008B1451" w:rsidP="008B1451">
            <w:pPr>
              <w:pStyle w:val="TableText"/>
              <w:jc w:val="right"/>
              <w:rPr>
                <w:sz w:val="16"/>
                <w:szCs w:val="16"/>
              </w:rPr>
            </w:pPr>
            <w:r w:rsidRPr="008B1451">
              <w:rPr>
                <w:sz w:val="16"/>
                <w:szCs w:val="16"/>
              </w:rPr>
              <w:t>(3,715,789)</w:t>
            </w:r>
          </w:p>
        </w:tc>
        <w:tc>
          <w:tcPr>
            <w:tcW w:w="5103" w:type="dxa"/>
            <w:tcBorders>
              <w:top w:val="nil"/>
              <w:left w:val="nil"/>
              <w:bottom w:val="nil"/>
              <w:right w:val="nil"/>
            </w:tcBorders>
            <w:hideMark/>
          </w:tcPr>
          <w:p w14:paraId="42299576" w14:textId="7CDDC720" w:rsidR="008B1451" w:rsidRDefault="008B1451" w:rsidP="008B1451">
            <w:pPr>
              <w:pStyle w:val="TableText"/>
              <w:rPr>
                <w:sz w:val="16"/>
                <w:szCs w:val="16"/>
              </w:rPr>
            </w:pPr>
            <w:r w:rsidRPr="008B1451">
              <w:rPr>
                <w:sz w:val="16"/>
                <w:szCs w:val="16"/>
              </w:rPr>
              <w:t>GST input expense</w:t>
            </w:r>
          </w:p>
        </w:tc>
        <w:tc>
          <w:tcPr>
            <w:tcW w:w="1843" w:type="dxa"/>
            <w:tcBorders>
              <w:top w:val="nil"/>
              <w:left w:val="nil"/>
              <w:bottom w:val="nil"/>
              <w:right w:val="nil"/>
            </w:tcBorders>
            <w:hideMark/>
          </w:tcPr>
          <w:p w14:paraId="505795D9" w14:textId="7382EE8C" w:rsidR="008B1451" w:rsidRDefault="008B1451" w:rsidP="008B1451">
            <w:pPr>
              <w:pStyle w:val="TableText"/>
              <w:jc w:val="right"/>
              <w:rPr>
                <w:sz w:val="16"/>
                <w:szCs w:val="16"/>
              </w:rPr>
            </w:pPr>
            <w:r w:rsidRPr="008B1451">
              <w:rPr>
                <w:sz w:val="16"/>
                <w:szCs w:val="16"/>
              </w:rPr>
              <w:t>(3,886,937)</w:t>
            </w:r>
          </w:p>
        </w:tc>
      </w:tr>
      <w:tr w:rsidR="008B1451" w:rsidRPr="008B1451" w14:paraId="7B4FBB5C" w14:textId="77777777" w:rsidTr="00CE40AF">
        <w:tc>
          <w:tcPr>
            <w:tcW w:w="1134" w:type="dxa"/>
            <w:tcBorders>
              <w:top w:val="single" w:sz="4" w:space="0" w:color="A6A6A6" w:themeColor="background1" w:themeShade="A6"/>
              <w:left w:val="nil"/>
              <w:bottom w:val="single" w:sz="4" w:space="0" w:color="A6A6A6" w:themeColor="background1" w:themeShade="A6"/>
              <w:right w:val="nil"/>
            </w:tcBorders>
            <w:hideMark/>
          </w:tcPr>
          <w:p w14:paraId="231ACFF7" w14:textId="77DF4DF7" w:rsidR="008B1451" w:rsidRPr="008B1451" w:rsidRDefault="008B1451" w:rsidP="008B1451">
            <w:pPr>
              <w:pStyle w:val="TableText"/>
              <w:jc w:val="right"/>
              <w:rPr>
                <w:b/>
                <w:bCs/>
                <w:sz w:val="16"/>
                <w:szCs w:val="16"/>
              </w:rPr>
            </w:pPr>
            <w:r w:rsidRPr="008B1451">
              <w:rPr>
                <w:b/>
                <w:bCs/>
                <w:sz w:val="16"/>
                <w:szCs w:val="16"/>
              </w:rPr>
              <w:t>24,660,004</w:t>
            </w:r>
          </w:p>
        </w:tc>
        <w:tc>
          <w:tcPr>
            <w:tcW w:w="5103" w:type="dxa"/>
            <w:tcBorders>
              <w:top w:val="single" w:sz="4" w:space="0" w:color="A6A6A6" w:themeColor="background1" w:themeShade="A6"/>
              <w:left w:val="nil"/>
              <w:bottom w:val="single" w:sz="4" w:space="0" w:color="A6A6A6" w:themeColor="background1" w:themeShade="A6"/>
              <w:right w:val="nil"/>
            </w:tcBorders>
            <w:hideMark/>
          </w:tcPr>
          <w:p w14:paraId="56A8EE67" w14:textId="54A36B3F" w:rsidR="008B1451" w:rsidRPr="008B1451" w:rsidRDefault="008B1451" w:rsidP="008B1451">
            <w:pPr>
              <w:pStyle w:val="TableText"/>
              <w:rPr>
                <w:b/>
                <w:bCs/>
                <w:sz w:val="16"/>
                <w:szCs w:val="16"/>
              </w:rPr>
            </w:pPr>
            <w:r w:rsidRPr="008B1451">
              <w:rPr>
                <w:b/>
                <w:bCs/>
                <w:sz w:val="16"/>
                <w:szCs w:val="16"/>
              </w:rPr>
              <w:t>Total appropriation for non-departmental expenses</w:t>
            </w:r>
          </w:p>
        </w:tc>
        <w:tc>
          <w:tcPr>
            <w:tcW w:w="1843" w:type="dxa"/>
            <w:tcBorders>
              <w:top w:val="single" w:sz="4" w:space="0" w:color="A6A6A6" w:themeColor="background1" w:themeShade="A6"/>
              <w:left w:val="nil"/>
              <w:bottom w:val="single" w:sz="4" w:space="0" w:color="A6A6A6" w:themeColor="background1" w:themeShade="A6"/>
              <w:right w:val="nil"/>
            </w:tcBorders>
            <w:hideMark/>
          </w:tcPr>
          <w:p w14:paraId="29CEBDAF" w14:textId="7051775E" w:rsidR="008B1451" w:rsidRPr="008B1451" w:rsidRDefault="008B1451" w:rsidP="008B1451">
            <w:pPr>
              <w:pStyle w:val="TableText"/>
              <w:jc w:val="right"/>
              <w:rPr>
                <w:b/>
                <w:bCs/>
                <w:sz w:val="16"/>
                <w:szCs w:val="16"/>
              </w:rPr>
            </w:pPr>
            <w:r w:rsidRPr="008B1451">
              <w:rPr>
                <w:b/>
                <w:bCs/>
                <w:sz w:val="16"/>
                <w:szCs w:val="16"/>
              </w:rPr>
              <w:t>25,914,996</w:t>
            </w:r>
          </w:p>
        </w:tc>
      </w:tr>
    </w:tbl>
    <w:p w14:paraId="0F69D8C8" w14:textId="77777777" w:rsidR="007E76C4" w:rsidRDefault="007E76C4" w:rsidP="008B1451">
      <w:pPr>
        <w:sectPr w:rsidR="007E76C4" w:rsidSect="000A3324">
          <w:pgSz w:w="11907" w:h="16840" w:code="9"/>
          <w:pgMar w:top="1418" w:right="1701" w:bottom="1134" w:left="1843" w:header="284" w:footer="425" w:gutter="284"/>
          <w:cols w:space="720"/>
        </w:sectPr>
      </w:pPr>
    </w:p>
    <w:p w14:paraId="7FA6F176" w14:textId="4C6470FB" w:rsidR="008B1451" w:rsidRDefault="007E76C4" w:rsidP="007E76C4">
      <w:pPr>
        <w:pStyle w:val="Heading1"/>
      </w:pPr>
      <w:bookmarkStart w:id="38" w:name="_Toc180077034"/>
      <w:r w:rsidRPr="007E76C4">
        <w:lastRenderedPageBreak/>
        <w:t>Our financial statements</w:t>
      </w:r>
      <w:r>
        <w:t xml:space="preserve"> </w:t>
      </w:r>
      <w:r w:rsidR="00DA365D">
        <w:t>–</w:t>
      </w:r>
      <w:r>
        <w:t xml:space="preserve"> </w:t>
      </w:r>
      <w:r w:rsidRPr="007E76C4">
        <w:t>He tauāki pūtea</w:t>
      </w:r>
      <w:bookmarkEnd w:id="38"/>
    </w:p>
    <w:p w14:paraId="6E25461A" w14:textId="2DF76791" w:rsidR="007E76C4" w:rsidRDefault="007E76C4" w:rsidP="007E76C4">
      <w:pPr>
        <w:pStyle w:val="Heading2"/>
      </w:pPr>
      <w:bookmarkStart w:id="39" w:name="_Toc180077035"/>
      <w:r w:rsidRPr="007E76C4">
        <w:t xml:space="preserve">Taking care of our funds </w:t>
      </w:r>
      <w:r w:rsidR="00DA365D">
        <w:t>–</w:t>
      </w:r>
      <w:r w:rsidRPr="007E76C4">
        <w:t xml:space="preserve"> Te penapena pūtea</w:t>
      </w:r>
      <w:bookmarkEnd w:id="39"/>
    </w:p>
    <w:p w14:paraId="5FD0E186" w14:textId="77777777" w:rsidR="007E76C4" w:rsidRDefault="007E76C4" w:rsidP="007E76C4">
      <w:pPr>
        <w:pStyle w:val="Heading3"/>
      </w:pPr>
      <w:r w:rsidRPr="007E76C4">
        <w:t>Statement of responsibility</w:t>
      </w:r>
    </w:p>
    <w:p w14:paraId="6B80C974" w14:textId="77777777" w:rsidR="007E76C4" w:rsidRDefault="007E76C4" w:rsidP="007E76C4">
      <w:r>
        <w:t>I am responsible, as Director-General of Health and Chief Executive of the Ministry of Health (Ministry), for:</w:t>
      </w:r>
    </w:p>
    <w:p w14:paraId="46BD4BFE" w14:textId="17E5224D" w:rsidR="007E76C4" w:rsidRDefault="007E76C4" w:rsidP="007E76C4">
      <w:pPr>
        <w:pStyle w:val="Bullet"/>
      </w:pPr>
      <w:r>
        <w:t xml:space="preserve">the preparation of the Ministry’s financial statements, and statements of expenses and capital expenditure, and for the judgements expressed in </w:t>
      </w:r>
      <w:proofErr w:type="gramStart"/>
      <w:r>
        <w:t>them</w:t>
      </w:r>
      <w:proofErr w:type="gramEnd"/>
    </w:p>
    <w:p w14:paraId="67193BFE" w14:textId="57CDBF02" w:rsidR="007E76C4" w:rsidRDefault="007E76C4" w:rsidP="007E76C4">
      <w:pPr>
        <w:pStyle w:val="Bullet"/>
      </w:pPr>
      <w:r>
        <w:t xml:space="preserve">having in place a system of internal control designed to provide reasonable assurance as to the integrity and reliability of financial </w:t>
      </w:r>
      <w:proofErr w:type="gramStart"/>
      <w:r>
        <w:t>reporting</w:t>
      </w:r>
      <w:proofErr w:type="gramEnd"/>
    </w:p>
    <w:p w14:paraId="4E1F6E9E" w14:textId="36B74EAB" w:rsidR="007E76C4" w:rsidRDefault="007E76C4" w:rsidP="007E76C4">
      <w:pPr>
        <w:pStyle w:val="Bullet"/>
      </w:pPr>
      <w:r>
        <w:t xml:space="preserve">ensuring that end-of-year performance information on each appropriation administered by the Ministry is provided in accordance with sections 19A to 19C of the Public Finance Act 1989, whether or not that information is included in this annual </w:t>
      </w:r>
      <w:proofErr w:type="gramStart"/>
      <w:r>
        <w:t>report</w:t>
      </w:r>
      <w:proofErr w:type="gramEnd"/>
    </w:p>
    <w:p w14:paraId="26E37A18" w14:textId="2CE2DE4A" w:rsidR="007E76C4" w:rsidRDefault="007E76C4" w:rsidP="007E76C4">
      <w:pPr>
        <w:pStyle w:val="Bullet"/>
      </w:pPr>
      <w:r>
        <w:t>the accuracy of any end-of-year performance information prepared by the Ministry, whether or not that information is included in the annual report.</w:t>
      </w:r>
    </w:p>
    <w:p w14:paraId="19AFD366" w14:textId="77777777" w:rsidR="006D290A" w:rsidRDefault="006D290A" w:rsidP="007E76C4"/>
    <w:p w14:paraId="7FCFA443" w14:textId="2F242BC4" w:rsidR="007E76C4" w:rsidRDefault="007E76C4" w:rsidP="007E76C4">
      <w:r>
        <w:t>In my opinion:</w:t>
      </w:r>
    </w:p>
    <w:p w14:paraId="5BDD8B5C" w14:textId="37FC357B" w:rsidR="007E76C4" w:rsidRDefault="007E76C4" w:rsidP="007E76C4">
      <w:pPr>
        <w:pStyle w:val="Bullet"/>
      </w:pPr>
      <w:r>
        <w:t xml:space="preserve">the financial statements reflect the financial statements of the Ministry as </w:t>
      </w:r>
      <w:proofErr w:type="gramStart"/>
      <w:r>
        <w:t>at</w:t>
      </w:r>
      <w:proofErr w:type="gramEnd"/>
      <w:r>
        <w:t xml:space="preserve"> 30 June 2024 and its operations for the year ended on that date</w:t>
      </w:r>
    </w:p>
    <w:p w14:paraId="49808022" w14:textId="6C7445FA" w:rsidR="007E76C4" w:rsidRDefault="007E76C4" w:rsidP="007E76C4">
      <w:pPr>
        <w:pStyle w:val="Bullet"/>
      </w:pPr>
      <w:r>
        <w:t xml:space="preserve">the forecast financial statements fairly reflect the forecast financial position of the Ministry as </w:t>
      </w:r>
      <w:proofErr w:type="gramStart"/>
      <w:r>
        <w:t>at</w:t>
      </w:r>
      <w:proofErr w:type="gramEnd"/>
      <w:r>
        <w:t xml:space="preserve"> 30 June 2024 and its operations for the year ending on that date.</w:t>
      </w:r>
    </w:p>
    <w:p w14:paraId="2E3FFB1B" w14:textId="4E4E76AC" w:rsidR="007E76C4" w:rsidRDefault="007E76C4" w:rsidP="007E76C4">
      <w:pPr>
        <w:pStyle w:val="Bullet"/>
        <w:numPr>
          <w:ilvl w:val="0"/>
          <w:numId w:val="0"/>
        </w:numPr>
        <w:ind w:left="284" w:hanging="284"/>
      </w:pPr>
      <w:r>
        <w:rPr>
          <w:noProof/>
        </w:rPr>
        <w:drawing>
          <wp:anchor distT="0" distB="0" distL="114300" distR="114300" simplePos="0" relativeHeight="251709440" behindDoc="1" locked="0" layoutInCell="1" allowOverlap="1" wp14:anchorId="43DAC77A" wp14:editId="6556ABAE">
            <wp:simplePos x="0" y="0"/>
            <wp:positionH relativeFrom="page">
              <wp:posOffset>3529965</wp:posOffset>
            </wp:positionH>
            <wp:positionV relativeFrom="page">
              <wp:posOffset>7193280</wp:posOffset>
            </wp:positionV>
            <wp:extent cx="1404000" cy="1567108"/>
            <wp:effectExtent l="0" t="0" r="5715" b="0"/>
            <wp:wrapNone/>
            <wp:docPr id="1289" name="Image 1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 name="Image 1289">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1404000" cy="1567108"/>
                    </a:xfrm>
                    <a:prstGeom prst="rect">
                      <a:avLst/>
                    </a:prstGeom>
                  </pic:spPr>
                </pic:pic>
              </a:graphicData>
            </a:graphic>
            <wp14:sizeRelH relativeFrom="margin">
              <wp14:pctWidth>0</wp14:pctWidth>
            </wp14:sizeRelH>
            <wp14:sizeRelV relativeFrom="margin">
              <wp14:pctHeight>0</wp14:pctHeight>
            </wp14:sizeRelV>
          </wp:anchor>
        </w:drawing>
      </w:r>
    </w:p>
    <w:p w14:paraId="44734EE3" w14:textId="4DB90700" w:rsidR="007E76C4" w:rsidRDefault="007E76C4" w:rsidP="007E76C4">
      <w:pPr>
        <w:pStyle w:val="Bullet"/>
        <w:numPr>
          <w:ilvl w:val="0"/>
          <w:numId w:val="0"/>
        </w:numPr>
        <w:ind w:left="284" w:hanging="284"/>
      </w:pPr>
    </w:p>
    <w:p w14:paraId="001D726D" w14:textId="4302AFE1" w:rsidR="007E76C4" w:rsidRDefault="007E76C4" w:rsidP="007E76C4">
      <w:pPr>
        <w:pStyle w:val="Bullet"/>
        <w:numPr>
          <w:ilvl w:val="0"/>
          <w:numId w:val="0"/>
        </w:numPr>
        <w:ind w:left="284" w:hanging="284"/>
      </w:pPr>
      <w:r>
        <w:rPr>
          <w:noProof/>
        </w:rPr>
        <w:drawing>
          <wp:anchor distT="0" distB="0" distL="114300" distR="114300" simplePos="0" relativeHeight="251707392" behindDoc="0" locked="0" layoutInCell="1" allowOverlap="1" wp14:anchorId="67E3227D" wp14:editId="49052BBF">
            <wp:simplePos x="0" y="0"/>
            <wp:positionH relativeFrom="margin">
              <wp:posOffset>-170815</wp:posOffset>
            </wp:positionH>
            <wp:positionV relativeFrom="margin">
              <wp:posOffset>6654800</wp:posOffset>
            </wp:positionV>
            <wp:extent cx="2026920" cy="609600"/>
            <wp:effectExtent l="0" t="0" r="0" b="0"/>
            <wp:wrapSquare wrapText="bothSides"/>
            <wp:docPr id="1291" name="Image 12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91" name="Image 1291">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26920" cy="609600"/>
                    </a:xfrm>
                    <a:prstGeom prst="rect">
                      <a:avLst/>
                    </a:prstGeom>
                  </pic:spPr>
                </pic:pic>
              </a:graphicData>
            </a:graphic>
          </wp:anchor>
        </w:drawing>
      </w:r>
    </w:p>
    <w:p w14:paraId="30F4D197" w14:textId="77777777" w:rsidR="007E76C4" w:rsidRDefault="007E76C4" w:rsidP="007E76C4">
      <w:pPr>
        <w:rPr>
          <w:b/>
          <w:bCs/>
        </w:rPr>
      </w:pPr>
    </w:p>
    <w:p w14:paraId="54593B20" w14:textId="77777777" w:rsidR="007E76C4" w:rsidRDefault="007E76C4" w:rsidP="007E76C4">
      <w:pPr>
        <w:rPr>
          <w:b/>
          <w:bCs/>
        </w:rPr>
      </w:pPr>
    </w:p>
    <w:p w14:paraId="30A0B403" w14:textId="77777777" w:rsidR="007E76C4" w:rsidRDefault="007E76C4" w:rsidP="007E76C4">
      <w:pPr>
        <w:rPr>
          <w:b/>
          <w:bCs/>
        </w:rPr>
      </w:pPr>
    </w:p>
    <w:p w14:paraId="651D3C08" w14:textId="7E3E21B9" w:rsidR="007E76C4" w:rsidRPr="007E76C4" w:rsidRDefault="007E76C4" w:rsidP="007E76C4">
      <w:pPr>
        <w:rPr>
          <w:b/>
          <w:bCs/>
        </w:rPr>
      </w:pPr>
      <w:r w:rsidRPr="007E76C4">
        <w:rPr>
          <w:b/>
          <w:bCs/>
        </w:rPr>
        <w:t>Dr Diana Sarfati</w:t>
      </w:r>
      <w:r w:rsidRPr="007E76C4">
        <w:t xml:space="preserve"> </w:t>
      </w:r>
      <w:r>
        <w:tab/>
      </w:r>
      <w:r>
        <w:tab/>
      </w:r>
      <w:r>
        <w:tab/>
      </w:r>
      <w:r>
        <w:tab/>
      </w:r>
      <w:r>
        <w:tab/>
      </w:r>
      <w:r w:rsidRPr="007E76C4">
        <w:rPr>
          <w:b/>
          <w:bCs/>
        </w:rPr>
        <w:t>Fergus Welsh</w:t>
      </w:r>
    </w:p>
    <w:p w14:paraId="09724AB3" w14:textId="719A4781" w:rsidR="007E76C4" w:rsidRDefault="007E76C4" w:rsidP="007E76C4">
      <w:r>
        <w:t>Director-General of Health</w:t>
      </w:r>
      <w:r w:rsidRPr="007E76C4">
        <w:t xml:space="preserve"> </w:t>
      </w:r>
      <w:r>
        <w:tab/>
      </w:r>
      <w:r>
        <w:tab/>
      </w:r>
      <w:r>
        <w:tab/>
        <w:t>Chief Financial Officer</w:t>
      </w:r>
    </w:p>
    <w:p w14:paraId="2D94EAA8" w14:textId="00A87180" w:rsidR="007E76C4" w:rsidRDefault="007E76C4" w:rsidP="007E76C4"/>
    <w:p w14:paraId="7B7E6593" w14:textId="77777777" w:rsidR="0064568D" w:rsidRDefault="007E76C4" w:rsidP="007E76C4">
      <w:pPr>
        <w:sectPr w:rsidR="0064568D" w:rsidSect="000A3324">
          <w:pgSz w:w="11907" w:h="16840" w:code="9"/>
          <w:pgMar w:top="1418" w:right="1701" w:bottom="1134" w:left="1843" w:header="284" w:footer="425" w:gutter="284"/>
          <w:cols w:space="720"/>
        </w:sectPr>
      </w:pPr>
      <w:r>
        <w:t xml:space="preserve">30 September 2024 </w:t>
      </w:r>
      <w:r>
        <w:tab/>
      </w:r>
      <w:r>
        <w:tab/>
      </w:r>
      <w:r>
        <w:tab/>
      </w:r>
      <w:r>
        <w:tab/>
        <w:t>30 September 2024</w:t>
      </w:r>
    </w:p>
    <w:p w14:paraId="76E0AC6D" w14:textId="77777777" w:rsidR="007E76C4" w:rsidRDefault="007E76C4" w:rsidP="007E76C4"/>
    <w:p w14:paraId="558A3D30" w14:textId="77777777" w:rsidR="0064568D" w:rsidRPr="0064568D" w:rsidRDefault="0064568D" w:rsidP="0064568D"/>
    <w:p w14:paraId="12E1651E" w14:textId="7DAAE225" w:rsidR="0064568D" w:rsidRDefault="0064568D" w:rsidP="0064568D">
      <w:pPr>
        <w:pStyle w:val="Heading2"/>
        <w:spacing w:before="0"/>
      </w:pPr>
      <w:bookmarkStart w:id="40" w:name="_Toc180077036"/>
      <w:r>
        <w:t>Independent Auditor’s Report</w:t>
      </w:r>
      <w:bookmarkEnd w:id="40"/>
    </w:p>
    <w:p w14:paraId="6BF0EBFD" w14:textId="1FB28EB8" w:rsidR="0064568D" w:rsidRDefault="0064568D" w:rsidP="0064568D">
      <w:pPr>
        <w:tabs>
          <w:tab w:val="left" w:pos="867"/>
        </w:tabs>
        <w:rPr>
          <w:b/>
          <w:bCs/>
        </w:rPr>
      </w:pPr>
      <w:r w:rsidRPr="0064568D">
        <w:rPr>
          <w:b/>
          <w:bCs/>
        </w:rPr>
        <w:t>To the readers of Ministry of Health’s annual report for the year ended 30 June 2024</w:t>
      </w:r>
    </w:p>
    <w:p w14:paraId="2019E444" w14:textId="77777777" w:rsidR="0064568D" w:rsidRPr="0064568D" w:rsidRDefault="0064568D" w:rsidP="0064568D">
      <w:pPr>
        <w:tabs>
          <w:tab w:val="left" w:pos="867"/>
        </w:tabs>
        <w:rPr>
          <w:b/>
          <w:bCs/>
        </w:rPr>
      </w:pPr>
    </w:p>
    <w:p w14:paraId="149A3CAD" w14:textId="77777777" w:rsidR="0064568D" w:rsidRDefault="0064568D" w:rsidP="0064568D">
      <w:pPr>
        <w:tabs>
          <w:tab w:val="left" w:pos="867"/>
        </w:tabs>
      </w:pPr>
      <w:r>
        <w:t>The Auditor-General is the auditor of the Ministry of Health (the Ministry). The Auditor-General has appointed me, Stephen Usher, using the staff and resources of Audit New Zealand, to carry out, on his behalf, the audit of:</w:t>
      </w:r>
    </w:p>
    <w:p w14:paraId="7C1684BF" w14:textId="4620EBAB" w:rsidR="0064568D" w:rsidRDefault="0064568D" w:rsidP="0064568D">
      <w:pPr>
        <w:pStyle w:val="Bullet"/>
      </w:pPr>
      <w:r>
        <w:t xml:space="preserve">the financial statements of the Ministry on </w:t>
      </w:r>
      <w:r w:rsidRPr="00672DB3">
        <w:t>pages 116 to 150,</w:t>
      </w:r>
      <w:r>
        <w:t xml:space="preserve"> that comprise the statement of financial position, statement of commitments, statement of contingent liabilities and contingent assets as </w:t>
      </w:r>
      <w:proofErr w:type="gramStart"/>
      <w:r>
        <w:t>at</w:t>
      </w:r>
      <w:proofErr w:type="gramEnd"/>
      <w:r>
        <w:t xml:space="preserve"> 30 June 2024, the statement of comprehensive revenue and expense, statement of changes in equity, and statement of cash flows for the year ended on that date and the notes to the financial statements that include accounting policies and other explanatory information;</w:t>
      </w:r>
    </w:p>
    <w:p w14:paraId="06EF93AB" w14:textId="5EEF58C1" w:rsidR="0064568D" w:rsidRDefault="0064568D" w:rsidP="0064568D">
      <w:pPr>
        <w:pStyle w:val="Bullet"/>
      </w:pPr>
      <w:r>
        <w:t xml:space="preserve">the performance information for the appropriations administered by the Ministry for the year ended 30 June 2024 on </w:t>
      </w:r>
      <w:r w:rsidRPr="00672DB3">
        <w:t xml:space="preserve">pages 61 to 73 and 97 to </w:t>
      </w:r>
      <w:proofErr w:type="gramStart"/>
      <w:r w:rsidRPr="00672DB3">
        <w:t>109</w:t>
      </w:r>
      <w:r>
        <w:t>;</w:t>
      </w:r>
      <w:proofErr w:type="gramEnd"/>
    </w:p>
    <w:p w14:paraId="3000B966" w14:textId="16909C80" w:rsidR="0064568D" w:rsidRDefault="0064568D" w:rsidP="0064568D">
      <w:pPr>
        <w:pStyle w:val="Bullet"/>
      </w:pPr>
      <w:r>
        <w:t xml:space="preserve">the statement of budgeted and actual expenses and capital expenditure incurred against appropriation of the Ministry for the year ended 30 June 2024 on </w:t>
      </w:r>
      <w:r w:rsidRPr="00672DB3">
        <w:t>pages 160 to 162, and 168</w:t>
      </w:r>
      <w:r>
        <w:t>; and</w:t>
      </w:r>
    </w:p>
    <w:p w14:paraId="26D55353" w14:textId="1078FAC5" w:rsidR="0064568D" w:rsidRDefault="0064568D" w:rsidP="0064568D">
      <w:pPr>
        <w:pStyle w:val="Bullet"/>
      </w:pPr>
      <w:r>
        <w:t xml:space="preserve">the schedules of non-departmental activities which are managed by the Ministry on behalf of the Crown on </w:t>
      </w:r>
      <w:r w:rsidRPr="00672DB3">
        <w:t>pages 152 to 159 and 163 to 167</w:t>
      </w:r>
      <w:r>
        <w:t xml:space="preserve"> that comprise:</w:t>
      </w:r>
    </w:p>
    <w:p w14:paraId="60EA65C0" w14:textId="152C7630" w:rsidR="0064568D" w:rsidRDefault="0064568D" w:rsidP="0064568D">
      <w:pPr>
        <w:pStyle w:val="Dash"/>
      </w:pPr>
      <w:r>
        <w:t xml:space="preserve">the schedules of assets and liabilities; commitments; and contingent liabilities and assets as </w:t>
      </w:r>
      <w:proofErr w:type="gramStart"/>
      <w:r>
        <w:t>at</w:t>
      </w:r>
      <w:proofErr w:type="gramEnd"/>
      <w:r>
        <w:t xml:space="preserve"> 30 June 2024;</w:t>
      </w:r>
    </w:p>
    <w:p w14:paraId="1B4E6559" w14:textId="440F2C8A" w:rsidR="0064568D" w:rsidRDefault="0064568D" w:rsidP="0064568D">
      <w:pPr>
        <w:pStyle w:val="Dash"/>
      </w:pPr>
      <w:r>
        <w:t>the schedules of expenses; and revenue and capital receipts for the year ended 30 June 2024; and</w:t>
      </w:r>
    </w:p>
    <w:p w14:paraId="14C4D6F2" w14:textId="2BA7164C" w:rsidR="0064568D" w:rsidRDefault="0064568D" w:rsidP="0064568D">
      <w:pPr>
        <w:pStyle w:val="Dash"/>
      </w:pPr>
      <w:r>
        <w:t>the notes to the schedules that include accounting policies and other explanatory information.</w:t>
      </w:r>
    </w:p>
    <w:p w14:paraId="27414978" w14:textId="77777777" w:rsidR="0064568D" w:rsidRDefault="0064568D" w:rsidP="0064568D">
      <w:pPr>
        <w:pStyle w:val="Heading4"/>
      </w:pPr>
      <w:r>
        <w:t>Opinion</w:t>
      </w:r>
    </w:p>
    <w:p w14:paraId="0EAC418F" w14:textId="77777777" w:rsidR="0064568D" w:rsidRDefault="0064568D" w:rsidP="0064568D">
      <w:r>
        <w:t>In our opinion:</w:t>
      </w:r>
    </w:p>
    <w:p w14:paraId="015BD0F0" w14:textId="6461E47E" w:rsidR="0064568D" w:rsidRDefault="0064568D" w:rsidP="0064568D">
      <w:pPr>
        <w:pStyle w:val="Bullet"/>
      </w:pPr>
      <w:r>
        <w:t>the financial statements of the Ministry:</w:t>
      </w:r>
    </w:p>
    <w:p w14:paraId="3A6B2D54" w14:textId="3D8C8DFB" w:rsidR="0064568D" w:rsidRPr="0064568D" w:rsidRDefault="0064568D" w:rsidP="0064568D">
      <w:pPr>
        <w:pStyle w:val="Dash"/>
      </w:pPr>
      <w:r w:rsidRPr="0064568D">
        <w:t>present fairly, in all material respects:</w:t>
      </w:r>
    </w:p>
    <w:p w14:paraId="3CB6B474" w14:textId="44AEA5C8" w:rsidR="0064568D" w:rsidRPr="0064568D" w:rsidRDefault="0064568D" w:rsidP="0064568D">
      <w:pPr>
        <w:pStyle w:val="Dash"/>
        <w:tabs>
          <w:tab w:val="clear" w:pos="567"/>
          <w:tab w:val="num" w:pos="980"/>
        </w:tabs>
        <w:ind w:left="993" w:hanging="405"/>
      </w:pPr>
      <w:r w:rsidRPr="0064568D">
        <w:t xml:space="preserve">its financial position as </w:t>
      </w:r>
      <w:proofErr w:type="gramStart"/>
      <w:r w:rsidRPr="0064568D">
        <w:t>at</w:t>
      </w:r>
      <w:proofErr w:type="gramEnd"/>
      <w:r w:rsidRPr="0064568D">
        <w:t xml:space="preserve"> 30 June 2024; and</w:t>
      </w:r>
    </w:p>
    <w:p w14:paraId="48358947" w14:textId="4E575EF6" w:rsidR="0064568D" w:rsidRPr="0064568D" w:rsidRDefault="0064568D" w:rsidP="0064568D">
      <w:pPr>
        <w:pStyle w:val="Dash"/>
        <w:tabs>
          <w:tab w:val="clear" w:pos="567"/>
          <w:tab w:val="num" w:pos="980"/>
        </w:tabs>
        <w:ind w:left="993" w:hanging="405"/>
      </w:pPr>
      <w:r w:rsidRPr="0064568D">
        <w:t>its financial performance and cash flows for the year ended on that date; and</w:t>
      </w:r>
    </w:p>
    <w:p w14:paraId="48E0390A" w14:textId="033E8111" w:rsidR="0064568D" w:rsidRPr="0064568D" w:rsidRDefault="0064568D" w:rsidP="0064568D">
      <w:pPr>
        <w:pStyle w:val="Dash"/>
      </w:pPr>
      <w:r w:rsidRPr="0064568D">
        <w:t xml:space="preserve"> comply with generally accepted accounting practice in New Zealand in accordance with Public Benefit Entity Reporting Standards.</w:t>
      </w:r>
    </w:p>
    <w:p w14:paraId="5CF92313" w14:textId="62CA7016" w:rsidR="0064568D" w:rsidRDefault="0064568D" w:rsidP="0064568D">
      <w:pPr>
        <w:pStyle w:val="Bullet"/>
      </w:pPr>
      <w:r>
        <w:t>The performance information for the appropriations administered by the Ministry for the year ended 30 June 2024:</w:t>
      </w:r>
    </w:p>
    <w:p w14:paraId="5CC38610" w14:textId="52E3170D" w:rsidR="0064568D" w:rsidRDefault="0064568D" w:rsidP="0064568D">
      <w:pPr>
        <w:pStyle w:val="Dash"/>
      </w:pPr>
      <w:r>
        <w:t xml:space="preserve"> presents fairly, in all material respects:</w:t>
      </w:r>
    </w:p>
    <w:p w14:paraId="53FAFECF" w14:textId="1F73EDD7" w:rsidR="0064568D" w:rsidRDefault="0064568D" w:rsidP="0064568D">
      <w:pPr>
        <w:pStyle w:val="Dash"/>
        <w:tabs>
          <w:tab w:val="clear" w:pos="567"/>
          <w:tab w:val="num" w:pos="980"/>
        </w:tabs>
        <w:ind w:left="993" w:hanging="405"/>
      </w:pPr>
      <w:r>
        <w:tab/>
        <w:t>what has been achieved with the appropriation; and</w:t>
      </w:r>
    </w:p>
    <w:p w14:paraId="5F0E33B9" w14:textId="53A1C8EE" w:rsidR="0064568D" w:rsidRDefault="0064568D" w:rsidP="0064568D">
      <w:pPr>
        <w:pStyle w:val="Dash"/>
        <w:tabs>
          <w:tab w:val="clear" w:pos="567"/>
          <w:tab w:val="num" w:pos="980"/>
        </w:tabs>
        <w:ind w:left="993" w:hanging="405"/>
      </w:pPr>
      <w:r>
        <w:lastRenderedPageBreak/>
        <w:t>the actual expenses or capital expenditure incurred as compared with the expenses or capital expenditure that were appropriated or forecast to be incurred; and</w:t>
      </w:r>
    </w:p>
    <w:p w14:paraId="141ECAFC" w14:textId="7C0849A6" w:rsidR="0064568D" w:rsidRDefault="0064568D" w:rsidP="0064568D">
      <w:pPr>
        <w:pStyle w:val="Dash"/>
      </w:pPr>
      <w:r>
        <w:t>complies with generally accepted accounting practice in New Zealand.</w:t>
      </w:r>
    </w:p>
    <w:p w14:paraId="5E3AE839" w14:textId="1AAD60A2" w:rsidR="00AD1BB6" w:rsidRDefault="00AD1BB6" w:rsidP="00AD1BB6">
      <w:pPr>
        <w:pStyle w:val="Bullet"/>
      </w:pPr>
      <w:r>
        <w:t>The statements of budgeted and actual expenses and capital expenditure of the Ministry are presented, in all material respects, in accordance with the requirements of section 45A of the Public Finance Act 1989.</w:t>
      </w:r>
    </w:p>
    <w:p w14:paraId="14EBCAF8" w14:textId="074B52B1" w:rsidR="00AD1BB6" w:rsidRDefault="00AD1BB6" w:rsidP="00AD1BB6">
      <w:pPr>
        <w:pStyle w:val="Bullet"/>
      </w:pPr>
      <w:r>
        <w:t>The schedules of non-departmental activities which are managed by the Ministry on behalf of the Crown present fairly, in all material respects, in accordance with the Treasury Instructions:</w:t>
      </w:r>
    </w:p>
    <w:p w14:paraId="34D65407" w14:textId="4D294B00" w:rsidR="00AD1BB6" w:rsidRDefault="00AD1BB6" w:rsidP="00AD1BB6">
      <w:pPr>
        <w:pStyle w:val="Dash"/>
      </w:pPr>
      <w:r>
        <w:t xml:space="preserve"> the assets; liabilities; commitments; and contingent liabilities and assets as </w:t>
      </w:r>
      <w:proofErr w:type="gramStart"/>
      <w:r>
        <w:t>at</w:t>
      </w:r>
      <w:proofErr w:type="gramEnd"/>
      <w:r>
        <w:t xml:space="preserve"> 30 June 2024; and</w:t>
      </w:r>
    </w:p>
    <w:p w14:paraId="1D625268" w14:textId="5FA4AD15" w:rsidR="00AD1BB6" w:rsidRDefault="00AD1BB6" w:rsidP="00AD1BB6">
      <w:pPr>
        <w:pStyle w:val="Dash"/>
      </w:pPr>
      <w:r>
        <w:t xml:space="preserve"> </w:t>
      </w:r>
      <w:proofErr w:type="gramStart"/>
      <w:r>
        <w:t>expenses;</w:t>
      </w:r>
      <w:proofErr w:type="gramEnd"/>
      <w:r>
        <w:t xml:space="preserve"> and revenue for the year ended 30 June 2024.</w:t>
      </w:r>
    </w:p>
    <w:p w14:paraId="1367D03F" w14:textId="77777777" w:rsidR="00AD1BB6" w:rsidRDefault="00AD1BB6" w:rsidP="00AD1BB6">
      <w:pPr>
        <w:tabs>
          <w:tab w:val="left" w:pos="867"/>
        </w:tabs>
      </w:pPr>
    </w:p>
    <w:p w14:paraId="60002CA8" w14:textId="4B90F730" w:rsidR="00AD1BB6" w:rsidRDefault="00AD1BB6" w:rsidP="00AD1BB6">
      <w:pPr>
        <w:tabs>
          <w:tab w:val="left" w:pos="867"/>
        </w:tabs>
      </w:pPr>
      <w:r>
        <w:t>Our audit was completed on 30 September 2024. This is the date at which our opinion is expressed.</w:t>
      </w:r>
    </w:p>
    <w:p w14:paraId="4C3FA914" w14:textId="77777777" w:rsidR="00AD1BB6" w:rsidRDefault="00AD1BB6" w:rsidP="00AD1BB6">
      <w:pPr>
        <w:tabs>
          <w:tab w:val="left" w:pos="867"/>
        </w:tabs>
      </w:pPr>
    </w:p>
    <w:p w14:paraId="3EC3A3BD" w14:textId="77777777" w:rsidR="0064568D" w:rsidRDefault="00AD1BB6" w:rsidP="00AD1BB6">
      <w:pPr>
        <w:tabs>
          <w:tab w:val="left" w:pos="867"/>
        </w:tabs>
      </w:pPr>
      <w:r>
        <w:t>The basis for our opinion is explained below. In addition, we outline the responsibilities of the Director-General of Health and our responsibilities relating to the information to be audited, we comment on other information, and we explain our independence.</w:t>
      </w:r>
      <w:r w:rsidR="0064568D">
        <w:tab/>
      </w:r>
    </w:p>
    <w:p w14:paraId="4743A60A" w14:textId="77777777" w:rsidR="00AD1BB6" w:rsidRDefault="00AD1BB6" w:rsidP="00AD1BB6">
      <w:pPr>
        <w:pStyle w:val="Heading4"/>
      </w:pPr>
      <w:r>
        <w:t>Basis for our opinion</w:t>
      </w:r>
    </w:p>
    <w:p w14:paraId="0945AD78" w14:textId="77777777" w:rsidR="00AD1BB6" w:rsidRDefault="00AD1BB6" w:rsidP="00AD1BB6">
      <w:r>
        <w:t>We carried out our audit in accordance with the Auditor-General’s Auditing Standards,</w:t>
      </w:r>
    </w:p>
    <w:p w14:paraId="511C9448" w14:textId="4E770501" w:rsidR="00AD1BB6" w:rsidRDefault="00AD1BB6" w:rsidP="00AD1BB6">
      <w:r>
        <w:t>which incorporate the Professional and Ethical Standards and the International Standards on Auditing (New Zealand) issued by the New Zealand Auditing and Assurance Standards Board. Our responsibilities under those standards are further described in the Responsibilities of the auditor section of our report.</w:t>
      </w:r>
    </w:p>
    <w:p w14:paraId="4707C48A" w14:textId="77777777" w:rsidR="00AD1BB6" w:rsidRDefault="00AD1BB6" w:rsidP="00AD1BB6"/>
    <w:p w14:paraId="50717721" w14:textId="100BBF6C" w:rsidR="00AD1BB6" w:rsidRDefault="00AD1BB6" w:rsidP="00AD1BB6">
      <w:r>
        <w:t>We have fulfilled our responsibilities in accordance with the Auditor-General’s Auditing Standards.</w:t>
      </w:r>
    </w:p>
    <w:p w14:paraId="2DBB4B2E" w14:textId="77777777" w:rsidR="00AD1BB6" w:rsidRDefault="00AD1BB6" w:rsidP="00AD1BB6"/>
    <w:p w14:paraId="619281ED" w14:textId="053FFF5A" w:rsidR="00AD1BB6" w:rsidRDefault="00AD1BB6" w:rsidP="00AD1BB6">
      <w:r>
        <w:t>We believe that the audit evidence we have obtained is sufficient and appropriate to provide a basis for our audit opinion.</w:t>
      </w:r>
    </w:p>
    <w:p w14:paraId="6ED1E89E" w14:textId="77777777" w:rsidR="00AD1BB6" w:rsidRDefault="00AD1BB6" w:rsidP="00AD1BB6">
      <w:pPr>
        <w:pStyle w:val="Heading4"/>
      </w:pPr>
      <w:r>
        <w:t>Responsibilities of the Director-General of Health for the audited information</w:t>
      </w:r>
    </w:p>
    <w:p w14:paraId="05D5E50C" w14:textId="77777777" w:rsidR="00AD1BB6" w:rsidRDefault="00AD1BB6" w:rsidP="00AD1BB6">
      <w:r>
        <w:t>The Director-General of Health is responsible on behalf of the Ministry for preparing the:</w:t>
      </w:r>
    </w:p>
    <w:p w14:paraId="79C0A358" w14:textId="448E1198" w:rsidR="00AD1BB6" w:rsidRDefault="00AD1BB6" w:rsidP="00AD1BB6">
      <w:pPr>
        <w:pStyle w:val="Bullet"/>
      </w:pPr>
      <w:r>
        <w:t>Financial statements that present fairly the Ministry’s financial position, financial performance, and its cash flows, and that comply with generally accepted accounting practice in New Zealand.</w:t>
      </w:r>
    </w:p>
    <w:p w14:paraId="6E476AB1" w14:textId="277D35EC" w:rsidR="00AD1BB6" w:rsidRDefault="00AD1BB6" w:rsidP="00AD1BB6">
      <w:pPr>
        <w:pStyle w:val="Bullet"/>
      </w:pPr>
      <w:r>
        <w:t>Performance information that presents fairly what has been achieved with each appropriation, the expenditure incurred as compared with expenditure expected to be incurred, and that complies with generally accepted accounting practice in New Zealand.</w:t>
      </w:r>
    </w:p>
    <w:p w14:paraId="3A25DF4D" w14:textId="77777777" w:rsidR="00287BE9" w:rsidRDefault="00AD1BB6" w:rsidP="00AD1BB6">
      <w:pPr>
        <w:pStyle w:val="Bullet"/>
        <w:sectPr w:rsidR="00287BE9" w:rsidSect="000A3324">
          <w:headerReference w:type="even" r:id="rId43"/>
          <w:headerReference w:type="default" r:id="rId44"/>
          <w:footerReference w:type="even" r:id="rId45"/>
          <w:pgSz w:w="11907" w:h="16840" w:code="9"/>
          <w:pgMar w:top="1418" w:right="1701" w:bottom="1134" w:left="1843" w:header="284" w:footer="425" w:gutter="284"/>
          <w:cols w:space="720"/>
        </w:sectPr>
      </w:pPr>
      <w:r>
        <w:t>Statements of expenses and capital expenditure of the Ministry, that are presented fairly, in accordance with the requirements of the Public Finance Act 1989.</w:t>
      </w:r>
    </w:p>
    <w:p w14:paraId="37D73B19" w14:textId="00A17F74" w:rsidR="00AD1BB6" w:rsidRDefault="00AD1BB6" w:rsidP="00AD1BB6">
      <w:pPr>
        <w:pStyle w:val="Bullet"/>
      </w:pPr>
      <w:r>
        <w:lastRenderedPageBreak/>
        <w:t>Schedules of non-departmental activities, in accordance with the Treasury Instructions, that present fairly those activities managed by the Ministry on behalf of the Crown.</w:t>
      </w:r>
    </w:p>
    <w:p w14:paraId="64E86C47" w14:textId="77777777" w:rsidR="00AD1BB6" w:rsidRDefault="00AD1BB6" w:rsidP="00AD1BB6"/>
    <w:p w14:paraId="57030CA4" w14:textId="4EA32C54" w:rsidR="00AD1BB6" w:rsidRDefault="00AD1BB6" w:rsidP="00AD1BB6">
      <w:r>
        <w:t>The Director-General of Health is responsible for such internal control as is determined is necessary to enable the preparation of the information to be audited that is free from material misstatement, whether due to fraud or error.</w:t>
      </w:r>
    </w:p>
    <w:p w14:paraId="5AA731A5" w14:textId="77777777" w:rsidR="00AD1BB6" w:rsidRDefault="00AD1BB6" w:rsidP="00AD1BB6"/>
    <w:p w14:paraId="0C771049" w14:textId="388879A5" w:rsidR="00AD1BB6" w:rsidRDefault="00AD1BB6" w:rsidP="00AD1BB6">
      <w:r>
        <w:t>In preparing the audited information, the Director-General of Health is responsible on behalf of the Ministry for assessing the Ministry’s ability to continue as a going concern. The Director-General of Health is also responsible for disclosing, as applicable, matters related to going concern and using the going concern basis of accounting, unless there is an intention to merge or to terminate the activities of the Ministry, or there is no realistic alternative but to do so.</w:t>
      </w:r>
    </w:p>
    <w:p w14:paraId="66AF8DCC" w14:textId="77777777" w:rsidR="00AD1BB6" w:rsidRDefault="00AD1BB6" w:rsidP="00AD1BB6"/>
    <w:p w14:paraId="54E1DC39" w14:textId="77DFC9A9" w:rsidR="00AD1BB6" w:rsidRDefault="00AD1BB6" w:rsidP="00AD1BB6">
      <w:r>
        <w:t>The Director-General of Health’s responsibilities arise from the Public Finance Act 1989.</w:t>
      </w:r>
    </w:p>
    <w:p w14:paraId="57417188" w14:textId="77777777" w:rsidR="00AD1BB6" w:rsidRDefault="00AD1BB6" w:rsidP="00AD1BB6">
      <w:pPr>
        <w:pStyle w:val="Heading4"/>
      </w:pPr>
      <w:r>
        <w:t>Responsibilities of the auditor for the audited information</w:t>
      </w:r>
    </w:p>
    <w:p w14:paraId="04AD5776" w14:textId="5995462F" w:rsidR="00AD1BB6" w:rsidRDefault="00AD1BB6" w:rsidP="00AD1BB6">
      <w:r>
        <w:t>Our objectives are to obtain reasonable assurance about whether the information we audited, as a whole, is free from material misstatement, whether due to fraud or error, and to issue an auditor’s report that includes our opinion.</w:t>
      </w:r>
    </w:p>
    <w:p w14:paraId="4EB25323" w14:textId="77777777" w:rsidR="00AD1BB6" w:rsidRDefault="00AD1BB6" w:rsidP="00AD1BB6"/>
    <w:p w14:paraId="0900F04F" w14:textId="2A2C4C4B" w:rsidR="00AD1BB6" w:rsidRDefault="00AD1BB6" w:rsidP="00AD1BB6">
      <w:r>
        <w:t>Reasonable assurance is a high level of assurance but is not a guarantee that an audit carried out in accordance with the Auditor-General’s Auditing Standards will always detect a material misstatement when it exists. Misstatements are differences or omissions of amounts or disclosures and can arise from fraud or error. Misstatements are considered material if, individually or in the aggregate, they could reasonably be expected to influence the decisions of readers, taken on the basis of the information we audited.</w:t>
      </w:r>
    </w:p>
    <w:p w14:paraId="0077A647" w14:textId="77777777" w:rsidR="00AD1BB6" w:rsidRDefault="00AD1BB6" w:rsidP="00AD1BB6"/>
    <w:p w14:paraId="040FC126" w14:textId="09329AC8" w:rsidR="00AD1BB6" w:rsidRDefault="00AD1BB6" w:rsidP="00AD1BB6">
      <w:r>
        <w:t>For the budget information reported in the information we audited, our procedures were limited to checking that the information agreed to the Ministry’s Estimates and Supplementary Estimates of Appropriations 2023/24 and forecast financial figures included in the Ministry’s 2022/23 annual report.</w:t>
      </w:r>
    </w:p>
    <w:p w14:paraId="7568ABD8" w14:textId="77777777" w:rsidR="00AD1BB6" w:rsidRDefault="00AD1BB6" w:rsidP="00AD1BB6"/>
    <w:p w14:paraId="6B7175FD" w14:textId="4B9563DC" w:rsidR="00AD1BB6" w:rsidRDefault="00AD1BB6" w:rsidP="00AD1BB6">
      <w:r>
        <w:t>We did not evaluate the security and controls over the electronic publication of the information we audited.</w:t>
      </w:r>
    </w:p>
    <w:p w14:paraId="3D24BDD2" w14:textId="77777777" w:rsidR="00AD1BB6" w:rsidRDefault="00AD1BB6" w:rsidP="00AD1BB6"/>
    <w:p w14:paraId="7AC86B09" w14:textId="77777777" w:rsidR="00AD1BB6" w:rsidRDefault="00AD1BB6" w:rsidP="00AD1BB6">
      <w:r>
        <w:t>As part of an audit in accordance with the Auditor-General’s Auditing Standards, we exercise professional judgement and maintain professional scepticism throughout the audit. Also:</w:t>
      </w:r>
    </w:p>
    <w:p w14:paraId="75BF297C" w14:textId="3442C0F2" w:rsidR="00AD1BB6" w:rsidRDefault="00AD1BB6" w:rsidP="00AD1BB6">
      <w:pPr>
        <w:pStyle w:val="Bullet"/>
      </w:pPr>
      <w:r>
        <w:t>We identify and assess the risks of material misstatement of the information we audited,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14:paraId="41A76592" w14:textId="5247D706" w:rsidR="00AD1BB6" w:rsidRDefault="00AD1BB6" w:rsidP="00AD1BB6">
      <w:pPr>
        <w:pStyle w:val="Bullet"/>
      </w:pPr>
      <w:r>
        <w:lastRenderedPageBreak/>
        <w:t>We obtain an understanding of internal control relevant to the audit in order to design audit procedures that are appropriate in the circumstances, but not for the purpose of expressing an opinion on the effectiveness of the Ministry’s internal control.</w:t>
      </w:r>
    </w:p>
    <w:p w14:paraId="4DF05EB1" w14:textId="07055C9D" w:rsidR="00AD1BB6" w:rsidRDefault="00AD1BB6" w:rsidP="00AD1BB6">
      <w:pPr>
        <w:pStyle w:val="Bullet"/>
      </w:pPr>
      <w:r>
        <w:t>We evaluate the appropriateness of accounting policies used and the reasonableness of accounting estimates and related disclosures made by the Director-General of Health.</w:t>
      </w:r>
    </w:p>
    <w:p w14:paraId="196D7F2D" w14:textId="72ADD0C7" w:rsidR="00AD1BB6" w:rsidRDefault="00AD1BB6" w:rsidP="00AD1BB6">
      <w:pPr>
        <w:pStyle w:val="Bullet"/>
      </w:pPr>
      <w:r>
        <w:t>We evaluate the appropriateness of the reported performance information for the appropriations administered by the Ministry.</w:t>
      </w:r>
    </w:p>
    <w:p w14:paraId="18B490C8" w14:textId="6135FBA4" w:rsidR="00AD1BB6" w:rsidRDefault="00AD1BB6" w:rsidP="00AD1BB6">
      <w:pPr>
        <w:pStyle w:val="Bullet"/>
      </w:pPr>
      <w:r>
        <w:t>We conclude on the appropriateness of the use of the going concern basis of accounting by the Director-General of Health and, based on the audit evidence obtained, whether a material uncertainty exists related to events or conditions that may cast significant doubt on the Ministry’s ability to continue as a going concern. If we conclude that a material uncertainty exists, we are required to draw attention in our auditor’s report to the related disclosures in the information we audited or, if such disclosures are inadequate, to modify our opinion. Our conclusions are based on the audit evidence obtained up to the date of our auditor’s report. However, future events or conditions may cause the Ministry to cease to continue as a going concern.</w:t>
      </w:r>
    </w:p>
    <w:p w14:paraId="6222FB4E" w14:textId="7C1DFDCD" w:rsidR="00AD1BB6" w:rsidRDefault="00AD1BB6" w:rsidP="00AD1BB6">
      <w:pPr>
        <w:pStyle w:val="Bullet"/>
      </w:pPr>
      <w:r>
        <w:t>We evaluate the overall presentation, structure and content of the information we audited, including the disclosures, and whether the information we audited represents the underlying transactions and events in a manner that achieves fair presentation.</w:t>
      </w:r>
    </w:p>
    <w:p w14:paraId="528D7182" w14:textId="77777777" w:rsidR="00AD1BB6" w:rsidRDefault="00AD1BB6" w:rsidP="00AD1BB6"/>
    <w:p w14:paraId="730FD771" w14:textId="5F47312B" w:rsidR="00AD1BB6" w:rsidRDefault="00AD1BB6" w:rsidP="00AD1BB6">
      <w:r>
        <w:t>We communicate with the Director-General of Health regarding, among other matters, the planned scope and timing of the audit and significant audit findings, including any significant deficiencies in internal control that we identify during our audit.</w:t>
      </w:r>
    </w:p>
    <w:p w14:paraId="493623A0" w14:textId="77777777" w:rsidR="00AD1BB6" w:rsidRDefault="00AD1BB6" w:rsidP="00AD1BB6"/>
    <w:p w14:paraId="0EC3CFB5" w14:textId="3D018545" w:rsidR="00AD1BB6" w:rsidRDefault="00AD1BB6" w:rsidP="00AD1BB6">
      <w:r>
        <w:t>Our responsibilities arise from the Public Audit Act 2001.</w:t>
      </w:r>
    </w:p>
    <w:p w14:paraId="6A079AA1" w14:textId="77777777" w:rsidR="00AD1BB6" w:rsidRDefault="00AD1BB6" w:rsidP="00AD1BB6">
      <w:pPr>
        <w:pStyle w:val="Heading4"/>
      </w:pPr>
      <w:r>
        <w:t>Other information</w:t>
      </w:r>
    </w:p>
    <w:p w14:paraId="40C3F266" w14:textId="6F03D9AA" w:rsidR="00AD1BB6" w:rsidRDefault="00AD1BB6" w:rsidP="00AD1BB6">
      <w:r>
        <w:t xml:space="preserve">The Director-General of Health is responsible for the other information. The other information comprises the information included on </w:t>
      </w:r>
      <w:r w:rsidRPr="00672DB3">
        <w:t>pages iii, iv, 3 to 60, 74, 77 to 95 and 237</w:t>
      </w:r>
      <w:r>
        <w:t>, but does not include the information we audited, and our auditor’s report thereon.</w:t>
      </w:r>
    </w:p>
    <w:p w14:paraId="01C2302B" w14:textId="77777777" w:rsidR="00AD1BB6" w:rsidRDefault="00AD1BB6" w:rsidP="00AD1BB6"/>
    <w:p w14:paraId="3836F9B6" w14:textId="11BE9A32" w:rsidR="00AD1BB6" w:rsidRDefault="00AD1BB6" w:rsidP="00AD1BB6">
      <w:r>
        <w:t>Our opinion on the information we audited does not cover the other information and we do not express any form of audit opinion or assurance conclusion thereon.</w:t>
      </w:r>
    </w:p>
    <w:p w14:paraId="582E28F6" w14:textId="77777777" w:rsidR="00AD1BB6" w:rsidRDefault="00AD1BB6" w:rsidP="00AD1BB6"/>
    <w:p w14:paraId="4DB365AF" w14:textId="30169FF9" w:rsidR="00AD1BB6" w:rsidRDefault="00AD1BB6" w:rsidP="00AD1BB6">
      <w:r>
        <w:t xml:space="preserve">Our responsibility is to read the other information. In doing so, we consider whether the other information is materially inconsistent with the information we </w:t>
      </w:r>
      <w:proofErr w:type="gramStart"/>
      <w:r>
        <w:t>audited</w:t>
      </w:r>
      <w:proofErr w:type="gramEnd"/>
      <w:r>
        <w:t xml:space="preserve"> or our knowledge obtained in the audit, or otherwise appears to be materially misstated. If, based on our work, we conclude that there is a material misstatement of this other information, we are required to report that fact. We have nothing to report in this regard.</w:t>
      </w:r>
    </w:p>
    <w:p w14:paraId="1651E83D" w14:textId="7DE64A11" w:rsidR="00AD1BB6" w:rsidRDefault="00AD1BB6" w:rsidP="00AD1BB6"/>
    <w:p w14:paraId="29539A44" w14:textId="77777777" w:rsidR="00AD1BB6" w:rsidRDefault="00AD1BB6" w:rsidP="00AD1BB6">
      <w:pPr>
        <w:pStyle w:val="Heading4"/>
      </w:pPr>
      <w:r>
        <w:lastRenderedPageBreak/>
        <w:t>Independence</w:t>
      </w:r>
    </w:p>
    <w:p w14:paraId="0751DA27" w14:textId="071B9933" w:rsidR="00AD1BB6" w:rsidRDefault="00AD1BB6" w:rsidP="00AD1BB6">
      <w:r>
        <w:t>We are independent of the Ministry in accordance with the independence requirements of the Auditor-General’s Auditing Standards, which incorporate the independence requirements of Professional and Ethical Standard 1: International Code of Ethics for Assurance Practitioners (including International Independence Standards) (New Zealand) (PES 1) issued by the New Zealand Auditing and Assurance Standards Board.</w:t>
      </w:r>
    </w:p>
    <w:p w14:paraId="48D0F53F" w14:textId="77777777" w:rsidR="00AD1BB6" w:rsidRDefault="00AD1BB6" w:rsidP="00AD1BB6"/>
    <w:p w14:paraId="06B4732D" w14:textId="135D42D0" w:rsidR="00AD1BB6" w:rsidRDefault="00AD1BB6" w:rsidP="00AD1BB6">
      <w:r>
        <w:t>Other than in our capacity as auditor, we have no relationship with, or interests, in the Ministry.</w:t>
      </w:r>
    </w:p>
    <w:p w14:paraId="7BD8DFA1" w14:textId="4A081AEC" w:rsidR="00AD1BB6" w:rsidRDefault="00AD1BB6" w:rsidP="00AD1BB6"/>
    <w:p w14:paraId="33FDBE41" w14:textId="7857BE9A" w:rsidR="00AD1BB6" w:rsidRDefault="00AD1BB6" w:rsidP="00AD1BB6"/>
    <w:p w14:paraId="593821B7" w14:textId="6DFB96F6" w:rsidR="00AD1BB6" w:rsidRDefault="00AD1BB6" w:rsidP="00AD1BB6">
      <w:r>
        <w:rPr>
          <w:noProof/>
        </w:rPr>
        <w:drawing>
          <wp:anchor distT="0" distB="0" distL="114300" distR="114300" simplePos="0" relativeHeight="251711488" behindDoc="0" locked="0" layoutInCell="1" allowOverlap="1" wp14:anchorId="65E3553F" wp14:editId="59BC93D5">
            <wp:simplePos x="0" y="0"/>
            <wp:positionH relativeFrom="margin">
              <wp:align>left</wp:align>
            </wp:positionH>
            <wp:positionV relativeFrom="page">
              <wp:posOffset>3174577</wp:posOffset>
            </wp:positionV>
            <wp:extent cx="1133475" cy="438785"/>
            <wp:effectExtent l="0" t="0" r="9525" b="0"/>
            <wp:wrapNone/>
            <wp:docPr id="1309" name="Image 1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09" name="Image 1309">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1133475" cy="438785"/>
                    </a:xfrm>
                    <a:prstGeom prst="rect">
                      <a:avLst/>
                    </a:prstGeom>
                  </pic:spPr>
                </pic:pic>
              </a:graphicData>
            </a:graphic>
          </wp:anchor>
        </w:drawing>
      </w:r>
    </w:p>
    <w:p w14:paraId="1050E9AC" w14:textId="793128EA" w:rsidR="00AD1BB6" w:rsidRDefault="00AD1BB6" w:rsidP="00AD1BB6"/>
    <w:p w14:paraId="32DCA0EC" w14:textId="427698F8" w:rsidR="00AD1BB6" w:rsidRDefault="00AD1BB6" w:rsidP="00AD1BB6"/>
    <w:p w14:paraId="316BCB63" w14:textId="77777777" w:rsidR="00AD1BB6" w:rsidRPr="00AD1BB6" w:rsidRDefault="00AD1BB6" w:rsidP="00AD1BB6">
      <w:pPr>
        <w:rPr>
          <w:b/>
          <w:bCs/>
        </w:rPr>
      </w:pPr>
      <w:r w:rsidRPr="00AD1BB6">
        <w:rPr>
          <w:b/>
          <w:bCs/>
        </w:rPr>
        <w:t xml:space="preserve">Stephen Usher </w:t>
      </w:r>
    </w:p>
    <w:p w14:paraId="0294A708" w14:textId="5E59ADC2" w:rsidR="00AD1BB6" w:rsidRDefault="00AD1BB6" w:rsidP="00AD1BB6">
      <w:r>
        <w:t>Audit New Zealand</w:t>
      </w:r>
    </w:p>
    <w:p w14:paraId="64D5C79D" w14:textId="77777777" w:rsidR="00AD1BB6" w:rsidRDefault="00AD1BB6" w:rsidP="00AD1BB6">
      <w:r>
        <w:t xml:space="preserve">On behalf of the Auditor-General </w:t>
      </w:r>
    </w:p>
    <w:p w14:paraId="5985A161" w14:textId="0F665BA0" w:rsidR="00AD1BB6" w:rsidRPr="00AD1BB6" w:rsidRDefault="00AD1BB6" w:rsidP="00AD1BB6">
      <w:pPr>
        <w:sectPr w:rsidR="00AD1BB6" w:rsidRPr="00AD1BB6" w:rsidSect="000A3324">
          <w:headerReference w:type="even" r:id="rId47"/>
          <w:headerReference w:type="default" r:id="rId48"/>
          <w:pgSz w:w="11907" w:h="16840" w:code="9"/>
          <w:pgMar w:top="1418" w:right="1701" w:bottom="1134" w:left="1843" w:header="284" w:footer="425" w:gutter="284"/>
          <w:cols w:space="720"/>
        </w:sectPr>
      </w:pPr>
      <w:r>
        <w:t>Wellington, New Zealand</w:t>
      </w:r>
    </w:p>
    <w:p w14:paraId="44B90338" w14:textId="77777777" w:rsidR="005734DE" w:rsidRDefault="008B2CFF" w:rsidP="00D06007">
      <w:pPr>
        <w:pStyle w:val="Heading2"/>
        <w:spacing w:before="0"/>
      </w:pPr>
      <w:bookmarkStart w:id="41" w:name="_Toc180077037"/>
      <w:r w:rsidRPr="008B2CFF">
        <w:lastRenderedPageBreak/>
        <w:t>Statement of comprehensive revenue and expense for the year ended 30 June 2024</w:t>
      </w:r>
      <w:bookmarkEnd w:id="41"/>
    </w:p>
    <w:p w14:paraId="60BF11A9" w14:textId="77777777" w:rsidR="008B2CFF" w:rsidRDefault="008B2CFF" w:rsidP="008B2CFF">
      <w:pPr>
        <w:rPr>
          <w:highlight w:val="yellow"/>
        </w:rPr>
      </w:pPr>
    </w:p>
    <w:tbl>
      <w:tblPr>
        <w:tblW w:w="8080" w:type="dxa"/>
        <w:tblLayout w:type="fixed"/>
        <w:tblCellMar>
          <w:left w:w="0" w:type="dxa"/>
          <w:right w:w="0" w:type="dxa"/>
        </w:tblCellMar>
        <w:tblLook w:val="01E0" w:firstRow="1" w:lastRow="1" w:firstColumn="1" w:lastColumn="1" w:noHBand="0" w:noVBand="0"/>
      </w:tblPr>
      <w:tblGrid>
        <w:gridCol w:w="1275"/>
        <w:gridCol w:w="2411"/>
        <w:gridCol w:w="567"/>
        <w:gridCol w:w="1147"/>
        <w:gridCol w:w="1285"/>
        <w:gridCol w:w="1395"/>
      </w:tblGrid>
      <w:tr w:rsidR="00D06007" w14:paraId="17DAD83F" w14:textId="77777777" w:rsidTr="00CE40AF">
        <w:trPr>
          <w:trHeight w:val="1011"/>
        </w:trPr>
        <w:tc>
          <w:tcPr>
            <w:tcW w:w="1275" w:type="dxa"/>
            <w:shd w:val="clear" w:color="auto" w:fill="D9D9D9" w:themeFill="background1" w:themeFillShade="D9"/>
            <w:hideMark/>
          </w:tcPr>
          <w:p w14:paraId="113625C4" w14:textId="77777777" w:rsidR="00D06007" w:rsidRDefault="00D06007">
            <w:pPr>
              <w:pStyle w:val="TableText"/>
              <w:ind w:left="57" w:right="170"/>
              <w:jc w:val="right"/>
              <w:rPr>
                <w:rFonts w:cs="Segoe UI"/>
                <w:b/>
                <w:bCs/>
                <w:sz w:val="16"/>
                <w:szCs w:val="16"/>
              </w:rPr>
            </w:pPr>
            <w:r>
              <w:rPr>
                <w:rFonts w:cs="Segoe UI"/>
                <w:b/>
                <w:bCs/>
                <w:w w:val="110"/>
                <w:sz w:val="16"/>
                <w:szCs w:val="16"/>
              </w:rPr>
              <w:t>Actual</w:t>
            </w:r>
            <w:r>
              <w:rPr>
                <w:rFonts w:cs="Segoe UI"/>
                <w:b/>
                <w:bCs/>
                <w:w w:val="110"/>
                <w:sz w:val="16"/>
                <w:szCs w:val="16"/>
              </w:rPr>
              <w:br/>
            </w:r>
          </w:p>
          <w:p w14:paraId="65538314" w14:textId="5CEB2C6A" w:rsidR="00D06007" w:rsidRDefault="00D06007">
            <w:pPr>
              <w:pStyle w:val="TableText"/>
              <w:ind w:left="57" w:right="170"/>
              <w:jc w:val="right"/>
              <w:rPr>
                <w:rFonts w:cs="Segoe UI"/>
                <w:b/>
                <w:bCs/>
                <w:sz w:val="16"/>
                <w:szCs w:val="16"/>
              </w:rPr>
            </w:pPr>
            <w:r>
              <w:rPr>
                <w:rFonts w:cs="Segoe UI"/>
                <w:b/>
                <w:bCs/>
                <w:w w:val="105"/>
                <w:sz w:val="16"/>
                <w:szCs w:val="16"/>
              </w:rPr>
              <w:t>2023</w:t>
            </w:r>
          </w:p>
          <w:p w14:paraId="4FD87CEB" w14:textId="77777777" w:rsidR="00D06007" w:rsidRDefault="00D06007">
            <w:pPr>
              <w:pStyle w:val="TableText"/>
              <w:ind w:left="57" w:right="170"/>
              <w:jc w:val="right"/>
              <w:rPr>
                <w:rFonts w:cs="Segoe UI"/>
                <w:b/>
                <w:bCs/>
                <w:sz w:val="16"/>
                <w:szCs w:val="16"/>
              </w:rPr>
            </w:pPr>
            <w:r>
              <w:rPr>
                <w:rFonts w:cs="Segoe UI"/>
                <w:b/>
                <w:bCs/>
                <w:sz w:val="16"/>
                <w:szCs w:val="16"/>
              </w:rPr>
              <w:t>$000</w:t>
            </w:r>
          </w:p>
        </w:tc>
        <w:tc>
          <w:tcPr>
            <w:tcW w:w="2411" w:type="dxa"/>
            <w:shd w:val="clear" w:color="auto" w:fill="D9D9D9" w:themeFill="background1" w:themeFillShade="D9"/>
          </w:tcPr>
          <w:p w14:paraId="3F3D175E" w14:textId="77777777" w:rsidR="00D06007" w:rsidRDefault="00D06007">
            <w:pPr>
              <w:pStyle w:val="TableText"/>
              <w:ind w:left="57" w:right="57"/>
              <w:rPr>
                <w:rFonts w:cs="Segoe UI"/>
                <w:b/>
                <w:bCs/>
                <w:sz w:val="16"/>
                <w:szCs w:val="16"/>
              </w:rPr>
            </w:pPr>
          </w:p>
        </w:tc>
        <w:tc>
          <w:tcPr>
            <w:tcW w:w="567" w:type="dxa"/>
            <w:shd w:val="clear" w:color="auto" w:fill="D9D9D9" w:themeFill="background1" w:themeFillShade="D9"/>
          </w:tcPr>
          <w:p w14:paraId="25B63C61" w14:textId="77777777" w:rsidR="00D06007" w:rsidRDefault="00D06007">
            <w:pPr>
              <w:pStyle w:val="TableText"/>
              <w:ind w:left="57" w:right="57"/>
              <w:jc w:val="right"/>
              <w:rPr>
                <w:rFonts w:cs="Segoe UI"/>
                <w:b/>
                <w:bCs/>
                <w:sz w:val="16"/>
                <w:szCs w:val="16"/>
              </w:rPr>
            </w:pPr>
            <w:r>
              <w:rPr>
                <w:rFonts w:cs="Segoe UI"/>
                <w:b/>
                <w:bCs/>
                <w:sz w:val="16"/>
                <w:szCs w:val="16"/>
              </w:rPr>
              <w:br/>
            </w:r>
          </w:p>
          <w:p w14:paraId="5B3716CD" w14:textId="77777777" w:rsidR="00D06007" w:rsidRDefault="00D06007">
            <w:pPr>
              <w:pStyle w:val="TableText"/>
              <w:ind w:left="57" w:right="57"/>
              <w:jc w:val="right"/>
              <w:rPr>
                <w:rFonts w:cs="Segoe UI"/>
                <w:b/>
                <w:bCs/>
                <w:sz w:val="16"/>
                <w:szCs w:val="16"/>
              </w:rPr>
            </w:pPr>
          </w:p>
          <w:p w14:paraId="6B728DD6" w14:textId="77777777" w:rsidR="00D06007" w:rsidRDefault="00D06007">
            <w:pPr>
              <w:pStyle w:val="TableText"/>
              <w:ind w:left="57" w:right="57"/>
              <w:jc w:val="right"/>
              <w:rPr>
                <w:rFonts w:cs="Segoe UI"/>
                <w:b/>
                <w:bCs/>
                <w:sz w:val="16"/>
                <w:szCs w:val="16"/>
              </w:rPr>
            </w:pPr>
            <w:r>
              <w:rPr>
                <w:rFonts w:cs="Segoe UI"/>
                <w:b/>
                <w:bCs/>
                <w:sz w:val="16"/>
                <w:szCs w:val="16"/>
              </w:rPr>
              <w:t>Note</w:t>
            </w:r>
          </w:p>
        </w:tc>
        <w:tc>
          <w:tcPr>
            <w:tcW w:w="1147" w:type="dxa"/>
            <w:shd w:val="clear" w:color="auto" w:fill="D9D9D9" w:themeFill="background1" w:themeFillShade="D9"/>
            <w:hideMark/>
          </w:tcPr>
          <w:p w14:paraId="24B84301" w14:textId="77777777" w:rsidR="00D06007" w:rsidRDefault="00D06007">
            <w:pPr>
              <w:pStyle w:val="TableText"/>
              <w:ind w:left="57" w:right="57"/>
              <w:jc w:val="right"/>
              <w:rPr>
                <w:rFonts w:cs="Segoe UI"/>
                <w:b/>
                <w:bCs/>
                <w:sz w:val="16"/>
                <w:szCs w:val="16"/>
              </w:rPr>
            </w:pPr>
            <w:r>
              <w:rPr>
                <w:rFonts w:cs="Segoe UI"/>
                <w:b/>
                <w:bCs/>
                <w:sz w:val="16"/>
                <w:szCs w:val="16"/>
              </w:rPr>
              <w:t>Actual</w:t>
            </w:r>
            <w:r>
              <w:rPr>
                <w:rFonts w:cs="Segoe UI"/>
                <w:b/>
                <w:bCs/>
                <w:sz w:val="16"/>
                <w:szCs w:val="16"/>
              </w:rPr>
              <w:br/>
            </w:r>
          </w:p>
          <w:p w14:paraId="4BEF455E" w14:textId="23430F7C" w:rsidR="00D06007" w:rsidRDefault="00D06007">
            <w:pPr>
              <w:pStyle w:val="TableText"/>
              <w:ind w:left="57" w:right="57"/>
              <w:jc w:val="right"/>
              <w:rPr>
                <w:rFonts w:cs="Segoe UI"/>
                <w:b/>
                <w:bCs/>
                <w:sz w:val="16"/>
                <w:szCs w:val="16"/>
              </w:rPr>
            </w:pPr>
            <w:r>
              <w:rPr>
                <w:rFonts w:cs="Segoe UI"/>
                <w:b/>
                <w:bCs/>
                <w:sz w:val="16"/>
                <w:szCs w:val="16"/>
              </w:rPr>
              <w:t>2024</w:t>
            </w:r>
          </w:p>
          <w:p w14:paraId="35451658" w14:textId="77777777" w:rsidR="00D06007" w:rsidRDefault="00D06007">
            <w:pPr>
              <w:pStyle w:val="TableText"/>
              <w:ind w:left="57" w:right="57"/>
              <w:jc w:val="right"/>
              <w:rPr>
                <w:rFonts w:cs="Segoe UI"/>
                <w:b/>
                <w:bCs/>
                <w:sz w:val="16"/>
                <w:szCs w:val="16"/>
              </w:rPr>
            </w:pPr>
            <w:r>
              <w:rPr>
                <w:rFonts w:cs="Segoe UI"/>
                <w:b/>
                <w:bCs/>
                <w:sz w:val="16"/>
                <w:szCs w:val="16"/>
              </w:rPr>
              <w:t>$000</w:t>
            </w:r>
          </w:p>
        </w:tc>
        <w:tc>
          <w:tcPr>
            <w:tcW w:w="1285" w:type="dxa"/>
            <w:shd w:val="clear" w:color="auto" w:fill="D9D9D9" w:themeFill="background1" w:themeFillShade="D9"/>
            <w:hideMark/>
          </w:tcPr>
          <w:p w14:paraId="3676F6BA" w14:textId="77777777" w:rsidR="00D06007" w:rsidRDefault="00D06007">
            <w:pPr>
              <w:pStyle w:val="TableText"/>
              <w:ind w:left="57" w:right="57"/>
              <w:jc w:val="right"/>
              <w:rPr>
                <w:rFonts w:cs="Segoe UI"/>
                <w:b/>
                <w:bCs/>
                <w:sz w:val="16"/>
                <w:szCs w:val="16"/>
              </w:rPr>
            </w:pPr>
            <w:r>
              <w:rPr>
                <w:rFonts w:cs="Segoe UI"/>
                <w:b/>
                <w:bCs/>
                <w:sz w:val="16"/>
                <w:szCs w:val="16"/>
              </w:rPr>
              <w:t>Unaudited</w:t>
            </w:r>
            <w:r>
              <w:rPr>
                <w:rFonts w:cs="Segoe UI"/>
                <w:b/>
                <w:bCs/>
                <w:sz w:val="16"/>
                <w:szCs w:val="16"/>
              </w:rPr>
              <w:br/>
              <w:t>budget</w:t>
            </w:r>
          </w:p>
          <w:p w14:paraId="0CE3FF5C" w14:textId="7DFEA8CE" w:rsidR="00D06007" w:rsidRDefault="00D06007">
            <w:pPr>
              <w:pStyle w:val="TableText"/>
              <w:ind w:left="57" w:right="57"/>
              <w:jc w:val="right"/>
              <w:rPr>
                <w:rFonts w:cs="Segoe UI"/>
                <w:b/>
                <w:bCs/>
                <w:sz w:val="16"/>
                <w:szCs w:val="16"/>
              </w:rPr>
            </w:pPr>
            <w:r>
              <w:rPr>
                <w:rFonts w:cs="Segoe UI"/>
                <w:b/>
                <w:bCs/>
                <w:sz w:val="16"/>
                <w:szCs w:val="16"/>
              </w:rPr>
              <w:t>2024</w:t>
            </w:r>
          </w:p>
          <w:p w14:paraId="21C83255" w14:textId="77777777" w:rsidR="00D06007" w:rsidRDefault="00D06007">
            <w:pPr>
              <w:pStyle w:val="TableText"/>
              <w:ind w:left="57" w:right="57"/>
              <w:jc w:val="right"/>
              <w:rPr>
                <w:rFonts w:cs="Segoe UI"/>
                <w:b/>
                <w:bCs/>
                <w:sz w:val="16"/>
                <w:szCs w:val="16"/>
              </w:rPr>
            </w:pPr>
            <w:r>
              <w:rPr>
                <w:rFonts w:cs="Segoe UI"/>
                <w:b/>
                <w:bCs/>
                <w:sz w:val="16"/>
                <w:szCs w:val="16"/>
              </w:rPr>
              <w:t>$000</w:t>
            </w:r>
          </w:p>
        </w:tc>
        <w:tc>
          <w:tcPr>
            <w:tcW w:w="1395" w:type="dxa"/>
            <w:shd w:val="clear" w:color="auto" w:fill="D9D9D9" w:themeFill="background1" w:themeFillShade="D9"/>
            <w:hideMark/>
          </w:tcPr>
          <w:p w14:paraId="183FAC6A" w14:textId="77777777" w:rsidR="00D06007" w:rsidRDefault="00D06007">
            <w:pPr>
              <w:pStyle w:val="TableText"/>
              <w:ind w:left="57" w:right="57"/>
              <w:jc w:val="right"/>
              <w:rPr>
                <w:rFonts w:cs="Segoe UI"/>
                <w:b/>
                <w:bCs/>
                <w:sz w:val="16"/>
                <w:szCs w:val="16"/>
              </w:rPr>
            </w:pPr>
            <w:r>
              <w:rPr>
                <w:rFonts w:cs="Segoe UI"/>
                <w:b/>
                <w:bCs/>
                <w:sz w:val="16"/>
                <w:szCs w:val="16"/>
              </w:rPr>
              <w:t>Unaudited forecast</w:t>
            </w:r>
          </w:p>
          <w:p w14:paraId="5DC62790" w14:textId="4196F909" w:rsidR="00D06007" w:rsidRDefault="00D06007">
            <w:pPr>
              <w:pStyle w:val="TableText"/>
              <w:ind w:left="57" w:right="57"/>
              <w:jc w:val="right"/>
              <w:rPr>
                <w:rFonts w:cs="Segoe UI"/>
                <w:b/>
                <w:bCs/>
                <w:sz w:val="16"/>
                <w:szCs w:val="16"/>
              </w:rPr>
            </w:pPr>
            <w:r>
              <w:rPr>
                <w:rFonts w:cs="Segoe UI"/>
                <w:b/>
                <w:bCs/>
                <w:sz w:val="16"/>
                <w:szCs w:val="16"/>
              </w:rPr>
              <w:t>2025</w:t>
            </w:r>
          </w:p>
          <w:p w14:paraId="15E89CFA" w14:textId="77777777" w:rsidR="00D06007" w:rsidRDefault="00D06007">
            <w:pPr>
              <w:pStyle w:val="TableText"/>
              <w:ind w:left="57" w:right="57"/>
              <w:jc w:val="right"/>
              <w:rPr>
                <w:rFonts w:cs="Segoe UI"/>
                <w:b/>
                <w:bCs/>
                <w:sz w:val="16"/>
                <w:szCs w:val="16"/>
              </w:rPr>
            </w:pPr>
            <w:r>
              <w:rPr>
                <w:rFonts w:cs="Segoe UI"/>
                <w:b/>
                <w:bCs/>
                <w:sz w:val="16"/>
                <w:szCs w:val="16"/>
              </w:rPr>
              <w:t>$000</w:t>
            </w:r>
          </w:p>
        </w:tc>
      </w:tr>
      <w:tr w:rsidR="00D06007" w14:paraId="489CC5B7" w14:textId="77777777" w:rsidTr="00CE40AF">
        <w:trPr>
          <w:trHeight w:val="334"/>
        </w:trPr>
        <w:tc>
          <w:tcPr>
            <w:tcW w:w="1275" w:type="dxa"/>
          </w:tcPr>
          <w:p w14:paraId="41A6AFEB" w14:textId="77777777" w:rsidR="00D06007" w:rsidRDefault="00D06007">
            <w:pPr>
              <w:pStyle w:val="TableText"/>
              <w:ind w:left="57" w:right="170"/>
              <w:jc w:val="right"/>
              <w:rPr>
                <w:rFonts w:cs="Segoe UI"/>
                <w:b/>
                <w:bCs/>
                <w:sz w:val="16"/>
                <w:szCs w:val="16"/>
              </w:rPr>
            </w:pPr>
          </w:p>
        </w:tc>
        <w:tc>
          <w:tcPr>
            <w:tcW w:w="2411" w:type="dxa"/>
            <w:hideMark/>
          </w:tcPr>
          <w:p w14:paraId="32B7ABB4" w14:textId="77777777" w:rsidR="00D06007" w:rsidRDefault="00D06007">
            <w:pPr>
              <w:pStyle w:val="TableText"/>
              <w:ind w:left="57" w:right="57"/>
              <w:rPr>
                <w:rFonts w:cs="Segoe UI"/>
                <w:b/>
                <w:bCs/>
                <w:sz w:val="16"/>
                <w:szCs w:val="16"/>
              </w:rPr>
            </w:pPr>
            <w:r>
              <w:rPr>
                <w:rFonts w:cs="Segoe UI"/>
                <w:b/>
                <w:bCs/>
                <w:w w:val="105"/>
                <w:sz w:val="16"/>
                <w:szCs w:val="16"/>
              </w:rPr>
              <w:t>Revenue</w:t>
            </w:r>
          </w:p>
        </w:tc>
        <w:tc>
          <w:tcPr>
            <w:tcW w:w="567" w:type="dxa"/>
          </w:tcPr>
          <w:p w14:paraId="4B42F05B" w14:textId="77777777" w:rsidR="00D06007" w:rsidRDefault="00D06007">
            <w:pPr>
              <w:pStyle w:val="TableText"/>
              <w:ind w:left="57" w:right="57"/>
              <w:jc w:val="right"/>
              <w:rPr>
                <w:rFonts w:cs="Segoe UI"/>
                <w:b/>
                <w:bCs/>
                <w:sz w:val="16"/>
                <w:szCs w:val="16"/>
              </w:rPr>
            </w:pPr>
          </w:p>
        </w:tc>
        <w:tc>
          <w:tcPr>
            <w:tcW w:w="1147" w:type="dxa"/>
          </w:tcPr>
          <w:p w14:paraId="620BB656" w14:textId="77777777" w:rsidR="00D06007" w:rsidRDefault="00D06007">
            <w:pPr>
              <w:pStyle w:val="TableText"/>
              <w:ind w:left="57" w:right="57"/>
              <w:jc w:val="right"/>
              <w:rPr>
                <w:rFonts w:cs="Segoe UI"/>
                <w:b/>
                <w:bCs/>
                <w:sz w:val="16"/>
                <w:szCs w:val="16"/>
              </w:rPr>
            </w:pPr>
          </w:p>
        </w:tc>
        <w:tc>
          <w:tcPr>
            <w:tcW w:w="1285" w:type="dxa"/>
          </w:tcPr>
          <w:p w14:paraId="765EF4EE" w14:textId="77777777" w:rsidR="00D06007" w:rsidRDefault="00D06007">
            <w:pPr>
              <w:pStyle w:val="TableText"/>
              <w:ind w:left="57" w:right="57"/>
              <w:jc w:val="right"/>
              <w:rPr>
                <w:rFonts w:cs="Segoe UI"/>
                <w:b/>
                <w:bCs/>
                <w:sz w:val="16"/>
                <w:szCs w:val="16"/>
              </w:rPr>
            </w:pPr>
          </w:p>
        </w:tc>
        <w:tc>
          <w:tcPr>
            <w:tcW w:w="1395" w:type="dxa"/>
          </w:tcPr>
          <w:p w14:paraId="33E739AF" w14:textId="77777777" w:rsidR="00D06007" w:rsidRDefault="00D06007">
            <w:pPr>
              <w:pStyle w:val="TableText"/>
              <w:ind w:left="57" w:right="57"/>
              <w:jc w:val="right"/>
              <w:rPr>
                <w:rFonts w:cs="Segoe UI"/>
                <w:b/>
                <w:bCs/>
                <w:sz w:val="16"/>
                <w:szCs w:val="16"/>
              </w:rPr>
            </w:pPr>
          </w:p>
        </w:tc>
      </w:tr>
      <w:tr w:rsidR="00D06007" w14:paraId="3FB76CC3" w14:textId="77777777" w:rsidTr="00CE40AF">
        <w:trPr>
          <w:trHeight w:val="359"/>
        </w:trPr>
        <w:tc>
          <w:tcPr>
            <w:tcW w:w="1275" w:type="dxa"/>
          </w:tcPr>
          <w:p w14:paraId="4159E0D6" w14:textId="4ECE2796" w:rsidR="00D06007" w:rsidRDefault="00D06007" w:rsidP="00D06007">
            <w:pPr>
              <w:pStyle w:val="TableText"/>
              <w:ind w:left="57" w:right="170"/>
              <w:jc w:val="right"/>
              <w:rPr>
                <w:rFonts w:cs="Segoe UI"/>
                <w:sz w:val="16"/>
                <w:szCs w:val="16"/>
              </w:rPr>
            </w:pPr>
            <w:r>
              <w:rPr>
                <w:rFonts w:cs="Segoe UI"/>
                <w:sz w:val="16"/>
                <w:szCs w:val="16"/>
              </w:rPr>
              <w:t>282,864</w:t>
            </w:r>
          </w:p>
        </w:tc>
        <w:tc>
          <w:tcPr>
            <w:tcW w:w="2411" w:type="dxa"/>
            <w:hideMark/>
          </w:tcPr>
          <w:p w14:paraId="3013460A" w14:textId="77777777" w:rsidR="00D06007" w:rsidRDefault="00D06007" w:rsidP="00D06007">
            <w:pPr>
              <w:pStyle w:val="TableText"/>
              <w:ind w:left="57" w:right="57"/>
              <w:rPr>
                <w:rFonts w:cs="Segoe UI"/>
                <w:sz w:val="16"/>
                <w:szCs w:val="16"/>
              </w:rPr>
            </w:pPr>
            <w:r w:rsidRPr="00D06007">
              <w:rPr>
                <w:rFonts w:cs="Segoe UI"/>
                <w:sz w:val="16"/>
                <w:szCs w:val="16"/>
              </w:rPr>
              <w:t>Revenue Crown</w:t>
            </w:r>
          </w:p>
        </w:tc>
        <w:tc>
          <w:tcPr>
            <w:tcW w:w="567" w:type="dxa"/>
            <w:hideMark/>
          </w:tcPr>
          <w:p w14:paraId="6E72AE5E" w14:textId="39ECAB09" w:rsidR="00D06007" w:rsidRDefault="00D06007" w:rsidP="00D06007">
            <w:pPr>
              <w:pStyle w:val="TableText"/>
              <w:ind w:left="57" w:right="57"/>
              <w:jc w:val="right"/>
              <w:rPr>
                <w:rFonts w:cs="Segoe UI"/>
                <w:sz w:val="16"/>
                <w:szCs w:val="16"/>
              </w:rPr>
            </w:pPr>
            <w:r w:rsidRPr="00D06007">
              <w:rPr>
                <w:rFonts w:cs="Segoe UI"/>
                <w:sz w:val="16"/>
                <w:szCs w:val="16"/>
              </w:rPr>
              <w:t>2</w:t>
            </w:r>
          </w:p>
        </w:tc>
        <w:tc>
          <w:tcPr>
            <w:tcW w:w="1147" w:type="dxa"/>
            <w:hideMark/>
          </w:tcPr>
          <w:p w14:paraId="409849F4" w14:textId="73C47B63" w:rsidR="00D06007" w:rsidRDefault="00D06007" w:rsidP="00D06007">
            <w:pPr>
              <w:pStyle w:val="TableText"/>
              <w:ind w:left="57" w:right="57"/>
              <w:jc w:val="right"/>
              <w:rPr>
                <w:rFonts w:cs="Segoe UI"/>
                <w:sz w:val="16"/>
                <w:szCs w:val="16"/>
              </w:rPr>
            </w:pPr>
            <w:r w:rsidRPr="00D06007">
              <w:rPr>
                <w:rFonts w:cs="Segoe UI"/>
                <w:sz w:val="16"/>
                <w:szCs w:val="16"/>
              </w:rPr>
              <w:t>254,075</w:t>
            </w:r>
          </w:p>
        </w:tc>
        <w:tc>
          <w:tcPr>
            <w:tcW w:w="1285" w:type="dxa"/>
            <w:hideMark/>
          </w:tcPr>
          <w:p w14:paraId="2D59EE95" w14:textId="4B1981A2" w:rsidR="00D06007" w:rsidRDefault="00D06007" w:rsidP="00D06007">
            <w:pPr>
              <w:pStyle w:val="TableText"/>
              <w:ind w:left="57" w:right="57"/>
              <w:jc w:val="right"/>
              <w:rPr>
                <w:rFonts w:cs="Segoe UI"/>
                <w:sz w:val="16"/>
                <w:szCs w:val="16"/>
              </w:rPr>
            </w:pPr>
            <w:r w:rsidRPr="00D06007">
              <w:rPr>
                <w:rFonts w:cs="Segoe UI"/>
                <w:sz w:val="16"/>
                <w:szCs w:val="16"/>
              </w:rPr>
              <w:t>219,534</w:t>
            </w:r>
          </w:p>
        </w:tc>
        <w:tc>
          <w:tcPr>
            <w:tcW w:w="1395" w:type="dxa"/>
            <w:hideMark/>
          </w:tcPr>
          <w:p w14:paraId="6E2294E8" w14:textId="0351305E" w:rsidR="00D06007" w:rsidRDefault="00D06007" w:rsidP="00D06007">
            <w:pPr>
              <w:pStyle w:val="TableText"/>
              <w:ind w:left="57" w:right="57"/>
              <w:jc w:val="right"/>
              <w:rPr>
                <w:rFonts w:cs="Segoe UI"/>
                <w:sz w:val="16"/>
                <w:szCs w:val="16"/>
              </w:rPr>
            </w:pPr>
            <w:r w:rsidRPr="00D06007">
              <w:rPr>
                <w:rFonts w:cs="Segoe UI"/>
                <w:sz w:val="16"/>
                <w:szCs w:val="16"/>
              </w:rPr>
              <w:t>212,961</w:t>
            </w:r>
          </w:p>
        </w:tc>
      </w:tr>
      <w:tr w:rsidR="00D06007" w14:paraId="2C1649F8" w14:textId="77777777" w:rsidTr="00CE40AF">
        <w:trPr>
          <w:trHeight w:val="348"/>
        </w:trPr>
        <w:tc>
          <w:tcPr>
            <w:tcW w:w="1275" w:type="dxa"/>
            <w:tcBorders>
              <w:top w:val="nil"/>
              <w:left w:val="nil"/>
              <w:bottom w:val="single" w:sz="4" w:space="0" w:color="BFBFBF" w:themeColor="background1" w:themeShade="BF"/>
              <w:right w:val="nil"/>
            </w:tcBorders>
          </w:tcPr>
          <w:p w14:paraId="7AD43EA4" w14:textId="55D17524" w:rsidR="00D06007" w:rsidRDefault="00D06007" w:rsidP="00D06007">
            <w:pPr>
              <w:pStyle w:val="TableText"/>
              <w:ind w:left="57" w:right="170"/>
              <w:jc w:val="right"/>
              <w:rPr>
                <w:rFonts w:cs="Segoe UI"/>
                <w:sz w:val="16"/>
                <w:szCs w:val="16"/>
              </w:rPr>
            </w:pPr>
            <w:r>
              <w:rPr>
                <w:rFonts w:cs="Segoe UI"/>
                <w:sz w:val="16"/>
                <w:szCs w:val="16"/>
              </w:rPr>
              <w:t>19,683</w:t>
            </w:r>
          </w:p>
        </w:tc>
        <w:tc>
          <w:tcPr>
            <w:tcW w:w="2411" w:type="dxa"/>
            <w:tcBorders>
              <w:top w:val="nil"/>
              <w:left w:val="nil"/>
              <w:bottom w:val="single" w:sz="4" w:space="0" w:color="BFBFBF" w:themeColor="background1" w:themeShade="BF"/>
              <w:right w:val="nil"/>
            </w:tcBorders>
            <w:hideMark/>
          </w:tcPr>
          <w:p w14:paraId="3B74168F" w14:textId="77777777" w:rsidR="00D06007" w:rsidRDefault="00D06007" w:rsidP="00D06007">
            <w:pPr>
              <w:pStyle w:val="TableText"/>
              <w:ind w:left="57" w:right="57"/>
              <w:rPr>
                <w:rFonts w:cs="Segoe UI"/>
                <w:sz w:val="16"/>
                <w:szCs w:val="16"/>
              </w:rPr>
            </w:pPr>
            <w:r>
              <w:rPr>
                <w:rFonts w:cs="Segoe UI"/>
                <w:sz w:val="16"/>
                <w:szCs w:val="16"/>
              </w:rPr>
              <w:t>Other</w:t>
            </w:r>
            <w:r w:rsidRPr="00D06007">
              <w:rPr>
                <w:rFonts w:cs="Segoe UI"/>
                <w:sz w:val="16"/>
                <w:szCs w:val="16"/>
              </w:rPr>
              <w:t xml:space="preserve"> </w:t>
            </w:r>
            <w:r>
              <w:rPr>
                <w:rFonts w:cs="Segoe UI"/>
                <w:sz w:val="16"/>
                <w:szCs w:val="16"/>
              </w:rPr>
              <w:t>revenue</w:t>
            </w:r>
          </w:p>
        </w:tc>
        <w:tc>
          <w:tcPr>
            <w:tcW w:w="567" w:type="dxa"/>
            <w:tcBorders>
              <w:top w:val="nil"/>
              <w:left w:val="nil"/>
              <w:bottom w:val="single" w:sz="4" w:space="0" w:color="BFBFBF" w:themeColor="background1" w:themeShade="BF"/>
              <w:right w:val="nil"/>
            </w:tcBorders>
            <w:hideMark/>
          </w:tcPr>
          <w:p w14:paraId="6F9244E3" w14:textId="532501A1" w:rsidR="00D06007" w:rsidRDefault="00D06007" w:rsidP="00D06007">
            <w:pPr>
              <w:pStyle w:val="TableText"/>
              <w:ind w:left="57" w:right="57"/>
              <w:jc w:val="right"/>
              <w:rPr>
                <w:rFonts w:cs="Segoe UI"/>
                <w:sz w:val="16"/>
                <w:szCs w:val="16"/>
              </w:rPr>
            </w:pPr>
            <w:r w:rsidRPr="00D06007">
              <w:rPr>
                <w:rFonts w:cs="Segoe UI"/>
                <w:sz w:val="16"/>
                <w:szCs w:val="16"/>
              </w:rPr>
              <w:t>2</w:t>
            </w:r>
          </w:p>
        </w:tc>
        <w:tc>
          <w:tcPr>
            <w:tcW w:w="1147" w:type="dxa"/>
            <w:tcBorders>
              <w:top w:val="nil"/>
              <w:left w:val="nil"/>
              <w:bottom w:val="single" w:sz="4" w:space="0" w:color="BFBFBF" w:themeColor="background1" w:themeShade="BF"/>
              <w:right w:val="nil"/>
            </w:tcBorders>
            <w:hideMark/>
          </w:tcPr>
          <w:p w14:paraId="5969A99B" w14:textId="47942FEE" w:rsidR="00D06007" w:rsidRDefault="00D06007" w:rsidP="00D06007">
            <w:pPr>
              <w:pStyle w:val="TableText"/>
              <w:ind w:left="57" w:right="57"/>
              <w:jc w:val="right"/>
              <w:rPr>
                <w:rFonts w:cs="Segoe UI"/>
                <w:sz w:val="16"/>
                <w:szCs w:val="16"/>
              </w:rPr>
            </w:pPr>
            <w:r w:rsidRPr="00D06007">
              <w:rPr>
                <w:rFonts w:cs="Segoe UI"/>
                <w:sz w:val="16"/>
                <w:szCs w:val="16"/>
              </w:rPr>
              <w:t>29,857</w:t>
            </w:r>
          </w:p>
        </w:tc>
        <w:tc>
          <w:tcPr>
            <w:tcW w:w="1285" w:type="dxa"/>
            <w:tcBorders>
              <w:top w:val="nil"/>
              <w:left w:val="nil"/>
              <w:bottom w:val="single" w:sz="4" w:space="0" w:color="BFBFBF" w:themeColor="background1" w:themeShade="BF"/>
              <w:right w:val="nil"/>
            </w:tcBorders>
            <w:hideMark/>
          </w:tcPr>
          <w:p w14:paraId="459C83F0" w14:textId="5B422C4C" w:rsidR="00D06007" w:rsidRDefault="00D06007" w:rsidP="00D06007">
            <w:pPr>
              <w:pStyle w:val="TableText"/>
              <w:ind w:left="57" w:right="57"/>
              <w:jc w:val="right"/>
              <w:rPr>
                <w:rFonts w:cs="Segoe UI"/>
                <w:sz w:val="16"/>
                <w:szCs w:val="16"/>
              </w:rPr>
            </w:pPr>
            <w:r w:rsidRPr="00D06007">
              <w:rPr>
                <w:rFonts w:cs="Segoe UI"/>
                <w:sz w:val="16"/>
                <w:szCs w:val="16"/>
              </w:rPr>
              <w:t>18,225</w:t>
            </w:r>
          </w:p>
        </w:tc>
        <w:tc>
          <w:tcPr>
            <w:tcW w:w="1395" w:type="dxa"/>
            <w:tcBorders>
              <w:top w:val="nil"/>
              <w:left w:val="nil"/>
              <w:bottom w:val="single" w:sz="4" w:space="0" w:color="BFBFBF" w:themeColor="background1" w:themeShade="BF"/>
              <w:right w:val="nil"/>
            </w:tcBorders>
            <w:hideMark/>
          </w:tcPr>
          <w:p w14:paraId="207E65DB" w14:textId="63AF6853" w:rsidR="00D06007" w:rsidRDefault="00D06007" w:rsidP="00D06007">
            <w:pPr>
              <w:pStyle w:val="TableText"/>
              <w:ind w:left="57" w:right="57"/>
              <w:jc w:val="right"/>
              <w:rPr>
                <w:rFonts w:cs="Segoe UI"/>
                <w:sz w:val="16"/>
                <w:szCs w:val="16"/>
              </w:rPr>
            </w:pPr>
            <w:r w:rsidRPr="00D06007">
              <w:rPr>
                <w:rFonts w:cs="Segoe UI"/>
                <w:sz w:val="16"/>
                <w:szCs w:val="16"/>
              </w:rPr>
              <w:t>22,302</w:t>
            </w:r>
          </w:p>
        </w:tc>
      </w:tr>
      <w:tr w:rsidR="00D06007" w:rsidRPr="00D06007" w14:paraId="3E6CA227" w14:textId="77777777" w:rsidTr="00CE40AF">
        <w:trPr>
          <w:trHeight w:val="344"/>
        </w:trPr>
        <w:tc>
          <w:tcPr>
            <w:tcW w:w="1275" w:type="dxa"/>
            <w:tcBorders>
              <w:top w:val="single" w:sz="4" w:space="0" w:color="BFBFBF" w:themeColor="background1" w:themeShade="BF"/>
              <w:left w:val="nil"/>
              <w:bottom w:val="single" w:sz="4" w:space="0" w:color="BFBFBF" w:themeColor="background1" w:themeShade="BF"/>
              <w:right w:val="nil"/>
            </w:tcBorders>
          </w:tcPr>
          <w:p w14:paraId="6E20668A" w14:textId="5F87C323" w:rsidR="00D06007" w:rsidRPr="00D06007" w:rsidRDefault="00D06007" w:rsidP="00D06007">
            <w:pPr>
              <w:pStyle w:val="TableText"/>
              <w:ind w:left="57" w:right="170"/>
              <w:jc w:val="right"/>
              <w:rPr>
                <w:rFonts w:cs="Segoe UI"/>
                <w:b/>
                <w:bCs/>
                <w:sz w:val="16"/>
                <w:szCs w:val="16"/>
              </w:rPr>
            </w:pPr>
            <w:r w:rsidRPr="00D06007">
              <w:rPr>
                <w:rFonts w:cs="Segoe UI"/>
                <w:b/>
                <w:bCs/>
                <w:sz w:val="16"/>
                <w:szCs w:val="16"/>
              </w:rPr>
              <w:t>302,547</w:t>
            </w:r>
          </w:p>
        </w:tc>
        <w:tc>
          <w:tcPr>
            <w:tcW w:w="2411" w:type="dxa"/>
            <w:tcBorders>
              <w:top w:val="single" w:sz="4" w:space="0" w:color="BFBFBF" w:themeColor="background1" w:themeShade="BF"/>
              <w:left w:val="nil"/>
              <w:bottom w:val="single" w:sz="4" w:space="0" w:color="BFBFBF" w:themeColor="background1" w:themeShade="BF"/>
              <w:right w:val="nil"/>
            </w:tcBorders>
            <w:hideMark/>
          </w:tcPr>
          <w:p w14:paraId="6C0AA5DB" w14:textId="77777777" w:rsidR="00D06007" w:rsidRPr="00D06007" w:rsidRDefault="00D06007" w:rsidP="00D06007">
            <w:pPr>
              <w:pStyle w:val="TableText"/>
              <w:ind w:left="57" w:right="57"/>
              <w:rPr>
                <w:rFonts w:cs="Segoe UI"/>
                <w:b/>
                <w:bCs/>
                <w:sz w:val="16"/>
                <w:szCs w:val="16"/>
              </w:rPr>
            </w:pPr>
            <w:r w:rsidRPr="00D06007">
              <w:rPr>
                <w:rFonts w:cs="Segoe UI"/>
                <w:b/>
                <w:bCs/>
                <w:sz w:val="16"/>
                <w:szCs w:val="16"/>
              </w:rPr>
              <w:t>Total revenue</w:t>
            </w:r>
          </w:p>
        </w:tc>
        <w:tc>
          <w:tcPr>
            <w:tcW w:w="567" w:type="dxa"/>
            <w:tcBorders>
              <w:top w:val="single" w:sz="4" w:space="0" w:color="BFBFBF" w:themeColor="background1" w:themeShade="BF"/>
              <w:left w:val="nil"/>
              <w:bottom w:val="single" w:sz="4" w:space="0" w:color="BFBFBF" w:themeColor="background1" w:themeShade="BF"/>
              <w:right w:val="nil"/>
            </w:tcBorders>
          </w:tcPr>
          <w:p w14:paraId="6F89A7C9" w14:textId="77777777" w:rsidR="00D06007" w:rsidRPr="00D06007" w:rsidRDefault="00D06007" w:rsidP="00D06007">
            <w:pPr>
              <w:pStyle w:val="TableText"/>
              <w:ind w:left="57" w:right="57"/>
              <w:jc w:val="right"/>
              <w:rPr>
                <w:rFonts w:cs="Segoe UI"/>
                <w:b/>
                <w:bCs/>
                <w:sz w:val="16"/>
                <w:szCs w:val="16"/>
              </w:rPr>
            </w:pPr>
          </w:p>
        </w:tc>
        <w:tc>
          <w:tcPr>
            <w:tcW w:w="1147" w:type="dxa"/>
            <w:tcBorders>
              <w:top w:val="single" w:sz="4" w:space="0" w:color="BFBFBF" w:themeColor="background1" w:themeShade="BF"/>
              <w:left w:val="nil"/>
              <w:bottom w:val="single" w:sz="4" w:space="0" w:color="BFBFBF" w:themeColor="background1" w:themeShade="BF"/>
              <w:right w:val="nil"/>
            </w:tcBorders>
            <w:hideMark/>
          </w:tcPr>
          <w:p w14:paraId="0EF6B326" w14:textId="12627BCF" w:rsidR="00D06007" w:rsidRPr="00D06007" w:rsidRDefault="00D06007" w:rsidP="00D06007">
            <w:pPr>
              <w:pStyle w:val="TableText"/>
              <w:ind w:left="57" w:right="57"/>
              <w:jc w:val="right"/>
              <w:rPr>
                <w:rFonts w:cs="Segoe UI"/>
                <w:b/>
                <w:bCs/>
                <w:sz w:val="16"/>
                <w:szCs w:val="16"/>
              </w:rPr>
            </w:pPr>
            <w:r w:rsidRPr="00D06007">
              <w:rPr>
                <w:rFonts w:cs="Segoe UI"/>
                <w:b/>
                <w:bCs/>
                <w:sz w:val="16"/>
                <w:szCs w:val="16"/>
              </w:rPr>
              <w:t>283,932</w:t>
            </w:r>
          </w:p>
        </w:tc>
        <w:tc>
          <w:tcPr>
            <w:tcW w:w="1285" w:type="dxa"/>
            <w:tcBorders>
              <w:top w:val="single" w:sz="4" w:space="0" w:color="BFBFBF" w:themeColor="background1" w:themeShade="BF"/>
              <w:left w:val="nil"/>
              <w:bottom w:val="single" w:sz="4" w:space="0" w:color="BFBFBF" w:themeColor="background1" w:themeShade="BF"/>
              <w:right w:val="nil"/>
            </w:tcBorders>
            <w:hideMark/>
          </w:tcPr>
          <w:p w14:paraId="2943664A" w14:textId="60FE6392" w:rsidR="00D06007" w:rsidRPr="00D06007" w:rsidRDefault="00D06007" w:rsidP="00D06007">
            <w:pPr>
              <w:pStyle w:val="TableText"/>
              <w:ind w:left="57" w:right="57"/>
              <w:jc w:val="right"/>
              <w:rPr>
                <w:rFonts w:cs="Segoe UI"/>
                <w:b/>
                <w:bCs/>
                <w:sz w:val="16"/>
                <w:szCs w:val="16"/>
              </w:rPr>
            </w:pPr>
            <w:r w:rsidRPr="00D06007">
              <w:rPr>
                <w:rFonts w:cs="Segoe UI"/>
                <w:b/>
                <w:bCs/>
                <w:sz w:val="16"/>
                <w:szCs w:val="16"/>
              </w:rPr>
              <w:t>237,759</w:t>
            </w:r>
          </w:p>
        </w:tc>
        <w:tc>
          <w:tcPr>
            <w:tcW w:w="1395" w:type="dxa"/>
            <w:tcBorders>
              <w:top w:val="single" w:sz="4" w:space="0" w:color="BFBFBF" w:themeColor="background1" w:themeShade="BF"/>
              <w:left w:val="nil"/>
              <w:bottom w:val="single" w:sz="4" w:space="0" w:color="BFBFBF" w:themeColor="background1" w:themeShade="BF"/>
              <w:right w:val="nil"/>
            </w:tcBorders>
            <w:hideMark/>
          </w:tcPr>
          <w:p w14:paraId="19B7E22D" w14:textId="727FD34E" w:rsidR="00D06007" w:rsidRPr="00D06007" w:rsidRDefault="00D06007" w:rsidP="00D06007">
            <w:pPr>
              <w:pStyle w:val="TableText"/>
              <w:ind w:left="57" w:right="57"/>
              <w:jc w:val="right"/>
              <w:rPr>
                <w:rFonts w:cs="Segoe UI"/>
                <w:b/>
                <w:bCs/>
                <w:sz w:val="16"/>
                <w:szCs w:val="16"/>
              </w:rPr>
            </w:pPr>
            <w:r w:rsidRPr="00D06007">
              <w:rPr>
                <w:rFonts w:cs="Segoe UI"/>
                <w:b/>
                <w:bCs/>
                <w:sz w:val="16"/>
                <w:szCs w:val="16"/>
              </w:rPr>
              <w:t>235,263</w:t>
            </w:r>
          </w:p>
        </w:tc>
      </w:tr>
      <w:tr w:rsidR="00D06007" w14:paraId="0CBD0DCD" w14:textId="77777777" w:rsidTr="00CE40AF">
        <w:trPr>
          <w:trHeight w:val="354"/>
        </w:trPr>
        <w:tc>
          <w:tcPr>
            <w:tcW w:w="1275" w:type="dxa"/>
            <w:tcBorders>
              <w:top w:val="single" w:sz="4" w:space="0" w:color="BFBFBF" w:themeColor="background1" w:themeShade="BF"/>
              <w:left w:val="nil"/>
              <w:bottom w:val="nil"/>
              <w:right w:val="nil"/>
            </w:tcBorders>
          </w:tcPr>
          <w:p w14:paraId="689588C8" w14:textId="77777777" w:rsidR="00D06007" w:rsidRDefault="00D06007" w:rsidP="00D06007">
            <w:pPr>
              <w:pStyle w:val="TableText"/>
              <w:ind w:left="57" w:right="170"/>
              <w:jc w:val="right"/>
              <w:rPr>
                <w:rFonts w:cs="Segoe UI"/>
                <w:b/>
                <w:bCs/>
                <w:sz w:val="16"/>
                <w:szCs w:val="16"/>
              </w:rPr>
            </w:pPr>
          </w:p>
        </w:tc>
        <w:tc>
          <w:tcPr>
            <w:tcW w:w="2411" w:type="dxa"/>
            <w:tcBorders>
              <w:top w:val="single" w:sz="4" w:space="0" w:color="BFBFBF" w:themeColor="background1" w:themeShade="BF"/>
              <w:left w:val="nil"/>
              <w:bottom w:val="nil"/>
              <w:right w:val="nil"/>
            </w:tcBorders>
            <w:hideMark/>
          </w:tcPr>
          <w:p w14:paraId="4BAD5FF6" w14:textId="77777777" w:rsidR="00D06007" w:rsidRDefault="00D06007" w:rsidP="00D06007">
            <w:pPr>
              <w:pStyle w:val="TableText"/>
              <w:ind w:left="57" w:right="57"/>
              <w:rPr>
                <w:rFonts w:cs="Segoe UI"/>
                <w:b/>
                <w:bCs/>
                <w:sz w:val="16"/>
                <w:szCs w:val="16"/>
              </w:rPr>
            </w:pPr>
            <w:r w:rsidRPr="00D06007">
              <w:rPr>
                <w:rFonts w:cs="Segoe UI"/>
                <w:b/>
                <w:bCs/>
                <w:sz w:val="16"/>
                <w:szCs w:val="16"/>
              </w:rPr>
              <w:t>Expenses</w:t>
            </w:r>
          </w:p>
        </w:tc>
        <w:tc>
          <w:tcPr>
            <w:tcW w:w="567" w:type="dxa"/>
            <w:tcBorders>
              <w:top w:val="single" w:sz="4" w:space="0" w:color="BFBFBF" w:themeColor="background1" w:themeShade="BF"/>
              <w:left w:val="nil"/>
              <w:bottom w:val="nil"/>
              <w:right w:val="nil"/>
            </w:tcBorders>
          </w:tcPr>
          <w:p w14:paraId="55472B25" w14:textId="77777777" w:rsidR="00D06007" w:rsidRPr="00D06007" w:rsidRDefault="00D06007" w:rsidP="00D06007">
            <w:pPr>
              <w:pStyle w:val="TableText"/>
              <w:ind w:left="57" w:right="57"/>
              <w:jc w:val="right"/>
              <w:rPr>
                <w:rFonts w:cs="Segoe UI"/>
                <w:sz w:val="16"/>
                <w:szCs w:val="16"/>
              </w:rPr>
            </w:pPr>
          </w:p>
        </w:tc>
        <w:tc>
          <w:tcPr>
            <w:tcW w:w="1147" w:type="dxa"/>
            <w:tcBorders>
              <w:top w:val="single" w:sz="4" w:space="0" w:color="BFBFBF" w:themeColor="background1" w:themeShade="BF"/>
              <w:left w:val="nil"/>
              <w:bottom w:val="nil"/>
              <w:right w:val="nil"/>
            </w:tcBorders>
          </w:tcPr>
          <w:p w14:paraId="264F0EEC" w14:textId="77777777" w:rsidR="00D06007" w:rsidRPr="00D06007" w:rsidRDefault="00D06007" w:rsidP="00D06007">
            <w:pPr>
              <w:pStyle w:val="TableText"/>
              <w:ind w:left="57" w:right="57"/>
              <w:jc w:val="right"/>
              <w:rPr>
                <w:rFonts w:cs="Segoe UI"/>
                <w:sz w:val="16"/>
                <w:szCs w:val="16"/>
              </w:rPr>
            </w:pPr>
          </w:p>
        </w:tc>
        <w:tc>
          <w:tcPr>
            <w:tcW w:w="1285" w:type="dxa"/>
            <w:tcBorders>
              <w:top w:val="single" w:sz="4" w:space="0" w:color="BFBFBF" w:themeColor="background1" w:themeShade="BF"/>
              <w:left w:val="nil"/>
              <w:bottom w:val="nil"/>
              <w:right w:val="nil"/>
            </w:tcBorders>
          </w:tcPr>
          <w:p w14:paraId="41FC3D77" w14:textId="77777777" w:rsidR="00D06007" w:rsidRPr="00D06007" w:rsidRDefault="00D06007" w:rsidP="00D06007">
            <w:pPr>
              <w:pStyle w:val="TableText"/>
              <w:ind w:left="57" w:right="57"/>
              <w:jc w:val="right"/>
              <w:rPr>
                <w:rFonts w:cs="Segoe UI"/>
                <w:sz w:val="16"/>
                <w:szCs w:val="16"/>
              </w:rPr>
            </w:pPr>
          </w:p>
        </w:tc>
        <w:tc>
          <w:tcPr>
            <w:tcW w:w="1395" w:type="dxa"/>
            <w:tcBorders>
              <w:top w:val="single" w:sz="4" w:space="0" w:color="BFBFBF" w:themeColor="background1" w:themeShade="BF"/>
              <w:left w:val="nil"/>
              <w:bottom w:val="nil"/>
              <w:right w:val="nil"/>
            </w:tcBorders>
          </w:tcPr>
          <w:p w14:paraId="04CECDE2" w14:textId="77777777" w:rsidR="00D06007" w:rsidRPr="00D06007" w:rsidRDefault="00D06007" w:rsidP="00D06007">
            <w:pPr>
              <w:pStyle w:val="TableText"/>
              <w:ind w:left="57" w:right="57"/>
              <w:jc w:val="right"/>
              <w:rPr>
                <w:rFonts w:cs="Segoe UI"/>
                <w:sz w:val="16"/>
                <w:szCs w:val="16"/>
              </w:rPr>
            </w:pPr>
          </w:p>
        </w:tc>
      </w:tr>
      <w:tr w:rsidR="00D06007" w14:paraId="31E49706" w14:textId="77777777" w:rsidTr="00CE40AF">
        <w:trPr>
          <w:trHeight w:val="359"/>
        </w:trPr>
        <w:tc>
          <w:tcPr>
            <w:tcW w:w="1275" w:type="dxa"/>
          </w:tcPr>
          <w:p w14:paraId="4BC73BE0" w14:textId="7656067B" w:rsidR="00D06007" w:rsidRDefault="00D06007" w:rsidP="00D06007">
            <w:pPr>
              <w:pStyle w:val="TableText"/>
              <w:ind w:left="57" w:right="170"/>
              <w:jc w:val="right"/>
              <w:rPr>
                <w:rFonts w:cs="Segoe UI"/>
                <w:sz w:val="16"/>
                <w:szCs w:val="16"/>
              </w:rPr>
            </w:pPr>
            <w:r>
              <w:rPr>
                <w:rFonts w:cs="Segoe UI"/>
                <w:sz w:val="16"/>
                <w:szCs w:val="16"/>
              </w:rPr>
              <w:t>101,342</w:t>
            </w:r>
          </w:p>
        </w:tc>
        <w:tc>
          <w:tcPr>
            <w:tcW w:w="2411" w:type="dxa"/>
            <w:hideMark/>
          </w:tcPr>
          <w:p w14:paraId="3550E860" w14:textId="77777777" w:rsidR="00D06007" w:rsidRDefault="00D06007" w:rsidP="00D06007">
            <w:pPr>
              <w:pStyle w:val="TableText"/>
              <w:ind w:left="57" w:right="57"/>
              <w:rPr>
                <w:rFonts w:cs="Segoe UI"/>
                <w:sz w:val="16"/>
                <w:szCs w:val="16"/>
              </w:rPr>
            </w:pPr>
            <w:r>
              <w:rPr>
                <w:rFonts w:cs="Segoe UI"/>
                <w:sz w:val="16"/>
                <w:szCs w:val="16"/>
              </w:rPr>
              <w:t>Personnel</w:t>
            </w:r>
            <w:r w:rsidRPr="00D06007">
              <w:rPr>
                <w:rFonts w:cs="Segoe UI"/>
                <w:sz w:val="16"/>
                <w:szCs w:val="16"/>
              </w:rPr>
              <w:t xml:space="preserve"> </w:t>
            </w:r>
            <w:r>
              <w:rPr>
                <w:rFonts w:cs="Segoe UI"/>
                <w:sz w:val="16"/>
                <w:szCs w:val="16"/>
              </w:rPr>
              <w:t>costs</w:t>
            </w:r>
          </w:p>
        </w:tc>
        <w:tc>
          <w:tcPr>
            <w:tcW w:w="567" w:type="dxa"/>
            <w:hideMark/>
          </w:tcPr>
          <w:p w14:paraId="7BEF8935" w14:textId="4FDEC720" w:rsidR="00D06007" w:rsidRDefault="00D06007" w:rsidP="00D06007">
            <w:pPr>
              <w:pStyle w:val="TableText"/>
              <w:ind w:left="57" w:right="57"/>
              <w:jc w:val="right"/>
              <w:rPr>
                <w:rFonts w:cs="Segoe UI"/>
                <w:sz w:val="16"/>
                <w:szCs w:val="16"/>
              </w:rPr>
            </w:pPr>
            <w:r w:rsidRPr="00D06007">
              <w:rPr>
                <w:rFonts w:cs="Segoe UI"/>
                <w:sz w:val="16"/>
                <w:szCs w:val="16"/>
              </w:rPr>
              <w:t>3</w:t>
            </w:r>
          </w:p>
        </w:tc>
        <w:tc>
          <w:tcPr>
            <w:tcW w:w="1147" w:type="dxa"/>
            <w:hideMark/>
          </w:tcPr>
          <w:p w14:paraId="2F6FAA65" w14:textId="4BF901F0" w:rsidR="00D06007" w:rsidRDefault="00D06007" w:rsidP="00D06007">
            <w:pPr>
              <w:pStyle w:val="TableText"/>
              <w:ind w:left="57" w:right="57"/>
              <w:jc w:val="right"/>
              <w:rPr>
                <w:rFonts w:cs="Segoe UI"/>
                <w:sz w:val="16"/>
                <w:szCs w:val="16"/>
              </w:rPr>
            </w:pPr>
            <w:r w:rsidRPr="00D06007">
              <w:rPr>
                <w:rFonts w:cs="Segoe UI"/>
                <w:sz w:val="16"/>
                <w:szCs w:val="16"/>
              </w:rPr>
              <w:t>127,033</w:t>
            </w:r>
          </w:p>
        </w:tc>
        <w:tc>
          <w:tcPr>
            <w:tcW w:w="1285" w:type="dxa"/>
            <w:hideMark/>
          </w:tcPr>
          <w:p w14:paraId="69E8AD25" w14:textId="73D28DF3" w:rsidR="00D06007" w:rsidRDefault="00D06007" w:rsidP="00D06007">
            <w:pPr>
              <w:pStyle w:val="TableText"/>
              <w:ind w:left="57" w:right="57"/>
              <w:jc w:val="right"/>
              <w:rPr>
                <w:rFonts w:cs="Segoe UI"/>
                <w:sz w:val="16"/>
                <w:szCs w:val="16"/>
              </w:rPr>
            </w:pPr>
            <w:r w:rsidRPr="00D06007">
              <w:rPr>
                <w:rFonts w:cs="Segoe UI"/>
                <w:sz w:val="16"/>
                <w:szCs w:val="16"/>
              </w:rPr>
              <w:t>98,281</w:t>
            </w:r>
          </w:p>
        </w:tc>
        <w:tc>
          <w:tcPr>
            <w:tcW w:w="1395" w:type="dxa"/>
            <w:hideMark/>
          </w:tcPr>
          <w:p w14:paraId="1E475716" w14:textId="63924189" w:rsidR="00D06007" w:rsidRDefault="00D06007" w:rsidP="00D06007">
            <w:pPr>
              <w:pStyle w:val="TableText"/>
              <w:ind w:left="57" w:right="57"/>
              <w:jc w:val="right"/>
              <w:rPr>
                <w:rFonts w:cs="Segoe UI"/>
                <w:sz w:val="16"/>
                <w:szCs w:val="16"/>
              </w:rPr>
            </w:pPr>
            <w:r w:rsidRPr="00D06007">
              <w:rPr>
                <w:rFonts w:cs="Segoe UI"/>
                <w:sz w:val="16"/>
                <w:szCs w:val="16"/>
              </w:rPr>
              <w:t>119,182</w:t>
            </w:r>
          </w:p>
        </w:tc>
      </w:tr>
      <w:tr w:rsidR="00D06007" w14:paraId="748ACEC9" w14:textId="77777777" w:rsidTr="00CE40AF">
        <w:trPr>
          <w:trHeight w:val="325"/>
        </w:trPr>
        <w:tc>
          <w:tcPr>
            <w:tcW w:w="1275" w:type="dxa"/>
          </w:tcPr>
          <w:p w14:paraId="29828537" w14:textId="5D4384AF" w:rsidR="00D06007" w:rsidRDefault="00D06007" w:rsidP="00D06007">
            <w:pPr>
              <w:pStyle w:val="TableText"/>
              <w:ind w:left="57" w:right="170"/>
              <w:jc w:val="right"/>
              <w:rPr>
                <w:rFonts w:cs="Segoe UI"/>
                <w:sz w:val="16"/>
                <w:szCs w:val="16"/>
              </w:rPr>
            </w:pPr>
            <w:r>
              <w:rPr>
                <w:rFonts w:cs="Segoe UI"/>
                <w:sz w:val="16"/>
                <w:szCs w:val="16"/>
              </w:rPr>
              <w:t>2,260</w:t>
            </w:r>
          </w:p>
        </w:tc>
        <w:tc>
          <w:tcPr>
            <w:tcW w:w="2411" w:type="dxa"/>
            <w:hideMark/>
          </w:tcPr>
          <w:p w14:paraId="0F3D6620" w14:textId="77777777" w:rsidR="00D06007" w:rsidRDefault="00D06007" w:rsidP="00D06007">
            <w:pPr>
              <w:pStyle w:val="TableText"/>
              <w:ind w:left="57" w:right="57"/>
              <w:rPr>
                <w:rFonts w:cs="Segoe UI"/>
                <w:sz w:val="16"/>
                <w:szCs w:val="16"/>
              </w:rPr>
            </w:pPr>
            <w:r w:rsidRPr="00D06007">
              <w:rPr>
                <w:rFonts w:cs="Segoe UI"/>
                <w:sz w:val="16"/>
                <w:szCs w:val="16"/>
              </w:rPr>
              <w:t>Depreciation and amortisation expense</w:t>
            </w:r>
          </w:p>
        </w:tc>
        <w:tc>
          <w:tcPr>
            <w:tcW w:w="567" w:type="dxa"/>
            <w:hideMark/>
          </w:tcPr>
          <w:p w14:paraId="4183969E" w14:textId="35008C3E" w:rsidR="00D06007" w:rsidRDefault="00D06007" w:rsidP="00D06007">
            <w:pPr>
              <w:pStyle w:val="TableText"/>
              <w:ind w:left="57" w:right="57"/>
              <w:jc w:val="right"/>
              <w:rPr>
                <w:rFonts w:cs="Segoe UI"/>
                <w:sz w:val="16"/>
                <w:szCs w:val="16"/>
              </w:rPr>
            </w:pPr>
            <w:r w:rsidRPr="00D06007">
              <w:rPr>
                <w:rFonts w:cs="Segoe UI"/>
                <w:sz w:val="16"/>
                <w:szCs w:val="16"/>
              </w:rPr>
              <w:t>7, 8</w:t>
            </w:r>
          </w:p>
        </w:tc>
        <w:tc>
          <w:tcPr>
            <w:tcW w:w="1147" w:type="dxa"/>
            <w:hideMark/>
          </w:tcPr>
          <w:p w14:paraId="7035FFB1" w14:textId="130366C2" w:rsidR="00D06007" w:rsidRDefault="00D06007" w:rsidP="00D06007">
            <w:pPr>
              <w:pStyle w:val="TableText"/>
              <w:ind w:left="57" w:right="57"/>
              <w:jc w:val="right"/>
              <w:rPr>
                <w:rFonts w:cs="Segoe UI"/>
                <w:sz w:val="16"/>
                <w:szCs w:val="16"/>
              </w:rPr>
            </w:pPr>
            <w:r w:rsidRPr="00D06007">
              <w:rPr>
                <w:rFonts w:cs="Segoe UI"/>
                <w:sz w:val="16"/>
                <w:szCs w:val="16"/>
              </w:rPr>
              <w:t>1,041</w:t>
            </w:r>
          </w:p>
        </w:tc>
        <w:tc>
          <w:tcPr>
            <w:tcW w:w="1285" w:type="dxa"/>
            <w:hideMark/>
          </w:tcPr>
          <w:p w14:paraId="629F1066" w14:textId="38C86FF7" w:rsidR="00D06007" w:rsidRDefault="00D06007" w:rsidP="00D06007">
            <w:pPr>
              <w:pStyle w:val="TableText"/>
              <w:ind w:left="57" w:right="57"/>
              <w:jc w:val="right"/>
              <w:rPr>
                <w:rFonts w:cs="Segoe UI"/>
                <w:sz w:val="16"/>
                <w:szCs w:val="16"/>
              </w:rPr>
            </w:pPr>
            <w:r w:rsidRPr="00D06007">
              <w:rPr>
                <w:rFonts w:cs="Segoe UI"/>
                <w:sz w:val="16"/>
                <w:szCs w:val="16"/>
              </w:rPr>
              <w:t>1,006</w:t>
            </w:r>
          </w:p>
        </w:tc>
        <w:tc>
          <w:tcPr>
            <w:tcW w:w="1395" w:type="dxa"/>
            <w:hideMark/>
          </w:tcPr>
          <w:p w14:paraId="0B4516DD" w14:textId="42FE671C" w:rsidR="00D06007" w:rsidRDefault="00D06007" w:rsidP="00D06007">
            <w:pPr>
              <w:pStyle w:val="TableText"/>
              <w:ind w:left="57" w:right="57"/>
              <w:jc w:val="right"/>
              <w:rPr>
                <w:rFonts w:cs="Segoe UI"/>
                <w:sz w:val="16"/>
                <w:szCs w:val="16"/>
              </w:rPr>
            </w:pPr>
            <w:r w:rsidRPr="00D06007">
              <w:rPr>
                <w:rFonts w:cs="Segoe UI"/>
                <w:sz w:val="16"/>
                <w:szCs w:val="16"/>
              </w:rPr>
              <w:t>740</w:t>
            </w:r>
          </w:p>
        </w:tc>
      </w:tr>
      <w:tr w:rsidR="00D06007" w14:paraId="548AE04F" w14:textId="77777777" w:rsidTr="00CE40AF">
        <w:trPr>
          <w:trHeight w:val="359"/>
        </w:trPr>
        <w:tc>
          <w:tcPr>
            <w:tcW w:w="1275" w:type="dxa"/>
          </w:tcPr>
          <w:p w14:paraId="0C2BDF32" w14:textId="02460BEA" w:rsidR="00D06007" w:rsidRDefault="00D06007" w:rsidP="00D06007">
            <w:pPr>
              <w:pStyle w:val="TableText"/>
              <w:ind w:left="57" w:right="170"/>
              <w:jc w:val="right"/>
              <w:rPr>
                <w:rFonts w:cs="Segoe UI"/>
                <w:sz w:val="16"/>
                <w:szCs w:val="16"/>
              </w:rPr>
            </w:pPr>
            <w:r>
              <w:rPr>
                <w:rFonts w:cs="Segoe UI"/>
                <w:sz w:val="16"/>
                <w:szCs w:val="16"/>
              </w:rPr>
              <w:t>1,125</w:t>
            </w:r>
          </w:p>
        </w:tc>
        <w:tc>
          <w:tcPr>
            <w:tcW w:w="2411" w:type="dxa"/>
            <w:hideMark/>
          </w:tcPr>
          <w:p w14:paraId="0A1E437B" w14:textId="77777777" w:rsidR="00D06007" w:rsidRDefault="00D06007" w:rsidP="00D06007">
            <w:pPr>
              <w:pStyle w:val="TableText"/>
              <w:ind w:left="57" w:right="57"/>
              <w:rPr>
                <w:rFonts w:cs="Segoe UI"/>
                <w:sz w:val="16"/>
                <w:szCs w:val="16"/>
              </w:rPr>
            </w:pPr>
            <w:r w:rsidRPr="00D06007">
              <w:rPr>
                <w:rFonts w:cs="Segoe UI"/>
                <w:sz w:val="16"/>
                <w:szCs w:val="16"/>
              </w:rPr>
              <w:t>Capital charge</w:t>
            </w:r>
          </w:p>
        </w:tc>
        <w:tc>
          <w:tcPr>
            <w:tcW w:w="567" w:type="dxa"/>
            <w:hideMark/>
          </w:tcPr>
          <w:p w14:paraId="460F6FA5" w14:textId="32A13478" w:rsidR="00D06007" w:rsidRDefault="00D06007" w:rsidP="00D06007">
            <w:pPr>
              <w:pStyle w:val="TableText"/>
              <w:ind w:left="57" w:right="57"/>
              <w:jc w:val="right"/>
              <w:rPr>
                <w:rFonts w:cs="Segoe UI"/>
                <w:sz w:val="16"/>
                <w:szCs w:val="16"/>
              </w:rPr>
            </w:pPr>
            <w:r w:rsidRPr="00D06007">
              <w:rPr>
                <w:rFonts w:cs="Segoe UI"/>
                <w:sz w:val="16"/>
                <w:szCs w:val="16"/>
              </w:rPr>
              <w:t>4</w:t>
            </w:r>
          </w:p>
        </w:tc>
        <w:tc>
          <w:tcPr>
            <w:tcW w:w="1147" w:type="dxa"/>
            <w:hideMark/>
          </w:tcPr>
          <w:p w14:paraId="593ADBFD" w14:textId="3ABF978F" w:rsidR="00D06007" w:rsidRDefault="00D06007" w:rsidP="00D06007">
            <w:pPr>
              <w:pStyle w:val="TableText"/>
              <w:ind w:left="57" w:right="57"/>
              <w:jc w:val="right"/>
              <w:rPr>
                <w:rFonts w:cs="Segoe UI"/>
                <w:sz w:val="16"/>
                <w:szCs w:val="16"/>
              </w:rPr>
            </w:pPr>
            <w:r w:rsidRPr="00D06007">
              <w:rPr>
                <w:rFonts w:cs="Segoe UI"/>
                <w:sz w:val="16"/>
                <w:szCs w:val="16"/>
              </w:rPr>
              <w:t>634</w:t>
            </w:r>
          </w:p>
        </w:tc>
        <w:tc>
          <w:tcPr>
            <w:tcW w:w="1285" w:type="dxa"/>
            <w:hideMark/>
          </w:tcPr>
          <w:p w14:paraId="42166AF4" w14:textId="47A74159" w:rsidR="00D06007" w:rsidRDefault="00D06007" w:rsidP="00D06007">
            <w:pPr>
              <w:pStyle w:val="TableText"/>
              <w:ind w:left="57" w:right="57"/>
              <w:jc w:val="right"/>
              <w:rPr>
                <w:rFonts w:cs="Segoe UI"/>
                <w:sz w:val="16"/>
                <w:szCs w:val="16"/>
              </w:rPr>
            </w:pPr>
            <w:r w:rsidRPr="00D06007">
              <w:rPr>
                <w:rFonts w:cs="Segoe UI"/>
                <w:sz w:val="16"/>
                <w:szCs w:val="16"/>
              </w:rPr>
              <w:t>650</w:t>
            </w:r>
          </w:p>
        </w:tc>
        <w:tc>
          <w:tcPr>
            <w:tcW w:w="1395" w:type="dxa"/>
            <w:hideMark/>
          </w:tcPr>
          <w:p w14:paraId="7111D7A6" w14:textId="16084000" w:rsidR="00D06007" w:rsidRDefault="00D06007" w:rsidP="00D06007">
            <w:pPr>
              <w:pStyle w:val="TableText"/>
              <w:ind w:left="57" w:right="57"/>
              <w:jc w:val="right"/>
              <w:rPr>
                <w:rFonts w:cs="Segoe UI"/>
                <w:sz w:val="16"/>
                <w:szCs w:val="16"/>
              </w:rPr>
            </w:pPr>
            <w:r w:rsidRPr="00D06007">
              <w:rPr>
                <w:rFonts w:cs="Segoe UI"/>
                <w:sz w:val="16"/>
                <w:szCs w:val="16"/>
              </w:rPr>
              <w:t>621</w:t>
            </w:r>
          </w:p>
        </w:tc>
      </w:tr>
      <w:tr w:rsidR="00D06007" w14:paraId="5DFB68B8" w14:textId="77777777" w:rsidTr="00CE40AF">
        <w:trPr>
          <w:trHeight w:val="348"/>
        </w:trPr>
        <w:tc>
          <w:tcPr>
            <w:tcW w:w="1275" w:type="dxa"/>
            <w:tcBorders>
              <w:top w:val="nil"/>
              <w:left w:val="nil"/>
              <w:bottom w:val="single" w:sz="4" w:space="0" w:color="BFBFBF" w:themeColor="background1" w:themeShade="BF"/>
              <w:right w:val="nil"/>
            </w:tcBorders>
          </w:tcPr>
          <w:p w14:paraId="6ECC0AD7" w14:textId="5443B76B" w:rsidR="00D06007" w:rsidRDefault="00D06007" w:rsidP="00D06007">
            <w:pPr>
              <w:pStyle w:val="TableText"/>
              <w:ind w:left="57" w:right="170"/>
              <w:jc w:val="right"/>
              <w:rPr>
                <w:rFonts w:cs="Segoe UI"/>
                <w:sz w:val="16"/>
                <w:szCs w:val="16"/>
              </w:rPr>
            </w:pPr>
            <w:r>
              <w:rPr>
                <w:rFonts w:cs="Segoe UI"/>
                <w:sz w:val="16"/>
                <w:szCs w:val="16"/>
              </w:rPr>
              <w:t>164,665</w:t>
            </w:r>
          </w:p>
        </w:tc>
        <w:tc>
          <w:tcPr>
            <w:tcW w:w="2411" w:type="dxa"/>
            <w:tcBorders>
              <w:top w:val="nil"/>
              <w:left w:val="nil"/>
              <w:bottom w:val="single" w:sz="4" w:space="0" w:color="BFBFBF" w:themeColor="background1" w:themeShade="BF"/>
              <w:right w:val="nil"/>
            </w:tcBorders>
            <w:hideMark/>
          </w:tcPr>
          <w:p w14:paraId="24C8D9A3" w14:textId="77777777" w:rsidR="00D06007" w:rsidRDefault="00D06007" w:rsidP="00D06007">
            <w:pPr>
              <w:pStyle w:val="TableText"/>
              <w:ind w:left="57" w:right="57"/>
              <w:rPr>
                <w:rFonts w:cs="Segoe UI"/>
                <w:sz w:val="16"/>
                <w:szCs w:val="16"/>
              </w:rPr>
            </w:pPr>
            <w:r>
              <w:rPr>
                <w:rFonts w:cs="Segoe UI"/>
                <w:sz w:val="16"/>
                <w:szCs w:val="16"/>
              </w:rPr>
              <w:t>Other</w:t>
            </w:r>
            <w:r w:rsidRPr="00D06007">
              <w:rPr>
                <w:rFonts w:cs="Segoe UI"/>
                <w:sz w:val="16"/>
                <w:szCs w:val="16"/>
              </w:rPr>
              <w:t xml:space="preserve"> </w:t>
            </w:r>
            <w:r>
              <w:rPr>
                <w:rFonts w:cs="Segoe UI"/>
                <w:sz w:val="16"/>
                <w:szCs w:val="16"/>
              </w:rPr>
              <w:t>expenses</w:t>
            </w:r>
          </w:p>
        </w:tc>
        <w:tc>
          <w:tcPr>
            <w:tcW w:w="567" w:type="dxa"/>
            <w:tcBorders>
              <w:top w:val="nil"/>
              <w:left w:val="nil"/>
              <w:bottom w:val="single" w:sz="4" w:space="0" w:color="BFBFBF" w:themeColor="background1" w:themeShade="BF"/>
              <w:right w:val="nil"/>
            </w:tcBorders>
            <w:hideMark/>
          </w:tcPr>
          <w:p w14:paraId="4851FBAF" w14:textId="17A2B77C" w:rsidR="00D06007" w:rsidRDefault="00D06007" w:rsidP="00D06007">
            <w:pPr>
              <w:pStyle w:val="TableText"/>
              <w:ind w:left="57" w:right="57"/>
              <w:jc w:val="right"/>
              <w:rPr>
                <w:rFonts w:cs="Segoe UI"/>
                <w:sz w:val="16"/>
                <w:szCs w:val="16"/>
              </w:rPr>
            </w:pPr>
            <w:r w:rsidRPr="00D06007">
              <w:rPr>
                <w:rFonts w:cs="Segoe UI"/>
                <w:sz w:val="16"/>
                <w:szCs w:val="16"/>
              </w:rPr>
              <w:t>5</w:t>
            </w:r>
          </w:p>
        </w:tc>
        <w:tc>
          <w:tcPr>
            <w:tcW w:w="1147" w:type="dxa"/>
            <w:tcBorders>
              <w:top w:val="nil"/>
              <w:left w:val="nil"/>
              <w:bottom w:val="single" w:sz="4" w:space="0" w:color="BFBFBF" w:themeColor="background1" w:themeShade="BF"/>
              <w:right w:val="nil"/>
            </w:tcBorders>
            <w:hideMark/>
          </w:tcPr>
          <w:p w14:paraId="0C314EA1" w14:textId="7633538A" w:rsidR="00D06007" w:rsidRDefault="00D06007" w:rsidP="00D06007">
            <w:pPr>
              <w:pStyle w:val="TableText"/>
              <w:ind w:left="57" w:right="57"/>
              <w:jc w:val="right"/>
              <w:rPr>
                <w:rFonts w:cs="Segoe UI"/>
                <w:sz w:val="16"/>
                <w:szCs w:val="16"/>
              </w:rPr>
            </w:pPr>
            <w:r w:rsidRPr="00D06007">
              <w:rPr>
                <w:rFonts w:cs="Segoe UI"/>
                <w:sz w:val="16"/>
                <w:szCs w:val="16"/>
              </w:rPr>
              <w:t>140,362</w:t>
            </w:r>
          </w:p>
        </w:tc>
        <w:tc>
          <w:tcPr>
            <w:tcW w:w="1285" w:type="dxa"/>
            <w:tcBorders>
              <w:top w:val="nil"/>
              <w:left w:val="nil"/>
              <w:bottom w:val="single" w:sz="4" w:space="0" w:color="BFBFBF" w:themeColor="background1" w:themeShade="BF"/>
              <w:right w:val="nil"/>
            </w:tcBorders>
            <w:hideMark/>
          </w:tcPr>
          <w:p w14:paraId="5AA23919" w14:textId="14AEE226" w:rsidR="00D06007" w:rsidRDefault="00D06007" w:rsidP="00D06007">
            <w:pPr>
              <w:pStyle w:val="TableText"/>
              <w:ind w:left="57" w:right="57"/>
              <w:jc w:val="right"/>
              <w:rPr>
                <w:rFonts w:cs="Segoe UI"/>
                <w:sz w:val="16"/>
                <w:szCs w:val="16"/>
              </w:rPr>
            </w:pPr>
            <w:r w:rsidRPr="00D06007">
              <w:rPr>
                <w:rFonts w:cs="Segoe UI"/>
                <w:sz w:val="16"/>
                <w:szCs w:val="16"/>
              </w:rPr>
              <w:t>137,822</w:t>
            </w:r>
          </w:p>
        </w:tc>
        <w:tc>
          <w:tcPr>
            <w:tcW w:w="1395" w:type="dxa"/>
            <w:tcBorders>
              <w:top w:val="nil"/>
              <w:left w:val="nil"/>
              <w:bottom w:val="single" w:sz="4" w:space="0" w:color="BFBFBF" w:themeColor="background1" w:themeShade="BF"/>
              <w:right w:val="nil"/>
            </w:tcBorders>
            <w:hideMark/>
          </w:tcPr>
          <w:p w14:paraId="1C756048" w14:textId="25778D1D" w:rsidR="00D06007" w:rsidRDefault="00D06007" w:rsidP="00D06007">
            <w:pPr>
              <w:pStyle w:val="TableText"/>
              <w:ind w:left="57" w:right="57"/>
              <w:jc w:val="right"/>
              <w:rPr>
                <w:rFonts w:cs="Segoe UI"/>
                <w:sz w:val="16"/>
                <w:szCs w:val="16"/>
              </w:rPr>
            </w:pPr>
            <w:r w:rsidRPr="00D06007">
              <w:rPr>
                <w:rFonts w:cs="Segoe UI"/>
                <w:sz w:val="16"/>
                <w:szCs w:val="16"/>
              </w:rPr>
              <w:t>114,720</w:t>
            </w:r>
          </w:p>
        </w:tc>
      </w:tr>
      <w:tr w:rsidR="00D06007" w:rsidRPr="00D06007" w14:paraId="4983D250" w14:textId="77777777" w:rsidTr="00CE40AF">
        <w:trPr>
          <w:trHeight w:val="344"/>
        </w:trPr>
        <w:tc>
          <w:tcPr>
            <w:tcW w:w="1275" w:type="dxa"/>
            <w:tcBorders>
              <w:top w:val="single" w:sz="4" w:space="0" w:color="BFBFBF" w:themeColor="background1" w:themeShade="BF"/>
              <w:left w:val="nil"/>
              <w:bottom w:val="single" w:sz="4" w:space="0" w:color="BFBFBF" w:themeColor="background1" w:themeShade="BF"/>
              <w:right w:val="nil"/>
            </w:tcBorders>
          </w:tcPr>
          <w:p w14:paraId="10ED4E63" w14:textId="44E0728B" w:rsidR="00D06007" w:rsidRPr="00D06007" w:rsidRDefault="00D06007" w:rsidP="00D06007">
            <w:pPr>
              <w:pStyle w:val="TableText"/>
              <w:ind w:left="57" w:right="170"/>
              <w:jc w:val="right"/>
              <w:rPr>
                <w:rFonts w:cs="Segoe UI"/>
                <w:b/>
                <w:bCs/>
                <w:sz w:val="16"/>
                <w:szCs w:val="16"/>
              </w:rPr>
            </w:pPr>
            <w:r w:rsidRPr="00D06007">
              <w:rPr>
                <w:rFonts w:cs="Segoe UI"/>
                <w:b/>
                <w:bCs/>
                <w:sz w:val="16"/>
                <w:szCs w:val="16"/>
              </w:rPr>
              <w:t>269,392</w:t>
            </w:r>
          </w:p>
        </w:tc>
        <w:tc>
          <w:tcPr>
            <w:tcW w:w="2411" w:type="dxa"/>
            <w:tcBorders>
              <w:top w:val="single" w:sz="4" w:space="0" w:color="BFBFBF" w:themeColor="background1" w:themeShade="BF"/>
              <w:left w:val="nil"/>
              <w:bottom w:val="single" w:sz="4" w:space="0" w:color="BFBFBF" w:themeColor="background1" w:themeShade="BF"/>
              <w:right w:val="nil"/>
            </w:tcBorders>
            <w:hideMark/>
          </w:tcPr>
          <w:p w14:paraId="7AE4E2E2" w14:textId="77777777" w:rsidR="00D06007" w:rsidRPr="00D06007" w:rsidRDefault="00D06007" w:rsidP="00D06007">
            <w:pPr>
              <w:pStyle w:val="TableText"/>
              <w:ind w:left="57" w:right="57"/>
              <w:rPr>
                <w:rFonts w:cs="Segoe UI"/>
                <w:b/>
                <w:bCs/>
                <w:sz w:val="16"/>
                <w:szCs w:val="16"/>
              </w:rPr>
            </w:pPr>
            <w:r w:rsidRPr="00D06007">
              <w:rPr>
                <w:rFonts w:cs="Segoe UI"/>
                <w:b/>
                <w:bCs/>
                <w:sz w:val="16"/>
                <w:szCs w:val="16"/>
              </w:rPr>
              <w:t>Total expenses</w:t>
            </w:r>
          </w:p>
        </w:tc>
        <w:tc>
          <w:tcPr>
            <w:tcW w:w="567" w:type="dxa"/>
            <w:tcBorders>
              <w:top w:val="single" w:sz="4" w:space="0" w:color="BFBFBF" w:themeColor="background1" w:themeShade="BF"/>
              <w:left w:val="nil"/>
              <w:bottom w:val="single" w:sz="4" w:space="0" w:color="BFBFBF" w:themeColor="background1" w:themeShade="BF"/>
              <w:right w:val="nil"/>
            </w:tcBorders>
          </w:tcPr>
          <w:p w14:paraId="39E0FDC6" w14:textId="77777777" w:rsidR="00D06007" w:rsidRPr="00D06007" w:rsidRDefault="00D06007" w:rsidP="00D06007">
            <w:pPr>
              <w:pStyle w:val="TableText"/>
              <w:ind w:left="57" w:right="57"/>
              <w:jc w:val="right"/>
              <w:rPr>
                <w:rFonts w:cs="Segoe UI"/>
                <w:b/>
                <w:bCs/>
                <w:sz w:val="16"/>
                <w:szCs w:val="16"/>
              </w:rPr>
            </w:pPr>
          </w:p>
        </w:tc>
        <w:tc>
          <w:tcPr>
            <w:tcW w:w="1147" w:type="dxa"/>
            <w:tcBorders>
              <w:top w:val="single" w:sz="4" w:space="0" w:color="BFBFBF" w:themeColor="background1" w:themeShade="BF"/>
              <w:left w:val="nil"/>
              <w:bottom w:val="single" w:sz="4" w:space="0" w:color="BFBFBF" w:themeColor="background1" w:themeShade="BF"/>
              <w:right w:val="nil"/>
            </w:tcBorders>
            <w:hideMark/>
          </w:tcPr>
          <w:p w14:paraId="07747092" w14:textId="5A8CE3C9" w:rsidR="00D06007" w:rsidRPr="00D06007" w:rsidRDefault="00D06007" w:rsidP="00D06007">
            <w:pPr>
              <w:pStyle w:val="TableText"/>
              <w:ind w:left="57" w:right="57"/>
              <w:jc w:val="right"/>
              <w:rPr>
                <w:rFonts w:cs="Segoe UI"/>
                <w:b/>
                <w:bCs/>
                <w:sz w:val="16"/>
                <w:szCs w:val="16"/>
              </w:rPr>
            </w:pPr>
            <w:r w:rsidRPr="00D06007">
              <w:rPr>
                <w:rFonts w:cs="Segoe UI"/>
                <w:b/>
                <w:bCs/>
                <w:sz w:val="16"/>
                <w:szCs w:val="16"/>
              </w:rPr>
              <w:t>269,070</w:t>
            </w:r>
          </w:p>
        </w:tc>
        <w:tc>
          <w:tcPr>
            <w:tcW w:w="1285" w:type="dxa"/>
            <w:tcBorders>
              <w:top w:val="single" w:sz="4" w:space="0" w:color="BFBFBF" w:themeColor="background1" w:themeShade="BF"/>
              <w:left w:val="nil"/>
              <w:bottom w:val="single" w:sz="4" w:space="0" w:color="BFBFBF" w:themeColor="background1" w:themeShade="BF"/>
              <w:right w:val="nil"/>
            </w:tcBorders>
            <w:hideMark/>
          </w:tcPr>
          <w:p w14:paraId="190F4A23" w14:textId="542558B7" w:rsidR="00D06007" w:rsidRPr="00D06007" w:rsidRDefault="00D06007" w:rsidP="00D06007">
            <w:pPr>
              <w:pStyle w:val="TableText"/>
              <w:ind w:left="57" w:right="57"/>
              <w:jc w:val="right"/>
              <w:rPr>
                <w:rFonts w:cs="Segoe UI"/>
                <w:b/>
                <w:bCs/>
                <w:sz w:val="16"/>
                <w:szCs w:val="16"/>
              </w:rPr>
            </w:pPr>
            <w:r w:rsidRPr="00D06007">
              <w:rPr>
                <w:rFonts w:cs="Segoe UI"/>
                <w:b/>
                <w:bCs/>
                <w:sz w:val="16"/>
                <w:szCs w:val="16"/>
              </w:rPr>
              <w:t>237,759</w:t>
            </w:r>
          </w:p>
        </w:tc>
        <w:tc>
          <w:tcPr>
            <w:tcW w:w="1395" w:type="dxa"/>
            <w:tcBorders>
              <w:top w:val="single" w:sz="4" w:space="0" w:color="BFBFBF" w:themeColor="background1" w:themeShade="BF"/>
              <w:left w:val="nil"/>
              <w:bottom w:val="single" w:sz="4" w:space="0" w:color="BFBFBF" w:themeColor="background1" w:themeShade="BF"/>
              <w:right w:val="nil"/>
            </w:tcBorders>
            <w:hideMark/>
          </w:tcPr>
          <w:p w14:paraId="7A9BE3EC" w14:textId="3D0FB0FB" w:rsidR="00D06007" w:rsidRPr="00D06007" w:rsidRDefault="00D06007" w:rsidP="00D06007">
            <w:pPr>
              <w:pStyle w:val="TableText"/>
              <w:ind w:left="57" w:right="57"/>
              <w:jc w:val="right"/>
              <w:rPr>
                <w:rFonts w:cs="Segoe UI"/>
                <w:b/>
                <w:bCs/>
                <w:sz w:val="16"/>
                <w:szCs w:val="16"/>
              </w:rPr>
            </w:pPr>
            <w:r w:rsidRPr="00D06007">
              <w:rPr>
                <w:rFonts w:cs="Segoe UI"/>
                <w:b/>
                <w:bCs/>
                <w:sz w:val="16"/>
                <w:szCs w:val="16"/>
              </w:rPr>
              <w:t>235,263</w:t>
            </w:r>
          </w:p>
        </w:tc>
      </w:tr>
      <w:tr w:rsidR="00D06007" w:rsidRPr="00D06007" w14:paraId="355210CA" w14:textId="77777777" w:rsidTr="00CE40AF">
        <w:trPr>
          <w:trHeight w:val="344"/>
        </w:trPr>
        <w:tc>
          <w:tcPr>
            <w:tcW w:w="1275" w:type="dxa"/>
            <w:tcBorders>
              <w:top w:val="single" w:sz="4" w:space="0" w:color="BFBFBF" w:themeColor="background1" w:themeShade="BF"/>
              <w:left w:val="nil"/>
              <w:bottom w:val="single" w:sz="4" w:space="0" w:color="BFBFBF" w:themeColor="background1" w:themeShade="BF"/>
              <w:right w:val="nil"/>
            </w:tcBorders>
          </w:tcPr>
          <w:p w14:paraId="61283162" w14:textId="719713D6" w:rsidR="00D06007" w:rsidRPr="00D06007" w:rsidRDefault="00D06007" w:rsidP="00D06007">
            <w:pPr>
              <w:pStyle w:val="TableText"/>
              <w:ind w:left="57" w:right="170"/>
              <w:jc w:val="right"/>
              <w:rPr>
                <w:rFonts w:cs="Segoe UI"/>
                <w:b/>
                <w:bCs/>
                <w:sz w:val="16"/>
                <w:szCs w:val="16"/>
              </w:rPr>
            </w:pPr>
            <w:r w:rsidRPr="00D06007">
              <w:rPr>
                <w:rFonts w:cs="Segoe UI"/>
                <w:b/>
                <w:bCs/>
                <w:sz w:val="16"/>
                <w:szCs w:val="16"/>
              </w:rPr>
              <w:t>33,155</w:t>
            </w:r>
          </w:p>
        </w:tc>
        <w:tc>
          <w:tcPr>
            <w:tcW w:w="2411" w:type="dxa"/>
            <w:tcBorders>
              <w:top w:val="single" w:sz="4" w:space="0" w:color="BFBFBF" w:themeColor="background1" w:themeShade="BF"/>
              <w:left w:val="nil"/>
              <w:bottom w:val="single" w:sz="4" w:space="0" w:color="BFBFBF" w:themeColor="background1" w:themeShade="BF"/>
              <w:right w:val="nil"/>
            </w:tcBorders>
            <w:hideMark/>
          </w:tcPr>
          <w:p w14:paraId="5DFB7323" w14:textId="77777777" w:rsidR="00D06007" w:rsidRPr="00D06007" w:rsidRDefault="00D06007" w:rsidP="00D06007">
            <w:pPr>
              <w:pStyle w:val="TableText"/>
              <w:ind w:left="57" w:right="57"/>
              <w:rPr>
                <w:rFonts w:cs="Segoe UI"/>
                <w:b/>
                <w:bCs/>
                <w:sz w:val="16"/>
                <w:szCs w:val="16"/>
              </w:rPr>
            </w:pPr>
            <w:r w:rsidRPr="00D06007">
              <w:rPr>
                <w:rFonts w:cs="Segoe UI"/>
                <w:b/>
                <w:bCs/>
                <w:sz w:val="16"/>
                <w:szCs w:val="16"/>
              </w:rPr>
              <w:t>Net surplus/(deficit)</w:t>
            </w:r>
          </w:p>
        </w:tc>
        <w:tc>
          <w:tcPr>
            <w:tcW w:w="567" w:type="dxa"/>
            <w:tcBorders>
              <w:top w:val="single" w:sz="4" w:space="0" w:color="BFBFBF" w:themeColor="background1" w:themeShade="BF"/>
              <w:left w:val="nil"/>
              <w:bottom w:val="single" w:sz="4" w:space="0" w:color="BFBFBF" w:themeColor="background1" w:themeShade="BF"/>
              <w:right w:val="nil"/>
            </w:tcBorders>
          </w:tcPr>
          <w:p w14:paraId="127CED32" w14:textId="77777777" w:rsidR="00D06007" w:rsidRPr="00D06007" w:rsidRDefault="00D06007" w:rsidP="00D06007">
            <w:pPr>
              <w:pStyle w:val="TableText"/>
              <w:ind w:left="57" w:right="57"/>
              <w:jc w:val="right"/>
              <w:rPr>
                <w:rFonts w:cs="Segoe UI"/>
                <w:b/>
                <w:bCs/>
                <w:sz w:val="16"/>
                <w:szCs w:val="16"/>
              </w:rPr>
            </w:pPr>
          </w:p>
        </w:tc>
        <w:tc>
          <w:tcPr>
            <w:tcW w:w="1147" w:type="dxa"/>
            <w:tcBorders>
              <w:top w:val="single" w:sz="4" w:space="0" w:color="BFBFBF" w:themeColor="background1" w:themeShade="BF"/>
              <w:left w:val="nil"/>
              <w:bottom w:val="single" w:sz="4" w:space="0" w:color="BFBFBF" w:themeColor="background1" w:themeShade="BF"/>
              <w:right w:val="nil"/>
            </w:tcBorders>
            <w:hideMark/>
          </w:tcPr>
          <w:p w14:paraId="5DA444B8" w14:textId="4F9BEADE" w:rsidR="00D06007" w:rsidRPr="00D06007" w:rsidRDefault="00D06007" w:rsidP="00D06007">
            <w:pPr>
              <w:pStyle w:val="TableText"/>
              <w:ind w:left="57" w:right="57"/>
              <w:jc w:val="right"/>
              <w:rPr>
                <w:rFonts w:cs="Segoe UI"/>
                <w:b/>
                <w:bCs/>
                <w:sz w:val="16"/>
                <w:szCs w:val="16"/>
              </w:rPr>
            </w:pPr>
            <w:r w:rsidRPr="00D06007">
              <w:rPr>
                <w:rFonts w:cs="Segoe UI"/>
                <w:b/>
                <w:bCs/>
                <w:sz w:val="16"/>
                <w:szCs w:val="16"/>
              </w:rPr>
              <w:t>14,862</w:t>
            </w:r>
          </w:p>
        </w:tc>
        <w:tc>
          <w:tcPr>
            <w:tcW w:w="1285" w:type="dxa"/>
            <w:tcBorders>
              <w:top w:val="single" w:sz="4" w:space="0" w:color="BFBFBF" w:themeColor="background1" w:themeShade="BF"/>
              <w:left w:val="nil"/>
              <w:bottom w:val="single" w:sz="4" w:space="0" w:color="BFBFBF" w:themeColor="background1" w:themeShade="BF"/>
              <w:right w:val="nil"/>
            </w:tcBorders>
            <w:hideMark/>
          </w:tcPr>
          <w:p w14:paraId="01ED3179" w14:textId="0A3B8226" w:rsidR="00D06007" w:rsidRPr="00D06007" w:rsidRDefault="00D06007" w:rsidP="00D06007">
            <w:pPr>
              <w:pStyle w:val="TableText"/>
              <w:ind w:left="57" w:right="57"/>
              <w:jc w:val="right"/>
              <w:rPr>
                <w:rFonts w:cs="Segoe UI"/>
                <w:b/>
                <w:bCs/>
                <w:sz w:val="16"/>
                <w:szCs w:val="16"/>
              </w:rPr>
            </w:pPr>
            <w:r w:rsidRPr="00D06007">
              <w:rPr>
                <w:rFonts w:cs="Segoe UI"/>
                <w:b/>
                <w:bCs/>
                <w:sz w:val="16"/>
                <w:szCs w:val="16"/>
              </w:rPr>
              <w:t>–</w:t>
            </w:r>
          </w:p>
        </w:tc>
        <w:tc>
          <w:tcPr>
            <w:tcW w:w="1395" w:type="dxa"/>
            <w:tcBorders>
              <w:top w:val="single" w:sz="4" w:space="0" w:color="BFBFBF" w:themeColor="background1" w:themeShade="BF"/>
              <w:left w:val="nil"/>
              <w:bottom w:val="single" w:sz="4" w:space="0" w:color="BFBFBF" w:themeColor="background1" w:themeShade="BF"/>
              <w:right w:val="nil"/>
            </w:tcBorders>
            <w:hideMark/>
          </w:tcPr>
          <w:p w14:paraId="038F8E48" w14:textId="2354895D" w:rsidR="00D06007" w:rsidRPr="00D06007" w:rsidRDefault="00D06007" w:rsidP="00D06007">
            <w:pPr>
              <w:pStyle w:val="TableText"/>
              <w:ind w:left="57" w:right="57"/>
              <w:jc w:val="right"/>
              <w:rPr>
                <w:rFonts w:cs="Segoe UI"/>
                <w:b/>
                <w:bCs/>
                <w:sz w:val="16"/>
                <w:szCs w:val="16"/>
              </w:rPr>
            </w:pPr>
            <w:r w:rsidRPr="00D06007">
              <w:rPr>
                <w:rFonts w:cs="Segoe UI"/>
                <w:b/>
                <w:bCs/>
                <w:sz w:val="16"/>
                <w:szCs w:val="16"/>
              </w:rPr>
              <w:t>–</w:t>
            </w:r>
          </w:p>
        </w:tc>
      </w:tr>
      <w:tr w:rsidR="00D06007" w14:paraId="5E4D9447" w14:textId="77777777" w:rsidTr="00CF0688">
        <w:trPr>
          <w:trHeight w:val="564"/>
        </w:trPr>
        <w:tc>
          <w:tcPr>
            <w:tcW w:w="1275" w:type="dxa"/>
            <w:tcBorders>
              <w:top w:val="single" w:sz="4" w:space="0" w:color="BFBFBF" w:themeColor="background1" w:themeShade="BF"/>
              <w:left w:val="nil"/>
              <w:right w:val="nil"/>
            </w:tcBorders>
          </w:tcPr>
          <w:p w14:paraId="285ADB6F" w14:textId="77777777" w:rsidR="00D06007" w:rsidRDefault="00D06007" w:rsidP="00D06007">
            <w:pPr>
              <w:pStyle w:val="TableText"/>
              <w:ind w:left="57" w:right="170"/>
              <w:jc w:val="right"/>
              <w:rPr>
                <w:rFonts w:cs="Segoe UI"/>
                <w:b/>
                <w:bCs/>
                <w:sz w:val="16"/>
                <w:szCs w:val="16"/>
              </w:rPr>
            </w:pPr>
          </w:p>
        </w:tc>
        <w:tc>
          <w:tcPr>
            <w:tcW w:w="2411" w:type="dxa"/>
            <w:tcBorders>
              <w:top w:val="single" w:sz="4" w:space="0" w:color="BFBFBF" w:themeColor="background1" w:themeShade="BF"/>
              <w:left w:val="nil"/>
              <w:right w:val="nil"/>
            </w:tcBorders>
            <w:hideMark/>
          </w:tcPr>
          <w:p w14:paraId="40A0F58C" w14:textId="77777777" w:rsidR="00D06007" w:rsidRPr="00D06007" w:rsidRDefault="00D06007" w:rsidP="00D06007">
            <w:pPr>
              <w:pStyle w:val="TableText"/>
              <w:ind w:left="57" w:right="57"/>
              <w:rPr>
                <w:rFonts w:cs="Segoe UI"/>
                <w:b/>
                <w:bCs/>
                <w:sz w:val="16"/>
                <w:szCs w:val="16"/>
              </w:rPr>
            </w:pPr>
            <w:r w:rsidRPr="00D06007">
              <w:rPr>
                <w:rFonts w:cs="Segoe UI"/>
                <w:b/>
                <w:bCs/>
                <w:sz w:val="16"/>
                <w:szCs w:val="16"/>
              </w:rPr>
              <w:t>Other comprehensive revenue and expense</w:t>
            </w:r>
          </w:p>
        </w:tc>
        <w:tc>
          <w:tcPr>
            <w:tcW w:w="567" w:type="dxa"/>
            <w:tcBorders>
              <w:top w:val="single" w:sz="4" w:space="0" w:color="BFBFBF" w:themeColor="background1" w:themeShade="BF"/>
              <w:left w:val="nil"/>
              <w:right w:val="nil"/>
            </w:tcBorders>
          </w:tcPr>
          <w:p w14:paraId="79F8D13D" w14:textId="77777777" w:rsidR="00D06007" w:rsidRDefault="00D06007" w:rsidP="00D06007">
            <w:pPr>
              <w:pStyle w:val="TableText"/>
              <w:ind w:left="57" w:right="57"/>
              <w:jc w:val="right"/>
              <w:rPr>
                <w:rFonts w:cs="Segoe UI"/>
                <w:b/>
                <w:bCs/>
                <w:sz w:val="16"/>
                <w:szCs w:val="16"/>
              </w:rPr>
            </w:pPr>
          </w:p>
        </w:tc>
        <w:tc>
          <w:tcPr>
            <w:tcW w:w="1147" w:type="dxa"/>
            <w:tcBorders>
              <w:top w:val="single" w:sz="4" w:space="0" w:color="BFBFBF" w:themeColor="background1" w:themeShade="BF"/>
              <w:left w:val="nil"/>
              <w:right w:val="nil"/>
            </w:tcBorders>
          </w:tcPr>
          <w:p w14:paraId="597FFD5B" w14:textId="77777777" w:rsidR="00D06007" w:rsidRPr="00D06007" w:rsidRDefault="00D06007" w:rsidP="00D06007">
            <w:pPr>
              <w:pStyle w:val="TableText"/>
              <w:ind w:left="57" w:right="57"/>
              <w:jc w:val="right"/>
              <w:rPr>
                <w:rFonts w:cs="Segoe UI"/>
                <w:sz w:val="16"/>
                <w:szCs w:val="16"/>
              </w:rPr>
            </w:pPr>
          </w:p>
        </w:tc>
        <w:tc>
          <w:tcPr>
            <w:tcW w:w="1285" w:type="dxa"/>
            <w:tcBorders>
              <w:top w:val="single" w:sz="4" w:space="0" w:color="BFBFBF" w:themeColor="background1" w:themeShade="BF"/>
              <w:left w:val="nil"/>
              <w:right w:val="nil"/>
            </w:tcBorders>
          </w:tcPr>
          <w:p w14:paraId="1E2770FD" w14:textId="77777777" w:rsidR="00D06007" w:rsidRPr="00D06007" w:rsidRDefault="00D06007" w:rsidP="00D06007">
            <w:pPr>
              <w:pStyle w:val="TableText"/>
              <w:ind w:left="57" w:right="57"/>
              <w:jc w:val="right"/>
              <w:rPr>
                <w:rFonts w:cs="Segoe UI"/>
                <w:sz w:val="16"/>
                <w:szCs w:val="16"/>
              </w:rPr>
            </w:pPr>
          </w:p>
        </w:tc>
        <w:tc>
          <w:tcPr>
            <w:tcW w:w="1395" w:type="dxa"/>
            <w:tcBorders>
              <w:top w:val="single" w:sz="4" w:space="0" w:color="BFBFBF" w:themeColor="background1" w:themeShade="BF"/>
              <w:left w:val="nil"/>
              <w:right w:val="nil"/>
            </w:tcBorders>
          </w:tcPr>
          <w:p w14:paraId="6A266716" w14:textId="77777777" w:rsidR="00D06007" w:rsidRPr="00D06007" w:rsidRDefault="00D06007" w:rsidP="00D06007">
            <w:pPr>
              <w:pStyle w:val="TableText"/>
              <w:ind w:left="57" w:right="57"/>
              <w:jc w:val="right"/>
              <w:rPr>
                <w:rFonts w:cs="Segoe UI"/>
                <w:sz w:val="16"/>
                <w:szCs w:val="16"/>
              </w:rPr>
            </w:pPr>
          </w:p>
        </w:tc>
      </w:tr>
      <w:tr w:rsidR="00D06007" w14:paraId="0A4FE7D9" w14:textId="77777777" w:rsidTr="00CF0688">
        <w:trPr>
          <w:trHeight w:val="564"/>
        </w:trPr>
        <w:tc>
          <w:tcPr>
            <w:tcW w:w="1275" w:type="dxa"/>
            <w:tcBorders>
              <w:left w:val="nil"/>
              <w:bottom w:val="single" w:sz="4" w:space="0" w:color="BFBFBF" w:themeColor="background1" w:themeShade="BF"/>
              <w:right w:val="nil"/>
            </w:tcBorders>
          </w:tcPr>
          <w:p w14:paraId="613E471A" w14:textId="125215A3" w:rsidR="00D06007" w:rsidRDefault="00D06007" w:rsidP="00D06007">
            <w:pPr>
              <w:pStyle w:val="TableText"/>
              <w:ind w:left="57" w:right="170"/>
              <w:jc w:val="right"/>
              <w:rPr>
                <w:rFonts w:cs="Segoe UI"/>
                <w:sz w:val="16"/>
                <w:szCs w:val="16"/>
              </w:rPr>
            </w:pPr>
          </w:p>
        </w:tc>
        <w:tc>
          <w:tcPr>
            <w:tcW w:w="2411" w:type="dxa"/>
            <w:tcBorders>
              <w:left w:val="nil"/>
              <w:bottom w:val="single" w:sz="4" w:space="0" w:color="BFBFBF" w:themeColor="background1" w:themeShade="BF"/>
              <w:right w:val="nil"/>
            </w:tcBorders>
            <w:hideMark/>
          </w:tcPr>
          <w:p w14:paraId="2D3A8C16" w14:textId="7D266E40" w:rsidR="00D06007" w:rsidRDefault="00D06007" w:rsidP="00D06007">
            <w:pPr>
              <w:pStyle w:val="TableText"/>
              <w:ind w:left="57" w:right="57"/>
              <w:rPr>
                <w:rFonts w:cs="Segoe UI"/>
                <w:sz w:val="16"/>
                <w:szCs w:val="16"/>
              </w:rPr>
            </w:pPr>
            <w:r>
              <w:rPr>
                <w:rFonts w:cs="Segoe UI"/>
                <w:sz w:val="16"/>
                <w:szCs w:val="16"/>
              </w:rPr>
              <w:t>Item</w:t>
            </w:r>
            <w:r>
              <w:rPr>
                <w:rFonts w:cs="Segoe UI"/>
                <w:spacing w:val="4"/>
                <w:sz w:val="16"/>
                <w:szCs w:val="16"/>
              </w:rPr>
              <w:t xml:space="preserve"> </w:t>
            </w:r>
            <w:r>
              <w:rPr>
                <w:rFonts w:cs="Segoe UI"/>
                <w:sz w:val="16"/>
                <w:szCs w:val="16"/>
              </w:rPr>
              <w:t>that</w:t>
            </w:r>
            <w:r>
              <w:rPr>
                <w:rFonts w:cs="Segoe UI"/>
                <w:spacing w:val="5"/>
                <w:sz w:val="16"/>
                <w:szCs w:val="16"/>
              </w:rPr>
              <w:t xml:space="preserve"> </w:t>
            </w:r>
            <w:r>
              <w:rPr>
                <w:rFonts w:cs="Segoe UI"/>
                <w:sz w:val="16"/>
                <w:szCs w:val="16"/>
              </w:rPr>
              <w:t>will</w:t>
            </w:r>
            <w:r>
              <w:rPr>
                <w:rFonts w:cs="Segoe UI"/>
                <w:spacing w:val="5"/>
                <w:sz w:val="16"/>
                <w:szCs w:val="16"/>
              </w:rPr>
              <w:t xml:space="preserve"> </w:t>
            </w:r>
            <w:r>
              <w:rPr>
                <w:rFonts w:cs="Segoe UI"/>
                <w:sz w:val="16"/>
                <w:szCs w:val="16"/>
              </w:rPr>
              <w:t>not</w:t>
            </w:r>
            <w:r>
              <w:rPr>
                <w:rFonts w:cs="Segoe UI"/>
                <w:spacing w:val="4"/>
                <w:sz w:val="16"/>
                <w:szCs w:val="16"/>
              </w:rPr>
              <w:t xml:space="preserve"> </w:t>
            </w:r>
            <w:r>
              <w:rPr>
                <w:rFonts w:cs="Segoe UI"/>
                <w:sz w:val="16"/>
                <w:szCs w:val="16"/>
              </w:rPr>
              <w:t>be</w:t>
            </w:r>
            <w:r>
              <w:rPr>
                <w:rFonts w:cs="Segoe UI"/>
                <w:spacing w:val="5"/>
                <w:sz w:val="16"/>
                <w:szCs w:val="16"/>
              </w:rPr>
              <w:t xml:space="preserve"> </w:t>
            </w:r>
            <w:r>
              <w:rPr>
                <w:rFonts w:cs="Segoe UI"/>
                <w:sz w:val="16"/>
                <w:szCs w:val="16"/>
              </w:rPr>
              <w:t xml:space="preserve">reclassified </w:t>
            </w:r>
            <w:r>
              <w:rPr>
                <w:rFonts w:cs="Segoe UI"/>
                <w:spacing w:val="-54"/>
                <w:sz w:val="16"/>
                <w:szCs w:val="16"/>
              </w:rPr>
              <w:t xml:space="preserve"> </w:t>
            </w:r>
            <w:r>
              <w:rPr>
                <w:rFonts w:cs="Segoe UI"/>
                <w:w w:val="105"/>
                <w:sz w:val="16"/>
                <w:szCs w:val="16"/>
              </w:rPr>
              <w:t>to</w:t>
            </w:r>
            <w:r>
              <w:rPr>
                <w:rFonts w:cs="Segoe UI"/>
                <w:spacing w:val="-13"/>
                <w:w w:val="105"/>
                <w:sz w:val="16"/>
                <w:szCs w:val="16"/>
              </w:rPr>
              <w:t xml:space="preserve"> </w:t>
            </w:r>
            <w:r>
              <w:rPr>
                <w:rFonts w:cs="Segoe UI"/>
                <w:w w:val="105"/>
                <w:sz w:val="16"/>
                <w:szCs w:val="16"/>
              </w:rPr>
              <w:t>net</w:t>
            </w:r>
            <w:r>
              <w:rPr>
                <w:rFonts w:cs="Segoe UI"/>
                <w:spacing w:val="-13"/>
                <w:w w:val="105"/>
                <w:sz w:val="16"/>
                <w:szCs w:val="16"/>
              </w:rPr>
              <w:t xml:space="preserve"> </w:t>
            </w:r>
            <w:r>
              <w:rPr>
                <w:rFonts w:cs="Segoe UI"/>
                <w:w w:val="105"/>
                <w:sz w:val="16"/>
                <w:szCs w:val="16"/>
              </w:rPr>
              <w:t>surplus/(deficit)</w:t>
            </w:r>
          </w:p>
        </w:tc>
        <w:tc>
          <w:tcPr>
            <w:tcW w:w="567" w:type="dxa"/>
            <w:tcBorders>
              <w:left w:val="nil"/>
              <w:bottom w:val="single" w:sz="4" w:space="0" w:color="BFBFBF" w:themeColor="background1" w:themeShade="BF"/>
              <w:right w:val="nil"/>
            </w:tcBorders>
          </w:tcPr>
          <w:p w14:paraId="3A1CE117" w14:textId="77777777" w:rsidR="00D06007" w:rsidRDefault="00D06007" w:rsidP="00D06007">
            <w:pPr>
              <w:pStyle w:val="TableText"/>
              <w:ind w:left="57" w:right="57"/>
              <w:jc w:val="right"/>
              <w:rPr>
                <w:rFonts w:cs="Segoe UI"/>
                <w:sz w:val="16"/>
                <w:szCs w:val="16"/>
              </w:rPr>
            </w:pPr>
          </w:p>
        </w:tc>
        <w:tc>
          <w:tcPr>
            <w:tcW w:w="1147" w:type="dxa"/>
            <w:tcBorders>
              <w:left w:val="nil"/>
              <w:bottom w:val="single" w:sz="4" w:space="0" w:color="BFBFBF" w:themeColor="background1" w:themeShade="BF"/>
              <w:right w:val="nil"/>
            </w:tcBorders>
            <w:hideMark/>
          </w:tcPr>
          <w:p w14:paraId="00F3F292" w14:textId="77777777" w:rsidR="00D06007" w:rsidRDefault="00D06007" w:rsidP="00D06007">
            <w:pPr>
              <w:pStyle w:val="TableText"/>
              <w:ind w:left="57" w:right="57"/>
              <w:jc w:val="right"/>
              <w:rPr>
                <w:rFonts w:cs="Segoe UI"/>
                <w:sz w:val="16"/>
                <w:szCs w:val="16"/>
              </w:rPr>
            </w:pPr>
            <w:r>
              <w:rPr>
                <w:rFonts w:cs="Segoe UI"/>
                <w:sz w:val="16"/>
                <w:szCs w:val="16"/>
              </w:rPr>
              <w:t>-</w:t>
            </w:r>
          </w:p>
        </w:tc>
        <w:tc>
          <w:tcPr>
            <w:tcW w:w="1285" w:type="dxa"/>
            <w:tcBorders>
              <w:left w:val="nil"/>
              <w:bottom w:val="single" w:sz="4" w:space="0" w:color="BFBFBF" w:themeColor="background1" w:themeShade="BF"/>
              <w:right w:val="nil"/>
            </w:tcBorders>
            <w:hideMark/>
          </w:tcPr>
          <w:p w14:paraId="29AD7BE5" w14:textId="77777777" w:rsidR="00D06007" w:rsidRDefault="00D06007" w:rsidP="00D06007">
            <w:pPr>
              <w:pStyle w:val="TableText"/>
              <w:ind w:left="57" w:right="57"/>
              <w:jc w:val="right"/>
              <w:rPr>
                <w:rFonts w:cs="Segoe UI"/>
                <w:sz w:val="16"/>
                <w:szCs w:val="16"/>
              </w:rPr>
            </w:pPr>
            <w:r>
              <w:rPr>
                <w:rFonts w:cs="Segoe UI"/>
                <w:sz w:val="16"/>
                <w:szCs w:val="16"/>
              </w:rPr>
              <w:t>-</w:t>
            </w:r>
          </w:p>
        </w:tc>
        <w:tc>
          <w:tcPr>
            <w:tcW w:w="1395" w:type="dxa"/>
            <w:tcBorders>
              <w:left w:val="nil"/>
              <w:bottom w:val="single" w:sz="4" w:space="0" w:color="BFBFBF" w:themeColor="background1" w:themeShade="BF"/>
              <w:right w:val="nil"/>
            </w:tcBorders>
            <w:hideMark/>
          </w:tcPr>
          <w:p w14:paraId="7F76C426" w14:textId="77777777" w:rsidR="00D06007" w:rsidRDefault="00D06007" w:rsidP="00D06007">
            <w:pPr>
              <w:pStyle w:val="TableText"/>
              <w:ind w:left="57" w:right="57"/>
              <w:jc w:val="right"/>
              <w:rPr>
                <w:rFonts w:cs="Segoe UI"/>
                <w:sz w:val="16"/>
                <w:szCs w:val="16"/>
              </w:rPr>
            </w:pPr>
            <w:r>
              <w:rPr>
                <w:rFonts w:cs="Segoe UI"/>
                <w:sz w:val="16"/>
                <w:szCs w:val="16"/>
              </w:rPr>
              <w:t>-</w:t>
            </w:r>
          </w:p>
        </w:tc>
      </w:tr>
      <w:tr w:rsidR="00D06007" w14:paraId="2A446DA2" w14:textId="77777777" w:rsidTr="00CE40AF">
        <w:trPr>
          <w:trHeight w:val="362"/>
        </w:trPr>
        <w:tc>
          <w:tcPr>
            <w:tcW w:w="1275" w:type="dxa"/>
            <w:tcBorders>
              <w:top w:val="single" w:sz="4" w:space="0" w:color="BFBFBF" w:themeColor="background1" w:themeShade="BF"/>
              <w:left w:val="nil"/>
              <w:bottom w:val="single" w:sz="4" w:space="0" w:color="BFBFBF" w:themeColor="background1" w:themeShade="BF"/>
              <w:right w:val="nil"/>
            </w:tcBorders>
          </w:tcPr>
          <w:p w14:paraId="18E6F426" w14:textId="7214B8EC" w:rsidR="00D06007" w:rsidRDefault="00D06007" w:rsidP="00D06007">
            <w:pPr>
              <w:pStyle w:val="TableText"/>
              <w:ind w:left="57" w:right="170"/>
              <w:jc w:val="right"/>
              <w:rPr>
                <w:rFonts w:cs="Segoe UI"/>
                <w:sz w:val="16"/>
                <w:szCs w:val="16"/>
              </w:rPr>
            </w:pPr>
            <w:r>
              <w:rPr>
                <w:rFonts w:cs="Segoe UI"/>
                <w:sz w:val="16"/>
                <w:szCs w:val="16"/>
              </w:rPr>
              <w:t>-</w:t>
            </w:r>
          </w:p>
        </w:tc>
        <w:tc>
          <w:tcPr>
            <w:tcW w:w="2411" w:type="dxa"/>
            <w:tcBorders>
              <w:top w:val="single" w:sz="4" w:space="0" w:color="BFBFBF" w:themeColor="background1" w:themeShade="BF"/>
              <w:left w:val="nil"/>
              <w:bottom w:val="single" w:sz="4" w:space="0" w:color="BFBFBF" w:themeColor="background1" w:themeShade="BF"/>
              <w:right w:val="nil"/>
            </w:tcBorders>
          </w:tcPr>
          <w:p w14:paraId="6F311CAF" w14:textId="7E9F8921" w:rsidR="00D06007" w:rsidRDefault="00D06007" w:rsidP="00D06007">
            <w:pPr>
              <w:pStyle w:val="TableText"/>
              <w:ind w:left="57" w:right="57"/>
              <w:rPr>
                <w:rFonts w:cs="Segoe UI"/>
                <w:sz w:val="16"/>
                <w:szCs w:val="16"/>
              </w:rPr>
            </w:pPr>
            <w:r w:rsidRPr="00D06007">
              <w:rPr>
                <w:rFonts w:cs="Segoe UI"/>
                <w:sz w:val="16"/>
                <w:szCs w:val="16"/>
              </w:rPr>
              <w:t>Loss on property revaluation</w:t>
            </w:r>
          </w:p>
        </w:tc>
        <w:tc>
          <w:tcPr>
            <w:tcW w:w="567" w:type="dxa"/>
            <w:tcBorders>
              <w:top w:val="single" w:sz="4" w:space="0" w:color="BFBFBF" w:themeColor="background1" w:themeShade="BF"/>
              <w:left w:val="nil"/>
              <w:bottom w:val="single" w:sz="4" w:space="0" w:color="BFBFBF" w:themeColor="background1" w:themeShade="BF"/>
              <w:right w:val="nil"/>
            </w:tcBorders>
          </w:tcPr>
          <w:p w14:paraId="4A265F55" w14:textId="77777777" w:rsidR="00D06007" w:rsidRDefault="00D06007" w:rsidP="00D06007">
            <w:pPr>
              <w:pStyle w:val="TableText"/>
              <w:ind w:left="57" w:right="57"/>
              <w:jc w:val="right"/>
              <w:rPr>
                <w:rFonts w:cs="Segoe UI"/>
                <w:sz w:val="16"/>
                <w:szCs w:val="16"/>
              </w:rPr>
            </w:pPr>
          </w:p>
        </w:tc>
        <w:tc>
          <w:tcPr>
            <w:tcW w:w="1147" w:type="dxa"/>
            <w:tcBorders>
              <w:top w:val="single" w:sz="4" w:space="0" w:color="BFBFBF" w:themeColor="background1" w:themeShade="BF"/>
              <w:left w:val="nil"/>
              <w:bottom w:val="single" w:sz="4" w:space="0" w:color="BFBFBF" w:themeColor="background1" w:themeShade="BF"/>
              <w:right w:val="nil"/>
            </w:tcBorders>
          </w:tcPr>
          <w:p w14:paraId="3D24202A" w14:textId="04F111E1" w:rsidR="00D06007" w:rsidRDefault="00D06007" w:rsidP="00D06007">
            <w:pPr>
              <w:pStyle w:val="TableText"/>
              <w:ind w:left="57" w:right="57"/>
              <w:jc w:val="right"/>
              <w:rPr>
                <w:rFonts w:cs="Segoe UI"/>
                <w:sz w:val="16"/>
                <w:szCs w:val="16"/>
              </w:rPr>
            </w:pPr>
            <w:r w:rsidRPr="00D06007">
              <w:rPr>
                <w:rFonts w:cs="Segoe UI"/>
                <w:sz w:val="16"/>
                <w:szCs w:val="16"/>
              </w:rPr>
              <w:t>(565)</w:t>
            </w:r>
          </w:p>
        </w:tc>
        <w:tc>
          <w:tcPr>
            <w:tcW w:w="1285" w:type="dxa"/>
            <w:tcBorders>
              <w:top w:val="single" w:sz="4" w:space="0" w:color="BFBFBF" w:themeColor="background1" w:themeShade="BF"/>
              <w:left w:val="nil"/>
              <w:bottom w:val="single" w:sz="4" w:space="0" w:color="BFBFBF" w:themeColor="background1" w:themeShade="BF"/>
              <w:right w:val="nil"/>
            </w:tcBorders>
          </w:tcPr>
          <w:p w14:paraId="2DF2AE65" w14:textId="2F47A973" w:rsidR="00D06007" w:rsidRDefault="00D06007" w:rsidP="00D06007">
            <w:pPr>
              <w:pStyle w:val="TableText"/>
              <w:ind w:left="57" w:right="57"/>
              <w:jc w:val="right"/>
              <w:rPr>
                <w:rFonts w:cs="Segoe UI"/>
                <w:sz w:val="16"/>
                <w:szCs w:val="16"/>
              </w:rPr>
            </w:pPr>
            <w:r w:rsidRPr="00D06007">
              <w:rPr>
                <w:rFonts w:cs="Segoe UI"/>
                <w:sz w:val="16"/>
                <w:szCs w:val="16"/>
              </w:rPr>
              <w:t>–</w:t>
            </w:r>
          </w:p>
        </w:tc>
        <w:tc>
          <w:tcPr>
            <w:tcW w:w="1395" w:type="dxa"/>
            <w:tcBorders>
              <w:top w:val="single" w:sz="4" w:space="0" w:color="BFBFBF" w:themeColor="background1" w:themeShade="BF"/>
              <w:left w:val="nil"/>
              <w:bottom w:val="single" w:sz="4" w:space="0" w:color="BFBFBF" w:themeColor="background1" w:themeShade="BF"/>
              <w:right w:val="nil"/>
            </w:tcBorders>
          </w:tcPr>
          <w:p w14:paraId="521928F0" w14:textId="6B3C69E8" w:rsidR="00D06007" w:rsidRDefault="00D06007" w:rsidP="00D06007">
            <w:pPr>
              <w:pStyle w:val="TableText"/>
              <w:ind w:left="57" w:right="57"/>
              <w:jc w:val="right"/>
              <w:rPr>
                <w:rFonts w:cs="Segoe UI"/>
                <w:sz w:val="16"/>
                <w:szCs w:val="16"/>
              </w:rPr>
            </w:pPr>
            <w:r w:rsidRPr="00D06007">
              <w:rPr>
                <w:rFonts w:cs="Segoe UI"/>
                <w:sz w:val="16"/>
                <w:szCs w:val="16"/>
              </w:rPr>
              <w:t>–</w:t>
            </w:r>
          </w:p>
        </w:tc>
      </w:tr>
      <w:tr w:rsidR="00D06007" w:rsidRPr="00D06007" w14:paraId="5A031643" w14:textId="77777777" w:rsidTr="00CE40AF">
        <w:trPr>
          <w:trHeight w:val="564"/>
        </w:trPr>
        <w:tc>
          <w:tcPr>
            <w:tcW w:w="1275" w:type="dxa"/>
            <w:tcBorders>
              <w:top w:val="single" w:sz="4" w:space="0" w:color="BFBFBF" w:themeColor="background1" w:themeShade="BF"/>
              <w:left w:val="nil"/>
              <w:bottom w:val="single" w:sz="4" w:space="0" w:color="BFBFBF" w:themeColor="background1" w:themeShade="BF"/>
              <w:right w:val="nil"/>
            </w:tcBorders>
          </w:tcPr>
          <w:p w14:paraId="367E1945" w14:textId="1017551C" w:rsidR="00D06007" w:rsidRPr="00D06007" w:rsidRDefault="00D06007" w:rsidP="00D06007">
            <w:pPr>
              <w:pStyle w:val="TableText"/>
              <w:ind w:left="57" w:right="170"/>
              <w:jc w:val="right"/>
              <w:rPr>
                <w:rFonts w:cs="Segoe UI"/>
                <w:b/>
                <w:bCs/>
                <w:sz w:val="16"/>
                <w:szCs w:val="16"/>
              </w:rPr>
            </w:pPr>
            <w:r w:rsidRPr="00D06007">
              <w:rPr>
                <w:rFonts w:cs="Segoe UI"/>
                <w:b/>
                <w:bCs/>
                <w:sz w:val="16"/>
                <w:szCs w:val="16"/>
              </w:rPr>
              <w:t>33,155</w:t>
            </w:r>
          </w:p>
        </w:tc>
        <w:tc>
          <w:tcPr>
            <w:tcW w:w="2411" w:type="dxa"/>
            <w:tcBorders>
              <w:top w:val="single" w:sz="4" w:space="0" w:color="BFBFBF" w:themeColor="background1" w:themeShade="BF"/>
              <w:left w:val="nil"/>
              <w:bottom w:val="single" w:sz="4" w:space="0" w:color="BFBFBF" w:themeColor="background1" w:themeShade="BF"/>
              <w:right w:val="nil"/>
            </w:tcBorders>
            <w:hideMark/>
          </w:tcPr>
          <w:p w14:paraId="1E9C30B4" w14:textId="77777777" w:rsidR="00D06007" w:rsidRPr="00D06007" w:rsidRDefault="00D06007" w:rsidP="00D06007">
            <w:pPr>
              <w:pStyle w:val="TableText"/>
              <w:rPr>
                <w:b/>
                <w:bCs/>
              </w:rPr>
            </w:pPr>
            <w:r w:rsidRPr="00D06007">
              <w:rPr>
                <w:b/>
                <w:bCs/>
                <w:sz w:val="16"/>
                <w:szCs w:val="18"/>
              </w:rPr>
              <w:t>Total comprehensive revenue and expenses</w:t>
            </w:r>
          </w:p>
        </w:tc>
        <w:tc>
          <w:tcPr>
            <w:tcW w:w="567" w:type="dxa"/>
            <w:tcBorders>
              <w:top w:val="single" w:sz="4" w:space="0" w:color="BFBFBF" w:themeColor="background1" w:themeShade="BF"/>
              <w:left w:val="nil"/>
              <w:bottom w:val="single" w:sz="4" w:space="0" w:color="BFBFBF" w:themeColor="background1" w:themeShade="BF"/>
              <w:right w:val="nil"/>
            </w:tcBorders>
          </w:tcPr>
          <w:p w14:paraId="69052B8D" w14:textId="77777777" w:rsidR="00D06007" w:rsidRPr="00D06007" w:rsidRDefault="00D06007" w:rsidP="00D06007">
            <w:pPr>
              <w:pStyle w:val="TableText"/>
              <w:ind w:left="57" w:right="57"/>
              <w:jc w:val="right"/>
              <w:rPr>
                <w:rFonts w:cs="Segoe UI"/>
                <w:b/>
                <w:bCs/>
                <w:sz w:val="16"/>
                <w:szCs w:val="16"/>
              </w:rPr>
            </w:pPr>
          </w:p>
        </w:tc>
        <w:tc>
          <w:tcPr>
            <w:tcW w:w="1147" w:type="dxa"/>
            <w:tcBorders>
              <w:top w:val="single" w:sz="4" w:space="0" w:color="BFBFBF" w:themeColor="background1" w:themeShade="BF"/>
              <w:left w:val="nil"/>
              <w:bottom w:val="single" w:sz="4" w:space="0" w:color="BFBFBF" w:themeColor="background1" w:themeShade="BF"/>
              <w:right w:val="nil"/>
            </w:tcBorders>
            <w:hideMark/>
          </w:tcPr>
          <w:p w14:paraId="0664A8FA" w14:textId="31633B63" w:rsidR="00D06007" w:rsidRPr="00D06007" w:rsidRDefault="00D06007" w:rsidP="00D06007">
            <w:pPr>
              <w:pStyle w:val="TableText"/>
              <w:ind w:left="57" w:right="57"/>
              <w:jc w:val="right"/>
              <w:rPr>
                <w:rFonts w:cs="Segoe UI"/>
                <w:b/>
                <w:bCs/>
                <w:sz w:val="16"/>
                <w:szCs w:val="16"/>
              </w:rPr>
            </w:pPr>
            <w:r w:rsidRPr="00D06007">
              <w:rPr>
                <w:rFonts w:cs="Segoe UI"/>
                <w:b/>
                <w:bCs/>
                <w:sz w:val="16"/>
                <w:szCs w:val="16"/>
              </w:rPr>
              <w:t>14,297</w:t>
            </w:r>
          </w:p>
        </w:tc>
        <w:tc>
          <w:tcPr>
            <w:tcW w:w="1285" w:type="dxa"/>
            <w:tcBorders>
              <w:top w:val="single" w:sz="4" w:space="0" w:color="BFBFBF" w:themeColor="background1" w:themeShade="BF"/>
              <w:left w:val="nil"/>
              <w:bottom w:val="single" w:sz="4" w:space="0" w:color="BFBFBF" w:themeColor="background1" w:themeShade="BF"/>
              <w:right w:val="nil"/>
            </w:tcBorders>
            <w:hideMark/>
          </w:tcPr>
          <w:p w14:paraId="5EB32FBF" w14:textId="1CF4CA4C" w:rsidR="00D06007" w:rsidRPr="00D06007" w:rsidRDefault="00D06007" w:rsidP="00D06007">
            <w:pPr>
              <w:pStyle w:val="TableText"/>
              <w:ind w:left="57" w:right="57"/>
              <w:jc w:val="right"/>
              <w:rPr>
                <w:rFonts w:cs="Segoe UI"/>
                <w:b/>
                <w:bCs/>
                <w:sz w:val="16"/>
                <w:szCs w:val="16"/>
              </w:rPr>
            </w:pPr>
            <w:r w:rsidRPr="00D06007">
              <w:rPr>
                <w:rFonts w:cs="Segoe UI"/>
                <w:b/>
                <w:bCs/>
                <w:sz w:val="16"/>
                <w:szCs w:val="16"/>
              </w:rPr>
              <w:t>–</w:t>
            </w:r>
          </w:p>
        </w:tc>
        <w:tc>
          <w:tcPr>
            <w:tcW w:w="1395" w:type="dxa"/>
            <w:tcBorders>
              <w:top w:val="single" w:sz="4" w:space="0" w:color="BFBFBF" w:themeColor="background1" w:themeShade="BF"/>
              <w:left w:val="nil"/>
              <w:bottom w:val="single" w:sz="4" w:space="0" w:color="BFBFBF" w:themeColor="background1" w:themeShade="BF"/>
              <w:right w:val="nil"/>
            </w:tcBorders>
            <w:hideMark/>
          </w:tcPr>
          <w:p w14:paraId="1B3BA3AE" w14:textId="33FED69A" w:rsidR="00D06007" w:rsidRPr="00D06007" w:rsidRDefault="00D06007" w:rsidP="00D06007">
            <w:pPr>
              <w:pStyle w:val="TableText"/>
              <w:ind w:left="57" w:right="57"/>
              <w:jc w:val="right"/>
              <w:rPr>
                <w:rFonts w:cs="Segoe UI"/>
                <w:b/>
                <w:bCs/>
                <w:sz w:val="16"/>
                <w:szCs w:val="16"/>
              </w:rPr>
            </w:pPr>
            <w:r w:rsidRPr="00D06007">
              <w:rPr>
                <w:rFonts w:cs="Segoe UI"/>
                <w:b/>
                <w:bCs/>
                <w:sz w:val="16"/>
                <w:szCs w:val="16"/>
              </w:rPr>
              <w:t>–</w:t>
            </w:r>
          </w:p>
        </w:tc>
      </w:tr>
    </w:tbl>
    <w:p w14:paraId="50C02E0F" w14:textId="77777777" w:rsidR="00CE40AF" w:rsidRDefault="00CE40AF" w:rsidP="00CE40AF">
      <w:pPr>
        <w:pStyle w:val="Note"/>
      </w:pPr>
      <w:r w:rsidRPr="00CE40AF">
        <w:t>The accompanying notes form part of these financial statements.</w:t>
      </w:r>
    </w:p>
    <w:p w14:paraId="49660D12" w14:textId="77777777" w:rsidR="00CE40AF" w:rsidRDefault="00CE40AF" w:rsidP="00CE40AF">
      <w:pPr>
        <w:rPr>
          <w:highlight w:val="yellow"/>
        </w:rPr>
      </w:pPr>
    </w:p>
    <w:p w14:paraId="6A08EE7F" w14:textId="77777777" w:rsidR="00CE40AF" w:rsidRDefault="00CE40AF" w:rsidP="00CE40AF">
      <w:pPr>
        <w:rPr>
          <w:highlight w:val="yellow"/>
        </w:rPr>
      </w:pPr>
    </w:p>
    <w:p w14:paraId="1CB4DA2F" w14:textId="77777777" w:rsidR="00CE40AF" w:rsidRDefault="00CE40AF" w:rsidP="00CE40AF">
      <w:pPr>
        <w:rPr>
          <w:highlight w:val="yellow"/>
        </w:rPr>
        <w:sectPr w:rsidR="00CE40AF" w:rsidSect="000A3324">
          <w:pgSz w:w="11907" w:h="16840" w:code="9"/>
          <w:pgMar w:top="1418" w:right="1701" w:bottom="1134" w:left="1843" w:header="284" w:footer="425" w:gutter="284"/>
          <w:cols w:space="720"/>
        </w:sectPr>
      </w:pPr>
    </w:p>
    <w:p w14:paraId="03BE90B0" w14:textId="77777777" w:rsidR="00CE40AF" w:rsidRDefault="00CE40AF" w:rsidP="00CE40AF">
      <w:pPr>
        <w:pStyle w:val="Heading2"/>
        <w:spacing w:before="0"/>
      </w:pPr>
      <w:bookmarkStart w:id="42" w:name="_Toc180077038"/>
      <w:r w:rsidRPr="00CE40AF">
        <w:lastRenderedPageBreak/>
        <w:t xml:space="preserve">Statement of financial position as </w:t>
      </w:r>
      <w:proofErr w:type="gramStart"/>
      <w:r w:rsidRPr="00CE40AF">
        <w:t>at</w:t>
      </w:r>
      <w:proofErr w:type="gramEnd"/>
      <w:r w:rsidRPr="00CE40AF">
        <w:t xml:space="preserve"> 30 June 2024</w:t>
      </w:r>
      <w:bookmarkEnd w:id="42"/>
    </w:p>
    <w:p w14:paraId="556EB26C" w14:textId="77777777" w:rsidR="00CE40AF" w:rsidRDefault="00CE40AF" w:rsidP="00CE40AF">
      <w:pPr>
        <w:rPr>
          <w:highlight w:val="yellow"/>
        </w:rPr>
      </w:pPr>
    </w:p>
    <w:tbl>
      <w:tblPr>
        <w:tblW w:w="8080" w:type="dxa"/>
        <w:tblLayout w:type="fixed"/>
        <w:tblCellMar>
          <w:left w:w="0" w:type="dxa"/>
          <w:right w:w="0" w:type="dxa"/>
        </w:tblCellMar>
        <w:tblLook w:val="01E0" w:firstRow="1" w:lastRow="1" w:firstColumn="1" w:lastColumn="1" w:noHBand="0" w:noVBand="0"/>
      </w:tblPr>
      <w:tblGrid>
        <w:gridCol w:w="1275"/>
        <w:gridCol w:w="2411"/>
        <w:gridCol w:w="567"/>
        <w:gridCol w:w="1147"/>
        <w:gridCol w:w="1285"/>
        <w:gridCol w:w="1395"/>
      </w:tblGrid>
      <w:tr w:rsidR="00CE40AF" w14:paraId="2887354C" w14:textId="77777777" w:rsidTr="00CE40AF">
        <w:trPr>
          <w:trHeight w:val="1011"/>
        </w:trPr>
        <w:tc>
          <w:tcPr>
            <w:tcW w:w="1275" w:type="dxa"/>
            <w:shd w:val="clear" w:color="auto" w:fill="D9D9D9" w:themeFill="background1" w:themeFillShade="D9"/>
            <w:hideMark/>
          </w:tcPr>
          <w:p w14:paraId="79295A2A" w14:textId="77777777" w:rsidR="00CE40AF" w:rsidRDefault="00CE40AF" w:rsidP="00CE40AF">
            <w:pPr>
              <w:pStyle w:val="TableText"/>
              <w:ind w:left="57" w:right="170"/>
              <w:jc w:val="right"/>
              <w:rPr>
                <w:rFonts w:cs="Segoe UI"/>
                <w:b/>
                <w:bCs/>
                <w:sz w:val="16"/>
                <w:szCs w:val="16"/>
              </w:rPr>
            </w:pPr>
            <w:r>
              <w:rPr>
                <w:rFonts w:cs="Segoe UI"/>
                <w:b/>
                <w:bCs/>
                <w:w w:val="110"/>
                <w:sz w:val="16"/>
                <w:szCs w:val="16"/>
              </w:rPr>
              <w:t>Actual</w:t>
            </w:r>
            <w:r>
              <w:rPr>
                <w:rFonts w:cs="Segoe UI"/>
                <w:b/>
                <w:bCs/>
                <w:w w:val="110"/>
                <w:sz w:val="16"/>
                <w:szCs w:val="16"/>
              </w:rPr>
              <w:br/>
            </w:r>
          </w:p>
          <w:p w14:paraId="4274E5EF" w14:textId="77777777" w:rsidR="00CE40AF" w:rsidRDefault="00CE40AF" w:rsidP="00CE40AF">
            <w:pPr>
              <w:pStyle w:val="TableText"/>
              <w:ind w:left="57" w:right="170"/>
              <w:jc w:val="right"/>
              <w:rPr>
                <w:rFonts w:cs="Segoe UI"/>
                <w:b/>
                <w:bCs/>
                <w:sz w:val="16"/>
                <w:szCs w:val="16"/>
              </w:rPr>
            </w:pPr>
            <w:r>
              <w:rPr>
                <w:rFonts w:cs="Segoe UI"/>
                <w:b/>
                <w:bCs/>
                <w:w w:val="105"/>
                <w:sz w:val="16"/>
                <w:szCs w:val="16"/>
              </w:rPr>
              <w:t>2023</w:t>
            </w:r>
          </w:p>
          <w:p w14:paraId="19A5D23A" w14:textId="77777777" w:rsidR="00CE40AF" w:rsidRDefault="00CE40AF" w:rsidP="00CE40AF">
            <w:pPr>
              <w:pStyle w:val="TableText"/>
              <w:ind w:left="57" w:right="170"/>
              <w:jc w:val="right"/>
              <w:rPr>
                <w:rFonts w:cs="Segoe UI"/>
                <w:b/>
                <w:bCs/>
                <w:sz w:val="16"/>
                <w:szCs w:val="16"/>
              </w:rPr>
            </w:pPr>
            <w:r>
              <w:rPr>
                <w:rFonts w:cs="Segoe UI"/>
                <w:b/>
                <w:bCs/>
                <w:sz w:val="16"/>
                <w:szCs w:val="16"/>
              </w:rPr>
              <w:t>$000</w:t>
            </w:r>
          </w:p>
        </w:tc>
        <w:tc>
          <w:tcPr>
            <w:tcW w:w="2411" w:type="dxa"/>
            <w:shd w:val="clear" w:color="auto" w:fill="D9D9D9" w:themeFill="background1" w:themeFillShade="D9"/>
          </w:tcPr>
          <w:p w14:paraId="097EAABA" w14:textId="77777777" w:rsidR="00CE40AF" w:rsidRDefault="00CE40AF" w:rsidP="00CE40AF">
            <w:pPr>
              <w:pStyle w:val="TableText"/>
              <w:ind w:left="57" w:right="57"/>
              <w:rPr>
                <w:rFonts w:cs="Segoe UI"/>
                <w:b/>
                <w:bCs/>
                <w:sz w:val="16"/>
                <w:szCs w:val="16"/>
              </w:rPr>
            </w:pPr>
          </w:p>
        </w:tc>
        <w:tc>
          <w:tcPr>
            <w:tcW w:w="567" w:type="dxa"/>
            <w:shd w:val="clear" w:color="auto" w:fill="D9D9D9" w:themeFill="background1" w:themeFillShade="D9"/>
          </w:tcPr>
          <w:p w14:paraId="5B686920" w14:textId="77777777" w:rsidR="00CE40AF" w:rsidRDefault="00CE40AF" w:rsidP="00CE40AF">
            <w:pPr>
              <w:pStyle w:val="TableText"/>
              <w:ind w:left="57" w:right="57"/>
              <w:jc w:val="right"/>
              <w:rPr>
                <w:rFonts w:cs="Segoe UI"/>
                <w:b/>
                <w:bCs/>
                <w:sz w:val="16"/>
                <w:szCs w:val="16"/>
              </w:rPr>
            </w:pPr>
            <w:r>
              <w:rPr>
                <w:rFonts w:cs="Segoe UI"/>
                <w:b/>
                <w:bCs/>
                <w:sz w:val="16"/>
                <w:szCs w:val="16"/>
              </w:rPr>
              <w:br/>
            </w:r>
          </w:p>
          <w:p w14:paraId="4F95DC5F" w14:textId="77777777" w:rsidR="00CE40AF" w:rsidRDefault="00CE40AF" w:rsidP="00CE40AF">
            <w:pPr>
              <w:pStyle w:val="TableText"/>
              <w:ind w:left="57" w:right="57"/>
              <w:jc w:val="right"/>
              <w:rPr>
                <w:rFonts w:cs="Segoe UI"/>
                <w:b/>
                <w:bCs/>
                <w:sz w:val="16"/>
                <w:szCs w:val="16"/>
              </w:rPr>
            </w:pPr>
          </w:p>
          <w:p w14:paraId="433409FE" w14:textId="77777777" w:rsidR="00CE40AF" w:rsidRDefault="00CE40AF" w:rsidP="00CE40AF">
            <w:pPr>
              <w:pStyle w:val="TableText"/>
              <w:ind w:left="57" w:right="57"/>
              <w:jc w:val="right"/>
              <w:rPr>
                <w:rFonts w:cs="Segoe UI"/>
                <w:b/>
                <w:bCs/>
                <w:sz w:val="16"/>
                <w:szCs w:val="16"/>
              </w:rPr>
            </w:pPr>
            <w:r>
              <w:rPr>
                <w:rFonts w:cs="Segoe UI"/>
                <w:b/>
                <w:bCs/>
                <w:sz w:val="16"/>
                <w:szCs w:val="16"/>
              </w:rPr>
              <w:t>Note</w:t>
            </w:r>
          </w:p>
        </w:tc>
        <w:tc>
          <w:tcPr>
            <w:tcW w:w="1147" w:type="dxa"/>
            <w:shd w:val="clear" w:color="auto" w:fill="D9D9D9" w:themeFill="background1" w:themeFillShade="D9"/>
            <w:hideMark/>
          </w:tcPr>
          <w:p w14:paraId="3E703B2D" w14:textId="77777777" w:rsidR="00CE40AF" w:rsidRDefault="00CE40AF" w:rsidP="00CE40AF">
            <w:pPr>
              <w:pStyle w:val="TableText"/>
              <w:ind w:left="57" w:right="57"/>
              <w:jc w:val="right"/>
              <w:rPr>
                <w:rFonts w:cs="Segoe UI"/>
                <w:b/>
                <w:bCs/>
                <w:sz w:val="16"/>
                <w:szCs w:val="16"/>
              </w:rPr>
            </w:pPr>
            <w:r>
              <w:rPr>
                <w:rFonts w:cs="Segoe UI"/>
                <w:b/>
                <w:bCs/>
                <w:sz w:val="16"/>
                <w:szCs w:val="16"/>
              </w:rPr>
              <w:t>Actual</w:t>
            </w:r>
            <w:r>
              <w:rPr>
                <w:rFonts w:cs="Segoe UI"/>
                <w:b/>
                <w:bCs/>
                <w:sz w:val="16"/>
                <w:szCs w:val="16"/>
              </w:rPr>
              <w:br/>
            </w:r>
          </w:p>
          <w:p w14:paraId="729B0862" w14:textId="77777777" w:rsidR="00CE40AF" w:rsidRDefault="00CE40AF" w:rsidP="00CE40AF">
            <w:pPr>
              <w:pStyle w:val="TableText"/>
              <w:ind w:left="57" w:right="57"/>
              <w:jc w:val="right"/>
              <w:rPr>
                <w:rFonts w:cs="Segoe UI"/>
                <w:b/>
                <w:bCs/>
                <w:sz w:val="16"/>
                <w:szCs w:val="16"/>
              </w:rPr>
            </w:pPr>
            <w:r>
              <w:rPr>
                <w:rFonts w:cs="Segoe UI"/>
                <w:b/>
                <w:bCs/>
                <w:sz w:val="16"/>
                <w:szCs w:val="16"/>
              </w:rPr>
              <w:t>2024</w:t>
            </w:r>
          </w:p>
          <w:p w14:paraId="409D8C0A" w14:textId="77777777" w:rsidR="00CE40AF" w:rsidRDefault="00CE40AF" w:rsidP="00CE40AF">
            <w:pPr>
              <w:pStyle w:val="TableText"/>
              <w:ind w:left="57" w:right="57"/>
              <w:jc w:val="right"/>
              <w:rPr>
                <w:rFonts w:cs="Segoe UI"/>
                <w:b/>
                <w:bCs/>
                <w:sz w:val="16"/>
                <w:szCs w:val="16"/>
              </w:rPr>
            </w:pPr>
            <w:r>
              <w:rPr>
                <w:rFonts w:cs="Segoe UI"/>
                <w:b/>
                <w:bCs/>
                <w:sz w:val="16"/>
                <w:szCs w:val="16"/>
              </w:rPr>
              <w:t>$000</w:t>
            </w:r>
          </w:p>
        </w:tc>
        <w:tc>
          <w:tcPr>
            <w:tcW w:w="1285" w:type="dxa"/>
            <w:shd w:val="clear" w:color="auto" w:fill="D9D9D9" w:themeFill="background1" w:themeFillShade="D9"/>
            <w:hideMark/>
          </w:tcPr>
          <w:p w14:paraId="77123FF5" w14:textId="77777777" w:rsidR="00CE40AF" w:rsidRDefault="00CE40AF" w:rsidP="00CE40AF">
            <w:pPr>
              <w:pStyle w:val="TableText"/>
              <w:ind w:left="57" w:right="57"/>
              <w:jc w:val="right"/>
              <w:rPr>
                <w:rFonts w:cs="Segoe UI"/>
                <w:b/>
                <w:bCs/>
                <w:sz w:val="16"/>
                <w:szCs w:val="16"/>
              </w:rPr>
            </w:pPr>
            <w:r>
              <w:rPr>
                <w:rFonts w:cs="Segoe UI"/>
                <w:b/>
                <w:bCs/>
                <w:sz w:val="16"/>
                <w:szCs w:val="16"/>
              </w:rPr>
              <w:t>Unaudited</w:t>
            </w:r>
            <w:r>
              <w:rPr>
                <w:rFonts w:cs="Segoe UI"/>
                <w:b/>
                <w:bCs/>
                <w:sz w:val="16"/>
                <w:szCs w:val="16"/>
              </w:rPr>
              <w:br/>
              <w:t>budget</w:t>
            </w:r>
          </w:p>
          <w:p w14:paraId="122CA287" w14:textId="77777777" w:rsidR="00CE40AF" w:rsidRDefault="00CE40AF" w:rsidP="00CE40AF">
            <w:pPr>
              <w:pStyle w:val="TableText"/>
              <w:ind w:left="57" w:right="57"/>
              <w:jc w:val="right"/>
              <w:rPr>
                <w:rFonts w:cs="Segoe UI"/>
                <w:b/>
                <w:bCs/>
                <w:sz w:val="16"/>
                <w:szCs w:val="16"/>
              </w:rPr>
            </w:pPr>
            <w:r>
              <w:rPr>
                <w:rFonts w:cs="Segoe UI"/>
                <w:b/>
                <w:bCs/>
                <w:sz w:val="16"/>
                <w:szCs w:val="16"/>
              </w:rPr>
              <w:t>2024</w:t>
            </w:r>
          </w:p>
          <w:p w14:paraId="5563C6B8" w14:textId="77777777" w:rsidR="00CE40AF" w:rsidRDefault="00CE40AF" w:rsidP="00CE40AF">
            <w:pPr>
              <w:pStyle w:val="TableText"/>
              <w:ind w:left="57" w:right="57"/>
              <w:jc w:val="right"/>
              <w:rPr>
                <w:rFonts w:cs="Segoe UI"/>
                <w:b/>
                <w:bCs/>
                <w:sz w:val="16"/>
                <w:szCs w:val="16"/>
              </w:rPr>
            </w:pPr>
            <w:r>
              <w:rPr>
                <w:rFonts w:cs="Segoe UI"/>
                <w:b/>
                <w:bCs/>
                <w:sz w:val="16"/>
                <w:szCs w:val="16"/>
              </w:rPr>
              <w:t>$000</w:t>
            </w:r>
          </w:p>
        </w:tc>
        <w:tc>
          <w:tcPr>
            <w:tcW w:w="1395" w:type="dxa"/>
            <w:shd w:val="clear" w:color="auto" w:fill="D9D9D9" w:themeFill="background1" w:themeFillShade="D9"/>
            <w:hideMark/>
          </w:tcPr>
          <w:p w14:paraId="6FCB6B17" w14:textId="77777777" w:rsidR="00CE40AF" w:rsidRDefault="00CE40AF" w:rsidP="00CE40AF">
            <w:pPr>
              <w:pStyle w:val="TableText"/>
              <w:ind w:left="57" w:right="57"/>
              <w:jc w:val="right"/>
              <w:rPr>
                <w:rFonts w:cs="Segoe UI"/>
                <w:b/>
                <w:bCs/>
                <w:sz w:val="16"/>
                <w:szCs w:val="16"/>
              </w:rPr>
            </w:pPr>
            <w:r>
              <w:rPr>
                <w:rFonts w:cs="Segoe UI"/>
                <w:b/>
                <w:bCs/>
                <w:sz w:val="16"/>
                <w:szCs w:val="16"/>
              </w:rPr>
              <w:t>Unaudited forecast</w:t>
            </w:r>
          </w:p>
          <w:p w14:paraId="69D840EC" w14:textId="77777777" w:rsidR="00CE40AF" w:rsidRDefault="00CE40AF" w:rsidP="00CE40AF">
            <w:pPr>
              <w:pStyle w:val="TableText"/>
              <w:ind w:left="57" w:right="57"/>
              <w:jc w:val="right"/>
              <w:rPr>
                <w:rFonts w:cs="Segoe UI"/>
                <w:b/>
                <w:bCs/>
                <w:sz w:val="16"/>
                <w:szCs w:val="16"/>
              </w:rPr>
            </w:pPr>
            <w:r>
              <w:rPr>
                <w:rFonts w:cs="Segoe UI"/>
                <w:b/>
                <w:bCs/>
                <w:sz w:val="16"/>
                <w:szCs w:val="16"/>
              </w:rPr>
              <w:t>2025</w:t>
            </w:r>
          </w:p>
          <w:p w14:paraId="283F8968" w14:textId="77777777" w:rsidR="00CE40AF" w:rsidRDefault="00CE40AF" w:rsidP="00CE40AF">
            <w:pPr>
              <w:pStyle w:val="TableText"/>
              <w:ind w:left="57" w:right="57"/>
              <w:jc w:val="right"/>
              <w:rPr>
                <w:rFonts w:cs="Segoe UI"/>
                <w:b/>
                <w:bCs/>
                <w:sz w:val="16"/>
                <w:szCs w:val="16"/>
              </w:rPr>
            </w:pPr>
            <w:r>
              <w:rPr>
                <w:rFonts w:cs="Segoe UI"/>
                <w:b/>
                <w:bCs/>
                <w:sz w:val="16"/>
                <w:szCs w:val="16"/>
              </w:rPr>
              <w:t>$000</w:t>
            </w:r>
          </w:p>
        </w:tc>
      </w:tr>
      <w:tr w:rsidR="00CE40AF" w:rsidRPr="00F93BC7" w14:paraId="5051A3C2" w14:textId="77777777" w:rsidTr="00CE40AF">
        <w:trPr>
          <w:trHeight w:val="334"/>
        </w:trPr>
        <w:tc>
          <w:tcPr>
            <w:tcW w:w="1275" w:type="dxa"/>
          </w:tcPr>
          <w:p w14:paraId="66146845" w14:textId="77777777" w:rsidR="00CE40AF" w:rsidRPr="00F93BC7" w:rsidRDefault="00CE40AF" w:rsidP="00F93BC7">
            <w:pPr>
              <w:pStyle w:val="TableText"/>
              <w:spacing w:before="40" w:after="40"/>
              <w:ind w:left="57" w:right="170"/>
              <w:jc w:val="right"/>
              <w:rPr>
                <w:rFonts w:cs="Segoe UI"/>
                <w:b/>
                <w:bCs/>
                <w:sz w:val="16"/>
                <w:szCs w:val="16"/>
              </w:rPr>
            </w:pPr>
          </w:p>
        </w:tc>
        <w:tc>
          <w:tcPr>
            <w:tcW w:w="2411" w:type="dxa"/>
          </w:tcPr>
          <w:p w14:paraId="37F0F9BB" w14:textId="56626939" w:rsidR="00CE40AF" w:rsidRPr="00F93BC7" w:rsidRDefault="00CE40AF" w:rsidP="00F93BC7">
            <w:pPr>
              <w:pStyle w:val="TableText"/>
              <w:spacing w:before="40" w:after="40"/>
              <w:ind w:left="57"/>
              <w:rPr>
                <w:b/>
                <w:bCs/>
                <w:sz w:val="16"/>
                <w:szCs w:val="18"/>
              </w:rPr>
            </w:pPr>
            <w:r w:rsidRPr="00F93BC7">
              <w:rPr>
                <w:b/>
                <w:bCs/>
                <w:sz w:val="16"/>
                <w:szCs w:val="18"/>
              </w:rPr>
              <w:t>Equity</w:t>
            </w:r>
          </w:p>
        </w:tc>
        <w:tc>
          <w:tcPr>
            <w:tcW w:w="567" w:type="dxa"/>
          </w:tcPr>
          <w:p w14:paraId="32A94C88" w14:textId="77777777" w:rsidR="00CE40AF" w:rsidRPr="00F93BC7" w:rsidRDefault="00CE40AF" w:rsidP="00F93BC7">
            <w:pPr>
              <w:pStyle w:val="TableText"/>
              <w:spacing w:before="40" w:after="40"/>
              <w:ind w:left="57" w:right="57"/>
              <w:jc w:val="right"/>
              <w:rPr>
                <w:rFonts w:cs="Segoe UI"/>
                <w:b/>
                <w:bCs/>
                <w:sz w:val="16"/>
                <w:szCs w:val="16"/>
              </w:rPr>
            </w:pPr>
          </w:p>
        </w:tc>
        <w:tc>
          <w:tcPr>
            <w:tcW w:w="1147" w:type="dxa"/>
          </w:tcPr>
          <w:p w14:paraId="23E9CFD4" w14:textId="77777777" w:rsidR="00CE40AF" w:rsidRPr="00F93BC7" w:rsidRDefault="00CE40AF" w:rsidP="00F93BC7">
            <w:pPr>
              <w:pStyle w:val="TableText"/>
              <w:spacing w:before="40" w:after="40"/>
              <w:ind w:left="57" w:right="57"/>
              <w:jc w:val="right"/>
              <w:rPr>
                <w:rFonts w:cs="Segoe UI"/>
                <w:b/>
                <w:bCs/>
                <w:sz w:val="16"/>
                <w:szCs w:val="16"/>
              </w:rPr>
            </w:pPr>
          </w:p>
        </w:tc>
        <w:tc>
          <w:tcPr>
            <w:tcW w:w="1285" w:type="dxa"/>
          </w:tcPr>
          <w:p w14:paraId="5BD6CA5C" w14:textId="77777777" w:rsidR="00CE40AF" w:rsidRPr="00F93BC7" w:rsidRDefault="00CE40AF" w:rsidP="00F93BC7">
            <w:pPr>
              <w:pStyle w:val="TableText"/>
              <w:spacing w:before="40" w:after="40"/>
              <w:ind w:left="57" w:right="57"/>
              <w:jc w:val="right"/>
              <w:rPr>
                <w:rFonts w:cs="Segoe UI"/>
                <w:b/>
                <w:bCs/>
                <w:sz w:val="16"/>
                <w:szCs w:val="16"/>
              </w:rPr>
            </w:pPr>
          </w:p>
        </w:tc>
        <w:tc>
          <w:tcPr>
            <w:tcW w:w="1395" w:type="dxa"/>
          </w:tcPr>
          <w:p w14:paraId="5A1E1D29" w14:textId="77777777" w:rsidR="00CE40AF" w:rsidRPr="00F93BC7" w:rsidRDefault="00CE40AF" w:rsidP="00F93BC7">
            <w:pPr>
              <w:pStyle w:val="TableText"/>
              <w:spacing w:before="40" w:after="40"/>
              <w:ind w:left="57" w:right="57"/>
              <w:jc w:val="right"/>
              <w:rPr>
                <w:rFonts w:cs="Segoe UI"/>
                <w:b/>
                <w:bCs/>
                <w:sz w:val="16"/>
                <w:szCs w:val="16"/>
              </w:rPr>
            </w:pPr>
          </w:p>
        </w:tc>
      </w:tr>
      <w:tr w:rsidR="00CE40AF" w14:paraId="3C69F512" w14:textId="77777777" w:rsidTr="00CE40AF">
        <w:trPr>
          <w:trHeight w:val="359"/>
        </w:trPr>
        <w:tc>
          <w:tcPr>
            <w:tcW w:w="1275" w:type="dxa"/>
          </w:tcPr>
          <w:p w14:paraId="67041899" w14:textId="6DE2DADF" w:rsidR="00CE40AF" w:rsidRDefault="00CE40AF" w:rsidP="00F93BC7">
            <w:pPr>
              <w:pStyle w:val="TableText"/>
              <w:spacing w:before="40" w:after="40"/>
              <w:ind w:left="57" w:right="170"/>
              <w:jc w:val="right"/>
              <w:rPr>
                <w:rFonts w:cs="Segoe UI"/>
                <w:sz w:val="16"/>
                <w:szCs w:val="16"/>
              </w:rPr>
            </w:pPr>
            <w:r w:rsidRPr="00F93BC7">
              <w:rPr>
                <w:rFonts w:cs="Segoe UI"/>
                <w:sz w:val="16"/>
                <w:szCs w:val="16"/>
              </w:rPr>
              <w:t>9,390</w:t>
            </w:r>
          </w:p>
        </w:tc>
        <w:tc>
          <w:tcPr>
            <w:tcW w:w="2411" w:type="dxa"/>
          </w:tcPr>
          <w:p w14:paraId="23309E98" w14:textId="186B8CB2" w:rsidR="00CE40AF" w:rsidRPr="00CE40AF" w:rsidRDefault="00CE40AF" w:rsidP="00F93BC7">
            <w:pPr>
              <w:pStyle w:val="TableText"/>
              <w:spacing w:before="40" w:after="40"/>
              <w:ind w:left="57"/>
              <w:rPr>
                <w:sz w:val="16"/>
                <w:szCs w:val="18"/>
              </w:rPr>
            </w:pPr>
            <w:r w:rsidRPr="00CE40AF">
              <w:rPr>
                <w:sz w:val="16"/>
                <w:szCs w:val="18"/>
              </w:rPr>
              <w:t>Taxpayers’ funds</w:t>
            </w:r>
          </w:p>
        </w:tc>
        <w:tc>
          <w:tcPr>
            <w:tcW w:w="567" w:type="dxa"/>
          </w:tcPr>
          <w:p w14:paraId="1B40EE1C" w14:textId="455FDEAD" w:rsidR="00CE40AF" w:rsidRDefault="00CE40AF" w:rsidP="00F93BC7">
            <w:pPr>
              <w:pStyle w:val="TableText"/>
              <w:spacing w:before="40" w:after="40"/>
              <w:ind w:left="57" w:right="57"/>
              <w:jc w:val="right"/>
              <w:rPr>
                <w:rFonts w:cs="Segoe UI"/>
                <w:sz w:val="16"/>
                <w:szCs w:val="16"/>
              </w:rPr>
            </w:pPr>
          </w:p>
        </w:tc>
        <w:tc>
          <w:tcPr>
            <w:tcW w:w="1147" w:type="dxa"/>
          </w:tcPr>
          <w:p w14:paraId="24FB6730" w14:textId="7D256464" w:rsidR="00CE40AF" w:rsidRDefault="00CE40AF" w:rsidP="00F93BC7">
            <w:pPr>
              <w:pStyle w:val="TableText"/>
              <w:spacing w:before="40" w:after="40"/>
              <w:ind w:left="57" w:right="57"/>
              <w:jc w:val="right"/>
              <w:rPr>
                <w:rFonts w:cs="Segoe UI"/>
                <w:sz w:val="16"/>
                <w:szCs w:val="16"/>
              </w:rPr>
            </w:pPr>
            <w:r w:rsidRPr="00F93BC7">
              <w:rPr>
                <w:rFonts w:cs="Segoe UI"/>
                <w:sz w:val="16"/>
                <w:szCs w:val="16"/>
              </w:rPr>
              <w:t>8,874</w:t>
            </w:r>
          </w:p>
        </w:tc>
        <w:tc>
          <w:tcPr>
            <w:tcW w:w="1285" w:type="dxa"/>
          </w:tcPr>
          <w:p w14:paraId="5BB26D0F" w14:textId="1E895CE5" w:rsidR="00CE40AF" w:rsidRDefault="00CE40AF" w:rsidP="00F93BC7">
            <w:pPr>
              <w:pStyle w:val="TableText"/>
              <w:spacing w:before="40" w:after="40"/>
              <w:ind w:left="57" w:right="57"/>
              <w:jc w:val="right"/>
              <w:rPr>
                <w:rFonts w:cs="Segoe UI"/>
                <w:sz w:val="16"/>
                <w:szCs w:val="16"/>
              </w:rPr>
            </w:pPr>
            <w:r w:rsidRPr="00F93BC7">
              <w:rPr>
                <w:rFonts w:cs="Segoe UI"/>
                <w:sz w:val="16"/>
                <w:szCs w:val="16"/>
              </w:rPr>
              <w:t>10,364</w:t>
            </w:r>
          </w:p>
        </w:tc>
        <w:tc>
          <w:tcPr>
            <w:tcW w:w="1395" w:type="dxa"/>
          </w:tcPr>
          <w:p w14:paraId="670EC35F" w14:textId="16BD8DBE" w:rsidR="00CE40AF" w:rsidRDefault="00CE40AF" w:rsidP="00F93BC7">
            <w:pPr>
              <w:pStyle w:val="TableText"/>
              <w:spacing w:before="40" w:after="40"/>
              <w:ind w:left="57" w:right="57"/>
              <w:jc w:val="right"/>
              <w:rPr>
                <w:rFonts w:cs="Segoe UI"/>
                <w:sz w:val="16"/>
                <w:szCs w:val="16"/>
              </w:rPr>
            </w:pPr>
            <w:r w:rsidRPr="00F93BC7">
              <w:rPr>
                <w:rFonts w:cs="Segoe UI"/>
                <w:sz w:val="16"/>
                <w:szCs w:val="16"/>
              </w:rPr>
              <w:t>9,360</w:t>
            </w:r>
          </w:p>
        </w:tc>
      </w:tr>
      <w:tr w:rsidR="00CE40AF" w14:paraId="46C9C49C" w14:textId="77777777" w:rsidTr="00CE40AF">
        <w:trPr>
          <w:trHeight w:val="359"/>
        </w:trPr>
        <w:tc>
          <w:tcPr>
            <w:tcW w:w="1275" w:type="dxa"/>
          </w:tcPr>
          <w:p w14:paraId="359CF0BE" w14:textId="32F3A036" w:rsidR="00CE40AF" w:rsidRDefault="00CE40AF" w:rsidP="00F93BC7">
            <w:pPr>
              <w:pStyle w:val="TableText"/>
              <w:spacing w:before="40" w:after="40"/>
              <w:ind w:left="57" w:right="170"/>
              <w:jc w:val="right"/>
              <w:rPr>
                <w:rFonts w:cs="Segoe UI"/>
                <w:sz w:val="16"/>
                <w:szCs w:val="16"/>
              </w:rPr>
            </w:pPr>
            <w:r w:rsidRPr="00F93BC7">
              <w:rPr>
                <w:rFonts w:cs="Segoe UI"/>
                <w:sz w:val="16"/>
                <w:szCs w:val="16"/>
              </w:rPr>
              <w:t>3,555</w:t>
            </w:r>
          </w:p>
        </w:tc>
        <w:tc>
          <w:tcPr>
            <w:tcW w:w="2411" w:type="dxa"/>
          </w:tcPr>
          <w:p w14:paraId="60CC8542" w14:textId="71014C19" w:rsidR="00CE40AF" w:rsidRPr="00CE40AF" w:rsidRDefault="00CE40AF" w:rsidP="00F93BC7">
            <w:pPr>
              <w:pStyle w:val="TableText"/>
              <w:spacing w:before="40" w:after="40"/>
              <w:ind w:left="57"/>
              <w:rPr>
                <w:sz w:val="16"/>
                <w:szCs w:val="18"/>
              </w:rPr>
            </w:pPr>
            <w:r w:rsidRPr="00CE40AF">
              <w:rPr>
                <w:sz w:val="16"/>
                <w:szCs w:val="18"/>
              </w:rPr>
              <w:t>Property revaluation reserve</w:t>
            </w:r>
          </w:p>
        </w:tc>
        <w:tc>
          <w:tcPr>
            <w:tcW w:w="567" w:type="dxa"/>
          </w:tcPr>
          <w:p w14:paraId="212125D2" w14:textId="77777777" w:rsidR="00CE40AF" w:rsidRPr="00D06007" w:rsidRDefault="00CE40AF" w:rsidP="00F93BC7">
            <w:pPr>
              <w:pStyle w:val="TableText"/>
              <w:spacing w:before="40" w:after="40"/>
              <w:ind w:left="57" w:right="57"/>
              <w:jc w:val="right"/>
              <w:rPr>
                <w:rFonts w:cs="Segoe UI"/>
                <w:sz w:val="16"/>
                <w:szCs w:val="16"/>
              </w:rPr>
            </w:pPr>
          </w:p>
        </w:tc>
        <w:tc>
          <w:tcPr>
            <w:tcW w:w="1147" w:type="dxa"/>
          </w:tcPr>
          <w:p w14:paraId="0FB4B1E6" w14:textId="00F36F9E" w:rsidR="00CE40AF" w:rsidRPr="00D06007" w:rsidRDefault="00CE40AF" w:rsidP="00F93BC7">
            <w:pPr>
              <w:pStyle w:val="TableText"/>
              <w:spacing w:before="40" w:after="40"/>
              <w:ind w:left="57" w:right="57"/>
              <w:jc w:val="right"/>
              <w:rPr>
                <w:rFonts w:cs="Segoe UI"/>
                <w:sz w:val="16"/>
                <w:szCs w:val="16"/>
              </w:rPr>
            </w:pPr>
            <w:r w:rsidRPr="00F93BC7">
              <w:rPr>
                <w:rFonts w:cs="Segoe UI"/>
                <w:sz w:val="16"/>
                <w:szCs w:val="16"/>
              </w:rPr>
              <w:t>2,990</w:t>
            </w:r>
          </w:p>
        </w:tc>
        <w:tc>
          <w:tcPr>
            <w:tcW w:w="1285" w:type="dxa"/>
          </w:tcPr>
          <w:p w14:paraId="22197868" w14:textId="160DBFB7" w:rsidR="00CE40AF" w:rsidRPr="00D06007" w:rsidRDefault="00CE40AF" w:rsidP="00F93BC7">
            <w:pPr>
              <w:pStyle w:val="TableText"/>
              <w:spacing w:before="40" w:after="40"/>
              <w:ind w:left="57" w:right="57"/>
              <w:jc w:val="right"/>
              <w:rPr>
                <w:rFonts w:cs="Segoe UI"/>
                <w:sz w:val="16"/>
                <w:szCs w:val="16"/>
              </w:rPr>
            </w:pPr>
            <w:r w:rsidRPr="00F93BC7">
              <w:rPr>
                <w:rFonts w:cs="Segoe UI"/>
                <w:sz w:val="16"/>
                <w:szCs w:val="16"/>
              </w:rPr>
              <w:t>3,555</w:t>
            </w:r>
          </w:p>
        </w:tc>
        <w:tc>
          <w:tcPr>
            <w:tcW w:w="1395" w:type="dxa"/>
          </w:tcPr>
          <w:p w14:paraId="462CFBEE" w14:textId="2880959E" w:rsidR="00CE40AF" w:rsidRPr="00D06007" w:rsidRDefault="00CE40AF" w:rsidP="00F93BC7">
            <w:pPr>
              <w:pStyle w:val="TableText"/>
              <w:spacing w:before="40" w:after="40"/>
              <w:ind w:left="57" w:right="57"/>
              <w:jc w:val="right"/>
              <w:rPr>
                <w:rFonts w:cs="Segoe UI"/>
                <w:sz w:val="16"/>
                <w:szCs w:val="16"/>
              </w:rPr>
            </w:pPr>
            <w:r w:rsidRPr="00F93BC7">
              <w:rPr>
                <w:rFonts w:cs="Segoe UI"/>
                <w:sz w:val="16"/>
                <w:szCs w:val="16"/>
              </w:rPr>
              <w:t>3,555</w:t>
            </w:r>
          </w:p>
        </w:tc>
      </w:tr>
      <w:tr w:rsidR="00CE40AF" w14:paraId="25BAD2A7" w14:textId="77777777" w:rsidTr="00CE40AF">
        <w:trPr>
          <w:trHeight w:val="348"/>
        </w:trPr>
        <w:tc>
          <w:tcPr>
            <w:tcW w:w="1275" w:type="dxa"/>
            <w:tcBorders>
              <w:top w:val="nil"/>
              <w:left w:val="nil"/>
              <w:bottom w:val="single" w:sz="4" w:space="0" w:color="BFBFBF" w:themeColor="background1" w:themeShade="BF"/>
              <w:right w:val="nil"/>
            </w:tcBorders>
          </w:tcPr>
          <w:p w14:paraId="47EB7A0C" w14:textId="4756138E" w:rsidR="00CE40AF" w:rsidRDefault="00CE40AF" w:rsidP="00F93BC7">
            <w:pPr>
              <w:pStyle w:val="TableText"/>
              <w:spacing w:before="40" w:after="40"/>
              <w:ind w:left="57" w:right="170"/>
              <w:jc w:val="right"/>
              <w:rPr>
                <w:rFonts w:cs="Segoe UI"/>
                <w:sz w:val="16"/>
                <w:szCs w:val="16"/>
              </w:rPr>
            </w:pPr>
            <w:r w:rsidRPr="00F93BC7">
              <w:rPr>
                <w:rFonts w:cs="Segoe UI"/>
                <w:sz w:val="16"/>
                <w:szCs w:val="16"/>
              </w:rPr>
              <w:t>(8,313)</w:t>
            </w:r>
          </w:p>
        </w:tc>
        <w:tc>
          <w:tcPr>
            <w:tcW w:w="2411" w:type="dxa"/>
            <w:tcBorders>
              <w:top w:val="nil"/>
              <w:left w:val="nil"/>
              <w:bottom w:val="single" w:sz="4" w:space="0" w:color="BFBFBF" w:themeColor="background1" w:themeShade="BF"/>
              <w:right w:val="nil"/>
            </w:tcBorders>
          </w:tcPr>
          <w:p w14:paraId="2FB5F547" w14:textId="59D14734" w:rsidR="00CE40AF" w:rsidRPr="00CE40AF" w:rsidRDefault="00CE40AF" w:rsidP="00F93BC7">
            <w:pPr>
              <w:pStyle w:val="TableText"/>
              <w:spacing w:before="40" w:after="40"/>
              <w:ind w:left="57"/>
              <w:rPr>
                <w:sz w:val="16"/>
                <w:szCs w:val="18"/>
              </w:rPr>
            </w:pPr>
            <w:r w:rsidRPr="00CE40AF">
              <w:rPr>
                <w:sz w:val="16"/>
                <w:szCs w:val="18"/>
              </w:rPr>
              <w:t>Memorandum accounts</w:t>
            </w:r>
          </w:p>
        </w:tc>
        <w:tc>
          <w:tcPr>
            <w:tcW w:w="567" w:type="dxa"/>
            <w:tcBorders>
              <w:top w:val="nil"/>
              <w:left w:val="nil"/>
              <w:bottom w:val="single" w:sz="4" w:space="0" w:color="BFBFBF" w:themeColor="background1" w:themeShade="BF"/>
              <w:right w:val="nil"/>
            </w:tcBorders>
          </w:tcPr>
          <w:p w14:paraId="728F733D" w14:textId="67F88DF9" w:rsidR="00CE40AF" w:rsidRDefault="00CE40AF" w:rsidP="00F93BC7">
            <w:pPr>
              <w:pStyle w:val="TableText"/>
              <w:spacing w:before="40" w:after="40"/>
              <w:ind w:left="57" w:right="57"/>
              <w:jc w:val="right"/>
              <w:rPr>
                <w:rFonts w:cs="Segoe UI"/>
                <w:sz w:val="16"/>
                <w:szCs w:val="16"/>
              </w:rPr>
            </w:pPr>
            <w:r w:rsidRPr="00F93BC7">
              <w:rPr>
                <w:rFonts w:cs="Segoe UI"/>
                <w:sz w:val="16"/>
                <w:szCs w:val="16"/>
              </w:rPr>
              <w:t>14</w:t>
            </w:r>
          </w:p>
        </w:tc>
        <w:tc>
          <w:tcPr>
            <w:tcW w:w="1147" w:type="dxa"/>
            <w:tcBorders>
              <w:top w:val="nil"/>
              <w:left w:val="nil"/>
              <w:bottom w:val="single" w:sz="4" w:space="0" w:color="BFBFBF" w:themeColor="background1" w:themeShade="BF"/>
              <w:right w:val="nil"/>
            </w:tcBorders>
          </w:tcPr>
          <w:p w14:paraId="0444F22F" w14:textId="456B7B29" w:rsidR="00CE40AF" w:rsidRDefault="00CE40AF" w:rsidP="00F93BC7">
            <w:pPr>
              <w:pStyle w:val="TableText"/>
              <w:spacing w:before="40" w:after="40"/>
              <w:ind w:left="57" w:right="57"/>
              <w:jc w:val="right"/>
              <w:rPr>
                <w:rFonts w:cs="Segoe UI"/>
                <w:sz w:val="16"/>
                <w:szCs w:val="16"/>
              </w:rPr>
            </w:pPr>
            <w:r w:rsidRPr="00F93BC7">
              <w:rPr>
                <w:rFonts w:cs="Segoe UI"/>
                <w:sz w:val="16"/>
                <w:szCs w:val="16"/>
              </w:rPr>
              <w:t>(8,794)</w:t>
            </w:r>
          </w:p>
        </w:tc>
        <w:tc>
          <w:tcPr>
            <w:tcW w:w="1285" w:type="dxa"/>
            <w:tcBorders>
              <w:top w:val="nil"/>
              <w:left w:val="nil"/>
              <w:bottom w:val="single" w:sz="4" w:space="0" w:color="BFBFBF" w:themeColor="background1" w:themeShade="BF"/>
              <w:right w:val="nil"/>
            </w:tcBorders>
          </w:tcPr>
          <w:p w14:paraId="640BB4D6" w14:textId="4760B30E" w:rsidR="00CE40AF" w:rsidRDefault="00CE40AF" w:rsidP="00F93BC7">
            <w:pPr>
              <w:pStyle w:val="TableText"/>
              <w:spacing w:before="40" w:after="40"/>
              <w:ind w:left="57" w:right="57"/>
              <w:jc w:val="right"/>
              <w:rPr>
                <w:rFonts w:cs="Segoe UI"/>
                <w:sz w:val="16"/>
                <w:szCs w:val="16"/>
              </w:rPr>
            </w:pPr>
            <w:r w:rsidRPr="00F93BC7">
              <w:rPr>
                <w:rFonts w:cs="Segoe UI"/>
                <w:sz w:val="16"/>
                <w:szCs w:val="16"/>
              </w:rPr>
              <w:t>(8,313)</w:t>
            </w:r>
          </w:p>
        </w:tc>
        <w:tc>
          <w:tcPr>
            <w:tcW w:w="1395" w:type="dxa"/>
            <w:tcBorders>
              <w:top w:val="nil"/>
              <w:left w:val="nil"/>
              <w:bottom w:val="single" w:sz="4" w:space="0" w:color="BFBFBF" w:themeColor="background1" w:themeShade="BF"/>
              <w:right w:val="nil"/>
            </w:tcBorders>
          </w:tcPr>
          <w:p w14:paraId="302565B0" w14:textId="63C1EDC9" w:rsidR="00CE40AF" w:rsidRDefault="00CE40AF" w:rsidP="00F93BC7">
            <w:pPr>
              <w:pStyle w:val="TableText"/>
              <w:spacing w:before="40" w:after="40"/>
              <w:ind w:left="57" w:right="57"/>
              <w:jc w:val="right"/>
              <w:rPr>
                <w:rFonts w:cs="Segoe UI"/>
                <w:sz w:val="16"/>
                <w:szCs w:val="16"/>
              </w:rPr>
            </w:pPr>
            <w:r w:rsidRPr="00F93BC7">
              <w:rPr>
                <w:rFonts w:cs="Segoe UI"/>
                <w:sz w:val="16"/>
                <w:szCs w:val="16"/>
              </w:rPr>
              <w:t>(8,799)</w:t>
            </w:r>
          </w:p>
        </w:tc>
      </w:tr>
      <w:tr w:rsidR="00CE40AF" w:rsidRPr="00F93BC7" w14:paraId="7981577D" w14:textId="77777777" w:rsidTr="00CE40AF">
        <w:trPr>
          <w:trHeight w:val="344"/>
        </w:trPr>
        <w:tc>
          <w:tcPr>
            <w:tcW w:w="1275" w:type="dxa"/>
            <w:tcBorders>
              <w:top w:val="single" w:sz="4" w:space="0" w:color="BFBFBF" w:themeColor="background1" w:themeShade="BF"/>
              <w:left w:val="nil"/>
              <w:bottom w:val="single" w:sz="4" w:space="0" w:color="BFBFBF" w:themeColor="background1" w:themeShade="BF"/>
              <w:right w:val="nil"/>
            </w:tcBorders>
          </w:tcPr>
          <w:p w14:paraId="0B300F9C" w14:textId="424A37AD" w:rsidR="00CE40AF" w:rsidRPr="00F93BC7" w:rsidRDefault="00CE40AF" w:rsidP="00F93BC7">
            <w:pPr>
              <w:pStyle w:val="TableText"/>
              <w:spacing w:before="40" w:after="40"/>
              <w:ind w:left="57" w:right="170"/>
              <w:jc w:val="right"/>
              <w:rPr>
                <w:rFonts w:cs="Segoe UI"/>
                <w:b/>
                <w:bCs/>
                <w:sz w:val="16"/>
                <w:szCs w:val="16"/>
              </w:rPr>
            </w:pPr>
            <w:r w:rsidRPr="00F93BC7">
              <w:rPr>
                <w:rFonts w:cs="Segoe UI"/>
                <w:b/>
                <w:bCs/>
                <w:sz w:val="16"/>
                <w:szCs w:val="16"/>
              </w:rPr>
              <w:t>4,632</w:t>
            </w:r>
          </w:p>
        </w:tc>
        <w:tc>
          <w:tcPr>
            <w:tcW w:w="2411" w:type="dxa"/>
            <w:tcBorders>
              <w:top w:val="single" w:sz="4" w:space="0" w:color="BFBFBF" w:themeColor="background1" w:themeShade="BF"/>
              <w:left w:val="nil"/>
              <w:bottom w:val="single" w:sz="4" w:space="0" w:color="BFBFBF" w:themeColor="background1" w:themeShade="BF"/>
              <w:right w:val="nil"/>
            </w:tcBorders>
          </w:tcPr>
          <w:p w14:paraId="4DD39D53" w14:textId="2B3A4F43" w:rsidR="00CE40AF" w:rsidRPr="00F93BC7" w:rsidRDefault="00CE40AF" w:rsidP="00F93BC7">
            <w:pPr>
              <w:pStyle w:val="TableText"/>
              <w:spacing w:before="40" w:after="40"/>
              <w:ind w:left="57"/>
              <w:rPr>
                <w:b/>
                <w:bCs/>
                <w:sz w:val="16"/>
                <w:szCs w:val="18"/>
              </w:rPr>
            </w:pPr>
            <w:r w:rsidRPr="00F93BC7">
              <w:rPr>
                <w:b/>
                <w:bCs/>
                <w:sz w:val="16"/>
                <w:szCs w:val="18"/>
              </w:rPr>
              <w:t>Total equity</w:t>
            </w:r>
          </w:p>
        </w:tc>
        <w:tc>
          <w:tcPr>
            <w:tcW w:w="567" w:type="dxa"/>
            <w:tcBorders>
              <w:top w:val="single" w:sz="4" w:space="0" w:color="BFBFBF" w:themeColor="background1" w:themeShade="BF"/>
              <w:left w:val="nil"/>
              <w:bottom w:val="single" w:sz="4" w:space="0" w:color="BFBFBF" w:themeColor="background1" w:themeShade="BF"/>
              <w:right w:val="nil"/>
            </w:tcBorders>
          </w:tcPr>
          <w:p w14:paraId="4A476832" w14:textId="2EE9BEAB" w:rsidR="00CE40AF" w:rsidRPr="00F93BC7" w:rsidRDefault="00CE40AF" w:rsidP="00F93BC7">
            <w:pPr>
              <w:pStyle w:val="TableText"/>
              <w:spacing w:before="40" w:after="40"/>
              <w:ind w:left="57" w:right="57"/>
              <w:jc w:val="right"/>
              <w:rPr>
                <w:rFonts w:cs="Segoe UI"/>
                <w:b/>
                <w:bCs/>
                <w:sz w:val="16"/>
                <w:szCs w:val="16"/>
              </w:rPr>
            </w:pPr>
            <w:r w:rsidRPr="00F93BC7">
              <w:rPr>
                <w:rFonts w:cs="Segoe UI"/>
                <w:b/>
                <w:bCs/>
                <w:sz w:val="16"/>
                <w:szCs w:val="16"/>
              </w:rPr>
              <w:t>13</w:t>
            </w:r>
          </w:p>
        </w:tc>
        <w:tc>
          <w:tcPr>
            <w:tcW w:w="1147" w:type="dxa"/>
            <w:tcBorders>
              <w:top w:val="single" w:sz="4" w:space="0" w:color="BFBFBF" w:themeColor="background1" w:themeShade="BF"/>
              <w:left w:val="nil"/>
              <w:bottom w:val="single" w:sz="4" w:space="0" w:color="BFBFBF" w:themeColor="background1" w:themeShade="BF"/>
              <w:right w:val="nil"/>
            </w:tcBorders>
          </w:tcPr>
          <w:p w14:paraId="30752759" w14:textId="57976A68" w:rsidR="00CE40AF" w:rsidRPr="00F93BC7" w:rsidRDefault="00CE40AF" w:rsidP="00F93BC7">
            <w:pPr>
              <w:pStyle w:val="TableText"/>
              <w:spacing w:before="40" w:after="40"/>
              <w:ind w:left="57" w:right="57"/>
              <w:jc w:val="right"/>
              <w:rPr>
                <w:rFonts w:cs="Segoe UI"/>
                <w:b/>
                <w:bCs/>
                <w:sz w:val="16"/>
                <w:szCs w:val="16"/>
              </w:rPr>
            </w:pPr>
            <w:r w:rsidRPr="00F93BC7">
              <w:rPr>
                <w:rFonts w:cs="Segoe UI"/>
                <w:b/>
                <w:bCs/>
                <w:sz w:val="16"/>
                <w:szCs w:val="16"/>
              </w:rPr>
              <w:t>3,070</w:t>
            </w:r>
          </w:p>
        </w:tc>
        <w:tc>
          <w:tcPr>
            <w:tcW w:w="1285" w:type="dxa"/>
            <w:tcBorders>
              <w:top w:val="single" w:sz="4" w:space="0" w:color="BFBFBF" w:themeColor="background1" w:themeShade="BF"/>
              <w:left w:val="nil"/>
              <w:bottom w:val="single" w:sz="4" w:space="0" w:color="BFBFBF" w:themeColor="background1" w:themeShade="BF"/>
              <w:right w:val="nil"/>
            </w:tcBorders>
          </w:tcPr>
          <w:p w14:paraId="19734B5D" w14:textId="55D4675E" w:rsidR="00CE40AF" w:rsidRPr="00F93BC7" w:rsidRDefault="00CE40AF" w:rsidP="00F93BC7">
            <w:pPr>
              <w:pStyle w:val="TableText"/>
              <w:spacing w:before="40" w:after="40"/>
              <w:ind w:left="57" w:right="57"/>
              <w:jc w:val="right"/>
              <w:rPr>
                <w:rFonts w:cs="Segoe UI"/>
                <w:b/>
                <w:bCs/>
                <w:sz w:val="16"/>
                <w:szCs w:val="16"/>
              </w:rPr>
            </w:pPr>
            <w:r w:rsidRPr="00F93BC7">
              <w:rPr>
                <w:rFonts w:cs="Segoe UI"/>
                <w:b/>
                <w:bCs/>
                <w:sz w:val="16"/>
                <w:szCs w:val="16"/>
              </w:rPr>
              <w:t>5,606</w:t>
            </w:r>
          </w:p>
        </w:tc>
        <w:tc>
          <w:tcPr>
            <w:tcW w:w="1395" w:type="dxa"/>
            <w:tcBorders>
              <w:top w:val="single" w:sz="4" w:space="0" w:color="BFBFBF" w:themeColor="background1" w:themeShade="BF"/>
              <w:left w:val="nil"/>
              <w:bottom w:val="single" w:sz="4" w:space="0" w:color="BFBFBF" w:themeColor="background1" w:themeShade="BF"/>
              <w:right w:val="nil"/>
            </w:tcBorders>
          </w:tcPr>
          <w:p w14:paraId="771EF3F1" w14:textId="01847F3B" w:rsidR="00CE40AF" w:rsidRPr="00F93BC7" w:rsidRDefault="00CE40AF" w:rsidP="00F93BC7">
            <w:pPr>
              <w:pStyle w:val="TableText"/>
              <w:spacing w:before="40" w:after="40"/>
              <w:ind w:left="57" w:right="57"/>
              <w:jc w:val="right"/>
              <w:rPr>
                <w:rFonts w:cs="Segoe UI"/>
                <w:b/>
                <w:bCs/>
                <w:sz w:val="16"/>
                <w:szCs w:val="16"/>
              </w:rPr>
            </w:pPr>
            <w:r w:rsidRPr="00F93BC7">
              <w:rPr>
                <w:rFonts w:cs="Segoe UI"/>
                <w:b/>
                <w:bCs/>
                <w:sz w:val="16"/>
                <w:szCs w:val="16"/>
              </w:rPr>
              <w:t>4,116</w:t>
            </w:r>
          </w:p>
        </w:tc>
      </w:tr>
      <w:tr w:rsidR="00CE40AF" w:rsidRPr="00F93BC7" w14:paraId="624B477C" w14:textId="77777777" w:rsidTr="00F93BC7">
        <w:trPr>
          <w:trHeight w:val="344"/>
        </w:trPr>
        <w:tc>
          <w:tcPr>
            <w:tcW w:w="1275" w:type="dxa"/>
            <w:tcBorders>
              <w:top w:val="single" w:sz="4" w:space="0" w:color="BFBFBF" w:themeColor="background1" w:themeShade="BF"/>
              <w:left w:val="nil"/>
              <w:right w:val="nil"/>
            </w:tcBorders>
          </w:tcPr>
          <w:p w14:paraId="320FB3F4" w14:textId="77777777" w:rsidR="00CE40AF" w:rsidRPr="00F93BC7" w:rsidRDefault="00CE40AF" w:rsidP="00F93BC7">
            <w:pPr>
              <w:pStyle w:val="TableText"/>
              <w:spacing w:before="40" w:after="40"/>
              <w:ind w:left="57" w:right="170"/>
              <w:jc w:val="right"/>
              <w:rPr>
                <w:rFonts w:cs="Segoe UI"/>
                <w:b/>
                <w:bCs/>
                <w:sz w:val="16"/>
                <w:szCs w:val="16"/>
              </w:rPr>
            </w:pPr>
          </w:p>
        </w:tc>
        <w:tc>
          <w:tcPr>
            <w:tcW w:w="2411" w:type="dxa"/>
            <w:tcBorders>
              <w:top w:val="single" w:sz="4" w:space="0" w:color="BFBFBF" w:themeColor="background1" w:themeShade="BF"/>
              <w:left w:val="nil"/>
              <w:right w:val="nil"/>
            </w:tcBorders>
          </w:tcPr>
          <w:p w14:paraId="1F77535C" w14:textId="3380AA7D" w:rsidR="00CE40AF" w:rsidRPr="00F93BC7" w:rsidRDefault="00CE40AF" w:rsidP="00F93BC7">
            <w:pPr>
              <w:pStyle w:val="TableText"/>
              <w:spacing w:before="40" w:after="40"/>
              <w:ind w:left="57"/>
              <w:rPr>
                <w:b/>
                <w:bCs/>
                <w:sz w:val="16"/>
                <w:szCs w:val="18"/>
              </w:rPr>
            </w:pPr>
            <w:r w:rsidRPr="00F93BC7">
              <w:rPr>
                <w:b/>
                <w:bCs/>
                <w:sz w:val="16"/>
                <w:szCs w:val="18"/>
              </w:rPr>
              <w:t>Assets</w:t>
            </w:r>
          </w:p>
        </w:tc>
        <w:tc>
          <w:tcPr>
            <w:tcW w:w="567" w:type="dxa"/>
            <w:tcBorders>
              <w:top w:val="single" w:sz="4" w:space="0" w:color="BFBFBF" w:themeColor="background1" w:themeShade="BF"/>
              <w:left w:val="nil"/>
              <w:right w:val="nil"/>
            </w:tcBorders>
          </w:tcPr>
          <w:p w14:paraId="3FC5C158" w14:textId="77777777" w:rsidR="00CE40AF" w:rsidRPr="00F93BC7" w:rsidRDefault="00CE40AF" w:rsidP="00F93BC7">
            <w:pPr>
              <w:pStyle w:val="TableText"/>
              <w:spacing w:before="40" w:after="40"/>
              <w:ind w:left="57" w:right="57"/>
              <w:jc w:val="right"/>
              <w:rPr>
                <w:rFonts w:cs="Segoe UI"/>
                <w:b/>
                <w:bCs/>
                <w:sz w:val="16"/>
                <w:szCs w:val="16"/>
              </w:rPr>
            </w:pPr>
          </w:p>
        </w:tc>
        <w:tc>
          <w:tcPr>
            <w:tcW w:w="1147" w:type="dxa"/>
            <w:tcBorders>
              <w:top w:val="single" w:sz="4" w:space="0" w:color="BFBFBF" w:themeColor="background1" w:themeShade="BF"/>
              <w:left w:val="nil"/>
              <w:right w:val="nil"/>
            </w:tcBorders>
          </w:tcPr>
          <w:p w14:paraId="20972D67" w14:textId="77777777" w:rsidR="00CE40AF" w:rsidRPr="00F93BC7" w:rsidRDefault="00CE40AF" w:rsidP="00F93BC7">
            <w:pPr>
              <w:pStyle w:val="TableText"/>
              <w:spacing w:before="40" w:after="40"/>
              <w:ind w:left="57" w:right="57"/>
              <w:jc w:val="right"/>
              <w:rPr>
                <w:rFonts w:cs="Segoe UI"/>
                <w:b/>
                <w:bCs/>
                <w:sz w:val="16"/>
                <w:szCs w:val="16"/>
              </w:rPr>
            </w:pPr>
          </w:p>
        </w:tc>
        <w:tc>
          <w:tcPr>
            <w:tcW w:w="1285" w:type="dxa"/>
            <w:tcBorders>
              <w:top w:val="single" w:sz="4" w:space="0" w:color="BFBFBF" w:themeColor="background1" w:themeShade="BF"/>
              <w:left w:val="nil"/>
              <w:right w:val="nil"/>
            </w:tcBorders>
          </w:tcPr>
          <w:p w14:paraId="62B5997D" w14:textId="77777777" w:rsidR="00CE40AF" w:rsidRPr="00F93BC7" w:rsidRDefault="00CE40AF" w:rsidP="00F93BC7">
            <w:pPr>
              <w:pStyle w:val="TableText"/>
              <w:spacing w:before="40" w:after="40"/>
              <w:ind w:left="57" w:right="57"/>
              <w:jc w:val="right"/>
              <w:rPr>
                <w:rFonts w:cs="Segoe UI"/>
                <w:b/>
                <w:bCs/>
                <w:sz w:val="16"/>
                <w:szCs w:val="16"/>
              </w:rPr>
            </w:pPr>
          </w:p>
        </w:tc>
        <w:tc>
          <w:tcPr>
            <w:tcW w:w="1395" w:type="dxa"/>
            <w:tcBorders>
              <w:top w:val="single" w:sz="4" w:space="0" w:color="BFBFBF" w:themeColor="background1" w:themeShade="BF"/>
              <w:left w:val="nil"/>
              <w:right w:val="nil"/>
            </w:tcBorders>
          </w:tcPr>
          <w:p w14:paraId="6BCE3EC7" w14:textId="77777777" w:rsidR="00CE40AF" w:rsidRPr="00F93BC7" w:rsidRDefault="00CE40AF" w:rsidP="00F93BC7">
            <w:pPr>
              <w:pStyle w:val="TableText"/>
              <w:spacing w:before="40" w:after="40"/>
              <w:ind w:left="57" w:right="57"/>
              <w:jc w:val="right"/>
              <w:rPr>
                <w:rFonts w:cs="Segoe UI"/>
                <w:b/>
                <w:bCs/>
                <w:sz w:val="16"/>
                <w:szCs w:val="16"/>
              </w:rPr>
            </w:pPr>
          </w:p>
        </w:tc>
      </w:tr>
      <w:tr w:rsidR="00CE40AF" w:rsidRPr="00F93BC7" w14:paraId="7511794A" w14:textId="77777777" w:rsidTr="00F93BC7">
        <w:trPr>
          <w:trHeight w:val="344"/>
        </w:trPr>
        <w:tc>
          <w:tcPr>
            <w:tcW w:w="1275" w:type="dxa"/>
            <w:tcBorders>
              <w:left w:val="nil"/>
              <w:right w:val="nil"/>
            </w:tcBorders>
          </w:tcPr>
          <w:p w14:paraId="5730D14F" w14:textId="77777777" w:rsidR="00CE40AF" w:rsidRPr="00F93BC7" w:rsidRDefault="00CE40AF" w:rsidP="00F93BC7">
            <w:pPr>
              <w:pStyle w:val="TableText"/>
              <w:spacing w:before="40" w:after="40"/>
              <w:ind w:left="57" w:right="170"/>
              <w:jc w:val="right"/>
              <w:rPr>
                <w:rFonts w:cs="Segoe UI"/>
                <w:b/>
                <w:bCs/>
                <w:sz w:val="16"/>
                <w:szCs w:val="16"/>
              </w:rPr>
            </w:pPr>
          </w:p>
        </w:tc>
        <w:tc>
          <w:tcPr>
            <w:tcW w:w="2411" w:type="dxa"/>
            <w:tcBorders>
              <w:left w:val="nil"/>
              <w:right w:val="nil"/>
            </w:tcBorders>
          </w:tcPr>
          <w:p w14:paraId="06DAB525" w14:textId="6A193F58" w:rsidR="00CE40AF" w:rsidRPr="00F93BC7" w:rsidRDefault="00CE40AF" w:rsidP="00F93BC7">
            <w:pPr>
              <w:pStyle w:val="TableText"/>
              <w:spacing w:before="40" w:after="40"/>
              <w:ind w:left="57"/>
              <w:rPr>
                <w:b/>
                <w:bCs/>
                <w:sz w:val="16"/>
                <w:szCs w:val="18"/>
              </w:rPr>
            </w:pPr>
            <w:r w:rsidRPr="00F93BC7">
              <w:rPr>
                <w:b/>
                <w:bCs/>
                <w:sz w:val="16"/>
                <w:szCs w:val="18"/>
              </w:rPr>
              <w:t>Current assets</w:t>
            </w:r>
          </w:p>
        </w:tc>
        <w:tc>
          <w:tcPr>
            <w:tcW w:w="567" w:type="dxa"/>
            <w:tcBorders>
              <w:left w:val="nil"/>
              <w:right w:val="nil"/>
            </w:tcBorders>
          </w:tcPr>
          <w:p w14:paraId="0F640012" w14:textId="77777777" w:rsidR="00CE40AF" w:rsidRPr="00F93BC7" w:rsidRDefault="00CE40AF" w:rsidP="00F93BC7">
            <w:pPr>
              <w:pStyle w:val="TableText"/>
              <w:spacing w:before="40" w:after="40"/>
              <w:ind w:left="57" w:right="57"/>
              <w:jc w:val="right"/>
              <w:rPr>
                <w:rFonts w:cs="Segoe UI"/>
                <w:b/>
                <w:bCs/>
                <w:sz w:val="16"/>
                <w:szCs w:val="16"/>
              </w:rPr>
            </w:pPr>
          </w:p>
        </w:tc>
        <w:tc>
          <w:tcPr>
            <w:tcW w:w="1147" w:type="dxa"/>
            <w:tcBorders>
              <w:left w:val="nil"/>
              <w:right w:val="nil"/>
            </w:tcBorders>
          </w:tcPr>
          <w:p w14:paraId="0A636BCA" w14:textId="77777777" w:rsidR="00CE40AF" w:rsidRPr="00F93BC7" w:rsidRDefault="00CE40AF" w:rsidP="00F93BC7">
            <w:pPr>
              <w:pStyle w:val="TableText"/>
              <w:spacing w:before="40" w:after="40"/>
              <w:ind w:left="57" w:right="57"/>
              <w:jc w:val="right"/>
              <w:rPr>
                <w:rFonts w:cs="Segoe UI"/>
                <w:b/>
                <w:bCs/>
                <w:sz w:val="16"/>
                <w:szCs w:val="16"/>
              </w:rPr>
            </w:pPr>
          </w:p>
        </w:tc>
        <w:tc>
          <w:tcPr>
            <w:tcW w:w="1285" w:type="dxa"/>
            <w:tcBorders>
              <w:left w:val="nil"/>
              <w:right w:val="nil"/>
            </w:tcBorders>
          </w:tcPr>
          <w:p w14:paraId="232ACF2B" w14:textId="77777777" w:rsidR="00CE40AF" w:rsidRPr="00F93BC7" w:rsidRDefault="00CE40AF" w:rsidP="00F93BC7">
            <w:pPr>
              <w:pStyle w:val="TableText"/>
              <w:spacing w:before="40" w:after="40"/>
              <w:ind w:left="57" w:right="57"/>
              <w:jc w:val="right"/>
              <w:rPr>
                <w:rFonts w:cs="Segoe UI"/>
                <w:b/>
                <w:bCs/>
                <w:sz w:val="16"/>
                <w:szCs w:val="16"/>
              </w:rPr>
            </w:pPr>
          </w:p>
        </w:tc>
        <w:tc>
          <w:tcPr>
            <w:tcW w:w="1395" w:type="dxa"/>
            <w:tcBorders>
              <w:left w:val="nil"/>
              <w:right w:val="nil"/>
            </w:tcBorders>
          </w:tcPr>
          <w:p w14:paraId="3C5A7399" w14:textId="77777777" w:rsidR="00CE40AF" w:rsidRPr="00F93BC7" w:rsidRDefault="00CE40AF" w:rsidP="00F93BC7">
            <w:pPr>
              <w:pStyle w:val="TableText"/>
              <w:spacing w:before="40" w:after="40"/>
              <w:ind w:left="57" w:right="57"/>
              <w:jc w:val="right"/>
              <w:rPr>
                <w:rFonts w:cs="Segoe UI"/>
                <w:b/>
                <w:bCs/>
                <w:sz w:val="16"/>
                <w:szCs w:val="16"/>
              </w:rPr>
            </w:pPr>
          </w:p>
        </w:tc>
      </w:tr>
      <w:tr w:rsidR="00CE40AF" w:rsidRPr="00D06007" w14:paraId="4F3989C0" w14:textId="77777777" w:rsidTr="00F93BC7">
        <w:trPr>
          <w:trHeight w:val="344"/>
        </w:trPr>
        <w:tc>
          <w:tcPr>
            <w:tcW w:w="1275" w:type="dxa"/>
            <w:tcBorders>
              <w:left w:val="nil"/>
              <w:right w:val="nil"/>
            </w:tcBorders>
          </w:tcPr>
          <w:p w14:paraId="4D7E0DB2" w14:textId="3446C090" w:rsidR="00CE40AF" w:rsidRPr="00F93BC7" w:rsidRDefault="00CE40AF" w:rsidP="00F93BC7">
            <w:pPr>
              <w:pStyle w:val="TableText"/>
              <w:spacing w:before="40" w:after="40"/>
              <w:ind w:left="57" w:right="170"/>
              <w:jc w:val="right"/>
              <w:rPr>
                <w:rFonts w:cs="Segoe UI"/>
                <w:sz w:val="16"/>
                <w:szCs w:val="16"/>
              </w:rPr>
            </w:pPr>
            <w:r w:rsidRPr="00F93BC7">
              <w:rPr>
                <w:rFonts w:cs="Segoe UI"/>
                <w:sz w:val="16"/>
                <w:szCs w:val="16"/>
              </w:rPr>
              <w:t>5,864</w:t>
            </w:r>
          </w:p>
        </w:tc>
        <w:tc>
          <w:tcPr>
            <w:tcW w:w="2411" w:type="dxa"/>
            <w:tcBorders>
              <w:left w:val="nil"/>
              <w:right w:val="nil"/>
            </w:tcBorders>
          </w:tcPr>
          <w:p w14:paraId="77E04352" w14:textId="65A00D2D" w:rsidR="00CE40AF" w:rsidRPr="00CE40AF" w:rsidRDefault="00CE40AF" w:rsidP="00F93BC7">
            <w:pPr>
              <w:pStyle w:val="TableText"/>
              <w:spacing w:before="40" w:after="40"/>
              <w:ind w:left="57"/>
              <w:rPr>
                <w:sz w:val="16"/>
                <w:szCs w:val="18"/>
              </w:rPr>
            </w:pPr>
            <w:r w:rsidRPr="00CE40AF">
              <w:rPr>
                <w:sz w:val="16"/>
                <w:szCs w:val="18"/>
              </w:rPr>
              <w:t>Cash and cash equivalents</w:t>
            </w:r>
          </w:p>
        </w:tc>
        <w:tc>
          <w:tcPr>
            <w:tcW w:w="567" w:type="dxa"/>
            <w:tcBorders>
              <w:left w:val="nil"/>
              <w:right w:val="nil"/>
            </w:tcBorders>
          </w:tcPr>
          <w:p w14:paraId="7183A2F0" w14:textId="5311B062" w:rsidR="00CE40AF" w:rsidRPr="00F93BC7" w:rsidRDefault="00CE40AF" w:rsidP="00F93BC7">
            <w:pPr>
              <w:pStyle w:val="TableText"/>
              <w:spacing w:before="40" w:after="40"/>
              <w:ind w:left="57" w:right="57"/>
              <w:jc w:val="right"/>
              <w:rPr>
                <w:rFonts w:cs="Segoe UI"/>
                <w:sz w:val="16"/>
                <w:szCs w:val="16"/>
              </w:rPr>
            </w:pPr>
            <w:r w:rsidRPr="00F93BC7">
              <w:rPr>
                <w:rFonts w:cs="Segoe UI"/>
                <w:sz w:val="16"/>
                <w:szCs w:val="16"/>
              </w:rPr>
              <w:t>16</w:t>
            </w:r>
          </w:p>
        </w:tc>
        <w:tc>
          <w:tcPr>
            <w:tcW w:w="1147" w:type="dxa"/>
            <w:tcBorders>
              <w:left w:val="nil"/>
              <w:right w:val="nil"/>
            </w:tcBorders>
          </w:tcPr>
          <w:p w14:paraId="620EBEA8" w14:textId="68A8710C" w:rsidR="00CE40AF" w:rsidRPr="00F93BC7" w:rsidRDefault="00CE40AF" w:rsidP="00F93BC7">
            <w:pPr>
              <w:pStyle w:val="TableText"/>
              <w:spacing w:before="40" w:after="40"/>
              <w:ind w:left="57" w:right="57"/>
              <w:jc w:val="right"/>
              <w:rPr>
                <w:rFonts w:cs="Segoe UI"/>
                <w:sz w:val="16"/>
                <w:szCs w:val="16"/>
              </w:rPr>
            </w:pPr>
            <w:r w:rsidRPr="00F93BC7">
              <w:rPr>
                <w:rFonts w:cs="Segoe UI"/>
                <w:sz w:val="16"/>
                <w:szCs w:val="16"/>
              </w:rPr>
              <w:t>7,746</w:t>
            </w:r>
          </w:p>
        </w:tc>
        <w:tc>
          <w:tcPr>
            <w:tcW w:w="1285" w:type="dxa"/>
            <w:tcBorders>
              <w:left w:val="nil"/>
              <w:right w:val="nil"/>
            </w:tcBorders>
          </w:tcPr>
          <w:p w14:paraId="6AB51B67" w14:textId="2105CFAC" w:rsidR="00CE40AF" w:rsidRPr="00F93BC7" w:rsidRDefault="00CE40AF" w:rsidP="00F93BC7">
            <w:pPr>
              <w:pStyle w:val="TableText"/>
              <w:spacing w:before="40" w:after="40"/>
              <w:ind w:left="57" w:right="57"/>
              <w:jc w:val="right"/>
              <w:rPr>
                <w:rFonts w:cs="Segoe UI"/>
                <w:sz w:val="16"/>
                <w:szCs w:val="16"/>
              </w:rPr>
            </w:pPr>
            <w:r w:rsidRPr="00F93BC7">
              <w:rPr>
                <w:rFonts w:cs="Segoe UI"/>
                <w:sz w:val="16"/>
                <w:szCs w:val="16"/>
              </w:rPr>
              <w:t>10,000</w:t>
            </w:r>
          </w:p>
        </w:tc>
        <w:tc>
          <w:tcPr>
            <w:tcW w:w="1395" w:type="dxa"/>
            <w:tcBorders>
              <w:left w:val="nil"/>
              <w:right w:val="nil"/>
            </w:tcBorders>
          </w:tcPr>
          <w:p w14:paraId="40E93F98" w14:textId="76FCCC0D" w:rsidR="00CE40AF" w:rsidRPr="00F93BC7" w:rsidRDefault="00CE40AF" w:rsidP="00F93BC7">
            <w:pPr>
              <w:pStyle w:val="TableText"/>
              <w:spacing w:before="40" w:after="40"/>
              <w:ind w:left="57" w:right="57"/>
              <w:jc w:val="right"/>
              <w:rPr>
                <w:rFonts w:cs="Segoe UI"/>
                <w:sz w:val="16"/>
                <w:szCs w:val="16"/>
              </w:rPr>
            </w:pPr>
            <w:r w:rsidRPr="00F93BC7">
              <w:rPr>
                <w:rFonts w:cs="Segoe UI"/>
                <w:sz w:val="16"/>
                <w:szCs w:val="16"/>
              </w:rPr>
              <w:t>7,000</w:t>
            </w:r>
          </w:p>
        </w:tc>
      </w:tr>
      <w:tr w:rsidR="00CE40AF" w:rsidRPr="00D06007" w14:paraId="00CDAB6F" w14:textId="77777777" w:rsidTr="00F93BC7">
        <w:trPr>
          <w:trHeight w:val="344"/>
        </w:trPr>
        <w:tc>
          <w:tcPr>
            <w:tcW w:w="1275" w:type="dxa"/>
            <w:tcBorders>
              <w:left w:val="nil"/>
              <w:right w:val="nil"/>
            </w:tcBorders>
          </w:tcPr>
          <w:p w14:paraId="22DB513A" w14:textId="1956308D" w:rsidR="00CE40AF" w:rsidRPr="00F93BC7" w:rsidRDefault="00CE40AF" w:rsidP="00F93BC7">
            <w:pPr>
              <w:pStyle w:val="TableText"/>
              <w:spacing w:before="40" w:after="40"/>
              <w:ind w:left="57" w:right="170"/>
              <w:jc w:val="right"/>
              <w:rPr>
                <w:rFonts w:cs="Segoe UI"/>
                <w:sz w:val="16"/>
                <w:szCs w:val="16"/>
              </w:rPr>
            </w:pPr>
            <w:r w:rsidRPr="00F93BC7">
              <w:rPr>
                <w:rFonts w:cs="Segoe UI"/>
                <w:sz w:val="16"/>
                <w:szCs w:val="16"/>
              </w:rPr>
              <w:t>8,907</w:t>
            </w:r>
          </w:p>
        </w:tc>
        <w:tc>
          <w:tcPr>
            <w:tcW w:w="2411" w:type="dxa"/>
            <w:tcBorders>
              <w:left w:val="nil"/>
              <w:right w:val="nil"/>
            </w:tcBorders>
          </w:tcPr>
          <w:p w14:paraId="52C7EB52" w14:textId="48265B01" w:rsidR="00CE40AF" w:rsidRPr="00CE40AF" w:rsidRDefault="00CE40AF" w:rsidP="00F93BC7">
            <w:pPr>
              <w:pStyle w:val="TableText"/>
              <w:spacing w:before="40" w:after="40"/>
              <w:ind w:left="57"/>
              <w:rPr>
                <w:sz w:val="16"/>
                <w:szCs w:val="18"/>
              </w:rPr>
            </w:pPr>
            <w:r w:rsidRPr="00CE40AF">
              <w:rPr>
                <w:sz w:val="16"/>
                <w:szCs w:val="18"/>
              </w:rPr>
              <w:t>Receivables</w:t>
            </w:r>
          </w:p>
        </w:tc>
        <w:tc>
          <w:tcPr>
            <w:tcW w:w="567" w:type="dxa"/>
            <w:tcBorders>
              <w:left w:val="nil"/>
              <w:right w:val="nil"/>
            </w:tcBorders>
          </w:tcPr>
          <w:p w14:paraId="5A9B8D0B" w14:textId="5B2D155E" w:rsidR="00CE40AF" w:rsidRPr="00F93BC7" w:rsidRDefault="00CE40AF" w:rsidP="00F93BC7">
            <w:pPr>
              <w:pStyle w:val="TableText"/>
              <w:spacing w:before="40" w:after="40"/>
              <w:ind w:left="57" w:right="57"/>
              <w:jc w:val="right"/>
              <w:rPr>
                <w:rFonts w:cs="Segoe UI"/>
                <w:sz w:val="16"/>
                <w:szCs w:val="16"/>
              </w:rPr>
            </w:pPr>
            <w:r w:rsidRPr="00F93BC7">
              <w:rPr>
                <w:rFonts w:cs="Segoe UI"/>
                <w:sz w:val="16"/>
                <w:szCs w:val="16"/>
              </w:rPr>
              <w:t>6, 16</w:t>
            </w:r>
          </w:p>
        </w:tc>
        <w:tc>
          <w:tcPr>
            <w:tcW w:w="1147" w:type="dxa"/>
            <w:tcBorders>
              <w:left w:val="nil"/>
              <w:right w:val="nil"/>
            </w:tcBorders>
          </w:tcPr>
          <w:p w14:paraId="1C7EBA30" w14:textId="6B99A0B8" w:rsidR="00CE40AF" w:rsidRPr="00F93BC7" w:rsidRDefault="00CE40AF" w:rsidP="00F93BC7">
            <w:pPr>
              <w:pStyle w:val="TableText"/>
              <w:spacing w:before="40" w:after="40"/>
              <w:ind w:left="57" w:right="57"/>
              <w:jc w:val="right"/>
              <w:rPr>
                <w:rFonts w:cs="Segoe UI"/>
                <w:sz w:val="16"/>
                <w:szCs w:val="16"/>
              </w:rPr>
            </w:pPr>
            <w:r w:rsidRPr="00F93BC7">
              <w:rPr>
                <w:rFonts w:cs="Segoe UI"/>
                <w:sz w:val="16"/>
                <w:szCs w:val="16"/>
              </w:rPr>
              <w:t>5,247</w:t>
            </w:r>
          </w:p>
        </w:tc>
        <w:tc>
          <w:tcPr>
            <w:tcW w:w="1285" w:type="dxa"/>
            <w:tcBorders>
              <w:left w:val="nil"/>
              <w:right w:val="nil"/>
            </w:tcBorders>
          </w:tcPr>
          <w:p w14:paraId="44B97916" w14:textId="7FB7B06C" w:rsidR="00CE40AF" w:rsidRPr="00F93BC7" w:rsidRDefault="00CE40AF" w:rsidP="00F93BC7">
            <w:pPr>
              <w:pStyle w:val="TableText"/>
              <w:spacing w:before="40" w:after="40"/>
              <w:ind w:left="57" w:right="57"/>
              <w:jc w:val="right"/>
              <w:rPr>
                <w:rFonts w:cs="Segoe UI"/>
                <w:sz w:val="16"/>
                <w:szCs w:val="16"/>
              </w:rPr>
            </w:pPr>
            <w:r w:rsidRPr="00F93BC7">
              <w:rPr>
                <w:rFonts w:cs="Segoe UI"/>
                <w:sz w:val="16"/>
                <w:szCs w:val="16"/>
              </w:rPr>
              <w:t>10,000</w:t>
            </w:r>
          </w:p>
        </w:tc>
        <w:tc>
          <w:tcPr>
            <w:tcW w:w="1395" w:type="dxa"/>
            <w:tcBorders>
              <w:left w:val="nil"/>
              <w:right w:val="nil"/>
            </w:tcBorders>
          </w:tcPr>
          <w:p w14:paraId="1A671CEF" w14:textId="44F8098F" w:rsidR="00CE40AF" w:rsidRPr="00F93BC7" w:rsidRDefault="00CE40AF" w:rsidP="00F93BC7">
            <w:pPr>
              <w:pStyle w:val="TableText"/>
              <w:spacing w:before="40" w:after="40"/>
              <w:ind w:left="57" w:right="57"/>
              <w:jc w:val="right"/>
              <w:rPr>
                <w:rFonts w:cs="Segoe UI"/>
                <w:sz w:val="16"/>
                <w:szCs w:val="16"/>
              </w:rPr>
            </w:pPr>
            <w:r w:rsidRPr="00F93BC7">
              <w:rPr>
                <w:rFonts w:cs="Segoe UI"/>
                <w:sz w:val="16"/>
                <w:szCs w:val="16"/>
              </w:rPr>
              <w:t>2,774</w:t>
            </w:r>
          </w:p>
        </w:tc>
      </w:tr>
      <w:tr w:rsidR="00CE40AF" w:rsidRPr="00D06007" w14:paraId="6672E9F8" w14:textId="77777777" w:rsidTr="00F93BC7">
        <w:trPr>
          <w:trHeight w:val="344"/>
        </w:trPr>
        <w:tc>
          <w:tcPr>
            <w:tcW w:w="1275" w:type="dxa"/>
            <w:tcBorders>
              <w:left w:val="nil"/>
              <w:right w:val="nil"/>
            </w:tcBorders>
          </w:tcPr>
          <w:p w14:paraId="54B7DBD9" w14:textId="1A915BB4" w:rsidR="00CE40AF" w:rsidRPr="00F93BC7" w:rsidRDefault="00CE40AF" w:rsidP="00F93BC7">
            <w:pPr>
              <w:pStyle w:val="TableText"/>
              <w:spacing w:before="40" w:after="40"/>
              <w:ind w:left="57" w:right="170"/>
              <w:jc w:val="right"/>
              <w:rPr>
                <w:rFonts w:cs="Segoe UI"/>
                <w:sz w:val="16"/>
                <w:szCs w:val="16"/>
              </w:rPr>
            </w:pPr>
            <w:r w:rsidRPr="00F93BC7">
              <w:rPr>
                <w:rFonts w:cs="Segoe UI"/>
                <w:sz w:val="16"/>
                <w:szCs w:val="16"/>
              </w:rPr>
              <w:t>54,441</w:t>
            </w:r>
          </w:p>
        </w:tc>
        <w:tc>
          <w:tcPr>
            <w:tcW w:w="2411" w:type="dxa"/>
            <w:tcBorders>
              <w:left w:val="nil"/>
              <w:right w:val="nil"/>
            </w:tcBorders>
          </w:tcPr>
          <w:p w14:paraId="2C79F431" w14:textId="027DFF2C" w:rsidR="00CE40AF" w:rsidRPr="00CE40AF" w:rsidRDefault="00CE40AF" w:rsidP="00F93BC7">
            <w:pPr>
              <w:pStyle w:val="TableText"/>
              <w:spacing w:before="40" w:after="40"/>
              <w:ind w:left="57"/>
              <w:rPr>
                <w:sz w:val="16"/>
                <w:szCs w:val="18"/>
              </w:rPr>
            </w:pPr>
            <w:r w:rsidRPr="00CE40AF">
              <w:rPr>
                <w:sz w:val="16"/>
                <w:szCs w:val="18"/>
              </w:rPr>
              <w:t>Debtor Crown</w:t>
            </w:r>
          </w:p>
        </w:tc>
        <w:tc>
          <w:tcPr>
            <w:tcW w:w="567" w:type="dxa"/>
            <w:tcBorders>
              <w:left w:val="nil"/>
              <w:right w:val="nil"/>
            </w:tcBorders>
          </w:tcPr>
          <w:p w14:paraId="5D99C5E7" w14:textId="7A938332" w:rsidR="00CE40AF" w:rsidRPr="00F93BC7" w:rsidRDefault="00CE40AF" w:rsidP="00F93BC7">
            <w:pPr>
              <w:pStyle w:val="TableText"/>
              <w:spacing w:before="40" w:after="40"/>
              <w:ind w:left="57" w:right="57"/>
              <w:jc w:val="right"/>
              <w:rPr>
                <w:rFonts w:cs="Segoe UI"/>
                <w:sz w:val="16"/>
                <w:szCs w:val="16"/>
              </w:rPr>
            </w:pPr>
            <w:r w:rsidRPr="00F93BC7">
              <w:rPr>
                <w:rFonts w:cs="Segoe UI"/>
                <w:sz w:val="16"/>
                <w:szCs w:val="16"/>
              </w:rPr>
              <w:t>16</w:t>
            </w:r>
          </w:p>
        </w:tc>
        <w:tc>
          <w:tcPr>
            <w:tcW w:w="1147" w:type="dxa"/>
            <w:tcBorders>
              <w:left w:val="nil"/>
              <w:right w:val="nil"/>
            </w:tcBorders>
          </w:tcPr>
          <w:p w14:paraId="6F4A2168" w14:textId="081D039D" w:rsidR="00CE40AF" w:rsidRPr="00F93BC7" w:rsidRDefault="00CE40AF" w:rsidP="00F93BC7">
            <w:pPr>
              <w:pStyle w:val="TableText"/>
              <w:spacing w:before="40" w:after="40"/>
              <w:ind w:left="57" w:right="57"/>
              <w:jc w:val="right"/>
              <w:rPr>
                <w:rFonts w:cs="Segoe UI"/>
                <w:sz w:val="16"/>
                <w:szCs w:val="16"/>
              </w:rPr>
            </w:pPr>
            <w:r w:rsidRPr="00F93BC7">
              <w:rPr>
                <w:rFonts w:cs="Segoe UI"/>
                <w:sz w:val="16"/>
                <w:szCs w:val="16"/>
              </w:rPr>
              <w:t>52,987</w:t>
            </w:r>
          </w:p>
        </w:tc>
        <w:tc>
          <w:tcPr>
            <w:tcW w:w="1285" w:type="dxa"/>
            <w:tcBorders>
              <w:left w:val="nil"/>
              <w:right w:val="nil"/>
            </w:tcBorders>
          </w:tcPr>
          <w:p w14:paraId="09F0819B" w14:textId="5C20479E" w:rsidR="00CE40AF" w:rsidRPr="00F93BC7" w:rsidRDefault="00CE40AF" w:rsidP="00F93BC7">
            <w:pPr>
              <w:pStyle w:val="TableText"/>
              <w:spacing w:before="40" w:after="40"/>
              <w:ind w:left="57" w:right="57"/>
              <w:jc w:val="right"/>
              <w:rPr>
                <w:rFonts w:cs="Segoe UI"/>
                <w:sz w:val="16"/>
                <w:szCs w:val="16"/>
              </w:rPr>
            </w:pPr>
            <w:r w:rsidRPr="00F93BC7">
              <w:rPr>
                <w:rFonts w:cs="Segoe UI"/>
                <w:sz w:val="16"/>
                <w:szCs w:val="16"/>
              </w:rPr>
              <w:t>17,823</w:t>
            </w:r>
          </w:p>
        </w:tc>
        <w:tc>
          <w:tcPr>
            <w:tcW w:w="1395" w:type="dxa"/>
            <w:tcBorders>
              <w:left w:val="nil"/>
              <w:right w:val="nil"/>
            </w:tcBorders>
          </w:tcPr>
          <w:p w14:paraId="6AA8BD4C" w14:textId="5D687155" w:rsidR="00CE40AF" w:rsidRPr="00F93BC7" w:rsidRDefault="00CE40AF" w:rsidP="00F93BC7">
            <w:pPr>
              <w:pStyle w:val="TableText"/>
              <w:spacing w:before="40" w:after="40"/>
              <w:ind w:left="57" w:right="57"/>
              <w:jc w:val="right"/>
              <w:rPr>
                <w:rFonts w:cs="Segoe UI"/>
                <w:sz w:val="16"/>
                <w:szCs w:val="16"/>
              </w:rPr>
            </w:pPr>
            <w:r w:rsidRPr="00F93BC7">
              <w:rPr>
                <w:rFonts w:cs="Segoe UI"/>
                <w:sz w:val="16"/>
                <w:szCs w:val="16"/>
              </w:rPr>
              <w:t>12,201</w:t>
            </w:r>
          </w:p>
        </w:tc>
      </w:tr>
      <w:tr w:rsidR="00CE40AF" w:rsidRPr="00D06007" w14:paraId="6CE02083" w14:textId="77777777" w:rsidTr="00F93BC7">
        <w:trPr>
          <w:trHeight w:val="344"/>
        </w:trPr>
        <w:tc>
          <w:tcPr>
            <w:tcW w:w="1275" w:type="dxa"/>
            <w:tcBorders>
              <w:left w:val="nil"/>
              <w:bottom w:val="single" w:sz="4" w:space="0" w:color="BFBFBF" w:themeColor="background1" w:themeShade="BF"/>
              <w:right w:val="nil"/>
            </w:tcBorders>
          </w:tcPr>
          <w:p w14:paraId="5B3D20B9" w14:textId="5577D0FF" w:rsidR="00CE40AF" w:rsidRPr="00F93BC7" w:rsidRDefault="00CE40AF" w:rsidP="00F93BC7">
            <w:pPr>
              <w:pStyle w:val="TableText"/>
              <w:spacing w:before="40" w:after="40"/>
              <w:ind w:left="57" w:right="170"/>
              <w:jc w:val="right"/>
              <w:rPr>
                <w:rFonts w:cs="Segoe UI"/>
                <w:sz w:val="16"/>
                <w:szCs w:val="16"/>
              </w:rPr>
            </w:pPr>
            <w:r w:rsidRPr="00F93BC7">
              <w:rPr>
                <w:rFonts w:cs="Segoe UI"/>
                <w:sz w:val="16"/>
                <w:szCs w:val="16"/>
              </w:rPr>
              <w:t>507</w:t>
            </w:r>
          </w:p>
        </w:tc>
        <w:tc>
          <w:tcPr>
            <w:tcW w:w="2411" w:type="dxa"/>
            <w:tcBorders>
              <w:left w:val="nil"/>
              <w:bottom w:val="single" w:sz="4" w:space="0" w:color="BFBFBF" w:themeColor="background1" w:themeShade="BF"/>
              <w:right w:val="nil"/>
            </w:tcBorders>
          </w:tcPr>
          <w:p w14:paraId="531D4926" w14:textId="36B2EB3D" w:rsidR="00CE40AF" w:rsidRPr="00CE40AF" w:rsidRDefault="00CE40AF" w:rsidP="00F93BC7">
            <w:pPr>
              <w:pStyle w:val="TableText"/>
              <w:spacing w:before="40" w:after="40"/>
              <w:ind w:left="57"/>
              <w:rPr>
                <w:sz w:val="16"/>
                <w:szCs w:val="18"/>
              </w:rPr>
            </w:pPr>
            <w:r w:rsidRPr="00CE40AF">
              <w:rPr>
                <w:sz w:val="16"/>
                <w:szCs w:val="18"/>
              </w:rPr>
              <w:t>Prepayments</w:t>
            </w:r>
          </w:p>
        </w:tc>
        <w:tc>
          <w:tcPr>
            <w:tcW w:w="567" w:type="dxa"/>
            <w:tcBorders>
              <w:left w:val="nil"/>
              <w:bottom w:val="single" w:sz="4" w:space="0" w:color="BFBFBF" w:themeColor="background1" w:themeShade="BF"/>
              <w:right w:val="nil"/>
            </w:tcBorders>
          </w:tcPr>
          <w:p w14:paraId="258C1EE2" w14:textId="77777777" w:rsidR="00CE40AF" w:rsidRPr="00F93BC7" w:rsidRDefault="00CE40AF" w:rsidP="00F93BC7">
            <w:pPr>
              <w:pStyle w:val="TableText"/>
              <w:spacing w:before="40" w:after="40"/>
              <w:ind w:left="57" w:right="57"/>
              <w:jc w:val="right"/>
              <w:rPr>
                <w:rFonts w:cs="Segoe UI"/>
                <w:sz w:val="16"/>
                <w:szCs w:val="16"/>
              </w:rPr>
            </w:pPr>
          </w:p>
        </w:tc>
        <w:tc>
          <w:tcPr>
            <w:tcW w:w="1147" w:type="dxa"/>
            <w:tcBorders>
              <w:left w:val="nil"/>
              <w:bottom w:val="single" w:sz="4" w:space="0" w:color="BFBFBF" w:themeColor="background1" w:themeShade="BF"/>
              <w:right w:val="nil"/>
            </w:tcBorders>
          </w:tcPr>
          <w:p w14:paraId="0B89830B" w14:textId="0AD0AA2A" w:rsidR="00CE40AF" w:rsidRPr="00F93BC7" w:rsidRDefault="00CE40AF" w:rsidP="00F93BC7">
            <w:pPr>
              <w:pStyle w:val="TableText"/>
              <w:spacing w:before="40" w:after="40"/>
              <w:ind w:left="57" w:right="57"/>
              <w:jc w:val="right"/>
              <w:rPr>
                <w:rFonts w:cs="Segoe UI"/>
                <w:sz w:val="16"/>
                <w:szCs w:val="16"/>
              </w:rPr>
            </w:pPr>
            <w:r w:rsidRPr="00F93BC7">
              <w:rPr>
                <w:rFonts w:cs="Segoe UI"/>
                <w:sz w:val="16"/>
                <w:szCs w:val="16"/>
              </w:rPr>
              <w:t>1,901</w:t>
            </w:r>
          </w:p>
        </w:tc>
        <w:tc>
          <w:tcPr>
            <w:tcW w:w="1285" w:type="dxa"/>
            <w:tcBorders>
              <w:left w:val="nil"/>
              <w:bottom w:val="single" w:sz="4" w:space="0" w:color="BFBFBF" w:themeColor="background1" w:themeShade="BF"/>
              <w:right w:val="nil"/>
            </w:tcBorders>
          </w:tcPr>
          <w:p w14:paraId="357506A7" w14:textId="021CD066" w:rsidR="00CE40AF" w:rsidRPr="00F93BC7" w:rsidRDefault="00CE40AF" w:rsidP="00F93BC7">
            <w:pPr>
              <w:pStyle w:val="TableText"/>
              <w:spacing w:before="40" w:after="40"/>
              <w:ind w:left="57" w:right="57"/>
              <w:jc w:val="right"/>
              <w:rPr>
                <w:rFonts w:cs="Segoe UI"/>
                <w:sz w:val="16"/>
                <w:szCs w:val="16"/>
              </w:rPr>
            </w:pPr>
            <w:r w:rsidRPr="00F93BC7">
              <w:rPr>
                <w:rFonts w:cs="Segoe UI"/>
                <w:sz w:val="16"/>
                <w:szCs w:val="16"/>
              </w:rPr>
              <w:t>2,000</w:t>
            </w:r>
          </w:p>
        </w:tc>
        <w:tc>
          <w:tcPr>
            <w:tcW w:w="1395" w:type="dxa"/>
            <w:tcBorders>
              <w:left w:val="nil"/>
              <w:bottom w:val="single" w:sz="4" w:space="0" w:color="BFBFBF" w:themeColor="background1" w:themeShade="BF"/>
              <w:right w:val="nil"/>
            </w:tcBorders>
          </w:tcPr>
          <w:p w14:paraId="658CFD59" w14:textId="267382F1" w:rsidR="00CE40AF" w:rsidRPr="00F93BC7" w:rsidRDefault="00CE40AF" w:rsidP="00F93BC7">
            <w:pPr>
              <w:pStyle w:val="TableText"/>
              <w:spacing w:before="40" w:after="40"/>
              <w:ind w:left="57" w:right="57"/>
              <w:jc w:val="right"/>
              <w:rPr>
                <w:rFonts w:cs="Segoe UI"/>
                <w:sz w:val="16"/>
                <w:szCs w:val="16"/>
              </w:rPr>
            </w:pPr>
            <w:r w:rsidRPr="00F93BC7">
              <w:rPr>
                <w:rFonts w:cs="Segoe UI"/>
                <w:sz w:val="16"/>
                <w:szCs w:val="16"/>
              </w:rPr>
              <w:t>500</w:t>
            </w:r>
          </w:p>
        </w:tc>
      </w:tr>
      <w:tr w:rsidR="00CE40AF" w:rsidRPr="00F93BC7" w14:paraId="15D2BEEC" w14:textId="77777777" w:rsidTr="00CE40AF">
        <w:trPr>
          <w:trHeight w:val="344"/>
        </w:trPr>
        <w:tc>
          <w:tcPr>
            <w:tcW w:w="1275" w:type="dxa"/>
            <w:tcBorders>
              <w:top w:val="single" w:sz="4" w:space="0" w:color="BFBFBF" w:themeColor="background1" w:themeShade="BF"/>
              <w:left w:val="nil"/>
              <w:bottom w:val="single" w:sz="4" w:space="0" w:color="BFBFBF" w:themeColor="background1" w:themeShade="BF"/>
              <w:right w:val="nil"/>
            </w:tcBorders>
          </w:tcPr>
          <w:p w14:paraId="33967699" w14:textId="7099A0D9" w:rsidR="00CE40AF" w:rsidRPr="00F93BC7" w:rsidRDefault="00CE40AF" w:rsidP="00F93BC7">
            <w:pPr>
              <w:pStyle w:val="TableText"/>
              <w:spacing w:before="40" w:after="40"/>
              <w:ind w:left="57" w:right="170"/>
              <w:jc w:val="right"/>
              <w:rPr>
                <w:rFonts w:cs="Segoe UI"/>
                <w:b/>
                <w:bCs/>
                <w:sz w:val="16"/>
                <w:szCs w:val="16"/>
              </w:rPr>
            </w:pPr>
            <w:r w:rsidRPr="00F93BC7">
              <w:rPr>
                <w:rFonts w:cs="Segoe UI"/>
                <w:b/>
                <w:bCs/>
                <w:sz w:val="16"/>
                <w:szCs w:val="16"/>
              </w:rPr>
              <w:t>69,719</w:t>
            </w:r>
          </w:p>
        </w:tc>
        <w:tc>
          <w:tcPr>
            <w:tcW w:w="2411" w:type="dxa"/>
            <w:tcBorders>
              <w:top w:val="single" w:sz="4" w:space="0" w:color="BFBFBF" w:themeColor="background1" w:themeShade="BF"/>
              <w:left w:val="nil"/>
              <w:bottom w:val="single" w:sz="4" w:space="0" w:color="BFBFBF" w:themeColor="background1" w:themeShade="BF"/>
              <w:right w:val="nil"/>
            </w:tcBorders>
          </w:tcPr>
          <w:p w14:paraId="2E509576" w14:textId="24A33E9F" w:rsidR="00CE40AF" w:rsidRPr="00F93BC7" w:rsidRDefault="00CE40AF" w:rsidP="00F93BC7">
            <w:pPr>
              <w:pStyle w:val="TableText"/>
              <w:spacing w:before="40" w:after="40"/>
              <w:ind w:left="57"/>
              <w:rPr>
                <w:b/>
                <w:bCs/>
                <w:sz w:val="16"/>
                <w:szCs w:val="18"/>
              </w:rPr>
            </w:pPr>
            <w:r w:rsidRPr="00F93BC7">
              <w:rPr>
                <w:b/>
                <w:bCs/>
                <w:sz w:val="16"/>
                <w:szCs w:val="18"/>
              </w:rPr>
              <w:t>Total current assets</w:t>
            </w:r>
          </w:p>
        </w:tc>
        <w:tc>
          <w:tcPr>
            <w:tcW w:w="567" w:type="dxa"/>
            <w:tcBorders>
              <w:top w:val="single" w:sz="4" w:space="0" w:color="BFBFBF" w:themeColor="background1" w:themeShade="BF"/>
              <w:left w:val="nil"/>
              <w:bottom w:val="single" w:sz="4" w:space="0" w:color="BFBFBF" w:themeColor="background1" w:themeShade="BF"/>
              <w:right w:val="nil"/>
            </w:tcBorders>
          </w:tcPr>
          <w:p w14:paraId="6482AD73" w14:textId="77777777" w:rsidR="00CE40AF" w:rsidRPr="00F93BC7" w:rsidRDefault="00CE40AF" w:rsidP="00F93BC7">
            <w:pPr>
              <w:pStyle w:val="TableText"/>
              <w:spacing w:before="40" w:after="40"/>
              <w:ind w:left="57" w:right="57"/>
              <w:jc w:val="right"/>
              <w:rPr>
                <w:rFonts w:cs="Segoe UI"/>
                <w:b/>
                <w:bCs/>
                <w:sz w:val="16"/>
                <w:szCs w:val="16"/>
              </w:rPr>
            </w:pPr>
          </w:p>
        </w:tc>
        <w:tc>
          <w:tcPr>
            <w:tcW w:w="1147" w:type="dxa"/>
            <w:tcBorders>
              <w:top w:val="single" w:sz="4" w:space="0" w:color="BFBFBF" w:themeColor="background1" w:themeShade="BF"/>
              <w:left w:val="nil"/>
              <w:bottom w:val="single" w:sz="4" w:space="0" w:color="BFBFBF" w:themeColor="background1" w:themeShade="BF"/>
              <w:right w:val="nil"/>
            </w:tcBorders>
          </w:tcPr>
          <w:p w14:paraId="04450FF7" w14:textId="38731FA3" w:rsidR="00CE40AF" w:rsidRPr="00F93BC7" w:rsidRDefault="00CE40AF" w:rsidP="00F93BC7">
            <w:pPr>
              <w:pStyle w:val="TableText"/>
              <w:spacing w:before="40" w:after="40"/>
              <w:ind w:left="57" w:right="57"/>
              <w:jc w:val="right"/>
              <w:rPr>
                <w:rFonts w:cs="Segoe UI"/>
                <w:b/>
                <w:bCs/>
                <w:sz w:val="16"/>
                <w:szCs w:val="16"/>
              </w:rPr>
            </w:pPr>
            <w:r w:rsidRPr="00F93BC7">
              <w:rPr>
                <w:rFonts w:cs="Segoe UI"/>
                <w:b/>
                <w:bCs/>
                <w:sz w:val="16"/>
                <w:szCs w:val="16"/>
              </w:rPr>
              <w:t>67,881</w:t>
            </w:r>
          </w:p>
        </w:tc>
        <w:tc>
          <w:tcPr>
            <w:tcW w:w="1285" w:type="dxa"/>
            <w:tcBorders>
              <w:top w:val="single" w:sz="4" w:space="0" w:color="BFBFBF" w:themeColor="background1" w:themeShade="BF"/>
              <w:left w:val="nil"/>
              <w:bottom w:val="single" w:sz="4" w:space="0" w:color="BFBFBF" w:themeColor="background1" w:themeShade="BF"/>
              <w:right w:val="nil"/>
            </w:tcBorders>
          </w:tcPr>
          <w:p w14:paraId="68821B85" w14:textId="339170A7" w:rsidR="00CE40AF" w:rsidRPr="00F93BC7" w:rsidRDefault="00CE40AF" w:rsidP="00F93BC7">
            <w:pPr>
              <w:pStyle w:val="TableText"/>
              <w:spacing w:before="40" w:after="40"/>
              <w:ind w:left="57" w:right="57"/>
              <w:jc w:val="right"/>
              <w:rPr>
                <w:rFonts w:cs="Segoe UI"/>
                <w:b/>
                <w:bCs/>
                <w:sz w:val="16"/>
                <w:szCs w:val="16"/>
              </w:rPr>
            </w:pPr>
            <w:r w:rsidRPr="00F93BC7">
              <w:rPr>
                <w:rFonts w:cs="Segoe UI"/>
                <w:b/>
                <w:bCs/>
                <w:sz w:val="16"/>
                <w:szCs w:val="16"/>
              </w:rPr>
              <w:t>39,823</w:t>
            </w:r>
          </w:p>
        </w:tc>
        <w:tc>
          <w:tcPr>
            <w:tcW w:w="1395" w:type="dxa"/>
            <w:tcBorders>
              <w:top w:val="single" w:sz="4" w:space="0" w:color="BFBFBF" w:themeColor="background1" w:themeShade="BF"/>
              <w:left w:val="nil"/>
              <w:bottom w:val="single" w:sz="4" w:space="0" w:color="BFBFBF" w:themeColor="background1" w:themeShade="BF"/>
              <w:right w:val="nil"/>
            </w:tcBorders>
          </w:tcPr>
          <w:p w14:paraId="62669E46" w14:textId="6D9B9899" w:rsidR="00CE40AF" w:rsidRPr="00F93BC7" w:rsidRDefault="00CE40AF" w:rsidP="00F93BC7">
            <w:pPr>
              <w:pStyle w:val="TableText"/>
              <w:spacing w:before="40" w:after="40"/>
              <w:ind w:left="57" w:right="57"/>
              <w:jc w:val="right"/>
              <w:rPr>
                <w:rFonts w:cs="Segoe UI"/>
                <w:b/>
                <w:bCs/>
                <w:sz w:val="16"/>
                <w:szCs w:val="16"/>
              </w:rPr>
            </w:pPr>
            <w:r w:rsidRPr="00F93BC7">
              <w:rPr>
                <w:rFonts w:cs="Segoe UI"/>
                <w:b/>
                <w:bCs/>
                <w:sz w:val="16"/>
                <w:szCs w:val="16"/>
              </w:rPr>
              <w:t>22,475</w:t>
            </w:r>
          </w:p>
        </w:tc>
      </w:tr>
      <w:tr w:rsidR="00CE40AF" w:rsidRPr="00F93BC7" w14:paraId="3DC14544" w14:textId="77777777" w:rsidTr="00F93BC7">
        <w:trPr>
          <w:trHeight w:val="344"/>
        </w:trPr>
        <w:tc>
          <w:tcPr>
            <w:tcW w:w="1275" w:type="dxa"/>
            <w:tcBorders>
              <w:top w:val="single" w:sz="4" w:space="0" w:color="BFBFBF" w:themeColor="background1" w:themeShade="BF"/>
              <w:left w:val="nil"/>
              <w:right w:val="nil"/>
            </w:tcBorders>
          </w:tcPr>
          <w:p w14:paraId="50F30EE4" w14:textId="3EC7BB8F" w:rsidR="00CE40AF" w:rsidRPr="00F93BC7" w:rsidRDefault="00CE40AF" w:rsidP="00F93BC7">
            <w:pPr>
              <w:pStyle w:val="TableText"/>
              <w:spacing w:before="40" w:after="40"/>
              <w:ind w:left="57" w:right="170"/>
              <w:jc w:val="right"/>
              <w:rPr>
                <w:rFonts w:cs="Segoe UI"/>
                <w:b/>
                <w:bCs/>
                <w:sz w:val="16"/>
                <w:szCs w:val="16"/>
              </w:rPr>
            </w:pPr>
          </w:p>
        </w:tc>
        <w:tc>
          <w:tcPr>
            <w:tcW w:w="2411" w:type="dxa"/>
            <w:tcBorders>
              <w:top w:val="single" w:sz="4" w:space="0" w:color="BFBFBF" w:themeColor="background1" w:themeShade="BF"/>
              <w:left w:val="nil"/>
              <w:right w:val="nil"/>
            </w:tcBorders>
          </w:tcPr>
          <w:p w14:paraId="178F32A6" w14:textId="25A624C4" w:rsidR="00CE40AF" w:rsidRPr="00F93BC7" w:rsidRDefault="00CE40AF" w:rsidP="00F93BC7">
            <w:pPr>
              <w:pStyle w:val="TableText"/>
              <w:spacing w:before="40" w:after="40"/>
              <w:ind w:left="57"/>
              <w:rPr>
                <w:b/>
                <w:bCs/>
                <w:sz w:val="16"/>
                <w:szCs w:val="18"/>
              </w:rPr>
            </w:pPr>
            <w:r w:rsidRPr="00F93BC7">
              <w:rPr>
                <w:b/>
                <w:bCs/>
                <w:sz w:val="16"/>
                <w:szCs w:val="18"/>
              </w:rPr>
              <w:t>Non-current assets</w:t>
            </w:r>
          </w:p>
        </w:tc>
        <w:tc>
          <w:tcPr>
            <w:tcW w:w="567" w:type="dxa"/>
            <w:tcBorders>
              <w:top w:val="single" w:sz="4" w:space="0" w:color="BFBFBF" w:themeColor="background1" w:themeShade="BF"/>
              <w:left w:val="nil"/>
              <w:right w:val="nil"/>
            </w:tcBorders>
          </w:tcPr>
          <w:p w14:paraId="6B96BA68" w14:textId="77777777" w:rsidR="00CE40AF" w:rsidRPr="00F93BC7" w:rsidRDefault="00CE40AF" w:rsidP="00F93BC7">
            <w:pPr>
              <w:pStyle w:val="TableText"/>
              <w:spacing w:before="40" w:after="40"/>
              <w:ind w:left="57" w:right="57"/>
              <w:jc w:val="right"/>
              <w:rPr>
                <w:rFonts w:cs="Segoe UI"/>
                <w:b/>
                <w:bCs/>
                <w:sz w:val="16"/>
                <w:szCs w:val="16"/>
              </w:rPr>
            </w:pPr>
          </w:p>
        </w:tc>
        <w:tc>
          <w:tcPr>
            <w:tcW w:w="1147" w:type="dxa"/>
            <w:tcBorders>
              <w:top w:val="single" w:sz="4" w:space="0" w:color="BFBFBF" w:themeColor="background1" w:themeShade="BF"/>
              <w:left w:val="nil"/>
              <w:right w:val="nil"/>
            </w:tcBorders>
          </w:tcPr>
          <w:p w14:paraId="107A1927" w14:textId="034F15BE" w:rsidR="00CE40AF" w:rsidRPr="00F93BC7" w:rsidRDefault="00CE40AF" w:rsidP="00F93BC7">
            <w:pPr>
              <w:pStyle w:val="TableText"/>
              <w:spacing w:before="40" w:after="40"/>
              <w:ind w:left="57" w:right="57"/>
              <w:jc w:val="right"/>
              <w:rPr>
                <w:rFonts w:cs="Segoe UI"/>
                <w:b/>
                <w:bCs/>
                <w:sz w:val="16"/>
                <w:szCs w:val="16"/>
              </w:rPr>
            </w:pPr>
          </w:p>
        </w:tc>
        <w:tc>
          <w:tcPr>
            <w:tcW w:w="1285" w:type="dxa"/>
            <w:tcBorders>
              <w:top w:val="single" w:sz="4" w:space="0" w:color="BFBFBF" w:themeColor="background1" w:themeShade="BF"/>
              <w:left w:val="nil"/>
              <w:right w:val="nil"/>
            </w:tcBorders>
          </w:tcPr>
          <w:p w14:paraId="372399E7" w14:textId="199EFCA5" w:rsidR="00CE40AF" w:rsidRPr="00F93BC7" w:rsidRDefault="00CE40AF" w:rsidP="00F93BC7">
            <w:pPr>
              <w:pStyle w:val="TableText"/>
              <w:spacing w:before="40" w:after="40"/>
              <w:ind w:left="57" w:right="57"/>
              <w:jc w:val="right"/>
              <w:rPr>
                <w:rFonts w:cs="Segoe UI"/>
                <w:b/>
                <w:bCs/>
                <w:sz w:val="16"/>
                <w:szCs w:val="16"/>
              </w:rPr>
            </w:pPr>
          </w:p>
        </w:tc>
        <w:tc>
          <w:tcPr>
            <w:tcW w:w="1395" w:type="dxa"/>
            <w:tcBorders>
              <w:top w:val="single" w:sz="4" w:space="0" w:color="BFBFBF" w:themeColor="background1" w:themeShade="BF"/>
              <w:left w:val="nil"/>
              <w:right w:val="nil"/>
            </w:tcBorders>
          </w:tcPr>
          <w:p w14:paraId="6BD3F740" w14:textId="3BDC9DD0" w:rsidR="00CE40AF" w:rsidRPr="00F93BC7" w:rsidRDefault="00CE40AF" w:rsidP="00F93BC7">
            <w:pPr>
              <w:pStyle w:val="TableText"/>
              <w:spacing w:before="40" w:after="40"/>
              <w:ind w:left="57" w:right="57"/>
              <w:jc w:val="right"/>
              <w:rPr>
                <w:rFonts w:cs="Segoe UI"/>
                <w:b/>
                <w:bCs/>
                <w:sz w:val="16"/>
                <w:szCs w:val="16"/>
              </w:rPr>
            </w:pPr>
          </w:p>
        </w:tc>
      </w:tr>
      <w:tr w:rsidR="00CE40AF" w14:paraId="510A195E" w14:textId="77777777" w:rsidTr="00F93BC7">
        <w:trPr>
          <w:trHeight w:val="362"/>
        </w:trPr>
        <w:tc>
          <w:tcPr>
            <w:tcW w:w="1275" w:type="dxa"/>
            <w:tcBorders>
              <w:left w:val="nil"/>
              <w:right w:val="nil"/>
            </w:tcBorders>
          </w:tcPr>
          <w:p w14:paraId="3CF4A6B1" w14:textId="50BC9958" w:rsidR="00CE40AF" w:rsidRDefault="00CE40AF" w:rsidP="00F93BC7">
            <w:pPr>
              <w:pStyle w:val="TableText"/>
              <w:spacing w:before="40" w:after="40"/>
              <w:ind w:left="57" w:right="170"/>
              <w:jc w:val="right"/>
              <w:rPr>
                <w:rFonts w:cs="Segoe UI"/>
                <w:sz w:val="16"/>
                <w:szCs w:val="16"/>
              </w:rPr>
            </w:pPr>
            <w:r w:rsidRPr="00F93BC7">
              <w:rPr>
                <w:rFonts w:cs="Segoe UI"/>
                <w:sz w:val="16"/>
                <w:szCs w:val="16"/>
              </w:rPr>
              <w:t>9,564</w:t>
            </w:r>
          </w:p>
        </w:tc>
        <w:tc>
          <w:tcPr>
            <w:tcW w:w="2411" w:type="dxa"/>
            <w:tcBorders>
              <w:left w:val="nil"/>
              <w:right w:val="nil"/>
            </w:tcBorders>
          </w:tcPr>
          <w:p w14:paraId="10ABAFB7" w14:textId="71DD4639" w:rsidR="00CE40AF" w:rsidRPr="00CE40AF" w:rsidRDefault="00CE40AF" w:rsidP="00F93BC7">
            <w:pPr>
              <w:pStyle w:val="TableText"/>
              <w:spacing w:before="40" w:after="40"/>
              <w:ind w:left="57"/>
              <w:rPr>
                <w:sz w:val="16"/>
                <w:szCs w:val="18"/>
              </w:rPr>
            </w:pPr>
            <w:r w:rsidRPr="00CE40AF">
              <w:rPr>
                <w:sz w:val="16"/>
                <w:szCs w:val="18"/>
              </w:rPr>
              <w:t>Property, plant and equipment</w:t>
            </w:r>
          </w:p>
        </w:tc>
        <w:tc>
          <w:tcPr>
            <w:tcW w:w="567" w:type="dxa"/>
            <w:tcBorders>
              <w:left w:val="nil"/>
              <w:right w:val="nil"/>
            </w:tcBorders>
          </w:tcPr>
          <w:p w14:paraId="2580CA09" w14:textId="053A0EEF" w:rsidR="00CE40AF" w:rsidRDefault="00CE40AF" w:rsidP="00F93BC7">
            <w:pPr>
              <w:pStyle w:val="TableText"/>
              <w:spacing w:before="40" w:after="40"/>
              <w:ind w:left="57" w:right="57"/>
              <w:jc w:val="right"/>
              <w:rPr>
                <w:rFonts w:cs="Segoe UI"/>
                <w:sz w:val="16"/>
                <w:szCs w:val="16"/>
              </w:rPr>
            </w:pPr>
            <w:r w:rsidRPr="00F93BC7">
              <w:rPr>
                <w:rFonts w:cs="Segoe UI"/>
                <w:sz w:val="16"/>
                <w:szCs w:val="16"/>
              </w:rPr>
              <w:t>7</w:t>
            </w:r>
          </w:p>
        </w:tc>
        <w:tc>
          <w:tcPr>
            <w:tcW w:w="1147" w:type="dxa"/>
            <w:tcBorders>
              <w:left w:val="nil"/>
              <w:right w:val="nil"/>
            </w:tcBorders>
          </w:tcPr>
          <w:p w14:paraId="58D38AD8" w14:textId="1F5BA94A" w:rsidR="00CE40AF" w:rsidRDefault="00CE40AF" w:rsidP="00F93BC7">
            <w:pPr>
              <w:pStyle w:val="TableText"/>
              <w:spacing w:before="40" w:after="40"/>
              <w:ind w:left="57" w:right="57"/>
              <w:jc w:val="right"/>
              <w:rPr>
                <w:rFonts w:cs="Segoe UI"/>
                <w:sz w:val="16"/>
                <w:szCs w:val="16"/>
              </w:rPr>
            </w:pPr>
            <w:r w:rsidRPr="00F93BC7">
              <w:rPr>
                <w:rFonts w:cs="Segoe UI"/>
                <w:sz w:val="16"/>
                <w:szCs w:val="16"/>
              </w:rPr>
              <w:t>10,556</w:t>
            </w:r>
          </w:p>
        </w:tc>
        <w:tc>
          <w:tcPr>
            <w:tcW w:w="1285" w:type="dxa"/>
            <w:tcBorders>
              <w:left w:val="nil"/>
              <w:right w:val="nil"/>
            </w:tcBorders>
          </w:tcPr>
          <w:p w14:paraId="46825690" w14:textId="1A7A33C8" w:rsidR="00CE40AF" w:rsidRDefault="00CE40AF" w:rsidP="00F93BC7">
            <w:pPr>
              <w:pStyle w:val="TableText"/>
              <w:spacing w:before="40" w:after="40"/>
              <w:ind w:left="57" w:right="57"/>
              <w:jc w:val="right"/>
              <w:rPr>
                <w:rFonts w:cs="Segoe UI"/>
                <w:sz w:val="16"/>
                <w:szCs w:val="16"/>
              </w:rPr>
            </w:pPr>
            <w:r w:rsidRPr="00F93BC7">
              <w:rPr>
                <w:rFonts w:cs="Segoe UI"/>
                <w:sz w:val="16"/>
                <w:szCs w:val="16"/>
              </w:rPr>
              <w:t>14,958</w:t>
            </w:r>
          </w:p>
        </w:tc>
        <w:tc>
          <w:tcPr>
            <w:tcW w:w="1395" w:type="dxa"/>
            <w:tcBorders>
              <w:left w:val="nil"/>
              <w:right w:val="nil"/>
            </w:tcBorders>
          </w:tcPr>
          <w:p w14:paraId="113FA0D7" w14:textId="5D214676" w:rsidR="00CE40AF" w:rsidRDefault="00CE40AF" w:rsidP="00F93BC7">
            <w:pPr>
              <w:pStyle w:val="TableText"/>
              <w:spacing w:before="40" w:after="40"/>
              <w:ind w:left="57" w:right="57"/>
              <w:jc w:val="right"/>
              <w:rPr>
                <w:rFonts w:cs="Segoe UI"/>
                <w:sz w:val="16"/>
                <w:szCs w:val="16"/>
              </w:rPr>
            </w:pPr>
            <w:r w:rsidRPr="00F93BC7">
              <w:rPr>
                <w:rFonts w:cs="Segoe UI"/>
                <w:sz w:val="16"/>
                <w:szCs w:val="16"/>
              </w:rPr>
              <w:t>8,146</w:t>
            </w:r>
          </w:p>
        </w:tc>
      </w:tr>
      <w:tr w:rsidR="00CE40AF" w14:paraId="60B0CE3D" w14:textId="77777777" w:rsidTr="00F93BC7">
        <w:trPr>
          <w:trHeight w:val="362"/>
        </w:trPr>
        <w:tc>
          <w:tcPr>
            <w:tcW w:w="1275" w:type="dxa"/>
            <w:tcBorders>
              <w:left w:val="nil"/>
              <w:bottom w:val="single" w:sz="4" w:space="0" w:color="BFBFBF" w:themeColor="background1" w:themeShade="BF"/>
              <w:right w:val="nil"/>
            </w:tcBorders>
          </w:tcPr>
          <w:p w14:paraId="31F3A4B2" w14:textId="6E53B030" w:rsidR="00CE40AF" w:rsidRDefault="00CE40AF" w:rsidP="00F93BC7">
            <w:pPr>
              <w:pStyle w:val="TableText"/>
              <w:spacing w:before="40" w:after="40"/>
              <w:ind w:left="57" w:right="170"/>
              <w:jc w:val="right"/>
              <w:rPr>
                <w:rFonts w:cs="Segoe UI"/>
                <w:sz w:val="16"/>
                <w:szCs w:val="16"/>
              </w:rPr>
            </w:pPr>
            <w:r w:rsidRPr="00F93BC7">
              <w:rPr>
                <w:rFonts w:cs="Segoe UI"/>
                <w:sz w:val="16"/>
                <w:szCs w:val="16"/>
              </w:rPr>
              <w:t>935</w:t>
            </w:r>
          </w:p>
        </w:tc>
        <w:tc>
          <w:tcPr>
            <w:tcW w:w="2411" w:type="dxa"/>
            <w:tcBorders>
              <w:left w:val="nil"/>
              <w:bottom w:val="single" w:sz="4" w:space="0" w:color="BFBFBF" w:themeColor="background1" w:themeShade="BF"/>
              <w:right w:val="nil"/>
            </w:tcBorders>
          </w:tcPr>
          <w:p w14:paraId="6B0206CB" w14:textId="50DBDC70" w:rsidR="00CE40AF" w:rsidRPr="00CE40AF" w:rsidRDefault="00CE40AF" w:rsidP="00F93BC7">
            <w:pPr>
              <w:pStyle w:val="TableText"/>
              <w:spacing w:before="40" w:after="40"/>
              <w:ind w:left="57"/>
              <w:rPr>
                <w:sz w:val="16"/>
                <w:szCs w:val="18"/>
              </w:rPr>
            </w:pPr>
            <w:r w:rsidRPr="00CE40AF">
              <w:rPr>
                <w:sz w:val="16"/>
                <w:szCs w:val="18"/>
              </w:rPr>
              <w:t>Intangible assets</w:t>
            </w:r>
          </w:p>
        </w:tc>
        <w:tc>
          <w:tcPr>
            <w:tcW w:w="567" w:type="dxa"/>
            <w:tcBorders>
              <w:left w:val="nil"/>
              <w:bottom w:val="single" w:sz="4" w:space="0" w:color="BFBFBF" w:themeColor="background1" w:themeShade="BF"/>
              <w:right w:val="nil"/>
            </w:tcBorders>
          </w:tcPr>
          <w:p w14:paraId="47CB9A8C" w14:textId="60990FA8" w:rsidR="00CE40AF" w:rsidRDefault="00CE40AF" w:rsidP="00F93BC7">
            <w:pPr>
              <w:pStyle w:val="TableText"/>
              <w:spacing w:before="40" w:after="40"/>
              <w:ind w:left="57" w:right="57"/>
              <w:jc w:val="right"/>
              <w:rPr>
                <w:rFonts w:cs="Segoe UI"/>
                <w:sz w:val="16"/>
                <w:szCs w:val="16"/>
              </w:rPr>
            </w:pPr>
            <w:r w:rsidRPr="00F93BC7">
              <w:rPr>
                <w:rFonts w:cs="Segoe UI"/>
                <w:sz w:val="16"/>
                <w:szCs w:val="16"/>
              </w:rPr>
              <w:t>8</w:t>
            </w:r>
          </w:p>
        </w:tc>
        <w:tc>
          <w:tcPr>
            <w:tcW w:w="1147" w:type="dxa"/>
            <w:tcBorders>
              <w:left w:val="nil"/>
              <w:bottom w:val="single" w:sz="4" w:space="0" w:color="BFBFBF" w:themeColor="background1" w:themeShade="BF"/>
              <w:right w:val="nil"/>
            </w:tcBorders>
          </w:tcPr>
          <w:p w14:paraId="68F4CFFD" w14:textId="6AFA845C" w:rsidR="00CE40AF" w:rsidRDefault="00CE40AF" w:rsidP="00F93BC7">
            <w:pPr>
              <w:pStyle w:val="TableText"/>
              <w:spacing w:before="40" w:after="40"/>
              <w:ind w:left="57" w:right="57"/>
              <w:jc w:val="right"/>
              <w:rPr>
                <w:rFonts w:cs="Segoe UI"/>
                <w:sz w:val="16"/>
                <w:szCs w:val="16"/>
              </w:rPr>
            </w:pPr>
            <w:r w:rsidRPr="00F93BC7">
              <w:rPr>
                <w:rFonts w:cs="Segoe UI"/>
                <w:sz w:val="16"/>
                <w:szCs w:val="16"/>
              </w:rPr>
              <w:t>419</w:t>
            </w:r>
          </w:p>
        </w:tc>
        <w:tc>
          <w:tcPr>
            <w:tcW w:w="1285" w:type="dxa"/>
            <w:tcBorders>
              <w:left w:val="nil"/>
              <w:bottom w:val="single" w:sz="4" w:space="0" w:color="BFBFBF" w:themeColor="background1" w:themeShade="BF"/>
              <w:right w:val="nil"/>
            </w:tcBorders>
          </w:tcPr>
          <w:p w14:paraId="12DC02AA" w14:textId="27B49F94" w:rsidR="00CE40AF" w:rsidRDefault="00CE40AF" w:rsidP="00F93BC7">
            <w:pPr>
              <w:pStyle w:val="TableText"/>
              <w:spacing w:before="40" w:after="40"/>
              <w:ind w:left="57" w:right="57"/>
              <w:jc w:val="right"/>
              <w:rPr>
                <w:rFonts w:cs="Segoe UI"/>
                <w:sz w:val="16"/>
                <w:szCs w:val="16"/>
              </w:rPr>
            </w:pPr>
            <w:r w:rsidRPr="00F93BC7">
              <w:rPr>
                <w:rFonts w:cs="Segoe UI"/>
                <w:sz w:val="16"/>
                <w:szCs w:val="16"/>
              </w:rPr>
              <w:t>585</w:t>
            </w:r>
          </w:p>
        </w:tc>
        <w:tc>
          <w:tcPr>
            <w:tcW w:w="1395" w:type="dxa"/>
            <w:tcBorders>
              <w:left w:val="nil"/>
              <w:bottom w:val="single" w:sz="4" w:space="0" w:color="BFBFBF" w:themeColor="background1" w:themeShade="BF"/>
              <w:right w:val="nil"/>
            </w:tcBorders>
          </w:tcPr>
          <w:p w14:paraId="1D5F00DD" w14:textId="575AC8CE" w:rsidR="00CE40AF" w:rsidRDefault="00CE40AF" w:rsidP="00F93BC7">
            <w:pPr>
              <w:pStyle w:val="TableText"/>
              <w:spacing w:before="40" w:after="40"/>
              <w:ind w:left="57" w:right="57"/>
              <w:jc w:val="right"/>
              <w:rPr>
                <w:rFonts w:cs="Segoe UI"/>
                <w:sz w:val="16"/>
                <w:szCs w:val="16"/>
              </w:rPr>
            </w:pPr>
            <w:r w:rsidRPr="00F93BC7">
              <w:rPr>
                <w:rFonts w:cs="Segoe UI"/>
                <w:sz w:val="16"/>
                <w:szCs w:val="16"/>
              </w:rPr>
              <w:t>345</w:t>
            </w:r>
          </w:p>
        </w:tc>
      </w:tr>
      <w:tr w:rsidR="00CE40AF" w:rsidRPr="00F93BC7" w14:paraId="080DA448" w14:textId="77777777" w:rsidTr="00CE40AF">
        <w:trPr>
          <w:trHeight w:val="362"/>
        </w:trPr>
        <w:tc>
          <w:tcPr>
            <w:tcW w:w="1275" w:type="dxa"/>
            <w:tcBorders>
              <w:top w:val="single" w:sz="4" w:space="0" w:color="BFBFBF" w:themeColor="background1" w:themeShade="BF"/>
              <w:left w:val="nil"/>
              <w:bottom w:val="single" w:sz="4" w:space="0" w:color="BFBFBF" w:themeColor="background1" w:themeShade="BF"/>
              <w:right w:val="nil"/>
            </w:tcBorders>
          </w:tcPr>
          <w:p w14:paraId="22C67E03" w14:textId="1B9B1EDF" w:rsidR="00CE40AF" w:rsidRPr="00F93BC7" w:rsidRDefault="00CE40AF" w:rsidP="00F93BC7">
            <w:pPr>
              <w:pStyle w:val="TableText"/>
              <w:spacing w:before="40" w:after="40"/>
              <w:ind w:left="57" w:right="170"/>
              <w:jc w:val="right"/>
              <w:rPr>
                <w:rFonts w:cs="Segoe UI"/>
                <w:b/>
                <w:bCs/>
                <w:sz w:val="16"/>
                <w:szCs w:val="16"/>
              </w:rPr>
            </w:pPr>
            <w:r w:rsidRPr="00F93BC7">
              <w:rPr>
                <w:rFonts w:cs="Segoe UI"/>
                <w:b/>
                <w:bCs/>
                <w:sz w:val="16"/>
                <w:szCs w:val="16"/>
              </w:rPr>
              <w:t>10,499</w:t>
            </w:r>
          </w:p>
        </w:tc>
        <w:tc>
          <w:tcPr>
            <w:tcW w:w="2411" w:type="dxa"/>
            <w:tcBorders>
              <w:top w:val="single" w:sz="4" w:space="0" w:color="BFBFBF" w:themeColor="background1" w:themeShade="BF"/>
              <w:left w:val="nil"/>
              <w:bottom w:val="single" w:sz="4" w:space="0" w:color="BFBFBF" w:themeColor="background1" w:themeShade="BF"/>
              <w:right w:val="nil"/>
            </w:tcBorders>
          </w:tcPr>
          <w:p w14:paraId="33DCFCAD" w14:textId="1DA4858A" w:rsidR="00CE40AF" w:rsidRPr="00F93BC7" w:rsidRDefault="00CE40AF" w:rsidP="00F93BC7">
            <w:pPr>
              <w:pStyle w:val="TableText"/>
              <w:spacing w:before="40" w:after="40"/>
              <w:ind w:left="57"/>
              <w:rPr>
                <w:b/>
                <w:bCs/>
                <w:sz w:val="16"/>
                <w:szCs w:val="18"/>
              </w:rPr>
            </w:pPr>
            <w:r w:rsidRPr="00F93BC7">
              <w:rPr>
                <w:b/>
                <w:bCs/>
                <w:sz w:val="16"/>
                <w:szCs w:val="18"/>
              </w:rPr>
              <w:t>Total non-current assets</w:t>
            </w:r>
          </w:p>
        </w:tc>
        <w:tc>
          <w:tcPr>
            <w:tcW w:w="567" w:type="dxa"/>
            <w:tcBorders>
              <w:top w:val="single" w:sz="4" w:space="0" w:color="BFBFBF" w:themeColor="background1" w:themeShade="BF"/>
              <w:left w:val="nil"/>
              <w:bottom w:val="single" w:sz="4" w:space="0" w:color="BFBFBF" w:themeColor="background1" w:themeShade="BF"/>
              <w:right w:val="nil"/>
            </w:tcBorders>
          </w:tcPr>
          <w:p w14:paraId="3FD64C8B" w14:textId="77777777" w:rsidR="00CE40AF" w:rsidRPr="00F93BC7" w:rsidRDefault="00CE40AF" w:rsidP="00F93BC7">
            <w:pPr>
              <w:pStyle w:val="TableText"/>
              <w:spacing w:before="40" w:after="40"/>
              <w:ind w:left="57" w:right="57"/>
              <w:jc w:val="right"/>
              <w:rPr>
                <w:rFonts w:cs="Segoe UI"/>
                <w:b/>
                <w:bCs/>
                <w:sz w:val="16"/>
                <w:szCs w:val="16"/>
              </w:rPr>
            </w:pPr>
          </w:p>
        </w:tc>
        <w:tc>
          <w:tcPr>
            <w:tcW w:w="1147" w:type="dxa"/>
            <w:tcBorders>
              <w:top w:val="single" w:sz="4" w:space="0" w:color="BFBFBF" w:themeColor="background1" w:themeShade="BF"/>
              <w:left w:val="nil"/>
              <w:bottom w:val="single" w:sz="4" w:space="0" w:color="BFBFBF" w:themeColor="background1" w:themeShade="BF"/>
              <w:right w:val="nil"/>
            </w:tcBorders>
          </w:tcPr>
          <w:p w14:paraId="1B434637" w14:textId="50D67115" w:rsidR="00CE40AF" w:rsidRPr="00F93BC7" w:rsidRDefault="00CE40AF" w:rsidP="00F93BC7">
            <w:pPr>
              <w:pStyle w:val="TableText"/>
              <w:spacing w:before="40" w:after="40"/>
              <w:ind w:left="57" w:right="57"/>
              <w:jc w:val="right"/>
              <w:rPr>
                <w:rFonts w:cs="Segoe UI"/>
                <w:b/>
                <w:bCs/>
                <w:sz w:val="16"/>
                <w:szCs w:val="16"/>
              </w:rPr>
            </w:pPr>
            <w:r w:rsidRPr="00F93BC7">
              <w:rPr>
                <w:rFonts w:cs="Segoe UI"/>
                <w:b/>
                <w:bCs/>
                <w:sz w:val="16"/>
                <w:szCs w:val="16"/>
              </w:rPr>
              <w:t>10,975</w:t>
            </w:r>
          </w:p>
        </w:tc>
        <w:tc>
          <w:tcPr>
            <w:tcW w:w="1285" w:type="dxa"/>
            <w:tcBorders>
              <w:top w:val="single" w:sz="4" w:space="0" w:color="BFBFBF" w:themeColor="background1" w:themeShade="BF"/>
              <w:left w:val="nil"/>
              <w:bottom w:val="single" w:sz="4" w:space="0" w:color="BFBFBF" w:themeColor="background1" w:themeShade="BF"/>
              <w:right w:val="nil"/>
            </w:tcBorders>
          </w:tcPr>
          <w:p w14:paraId="7EE97E06" w14:textId="4DBD2232" w:rsidR="00CE40AF" w:rsidRPr="00F93BC7" w:rsidRDefault="00CE40AF" w:rsidP="00F93BC7">
            <w:pPr>
              <w:pStyle w:val="TableText"/>
              <w:spacing w:before="40" w:after="40"/>
              <w:ind w:left="57" w:right="57"/>
              <w:jc w:val="right"/>
              <w:rPr>
                <w:rFonts w:cs="Segoe UI"/>
                <w:b/>
                <w:bCs/>
                <w:sz w:val="16"/>
                <w:szCs w:val="16"/>
              </w:rPr>
            </w:pPr>
            <w:r w:rsidRPr="00F93BC7">
              <w:rPr>
                <w:rFonts w:cs="Segoe UI"/>
                <w:b/>
                <w:bCs/>
                <w:sz w:val="16"/>
                <w:szCs w:val="16"/>
              </w:rPr>
              <w:t>15,543</w:t>
            </w:r>
          </w:p>
        </w:tc>
        <w:tc>
          <w:tcPr>
            <w:tcW w:w="1395" w:type="dxa"/>
            <w:tcBorders>
              <w:top w:val="single" w:sz="4" w:space="0" w:color="BFBFBF" w:themeColor="background1" w:themeShade="BF"/>
              <w:left w:val="nil"/>
              <w:bottom w:val="single" w:sz="4" w:space="0" w:color="BFBFBF" w:themeColor="background1" w:themeShade="BF"/>
              <w:right w:val="nil"/>
            </w:tcBorders>
          </w:tcPr>
          <w:p w14:paraId="5E94A869" w14:textId="6BD5C3C2" w:rsidR="00CE40AF" w:rsidRPr="00F93BC7" w:rsidRDefault="00CE40AF" w:rsidP="00F93BC7">
            <w:pPr>
              <w:pStyle w:val="TableText"/>
              <w:spacing w:before="40" w:after="40"/>
              <w:ind w:left="57" w:right="57"/>
              <w:jc w:val="right"/>
              <w:rPr>
                <w:rFonts w:cs="Segoe UI"/>
                <w:b/>
                <w:bCs/>
                <w:sz w:val="16"/>
                <w:szCs w:val="16"/>
              </w:rPr>
            </w:pPr>
            <w:r w:rsidRPr="00F93BC7">
              <w:rPr>
                <w:rFonts w:cs="Segoe UI"/>
                <w:b/>
                <w:bCs/>
                <w:sz w:val="16"/>
                <w:szCs w:val="16"/>
              </w:rPr>
              <w:t>8,491</w:t>
            </w:r>
          </w:p>
        </w:tc>
      </w:tr>
      <w:tr w:rsidR="00CE40AF" w:rsidRPr="00F93BC7" w14:paraId="27075A18" w14:textId="77777777" w:rsidTr="00CE40AF">
        <w:trPr>
          <w:trHeight w:val="362"/>
        </w:trPr>
        <w:tc>
          <w:tcPr>
            <w:tcW w:w="1275" w:type="dxa"/>
            <w:tcBorders>
              <w:top w:val="single" w:sz="4" w:space="0" w:color="BFBFBF" w:themeColor="background1" w:themeShade="BF"/>
              <w:left w:val="nil"/>
              <w:bottom w:val="single" w:sz="4" w:space="0" w:color="BFBFBF" w:themeColor="background1" w:themeShade="BF"/>
              <w:right w:val="nil"/>
            </w:tcBorders>
          </w:tcPr>
          <w:p w14:paraId="486A3590" w14:textId="28FC0730" w:rsidR="00CE40AF" w:rsidRPr="00F93BC7" w:rsidRDefault="00CE40AF" w:rsidP="00F93BC7">
            <w:pPr>
              <w:pStyle w:val="TableText"/>
              <w:spacing w:before="40" w:after="40"/>
              <w:ind w:left="57" w:right="170"/>
              <w:jc w:val="right"/>
              <w:rPr>
                <w:rFonts w:cs="Segoe UI"/>
                <w:b/>
                <w:bCs/>
                <w:sz w:val="16"/>
                <w:szCs w:val="16"/>
              </w:rPr>
            </w:pPr>
            <w:r w:rsidRPr="00F93BC7">
              <w:rPr>
                <w:rFonts w:cs="Segoe UI"/>
                <w:b/>
                <w:bCs/>
                <w:sz w:val="16"/>
                <w:szCs w:val="16"/>
              </w:rPr>
              <w:t>80,218</w:t>
            </w:r>
          </w:p>
        </w:tc>
        <w:tc>
          <w:tcPr>
            <w:tcW w:w="2411" w:type="dxa"/>
            <w:tcBorders>
              <w:top w:val="single" w:sz="4" w:space="0" w:color="BFBFBF" w:themeColor="background1" w:themeShade="BF"/>
              <w:left w:val="nil"/>
              <w:bottom w:val="single" w:sz="4" w:space="0" w:color="BFBFBF" w:themeColor="background1" w:themeShade="BF"/>
              <w:right w:val="nil"/>
            </w:tcBorders>
          </w:tcPr>
          <w:p w14:paraId="2D95B4C6" w14:textId="4BA3B23C" w:rsidR="00CE40AF" w:rsidRPr="00F93BC7" w:rsidRDefault="00CE40AF" w:rsidP="00F93BC7">
            <w:pPr>
              <w:pStyle w:val="TableText"/>
              <w:spacing w:before="40" w:after="40"/>
              <w:ind w:left="57"/>
              <w:rPr>
                <w:b/>
                <w:bCs/>
                <w:sz w:val="16"/>
                <w:szCs w:val="18"/>
              </w:rPr>
            </w:pPr>
            <w:r w:rsidRPr="00F93BC7">
              <w:rPr>
                <w:b/>
                <w:bCs/>
                <w:sz w:val="16"/>
                <w:szCs w:val="18"/>
              </w:rPr>
              <w:t>Total assets</w:t>
            </w:r>
          </w:p>
        </w:tc>
        <w:tc>
          <w:tcPr>
            <w:tcW w:w="567" w:type="dxa"/>
            <w:tcBorders>
              <w:top w:val="single" w:sz="4" w:space="0" w:color="BFBFBF" w:themeColor="background1" w:themeShade="BF"/>
              <w:left w:val="nil"/>
              <w:bottom w:val="single" w:sz="4" w:space="0" w:color="BFBFBF" w:themeColor="background1" w:themeShade="BF"/>
              <w:right w:val="nil"/>
            </w:tcBorders>
          </w:tcPr>
          <w:p w14:paraId="6344D323" w14:textId="77777777" w:rsidR="00CE40AF" w:rsidRPr="00F93BC7" w:rsidRDefault="00CE40AF" w:rsidP="00F93BC7">
            <w:pPr>
              <w:pStyle w:val="TableText"/>
              <w:spacing w:before="40" w:after="40"/>
              <w:ind w:left="57" w:right="57"/>
              <w:jc w:val="right"/>
              <w:rPr>
                <w:rFonts w:cs="Segoe UI"/>
                <w:b/>
                <w:bCs/>
                <w:sz w:val="16"/>
                <w:szCs w:val="16"/>
              </w:rPr>
            </w:pPr>
          </w:p>
        </w:tc>
        <w:tc>
          <w:tcPr>
            <w:tcW w:w="1147" w:type="dxa"/>
            <w:tcBorders>
              <w:top w:val="single" w:sz="4" w:space="0" w:color="BFBFBF" w:themeColor="background1" w:themeShade="BF"/>
              <w:left w:val="nil"/>
              <w:bottom w:val="single" w:sz="4" w:space="0" w:color="BFBFBF" w:themeColor="background1" w:themeShade="BF"/>
              <w:right w:val="nil"/>
            </w:tcBorders>
          </w:tcPr>
          <w:p w14:paraId="6264E34B" w14:textId="02C3E364" w:rsidR="00CE40AF" w:rsidRPr="00F93BC7" w:rsidRDefault="00CE40AF" w:rsidP="00F93BC7">
            <w:pPr>
              <w:pStyle w:val="TableText"/>
              <w:spacing w:before="40" w:after="40"/>
              <w:ind w:left="57" w:right="57"/>
              <w:jc w:val="right"/>
              <w:rPr>
                <w:rFonts w:cs="Segoe UI"/>
                <w:b/>
                <w:bCs/>
                <w:sz w:val="16"/>
                <w:szCs w:val="16"/>
              </w:rPr>
            </w:pPr>
            <w:r w:rsidRPr="00F93BC7">
              <w:rPr>
                <w:rFonts w:cs="Segoe UI"/>
                <w:b/>
                <w:bCs/>
                <w:sz w:val="16"/>
                <w:szCs w:val="16"/>
              </w:rPr>
              <w:t>78,856</w:t>
            </w:r>
          </w:p>
        </w:tc>
        <w:tc>
          <w:tcPr>
            <w:tcW w:w="1285" w:type="dxa"/>
            <w:tcBorders>
              <w:top w:val="single" w:sz="4" w:space="0" w:color="BFBFBF" w:themeColor="background1" w:themeShade="BF"/>
              <w:left w:val="nil"/>
              <w:bottom w:val="single" w:sz="4" w:space="0" w:color="BFBFBF" w:themeColor="background1" w:themeShade="BF"/>
              <w:right w:val="nil"/>
            </w:tcBorders>
          </w:tcPr>
          <w:p w14:paraId="53709E92" w14:textId="2FF714D3" w:rsidR="00CE40AF" w:rsidRPr="00F93BC7" w:rsidRDefault="00CE40AF" w:rsidP="00F93BC7">
            <w:pPr>
              <w:pStyle w:val="TableText"/>
              <w:spacing w:before="40" w:after="40"/>
              <w:ind w:left="57" w:right="57"/>
              <w:jc w:val="right"/>
              <w:rPr>
                <w:rFonts w:cs="Segoe UI"/>
                <w:b/>
                <w:bCs/>
                <w:sz w:val="16"/>
                <w:szCs w:val="16"/>
              </w:rPr>
            </w:pPr>
            <w:r w:rsidRPr="00F93BC7">
              <w:rPr>
                <w:rFonts w:cs="Segoe UI"/>
                <w:b/>
                <w:bCs/>
                <w:sz w:val="16"/>
                <w:szCs w:val="16"/>
              </w:rPr>
              <w:t>55,366</w:t>
            </w:r>
          </w:p>
        </w:tc>
        <w:tc>
          <w:tcPr>
            <w:tcW w:w="1395" w:type="dxa"/>
            <w:tcBorders>
              <w:top w:val="single" w:sz="4" w:space="0" w:color="BFBFBF" w:themeColor="background1" w:themeShade="BF"/>
              <w:left w:val="nil"/>
              <w:bottom w:val="single" w:sz="4" w:space="0" w:color="BFBFBF" w:themeColor="background1" w:themeShade="BF"/>
              <w:right w:val="nil"/>
            </w:tcBorders>
          </w:tcPr>
          <w:p w14:paraId="22801737" w14:textId="34E69D8D" w:rsidR="00CE40AF" w:rsidRPr="00F93BC7" w:rsidRDefault="00CE40AF" w:rsidP="00F93BC7">
            <w:pPr>
              <w:pStyle w:val="TableText"/>
              <w:spacing w:before="40" w:after="40"/>
              <w:ind w:left="57" w:right="57"/>
              <w:jc w:val="right"/>
              <w:rPr>
                <w:rFonts w:cs="Segoe UI"/>
                <w:b/>
                <w:bCs/>
                <w:sz w:val="16"/>
                <w:szCs w:val="16"/>
              </w:rPr>
            </w:pPr>
            <w:r w:rsidRPr="00F93BC7">
              <w:rPr>
                <w:rFonts w:cs="Segoe UI"/>
                <w:b/>
                <w:bCs/>
                <w:sz w:val="16"/>
                <w:szCs w:val="16"/>
              </w:rPr>
              <w:t>30,966</w:t>
            </w:r>
          </w:p>
        </w:tc>
      </w:tr>
      <w:tr w:rsidR="00CE40AF" w:rsidRPr="00F93BC7" w14:paraId="4E26B763" w14:textId="77777777" w:rsidTr="00F93BC7">
        <w:trPr>
          <w:trHeight w:val="362"/>
        </w:trPr>
        <w:tc>
          <w:tcPr>
            <w:tcW w:w="1275" w:type="dxa"/>
            <w:tcBorders>
              <w:top w:val="single" w:sz="4" w:space="0" w:color="BFBFBF" w:themeColor="background1" w:themeShade="BF"/>
              <w:left w:val="nil"/>
              <w:right w:val="nil"/>
            </w:tcBorders>
          </w:tcPr>
          <w:p w14:paraId="74C2364A" w14:textId="77777777" w:rsidR="00CE40AF" w:rsidRPr="00F93BC7" w:rsidRDefault="00CE40AF" w:rsidP="00F93BC7">
            <w:pPr>
              <w:pStyle w:val="TableText"/>
              <w:spacing w:before="40" w:after="40"/>
              <w:ind w:left="57" w:right="170"/>
              <w:jc w:val="right"/>
              <w:rPr>
                <w:rFonts w:cs="Segoe UI"/>
                <w:b/>
                <w:bCs/>
                <w:sz w:val="16"/>
                <w:szCs w:val="16"/>
              </w:rPr>
            </w:pPr>
          </w:p>
        </w:tc>
        <w:tc>
          <w:tcPr>
            <w:tcW w:w="2411" w:type="dxa"/>
            <w:tcBorders>
              <w:top w:val="single" w:sz="4" w:space="0" w:color="BFBFBF" w:themeColor="background1" w:themeShade="BF"/>
              <w:left w:val="nil"/>
              <w:right w:val="nil"/>
            </w:tcBorders>
          </w:tcPr>
          <w:p w14:paraId="59A9A559" w14:textId="61F97CFD" w:rsidR="00CE40AF" w:rsidRPr="00F93BC7" w:rsidRDefault="00CE40AF" w:rsidP="00F93BC7">
            <w:pPr>
              <w:pStyle w:val="TableText"/>
              <w:spacing w:before="40" w:after="40"/>
              <w:ind w:left="57"/>
              <w:rPr>
                <w:b/>
                <w:bCs/>
                <w:sz w:val="16"/>
                <w:szCs w:val="18"/>
              </w:rPr>
            </w:pPr>
            <w:r w:rsidRPr="00F93BC7">
              <w:rPr>
                <w:b/>
                <w:bCs/>
                <w:sz w:val="16"/>
                <w:szCs w:val="18"/>
              </w:rPr>
              <w:t>Liabilities</w:t>
            </w:r>
          </w:p>
        </w:tc>
        <w:tc>
          <w:tcPr>
            <w:tcW w:w="567" w:type="dxa"/>
            <w:tcBorders>
              <w:top w:val="single" w:sz="4" w:space="0" w:color="BFBFBF" w:themeColor="background1" w:themeShade="BF"/>
              <w:left w:val="nil"/>
              <w:right w:val="nil"/>
            </w:tcBorders>
          </w:tcPr>
          <w:p w14:paraId="5C3939E5" w14:textId="77777777" w:rsidR="00CE40AF" w:rsidRPr="00F93BC7" w:rsidRDefault="00CE40AF" w:rsidP="00F93BC7">
            <w:pPr>
              <w:pStyle w:val="TableText"/>
              <w:spacing w:before="40" w:after="40"/>
              <w:ind w:left="57" w:right="57"/>
              <w:jc w:val="right"/>
              <w:rPr>
                <w:rFonts w:cs="Segoe UI"/>
                <w:b/>
                <w:bCs/>
                <w:sz w:val="16"/>
                <w:szCs w:val="16"/>
              </w:rPr>
            </w:pPr>
          </w:p>
        </w:tc>
        <w:tc>
          <w:tcPr>
            <w:tcW w:w="1147" w:type="dxa"/>
            <w:tcBorders>
              <w:top w:val="single" w:sz="4" w:space="0" w:color="BFBFBF" w:themeColor="background1" w:themeShade="BF"/>
              <w:left w:val="nil"/>
              <w:right w:val="nil"/>
            </w:tcBorders>
          </w:tcPr>
          <w:p w14:paraId="1A6EFBFB" w14:textId="77777777" w:rsidR="00CE40AF" w:rsidRPr="00F93BC7" w:rsidRDefault="00CE40AF" w:rsidP="00F93BC7">
            <w:pPr>
              <w:pStyle w:val="TableText"/>
              <w:spacing w:before="40" w:after="40"/>
              <w:ind w:left="57" w:right="57"/>
              <w:jc w:val="right"/>
              <w:rPr>
                <w:rFonts w:cs="Segoe UI"/>
                <w:b/>
                <w:bCs/>
                <w:sz w:val="16"/>
                <w:szCs w:val="16"/>
              </w:rPr>
            </w:pPr>
          </w:p>
        </w:tc>
        <w:tc>
          <w:tcPr>
            <w:tcW w:w="1285" w:type="dxa"/>
            <w:tcBorders>
              <w:top w:val="single" w:sz="4" w:space="0" w:color="BFBFBF" w:themeColor="background1" w:themeShade="BF"/>
              <w:left w:val="nil"/>
              <w:right w:val="nil"/>
            </w:tcBorders>
          </w:tcPr>
          <w:p w14:paraId="2EC59457" w14:textId="77777777" w:rsidR="00CE40AF" w:rsidRPr="00F93BC7" w:rsidRDefault="00CE40AF" w:rsidP="00F93BC7">
            <w:pPr>
              <w:pStyle w:val="TableText"/>
              <w:spacing w:before="40" w:after="40"/>
              <w:ind w:left="57" w:right="57"/>
              <w:jc w:val="right"/>
              <w:rPr>
                <w:rFonts w:cs="Segoe UI"/>
                <w:b/>
                <w:bCs/>
                <w:sz w:val="16"/>
                <w:szCs w:val="16"/>
              </w:rPr>
            </w:pPr>
          </w:p>
        </w:tc>
        <w:tc>
          <w:tcPr>
            <w:tcW w:w="1395" w:type="dxa"/>
            <w:tcBorders>
              <w:top w:val="single" w:sz="4" w:space="0" w:color="BFBFBF" w:themeColor="background1" w:themeShade="BF"/>
              <w:left w:val="nil"/>
              <w:right w:val="nil"/>
            </w:tcBorders>
          </w:tcPr>
          <w:p w14:paraId="6CD8A45F" w14:textId="77777777" w:rsidR="00CE40AF" w:rsidRPr="00F93BC7" w:rsidRDefault="00CE40AF" w:rsidP="00F93BC7">
            <w:pPr>
              <w:pStyle w:val="TableText"/>
              <w:spacing w:before="40" w:after="40"/>
              <w:ind w:left="57" w:right="57"/>
              <w:jc w:val="right"/>
              <w:rPr>
                <w:rFonts w:cs="Segoe UI"/>
                <w:b/>
                <w:bCs/>
                <w:sz w:val="16"/>
                <w:szCs w:val="16"/>
              </w:rPr>
            </w:pPr>
          </w:p>
        </w:tc>
      </w:tr>
      <w:tr w:rsidR="00CE40AF" w:rsidRPr="00F93BC7" w14:paraId="257FB31D" w14:textId="77777777" w:rsidTr="00F93BC7">
        <w:trPr>
          <w:trHeight w:val="362"/>
        </w:trPr>
        <w:tc>
          <w:tcPr>
            <w:tcW w:w="1275" w:type="dxa"/>
            <w:tcBorders>
              <w:left w:val="nil"/>
              <w:right w:val="nil"/>
            </w:tcBorders>
          </w:tcPr>
          <w:p w14:paraId="68925A6C" w14:textId="77777777" w:rsidR="00CE40AF" w:rsidRPr="00F93BC7" w:rsidRDefault="00CE40AF" w:rsidP="00F93BC7">
            <w:pPr>
              <w:pStyle w:val="TableText"/>
              <w:spacing w:before="40" w:after="40"/>
              <w:ind w:left="57" w:right="170"/>
              <w:jc w:val="right"/>
              <w:rPr>
                <w:rFonts w:cs="Segoe UI"/>
                <w:b/>
                <w:bCs/>
                <w:sz w:val="16"/>
                <w:szCs w:val="16"/>
              </w:rPr>
            </w:pPr>
          </w:p>
        </w:tc>
        <w:tc>
          <w:tcPr>
            <w:tcW w:w="2411" w:type="dxa"/>
            <w:tcBorders>
              <w:left w:val="nil"/>
              <w:right w:val="nil"/>
            </w:tcBorders>
          </w:tcPr>
          <w:p w14:paraId="51A3CDE1" w14:textId="3B3CE3E8" w:rsidR="00CE40AF" w:rsidRPr="00F93BC7" w:rsidRDefault="00CE40AF" w:rsidP="00F93BC7">
            <w:pPr>
              <w:pStyle w:val="TableText"/>
              <w:spacing w:before="40" w:after="40"/>
              <w:ind w:left="57"/>
              <w:rPr>
                <w:b/>
                <w:bCs/>
                <w:sz w:val="16"/>
                <w:szCs w:val="18"/>
              </w:rPr>
            </w:pPr>
            <w:r w:rsidRPr="00F93BC7">
              <w:rPr>
                <w:b/>
                <w:bCs/>
                <w:sz w:val="16"/>
                <w:szCs w:val="18"/>
              </w:rPr>
              <w:t>Current liabilities</w:t>
            </w:r>
          </w:p>
        </w:tc>
        <w:tc>
          <w:tcPr>
            <w:tcW w:w="567" w:type="dxa"/>
            <w:tcBorders>
              <w:left w:val="nil"/>
              <w:right w:val="nil"/>
            </w:tcBorders>
          </w:tcPr>
          <w:p w14:paraId="141E191E" w14:textId="77777777" w:rsidR="00CE40AF" w:rsidRPr="00F93BC7" w:rsidRDefault="00CE40AF" w:rsidP="00F93BC7">
            <w:pPr>
              <w:pStyle w:val="TableText"/>
              <w:spacing w:before="40" w:after="40"/>
              <w:ind w:left="57" w:right="57"/>
              <w:jc w:val="right"/>
              <w:rPr>
                <w:rFonts w:cs="Segoe UI"/>
                <w:b/>
                <w:bCs/>
                <w:sz w:val="16"/>
                <w:szCs w:val="16"/>
              </w:rPr>
            </w:pPr>
          </w:p>
        </w:tc>
        <w:tc>
          <w:tcPr>
            <w:tcW w:w="1147" w:type="dxa"/>
            <w:tcBorders>
              <w:left w:val="nil"/>
              <w:right w:val="nil"/>
            </w:tcBorders>
          </w:tcPr>
          <w:p w14:paraId="61B64859" w14:textId="77777777" w:rsidR="00CE40AF" w:rsidRPr="00F93BC7" w:rsidRDefault="00CE40AF" w:rsidP="00F93BC7">
            <w:pPr>
              <w:pStyle w:val="TableText"/>
              <w:spacing w:before="40" w:after="40"/>
              <w:ind w:left="57" w:right="57"/>
              <w:jc w:val="right"/>
              <w:rPr>
                <w:rFonts w:cs="Segoe UI"/>
                <w:b/>
                <w:bCs/>
                <w:sz w:val="16"/>
                <w:szCs w:val="16"/>
              </w:rPr>
            </w:pPr>
          </w:p>
        </w:tc>
        <w:tc>
          <w:tcPr>
            <w:tcW w:w="1285" w:type="dxa"/>
            <w:tcBorders>
              <w:left w:val="nil"/>
              <w:right w:val="nil"/>
            </w:tcBorders>
          </w:tcPr>
          <w:p w14:paraId="29025DDE" w14:textId="77777777" w:rsidR="00CE40AF" w:rsidRPr="00F93BC7" w:rsidRDefault="00CE40AF" w:rsidP="00F93BC7">
            <w:pPr>
              <w:pStyle w:val="TableText"/>
              <w:spacing w:before="40" w:after="40"/>
              <w:ind w:left="57" w:right="57"/>
              <w:jc w:val="right"/>
              <w:rPr>
                <w:rFonts w:cs="Segoe UI"/>
                <w:b/>
                <w:bCs/>
                <w:sz w:val="16"/>
                <w:szCs w:val="16"/>
              </w:rPr>
            </w:pPr>
          </w:p>
        </w:tc>
        <w:tc>
          <w:tcPr>
            <w:tcW w:w="1395" w:type="dxa"/>
            <w:tcBorders>
              <w:left w:val="nil"/>
              <w:right w:val="nil"/>
            </w:tcBorders>
          </w:tcPr>
          <w:p w14:paraId="5AD7D7D3" w14:textId="77777777" w:rsidR="00CE40AF" w:rsidRPr="00F93BC7" w:rsidRDefault="00CE40AF" w:rsidP="00F93BC7">
            <w:pPr>
              <w:pStyle w:val="TableText"/>
              <w:spacing w:before="40" w:after="40"/>
              <w:ind w:left="57" w:right="57"/>
              <w:jc w:val="right"/>
              <w:rPr>
                <w:rFonts w:cs="Segoe UI"/>
                <w:b/>
                <w:bCs/>
                <w:sz w:val="16"/>
                <w:szCs w:val="16"/>
              </w:rPr>
            </w:pPr>
          </w:p>
        </w:tc>
      </w:tr>
      <w:tr w:rsidR="00CE40AF" w14:paraId="5EA33EA4" w14:textId="77777777" w:rsidTr="00F93BC7">
        <w:trPr>
          <w:trHeight w:val="362"/>
        </w:trPr>
        <w:tc>
          <w:tcPr>
            <w:tcW w:w="1275" w:type="dxa"/>
            <w:tcBorders>
              <w:left w:val="nil"/>
              <w:right w:val="nil"/>
            </w:tcBorders>
          </w:tcPr>
          <w:p w14:paraId="3D2DEA87" w14:textId="67AC7C6D" w:rsidR="00CE40AF" w:rsidRDefault="00CE40AF" w:rsidP="00F93BC7">
            <w:pPr>
              <w:pStyle w:val="TableText"/>
              <w:spacing w:before="40" w:after="40"/>
              <w:ind w:left="57" w:right="170"/>
              <w:jc w:val="right"/>
              <w:rPr>
                <w:rFonts w:cs="Segoe UI"/>
                <w:sz w:val="16"/>
                <w:szCs w:val="16"/>
              </w:rPr>
            </w:pPr>
            <w:r w:rsidRPr="00F93BC7">
              <w:rPr>
                <w:rFonts w:cs="Segoe UI"/>
                <w:sz w:val="16"/>
                <w:szCs w:val="16"/>
              </w:rPr>
              <w:t>29,974</w:t>
            </w:r>
          </w:p>
        </w:tc>
        <w:tc>
          <w:tcPr>
            <w:tcW w:w="2411" w:type="dxa"/>
            <w:tcBorders>
              <w:left w:val="nil"/>
              <w:right w:val="nil"/>
            </w:tcBorders>
          </w:tcPr>
          <w:p w14:paraId="258B24F8" w14:textId="2A0007A3" w:rsidR="00CE40AF" w:rsidRPr="00CE40AF" w:rsidRDefault="00CE40AF" w:rsidP="00F93BC7">
            <w:pPr>
              <w:pStyle w:val="TableText"/>
              <w:spacing w:before="40" w:after="40"/>
              <w:ind w:left="57"/>
              <w:rPr>
                <w:sz w:val="16"/>
                <w:szCs w:val="18"/>
              </w:rPr>
            </w:pPr>
            <w:r w:rsidRPr="00CE40AF">
              <w:rPr>
                <w:sz w:val="16"/>
                <w:szCs w:val="18"/>
              </w:rPr>
              <w:t>Payables</w:t>
            </w:r>
          </w:p>
        </w:tc>
        <w:tc>
          <w:tcPr>
            <w:tcW w:w="567" w:type="dxa"/>
            <w:tcBorders>
              <w:left w:val="nil"/>
              <w:right w:val="nil"/>
            </w:tcBorders>
          </w:tcPr>
          <w:p w14:paraId="66161575" w14:textId="0E36EBDD" w:rsidR="00CE40AF" w:rsidRDefault="00CE40AF" w:rsidP="00F93BC7">
            <w:pPr>
              <w:pStyle w:val="TableText"/>
              <w:spacing w:before="40" w:after="40"/>
              <w:ind w:left="57" w:right="57"/>
              <w:jc w:val="right"/>
              <w:rPr>
                <w:rFonts w:cs="Segoe UI"/>
                <w:sz w:val="16"/>
                <w:szCs w:val="16"/>
              </w:rPr>
            </w:pPr>
            <w:r w:rsidRPr="00F93BC7">
              <w:rPr>
                <w:rFonts w:cs="Segoe UI"/>
                <w:sz w:val="16"/>
                <w:szCs w:val="16"/>
              </w:rPr>
              <w:t>9</w:t>
            </w:r>
          </w:p>
        </w:tc>
        <w:tc>
          <w:tcPr>
            <w:tcW w:w="1147" w:type="dxa"/>
            <w:tcBorders>
              <w:left w:val="nil"/>
              <w:right w:val="nil"/>
            </w:tcBorders>
          </w:tcPr>
          <w:p w14:paraId="784221C3" w14:textId="6C033541" w:rsidR="00CE40AF" w:rsidRDefault="00CE40AF" w:rsidP="00F93BC7">
            <w:pPr>
              <w:pStyle w:val="TableText"/>
              <w:spacing w:before="40" w:after="40"/>
              <w:ind w:left="57" w:right="57"/>
              <w:jc w:val="right"/>
              <w:rPr>
                <w:rFonts w:cs="Segoe UI"/>
                <w:sz w:val="16"/>
                <w:szCs w:val="16"/>
              </w:rPr>
            </w:pPr>
            <w:r w:rsidRPr="00F93BC7">
              <w:rPr>
                <w:rFonts w:cs="Segoe UI"/>
                <w:sz w:val="16"/>
                <w:szCs w:val="16"/>
              </w:rPr>
              <w:t>39,766</w:t>
            </w:r>
          </w:p>
        </w:tc>
        <w:tc>
          <w:tcPr>
            <w:tcW w:w="1285" w:type="dxa"/>
            <w:tcBorders>
              <w:left w:val="nil"/>
              <w:right w:val="nil"/>
            </w:tcBorders>
          </w:tcPr>
          <w:p w14:paraId="1C162423" w14:textId="521EF2C0" w:rsidR="00CE40AF" w:rsidRDefault="00CE40AF" w:rsidP="00F93BC7">
            <w:pPr>
              <w:pStyle w:val="TableText"/>
              <w:spacing w:before="40" w:after="40"/>
              <w:ind w:left="57" w:right="57"/>
              <w:jc w:val="right"/>
              <w:rPr>
                <w:rFonts w:cs="Segoe UI"/>
                <w:sz w:val="16"/>
                <w:szCs w:val="16"/>
              </w:rPr>
            </w:pPr>
            <w:r w:rsidRPr="00F93BC7">
              <w:rPr>
                <w:rFonts w:cs="Segoe UI"/>
                <w:sz w:val="16"/>
                <w:szCs w:val="16"/>
              </w:rPr>
              <w:t>40,020</w:t>
            </w:r>
          </w:p>
        </w:tc>
        <w:tc>
          <w:tcPr>
            <w:tcW w:w="1395" w:type="dxa"/>
            <w:tcBorders>
              <w:left w:val="nil"/>
              <w:right w:val="nil"/>
            </w:tcBorders>
          </w:tcPr>
          <w:p w14:paraId="18751494" w14:textId="08539E93" w:rsidR="00CE40AF" w:rsidRDefault="00CE40AF" w:rsidP="00F93BC7">
            <w:pPr>
              <w:pStyle w:val="TableText"/>
              <w:spacing w:before="40" w:after="40"/>
              <w:ind w:left="57" w:right="57"/>
              <w:jc w:val="right"/>
              <w:rPr>
                <w:rFonts w:cs="Segoe UI"/>
                <w:sz w:val="16"/>
                <w:szCs w:val="16"/>
              </w:rPr>
            </w:pPr>
            <w:r w:rsidRPr="00F93BC7">
              <w:rPr>
                <w:rFonts w:cs="Segoe UI"/>
                <w:sz w:val="16"/>
                <w:szCs w:val="16"/>
              </w:rPr>
              <w:t>17,000</w:t>
            </w:r>
          </w:p>
        </w:tc>
      </w:tr>
      <w:tr w:rsidR="00CE40AF" w14:paraId="507DFB8B" w14:textId="77777777" w:rsidTr="00F93BC7">
        <w:trPr>
          <w:trHeight w:val="362"/>
        </w:trPr>
        <w:tc>
          <w:tcPr>
            <w:tcW w:w="1275" w:type="dxa"/>
            <w:tcBorders>
              <w:left w:val="nil"/>
              <w:right w:val="nil"/>
            </w:tcBorders>
          </w:tcPr>
          <w:p w14:paraId="1BC02A8C" w14:textId="5F2E4015" w:rsidR="00CE40AF" w:rsidRDefault="00CE40AF" w:rsidP="00F93BC7">
            <w:pPr>
              <w:pStyle w:val="TableText"/>
              <w:spacing w:before="40" w:after="40"/>
              <w:ind w:left="57" w:right="170"/>
              <w:jc w:val="right"/>
              <w:rPr>
                <w:rFonts w:cs="Segoe UI"/>
                <w:sz w:val="16"/>
                <w:szCs w:val="16"/>
              </w:rPr>
            </w:pPr>
            <w:r w:rsidRPr="00F93BC7">
              <w:rPr>
                <w:rFonts w:cs="Segoe UI"/>
                <w:sz w:val="16"/>
                <w:szCs w:val="16"/>
              </w:rPr>
              <w:t>34,129</w:t>
            </w:r>
          </w:p>
        </w:tc>
        <w:tc>
          <w:tcPr>
            <w:tcW w:w="2411" w:type="dxa"/>
            <w:tcBorders>
              <w:left w:val="nil"/>
              <w:right w:val="nil"/>
            </w:tcBorders>
          </w:tcPr>
          <w:p w14:paraId="362D0ED5" w14:textId="5E31AF36" w:rsidR="00CE40AF" w:rsidRPr="00CE40AF" w:rsidRDefault="00CE40AF" w:rsidP="00F93BC7">
            <w:pPr>
              <w:pStyle w:val="TableText"/>
              <w:spacing w:before="40" w:after="40"/>
              <w:ind w:left="57"/>
              <w:rPr>
                <w:sz w:val="16"/>
                <w:szCs w:val="18"/>
              </w:rPr>
            </w:pPr>
            <w:r w:rsidRPr="00CE40AF">
              <w:rPr>
                <w:sz w:val="16"/>
                <w:szCs w:val="18"/>
              </w:rPr>
              <w:t>Return of operating surplus</w:t>
            </w:r>
          </w:p>
        </w:tc>
        <w:tc>
          <w:tcPr>
            <w:tcW w:w="567" w:type="dxa"/>
            <w:tcBorders>
              <w:left w:val="nil"/>
              <w:right w:val="nil"/>
            </w:tcBorders>
          </w:tcPr>
          <w:p w14:paraId="799ED046" w14:textId="0AF71352" w:rsidR="00CE40AF" w:rsidRDefault="00CE40AF" w:rsidP="00F93BC7">
            <w:pPr>
              <w:pStyle w:val="TableText"/>
              <w:spacing w:before="40" w:after="40"/>
              <w:ind w:left="57" w:right="57"/>
              <w:jc w:val="right"/>
              <w:rPr>
                <w:rFonts w:cs="Segoe UI"/>
                <w:sz w:val="16"/>
                <w:szCs w:val="16"/>
              </w:rPr>
            </w:pPr>
            <w:r w:rsidRPr="00F93BC7">
              <w:rPr>
                <w:rFonts w:cs="Segoe UI"/>
                <w:sz w:val="16"/>
                <w:szCs w:val="16"/>
              </w:rPr>
              <w:t>10</w:t>
            </w:r>
          </w:p>
        </w:tc>
        <w:tc>
          <w:tcPr>
            <w:tcW w:w="1147" w:type="dxa"/>
            <w:tcBorders>
              <w:left w:val="nil"/>
              <w:right w:val="nil"/>
            </w:tcBorders>
          </w:tcPr>
          <w:p w14:paraId="5CA917E5" w14:textId="43ACE0D1" w:rsidR="00CE40AF" w:rsidRDefault="00CE40AF" w:rsidP="00F93BC7">
            <w:pPr>
              <w:pStyle w:val="TableText"/>
              <w:spacing w:before="40" w:after="40"/>
              <w:ind w:left="57" w:right="57"/>
              <w:jc w:val="right"/>
              <w:rPr>
                <w:rFonts w:cs="Segoe UI"/>
                <w:sz w:val="16"/>
                <w:szCs w:val="16"/>
              </w:rPr>
            </w:pPr>
            <w:r w:rsidRPr="00F93BC7">
              <w:rPr>
                <w:rFonts w:cs="Segoe UI"/>
                <w:sz w:val="16"/>
                <w:szCs w:val="16"/>
              </w:rPr>
              <w:t>15,343</w:t>
            </w:r>
          </w:p>
        </w:tc>
        <w:tc>
          <w:tcPr>
            <w:tcW w:w="1285" w:type="dxa"/>
            <w:tcBorders>
              <w:left w:val="nil"/>
              <w:right w:val="nil"/>
            </w:tcBorders>
          </w:tcPr>
          <w:p w14:paraId="5E069FCE" w14:textId="5A399C53" w:rsidR="00CE40AF" w:rsidRDefault="00CE40AF" w:rsidP="00F93BC7">
            <w:pPr>
              <w:pStyle w:val="TableText"/>
              <w:spacing w:before="40" w:after="40"/>
              <w:ind w:left="57" w:right="57"/>
              <w:jc w:val="right"/>
              <w:rPr>
                <w:rFonts w:cs="Segoe UI"/>
                <w:sz w:val="16"/>
                <w:szCs w:val="16"/>
              </w:rPr>
            </w:pPr>
            <w:r w:rsidRPr="00F93BC7">
              <w:rPr>
                <w:rFonts w:cs="Segoe UI"/>
                <w:sz w:val="16"/>
                <w:szCs w:val="16"/>
              </w:rPr>
              <w:t>–</w:t>
            </w:r>
          </w:p>
        </w:tc>
        <w:tc>
          <w:tcPr>
            <w:tcW w:w="1395" w:type="dxa"/>
            <w:tcBorders>
              <w:left w:val="nil"/>
              <w:right w:val="nil"/>
            </w:tcBorders>
          </w:tcPr>
          <w:p w14:paraId="3F2D8617" w14:textId="6F2EF34B" w:rsidR="00CE40AF" w:rsidRDefault="00CE40AF" w:rsidP="00F93BC7">
            <w:pPr>
              <w:pStyle w:val="TableText"/>
              <w:spacing w:before="40" w:after="40"/>
              <w:ind w:left="57" w:right="57"/>
              <w:jc w:val="right"/>
              <w:rPr>
                <w:rFonts w:cs="Segoe UI"/>
                <w:sz w:val="16"/>
                <w:szCs w:val="16"/>
              </w:rPr>
            </w:pPr>
            <w:r w:rsidRPr="00F93BC7">
              <w:rPr>
                <w:rFonts w:cs="Segoe UI"/>
                <w:sz w:val="16"/>
                <w:szCs w:val="16"/>
              </w:rPr>
              <w:t>–</w:t>
            </w:r>
          </w:p>
        </w:tc>
      </w:tr>
      <w:tr w:rsidR="00CE40AF" w14:paraId="5733789D" w14:textId="77777777" w:rsidTr="00F93BC7">
        <w:trPr>
          <w:trHeight w:val="362"/>
        </w:trPr>
        <w:tc>
          <w:tcPr>
            <w:tcW w:w="1275" w:type="dxa"/>
            <w:tcBorders>
              <w:left w:val="nil"/>
              <w:right w:val="nil"/>
            </w:tcBorders>
          </w:tcPr>
          <w:p w14:paraId="57C6A85C" w14:textId="0C5D4158" w:rsidR="00CE40AF" w:rsidRDefault="00CE40AF" w:rsidP="00F93BC7">
            <w:pPr>
              <w:pStyle w:val="TableText"/>
              <w:spacing w:before="40" w:after="40"/>
              <w:ind w:left="57" w:right="170"/>
              <w:jc w:val="right"/>
              <w:rPr>
                <w:rFonts w:cs="Segoe UI"/>
                <w:sz w:val="16"/>
                <w:szCs w:val="16"/>
              </w:rPr>
            </w:pPr>
            <w:r w:rsidRPr="00F93BC7">
              <w:rPr>
                <w:rFonts w:cs="Segoe UI"/>
                <w:sz w:val="16"/>
                <w:szCs w:val="16"/>
              </w:rPr>
              <w:t>–</w:t>
            </w:r>
          </w:p>
        </w:tc>
        <w:tc>
          <w:tcPr>
            <w:tcW w:w="2411" w:type="dxa"/>
            <w:tcBorders>
              <w:left w:val="nil"/>
              <w:right w:val="nil"/>
            </w:tcBorders>
          </w:tcPr>
          <w:p w14:paraId="7B35BFF0" w14:textId="331B90E5" w:rsidR="00CE40AF" w:rsidRPr="00CE40AF" w:rsidRDefault="00CE40AF" w:rsidP="00F93BC7">
            <w:pPr>
              <w:pStyle w:val="TableText"/>
              <w:spacing w:before="40" w:after="40"/>
              <w:ind w:left="57"/>
              <w:rPr>
                <w:sz w:val="16"/>
                <w:szCs w:val="18"/>
              </w:rPr>
            </w:pPr>
            <w:r w:rsidRPr="00CE40AF">
              <w:rPr>
                <w:sz w:val="16"/>
                <w:szCs w:val="18"/>
              </w:rPr>
              <w:t>Provisions</w:t>
            </w:r>
          </w:p>
        </w:tc>
        <w:tc>
          <w:tcPr>
            <w:tcW w:w="567" w:type="dxa"/>
            <w:tcBorders>
              <w:left w:val="nil"/>
              <w:right w:val="nil"/>
            </w:tcBorders>
          </w:tcPr>
          <w:p w14:paraId="58115751" w14:textId="77386799" w:rsidR="00CE40AF" w:rsidRDefault="00CE40AF" w:rsidP="00F93BC7">
            <w:pPr>
              <w:pStyle w:val="TableText"/>
              <w:spacing w:before="40" w:after="40"/>
              <w:ind w:left="57" w:right="57"/>
              <w:jc w:val="right"/>
              <w:rPr>
                <w:rFonts w:cs="Segoe UI"/>
                <w:sz w:val="16"/>
                <w:szCs w:val="16"/>
              </w:rPr>
            </w:pPr>
            <w:r w:rsidRPr="00F93BC7">
              <w:rPr>
                <w:rFonts w:cs="Segoe UI"/>
                <w:sz w:val="16"/>
                <w:szCs w:val="16"/>
              </w:rPr>
              <w:t>11</w:t>
            </w:r>
          </w:p>
        </w:tc>
        <w:tc>
          <w:tcPr>
            <w:tcW w:w="1147" w:type="dxa"/>
            <w:tcBorders>
              <w:left w:val="nil"/>
              <w:right w:val="nil"/>
            </w:tcBorders>
          </w:tcPr>
          <w:p w14:paraId="2C4FA574" w14:textId="49EB5364" w:rsidR="00CE40AF" w:rsidRDefault="00CE40AF" w:rsidP="00F93BC7">
            <w:pPr>
              <w:pStyle w:val="TableText"/>
              <w:spacing w:before="40" w:after="40"/>
              <w:ind w:left="57" w:right="57"/>
              <w:jc w:val="right"/>
              <w:rPr>
                <w:rFonts w:cs="Segoe UI"/>
                <w:sz w:val="16"/>
                <w:szCs w:val="16"/>
              </w:rPr>
            </w:pPr>
            <w:r w:rsidRPr="00F93BC7">
              <w:rPr>
                <w:rFonts w:cs="Segoe UI"/>
                <w:sz w:val="16"/>
                <w:szCs w:val="16"/>
              </w:rPr>
              <w:t>8,796</w:t>
            </w:r>
          </w:p>
        </w:tc>
        <w:tc>
          <w:tcPr>
            <w:tcW w:w="1285" w:type="dxa"/>
            <w:tcBorders>
              <w:left w:val="nil"/>
              <w:right w:val="nil"/>
            </w:tcBorders>
          </w:tcPr>
          <w:p w14:paraId="068B239E" w14:textId="63EAF213" w:rsidR="00CE40AF" w:rsidRDefault="00CE40AF" w:rsidP="00F93BC7">
            <w:pPr>
              <w:pStyle w:val="TableText"/>
              <w:spacing w:before="40" w:after="40"/>
              <w:ind w:left="57" w:right="57"/>
              <w:jc w:val="right"/>
              <w:rPr>
                <w:rFonts w:cs="Segoe UI"/>
                <w:sz w:val="16"/>
                <w:szCs w:val="16"/>
              </w:rPr>
            </w:pPr>
            <w:r w:rsidRPr="00F93BC7">
              <w:rPr>
                <w:rFonts w:cs="Segoe UI"/>
                <w:sz w:val="16"/>
                <w:szCs w:val="16"/>
              </w:rPr>
              <w:t>–</w:t>
            </w:r>
          </w:p>
        </w:tc>
        <w:tc>
          <w:tcPr>
            <w:tcW w:w="1395" w:type="dxa"/>
            <w:tcBorders>
              <w:left w:val="nil"/>
              <w:right w:val="nil"/>
            </w:tcBorders>
          </w:tcPr>
          <w:p w14:paraId="22E21B06" w14:textId="4755BF6F" w:rsidR="00CE40AF" w:rsidRDefault="00CE40AF" w:rsidP="00F93BC7">
            <w:pPr>
              <w:pStyle w:val="TableText"/>
              <w:spacing w:before="40" w:after="40"/>
              <w:ind w:left="57" w:right="57"/>
              <w:jc w:val="right"/>
              <w:rPr>
                <w:rFonts w:cs="Segoe UI"/>
                <w:sz w:val="16"/>
                <w:szCs w:val="16"/>
              </w:rPr>
            </w:pPr>
            <w:r w:rsidRPr="00F93BC7">
              <w:rPr>
                <w:rFonts w:cs="Segoe UI"/>
                <w:sz w:val="16"/>
                <w:szCs w:val="16"/>
              </w:rPr>
              <w:t>–</w:t>
            </w:r>
          </w:p>
        </w:tc>
      </w:tr>
      <w:tr w:rsidR="00F93BC7" w14:paraId="28E3EF99" w14:textId="77777777" w:rsidTr="00F93BC7">
        <w:trPr>
          <w:trHeight w:val="362"/>
        </w:trPr>
        <w:tc>
          <w:tcPr>
            <w:tcW w:w="1275" w:type="dxa"/>
            <w:tcBorders>
              <w:left w:val="nil"/>
              <w:bottom w:val="single" w:sz="4" w:space="0" w:color="BFBFBF" w:themeColor="background1" w:themeShade="BF"/>
              <w:right w:val="nil"/>
            </w:tcBorders>
          </w:tcPr>
          <w:p w14:paraId="66346322" w14:textId="70A08D08" w:rsidR="00F93BC7" w:rsidRDefault="00F93BC7" w:rsidP="00F93BC7">
            <w:pPr>
              <w:pStyle w:val="TableText"/>
              <w:spacing w:before="40" w:after="40"/>
              <w:ind w:left="57" w:right="170"/>
              <w:jc w:val="right"/>
              <w:rPr>
                <w:rFonts w:cs="Segoe UI"/>
                <w:sz w:val="16"/>
                <w:szCs w:val="16"/>
              </w:rPr>
            </w:pPr>
            <w:r w:rsidRPr="00F93BC7">
              <w:rPr>
                <w:rFonts w:cs="Segoe UI"/>
                <w:sz w:val="16"/>
                <w:szCs w:val="16"/>
              </w:rPr>
              <w:t>10,575</w:t>
            </w:r>
          </w:p>
        </w:tc>
        <w:tc>
          <w:tcPr>
            <w:tcW w:w="2411" w:type="dxa"/>
            <w:tcBorders>
              <w:left w:val="nil"/>
              <w:bottom w:val="single" w:sz="4" w:space="0" w:color="BFBFBF" w:themeColor="background1" w:themeShade="BF"/>
              <w:right w:val="nil"/>
            </w:tcBorders>
          </w:tcPr>
          <w:p w14:paraId="02CBEEF7" w14:textId="73D5B708" w:rsidR="00F93BC7" w:rsidRPr="00CE40AF" w:rsidRDefault="00F93BC7" w:rsidP="00F93BC7">
            <w:pPr>
              <w:pStyle w:val="TableText"/>
              <w:spacing w:before="40" w:after="40"/>
              <w:ind w:left="57"/>
              <w:rPr>
                <w:sz w:val="16"/>
                <w:szCs w:val="18"/>
              </w:rPr>
            </w:pPr>
            <w:r w:rsidRPr="00F93BC7">
              <w:rPr>
                <w:sz w:val="16"/>
                <w:szCs w:val="18"/>
              </w:rPr>
              <w:t>Employee entitlements</w:t>
            </w:r>
          </w:p>
        </w:tc>
        <w:tc>
          <w:tcPr>
            <w:tcW w:w="567" w:type="dxa"/>
            <w:tcBorders>
              <w:left w:val="nil"/>
              <w:bottom w:val="single" w:sz="4" w:space="0" w:color="BFBFBF" w:themeColor="background1" w:themeShade="BF"/>
              <w:right w:val="nil"/>
            </w:tcBorders>
          </w:tcPr>
          <w:p w14:paraId="649B2483" w14:textId="3B7FD9B5" w:rsidR="00F93BC7" w:rsidRDefault="00F93BC7" w:rsidP="00F93BC7">
            <w:pPr>
              <w:pStyle w:val="TableText"/>
              <w:spacing w:before="40" w:after="40"/>
              <w:ind w:left="57" w:right="57"/>
              <w:jc w:val="right"/>
              <w:rPr>
                <w:rFonts w:cs="Segoe UI"/>
                <w:sz w:val="16"/>
                <w:szCs w:val="16"/>
              </w:rPr>
            </w:pPr>
            <w:r w:rsidRPr="00F93BC7">
              <w:rPr>
                <w:rFonts w:cs="Segoe UI"/>
                <w:sz w:val="16"/>
                <w:szCs w:val="16"/>
              </w:rPr>
              <w:t>12</w:t>
            </w:r>
          </w:p>
        </w:tc>
        <w:tc>
          <w:tcPr>
            <w:tcW w:w="1147" w:type="dxa"/>
            <w:tcBorders>
              <w:left w:val="nil"/>
              <w:bottom w:val="single" w:sz="4" w:space="0" w:color="BFBFBF" w:themeColor="background1" w:themeShade="BF"/>
              <w:right w:val="nil"/>
            </w:tcBorders>
          </w:tcPr>
          <w:p w14:paraId="2ED4AAEE" w14:textId="69E7A6DF" w:rsidR="00F93BC7" w:rsidRDefault="00F93BC7" w:rsidP="00F93BC7">
            <w:pPr>
              <w:pStyle w:val="TableText"/>
              <w:spacing w:before="40" w:after="40"/>
              <w:ind w:left="57" w:right="57"/>
              <w:jc w:val="right"/>
              <w:rPr>
                <w:rFonts w:cs="Segoe UI"/>
                <w:sz w:val="16"/>
                <w:szCs w:val="16"/>
              </w:rPr>
            </w:pPr>
            <w:r w:rsidRPr="00F93BC7">
              <w:rPr>
                <w:rFonts w:cs="Segoe UI"/>
                <w:sz w:val="16"/>
                <w:szCs w:val="16"/>
              </w:rPr>
              <w:t>11,100</w:t>
            </w:r>
          </w:p>
        </w:tc>
        <w:tc>
          <w:tcPr>
            <w:tcW w:w="1285" w:type="dxa"/>
            <w:tcBorders>
              <w:left w:val="nil"/>
              <w:bottom w:val="single" w:sz="4" w:space="0" w:color="BFBFBF" w:themeColor="background1" w:themeShade="BF"/>
              <w:right w:val="nil"/>
            </w:tcBorders>
          </w:tcPr>
          <w:p w14:paraId="2FAE482D" w14:textId="61667124" w:rsidR="00F93BC7" w:rsidRDefault="00F93BC7" w:rsidP="00F93BC7">
            <w:pPr>
              <w:pStyle w:val="TableText"/>
              <w:spacing w:before="40" w:after="40"/>
              <w:ind w:left="57" w:right="57"/>
              <w:jc w:val="right"/>
              <w:rPr>
                <w:rFonts w:cs="Segoe UI"/>
                <w:sz w:val="16"/>
                <w:szCs w:val="16"/>
              </w:rPr>
            </w:pPr>
            <w:r w:rsidRPr="00F93BC7">
              <w:rPr>
                <w:rFonts w:cs="Segoe UI"/>
                <w:sz w:val="16"/>
                <w:szCs w:val="16"/>
              </w:rPr>
              <w:t>8,490</w:t>
            </w:r>
          </w:p>
        </w:tc>
        <w:tc>
          <w:tcPr>
            <w:tcW w:w="1395" w:type="dxa"/>
            <w:tcBorders>
              <w:left w:val="nil"/>
              <w:bottom w:val="single" w:sz="4" w:space="0" w:color="BFBFBF" w:themeColor="background1" w:themeShade="BF"/>
              <w:right w:val="nil"/>
            </w:tcBorders>
          </w:tcPr>
          <w:p w14:paraId="4C13A669" w14:textId="0F8FCBAB" w:rsidR="00F93BC7" w:rsidRDefault="00F93BC7" w:rsidP="00F93BC7">
            <w:pPr>
              <w:pStyle w:val="TableText"/>
              <w:spacing w:before="40" w:after="40"/>
              <w:ind w:left="57" w:right="57"/>
              <w:jc w:val="right"/>
              <w:rPr>
                <w:rFonts w:cs="Segoe UI"/>
                <w:sz w:val="16"/>
                <w:szCs w:val="16"/>
              </w:rPr>
            </w:pPr>
            <w:r w:rsidRPr="00F93BC7">
              <w:rPr>
                <w:rFonts w:cs="Segoe UI"/>
                <w:sz w:val="16"/>
                <w:szCs w:val="16"/>
              </w:rPr>
              <w:t>8,550</w:t>
            </w:r>
          </w:p>
        </w:tc>
      </w:tr>
      <w:tr w:rsidR="00F93BC7" w:rsidRPr="00F93BC7" w14:paraId="0A480856" w14:textId="77777777" w:rsidTr="00F93BC7">
        <w:trPr>
          <w:trHeight w:val="362"/>
        </w:trPr>
        <w:tc>
          <w:tcPr>
            <w:tcW w:w="1275" w:type="dxa"/>
            <w:tcBorders>
              <w:top w:val="single" w:sz="4" w:space="0" w:color="BFBFBF" w:themeColor="background1" w:themeShade="BF"/>
              <w:left w:val="nil"/>
              <w:bottom w:val="single" w:sz="4" w:space="0" w:color="A6A6A6" w:themeColor="background1" w:themeShade="A6"/>
              <w:right w:val="nil"/>
            </w:tcBorders>
          </w:tcPr>
          <w:p w14:paraId="5D3DA44B" w14:textId="09A65958" w:rsidR="00F93BC7" w:rsidRPr="00F93BC7" w:rsidRDefault="00F93BC7" w:rsidP="00F93BC7">
            <w:pPr>
              <w:pStyle w:val="TableText"/>
              <w:spacing w:before="40" w:after="40"/>
              <w:ind w:left="57" w:right="170"/>
              <w:jc w:val="right"/>
              <w:rPr>
                <w:rFonts w:cs="Segoe UI"/>
                <w:b/>
                <w:bCs/>
                <w:sz w:val="16"/>
                <w:szCs w:val="16"/>
              </w:rPr>
            </w:pPr>
            <w:r w:rsidRPr="00F93BC7">
              <w:rPr>
                <w:rFonts w:cs="Segoe UI"/>
                <w:b/>
                <w:bCs/>
                <w:sz w:val="16"/>
                <w:szCs w:val="16"/>
              </w:rPr>
              <w:t>74,678</w:t>
            </w:r>
          </w:p>
        </w:tc>
        <w:tc>
          <w:tcPr>
            <w:tcW w:w="2411" w:type="dxa"/>
            <w:tcBorders>
              <w:top w:val="single" w:sz="4" w:space="0" w:color="BFBFBF" w:themeColor="background1" w:themeShade="BF"/>
              <w:left w:val="nil"/>
              <w:bottom w:val="single" w:sz="4" w:space="0" w:color="A6A6A6" w:themeColor="background1" w:themeShade="A6"/>
              <w:right w:val="nil"/>
            </w:tcBorders>
          </w:tcPr>
          <w:p w14:paraId="20D4C0BE" w14:textId="4DB36581" w:rsidR="00F93BC7" w:rsidRPr="00F93BC7" w:rsidRDefault="00F93BC7" w:rsidP="00F93BC7">
            <w:pPr>
              <w:pStyle w:val="TableText"/>
              <w:spacing w:before="40" w:after="40"/>
              <w:ind w:left="57"/>
              <w:rPr>
                <w:b/>
                <w:bCs/>
                <w:sz w:val="16"/>
                <w:szCs w:val="18"/>
              </w:rPr>
            </w:pPr>
            <w:r w:rsidRPr="00F93BC7">
              <w:rPr>
                <w:b/>
                <w:bCs/>
                <w:sz w:val="16"/>
                <w:szCs w:val="18"/>
              </w:rPr>
              <w:t>Total current liabilities</w:t>
            </w:r>
          </w:p>
        </w:tc>
        <w:tc>
          <w:tcPr>
            <w:tcW w:w="567" w:type="dxa"/>
            <w:tcBorders>
              <w:top w:val="single" w:sz="4" w:space="0" w:color="BFBFBF" w:themeColor="background1" w:themeShade="BF"/>
              <w:left w:val="nil"/>
              <w:bottom w:val="single" w:sz="4" w:space="0" w:color="A6A6A6" w:themeColor="background1" w:themeShade="A6"/>
              <w:right w:val="nil"/>
            </w:tcBorders>
          </w:tcPr>
          <w:p w14:paraId="1CF2F74B" w14:textId="77777777" w:rsidR="00F93BC7" w:rsidRPr="00F93BC7" w:rsidRDefault="00F93BC7" w:rsidP="00F93BC7">
            <w:pPr>
              <w:pStyle w:val="TableText"/>
              <w:spacing w:before="40" w:after="40"/>
              <w:ind w:left="57" w:right="57"/>
              <w:jc w:val="right"/>
              <w:rPr>
                <w:rFonts w:cs="Segoe UI"/>
                <w:b/>
                <w:bCs/>
                <w:sz w:val="16"/>
                <w:szCs w:val="16"/>
              </w:rPr>
            </w:pPr>
          </w:p>
        </w:tc>
        <w:tc>
          <w:tcPr>
            <w:tcW w:w="1147" w:type="dxa"/>
            <w:tcBorders>
              <w:top w:val="single" w:sz="4" w:space="0" w:color="BFBFBF" w:themeColor="background1" w:themeShade="BF"/>
              <w:left w:val="nil"/>
              <w:bottom w:val="single" w:sz="4" w:space="0" w:color="A6A6A6" w:themeColor="background1" w:themeShade="A6"/>
              <w:right w:val="nil"/>
            </w:tcBorders>
          </w:tcPr>
          <w:p w14:paraId="3005A98D" w14:textId="7E218982" w:rsidR="00F93BC7" w:rsidRPr="00F93BC7" w:rsidRDefault="00F93BC7" w:rsidP="00F93BC7">
            <w:pPr>
              <w:pStyle w:val="TableText"/>
              <w:spacing w:before="40" w:after="40"/>
              <w:ind w:left="57" w:right="57"/>
              <w:jc w:val="right"/>
              <w:rPr>
                <w:rFonts w:cs="Segoe UI"/>
                <w:b/>
                <w:bCs/>
                <w:sz w:val="16"/>
                <w:szCs w:val="16"/>
              </w:rPr>
            </w:pPr>
            <w:r w:rsidRPr="00F93BC7">
              <w:rPr>
                <w:rFonts w:cs="Segoe UI"/>
                <w:b/>
                <w:bCs/>
                <w:sz w:val="16"/>
                <w:szCs w:val="16"/>
              </w:rPr>
              <w:t>75,005</w:t>
            </w:r>
          </w:p>
        </w:tc>
        <w:tc>
          <w:tcPr>
            <w:tcW w:w="1285" w:type="dxa"/>
            <w:tcBorders>
              <w:top w:val="single" w:sz="4" w:space="0" w:color="BFBFBF" w:themeColor="background1" w:themeShade="BF"/>
              <w:left w:val="nil"/>
              <w:bottom w:val="single" w:sz="4" w:space="0" w:color="A6A6A6" w:themeColor="background1" w:themeShade="A6"/>
              <w:right w:val="nil"/>
            </w:tcBorders>
          </w:tcPr>
          <w:p w14:paraId="64464DA1" w14:textId="4AD08042" w:rsidR="00F93BC7" w:rsidRPr="00F93BC7" w:rsidRDefault="00F93BC7" w:rsidP="00F93BC7">
            <w:pPr>
              <w:pStyle w:val="TableText"/>
              <w:spacing w:before="40" w:after="40"/>
              <w:ind w:left="57" w:right="57"/>
              <w:jc w:val="right"/>
              <w:rPr>
                <w:rFonts w:cs="Segoe UI"/>
                <w:b/>
                <w:bCs/>
                <w:sz w:val="16"/>
                <w:szCs w:val="16"/>
              </w:rPr>
            </w:pPr>
            <w:r w:rsidRPr="00F93BC7">
              <w:rPr>
                <w:rFonts w:cs="Segoe UI"/>
                <w:b/>
                <w:bCs/>
                <w:sz w:val="16"/>
                <w:szCs w:val="16"/>
              </w:rPr>
              <w:t>48,510</w:t>
            </w:r>
          </w:p>
        </w:tc>
        <w:tc>
          <w:tcPr>
            <w:tcW w:w="1395" w:type="dxa"/>
            <w:tcBorders>
              <w:top w:val="single" w:sz="4" w:space="0" w:color="BFBFBF" w:themeColor="background1" w:themeShade="BF"/>
              <w:left w:val="nil"/>
              <w:bottom w:val="single" w:sz="4" w:space="0" w:color="A6A6A6" w:themeColor="background1" w:themeShade="A6"/>
              <w:right w:val="nil"/>
            </w:tcBorders>
          </w:tcPr>
          <w:p w14:paraId="781CF74C" w14:textId="7EAE6CB9" w:rsidR="00F93BC7" w:rsidRPr="00F93BC7" w:rsidRDefault="00F93BC7" w:rsidP="00F93BC7">
            <w:pPr>
              <w:pStyle w:val="TableText"/>
              <w:spacing w:before="40" w:after="40"/>
              <w:ind w:left="57" w:right="57"/>
              <w:jc w:val="right"/>
              <w:rPr>
                <w:rFonts w:cs="Segoe UI"/>
                <w:b/>
                <w:bCs/>
                <w:sz w:val="16"/>
                <w:szCs w:val="16"/>
              </w:rPr>
            </w:pPr>
            <w:r w:rsidRPr="00F93BC7">
              <w:rPr>
                <w:rFonts w:cs="Segoe UI"/>
                <w:b/>
                <w:bCs/>
                <w:sz w:val="16"/>
                <w:szCs w:val="16"/>
              </w:rPr>
              <w:t>25,550</w:t>
            </w:r>
          </w:p>
        </w:tc>
      </w:tr>
      <w:tr w:rsidR="00F93BC7" w:rsidRPr="00F93BC7" w14:paraId="339E40E4" w14:textId="77777777" w:rsidTr="00F93BC7">
        <w:trPr>
          <w:trHeight w:val="362"/>
        </w:trPr>
        <w:tc>
          <w:tcPr>
            <w:tcW w:w="1275" w:type="dxa"/>
            <w:tcBorders>
              <w:top w:val="single" w:sz="4" w:space="0" w:color="A6A6A6" w:themeColor="background1" w:themeShade="A6"/>
              <w:left w:val="nil"/>
              <w:right w:val="nil"/>
            </w:tcBorders>
          </w:tcPr>
          <w:p w14:paraId="005BA7DC" w14:textId="77777777" w:rsidR="00F93BC7" w:rsidRPr="00F93BC7" w:rsidRDefault="00F93BC7" w:rsidP="00F93BC7">
            <w:pPr>
              <w:pStyle w:val="TableText"/>
              <w:spacing w:before="40" w:after="40"/>
              <w:ind w:left="57" w:right="170"/>
              <w:jc w:val="right"/>
              <w:rPr>
                <w:rFonts w:cs="Segoe UI"/>
                <w:b/>
                <w:bCs/>
                <w:sz w:val="16"/>
                <w:szCs w:val="16"/>
              </w:rPr>
            </w:pPr>
          </w:p>
        </w:tc>
        <w:tc>
          <w:tcPr>
            <w:tcW w:w="2411" w:type="dxa"/>
            <w:tcBorders>
              <w:top w:val="single" w:sz="4" w:space="0" w:color="A6A6A6" w:themeColor="background1" w:themeShade="A6"/>
              <w:left w:val="nil"/>
              <w:right w:val="nil"/>
            </w:tcBorders>
          </w:tcPr>
          <w:p w14:paraId="57434790" w14:textId="0A9673E3" w:rsidR="00F93BC7" w:rsidRPr="00F93BC7" w:rsidRDefault="00F93BC7" w:rsidP="00F93BC7">
            <w:pPr>
              <w:pStyle w:val="TableText"/>
              <w:spacing w:before="40" w:after="40"/>
              <w:ind w:left="57"/>
              <w:rPr>
                <w:b/>
                <w:bCs/>
                <w:sz w:val="16"/>
                <w:szCs w:val="18"/>
              </w:rPr>
            </w:pPr>
            <w:r w:rsidRPr="00F93BC7">
              <w:rPr>
                <w:b/>
                <w:bCs/>
                <w:sz w:val="16"/>
                <w:szCs w:val="18"/>
              </w:rPr>
              <w:t>Non-current liabilities</w:t>
            </w:r>
          </w:p>
        </w:tc>
        <w:tc>
          <w:tcPr>
            <w:tcW w:w="567" w:type="dxa"/>
            <w:tcBorders>
              <w:top w:val="single" w:sz="4" w:space="0" w:color="A6A6A6" w:themeColor="background1" w:themeShade="A6"/>
              <w:left w:val="nil"/>
              <w:right w:val="nil"/>
            </w:tcBorders>
          </w:tcPr>
          <w:p w14:paraId="4B1D3256" w14:textId="77777777" w:rsidR="00F93BC7" w:rsidRPr="00F93BC7" w:rsidRDefault="00F93BC7" w:rsidP="00F93BC7">
            <w:pPr>
              <w:pStyle w:val="TableText"/>
              <w:spacing w:before="40" w:after="40"/>
              <w:ind w:left="57" w:right="57"/>
              <w:jc w:val="right"/>
              <w:rPr>
                <w:rFonts w:cs="Segoe UI"/>
                <w:b/>
                <w:bCs/>
                <w:sz w:val="16"/>
                <w:szCs w:val="16"/>
              </w:rPr>
            </w:pPr>
          </w:p>
        </w:tc>
        <w:tc>
          <w:tcPr>
            <w:tcW w:w="1147" w:type="dxa"/>
            <w:tcBorders>
              <w:top w:val="single" w:sz="4" w:space="0" w:color="A6A6A6" w:themeColor="background1" w:themeShade="A6"/>
              <w:left w:val="nil"/>
              <w:right w:val="nil"/>
            </w:tcBorders>
          </w:tcPr>
          <w:p w14:paraId="3A20D8FF" w14:textId="77777777" w:rsidR="00F93BC7" w:rsidRPr="00F93BC7" w:rsidRDefault="00F93BC7" w:rsidP="00F93BC7">
            <w:pPr>
              <w:pStyle w:val="TableText"/>
              <w:spacing w:before="40" w:after="40"/>
              <w:ind w:left="57" w:right="57"/>
              <w:jc w:val="right"/>
              <w:rPr>
                <w:rFonts w:cs="Segoe UI"/>
                <w:b/>
                <w:bCs/>
                <w:sz w:val="16"/>
                <w:szCs w:val="16"/>
              </w:rPr>
            </w:pPr>
          </w:p>
        </w:tc>
        <w:tc>
          <w:tcPr>
            <w:tcW w:w="1285" w:type="dxa"/>
            <w:tcBorders>
              <w:top w:val="single" w:sz="4" w:space="0" w:color="A6A6A6" w:themeColor="background1" w:themeShade="A6"/>
              <w:left w:val="nil"/>
              <w:right w:val="nil"/>
            </w:tcBorders>
          </w:tcPr>
          <w:p w14:paraId="19317A9E" w14:textId="77777777" w:rsidR="00F93BC7" w:rsidRPr="00F93BC7" w:rsidRDefault="00F93BC7" w:rsidP="00F93BC7">
            <w:pPr>
              <w:pStyle w:val="TableText"/>
              <w:spacing w:before="40" w:after="40"/>
              <w:ind w:left="57" w:right="57"/>
              <w:jc w:val="right"/>
              <w:rPr>
                <w:rFonts w:cs="Segoe UI"/>
                <w:b/>
                <w:bCs/>
                <w:sz w:val="16"/>
                <w:szCs w:val="16"/>
              </w:rPr>
            </w:pPr>
          </w:p>
        </w:tc>
        <w:tc>
          <w:tcPr>
            <w:tcW w:w="1395" w:type="dxa"/>
            <w:tcBorders>
              <w:top w:val="single" w:sz="4" w:space="0" w:color="A6A6A6" w:themeColor="background1" w:themeShade="A6"/>
              <w:left w:val="nil"/>
              <w:right w:val="nil"/>
            </w:tcBorders>
          </w:tcPr>
          <w:p w14:paraId="1A39B9EC" w14:textId="77777777" w:rsidR="00F93BC7" w:rsidRPr="00F93BC7" w:rsidRDefault="00F93BC7" w:rsidP="00F93BC7">
            <w:pPr>
              <w:pStyle w:val="TableText"/>
              <w:spacing w:before="40" w:after="40"/>
              <w:ind w:left="57" w:right="57"/>
              <w:jc w:val="right"/>
              <w:rPr>
                <w:rFonts w:cs="Segoe UI"/>
                <w:b/>
                <w:bCs/>
                <w:sz w:val="16"/>
                <w:szCs w:val="16"/>
              </w:rPr>
            </w:pPr>
          </w:p>
        </w:tc>
      </w:tr>
      <w:tr w:rsidR="00F93BC7" w14:paraId="086E305B" w14:textId="77777777" w:rsidTr="00F93BC7">
        <w:trPr>
          <w:trHeight w:val="362"/>
        </w:trPr>
        <w:tc>
          <w:tcPr>
            <w:tcW w:w="1275" w:type="dxa"/>
            <w:tcBorders>
              <w:left w:val="nil"/>
              <w:bottom w:val="single" w:sz="4" w:space="0" w:color="BFBFBF" w:themeColor="background1" w:themeShade="BF"/>
              <w:right w:val="nil"/>
            </w:tcBorders>
          </w:tcPr>
          <w:p w14:paraId="4E05CC72" w14:textId="1738DBA0" w:rsidR="00F93BC7" w:rsidRDefault="00F93BC7" w:rsidP="00F93BC7">
            <w:pPr>
              <w:pStyle w:val="TableText"/>
              <w:spacing w:before="40" w:after="40"/>
              <w:ind w:left="57" w:right="170"/>
              <w:jc w:val="right"/>
              <w:rPr>
                <w:rFonts w:cs="Segoe UI"/>
                <w:sz w:val="16"/>
                <w:szCs w:val="16"/>
              </w:rPr>
            </w:pPr>
            <w:r w:rsidRPr="00F93BC7">
              <w:rPr>
                <w:rFonts w:cs="Segoe UI"/>
                <w:sz w:val="16"/>
                <w:szCs w:val="16"/>
              </w:rPr>
              <w:t>908</w:t>
            </w:r>
          </w:p>
        </w:tc>
        <w:tc>
          <w:tcPr>
            <w:tcW w:w="2411" w:type="dxa"/>
            <w:tcBorders>
              <w:left w:val="nil"/>
              <w:bottom w:val="single" w:sz="4" w:space="0" w:color="BFBFBF" w:themeColor="background1" w:themeShade="BF"/>
              <w:right w:val="nil"/>
            </w:tcBorders>
          </w:tcPr>
          <w:p w14:paraId="4F8110B9" w14:textId="195800DD" w:rsidR="00F93BC7" w:rsidRPr="00CE40AF" w:rsidRDefault="00F93BC7" w:rsidP="00F93BC7">
            <w:pPr>
              <w:pStyle w:val="TableText"/>
              <w:spacing w:before="40" w:after="40"/>
              <w:ind w:left="57"/>
              <w:rPr>
                <w:sz w:val="16"/>
                <w:szCs w:val="18"/>
              </w:rPr>
            </w:pPr>
            <w:r w:rsidRPr="00F93BC7">
              <w:rPr>
                <w:sz w:val="16"/>
                <w:szCs w:val="18"/>
              </w:rPr>
              <w:t>Employee entitlements</w:t>
            </w:r>
          </w:p>
        </w:tc>
        <w:tc>
          <w:tcPr>
            <w:tcW w:w="567" w:type="dxa"/>
            <w:tcBorders>
              <w:left w:val="nil"/>
              <w:bottom w:val="single" w:sz="4" w:space="0" w:color="BFBFBF" w:themeColor="background1" w:themeShade="BF"/>
              <w:right w:val="nil"/>
            </w:tcBorders>
          </w:tcPr>
          <w:p w14:paraId="256B64D9" w14:textId="048DF916" w:rsidR="00F93BC7" w:rsidRDefault="00F93BC7" w:rsidP="00F93BC7">
            <w:pPr>
              <w:pStyle w:val="TableText"/>
              <w:spacing w:before="40" w:after="40"/>
              <w:ind w:left="57" w:right="57"/>
              <w:jc w:val="right"/>
              <w:rPr>
                <w:rFonts w:cs="Segoe UI"/>
                <w:sz w:val="16"/>
                <w:szCs w:val="16"/>
              </w:rPr>
            </w:pPr>
            <w:r w:rsidRPr="00F93BC7">
              <w:rPr>
                <w:rFonts w:cs="Segoe UI"/>
                <w:sz w:val="16"/>
                <w:szCs w:val="16"/>
              </w:rPr>
              <w:t>12</w:t>
            </w:r>
          </w:p>
        </w:tc>
        <w:tc>
          <w:tcPr>
            <w:tcW w:w="1147" w:type="dxa"/>
            <w:tcBorders>
              <w:left w:val="nil"/>
              <w:bottom w:val="single" w:sz="4" w:space="0" w:color="BFBFBF" w:themeColor="background1" w:themeShade="BF"/>
              <w:right w:val="nil"/>
            </w:tcBorders>
          </w:tcPr>
          <w:p w14:paraId="240891EE" w14:textId="5599687A" w:rsidR="00F93BC7" w:rsidRDefault="00F93BC7" w:rsidP="00F93BC7">
            <w:pPr>
              <w:pStyle w:val="TableText"/>
              <w:spacing w:before="40" w:after="40"/>
              <w:ind w:left="57" w:right="57"/>
              <w:jc w:val="right"/>
              <w:rPr>
                <w:rFonts w:cs="Segoe UI"/>
                <w:sz w:val="16"/>
                <w:szCs w:val="16"/>
              </w:rPr>
            </w:pPr>
            <w:r w:rsidRPr="00F93BC7">
              <w:rPr>
                <w:rFonts w:cs="Segoe UI"/>
                <w:sz w:val="16"/>
                <w:szCs w:val="16"/>
              </w:rPr>
              <w:t>781</w:t>
            </w:r>
          </w:p>
        </w:tc>
        <w:tc>
          <w:tcPr>
            <w:tcW w:w="1285" w:type="dxa"/>
            <w:tcBorders>
              <w:left w:val="nil"/>
              <w:bottom w:val="single" w:sz="4" w:space="0" w:color="BFBFBF" w:themeColor="background1" w:themeShade="BF"/>
              <w:right w:val="nil"/>
            </w:tcBorders>
          </w:tcPr>
          <w:p w14:paraId="77D31AAB" w14:textId="794A05F4" w:rsidR="00F93BC7" w:rsidRDefault="00F93BC7" w:rsidP="00F93BC7">
            <w:pPr>
              <w:pStyle w:val="TableText"/>
              <w:spacing w:before="40" w:after="40"/>
              <w:ind w:left="57" w:right="57"/>
              <w:jc w:val="right"/>
              <w:rPr>
                <w:rFonts w:cs="Segoe UI"/>
                <w:sz w:val="16"/>
                <w:szCs w:val="16"/>
              </w:rPr>
            </w:pPr>
            <w:r w:rsidRPr="00F93BC7">
              <w:rPr>
                <w:rFonts w:cs="Segoe UI"/>
                <w:sz w:val="16"/>
                <w:szCs w:val="16"/>
              </w:rPr>
              <w:t>1,250</w:t>
            </w:r>
          </w:p>
        </w:tc>
        <w:tc>
          <w:tcPr>
            <w:tcW w:w="1395" w:type="dxa"/>
            <w:tcBorders>
              <w:left w:val="nil"/>
              <w:bottom w:val="single" w:sz="4" w:space="0" w:color="BFBFBF" w:themeColor="background1" w:themeShade="BF"/>
              <w:right w:val="nil"/>
            </w:tcBorders>
          </w:tcPr>
          <w:p w14:paraId="78B30FB3" w14:textId="27D36897" w:rsidR="00F93BC7" w:rsidRDefault="00F93BC7" w:rsidP="00F93BC7">
            <w:pPr>
              <w:pStyle w:val="TableText"/>
              <w:spacing w:before="40" w:after="40"/>
              <w:ind w:left="57" w:right="57"/>
              <w:jc w:val="right"/>
              <w:rPr>
                <w:rFonts w:cs="Segoe UI"/>
                <w:sz w:val="16"/>
                <w:szCs w:val="16"/>
              </w:rPr>
            </w:pPr>
            <w:r w:rsidRPr="00F93BC7">
              <w:rPr>
                <w:rFonts w:cs="Segoe UI"/>
                <w:sz w:val="16"/>
                <w:szCs w:val="16"/>
              </w:rPr>
              <w:t>1,300</w:t>
            </w:r>
          </w:p>
        </w:tc>
      </w:tr>
      <w:tr w:rsidR="00F93BC7" w:rsidRPr="00F93BC7" w14:paraId="1E572DB8" w14:textId="77777777" w:rsidTr="00CE40AF">
        <w:trPr>
          <w:trHeight w:val="362"/>
        </w:trPr>
        <w:tc>
          <w:tcPr>
            <w:tcW w:w="1275" w:type="dxa"/>
            <w:tcBorders>
              <w:top w:val="single" w:sz="4" w:space="0" w:color="BFBFBF" w:themeColor="background1" w:themeShade="BF"/>
              <w:left w:val="nil"/>
              <w:bottom w:val="single" w:sz="4" w:space="0" w:color="BFBFBF" w:themeColor="background1" w:themeShade="BF"/>
              <w:right w:val="nil"/>
            </w:tcBorders>
          </w:tcPr>
          <w:p w14:paraId="2ECA5773" w14:textId="7B4E48F6" w:rsidR="00F93BC7" w:rsidRPr="00F93BC7" w:rsidRDefault="00F93BC7" w:rsidP="00F93BC7">
            <w:pPr>
              <w:pStyle w:val="TableText"/>
              <w:spacing w:before="40" w:after="40"/>
              <w:ind w:left="57" w:right="170"/>
              <w:jc w:val="right"/>
              <w:rPr>
                <w:rFonts w:cs="Segoe UI"/>
                <w:b/>
                <w:bCs/>
                <w:sz w:val="16"/>
                <w:szCs w:val="16"/>
              </w:rPr>
            </w:pPr>
            <w:r w:rsidRPr="00F93BC7">
              <w:rPr>
                <w:rFonts w:cs="Segoe UI"/>
                <w:b/>
                <w:bCs/>
                <w:sz w:val="16"/>
                <w:szCs w:val="16"/>
              </w:rPr>
              <w:t>908</w:t>
            </w:r>
          </w:p>
        </w:tc>
        <w:tc>
          <w:tcPr>
            <w:tcW w:w="2411" w:type="dxa"/>
            <w:tcBorders>
              <w:top w:val="single" w:sz="4" w:space="0" w:color="BFBFBF" w:themeColor="background1" w:themeShade="BF"/>
              <w:left w:val="nil"/>
              <w:bottom w:val="single" w:sz="4" w:space="0" w:color="BFBFBF" w:themeColor="background1" w:themeShade="BF"/>
              <w:right w:val="nil"/>
            </w:tcBorders>
          </w:tcPr>
          <w:p w14:paraId="2389A767" w14:textId="6025EAEF" w:rsidR="00F93BC7" w:rsidRPr="00F93BC7" w:rsidRDefault="00F93BC7" w:rsidP="00F93BC7">
            <w:pPr>
              <w:pStyle w:val="TableText"/>
              <w:spacing w:before="40" w:after="40"/>
              <w:ind w:left="57"/>
              <w:rPr>
                <w:b/>
                <w:bCs/>
                <w:sz w:val="16"/>
                <w:szCs w:val="18"/>
              </w:rPr>
            </w:pPr>
            <w:r w:rsidRPr="00F93BC7">
              <w:rPr>
                <w:b/>
                <w:bCs/>
                <w:sz w:val="16"/>
                <w:szCs w:val="18"/>
              </w:rPr>
              <w:t>Total non-current liabilities</w:t>
            </w:r>
          </w:p>
        </w:tc>
        <w:tc>
          <w:tcPr>
            <w:tcW w:w="567" w:type="dxa"/>
            <w:tcBorders>
              <w:top w:val="single" w:sz="4" w:space="0" w:color="BFBFBF" w:themeColor="background1" w:themeShade="BF"/>
              <w:left w:val="nil"/>
              <w:bottom w:val="single" w:sz="4" w:space="0" w:color="BFBFBF" w:themeColor="background1" w:themeShade="BF"/>
              <w:right w:val="nil"/>
            </w:tcBorders>
          </w:tcPr>
          <w:p w14:paraId="72E7DEF9" w14:textId="77777777" w:rsidR="00F93BC7" w:rsidRPr="00F93BC7" w:rsidRDefault="00F93BC7" w:rsidP="00F93BC7">
            <w:pPr>
              <w:pStyle w:val="TableText"/>
              <w:spacing w:before="40" w:after="40"/>
              <w:ind w:left="57" w:right="57"/>
              <w:jc w:val="right"/>
              <w:rPr>
                <w:rFonts w:cs="Segoe UI"/>
                <w:b/>
                <w:bCs/>
                <w:sz w:val="16"/>
                <w:szCs w:val="16"/>
              </w:rPr>
            </w:pPr>
          </w:p>
        </w:tc>
        <w:tc>
          <w:tcPr>
            <w:tcW w:w="1147" w:type="dxa"/>
            <w:tcBorders>
              <w:top w:val="single" w:sz="4" w:space="0" w:color="BFBFBF" w:themeColor="background1" w:themeShade="BF"/>
              <w:left w:val="nil"/>
              <w:bottom w:val="single" w:sz="4" w:space="0" w:color="BFBFBF" w:themeColor="background1" w:themeShade="BF"/>
              <w:right w:val="nil"/>
            </w:tcBorders>
          </w:tcPr>
          <w:p w14:paraId="4461FE61" w14:textId="74602193" w:rsidR="00F93BC7" w:rsidRPr="00F93BC7" w:rsidRDefault="00F93BC7" w:rsidP="00F93BC7">
            <w:pPr>
              <w:pStyle w:val="TableText"/>
              <w:spacing w:before="40" w:after="40"/>
              <w:ind w:left="57" w:right="57"/>
              <w:jc w:val="right"/>
              <w:rPr>
                <w:rFonts w:cs="Segoe UI"/>
                <w:b/>
                <w:bCs/>
                <w:sz w:val="16"/>
                <w:szCs w:val="16"/>
              </w:rPr>
            </w:pPr>
            <w:r w:rsidRPr="00F93BC7">
              <w:rPr>
                <w:rFonts w:cs="Segoe UI"/>
                <w:b/>
                <w:bCs/>
                <w:sz w:val="16"/>
                <w:szCs w:val="16"/>
              </w:rPr>
              <w:t>781</w:t>
            </w:r>
          </w:p>
        </w:tc>
        <w:tc>
          <w:tcPr>
            <w:tcW w:w="1285" w:type="dxa"/>
            <w:tcBorders>
              <w:top w:val="single" w:sz="4" w:space="0" w:color="BFBFBF" w:themeColor="background1" w:themeShade="BF"/>
              <w:left w:val="nil"/>
              <w:bottom w:val="single" w:sz="4" w:space="0" w:color="BFBFBF" w:themeColor="background1" w:themeShade="BF"/>
              <w:right w:val="nil"/>
            </w:tcBorders>
          </w:tcPr>
          <w:p w14:paraId="7E6895E4" w14:textId="26F4F180" w:rsidR="00F93BC7" w:rsidRPr="00F93BC7" w:rsidRDefault="00F93BC7" w:rsidP="00F93BC7">
            <w:pPr>
              <w:pStyle w:val="TableText"/>
              <w:spacing w:before="40" w:after="40"/>
              <w:ind w:left="57" w:right="57"/>
              <w:jc w:val="right"/>
              <w:rPr>
                <w:rFonts w:cs="Segoe UI"/>
                <w:b/>
                <w:bCs/>
                <w:sz w:val="16"/>
                <w:szCs w:val="16"/>
              </w:rPr>
            </w:pPr>
            <w:r w:rsidRPr="00F93BC7">
              <w:rPr>
                <w:rFonts w:cs="Segoe UI"/>
                <w:b/>
                <w:bCs/>
                <w:sz w:val="16"/>
                <w:szCs w:val="16"/>
              </w:rPr>
              <w:t>1,250</w:t>
            </w:r>
          </w:p>
        </w:tc>
        <w:tc>
          <w:tcPr>
            <w:tcW w:w="1395" w:type="dxa"/>
            <w:tcBorders>
              <w:top w:val="single" w:sz="4" w:space="0" w:color="BFBFBF" w:themeColor="background1" w:themeShade="BF"/>
              <w:left w:val="nil"/>
              <w:bottom w:val="single" w:sz="4" w:space="0" w:color="BFBFBF" w:themeColor="background1" w:themeShade="BF"/>
              <w:right w:val="nil"/>
            </w:tcBorders>
          </w:tcPr>
          <w:p w14:paraId="0D4B570C" w14:textId="1DE180F6" w:rsidR="00F93BC7" w:rsidRPr="00F93BC7" w:rsidRDefault="00F93BC7" w:rsidP="00F93BC7">
            <w:pPr>
              <w:pStyle w:val="TableText"/>
              <w:spacing w:before="40" w:after="40"/>
              <w:ind w:left="57" w:right="57"/>
              <w:jc w:val="right"/>
              <w:rPr>
                <w:rFonts w:cs="Segoe UI"/>
                <w:b/>
                <w:bCs/>
                <w:sz w:val="16"/>
                <w:szCs w:val="16"/>
              </w:rPr>
            </w:pPr>
            <w:r w:rsidRPr="00F93BC7">
              <w:rPr>
                <w:rFonts w:cs="Segoe UI"/>
                <w:b/>
                <w:bCs/>
                <w:sz w:val="16"/>
                <w:szCs w:val="16"/>
              </w:rPr>
              <w:t>1,300</w:t>
            </w:r>
          </w:p>
        </w:tc>
      </w:tr>
      <w:tr w:rsidR="00F93BC7" w:rsidRPr="00F93BC7" w14:paraId="026EEC7E" w14:textId="77777777" w:rsidTr="00CE40AF">
        <w:trPr>
          <w:trHeight w:val="362"/>
        </w:trPr>
        <w:tc>
          <w:tcPr>
            <w:tcW w:w="1275" w:type="dxa"/>
            <w:tcBorders>
              <w:top w:val="single" w:sz="4" w:space="0" w:color="BFBFBF" w:themeColor="background1" w:themeShade="BF"/>
              <w:left w:val="nil"/>
              <w:bottom w:val="single" w:sz="4" w:space="0" w:color="BFBFBF" w:themeColor="background1" w:themeShade="BF"/>
              <w:right w:val="nil"/>
            </w:tcBorders>
          </w:tcPr>
          <w:p w14:paraId="3FC8FD25" w14:textId="0551FC48" w:rsidR="00F93BC7" w:rsidRPr="00F93BC7" w:rsidRDefault="00F93BC7" w:rsidP="00F93BC7">
            <w:pPr>
              <w:pStyle w:val="TableText"/>
              <w:spacing w:before="40" w:after="40"/>
              <w:ind w:left="57" w:right="170"/>
              <w:jc w:val="right"/>
              <w:rPr>
                <w:rFonts w:cs="Segoe UI"/>
                <w:b/>
                <w:bCs/>
                <w:sz w:val="16"/>
                <w:szCs w:val="16"/>
              </w:rPr>
            </w:pPr>
            <w:r w:rsidRPr="00F93BC7">
              <w:rPr>
                <w:rFonts w:cs="Segoe UI"/>
                <w:b/>
                <w:bCs/>
                <w:sz w:val="16"/>
                <w:szCs w:val="16"/>
              </w:rPr>
              <w:t>75,586</w:t>
            </w:r>
          </w:p>
        </w:tc>
        <w:tc>
          <w:tcPr>
            <w:tcW w:w="2411" w:type="dxa"/>
            <w:tcBorders>
              <w:top w:val="single" w:sz="4" w:space="0" w:color="BFBFBF" w:themeColor="background1" w:themeShade="BF"/>
              <w:left w:val="nil"/>
              <w:bottom w:val="single" w:sz="4" w:space="0" w:color="BFBFBF" w:themeColor="background1" w:themeShade="BF"/>
              <w:right w:val="nil"/>
            </w:tcBorders>
          </w:tcPr>
          <w:p w14:paraId="1CA44721" w14:textId="29B2CC0F" w:rsidR="00F93BC7" w:rsidRPr="00F93BC7" w:rsidRDefault="00F93BC7" w:rsidP="00F93BC7">
            <w:pPr>
              <w:pStyle w:val="TableText"/>
              <w:spacing w:before="40" w:after="40"/>
              <w:ind w:left="57"/>
              <w:rPr>
                <w:b/>
                <w:bCs/>
                <w:sz w:val="16"/>
                <w:szCs w:val="18"/>
              </w:rPr>
            </w:pPr>
            <w:r w:rsidRPr="00F93BC7">
              <w:rPr>
                <w:b/>
                <w:bCs/>
                <w:sz w:val="16"/>
                <w:szCs w:val="18"/>
              </w:rPr>
              <w:t>Total liabilities</w:t>
            </w:r>
          </w:p>
        </w:tc>
        <w:tc>
          <w:tcPr>
            <w:tcW w:w="567" w:type="dxa"/>
            <w:tcBorders>
              <w:top w:val="single" w:sz="4" w:space="0" w:color="BFBFBF" w:themeColor="background1" w:themeShade="BF"/>
              <w:left w:val="nil"/>
              <w:bottom w:val="single" w:sz="4" w:space="0" w:color="BFBFBF" w:themeColor="background1" w:themeShade="BF"/>
              <w:right w:val="nil"/>
            </w:tcBorders>
          </w:tcPr>
          <w:p w14:paraId="65496E24" w14:textId="77777777" w:rsidR="00F93BC7" w:rsidRPr="00F93BC7" w:rsidRDefault="00F93BC7" w:rsidP="00F93BC7">
            <w:pPr>
              <w:pStyle w:val="TableText"/>
              <w:spacing w:before="40" w:after="40"/>
              <w:ind w:left="57" w:right="57"/>
              <w:jc w:val="right"/>
              <w:rPr>
                <w:rFonts w:cs="Segoe UI"/>
                <w:b/>
                <w:bCs/>
                <w:sz w:val="16"/>
                <w:szCs w:val="16"/>
              </w:rPr>
            </w:pPr>
          </w:p>
        </w:tc>
        <w:tc>
          <w:tcPr>
            <w:tcW w:w="1147" w:type="dxa"/>
            <w:tcBorders>
              <w:top w:val="single" w:sz="4" w:space="0" w:color="BFBFBF" w:themeColor="background1" w:themeShade="BF"/>
              <w:left w:val="nil"/>
              <w:bottom w:val="single" w:sz="4" w:space="0" w:color="BFBFBF" w:themeColor="background1" w:themeShade="BF"/>
              <w:right w:val="nil"/>
            </w:tcBorders>
          </w:tcPr>
          <w:p w14:paraId="4D133AE9" w14:textId="6F1D1F74" w:rsidR="00F93BC7" w:rsidRPr="00F93BC7" w:rsidRDefault="00F93BC7" w:rsidP="00F93BC7">
            <w:pPr>
              <w:pStyle w:val="TableText"/>
              <w:spacing w:before="40" w:after="40"/>
              <w:ind w:left="57" w:right="57"/>
              <w:jc w:val="right"/>
              <w:rPr>
                <w:rFonts w:cs="Segoe UI"/>
                <w:b/>
                <w:bCs/>
                <w:sz w:val="16"/>
                <w:szCs w:val="16"/>
              </w:rPr>
            </w:pPr>
            <w:r w:rsidRPr="00F93BC7">
              <w:rPr>
                <w:rFonts w:cs="Segoe UI"/>
                <w:b/>
                <w:bCs/>
                <w:sz w:val="16"/>
                <w:szCs w:val="16"/>
              </w:rPr>
              <w:t>75,786</w:t>
            </w:r>
          </w:p>
        </w:tc>
        <w:tc>
          <w:tcPr>
            <w:tcW w:w="1285" w:type="dxa"/>
            <w:tcBorders>
              <w:top w:val="single" w:sz="4" w:space="0" w:color="BFBFBF" w:themeColor="background1" w:themeShade="BF"/>
              <w:left w:val="nil"/>
              <w:bottom w:val="single" w:sz="4" w:space="0" w:color="BFBFBF" w:themeColor="background1" w:themeShade="BF"/>
              <w:right w:val="nil"/>
            </w:tcBorders>
          </w:tcPr>
          <w:p w14:paraId="75C7E2B2" w14:textId="4B4C86EC" w:rsidR="00F93BC7" w:rsidRPr="00F93BC7" w:rsidRDefault="00F93BC7" w:rsidP="00F93BC7">
            <w:pPr>
              <w:pStyle w:val="TableText"/>
              <w:spacing w:before="40" w:after="40"/>
              <w:ind w:left="57" w:right="57"/>
              <w:jc w:val="right"/>
              <w:rPr>
                <w:rFonts w:cs="Segoe UI"/>
                <w:b/>
                <w:bCs/>
                <w:sz w:val="16"/>
                <w:szCs w:val="16"/>
              </w:rPr>
            </w:pPr>
            <w:r w:rsidRPr="00F93BC7">
              <w:rPr>
                <w:rFonts w:cs="Segoe UI"/>
                <w:b/>
                <w:bCs/>
                <w:sz w:val="16"/>
                <w:szCs w:val="16"/>
              </w:rPr>
              <w:t>49,760</w:t>
            </w:r>
          </w:p>
        </w:tc>
        <w:tc>
          <w:tcPr>
            <w:tcW w:w="1395" w:type="dxa"/>
            <w:tcBorders>
              <w:top w:val="single" w:sz="4" w:space="0" w:color="BFBFBF" w:themeColor="background1" w:themeShade="BF"/>
              <w:left w:val="nil"/>
              <w:bottom w:val="single" w:sz="4" w:space="0" w:color="BFBFBF" w:themeColor="background1" w:themeShade="BF"/>
              <w:right w:val="nil"/>
            </w:tcBorders>
          </w:tcPr>
          <w:p w14:paraId="1050AFA4" w14:textId="51E0E739" w:rsidR="00F93BC7" w:rsidRPr="00F93BC7" w:rsidRDefault="00F93BC7" w:rsidP="00F93BC7">
            <w:pPr>
              <w:pStyle w:val="TableText"/>
              <w:spacing w:before="40" w:after="40"/>
              <w:ind w:left="57" w:right="57"/>
              <w:jc w:val="right"/>
              <w:rPr>
                <w:rFonts w:cs="Segoe UI"/>
                <w:b/>
                <w:bCs/>
                <w:sz w:val="16"/>
                <w:szCs w:val="16"/>
              </w:rPr>
            </w:pPr>
            <w:r w:rsidRPr="00F93BC7">
              <w:rPr>
                <w:rFonts w:cs="Segoe UI"/>
                <w:b/>
                <w:bCs/>
                <w:sz w:val="16"/>
                <w:szCs w:val="16"/>
              </w:rPr>
              <w:t>26,850</w:t>
            </w:r>
          </w:p>
        </w:tc>
      </w:tr>
      <w:tr w:rsidR="00F93BC7" w:rsidRPr="00F93BC7" w14:paraId="1E3304FB" w14:textId="77777777" w:rsidTr="00CE40AF">
        <w:trPr>
          <w:trHeight w:val="362"/>
        </w:trPr>
        <w:tc>
          <w:tcPr>
            <w:tcW w:w="1275" w:type="dxa"/>
            <w:tcBorders>
              <w:top w:val="single" w:sz="4" w:space="0" w:color="BFBFBF" w:themeColor="background1" w:themeShade="BF"/>
              <w:left w:val="nil"/>
              <w:bottom w:val="single" w:sz="4" w:space="0" w:color="BFBFBF" w:themeColor="background1" w:themeShade="BF"/>
              <w:right w:val="nil"/>
            </w:tcBorders>
          </w:tcPr>
          <w:p w14:paraId="426B7088" w14:textId="354813D3" w:rsidR="00F93BC7" w:rsidRPr="00F93BC7" w:rsidRDefault="00F93BC7" w:rsidP="00F93BC7">
            <w:pPr>
              <w:pStyle w:val="TableText"/>
              <w:spacing w:before="40" w:after="40"/>
              <w:ind w:left="57" w:right="170"/>
              <w:jc w:val="right"/>
              <w:rPr>
                <w:rFonts w:cs="Segoe UI"/>
                <w:b/>
                <w:bCs/>
                <w:sz w:val="16"/>
                <w:szCs w:val="16"/>
              </w:rPr>
            </w:pPr>
            <w:r w:rsidRPr="00F93BC7">
              <w:rPr>
                <w:rFonts w:cs="Segoe UI"/>
                <w:b/>
                <w:bCs/>
                <w:sz w:val="16"/>
                <w:szCs w:val="16"/>
              </w:rPr>
              <w:t>4,632</w:t>
            </w:r>
          </w:p>
        </w:tc>
        <w:tc>
          <w:tcPr>
            <w:tcW w:w="2411" w:type="dxa"/>
            <w:tcBorders>
              <w:top w:val="single" w:sz="4" w:space="0" w:color="BFBFBF" w:themeColor="background1" w:themeShade="BF"/>
              <w:left w:val="nil"/>
              <w:bottom w:val="single" w:sz="4" w:space="0" w:color="BFBFBF" w:themeColor="background1" w:themeShade="BF"/>
              <w:right w:val="nil"/>
            </w:tcBorders>
          </w:tcPr>
          <w:p w14:paraId="2EC8DE6F" w14:textId="4B4B313E" w:rsidR="00F93BC7" w:rsidRPr="00F93BC7" w:rsidRDefault="00F93BC7" w:rsidP="00F93BC7">
            <w:pPr>
              <w:pStyle w:val="TableText"/>
              <w:spacing w:before="40" w:after="40"/>
              <w:ind w:left="57"/>
              <w:rPr>
                <w:b/>
                <w:bCs/>
                <w:sz w:val="16"/>
                <w:szCs w:val="18"/>
              </w:rPr>
            </w:pPr>
            <w:r w:rsidRPr="00F93BC7">
              <w:rPr>
                <w:b/>
                <w:bCs/>
                <w:sz w:val="16"/>
                <w:szCs w:val="18"/>
              </w:rPr>
              <w:t>Net assets</w:t>
            </w:r>
          </w:p>
        </w:tc>
        <w:tc>
          <w:tcPr>
            <w:tcW w:w="567" w:type="dxa"/>
            <w:tcBorders>
              <w:top w:val="single" w:sz="4" w:space="0" w:color="BFBFBF" w:themeColor="background1" w:themeShade="BF"/>
              <w:left w:val="nil"/>
              <w:bottom w:val="single" w:sz="4" w:space="0" w:color="BFBFBF" w:themeColor="background1" w:themeShade="BF"/>
              <w:right w:val="nil"/>
            </w:tcBorders>
          </w:tcPr>
          <w:p w14:paraId="6B0A17AC" w14:textId="77777777" w:rsidR="00F93BC7" w:rsidRPr="00F93BC7" w:rsidRDefault="00F93BC7" w:rsidP="00F93BC7">
            <w:pPr>
              <w:pStyle w:val="TableText"/>
              <w:spacing w:before="40" w:after="40"/>
              <w:ind w:left="57" w:right="57"/>
              <w:jc w:val="right"/>
              <w:rPr>
                <w:rFonts w:cs="Segoe UI"/>
                <w:b/>
                <w:bCs/>
                <w:sz w:val="16"/>
                <w:szCs w:val="16"/>
              </w:rPr>
            </w:pPr>
          </w:p>
        </w:tc>
        <w:tc>
          <w:tcPr>
            <w:tcW w:w="1147" w:type="dxa"/>
            <w:tcBorders>
              <w:top w:val="single" w:sz="4" w:space="0" w:color="BFBFBF" w:themeColor="background1" w:themeShade="BF"/>
              <w:left w:val="nil"/>
              <w:bottom w:val="single" w:sz="4" w:space="0" w:color="BFBFBF" w:themeColor="background1" w:themeShade="BF"/>
              <w:right w:val="nil"/>
            </w:tcBorders>
          </w:tcPr>
          <w:p w14:paraId="7D3B0908" w14:textId="3C13473B" w:rsidR="00F93BC7" w:rsidRPr="00F93BC7" w:rsidRDefault="00F93BC7" w:rsidP="00F93BC7">
            <w:pPr>
              <w:pStyle w:val="TableText"/>
              <w:spacing w:before="40" w:after="40"/>
              <w:ind w:left="57" w:right="57"/>
              <w:jc w:val="right"/>
              <w:rPr>
                <w:rFonts w:cs="Segoe UI"/>
                <w:b/>
                <w:bCs/>
                <w:sz w:val="16"/>
                <w:szCs w:val="16"/>
              </w:rPr>
            </w:pPr>
            <w:r w:rsidRPr="00F93BC7">
              <w:rPr>
                <w:rFonts w:cs="Segoe UI"/>
                <w:b/>
                <w:bCs/>
                <w:sz w:val="16"/>
                <w:szCs w:val="16"/>
              </w:rPr>
              <w:t>3,070</w:t>
            </w:r>
          </w:p>
        </w:tc>
        <w:tc>
          <w:tcPr>
            <w:tcW w:w="1285" w:type="dxa"/>
            <w:tcBorders>
              <w:top w:val="single" w:sz="4" w:space="0" w:color="BFBFBF" w:themeColor="background1" w:themeShade="BF"/>
              <w:left w:val="nil"/>
              <w:bottom w:val="single" w:sz="4" w:space="0" w:color="BFBFBF" w:themeColor="background1" w:themeShade="BF"/>
              <w:right w:val="nil"/>
            </w:tcBorders>
          </w:tcPr>
          <w:p w14:paraId="5CD6794E" w14:textId="4AA06DE3" w:rsidR="00F93BC7" w:rsidRPr="00F93BC7" w:rsidRDefault="00F93BC7" w:rsidP="00F93BC7">
            <w:pPr>
              <w:pStyle w:val="TableText"/>
              <w:spacing w:before="40" w:after="40"/>
              <w:ind w:left="57" w:right="57"/>
              <w:jc w:val="right"/>
              <w:rPr>
                <w:rFonts w:cs="Segoe UI"/>
                <w:b/>
                <w:bCs/>
                <w:sz w:val="16"/>
                <w:szCs w:val="16"/>
              </w:rPr>
            </w:pPr>
            <w:r w:rsidRPr="00F93BC7">
              <w:rPr>
                <w:rFonts w:cs="Segoe UI"/>
                <w:b/>
                <w:bCs/>
                <w:sz w:val="16"/>
                <w:szCs w:val="16"/>
              </w:rPr>
              <w:t>5,606</w:t>
            </w:r>
          </w:p>
        </w:tc>
        <w:tc>
          <w:tcPr>
            <w:tcW w:w="1395" w:type="dxa"/>
            <w:tcBorders>
              <w:top w:val="single" w:sz="4" w:space="0" w:color="BFBFBF" w:themeColor="background1" w:themeShade="BF"/>
              <w:left w:val="nil"/>
              <w:bottom w:val="single" w:sz="4" w:space="0" w:color="BFBFBF" w:themeColor="background1" w:themeShade="BF"/>
              <w:right w:val="nil"/>
            </w:tcBorders>
          </w:tcPr>
          <w:p w14:paraId="2AF899DA" w14:textId="07A473F0" w:rsidR="00F93BC7" w:rsidRPr="00F93BC7" w:rsidRDefault="00F93BC7" w:rsidP="00F93BC7">
            <w:pPr>
              <w:pStyle w:val="TableText"/>
              <w:spacing w:before="40" w:after="40"/>
              <w:ind w:left="57" w:right="57"/>
              <w:jc w:val="right"/>
              <w:rPr>
                <w:rFonts w:cs="Segoe UI"/>
                <w:b/>
                <w:bCs/>
                <w:sz w:val="16"/>
                <w:szCs w:val="16"/>
              </w:rPr>
            </w:pPr>
            <w:r w:rsidRPr="00F93BC7">
              <w:rPr>
                <w:rFonts w:cs="Segoe UI"/>
                <w:b/>
                <w:bCs/>
                <w:sz w:val="16"/>
                <w:szCs w:val="16"/>
              </w:rPr>
              <w:t>4,116</w:t>
            </w:r>
          </w:p>
        </w:tc>
      </w:tr>
    </w:tbl>
    <w:p w14:paraId="1849698A" w14:textId="031202BB" w:rsidR="00CE40AF" w:rsidRPr="00CE40AF" w:rsidRDefault="00FF0D54" w:rsidP="00FF0D54">
      <w:pPr>
        <w:pStyle w:val="Note"/>
        <w:rPr>
          <w:highlight w:val="yellow"/>
        </w:rPr>
        <w:sectPr w:rsidR="00CE40AF" w:rsidRPr="00CE40AF" w:rsidSect="000A3324">
          <w:pgSz w:w="11907" w:h="16840" w:code="9"/>
          <w:pgMar w:top="1418" w:right="1701" w:bottom="1134" w:left="1843" w:header="284" w:footer="425" w:gutter="284"/>
          <w:cols w:space="720"/>
        </w:sectPr>
      </w:pPr>
      <w:r w:rsidRPr="00CE40AF">
        <w:t>The accompanying notes form part of these financial statements.</w:t>
      </w:r>
    </w:p>
    <w:p w14:paraId="0D94FC9A" w14:textId="77777777" w:rsidR="005734DE" w:rsidRDefault="00FF0D54" w:rsidP="00FF0D54">
      <w:pPr>
        <w:pStyle w:val="Heading2"/>
        <w:spacing w:before="0"/>
      </w:pPr>
      <w:bookmarkStart w:id="43" w:name="_Toc180077039"/>
      <w:r w:rsidRPr="00FF0D54">
        <w:lastRenderedPageBreak/>
        <w:t>Statement of changes in equity for the year ended 30 June 2024</w:t>
      </w:r>
      <w:bookmarkEnd w:id="43"/>
    </w:p>
    <w:p w14:paraId="730823C4" w14:textId="77777777" w:rsidR="00FF0D54" w:rsidRDefault="00FF0D54" w:rsidP="00FF0D54">
      <w:pPr>
        <w:rPr>
          <w:highlight w:val="yellow"/>
        </w:rPr>
      </w:pPr>
    </w:p>
    <w:tbl>
      <w:tblPr>
        <w:tblW w:w="8190" w:type="dxa"/>
        <w:tblInd w:w="7" w:type="dxa"/>
        <w:tblLayout w:type="fixed"/>
        <w:tblCellMar>
          <w:left w:w="0" w:type="dxa"/>
          <w:right w:w="0" w:type="dxa"/>
        </w:tblCellMar>
        <w:tblLook w:val="01E0" w:firstRow="1" w:lastRow="1" w:firstColumn="1" w:lastColumn="1" w:noHBand="0" w:noVBand="0"/>
      </w:tblPr>
      <w:tblGrid>
        <w:gridCol w:w="1247"/>
        <w:gridCol w:w="2573"/>
        <w:gridCol w:w="728"/>
        <w:gridCol w:w="1140"/>
        <w:gridCol w:w="1280"/>
        <w:gridCol w:w="1222"/>
      </w:tblGrid>
      <w:tr w:rsidR="00FF0D54" w14:paraId="397B0AB0" w14:textId="77777777" w:rsidTr="00FF0D54">
        <w:trPr>
          <w:trHeight w:val="1004"/>
        </w:trPr>
        <w:tc>
          <w:tcPr>
            <w:tcW w:w="1247" w:type="dxa"/>
            <w:shd w:val="clear" w:color="auto" w:fill="D9D9D9" w:themeFill="background1" w:themeFillShade="D9"/>
            <w:hideMark/>
          </w:tcPr>
          <w:p w14:paraId="20AB3FAE" w14:textId="77777777" w:rsidR="00FF0D54" w:rsidRDefault="00FF0D54">
            <w:pPr>
              <w:pStyle w:val="TableParagraph"/>
              <w:spacing w:before="60" w:after="60"/>
              <w:ind w:left="522"/>
              <w:rPr>
                <w:rFonts w:ascii="Segoe UI" w:hAnsi="Segoe UI" w:cs="Segoe UI"/>
                <w:b/>
                <w:w w:val="110"/>
                <w:sz w:val="16"/>
                <w:szCs w:val="16"/>
              </w:rPr>
            </w:pPr>
            <w:r>
              <w:rPr>
                <w:rFonts w:ascii="Segoe UI" w:hAnsi="Segoe UI" w:cs="Segoe UI"/>
                <w:b/>
                <w:w w:val="110"/>
                <w:sz w:val="16"/>
                <w:szCs w:val="16"/>
              </w:rPr>
              <w:t>Actual</w:t>
            </w:r>
            <w:r>
              <w:rPr>
                <w:rFonts w:ascii="Segoe UI" w:hAnsi="Segoe UI" w:cs="Segoe UI"/>
                <w:b/>
                <w:w w:val="110"/>
                <w:sz w:val="16"/>
                <w:szCs w:val="16"/>
              </w:rPr>
              <w:br/>
            </w:r>
          </w:p>
          <w:p w14:paraId="64B6A843" w14:textId="375706A1" w:rsidR="00FF0D54" w:rsidRDefault="00FF0D54">
            <w:pPr>
              <w:pStyle w:val="TableParagraph"/>
              <w:spacing w:before="60" w:after="60"/>
              <w:ind w:left="707"/>
              <w:rPr>
                <w:rFonts w:ascii="Segoe UI" w:hAnsi="Segoe UI" w:cs="Segoe UI"/>
                <w:b/>
                <w:sz w:val="16"/>
                <w:szCs w:val="16"/>
              </w:rPr>
            </w:pPr>
            <w:r>
              <w:rPr>
                <w:rFonts w:ascii="Segoe UI" w:hAnsi="Segoe UI" w:cs="Segoe UI"/>
                <w:b/>
                <w:w w:val="105"/>
                <w:sz w:val="16"/>
                <w:szCs w:val="16"/>
              </w:rPr>
              <w:t>2023</w:t>
            </w:r>
          </w:p>
          <w:p w14:paraId="4E61F911" w14:textId="77777777" w:rsidR="00FF0D54" w:rsidRDefault="00FF0D54">
            <w:pPr>
              <w:pStyle w:val="TableParagraph"/>
              <w:spacing w:before="60" w:after="60"/>
              <w:ind w:left="662"/>
              <w:rPr>
                <w:rFonts w:ascii="Segoe UI" w:hAnsi="Segoe UI" w:cs="Segoe UI"/>
                <w:b/>
                <w:sz w:val="16"/>
                <w:szCs w:val="16"/>
              </w:rPr>
            </w:pPr>
            <w:r>
              <w:rPr>
                <w:rFonts w:ascii="Segoe UI" w:hAnsi="Segoe UI" w:cs="Segoe UI"/>
                <w:b/>
                <w:w w:val="120"/>
                <w:sz w:val="16"/>
                <w:szCs w:val="16"/>
              </w:rPr>
              <w:t>$000</w:t>
            </w:r>
          </w:p>
        </w:tc>
        <w:tc>
          <w:tcPr>
            <w:tcW w:w="2573" w:type="dxa"/>
            <w:shd w:val="clear" w:color="auto" w:fill="D9D9D9" w:themeFill="background1" w:themeFillShade="D9"/>
          </w:tcPr>
          <w:p w14:paraId="1F9CDC24" w14:textId="77777777" w:rsidR="00FF0D54" w:rsidRDefault="00FF0D54">
            <w:pPr>
              <w:pStyle w:val="TableParagraph"/>
              <w:spacing w:before="60" w:after="60"/>
              <w:rPr>
                <w:rFonts w:ascii="Segoe UI" w:hAnsi="Segoe UI" w:cs="Segoe UI"/>
                <w:sz w:val="16"/>
                <w:szCs w:val="16"/>
              </w:rPr>
            </w:pPr>
          </w:p>
        </w:tc>
        <w:tc>
          <w:tcPr>
            <w:tcW w:w="728" w:type="dxa"/>
            <w:shd w:val="clear" w:color="auto" w:fill="D9D9D9" w:themeFill="background1" w:themeFillShade="D9"/>
            <w:vAlign w:val="bottom"/>
            <w:hideMark/>
          </w:tcPr>
          <w:p w14:paraId="5FB6182F" w14:textId="77777777" w:rsidR="00FF0D54" w:rsidRDefault="00FF0D54">
            <w:pPr>
              <w:pStyle w:val="TableParagraph"/>
              <w:spacing w:before="60" w:after="60"/>
              <w:ind w:left="-1" w:right="24"/>
              <w:jc w:val="right"/>
              <w:rPr>
                <w:rFonts w:ascii="Segoe UI" w:hAnsi="Segoe UI" w:cs="Segoe UI"/>
                <w:b/>
                <w:sz w:val="16"/>
                <w:szCs w:val="16"/>
              </w:rPr>
            </w:pPr>
            <w:r>
              <w:rPr>
                <w:rFonts w:ascii="Segoe UI" w:hAnsi="Segoe UI" w:cs="Segoe UI"/>
                <w:b/>
                <w:w w:val="105"/>
                <w:sz w:val="16"/>
                <w:szCs w:val="16"/>
              </w:rPr>
              <w:t>Note</w:t>
            </w:r>
          </w:p>
        </w:tc>
        <w:tc>
          <w:tcPr>
            <w:tcW w:w="1140" w:type="dxa"/>
            <w:shd w:val="clear" w:color="auto" w:fill="D9D9D9" w:themeFill="background1" w:themeFillShade="D9"/>
            <w:hideMark/>
          </w:tcPr>
          <w:p w14:paraId="67CAAB5F" w14:textId="77777777" w:rsidR="00FF0D54" w:rsidRDefault="00FF0D54">
            <w:pPr>
              <w:pStyle w:val="TableParagraph"/>
              <w:spacing w:before="60" w:after="60"/>
              <w:ind w:right="152"/>
              <w:jc w:val="right"/>
              <w:rPr>
                <w:rFonts w:ascii="Segoe UI" w:hAnsi="Segoe UI" w:cs="Segoe UI"/>
                <w:b/>
                <w:sz w:val="16"/>
                <w:szCs w:val="16"/>
              </w:rPr>
            </w:pPr>
            <w:r>
              <w:rPr>
                <w:rFonts w:ascii="Segoe UI" w:hAnsi="Segoe UI" w:cs="Segoe UI"/>
                <w:b/>
                <w:w w:val="110"/>
                <w:sz w:val="16"/>
                <w:szCs w:val="16"/>
              </w:rPr>
              <w:t>Actual</w:t>
            </w:r>
            <w:r>
              <w:rPr>
                <w:rFonts w:ascii="Segoe UI" w:hAnsi="Segoe UI" w:cs="Segoe UI"/>
                <w:b/>
                <w:w w:val="110"/>
                <w:sz w:val="16"/>
                <w:szCs w:val="16"/>
              </w:rPr>
              <w:br/>
            </w:r>
          </w:p>
          <w:p w14:paraId="651D55B8" w14:textId="20F5D53C" w:rsidR="00FF0D54" w:rsidRDefault="00FF0D54">
            <w:pPr>
              <w:pStyle w:val="TableParagraph"/>
              <w:spacing w:before="60" w:after="60"/>
              <w:ind w:right="152"/>
              <w:jc w:val="right"/>
              <w:rPr>
                <w:rFonts w:ascii="Segoe UI" w:hAnsi="Segoe UI" w:cs="Segoe UI"/>
                <w:b/>
                <w:sz w:val="16"/>
                <w:szCs w:val="16"/>
              </w:rPr>
            </w:pPr>
            <w:r>
              <w:rPr>
                <w:rFonts w:ascii="Segoe UI" w:hAnsi="Segoe UI" w:cs="Segoe UI"/>
                <w:b/>
                <w:w w:val="105"/>
                <w:sz w:val="16"/>
                <w:szCs w:val="16"/>
              </w:rPr>
              <w:t>2024</w:t>
            </w:r>
          </w:p>
          <w:p w14:paraId="316E5780" w14:textId="77777777" w:rsidR="00FF0D54" w:rsidRDefault="00FF0D54">
            <w:pPr>
              <w:pStyle w:val="TableParagraph"/>
              <w:spacing w:before="60" w:after="60"/>
              <w:ind w:right="152"/>
              <w:jc w:val="right"/>
              <w:rPr>
                <w:rFonts w:ascii="Segoe UI" w:hAnsi="Segoe UI" w:cs="Segoe UI"/>
                <w:b/>
                <w:sz w:val="16"/>
                <w:szCs w:val="16"/>
              </w:rPr>
            </w:pPr>
            <w:r>
              <w:rPr>
                <w:rFonts w:ascii="Segoe UI" w:hAnsi="Segoe UI" w:cs="Segoe UI"/>
                <w:b/>
                <w:w w:val="120"/>
                <w:sz w:val="16"/>
                <w:szCs w:val="16"/>
              </w:rPr>
              <w:t>$000</w:t>
            </w:r>
          </w:p>
        </w:tc>
        <w:tc>
          <w:tcPr>
            <w:tcW w:w="1280" w:type="dxa"/>
            <w:shd w:val="clear" w:color="auto" w:fill="D9D9D9" w:themeFill="background1" w:themeFillShade="D9"/>
            <w:hideMark/>
          </w:tcPr>
          <w:p w14:paraId="711F934D" w14:textId="77777777" w:rsidR="00FF0D54" w:rsidRDefault="00FF0D54">
            <w:pPr>
              <w:pStyle w:val="TableParagraph"/>
              <w:spacing w:before="60" w:after="60"/>
              <w:ind w:right="151"/>
              <w:jc w:val="right"/>
              <w:rPr>
                <w:rFonts w:ascii="Segoe UI" w:hAnsi="Segoe UI" w:cs="Segoe UI"/>
                <w:b/>
                <w:w w:val="110"/>
                <w:sz w:val="16"/>
                <w:szCs w:val="16"/>
              </w:rPr>
            </w:pPr>
            <w:r>
              <w:rPr>
                <w:rFonts w:ascii="Segoe UI" w:hAnsi="Segoe UI" w:cs="Segoe UI"/>
                <w:b/>
                <w:w w:val="110"/>
                <w:sz w:val="16"/>
                <w:szCs w:val="16"/>
              </w:rPr>
              <w:t>Unaudited</w:t>
            </w:r>
            <w:r>
              <w:rPr>
                <w:rFonts w:ascii="Segoe UI" w:hAnsi="Segoe UI" w:cs="Segoe UI"/>
                <w:b/>
                <w:w w:val="110"/>
                <w:sz w:val="16"/>
                <w:szCs w:val="16"/>
              </w:rPr>
              <w:br/>
              <w:t>budget</w:t>
            </w:r>
          </w:p>
          <w:p w14:paraId="6362EDF4" w14:textId="75896D54" w:rsidR="00FF0D54" w:rsidRDefault="00FF0D54">
            <w:pPr>
              <w:pStyle w:val="TableParagraph"/>
              <w:spacing w:before="60" w:after="60"/>
              <w:ind w:left="695"/>
              <w:rPr>
                <w:rFonts w:ascii="Segoe UI" w:hAnsi="Segoe UI" w:cs="Segoe UI"/>
                <w:b/>
                <w:w w:val="105"/>
                <w:sz w:val="16"/>
                <w:szCs w:val="16"/>
              </w:rPr>
            </w:pPr>
            <w:r>
              <w:rPr>
                <w:rFonts w:ascii="Segoe UI" w:hAnsi="Segoe UI" w:cs="Segoe UI"/>
                <w:b/>
                <w:w w:val="105"/>
                <w:sz w:val="16"/>
                <w:szCs w:val="16"/>
              </w:rPr>
              <w:t>2024</w:t>
            </w:r>
          </w:p>
          <w:p w14:paraId="654F8294" w14:textId="77777777" w:rsidR="00FF0D54" w:rsidRDefault="00FF0D54">
            <w:pPr>
              <w:pStyle w:val="TableParagraph"/>
              <w:spacing w:before="60" w:after="60"/>
              <w:ind w:right="151"/>
              <w:jc w:val="right"/>
              <w:rPr>
                <w:rFonts w:ascii="Segoe UI" w:hAnsi="Segoe UI" w:cs="Segoe UI"/>
                <w:b/>
                <w:sz w:val="16"/>
                <w:szCs w:val="16"/>
              </w:rPr>
            </w:pPr>
            <w:r>
              <w:rPr>
                <w:rFonts w:ascii="Segoe UI" w:hAnsi="Segoe UI" w:cs="Segoe UI"/>
                <w:b/>
                <w:w w:val="120"/>
                <w:sz w:val="16"/>
                <w:szCs w:val="16"/>
              </w:rPr>
              <w:t>$000</w:t>
            </w:r>
          </w:p>
        </w:tc>
        <w:tc>
          <w:tcPr>
            <w:tcW w:w="1222" w:type="dxa"/>
            <w:shd w:val="clear" w:color="auto" w:fill="D9D9D9" w:themeFill="background1" w:themeFillShade="D9"/>
            <w:hideMark/>
          </w:tcPr>
          <w:p w14:paraId="365158E9" w14:textId="77777777" w:rsidR="00FF0D54" w:rsidRDefault="00FF0D54">
            <w:pPr>
              <w:pStyle w:val="TableParagraph"/>
              <w:spacing w:before="60" w:after="60" w:line="252" w:lineRule="auto"/>
              <w:ind w:left="356" w:right="92" w:hanging="202"/>
              <w:jc w:val="right"/>
              <w:rPr>
                <w:rFonts w:ascii="Segoe UI" w:hAnsi="Segoe UI" w:cs="Segoe UI"/>
                <w:b/>
                <w:w w:val="110"/>
                <w:sz w:val="16"/>
                <w:szCs w:val="16"/>
              </w:rPr>
            </w:pPr>
            <w:r>
              <w:rPr>
                <w:rFonts w:ascii="Segoe UI" w:hAnsi="Segoe UI" w:cs="Segoe UI"/>
                <w:b/>
                <w:w w:val="110"/>
                <w:sz w:val="16"/>
                <w:szCs w:val="16"/>
              </w:rPr>
              <w:t>Unaudited</w:t>
            </w:r>
            <w:r>
              <w:rPr>
                <w:rFonts w:ascii="Segoe UI" w:hAnsi="Segoe UI" w:cs="Segoe UI"/>
                <w:b/>
                <w:w w:val="110"/>
                <w:sz w:val="16"/>
                <w:szCs w:val="16"/>
              </w:rPr>
              <w:br/>
            </w:r>
            <w:r>
              <w:rPr>
                <w:rFonts w:ascii="Segoe UI" w:hAnsi="Segoe UI" w:cs="Segoe UI"/>
                <w:b/>
                <w:spacing w:val="-53"/>
                <w:w w:val="110"/>
                <w:sz w:val="16"/>
                <w:szCs w:val="16"/>
              </w:rPr>
              <w:t xml:space="preserve"> </w:t>
            </w:r>
            <w:r>
              <w:rPr>
                <w:rFonts w:ascii="Segoe UI" w:hAnsi="Segoe UI" w:cs="Segoe UI"/>
                <w:b/>
                <w:w w:val="110"/>
                <w:sz w:val="16"/>
                <w:szCs w:val="16"/>
              </w:rPr>
              <w:t>forecast</w:t>
            </w:r>
          </w:p>
          <w:p w14:paraId="69CCA0C2" w14:textId="5250C96B" w:rsidR="00FF0D54" w:rsidRDefault="00FF0D54">
            <w:pPr>
              <w:pStyle w:val="TableParagraph"/>
              <w:spacing w:before="60" w:after="60"/>
              <w:ind w:right="92"/>
              <w:jc w:val="right"/>
              <w:rPr>
                <w:rFonts w:ascii="Segoe UI" w:hAnsi="Segoe UI" w:cs="Segoe UI"/>
                <w:b/>
                <w:w w:val="110"/>
                <w:sz w:val="16"/>
                <w:szCs w:val="16"/>
              </w:rPr>
            </w:pPr>
            <w:r>
              <w:rPr>
                <w:rFonts w:ascii="Segoe UI" w:hAnsi="Segoe UI" w:cs="Segoe UI"/>
                <w:b/>
                <w:w w:val="110"/>
                <w:sz w:val="16"/>
                <w:szCs w:val="16"/>
              </w:rPr>
              <w:t>2025</w:t>
            </w:r>
          </w:p>
          <w:p w14:paraId="6A402291" w14:textId="77777777" w:rsidR="00FF0D54" w:rsidRDefault="00FF0D54">
            <w:pPr>
              <w:pStyle w:val="TableParagraph"/>
              <w:spacing w:before="60" w:after="60"/>
              <w:ind w:right="92"/>
              <w:jc w:val="right"/>
              <w:rPr>
                <w:rFonts w:ascii="Segoe UI" w:hAnsi="Segoe UI" w:cs="Segoe UI"/>
                <w:b/>
                <w:sz w:val="16"/>
                <w:szCs w:val="16"/>
              </w:rPr>
            </w:pPr>
            <w:r>
              <w:rPr>
                <w:rFonts w:ascii="Segoe UI" w:hAnsi="Segoe UI" w:cs="Segoe UI"/>
                <w:b/>
                <w:w w:val="120"/>
                <w:sz w:val="16"/>
                <w:szCs w:val="16"/>
              </w:rPr>
              <w:t>$000</w:t>
            </w:r>
          </w:p>
        </w:tc>
      </w:tr>
      <w:tr w:rsidR="00FF0D54" w14:paraId="25A67553" w14:textId="77777777" w:rsidTr="00FF0D54">
        <w:trPr>
          <w:trHeight w:val="354"/>
        </w:trPr>
        <w:tc>
          <w:tcPr>
            <w:tcW w:w="1247" w:type="dxa"/>
          </w:tcPr>
          <w:p w14:paraId="4055DF00" w14:textId="10C81762"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22,177</w:t>
            </w:r>
          </w:p>
        </w:tc>
        <w:tc>
          <w:tcPr>
            <w:tcW w:w="2573" w:type="dxa"/>
            <w:hideMark/>
          </w:tcPr>
          <w:p w14:paraId="3958CD68" w14:textId="77777777" w:rsidR="00FF0D54" w:rsidRDefault="00FF0D54" w:rsidP="00FF0D54">
            <w:pPr>
              <w:pStyle w:val="TableText"/>
              <w:rPr>
                <w:rFonts w:cs="Segoe UI"/>
                <w:w w:val="105"/>
                <w:sz w:val="16"/>
                <w:szCs w:val="16"/>
              </w:rPr>
            </w:pPr>
            <w:r>
              <w:rPr>
                <w:rFonts w:cs="Segoe UI"/>
                <w:w w:val="105"/>
                <w:sz w:val="16"/>
                <w:szCs w:val="16"/>
              </w:rPr>
              <w:t xml:space="preserve">Balance as </w:t>
            </w:r>
            <w:proofErr w:type="gramStart"/>
            <w:r>
              <w:rPr>
                <w:rFonts w:cs="Segoe UI"/>
                <w:w w:val="105"/>
                <w:sz w:val="16"/>
                <w:szCs w:val="16"/>
              </w:rPr>
              <w:t>at</w:t>
            </w:r>
            <w:proofErr w:type="gramEnd"/>
            <w:r>
              <w:rPr>
                <w:rFonts w:cs="Segoe UI"/>
                <w:w w:val="105"/>
                <w:sz w:val="16"/>
                <w:szCs w:val="16"/>
              </w:rPr>
              <w:t xml:space="preserve"> 1 July</w:t>
            </w:r>
          </w:p>
        </w:tc>
        <w:tc>
          <w:tcPr>
            <w:tcW w:w="728" w:type="dxa"/>
          </w:tcPr>
          <w:p w14:paraId="1ECCD06C" w14:textId="77777777" w:rsidR="00FF0D54" w:rsidRDefault="00FF0D54" w:rsidP="00FF0D54">
            <w:pPr>
              <w:pStyle w:val="TableText"/>
              <w:spacing w:before="40" w:after="40"/>
              <w:ind w:left="57" w:right="170"/>
              <w:jc w:val="right"/>
              <w:rPr>
                <w:rFonts w:cs="Segoe UI"/>
                <w:sz w:val="16"/>
                <w:szCs w:val="16"/>
              </w:rPr>
            </w:pPr>
          </w:p>
        </w:tc>
        <w:tc>
          <w:tcPr>
            <w:tcW w:w="1140" w:type="dxa"/>
          </w:tcPr>
          <w:p w14:paraId="32647735" w14:textId="52C0FC95"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4,632</w:t>
            </w:r>
          </w:p>
        </w:tc>
        <w:tc>
          <w:tcPr>
            <w:tcW w:w="1280" w:type="dxa"/>
          </w:tcPr>
          <w:p w14:paraId="533DFA07" w14:textId="50A6B1F3"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5,606</w:t>
            </w:r>
          </w:p>
        </w:tc>
        <w:tc>
          <w:tcPr>
            <w:tcW w:w="1222" w:type="dxa"/>
          </w:tcPr>
          <w:p w14:paraId="0BADCD37" w14:textId="26059E9B"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4,116</w:t>
            </w:r>
          </w:p>
        </w:tc>
      </w:tr>
      <w:tr w:rsidR="00FF0D54" w14:paraId="575FF4CB" w14:textId="77777777" w:rsidTr="00FF0D54">
        <w:trPr>
          <w:trHeight w:val="359"/>
        </w:trPr>
        <w:tc>
          <w:tcPr>
            <w:tcW w:w="1247" w:type="dxa"/>
          </w:tcPr>
          <w:p w14:paraId="7DEFA96C" w14:textId="6735D5AD"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33,155</w:t>
            </w:r>
          </w:p>
        </w:tc>
        <w:tc>
          <w:tcPr>
            <w:tcW w:w="2573" w:type="dxa"/>
            <w:hideMark/>
          </w:tcPr>
          <w:p w14:paraId="6E437DE1" w14:textId="77777777" w:rsidR="00FF0D54" w:rsidRDefault="00FF0D54" w:rsidP="00FF0D54">
            <w:pPr>
              <w:pStyle w:val="TableText"/>
              <w:rPr>
                <w:rFonts w:cs="Segoe UI"/>
                <w:w w:val="105"/>
                <w:sz w:val="16"/>
                <w:szCs w:val="16"/>
              </w:rPr>
            </w:pPr>
            <w:r>
              <w:rPr>
                <w:rFonts w:cs="Segoe UI"/>
                <w:w w:val="105"/>
                <w:sz w:val="16"/>
                <w:szCs w:val="16"/>
              </w:rPr>
              <w:t>Net surplus/(deficit)</w:t>
            </w:r>
          </w:p>
        </w:tc>
        <w:tc>
          <w:tcPr>
            <w:tcW w:w="728" w:type="dxa"/>
          </w:tcPr>
          <w:p w14:paraId="2E412570" w14:textId="77777777" w:rsidR="00FF0D54" w:rsidRDefault="00FF0D54" w:rsidP="00FF0D54">
            <w:pPr>
              <w:pStyle w:val="TableText"/>
              <w:spacing w:before="40" w:after="40"/>
              <w:ind w:left="57" w:right="170"/>
              <w:jc w:val="right"/>
              <w:rPr>
                <w:rFonts w:cs="Segoe UI"/>
                <w:sz w:val="16"/>
                <w:szCs w:val="16"/>
              </w:rPr>
            </w:pPr>
          </w:p>
        </w:tc>
        <w:tc>
          <w:tcPr>
            <w:tcW w:w="1140" w:type="dxa"/>
          </w:tcPr>
          <w:p w14:paraId="1446078A" w14:textId="40A2664B"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14,862</w:t>
            </w:r>
          </w:p>
        </w:tc>
        <w:tc>
          <w:tcPr>
            <w:tcW w:w="1280" w:type="dxa"/>
          </w:tcPr>
          <w:p w14:paraId="5D9C0868" w14:textId="313B17C0"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w:t>
            </w:r>
          </w:p>
        </w:tc>
        <w:tc>
          <w:tcPr>
            <w:tcW w:w="1222" w:type="dxa"/>
          </w:tcPr>
          <w:p w14:paraId="45FB5E5D" w14:textId="430AE5AF"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w:t>
            </w:r>
          </w:p>
        </w:tc>
      </w:tr>
      <w:tr w:rsidR="00FF0D54" w14:paraId="2D62A13E" w14:textId="77777777" w:rsidTr="00FF0D54">
        <w:trPr>
          <w:trHeight w:val="359"/>
        </w:trPr>
        <w:tc>
          <w:tcPr>
            <w:tcW w:w="1247" w:type="dxa"/>
          </w:tcPr>
          <w:p w14:paraId="02E7C5C9" w14:textId="17534E34"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w:t>
            </w:r>
          </w:p>
        </w:tc>
        <w:tc>
          <w:tcPr>
            <w:tcW w:w="2573" w:type="dxa"/>
          </w:tcPr>
          <w:p w14:paraId="109B5A5B" w14:textId="790DF677" w:rsidR="00FF0D54" w:rsidRDefault="00FF0D54" w:rsidP="00FF0D54">
            <w:pPr>
              <w:pStyle w:val="TableText"/>
              <w:rPr>
                <w:rFonts w:cs="Segoe UI"/>
                <w:w w:val="105"/>
                <w:sz w:val="16"/>
                <w:szCs w:val="16"/>
              </w:rPr>
            </w:pPr>
            <w:r w:rsidRPr="00FF0D54">
              <w:rPr>
                <w:rFonts w:cs="Segoe UI"/>
                <w:w w:val="105"/>
                <w:sz w:val="16"/>
                <w:szCs w:val="16"/>
              </w:rPr>
              <w:t>Property revaluation</w:t>
            </w:r>
          </w:p>
        </w:tc>
        <w:tc>
          <w:tcPr>
            <w:tcW w:w="728" w:type="dxa"/>
          </w:tcPr>
          <w:p w14:paraId="32E62097" w14:textId="77777777" w:rsidR="00FF0D54" w:rsidRDefault="00FF0D54" w:rsidP="00FF0D54">
            <w:pPr>
              <w:pStyle w:val="TableText"/>
              <w:spacing w:before="40" w:after="40"/>
              <w:ind w:left="57" w:right="170"/>
              <w:jc w:val="right"/>
              <w:rPr>
                <w:rFonts w:cs="Segoe UI"/>
                <w:sz w:val="16"/>
                <w:szCs w:val="16"/>
              </w:rPr>
            </w:pPr>
          </w:p>
        </w:tc>
        <w:tc>
          <w:tcPr>
            <w:tcW w:w="1140" w:type="dxa"/>
          </w:tcPr>
          <w:p w14:paraId="417D0EEE" w14:textId="141A489D"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(565)</w:t>
            </w:r>
          </w:p>
        </w:tc>
        <w:tc>
          <w:tcPr>
            <w:tcW w:w="1280" w:type="dxa"/>
          </w:tcPr>
          <w:p w14:paraId="75B2A4A3" w14:textId="4F6060F0"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w:t>
            </w:r>
          </w:p>
        </w:tc>
        <w:tc>
          <w:tcPr>
            <w:tcW w:w="1222" w:type="dxa"/>
          </w:tcPr>
          <w:p w14:paraId="6162FBCC" w14:textId="3F73AFFA"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w:t>
            </w:r>
          </w:p>
        </w:tc>
      </w:tr>
      <w:tr w:rsidR="00FF0D54" w14:paraId="4AFAD13A" w14:textId="77777777" w:rsidTr="00FF0D54">
        <w:trPr>
          <w:trHeight w:val="359"/>
        </w:trPr>
        <w:tc>
          <w:tcPr>
            <w:tcW w:w="1247" w:type="dxa"/>
          </w:tcPr>
          <w:p w14:paraId="173EF5E0" w14:textId="77777777" w:rsidR="00FF0D54" w:rsidRPr="00FF0D54" w:rsidRDefault="00FF0D54" w:rsidP="00FF0D54">
            <w:pPr>
              <w:pStyle w:val="TableText"/>
              <w:spacing w:before="40" w:after="40"/>
              <w:ind w:left="57" w:right="170"/>
              <w:jc w:val="right"/>
              <w:rPr>
                <w:rFonts w:cs="Segoe UI"/>
                <w:sz w:val="16"/>
                <w:szCs w:val="16"/>
              </w:rPr>
            </w:pPr>
          </w:p>
        </w:tc>
        <w:tc>
          <w:tcPr>
            <w:tcW w:w="2573" w:type="dxa"/>
            <w:hideMark/>
          </w:tcPr>
          <w:p w14:paraId="656B5BF4" w14:textId="77777777" w:rsidR="00FF0D54" w:rsidRDefault="00FF0D54" w:rsidP="00FF0D54">
            <w:pPr>
              <w:pStyle w:val="TableText"/>
              <w:rPr>
                <w:rFonts w:cs="Segoe UI"/>
                <w:b/>
                <w:bCs/>
                <w:w w:val="105"/>
                <w:sz w:val="16"/>
                <w:szCs w:val="16"/>
              </w:rPr>
            </w:pPr>
            <w:r>
              <w:rPr>
                <w:rFonts w:cs="Segoe UI"/>
                <w:b/>
                <w:bCs/>
                <w:w w:val="105"/>
                <w:sz w:val="16"/>
                <w:szCs w:val="16"/>
              </w:rPr>
              <w:t>Owner transactions</w:t>
            </w:r>
          </w:p>
        </w:tc>
        <w:tc>
          <w:tcPr>
            <w:tcW w:w="728" w:type="dxa"/>
          </w:tcPr>
          <w:p w14:paraId="62B387B7" w14:textId="77777777" w:rsidR="00FF0D54" w:rsidRDefault="00FF0D54" w:rsidP="00FF0D54">
            <w:pPr>
              <w:pStyle w:val="TableText"/>
              <w:spacing w:before="40" w:after="40"/>
              <w:ind w:left="57" w:right="170"/>
              <w:jc w:val="right"/>
              <w:rPr>
                <w:rFonts w:cs="Segoe UI"/>
                <w:sz w:val="16"/>
                <w:szCs w:val="16"/>
              </w:rPr>
            </w:pPr>
          </w:p>
        </w:tc>
        <w:tc>
          <w:tcPr>
            <w:tcW w:w="1140" w:type="dxa"/>
          </w:tcPr>
          <w:p w14:paraId="1C6A5CC9" w14:textId="77777777" w:rsidR="00FF0D54" w:rsidRDefault="00FF0D54" w:rsidP="00FF0D54">
            <w:pPr>
              <w:pStyle w:val="TableText"/>
              <w:spacing w:before="40" w:after="40"/>
              <w:ind w:left="57" w:right="170"/>
              <w:jc w:val="right"/>
              <w:rPr>
                <w:rFonts w:cs="Segoe UI"/>
                <w:sz w:val="16"/>
                <w:szCs w:val="16"/>
              </w:rPr>
            </w:pPr>
          </w:p>
        </w:tc>
        <w:tc>
          <w:tcPr>
            <w:tcW w:w="1280" w:type="dxa"/>
          </w:tcPr>
          <w:p w14:paraId="377654AD" w14:textId="77777777" w:rsidR="00FF0D54" w:rsidRDefault="00FF0D54" w:rsidP="00FF0D54">
            <w:pPr>
              <w:pStyle w:val="TableText"/>
              <w:spacing w:before="40" w:after="40"/>
              <w:ind w:left="57" w:right="170"/>
              <w:jc w:val="right"/>
              <w:rPr>
                <w:rFonts w:cs="Segoe UI"/>
                <w:sz w:val="16"/>
                <w:szCs w:val="16"/>
              </w:rPr>
            </w:pPr>
          </w:p>
        </w:tc>
        <w:tc>
          <w:tcPr>
            <w:tcW w:w="1222" w:type="dxa"/>
          </w:tcPr>
          <w:p w14:paraId="519B3987" w14:textId="77777777" w:rsidR="00FF0D54" w:rsidRDefault="00FF0D54" w:rsidP="00FF0D54">
            <w:pPr>
              <w:pStyle w:val="TableText"/>
              <w:spacing w:before="40" w:after="40"/>
              <w:ind w:left="57" w:right="170"/>
              <w:jc w:val="right"/>
              <w:rPr>
                <w:rFonts w:cs="Segoe UI"/>
                <w:sz w:val="16"/>
                <w:szCs w:val="16"/>
              </w:rPr>
            </w:pPr>
          </w:p>
        </w:tc>
      </w:tr>
      <w:tr w:rsidR="00FF0D54" w14:paraId="3216174D" w14:textId="77777777" w:rsidTr="00FF0D54">
        <w:trPr>
          <w:trHeight w:val="579"/>
        </w:trPr>
        <w:tc>
          <w:tcPr>
            <w:tcW w:w="1247" w:type="dxa"/>
          </w:tcPr>
          <w:p w14:paraId="1339681A" w14:textId="71EBDA22"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(34,129)</w:t>
            </w:r>
          </w:p>
        </w:tc>
        <w:tc>
          <w:tcPr>
            <w:tcW w:w="2573" w:type="dxa"/>
            <w:hideMark/>
          </w:tcPr>
          <w:p w14:paraId="1C5B729B" w14:textId="77777777" w:rsidR="00FF0D54" w:rsidRDefault="00FF0D54" w:rsidP="00FF0D54">
            <w:pPr>
              <w:pStyle w:val="TableText"/>
              <w:rPr>
                <w:rFonts w:cs="Segoe UI"/>
                <w:w w:val="105"/>
                <w:sz w:val="16"/>
                <w:szCs w:val="16"/>
              </w:rPr>
            </w:pPr>
            <w:r>
              <w:rPr>
                <w:rFonts w:cs="Segoe UI"/>
                <w:w w:val="105"/>
                <w:sz w:val="16"/>
                <w:szCs w:val="16"/>
              </w:rPr>
              <w:t>Return of operating surplus to the Crown</w:t>
            </w:r>
          </w:p>
        </w:tc>
        <w:tc>
          <w:tcPr>
            <w:tcW w:w="728" w:type="dxa"/>
          </w:tcPr>
          <w:p w14:paraId="7B4870E2" w14:textId="5432ED06"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10</w:t>
            </w:r>
          </w:p>
        </w:tc>
        <w:tc>
          <w:tcPr>
            <w:tcW w:w="1140" w:type="dxa"/>
          </w:tcPr>
          <w:p w14:paraId="251F805F" w14:textId="40BBEBE7"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(15,343)</w:t>
            </w:r>
          </w:p>
        </w:tc>
        <w:tc>
          <w:tcPr>
            <w:tcW w:w="1280" w:type="dxa"/>
          </w:tcPr>
          <w:p w14:paraId="448C7023" w14:textId="0455C5E7"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w:t>
            </w:r>
          </w:p>
        </w:tc>
        <w:tc>
          <w:tcPr>
            <w:tcW w:w="1222" w:type="dxa"/>
          </w:tcPr>
          <w:p w14:paraId="5AB6CE52" w14:textId="6995DF3F"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w:t>
            </w:r>
          </w:p>
        </w:tc>
      </w:tr>
      <w:tr w:rsidR="00FF0D54" w14:paraId="6D3B97E7" w14:textId="77777777" w:rsidTr="00FF0D54">
        <w:trPr>
          <w:trHeight w:val="359"/>
        </w:trPr>
        <w:tc>
          <w:tcPr>
            <w:tcW w:w="1247" w:type="dxa"/>
          </w:tcPr>
          <w:p w14:paraId="7029129E" w14:textId="001C41DE"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943</w:t>
            </w:r>
          </w:p>
        </w:tc>
        <w:tc>
          <w:tcPr>
            <w:tcW w:w="2573" w:type="dxa"/>
            <w:hideMark/>
          </w:tcPr>
          <w:p w14:paraId="72BC1CA0" w14:textId="77777777" w:rsidR="00FF0D54" w:rsidRDefault="00FF0D54" w:rsidP="00FF0D54">
            <w:pPr>
              <w:pStyle w:val="TableText"/>
              <w:rPr>
                <w:rFonts w:cs="Segoe UI"/>
                <w:w w:val="105"/>
                <w:sz w:val="16"/>
                <w:szCs w:val="16"/>
              </w:rPr>
            </w:pPr>
            <w:r>
              <w:rPr>
                <w:rFonts w:cs="Segoe UI"/>
                <w:w w:val="105"/>
                <w:sz w:val="16"/>
                <w:szCs w:val="16"/>
              </w:rPr>
              <w:t xml:space="preserve">Capital contribution — </w:t>
            </w:r>
            <w:proofErr w:type="gramStart"/>
            <w:r>
              <w:rPr>
                <w:rFonts w:cs="Segoe UI"/>
                <w:w w:val="105"/>
                <w:sz w:val="16"/>
                <w:szCs w:val="16"/>
              </w:rPr>
              <w:t>non cash</w:t>
            </w:r>
            <w:proofErr w:type="gramEnd"/>
          </w:p>
        </w:tc>
        <w:tc>
          <w:tcPr>
            <w:tcW w:w="728" w:type="dxa"/>
          </w:tcPr>
          <w:p w14:paraId="35A30F40" w14:textId="77777777" w:rsidR="00FF0D54" w:rsidRDefault="00FF0D54" w:rsidP="00FF0D54">
            <w:pPr>
              <w:pStyle w:val="TableText"/>
              <w:spacing w:before="40" w:after="40"/>
              <w:ind w:left="57" w:right="170"/>
              <w:jc w:val="right"/>
              <w:rPr>
                <w:rFonts w:cs="Segoe UI"/>
                <w:sz w:val="16"/>
                <w:szCs w:val="16"/>
              </w:rPr>
            </w:pPr>
          </w:p>
        </w:tc>
        <w:tc>
          <w:tcPr>
            <w:tcW w:w="1140" w:type="dxa"/>
          </w:tcPr>
          <w:p w14:paraId="4B8CDE18" w14:textId="72738FB7" w:rsidR="00FF0D54" w:rsidRDefault="00FF0D54" w:rsidP="00FF0D54">
            <w:pPr>
              <w:pStyle w:val="TableText"/>
              <w:spacing w:before="40" w:after="40"/>
              <w:ind w:left="57" w:right="170"/>
              <w:jc w:val="right"/>
              <w:rPr>
                <w:rFonts w:cs="Segoe UI"/>
                <w:sz w:val="16"/>
                <w:szCs w:val="16"/>
              </w:rPr>
            </w:pPr>
          </w:p>
        </w:tc>
        <w:tc>
          <w:tcPr>
            <w:tcW w:w="1280" w:type="dxa"/>
          </w:tcPr>
          <w:p w14:paraId="7631225F" w14:textId="35A253CC"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w:t>
            </w:r>
          </w:p>
        </w:tc>
        <w:tc>
          <w:tcPr>
            <w:tcW w:w="1222" w:type="dxa"/>
          </w:tcPr>
          <w:p w14:paraId="560086AE" w14:textId="2F757FC5"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w:t>
            </w:r>
          </w:p>
        </w:tc>
      </w:tr>
      <w:tr w:rsidR="00FF0D54" w14:paraId="06332A1C" w14:textId="77777777" w:rsidTr="00FF0D54">
        <w:trPr>
          <w:trHeight w:val="359"/>
        </w:trPr>
        <w:tc>
          <w:tcPr>
            <w:tcW w:w="1247" w:type="dxa"/>
          </w:tcPr>
          <w:p w14:paraId="223F58D4" w14:textId="57178A55"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(3,473)</w:t>
            </w:r>
          </w:p>
        </w:tc>
        <w:tc>
          <w:tcPr>
            <w:tcW w:w="2573" w:type="dxa"/>
            <w:hideMark/>
          </w:tcPr>
          <w:p w14:paraId="733F83AC" w14:textId="77777777" w:rsidR="00FF0D54" w:rsidRDefault="00FF0D54" w:rsidP="00FF0D54">
            <w:pPr>
              <w:pStyle w:val="TableText"/>
              <w:rPr>
                <w:rFonts w:cs="Segoe UI"/>
                <w:w w:val="105"/>
                <w:sz w:val="16"/>
                <w:szCs w:val="16"/>
              </w:rPr>
            </w:pPr>
            <w:r>
              <w:rPr>
                <w:rFonts w:cs="Segoe UI"/>
                <w:w w:val="105"/>
                <w:sz w:val="16"/>
                <w:szCs w:val="16"/>
              </w:rPr>
              <w:t>Capital withdrawal — cash</w:t>
            </w:r>
          </w:p>
        </w:tc>
        <w:tc>
          <w:tcPr>
            <w:tcW w:w="728" w:type="dxa"/>
          </w:tcPr>
          <w:p w14:paraId="66AB4256" w14:textId="77777777" w:rsidR="00FF0D54" w:rsidRDefault="00FF0D54" w:rsidP="00FF0D54">
            <w:pPr>
              <w:pStyle w:val="TableText"/>
              <w:spacing w:before="40" w:after="40"/>
              <w:ind w:left="57" w:right="170"/>
              <w:jc w:val="right"/>
              <w:rPr>
                <w:rFonts w:cs="Segoe UI"/>
                <w:sz w:val="16"/>
                <w:szCs w:val="16"/>
              </w:rPr>
            </w:pPr>
          </w:p>
        </w:tc>
        <w:tc>
          <w:tcPr>
            <w:tcW w:w="1140" w:type="dxa"/>
          </w:tcPr>
          <w:p w14:paraId="531CC9F6" w14:textId="49B3670E"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(400)</w:t>
            </w:r>
          </w:p>
        </w:tc>
        <w:tc>
          <w:tcPr>
            <w:tcW w:w="1280" w:type="dxa"/>
          </w:tcPr>
          <w:p w14:paraId="127CD1B7" w14:textId="028570A9"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w:t>
            </w:r>
          </w:p>
        </w:tc>
        <w:tc>
          <w:tcPr>
            <w:tcW w:w="1222" w:type="dxa"/>
          </w:tcPr>
          <w:p w14:paraId="598609CF" w14:textId="543FBE70"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w:t>
            </w:r>
          </w:p>
        </w:tc>
      </w:tr>
      <w:tr w:rsidR="00FF0D54" w14:paraId="13C4EE04" w14:textId="77777777" w:rsidTr="00FF0D54">
        <w:trPr>
          <w:trHeight w:val="348"/>
        </w:trPr>
        <w:tc>
          <w:tcPr>
            <w:tcW w:w="1247" w:type="dxa"/>
            <w:tcBorders>
              <w:top w:val="nil"/>
              <w:left w:val="nil"/>
              <w:bottom w:val="single" w:sz="4" w:space="0" w:color="A6A6A6" w:themeColor="background1" w:themeShade="A6"/>
              <w:right w:val="nil"/>
            </w:tcBorders>
          </w:tcPr>
          <w:p w14:paraId="73E33AD4" w14:textId="3D22D0EC"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(14,041)</w:t>
            </w:r>
          </w:p>
        </w:tc>
        <w:tc>
          <w:tcPr>
            <w:tcW w:w="2573" w:type="dxa"/>
            <w:tcBorders>
              <w:top w:val="nil"/>
              <w:left w:val="nil"/>
              <w:bottom w:val="single" w:sz="4" w:space="0" w:color="A6A6A6" w:themeColor="background1" w:themeShade="A6"/>
              <w:right w:val="nil"/>
            </w:tcBorders>
            <w:hideMark/>
          </w:tcPr>
          <w:p w14:paraId="6F54BBDE" w14:textId="77777777" w:rsidR="00FF0D54" w:rsidRDefault="00FF0D54" w:rsidP="00FF0D54">
            <w:pPr>
              <w:pStyle w:val="TableText"/>
              <w:rPr>
                <w:rFonts w:cs="Segoe UI"/>
                <w:w w:val="105"/>
                <w:sz w:val="16"/>
                <w:szCs w:val="16"/>
              </w:rPr>
            </w:pPr>
            <w:r>
              <w:rPr>
                <w:rFonts w:cs="Segoe UI"/>
                <w:w w:val="105"/>
                <w:sz w:val="16"/>
                <w:szCs w:val="16"/>
              </w:rPr>
              <w:t xml:space="preserve">Capital withdrawal— </w:t>
            </w:r>
            <w:proofErr w:type="gramStart"/>
            <w:r>
              <w:rPr>
                <w:rFonts w:cs="Segoe UI"/>
                <w:w w:val="105"/>
                <w:sz w:val="16"/>
                <w:szCs w:val="16"/>
              </w:rPr>
              <w:t>non cash</w:t>
            </w:r>
            <w:proofErr w:type="gramEnd"/>
          </w:p>
        </w:tc>
        <w:tc>
          <w:tcPr>
            <w:tcW w:w="728" w:type="dxa"/>
            <w:tcBorders>
              <w:top w:val="nil"/>
              <w:left w:val="nil"/>
              <w:bottom w:val="single" w:sz="4" w:space="0" w:color="A6A6A6" w:themeColor="background1" w:themeShade="A6"/>
              <w:right w:val="nil"/>
            </w:tcBorders>
          </w:tcPr>
          <w:p w14:paraId="20B8205F" w14:textId="77777777" w:rsidR="00FF0D54" w:rsidRDefault="00FF0D54" w:rsidP="00FF0D54">
            <w:pPr>
              <w:pStyle w:val="TableText"/>
              <w:spacing w:before="40" w:after="40"/>
              <w:ind w:left="57" w:right="170"/>
              <w:jc w:val="right"/>
              <w:rPr>
                <w:rFonts w:cs="Segoe UI"/>
                <w:sz w:val="16"/>
                <w:szCs w:val="16"/>
              </w:rPr>
            </w:pPr>
          </w:p>
        </w:tc>
        <w:tc>
          <w:tcPr>
            <w:tcW w:w="1140" w:type="dxa"/>
            <w:tcBorders>
              <w:top w:val="nil"/>
              <w:left w:val="nil"/>
              <w:bottom w:val="single" w:sz="4" w:space="0" w:color="A6A6A6" w:themeColor="background1" w:themeShade="A6"/>
              <w:right w:val="nil"/>
            </w:tcBorders>
          </w:tcPr>
          <w:p w14:paraId="52BEA591" w14:textId="2C79ADA0"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(116)</w:t>
            </w:r>
          </w:p>
        </w:tc>
        <w:tc>
          <w:tcPr>
            <w:tcW w:w="1280" w:type="dxa"/>
            <w:tcBorders>
              <w:top w:val="nil"/>
              <w:left w:val="nil"/>
              <w:bottom w:val="single" w:sz="4" w:space="0" w:color="A6A6A6" w:themeColor="background1" w:themeShade="A6"/>
              <w:right w:val="nil"/>
            </w:tcBorders>
          </w:tcPr>
          <w:p w14:paraId="76E28955" w14:textId="5306A2EC"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w:t>
            </w:r>
          </w:p>
        </w:tc>
        <w:tc>
          <w:tcPr>
            <w:tcW w:w="1222" w:type="dxa"/>
            <w:tcBorders>
              <w:top w:val="nil"/>
              <w:left w:val="nil"/>
              <w:bottom w:val="single" w:sz="4" w:space="0" w:color="A6A6A6" w:themeColor="background1" w:themeShade="A6"/>
              <w:right w:val="nil"/>
            </w:tcBorders>
          </w:tcPr>
          <w:p w14:paraId="6BBB8407" w14:textId="40A522BB" w:rsidR="00FF0D54" w:rsidRDefault="00FF0D54" w:rsidP="00FF0D54">
            <w:pPr>
              <w:pStyle w:val="TableText"/>
              <w:spacing w:before="40" w:after="40"/>
              <w:ind w:left="57" w:right="170"/>
              <w:jc w:val="right"/>
              <w:rPr>
                <w:rFonts w:cs="Segoe UI"/>
                <w:sz w:val="16"/>
                <w:szCs w:val="16"/>
              </w:rPr>
            </w:pPr>
            <w:r w:rsidRPr="00FF0D54">
              <w:rPr>
                <w:rFonts w:cs="Segoe UI"/>
                <w:sz w:val="16"/>
                <w:szCs w:val="16"/>
              </w:rPr>
              <w:t>–</w:t>
            </w:r>
          </w:p>
        </w:tc>
      </w:tr>
      <w:tr w:rsidR="00FF0D54" w:rsidRPr="00FF0D54" w14:paraId="689CEF52" w14:textId="77777777" w:rsidTr="00FF0D54">
        <w:trPr>
          <w:trHeight w:val="344"/>
        </w:trPr>
        <w:tc>
          <w:tcPr>
            <w:tcW w:w="1247" w:type="dxa"/>
            <w:tcBorders>
              <w:top w:val="single" w:sz="4" w:space="0" w:color="A6A6A6" w:themeColor="background1" w:themeShade="A6"/>
              <w:left w:val="nil"/>
              <w:bottom w:val="single" w:sz="4" w:space="0" w:color="A6A6A6" w:themeColor="background1" w:themeShade="A6"/>
              <w:right w:val="nil"/>
            </w:tcBorders>
          </w:tcPr>
          <w:p w14:paraId="04EBD178" w14:textId="7BB5C120" w:rsidR="00FF0D54" w:rsidRPr="00FF0D54" w:rsidRDefault="00FF0D54" w:rsidP="00FF0D54">
            <w:pPr>
              <w:pStyle w:val="TableText"/>
              <w:spacing w:before="40" w:after="40"/>
              <w:ind w:left="57" w:right="170"/>
              <w:jc w:val="right"/>
              <w:rPr>
                <w:rFonts w:cs="Segoe UI"/>
                <w:b/>
                <w:bCs/>
                <w:sz w:val="16"/>
                <w:szCs w:val="16"/>
              </w:rPr>
            </w:pPr>
            <w:r w:rsidRPr="00FF0D54">
              <w:rPr>
                <w:rFonts w:cs="Segoe UI"/>
                <w:b/>
                <w:bCs/>
                <w:sz w:val="16"/>
                <w:szCs w:val="16"/>
              </w:rPr>
              <w:t>4,632</w:t>
            </w:r>
          </w:p>
        </w:tc>
        <w:tc>
          <w:tcPr>
            <w:tcW w:w="2573" w:type="dxa"/>
            <w:tcBorders>
              <w:top w:val="single" w:sz="4" w:space="0" w:color="A6A6A6" w:themeColor="background1" w:themeShade="A6"/>
              <w:left w:val="nil"/>
              <w:bottom w:val="single" w:sz="4" w:space="0" w:color="A6A6A6" w:themeColor="background1" w:themeShade="A6"/>
              <w:right w:val="nil"/>
            </w:tcBorders>
            <w:hideMark/>
          </w:tcPr>
          <w:p w14:paraId="65CF9D0B" w14:textId="77777777" w:rsidR="00FF0D54" w:rsidRPr="00FF0D54" w:rsidRDefault="00FF0D54" w:rsidP="00FF0D54">
            <w:pPr>
              <w:pStyle w:val="TableText"/>
              <w:rPr>
                <w:rFonts w:cs="Segoe UI"/>
                <w:b/>
                <w:bCs/>
                <w:w w:val="105"/>
                <w:sz w:val="16"/>
                <w:szCs w:val="16"/>
              </w:rPr>
            </w:pPr>
            <w:r w:rsidRPr="00FF0D54">
              <w:rPr>
                <w:rFonts w:cs="Segoe UI"/>
                <w:b/>
                <w:bCs/>
                <w:w w:val="105"/>
                <w:sz w:val="16"/>
                <w:szCs w:val="16"/>
              </w:rPr>
              <w:t xml:space="preserve">Balance as </w:t>
            </w:r>
            <w:proofErr w:type="gramStart"/>
            <w:r w:rsidRPr="00FF0D54">
              <w:rPr>
                <w:rFonts w:cs="Segoe UI"/>
                <w:b/>
                <w:bCs/>
                <w:w w:val="105"/>
                <w:sz w:val="16"/>
                <w:szCs w:val="16"/>
              </w:rPr>
              <w:t>at</w:t>
            </w:r>
            <w:proofErr w:type="gramEnd"/>
            <w:r w:rsidRPr="00FF0D54">
              <w:rPr>
                <w:rFonts w:cs="Segoe UI"/>
                <w:b/>
                <w:bCs/>
                <w:w w:val="105"/>
                <w:sz w:val="16"/>
                <w:szCs w:val="16"/>
              </w:rPr>
              <w:t xml:space="preserve"> 30 June</w:t>
            </w:r>
          </w:p>
        </w:tc>
        <w:tc>
          <w:tcPr>
            <w:tcW w:w="728" w:type="dxa"/>
            <w:tcBorders>
              <w:top w:val="single" w:sz="4" w:space="0" w:color="A6A6A6" w:themeColor="background1" w:themeShade="A6"/>
              <w:left w:val="nil"/>
              <w:bottom w:val="single" w:sz="4" w:space="0" w:color="A6A6A6" w:themeColor="background1" w:themeShade="A6"/>
              <w:right w:val="nil"/>
            </w:tcBorders>
          </w:tcPr>
          <w:p w14:paraId="68C88E87" w14:textId="77777777" w:rsidR="00FF0D54" w:rsidRPr="00FF0D54" w:rsidRDefault="00FF0D54" w:rsidP="00FF0D54">
            <w:pPr>
              <w:pStyle w:val="TableText"/>
              <w:spacing w:before="40" w:after="40"/>
              <w:ind w:left="57" w:right="170"/>
              <w:jc w:val="right"/>
              <w:rPr>
                <w:rFonts w:cs="Segoe UI"/>
                <w:b/>
                <w:bCs/>
                <w:sz w:val="16"/>
                <w:szCs w:val="16"/>
              </w:rPr>
            </w:pPr>
          </w:p>
        </w:tc>
        <w:tc>
          <w:tcPr>
            <w:tcW w:w="1140" w:type="dxa"/>
            <w:tcBorders>
              <w:top w:val="single" w:sz="4" w:space="0" w:color="A6A6A6" w:themeColor="background1" w:themeShade="A6"/>
              <w:left w:val="nil"/>
              <w:bottom w:val="single" w:sz="4" w:space="0" w:color="A6A6A6" w:themeColor="background1" w:themeShade="A6"/>
              <w:right w:val="nil"/>
            </w:tcBorders>
          </w:tcPr>
          <w:p w14:paraId="7110C195" w14:textId="1A324876" w:rsidR="00FF0D54" w:rsidRPr="00FF0D54" w:rsidRDefault="00FF0D54" w:rsidP="00FF0D54">
            <w:pPr>
              <w:pStyle w:val="TableText"/>
              <w:spacing w:before="40" w:after="40"/>
              <w:ind w:left="57" w:right="170"/>
              <w:jc w:val="right"/>
              <w:rPr>
                <w:rFonts w:cs="Segoe UI"/>
                <w:b/>
                <w:bCs/>
                <w:sz w:val="16"/>
                <w:szCs w:val="16"/>
              </w:rPr>
            </w:pPr>
            <w:r w:rsidRPr="00FF0D54">
              <w:rPr>
                <w:rFonts w:cs="Segoe UI"/>
                <w:b/>
                <w:bCs/>
                <w:sz w:val="16"/>
                <w:szCs w:val="16"/>
              </w:rPr>
              <w:t>3,070</w:t>
            </w:r>
          </w:p>
        </w:tc>
        <w:tc>
          <w:tcPr>
            <w:tcW w:w="1280" w:type="dxa"/>
            <w:tcBorders>
              <w:top w:val="single" w:sz="4" w:space="0" w:color="A6A6A6" w:themeColor="background1" w:themeShade="A6"/>
              <w:left w:val="nil"/>
              <w:bottom w:val="single" w:sz="4" w:space="0" w:color="A6A6A6" w:themeColor="background1" w:themeShade="A6"/>
              <w:right w:val="nil"/>
            </w:tcBorders>
          </w:tcPr>
          <w:p w14:paraId="2ADF6A97" w14:textId="16129942" w:rsidR="00FF0D54" w:rsidRPr="00FF0D54" w:rsidRDefault="00FF0D54" w:rsidP="00FF0D54">
            <w:pPr>
              <w:pStyle w:val="TableText"/>
              <w:spacing w:before="40" w:after="40"/>
              <w:ind w:left="57" w:right="170"/>
              <w:jc w:val="right"/>
              <w:rPr>
                <w:rFonts w:cs="Segoe UI"/>
                <w:b/>
                <w:bCs/>
                <w:sz w:val="16"/>
                <w:szCs w:val="16"/>
              </w:rPr>
            </w:pPr>
            <w:r w:rsidRPr="00FF0D54">
              <w:rPr>
                <w:rFonts w:cs="Segoe UI"/>
                <w:b/>
                <w:bCs/>
                <w:sz w:val="16"/>
                <w:szCs w:val="16"/>
              </w:rPr>
              <w:t>5,606</w:t>
            </w:r>
          </w:p>
        </w:tc>
        <w:tc>
          <w:tcPr>
            <w:tcW w:w="1222" w:type="dxa"/>
            <w:tcBorders>
              <w:top w:val="single" w:sz="4" w:space="0" w:color="A6A6A6" w:themeColor="background1" w:themeShade="A6"/>
              <w:left w:val="nil"/>
              <w:bottom w:val="single" w:sz="4" w:space="0" w:color="A6A6A6" w:themeColor="background1" w:themeShade="A6"/>
              <w:right w:val="nil"/>
            </w:tcBorders>
          </w:tcPr>
          <w:p w14:paraId="5808E744" w14:textId="628E29E7" w:rsidR="00FF0D54" w:rsidRPr="00FF0D54" w:rsidRDefault="00FF0D54" w:rsidP="00FF0D54">
            <w:pPr>
              <w:pStyle w:val="TableText"/>
              <w:spacing w:before="40" w:after="40"/>
              <w:ind w:left="57" w:right="170"/>
              <w:jc w:val="right"/>
              <w:rPr>
                <w:rFonts w:cs="Segoe UI"/>
                <w:b/>
                <w:bCs/>
                <w:sz w:val="16"/>
                <w:szCs w:val="16"/>
              </w:rPr>
            </w:pPr>
            <w:r w:rsidRPr="00FF0D54">
              <w:rPr>
                <w:rFonts w:cs="Segoe UI"/>
                <w:b/>
                <w:bCs/>
                <w:sz w:val="16"/>
                <w:szCs w:val="16"/>
              </w:rPr>
              <w:t>4,116</w:t>
            </w:r>
          </w:p>
        </w:tc>
      </w:tr>
    </w:tbl>
    <w:p w14:paraId="0A0CB5D5" w14:textId="77777777" w:rsidR="00FF0D54" w:rsidRPr="00CE40AF" w:rsidRDefault="00FF0D54" w:rsidP="00FF0D54">
      <w:pPr>
        <w:pStyle w:val="Note"/>
        <w:rPr>
          <w:highlight w:val="yellow"/>
        </w:rPr>
        <w:sectPr w:rsidR="00FF0D54" w:rsidRPr="00CE40AF" w:rsidSect="000A3324">
          <w:pgSz w:w="11907" w:h="16840" w:code="9"/>
          <w:pgMar w:top="1418" w:right="1701" w:bottom="1134" w:left="1843" w:header="284" w:footer="425" w:gutter="284"/>
          <w:cols w:space="720"/>
        </w:sectPr>
      </w:pPr>
      <w:r w:rsidRPr="00CE40AF">
        <w:t>The accompanying notes form part of these financial statements.</w:t>
      </w:r>
    </w:p>
    <w:p w14:paraId="45DDF8F6" w14:textId="69678665" w:rsidR="00FF0D54" w:rsidRDefault="00FF0D54" w:rsidP="00FF0D54">
      <w:pPr>
        <w:pStyle w:val="Heading2"/>
        <w:spacing w:before="0"/>
      </w:pPr>
      <w:bookmarkStart w:id="44" w:name="_Toc180077040"/>
      <w:r w:rsidRPr="00FF0D54">
        <w:lastRenderedPageBreak/>
        <w:t>Statement of cash flows for the year ended 30 June 2024</w:t>
      </w:r>
      <w:bookmarkEnd w:id="44"/>
    </w:p>
    <w:p w14:paraId="439BD311" w14:textId="40EB4B61" w:rsidR="00A83F08" w:rsidRDefault="00A83F08" w:rsidP="00A83F08"/>
    <w:tbl>
      <w:tblPr>
        <w:tblW w:w="8170" w:type="dxa"/>
        <w:tblLayout w:type="fixed"/>
        <w:tblCellMar>
          <w:left w:w="0" w:type="dxa"/>
          <w:right w:w="0" w:type="dxa"/>
        </w:tblCellMar>
        <w:tblLook w:val="01E0" w:firstRow="1" w:lastRow="1" w:firstColumn="1" w:lastColumn="1" w:noHBand="0" w:noVBand="0"/>
      </w:tblPr>
      <w:tblGrid>
        <w:gridCol w:w="1274"/>
        <w:gridCol w:w="3121"/>
        <w:gridCol w:w="1252"/>
        <w:gridCol w:w="1282"/>
        <w:gridCol w:w="1241"/>
      </w:tblGrid>
      <w:tr w:rsidR="00A83F08" w14:paraId="42F24C6C" w14:textId="77777777" w:rsidTr="00A83F08">
        <w:trPr>
          <w:trHeight w:val="1004"/>
        </w:trPr>
        <w:tc>
          <w:tcPr>
            <w:tcW w:w="1274" w:type="dxa"/>
            <w:shd w:val="clear" w:color="auto" w:fill="D9D9D9" w:themeFill="background1" w:themeFillShade="D9"/>
            <w:hideMark/>
          </w:tcPr>
          <w:p w14:paraId="73855F0A" w14:textId="77777777" w:rsidR="00A83F08" w:rsidRDefault="00A83F08">
            <w:pPr>
              <w:pStyle w:val="TableParagraph"/>
              <w:spacing w:before="60" w:after="60"/>
              <w:ind w:left="57" w:right="170"/>
              <w:jc w:val="right"/>
              <w:rPr>
                <w:rFonts w:ascii="Segoe UI" w:hAnsi="Segoe UI" w:cs="Segoe UI"/>
                <w:b/>
                <w:sz w:val="16"/>
                <w:szCs w:val="16"/>
              </w:rPr>
            </w:pPr>
            <w:r>
              <w:rPr>
                <w:rFonts w:ascii="Segoe UI" w:hAnsi="Segoe UI" w:cs="Segoe UI"/>
                <w:b/>
                <w:w w:val="110"/>
                <w:sz w:val="16"/>
                <w:szCs w:val="16"/>
              </w:rPr>
              <w:t>Actual</w:t>
            </w:r>
            <w:r>
              <w:rPr>
                <w:rFonts w:ascii="Segoe UI" w:hAnsi="Segoe UI" w:cs="Segoe UI"/>
                <w:b/>
                <w:w w:val="110"/>
                <w:sz w:val="16"/>
                <w:szCs w:val="16"/>
              </w:rPr>
              <w:br/>
            </w:r>
          </w:p>
          <w:p w14:paraId="5E9C00F6" w14:textId="42A4C447" w:rsidR="00A83F08" w:rsidRDefault="00A83F08">
            <w:pPr>
              <w:pStyle w:val="TableParagraph"/>
              <w:spacing w:before="60" w:after="60"/>
              <w:ind w:left="57" w:right="170"/>
              <w:jc w:val="right"/>
              <w:rPr>
                <w:rFonts w:ascii="Segoe UI" w:hAnsi="Segoe UI" w:cs="Segoe UI"/>
                <w:b/>
                <w:sz w:val="16"/>
                <w:szCs w:val="16"/>
              </w:rPr>
            </w:pPr>
            <w:r>
              <w:rPr>
                <w:rFonts w:ascii="Segoe UI" w:hAnsi="Segoe UI" w:cs="Segoe UI"/>
                <w:b/>
                <w:w w:val="105"/>
                <w:sz w:val="16"/>
                <w:szCs w:val="16"/>
              </w:rPr>
              <w:t>2023</w:t>
            </w:r>
          </w:p>
          <w:p w14:paraId="21DDC0CD" w14:textId="77777777" w:rsidR="00A83F08" w:rsidRDefault="00A83F08">
            <w:pPr>
              <w:pStyle w:val="TableParagraph"/>
              <w:spacing w:before="60" w:after="60"/>
              <w:ind w:left="57" w:right="170"/>
              <w:jc w:val="right"/>
              <w:rPr>
                <w:rFonts w:ascii="Segoe UI" w:hAnsi="Segoe UI" w:cs="Segoe UI"/>
                <w:b/>
                <w:sz w:val="16"/>
                <w:szCs w:val="16"/>
              </w:rPr>
            </w:pPr>
            <w:r>
              <w:rPr>
                <w:rFonts w:ascii="Segoe UI" w:hAnsi="Segoe UI" w:cs="Segoe UI"/>
                <w:b/>
                <w:w w:val="120"/>
                <w:sz w:val="16"/>
                <w:szCs w:val="16"/>
              </w:rPr>
              <w:t>$000</w:t>
            </w:r>
          </w:p>
        </w:tc>
        <w:tc>
          <w:tcPr>
            <w:tcW w:w="3121" w:type="dxa"/>
            <w:shd w:val="clear" w:color="auto" w:fill="D9D9D9" w:themeFill="background1" w:themeFillShade="D9"/>
          </w:tcPr>
          <w:p w14:paraId="533A2D5F" w14:textId="77777777" w:rsidR="00A83F08" w:rsidRDefault="00A83F08">
            <w:pPr>
              <w:pStyle w:val="TableParagraph"/>
              <w:spacing w:before="60" w:after="60"/>
              <w:rPr>
                <w:rFonts w:ascii="Segoe UI" w:hAnsi="Segoe UI" w:cs="Segoe UI"/>
                <w:b/>
                <w:sz w:val="16"/>
                <w:szCs w:val="16"/>
              </w:rPr>
            </w:pPr>
          </w:p>
          <w:p w14:paraId="79EB787D" w14:textId="77777777" w:rsidR="00A83F08" w:rsidRDefault="00A83F08">
            <w:pPr>
              <w:pStyle w:val="TableParagraph"/>
              <w:spacing w:before="60" w:after="60"/>
              <w:rPr>
                <w:rFonts w:ascii="Segoe UI" w:hAnsi="Segoe UI" w:cs="Segoe UI"/>
                <w:b/>
                <w:sz w:val="16"/>
                <w:szCs w:val="16"/>
              </w:rPr>
            </w:pPr>
          </w:p>
          <w:p w14:paraId="597A5197" w14:textId="77777777" w:rsidR="00A83F08" w:rsidRDefault="00A83F08">
            <w:pPr>
              <w:pStyle w:val="TableParagraph"/>
              <w:spacing w:before="60" w:after="60"/>
              <w:rPr>
                <w:rFonts w:ascii="Segoe UI" w:hAnsi="Segoe UI" w:cs="Segoe UI"/>
                <w:b/>
                <w:sz w:val="16"/>
                <w:szCs w:val="16"/>
              </w:rPr>
            </w:pPr>
          </w:p>
          <w:p w14:paraId="4498E333" w14:textId="77777777" w:rsidR="00A83F08" w:rsidRDefault="00A83F08">
            <w:pPr>
              <w:pStyle w:val="TableParagraph"/>
              <w:tabs>
                <w:tab w:val="left" w:pos="3933"/>
              </w:tabs>
              <w:spacing w:before="60" w:after="60" w:line="20" w:lineRule="exact"/>
              <w:ind w:left="-8" w:right="-15"/>
              <w:rPr>
                <w:rFonts w:ascii="Segoe UI" w:hAnsi="Segoe UI" w:cs="Segoe UI"/>
                <w:sz w:val="16"/>
                <w:szCs w:val="16"/>
              </w:rPr>
            </w:pPr>
            <w:r>
              <w:rPr>
                <w:rFonts w:ascii="Segoe UI" w:hAnsi="Segoe UI" w:cs="Segoe UI"/>
                <w:sz w:val="16"/>
                <w:szCs w:val="16"/>
              </w:rPr>
              <w:tab/>
            </w:r>
          </w:p>
        </w:tc>
        <w:tc>
          <w:tcPr>
            <w:tcW w:w="1252" w:type="dxa"/>
            <w:shd w:val="clear" w:color="auto" w:fill="D9D9D9" w:themeFill="background1" w:themeFillShade="D9"/>
            <w:hideMark/>
          </w:tcPr>
          <w:p w14:paraId="3850F119" w14:textId="77777777" w:rsidR="00A83F08" w:rsidRDefault="00A83F08">
            <w:pPr>
              <w:pStyle w:val="TableParagraph"/>
              <w:spacing w:before="60" w:after="60"/>
              <w:ind w:right="151"/>
              <w:jc w:val="right"/>
              <w:rPr>
                <w:rFonts w:ascii="Segoe UI" w:hAnsi="Segoe UI" w:cs="Segoe UI"/>
                <w:b/>
                <w:sz w:val="16"/>
                <w:szCs w:val="16"/>
              </w:rPr>
            </w:pPr>
            <w:r>
              <w:rPr>
                <w:rFonts w:ascii="Segoe UI" w:hAnsi="Segoe UI" w:cs="Segoe UI"/>
                <w:b/>
                <w:w w:val="110"/>
                <w:sz w:val="16"/>
                <w:szCs w:val="16"/>
              </w:rPr>
              <w:t>Actual</w:t>
            </w:r>
            <w:r>
              <w:rPr>
                <w:rFonts w:ascii="Segoe UI" w:hAnsi="Segoe UI" w:cs="Segoe UI"/>
                <w:b/>
                <w:w w:val="110"/>
                <w:sz w:val="16"/>
                <w:szCs w:val="16"/>
              </w:rPr>
              <w:br/>
            </w:r>
          </w:p>
          <w:p w14:paraId="143E1032" w14:textId="205F2748" w:rsidR="00A83F08" w:rsidRDefault="00A83F08">
            <w:pPr>
              <w:pStyle w:val="TableParagraph"/>
              <w:spacing w:before="60" w:after="60"/>
              <w:ind w:left="666"/>
              <w:rPr>
                <w:rFonts w:ascii="Segoe UI" w:hAnsi="Segoe UI" w:cs="Segoe UI"/>
                <w:b/>
                <w:sz w:val="16"/>
                <w:szCs w:val="16"/>
              </w:rPr>
            </w:pPr>
            <w:r>
              <w:rPr>
                <w:rFonts w:ascii="Segoe UI" w:hAnsi="Segoe UI" w:cs="Segoe UI"/>
                <w:b/>
                <w:w w:val="105"/>
                <w:sz w:val="16"/>
                <w:szCs w:val="16"/>
              </w:rPr>
              <w:t>2024</w:t>
            </w:r>
          </w:p>
          <w:p w14:paraId="2C0005EA" w14:textId="77777777" w:rsidR="00A83F08" w:rsidRDefault="00A83F08">
            <w:pPr>
              <w:pStyle w:val="TableParagraph"/>
              <w:spacing w:before="60" w:after="60"/>
              <w:ind w:right="151"/>
              <w:jc w:val="right"/>
              <w:rPr>
                <w:rFonts w:ascii="Segoe UI" w:hAnsi="Segoe UI" w:cs="Segoe UI"/>
                <w:b/>
                <w:sz w:val="16"/>
                <w:szCs w:val="16"/>
              </w:rPr>
            </w:pPr>
            <w:r>
              <w:rPr>
                <w:rFonts w:ascii="Segoe UI" w:hAnsi="Segoe UI" w:cs="Segoe UI"/>
                <w:b/>
                <w:w w:val="120"/>
                <w:sz w:val="16"/>
                <w:szCs w:val="16"/>
              </w:rPr>
              <w:t>$000</w:t>
            </w:r>
          </w:p>
        </w:tc>
        <w:tc>
          <w:tcPr>
            <w:tcW w:w="1282" w:type="dxa"/>
            <w:shd w:val="clear" w:color="auto" w:fill="D9D9D9" w:themeFill="background1" w:themeFillShade="D9"/>
            <w:hideMark/>
          </w:tcPr>
          <w:p w14:paraId="17EF9AE2" w14:textId="77777777" w:rsidR="00A83F08" w:rsidRDefault="00A83F08">
            <w:pPr>
              <w:pStyle w:val="TableParagraph"/>
              <w:spacing w:before="60" w:after="60"/>
              <w:ind w:right="152"/>
              <w:jc w:val="right"/>
              <w:rPr>
                <w:rFonts w:ascii="Segoe UI" w:hAnsi="Segoe UI" w:cs="Segoe UI"/>
                <w:b/>
                <w:w w:val="110"/>
                <w:sz w:val="16"/>
                <w:szCs w:val="16"/>
              </w:rPr>
            </w:pPr>
            <w:r>
              <w:rPr>
                <w:rFonts w:ascii="Segoe UI" w:hAnsi="Segoe UI" w:cs="Segoe UI"/>
                <w:b/>
                <w:w w:val="110"/>
                <w:sz w:val="16"/>
                <w:szCs w:val="16"/>
              </w:rPr>
              <w:t>Unaudited</w:t>
            </w:r>
            <w:r>
              <w:rPr>
                <w:rFonts w:ascii="Segoe UI" w:hAnsi="Segoe UI" w:cs="Segoe UI"/>
                <w:b/>
                <w:w w:val="110"/>
                <w:sz w:val="16"/>
                <w:szCs w:val="16"/>
              </w:rPr>
              <w:br/>
              <w:t>Budget</w:t>
            </w:r>
          </w:p>
          <w:p w14:paraId="5E157E68" w14:textId="32E17ED8" w:rsidR="00A83F08" w:rsidRDefault="00A83F08">
            <w:pPr>
              <w:pStyle w:val="TableParagraph"/>
              <w:spacing w:before="60" w:after="60"/>
              <w:ind w:left="695"/>
              <w:rPr>
                <w:rFonts w:ascii="Segoe UI" w:hAnsi="Segoe UI" w:cs="Segoe UI"/>
                <w:b/>
                <w:w w:val="105"/>
                <w:sz w:val="16"/>
                <w:szCs w:val="16"/>
              </w:rPr>
            </w:pPr>
            <w:r>
              <w:rPr>
                <w:rFonts w:ascii="Segoe UI" w:hAnsi="Segoe UI" w:cs="Segoe UI"/>
                <w:b/>
                <w:w w:val="105"/>
                <w:sz w:val="16"/>
                <w:szCs w:val="16"/>
              </w:rPr>
              <w:t>2024</w:t>
            </w:r>
          </w:p>
          <w:p w14:paraId="799F3F5C" w14:textId="77777777" w:rsidR="00A83F08" w:rsidRDefault="00A83F08">
            <w:pPr>
              <w:pStyle w:val="TableParagraph"/>
              <w:spacing w:before="60" w:after="60"/>
              <w:ind w:right="152"/>
              <w:jc w:val="right"/>
              <w:rPr>
                <w:rFonts w:ascii="Segoe UI" w:hAnsi="Segoe UI" w:cs="Segoe UI"/>
                <w:b/>
                <w:sz w:val="16"/>
                <w:szCs w:val="16"/>
              </w:rPr>
            </w:pPr>
            <w:r>
              <w:rPr>
                <w:rFonts w:ascii="Segoe UI" w:hAnsi="Segoe UI" w:cs="Segoe UI"/>
                <w:b/>
                <w:w w:val="120"/>
                <w:sz w:val="16"/>
                <w:szCs w:val="16"/>
              </w:rPr>
              <w:t>$000</w:t>
            </w:r>
          </w:p>
        </w:tc>
        <w:tc>
          <w:tcPr>
            <w:tcW w:w="1241" w:type="dxa"/>
            <w:shd w:val="clear" w:color="auto" w:fill="D9D9D9" w:themeFill="background1" w:themeFillShade="D9"/>
            <w:hideMark/>
          </w:tcPr>
          <w:p w14:paraId="6D4E959E" w14:textId="77777777" w:rsidR="00A83F08" w:rsidRDefault="00A83F08">
            <w:pPr>
              <w:pStyle w:val="TableParagraph"/>
              <w:spacing w:before="60" w:after="60" w:line="252" w:lineRule="auto"/>
              <w:ind w:left="355" w:right="111" w:hanging="202"/>
              <w:jc w:val="right"/>
              <w:rPr>
                <w:rFonts w:ascii="Segoe UI" w:hAnsi="Segoe UI" w:cs="Segoe UI"/>
                <w:b/>
                <w:sz w:val="16"/>
                <w:szCs w:val="16"/>
              </w:rPr>
            </w:pPr>
            <w:r>
              <w:rPr>
                <w:rFonts w:ascii="Segoe UI" w:hAnsi="Segoe UI" w:cs="Segoe UI"/>
                <w:b/>
                <w:w w:val="110"/>
                <w:sz w:val="16"/>
                <w:szCs w:val="16"/>
              </w:rPr>
              <w:t>Unaudited</w:t>
            </w:r>
            <w:r>
              <w:rPr>
                <w:rFonts w:ascii="Segoe UI" w:hAnsi="Segoe UI" w:cs="Segoe UI"/>
                <w:b/>
                <w:w w:val="110"/>
                <w:sz w:val="16"/>
                <w:szCs w:val="16"/>
              </w:rPr>
              <w:br/>
              <w:t>forecast</w:t>
            </w:r>
          </w:p>
          <w:p w14:paraId="7ACECF7F" w14:textId="61940B9A" w:rsidR="00A83F08" w:rsidRDefault="00A83F08">
            <w:pPr>
              <w:pStyle w:val="TableParagraph"/>
              <w:spacing w:before="60" w:after="60"/>
              <w:ind w:right="111"/>
              <w:jc w:val="right"/>
              <w:rPr>
                <w:rFonts w:ascii="Segoe UI" w:hAnsi="Segoe UI" w:cs="Segoe UI"/>
                <w:b/>
                <w:sz w:val="16"/>
                <w:szCs w:val="16"/>
              </w:rPr>
            </w:pPr>
            <w:r>
              <w:rPr>
                <w:rFonts w:ascii="Segoe UI" w:hAnsi="Segoe UI" w:cs="Segoe UI"/>
                <w:b/>
                <w:w w:val="110"/>
                <w:sz w:val="16"/>
                <w:szCs w:val="16"/>
              </w:rPr>
              <w:t>2025</w:t>
            </w:r>
          </w:p>
          <w:p w14:paraId="6AFB3A23" w14:textId="77777777" w:rsidR="00A83F08" w:rsidRDefault="00A83F08">
            <w:pPr>
              <w:pStyle w:val="TableParagraph"/>
              <w:spacing w:before="60" w:after="60"/>
              <w:ind w:right="111"/>
              <w:jc w:val="right"/>
              <w:rPr>
                <w:rFonts w:ascii="Segoe UI" w:hAnsi="Segoe UI" w:cs="Segoe UI"/>
                <w:b/>
                <w:sz w:val="16"/>
                <w:szCs w:val="16"/>
              </w:rPr>
            </w:pPr>
            <w:r>
              <w:rPr>
                <w:rFonts w:ascii="Segoe UI" w:hAnsi="Segoe UI" w:cs="Segoe UI"/>
                <w:b/>
                <w:w w:val="120"/>
                <w:sz w:val="16"/>
                <w:szCs w:val="16"/>
              </w:rPr>
              <w:t>$000</w:t>
            </w:r>
          </w:p>
        </w:tc>
      </w:tr>
      <w:tr w:rsidR="00A83F08" w:rsidRPr="00A83F08" w14:paraId="54DC18D5" w14:textId="77777777" w:rsidTr="00A83F08">
        <w:trPr>
          <w:trHeight w:val="334"/>
        </w:trPr>
        <w:tc>
          <w:tcPr>
            <w:tcW w:w="1274" w:type="dxa"/>
          </w:tcPr>
          <w:p w14:paraId="646AA0E0" w14:textId="77777777" w:rsidR="00A83F08" w:rsidRPr="00A83F08" w:rsidRDefault="00A83F08" w:rsidP="00A83F08">
            <w:pPr>
              <w:pStyle w:val="TableText"/>
              <w:ind w:left="57" w:right="170"/>
              <w:jc w:val="right"/>
              <w:rPr>
                <w:rFonts w:cs="Segoe UI"/>
                <w:b/>
                <w:bCs/>
                <w:sz w:val="16"/>
                <w:szCs w:val="16"/>
              </w:rPr>
            </w:pPr>
          </w:p>
        </w:tc>
        <w:tc>
          <w:tcPr>
            <w:tcW w:w="3121" w:type="dxa"/>
            <w:hideMark/>
          </w:tcPr>
          <w:p w14:paraId="69AAA2D0" w14:textId="77777777" w:rsidR="00A83F08" w:rsidRPr="00A83F08" w:rsidRDefault="00A83F08" w:rsidP="00A83F08">
            <w:pPr>
              <w:pStyle w:val="TableText"/>
              <w:ind w:left="57"/>
              <w:rPr>
                <w:b/>
                <w:bCs/>
                <w:sz w:val="16"/>
                <w:szCs w:val="18"/>
              </w:rPr>
            </w:pPr>
            <w:r w:rsidRPr="00A83F08">
              <w:rPr>
                <w:b/>
                <w:bCs/>
                <w:w w:val="110"/>
                <w:sz w:val="16"/>
                <w:szCs w:val="18"/>
              </w:rPr>
              <w:t>Cash</w:t>
            </w:r>
            <w:r w:rsidRPr="00A83F08">
              <w:rPr>
                <w:b/>
                <w:bCs/>
                <w:spacing w:val="-15"/>
                <w:w w:val="110"/>
                <w:sz w:val="16"/>
                <w:szCs w:val="18"/>
              </w:rPr>
              <w:t xml:space="preserve"> </w:t>
            </w:r>
            <w:r w:rsidRPr="00A83F08">
              <w:rPr>
                <w:b/>
                <w:bCs/>
                <w:w w:val="110"/>
                <w:sz w:val="16"/>
                <w:szCs w:val="18"/>
              </w:rPr>
              <w:t>flows</w:t>
            </w:r>
            <w:r w:rsidRPr="00A83F08">
              <w:rPr>
                <w:b/>
                <w:bCs/>
                <w:spacing w:val="-15"/>
                <w:w w:val="110"/>
                <w:sz w:val="16"/>
                <w:szCs w:val="18"/>
              </w:rPr>
              <w:t xml:space="preserve"> </w:t>
            </w:r>
            <w:r w:rsidRPr="00A83F08">
              <w:rPr>
                <w:b/>
                <w:bCs/>
                <w:w w:val="110"/>
                <w:sz w:val="16"/>
                <w:szCs w:val="18"/>
              </w:rPr>
              <w:t>from</w:t>
            </w:r>
            <w:r w:rsidRPr="00A83F08">
              <w:rPr>
                <w:b/>
                <w:bCs/>
                <w:spacing w:val="-15"/>
                <w:w w:val="110"/>
                <w:sz w:val="16"/>
                <w:szCs w:val="18"/>
              </w:rPr>
              <w:t xml:space="preserve"> </w:t>
            </w:r>
            <w:r w:rsidRPr="00A83F08">
              <w:rPr>
                <w:b/>
                <w:bCs/>
                <w:w w:val="110"/>
                <w:sz w:val="16"/>
                <w:szCs w:val="18"/>
              </w:rPr>
              <w:t>operating</w:t>
            </w:r>
            <w:r w:rsidRPr="00A83F08">
              <w:rPr>
                <w:b/>
                <w:bCs/>
                <w:spacing w:val="-14"/>
                <w:w w:val="110"/>
                <w:sz w:val="16"/>
                <w:szCs w:val="18"/>
              </w:rPr>
              <w:t xml:space="preserve"> </w:t>
            </w:r>
            <w:r w:rsidRPr="00A83F08">
              <w:rPr>
                <w:b/>
                <w:bCs/>
                <w:w w:val="110"/>
                <w:sz w:val="16"/>
                <w:szCs w:val="18"/>
              </w:rPr>
              <w:t>activities</w:t>
            </w:r>
          </w:p>
        </w:tc>
        <w:tc>
          <w:tcPr>
            <w:tcW w:w="1252" w:type="dxa"/>
          </w:tcPr>
          <w:p w14:paraId="523505EA" w14:textId="77777777" w:rsidR="00A83F08" w:rsidRPr="00A83F08" w:rsidRDefault="00A83F08" w:rsidP="00A83F08">
            <w:pPr>
              <w:pStyle w:val="TableText"/>
              <w:ind w:left="57" w:right="170"/>
              <w:jc w:val="right"/>
              <w:rPr>
                <w:rFonts w:cs="Segoe UI"/>
                <w:b/>
                <w:bCs/>
                <w:sz w:val="16"/>
                <w:szCs w:val="16"/>
              </w:rPr>
            </w:pPr>
          </w:p>
        </w:tc>
        <w:tc>
          <w:tcPr>
            <w:tcW w:w="1282" w:type="dxa"/>
          </w:tcPr>
          <w:p w14:paraId="5730C19D" w14:textId="77777777" w:rsidR="00A83F08" w:rsidRPr="00A83F08" w:rsidRDefault="00A83F08" w:rsidP="00A83F08">
            <w:pPr>
              <w:pStyle w:val="TableText"/>
              <w:ind w:left="57" w:right="170"/>
              <w:jc w:val="right"/>
              <w:rPr>
                <w:rFonts w:cs="Segoe UI"/>
                <w:b/>
                <w:bCs/>
                <w:sz w:val="16"/>
                <w:szCs w:val="16"/>
              </w:rPr>
            </w:pPr>
          </w:p>
        </w:tc>
        <w:tc>
          <w:tcPr>
            <w:tcW w:w="1241" w:type="dxa"/>
          </w:tcPr>
          <w:p w14:paraId="04809B8D" w14:textId="77777777" w:rsidR="00A83F08" w:rsidRPr="00A83F08" w:rsidRDefault="00A83F08" w:rsidP="00A83F08">
            <w:pPr>
              <w:pStyle w:val="TableText"/>
              <w:ind w:left="57" w:right="170"/>
              <w:jc w:val="right"/>
              <w:rPr>
                <w:rFonts w:cs="Segoe UI"/>
                <w:b/>
                <w:bCs/>
                <w:sz w:val="16"/>
                <w:szCs w:val="16"/>
              </w:rPr>
            </w:pPr>
          </w:p>
        </w:tc>
      </w:tr>
      <w:tr w:rsidR="00A83F08" w14:paraId="4B97DE12" w14:textId="77777777" w:rsidTr="00A83F08">
        <w:trPr>
          <w:trHeight w:val="359"/>
        </w:trPr>
        <w:tc>
          <w:tcPr>
            <w:tcW w:w="1274" w:type="dxa"/>
          </w:tcPr>
          <w:p w14:paraId="1AB18E74" w14:textId="79871E59" w:rsidR="00A83F08" w:rsidRDefault="00A83F08" w:rsidP="00A83F08">
            <w:pPr>
              <w:pStyle w:val="TableText"/>
              <w:ind w:left="57" w:right="170"/>
              <w:jc w:val="right"/>
              <w:rPr>
                <w:rFonts w:cs="Segoe UI"/>
                <w:sz w:val="16"/>
                <w:szCs w:val="16"/>
              </w:rPr>
            </w:pPr>
            <w:r w:rsidRPr="00A83F08">
              <w:rPr>
                <w:rFonts w:cs="Segoe UI"/>
                <w:sz w:val="16"/>
                <w:szCs w:val="16"/>
              </w:rPr>
              <w:t>465,335</w:t>
            </w:r>
          </w:p>
        </w:tc>
        <w:tc>
          <w:tcPr>
            <w:tcW w:w="3121" w:type="dxa"/>
            <w:hideMark/>
          </w:tcPr>
          <w:p w14:paraId="28B2C146" w14:textId="77777777" w:rsidR="00A83F08" w:rsidRPr="00A83F08" w:rsidRDefault="00A83F08" w:rsidP="00A83F08">
            <w:pPr>
              <w:pStyle w:val="TableText"/>
              <w:ind w:left="57"/>
              <w:rPr>
                <w:sz w:val="16"/>
                <w:szCs w:val="18"/>
              </w:rPr>
            </w:pPr>
            <w:r w:rsidRPr="00A83F08">
              <w:rPr>
                <w:w w:val="105"/>
                <w:sz w:val="16"/>
                <w:szCs w:val="18"/>
              </w:rPr>
              <w:t>Receipts</w:t>
            </w:r>
            <w:r w:rsidRPr="00A83F08">
              <w:rPr>
                <w:spacing w:val="-14"/>
                <w:w w:val="105"/>
                <w:sz w:val="16"/>
                <w:szCs w:val="18"/>
              </w:rPr>
              <w:t xml:space="preserve"> </w:t>
            </w:r>
            <w:r w:rsidRPr="00A83F08">
              <w:rPr>
                <w:w w:val="105"/>
                <w:sz w:val="16"/>
                <w:szCs w:val="18"/>
              </w:rPr>
              <w:t>from</w:t>
            </w:r>
            <w:r w:rsidRPr="00A83F08">
              <w:rPr>
                <w:spacing w:val="-14"/>
                <w:w w:val="105"/>
                <w:sz w:val="16"/>
                <w:szCs w:val="18"/>
              </w:rPr>
              <w:t xml:space="preserve"> </w:t>
            </w:r>
            <w:r w:rsidRPr="00A83F08">
              <w:rPr>
                <w:w w:val="105"/>
                <w:sz w:val="16"/>
                <w:szCs w:val="18"/>
              </w:rPr>
              <w:t>revenue</w:t>
            </w:r>
            <w:r w:rsidRPr="00A83F08">
              <w:rPr>
                <w:spacing w:val="-14"/>
                <w:w w:val="105"/>
                <w:sz w:val="16"/>
                <w:szCs w:val="18"/>
              </w:rPr>
              <w:t xml:space="preserve"> </w:t>
            </w:r>
            <w:r w:rsidRPr="00A83F08">
              <w:rPr>
                <w:w w:val="105"/>
                <w:sz w:val="16"/>
                <w:szCs w:val="18"/>
              </w:rPr>
              <w:t>Crown</w:t>
            </w:r>
          </w:p>
        </w:tc>
        <w:tc>
          <w:tcPr>
            <w:tcW w:w="1252" w:type="dxa"/>
          </w:tcPr>
          <w:p w14:paraId="6CAD58B1" w14:textId="047B8C76" w:rsidR="00A83F08" w:rsidRPr="00A83F08" w:rsidRDefault="00A83F08" w:rsidP="00A83F08">
            <w:pPr>
              <w:pStyle w:val="TableText"/>
              <w:ind w:left="57" w:right="170"/>
              <w:jc w:val="right"/>
              <w:rPr>
                <w:rFonts w:cs="Segoe UI"/>
                <w:sz w:val="16"/>
                <w:szCs w:val="16"/>
              </w:rPr>
            </w:pPr>
            <w:r w:rsidRPr="00A83F08">
              <w:rPr>
                <w:rFonts w:cs="Segoe UI"/>
                <w:sz w:val="16"/>
                <w:szCs w:val="16"/>
              </w:rPr>
              <w:t>255,529</w:t>
            </w:r>
          </w:p>
        </w:tc>
        <w:tc>
          <w:tcPr>
            <w:tcW w:w="1282" w:type="dxa"/>
          </w:tcPr>
          <w:p w14:paraId="51307C54" w14:textId="12C83E45" w:rsidR="00A83F08" w:rsidRPr="00A83F08" w:rsidRDefault="00A83F08" w:rsidP="00A83F08">
            <w:pPr>
              <w:pStyle w:val="TableText"/>
              <w:ind w:left="57" w:right="170"/>
              <w:jc w:val="right"/>
              <w:rPr>
                <w:rFonts w:cs="Segoe UI"/>
                <w:sz w:val="16"/>
                <w:szCs w:val="16"/>
              </w:rPr>
            </w:pPr>
            <w:r w:rsidRPr="00A83F08">
              <w:rPr>
                <w:rFonts w:cs="Segoe UI"/>
                <w:sz w:val="16"/>
                <w:szCs w:val="16"/>
              </w:rPr>
              <w:t>223,339</w:t>
            </w:r>
          </w:p>
        </w:tc>
        <w:tc>
          <w:tcPr>
            <w:tcW w:w="1241" w:type="dxa"/>
          </w:tcPr>
          <w:p w14:paraId="4C1E906F" w14:textId="2709A7C6" w:rsidR="00A83F08" w:rsidRPr="00A83F08" w:rsidRDefault="00A83F08" w:rsidP="00A83F08">
            <w:pPr>
              <w:pStyle w:val="TableText"/>
              <w:ind w:left="57" w:right="170"/>
              <w:jc w:val="right"/>
              <w:rPr>
                <w:rFonts w:cs="Segoe UI"/>
                <w:sz w:val="16"/>
                <w:szCs w:val="16"/>
              </w:rPr>
            </w:pPr>
            <w:r w:rsidRPr="00A83F08">
              <w:rPr>
                <w:rFonts w:cs="Segoe UI"/>
                <w:sz w:val="16"/>
                <w:szCs w:val="16"/>
              </w:rPr>
              <w:t>216,209</w:t>
            </w:r>
          </w:p>
        </w:tc>
      </w:tr>
      <w:tr w:rsidR="00A83F08" w14:paraId="55B97D43" w14:textId="77777777" w:rsidTr="00A83F08">
        <w:trPr>
          <w:trHeight w:val="359"/>
        </w:trPr>
        <w:tc>
          <w:tcPr>
            <w:tcW w:w="1274" w:type="dxa"/>
          </w:tcPr>
          <w:p w14:paraId="1C2F3A06" w14:textId="4FA42994" w:rsidR="00A83F08" w:rsidRDefault="00A83F08" w:rsidP="00A83F08">
            <w:pPr>
              <w:pStyle w:val="TableText"/>
              <w:ind w:left="57" w:right="170"/>
              <w:jc w:val="right"/>
              <w:rPr>
                <w:rFonts w:cs="Segoe UI"/>
                <w:sz w:val="16"/>
                <w:szCs w:val="16"/>
              </w:rPr>
            </w:pPr>
            <w:r w:rsidRPr="00A83F08">
              <w:rPr>
                <w:rFonts w:cs="Segoe UI"/>
                <w:sz w:val="16"/>
                <w:szCs w:val="16"/>
              </w:rPr>
              <w:t>25,952</w:t>
            </w:r>
          </w:p>
        </w:tc>
        <w:tc>
          <w:tcPr>
            <w:tcW w:w="3121" w:type="dxa"/>
            <w:hideMark/>
          </w:tcPr>
          <w:p w14:paraId="5AD1B7B8" w14:textId="77777777" w:rsidR="00A83F08" w:rsidRPr="00A83F08" w:rsidRDefault="00A83F08" w:rsidP="00A83F08">
            <w:pPr>
              <w:pStyle w:val="TableText"/>
              <w:ind w:left="57"/>
              <w:rPr>
                <w:sz w:val="16"/>
                <w:szCs w:val="18"/>
              </w:rPr>
            </w:pPr>
            <w:r w:rsidRPr="00A83F08">
              <w:rPr>
                <w:sz w:val="16"/>
                <w:szCs w:val="18"/>
              </w:rPr>
              <w:t>Receipts</w:t>
            </w:r>
            <w:r w:rsidRPr="00A83F08">
              <w:rPr>
                <w:spacing w:val="14"/>
                <w:sz w:val="16"/>
                <w:szCs w:val="18"/>
              </w:rPr>
              <w:t xml:space="preserve"> </w:t>
            </w:r>
            <w:r w:rsidRPr="00A83F08">
              <w:rPr>
                <w:sz w:val="16"/>
                <w:szCs w:val="18"/>
              </w:rPr>
              <w:t>from</w:t>
            </w:r>
            <w:r w:rsidRPr="00A83F08">
              <w:rPr>
                <w:spacing w:val="14"/>
                <w:sz w:val="16"/>
                <w:szCs w:val="18"/>
              </w:rPr>
              <w:t xml:space="preserve"> </w:t>
            </w:r>
            <w:r w:rsidRPr="00A83F08">
              <w:rPr>
                <w:sz w:val="16"/>
                <w:szCs w:val="18"/>
              </w:rPr>
              <w:t>other</w:t>
            </w:r>
            <w:r w:rsidRPr="00A83F08">
              <w:rPr>
                <w:spacing w:val="14"/>
                <w:sz w:val="16"/>
                <w:szCs w:val="18"/>
              </w:rPr>
              <w:t xml:space="preserve"> </w:t>
            </w:r>
            <w:r w:rsidRPr="00A83F08">
              <w:rPr>
                <w:sz w:val="16"/>
                <w:szCs w:val="18"/>
              </w:rPr>
              <w:t>revenue</w:t>
            </w:r>
          </w:p>
        </w:tc>
        <w:tc>
          <w:tcPr>
            <w:tcW w:w="1252" w:type="dxa"/>
          </w:tcPr>
          <w:p w14:paraId="3A81E8E2" w14:textId="38760E14" w:rsidR="00A83F08" w:rsidRPr="00A83F08" w:rsidRDefault="00A83F08" w:rsidP="00A83F08">
            <w:pPr>
              <w:pStyle w:val="TableText"/>
              <w:ind w:left="57" w:right="170"/>
              <w:jc w:val="right"/>
              <w:rPr>
                <w:rFonts w:cs="Segoe UI"/>
                <w:sz w:val="16"/>
                <w:szCs w:val="16"/>
              </w:rPr>
            </w:pPr>
            <w:r w:rsidRPr="00A83F08">
              <w:rPr>
                <w:rFonts w:cs="Segoe UI"/>
                <w:sz w:val="16"/>
                <w:szCs w:val="16"/>
              </w:rPr>
              <w:t>32,560</w:t>
            </w:r>
          </w:p>
        </w:tc>
        <w:tc>
          <w:tcPr>
            <w:tcW w:w="1282" w:type="dxa"/>
          </w:tcPr>
          <w:p w14:paraId="24CFF42E" w14:textId="2406E31E" w:rsidR="00A83F08" w:rsidRPr="00A83F08" w:rsidRDefault="00A83F08" w:rsidP="00A83F08">
            <w:pPr>
              <w:pStyle w:val="TableText"/>
              <w:ind w:left="57" w:right="170"/>
              <w:jc w:val="right"/>
              <w:rPr>
                <w:rFonts w:cs="Segoe UI"/>
                <w:sz w:val="16"/>
                <w:szCs w:val="16"/>
              </w:rPr>
            </w:pPr>
            <w:r w:rsidRPr="00A83F08">
              <w:rPr>
                <w:rFonts w:cs="Segoe UI"/>
                <w:sz w:val="16"/>
                <w:szCs w:val="16"/>
              </w:rPr>
              <w:t>18,225</w:t>
            </w:r>
          </w:p>
        </w:tc>
        <w:tc>
          <w:tcPr>
            <w:tcW w:w="1241" w:type="dxa"/>
          </w:tcPr>
          <w:p w14:paraId="58D74687" w14:textId="3743C52C" w:rsidR="00A83F08" w:rsidRPr="00A83F08" w:rsidRDefault="00A83F08" w:rsidP="00A83F08">
            <w:pPr>
              <w:pStyle w:val="TableText"/>
              <w:ind w:left="57" w:right="170"/>
              <w:jc w:val="right"/>
              <w:rPr>
                <w:rFonts w:cs="Segoe UI"/>
                <w:sz w:val="16"/>
                <w:szCs w:val="16"/>
              </w:rPr>
            </w:pPr>
            <w:r w:rsidRPr="00A83F08">
              <w:rPr>
                <w:rFonts w:cs="Segoe UI"/>
                <w:sz w:val="16"/>
                <w:szCs w:val="16"/>
              </w:rPr>
              <w:t>22,302</w:t>
            </w:r>
          </w:p>
        </w:tc>
      </w:tr>
      <w:tr w:rsidR="00A83F08" w14:paraId="4D9E24BB" w14:textId="77777777" w:rsidTr="00A83F08">
        <w:trPr>
          <w:trHeight w:val="359"/>
        </w:trPr>
        <w:tc>
          <w:tcPr>
            <w:tcW w:w="1274" w:type="dxa"/>
          </w:tcPr>
          <w:p w14:paraId="48075379" w14:textId="67DBE64F" w:rsidR="00A83F08" w:rsidRDefault="00A83F08" w:rsidP="00A83F08">
            <w:pPr>
              <w:pStyle w:val="TableText"/>
              <w:ind w:left="57" w:right="170"/>
              <w:jc w:val="right"/>
              <w:rPr>
                <w:rFonts w:cs="Segoe UI"/>
                <w:sz w:val="16"/>
                <w:szCs w:val="16"/>
              </w:rPr>
            </w:pPr>
            <w:r w:rsidRPr="00A83F08">
              <w:rPr>
                <w:rFonts w:cs="Segoe UI"/>
                <w:sz w:val="16"/>
                <w:szCs w:val="16"/>
              </w:rPr>
              <w:t>(219,331)</w:t>
            </w:r>
          </w:p>
        </w:tc>
        <w:tc>
          <w:tcPr>
            <w:tcW w:w="3121" w:type="dxa"/>
            <w:hideMark/>
          </w:tcPr>
          <w:p w14:paraId="5C1A2485" w14:textId="77777777" w:rsidR="00A83F08" w:rsidRPr="00A83F08" w:rsidRDefault="00A83F08" w:rsidP="00A83F08">
            <w:pPr>
              <w:pStyle w:val="TableText"/>
              <w:ind w:left="57"/>
              <w:rPr>
                <w:sz w:val="16"/>
                <w:szCs w:val="18"/>
              </w:rPr>
            </w:pPr>
            <w:r w:rsidRPr="00A83F08">
              <w:rPr>
                <w:w w:val="105"/>
                <w:sz w:val="16"/>
                <w:szCs w:val="18"/>
              </w:rPr>
              <w:t>Payments</w:t>
            </w:r>
            <w:r w:rsidRPr="00A83F08">
              <w:rPr>
                <w:spacing w:val="-14"/>
                <w:w w:val="105"/>
                <w:sz w:val="16"/>
                <w:szCs w:val="18"/>
              </w:rPr>
              <w:t xml:space="preserve"> </w:t>
            </w:r>
            <w:r w:rsidRPr="00A83F08">
              <w:rPr>
                <w:w w:val="105"/>
                <w:sz w:val="16"/>
                <w:szCs w:val="18"/>
              </w:rPr>
              <w:t>to</w:t>
            </w:r>
            <w:r w:rsidRPr="00A83F08">
              <w:rPr>
                <w:spacing w:val="-14"/>
                <w:w w:val="105"/>
                <w:sz w:val="16"/>
                <w:szCs w:val="18"/>
              </w:rPr>
              <w:t xml:space="preserve"> </w:t>
            </w:r>
            <w:r w:rsidRPr="00A83F08">
              <w:rPr>
                <w:w w:val="105"/>
                <w:sz w:val="16"/>
                <w:szCs w:val="18"/>
              </w:rPr>
              <w:t>suppliers</w:t>
            </w:r>
          </w:p>
        </w:tc>
        <w:tc>
          <w:tcPr>
            <w:tcW w:w="1252" w:type="dxa"/>
          </w:tcPr>
          <w:p w14:paraId="71F7DACE" w14:textId="3DF00991" w:rsidR="00A83F08" w:rsidRPr="00A83F08" w:rsidRDefault="00A83F08" w:rsidP="00A83F08">
            <w:pPr>
              <w:pStyle w:val="TableText"/>
              <w:ind w:left="57" w:right="170"/>
              <w:jc w:val="right"/>
              <w:rPr>
                <w:rFonts w:cs="Segoe UI"/>
                <w:sz w:val="16"/>
                <w:szCs w:val="16"/>
              </w:rPr>
            </w:pPr>
            <w:r w:rsidRPr="00A83F08">
              <w:rPr>
                <w:rFonts w:cs="Segoe UI"/>
                <w:sz w:val="16"/>
                <w:szCs w:val="16"/>
              </w:rPr>
              <w:t>(136,521)</w:t>
            </w:r>
          </w:p>
        </w:tc>
        <w:tc>
          <w:tcPr>
            <w:tcW w:w="1282" w:type="dxa"/>
          </w:tcPr>
          <w:p w14:paraId="4C91FE88" w14:textId="3CABDEAF" w:rsidR="00A83F08" w:rsidRPr="00A83F08" w:rsidRDefault="00A83F08" w:rsidP="00A83F08">
            <w:pPr>
              <w:pStyle w:val="TableText"/>
              <w:ind w:left="57" w:right="170"/>
              <w:jc w:val="right"/>
              <w:rPr>
                <w:rFonts w:cs="Segoe UI"/>
                <w:sz w:val="16"/>
                <w:szCs w:val="16"/>
              </w:rPr>
            </w:pPr>
            <w:r w:rsidRPr="00A83F08">
              <w:rPr>
                <w:rFonts w:cs="Segoe UI"/>
                <w:sz w:val="16"/>
                <w:szCs w:val="16"/>
              </w:rPr>
              <w:t>(138,944)</w:t>
            </w:r>
          </w:p>
        </w:tc>
        <w:tc>
          <w:tcPr>
            <w:tcW w:w="1241" w:type="dxa"/>
          </w:tcPr>
          <w:p w14:paraId="17DE7E40" w14:textId="288AC5B4" w:rsidR="00A83F08" w:rsidRPr="00A83F08" w:rsidRDefault="00A83F08" w:rsidP="00A83F08">
            <w:pPr>
              <w:pStyle w:val="TableText"/>
              <w:ind w:left="57" w:right="170"/>
              <w:jc w:val="right"/>
              <w:rPr>
                <w:rFonts w:cs="Segoe UI"/>
                <w:sz w:val="16"/>
                <w:szCs w:val="16"/>
              </w:rPr>
            </w:pPr>
            <w:r w:rsidRPr="00A83F08">
              <w:rPr>
                <w:rFonts w:cs="Segoe UI"/>
                <w:sz w:val="16"/>
                <w:szCs w:val="16"/>
              </w:rPr>
              <w:t>(236,343)</w:t>
            </w:r>
          </w:p>
        </w:tc>
      </w:tr>
      <w:tr w:rsidR="00A83F08" w14:paraId="752033A6" w14:textId="77777777" w:rsidTr="00A83F08">
        <w:trPr>
          <w:trHeight w:val="359"/>
        </w:trPr>
        <w:tc>
          <w:tcPr>
            <w:tcW w:w="1274" w:type="dxa"/>
          </w:tcPr>
          <w:p w14:paraId="46F3FEB6" w14:textId="7A1F52D7" w:rsidR="00A83F08" w:rsidRDefault="00A83F08" w:rsidP="00A83F08">
            <w:pPr>
              <w:pStyle w:val="TableText"/>
              <w:ind w:left="57" w:right="170"/>
              <w:jc w:val="right"/>
              <w:rPr>
                <w:rFonts w:cs="Segoe UI"/>
                <w:sz w:val="16"/>
                <w:szCs w:val="16"/>
              </w:rPr>
            </w:pPr>
            <w:r w:rsidRPr="00A83F08">
              <w:rPr>
                <w:rFonts w:cs="Segoe UI"/>
                <w:sz w:val="16"/>
                <w:szCs w:val="16"/>
              </w:rPr>
              <w:t>(105,783)</w:t>
            </w:r>
          </w:p>
        </w:tc>
        <w:tc>
          <w:tcPr>
            <w:tcW w:w="3121" w:type="dxa"/>
            <w:hideMark/>
          </w:tcPr>
          <w:p w14:paraId="197F71B9" w14:textId="77777777" w:rsidR="00A83F08" w:rsidRPr="00A83F08" w:rsidRDefault="00A83F08" w:rsidP="00A83F08">
            <w:pPr>
              <w:pStyle w:val="TableText"/>
              <w:ind w:left="57"/>
              <w:rPr>
                <w:sz w:val="16"/>
                <w:szCs w:val="18"/>
              </w:rPr>
            </w:pPr>
            <w:r w:rsidRPr="00A83F08">
              <w:rPr>
                <w:w w:val="105"/>
                <w:sz w:val="16"/>
                <w:szCs w:val="18"/>
              </w:rPr>
              <w:t>Payments to employees</w:t>
            </w:r>
          </w:p>
        </w:tc>
        <w:tc>
          <w:tcPr>
            <w:tcW w:w="1252" w:type="dxa"/>
          </w:tcPr>
          <w:p w14:paraId="493A855F" w14:textId="6ECF53F8" w:rsidR="00A83F08" w:rsidRPr="00A83F08" w:rsidRDefault="00A83F08" w:rsidP="00A83F08">
            <w:pPr>
              <w:pStyle w:val="TableText"/>
              <w:ind w:left="57" w:right="170"/>
              <w:jc w:val="right"/>
              <w:rPr>
                <w:rFonts w:cs="Segoe UI"/>
                <w:sz w:val="16"/>
                <w:szCs w:val="16"/>
              </w:rPr>
            </w:pPr>
            <w:r w:rsidRPr="00A83F08">
              <w:rPr>
                <w:rFonts w:cs="Segoe UI"/>
                <w:sz w:val="16"/>
                <w:szCs w:val="16"/>
              </w:rPr>
              <w:t>(117,839)</w:t>
            </w:r>
          </w:p>
        </w:tc>
        <w:tc>
          <w:tcPr>
            <w:tcW w:w="1282" w:type="dxa"/>
          </w:tcPr>
          <w:p w14:paraId="651B6C12" w14:textId="22D5392C" w:rsidR="00A83F08" w:rsidRPr="00A83F08" w:rsidRDefault="00A83F08" w:rsidP="00A83F08">
            <w:pPr>
              <w:pStyle w:val="TableText"/>
              <w:ind w:left="57" w:right="170"/>
              <w:jc w:val="right"/>
              <w:rPr>
                <w:rFonts w:cs="Segoe UI"/>
                <w:sz w:val="16"/>
                <w:szCs w:val="16"/>
              </w:rPr>
            </w:pPr>
            <w:r w:rsidRPr="00A83F08">
              <w:rPr>
                <w:rFonts w:cs="Segoe UI"/>
                <w:sz w:val="16"/>
                <w:szCs w:val="16"/>
              </w:rPr>
              <w:t>(96,936)</w:t>
            </w:r>
          </w:p>
        </w:tc>
        <w:tc>
          <w:tcPr>
            <w:tcW w:w="1241" w:type="dxa"/>
          </w:tcPr>
          <w:p w14:paraId="680DD138" w14:textId="68FF0BFF" w:rsidR="00A83F08" w:rsidRPr="00A83F08" w:rsidRDefault="00A83F08" w:rsidP="00A83F08">
            <w:pPr>
              <w:pStyle w:val="TableText"/>
              <w:ind w:left="57" w:right="170"/>
              <w:jc w:val="right"/>
              <w:rPr>
                <w:rFonts w:cs="Segoe UI"/>
                <w:sz w:val="16"/>
                <w:szCs w:val="16"/>
              </w:rPr>
            </w:pPr>
            <w:r w:rsidRPr="00A83F08">
              <w:rPr>
                <w:rFonts w:cs="Segoe UI"/>
                <w:sz w:val="16"/>
                <w:szCs w:val="16"/>
              </w:rPr>
              <w:t>2,132</w:t>
            </w:r>
          </w:p>
        </w:tc>
      </w:tr>
      <w:tr w:rsidR="00A83F08" w14:paraId="008E7FDE" w14:textId="77777777" w:rsidTr="00A83F08">
        <w:trPr>
          <w:trHeight w:val="359"/>
        </w:trPr>
        <w:tc>
          <w:tcPr>
            <w:tcW w:w="1274" w:type="dxa"/>
          </w:tcPr>
          <w:p w14:paraId="6F6A4D21" w14:textId="1EBA02C2" w:rsidR="00A83F08" w:rsidRDefault="00A83F08" w:rsidP="00A83F08">
            <w:pPr>
              <w:pStyle w:val="TableText"/>
              <w:ind w:left="57" w:right="170"/>
              <w:jc w:val="right"/>
              <w:rPr>
                <w:rFonts w:cs="Segoe UI"/>
                <w:sz w:val="16"/>
                <w:szCs w:val="16"/>
              </w:rPr>
            </w:pPr>
            <w:r w:rsidRPr="00A83F08">
              <w:rPr>
                <w:rFonts w:cs="Segoe UI"/>
                <w:sz w:val="16"/>
                <w:szCs w:val="16"/>
              </w:rPr>
              <w:t>(1,125)</w:t>
            </w:r>
          </w:p>
        </w:tc>
        <w:tc>
          <w:tcPr>
            <w:tcW w:w="3121" w:type="dxa"/>
            <w:hideMark/>
          </w:tcPr>
          <w:p w14:paraId="5C1DE57F" w14:textId="77777777" w:rsidR="00A83F08" w:rsidRPr="00A83F08" w:rsidRDefault="00A83F08" w:rsidP="00A83F08">
            <w:pPr>
              <w:pStyle w:val="TableText"/>
              <w:ind w:left="57"/>
              <w:rPr>
                <w:sz w:val="16"/>
                <w:szCs w:val="18"/>
              </w:rPr>
            </w:pPr>
            <w:r w:rsidRPr="00A83F08">
              <w:rPr>
                <w:w w:val="105"/>
                <w:sz w:val="16"/>
                <w:szCs w:val="18"/>
              </w:rPr>
              <w:t>Payments</w:t>
            </w:r>
            <w:r w:rsidRPr="00A83F08">
              <w:rPr>
                <w:spacing w:val="1"/>
                <w:w w:val="105"/>
                <w:sz w:val="16"/>
                <w:szCs w:val="18"/>
              </w:rPr>
              <w:t xml:space="preserve"> </w:t>
            </w:r>
            <w:r w:rsidRPr="00A83F08">
              <w:rPr>
                <w:w w:val="105"/>
                <w:sz w:val="16"/>
                <w:szCs w:val="18"/>
              </w:rPr>
              <w:t>for</w:t>
            </w:r>
            <w:r w:rsidRPr="00A83F08">
              <w:rPr>
                <w:spacing w:val="1"/>
                <w:w w:val="105"/>
                <w:sz w:val="16"/>
                <w:szCs w:val="18"/>
              </w:rPr>
              <w:t xml:space="preserve"> </w:t>
            </w:r>
            <w:r w:rsidRPr="00A83F08">
              <w:rPr>
                <w:w w:val="105"/>
                <w:sz w:val="16"/>
                <w:szCs w:val="18"/>
              </w:rPr>
              <w:t>capital</w:t>
            </w:r>
            <w:r w:rsidRPr="00A83F08">
              <w:rPr>
                <w:spacing w:val="1"/>
                <w:w w:val="105"/>
                <w:sz w:val="16"/>
                <w:szCs w:val="18"/>
              </w:rPr>
              <w:t xml:space="preserve"> </w:t>
            </w:r>
            <w:r w:rsidRPr="00A83F08">
              <w:rPr>
                <w:w w:val="105"/>
                <w:sz w:val="16"/>
                <w:szCs w:val="18"/>
              </w:rPr>
              <w:t>charge</w:t>
            </w:r>
          </w:p>
        </w:tc>
        <w:tc>
          <w:tcPr>
            <w:tcW w:w="1252" w:type="dxa"/>
          </w:tcPr>
          <w:p w14:paraId="01FA1261" w14:textId="1B7C2CA0" w:rsidR="00A83F08" w:rsidRPr="00A83F08" w:rsidRDefault="00A83F08" w:rsidP="00A83F08">
            <w:pPr>
              <w:pStyle w:val="TableText"/>
              <w:ind w:left="57" w:right="170"/>
              <w:jc w:val="right"/>
              <w:rPr>
                <w:rFonts w:cs="Segoe UI"/>
                <w:sz w:val="16"/>
                <w:szCs w:val="16"/>
              </w:rPr>
            </w:pPr>
            <w:r w:rsidRPr="00A83F08">
              <w:rPr>
                <w:rFonts w:cs="Segoe UI"/>
                <w:sz w:val="16"/>
                <w:szCs w:val="16"/>
              </w:rPr>
              <w:t>(634)</w:t>
            </w:r>
          </w:p>
        </w:tc>
        <w:tc>
          <w:tcPr>
            <w:tcW w:w="1282" w:type="dxa"/>
          </w:tcPr>
          <w:p w14:paraId="719FD386" w14:textId="05C8BAB0" w:rsidR="00A83F08" w:rsidRPr="00A83F08" w:rsidRDefault="00A83F08" w:rsidP="00A83F08">
            <w:pPr>
              <w:pStyle w:val="TableText"/>
              <w:ind w:left="57" w:right="170"/>
              <w:jc w:val="right"/>
              <w:rPr>
                <w:rFonts w:cs="Segoe UI"/>
                <w:sz w:val="16"/>
                <w:szCs w:val="16"/>
              </w:rPr>
            </w:pPr>
            <w:r w:rsidRPr="00A83F08">
              <w:rPr>
                <w:rFonts w:cs="Segoe UI"/>
                <w:sz w:val="16"/>
                <w:szCs w:val="16"/>
              </w:rPr>
              <w:t>(650)</w:t>
            </w:r>
          </w:p>
        </w:tc>
        <w:tc>
          <w:tcPr>
            <w:tcW w:w="1241" w:type="dxa"/>
          </w:tcPr>
          <w:p w14:paraId="1B82B60B" w14:textId="00AEAD23" w:rsidR="00A83F08" w:rsidRPr="00A83F08" w:rsidRDefault="00A83F08" w:rsidP="00A83F08">
            <w:pPr>
              <w:pStyle w:val="TableText"/>
              <w:ind w:left="57" w:right="170"/>
              <w:jc w:val="right"/>
              <w:rPr>
                <w:rFonts w:cs="Segoe UI"/>
                <w:sz w:val="16"/>
                <w:szCs w:val="16"/>
              </w:rPr>
            </w:pPr>
            <w:r w:rsidRPr="00A83F08">
              <w:rPr>
                <w:rFonts w:cs="Segoe UI"/>
                <w:sz w:val="16"/>
                <w:szCs w:val="16"/>
              </w:rPr>
              <w:t>–</w:t>
            </w:r>
          </w:p>
        </w:tc>
      </w:tr>
      <w:tr w:rsidR="00A83F08" w14:paraId="50F4A3CA" w14:textId="77777777" w:rsidTr="00A83F08">
        <w:trPr>
          <w:trHeight w:val="348"/>
        </w:trPr>
        <w:tc>
          <w:tcPr>
            <w:tcW w:w="1274" w:type="dxa"/>
            <w:tcBorders>
              <w:top w:val="nil"/>
              <w:left w:val="nil"/>
              <w:bottom w:val="single" w:sz="4" w:space="0" w:color="A6A6A6" w:themeColor="background1" w:themeShade="A6"/>
              <w:right w:val="nil"/>
            </w:tcBorders>
          </w:tcPr>
          <w:p w14:paraId="75CC2024" w14:textId="6108A1AB" w:rsidR="00A83F08" w:rsidRDefault="00A83F08" w:rsidP="00A83F08">
            <w:pPr>
              <w:pStyle w:val="TableText"/>
              <w:ind w:left="57" w:right="170"/>
              <w:jc w:val="right"/>
              <w:rPr>
                <w:rFonts w:cs="Segoe UI"/>
                <w:sz w:val="16"/>
                <w:szCs w:val="16"/>
              </w:rPr>
            </w:pPr>
            <w:r w:rsidRPr="00A83F08">
              <w:rPr>
                <w:rFonts w:cs="Segoe UI"/>
                <w:sz w:val="16"/>
                <w:szCs w:val="16"/>
              </w:rPr>
              <w:t>(25,738)</w:t>
            </w:r>
          </w:p>
        </w:tc>
        <w:tc>
          <w:tcPr>
            <w:tcW w:w="3121" w:type="dxa"/>
            <w:tcBorders>
              <w:top w:val="nil"/>
              <w:left w:val="nil"/>
              <w:bottom w:val="single" w:sz="4" w:space="0" w:color="A6A6A6" w:themeColor="background1" w:themeShade="A6"/>
              <w:right w:val="nil"/>
            </w:tcBorders>
            <w:hideMark/>
          </w:tcPr>
          <w:p w14:paraId="32FA03A2" w14:textId="77777777" w:rsidR="00A83F08" w:rsidRPr="00A83F08" w:rsidRDefault="00A83F08" w:rsidP="00A83F08">
            <w:pPr>
              <w:pStyle w:val="TableText"/>
              <w:ind w:left="57"/>
              <w:rPr>
                <w:sz w:val="16"/>
                <w:szCs w:val="18"/>
              </w:rPr>
            </w:pPr>
            <w:r w:rsidRPr="00A83F08">
              <w:rPr>
                <w:w w:val="105"/>
                <w:sz w:val="16"/>
                <w:szCs w:val="18"/>
              </w:rPr>
              <w:t>Goods</w:t>
            </w:r>
            <w:r w:rsidRPr="00A83F08">
              <w:rPr>
                <w:spacing w:val="-4"/>
                <w:w w:val="105"/>
                <w:sz w:val="16"/>
                <w:szCs w:val="18"/>
              </w:rPr>
              <w:t xml:space="preserve"> </w:t>
            </w:r>
            <w:r w:rsidRPr="00A83F08">
              <w:rPr>
                <w:w w:val="105"/>
                <w:sz w:val="16"/>
                <w:szCs w:val="18"/>
              </w:rPr>
              <w:t>and</w:t>
            </w:r>
            <w:r w:rsidRPr="00A83F08">
              <w:rPr>
                <w:spacing w:val="-3"/>
                <w:w w:val="105"/>
                <w:sz w:val="16"/>
                <w:szCs w:val="18"/>
              </w:rPr>
              <w:t xml:space="preserve"> </w:t>
            </w:r>
            <w:r w:rsidRPr="00A83F08">
              <w:rPr>
                <w:w w:val="105"/>
                <w:sz w:val="16"/>
                <w:szCs w:val="18"/>
              </w:rPr>
              <w:t>services</w:t>
            </w:r>
            <w:r w:rsidRPr="00A83F08">
              <w:rPr>
                <w:spacing w:val="-3"/>
                <w:w w:val="105"/>
                <w:sz w:val="16"/>
                <w:szCs w:val="18"/>
              </w:rPr>
              <w:t xml:space="preserve"> </w:t>
            </w:r>
            <w:r w:rsidRPr="00A83F08">
              <w:rPr>
                <w:w w:val="105"/>
                <w:sz w:val="16"/>
                <w:szCs w:val="18"/>
              </w:rPr>
              <w:t>tax</w:t>
            </w:r>
            <w:r w:rsidRPr="00A83F08">
              <w:rPr>
                <w:spacing w:val="-4"/>
                <w:w w:val="105"/>
                <w:sz w:val="16"/>
                <w:szCs w:val="18"/>
              </w:rPr>
              <w:t xml:space="preserve"> </w:t>
            </w:r>
            <w:r w:rsidRPr="00A83F08">
              <w:rPr>
                <w:w w:val="105"/>
                <w:sz w:val="16"/>
                <w:szCs w:val="18"/>
              </w:rPr>
              <w:t>(net)</w:t>
            </w:r>
          </w:p>
        </w:tc>
        <w:tc>
          <w:tcPr>
            <w:tcW w:w="1252" w:type="dxa"/>
            <w:tcBorders>
              <w:top w:val="nil"/>
              <w:left w:val="nil"/>
              <w:bottom w:val="single" w:sz="4" w:space="0" w:color="A6A6A6" w:themeColor="background1" w:themeShade="A6"/>
              <w:right w:val="nil"/>
            </w:tcBorders>
          </w:tcPr>
          <w:p w14:paraId="3C6A3B4A" w14:textId="4834B7DC" w:rsidR="00A83F08" w:rsidRPr="00A83F08" w:rsidRDefault="00A83F08" w:rsidP="00A83F08">
            <w:pPr>
              <w:pStyle w:val="TableText"/>
              <w:ind w:left="57" w:right="170"/>
              <w:jc w:val="right"/>
              <w:rPr>
                <w:rFonts w:cs="Segoe UI"/>
                <w:sz w:val="16"/>
                <w:szCs w:val="16"/>
              </w:rPr>
            </w:pPr>
            <w:r w:rsidRPr="00A83F08">
              <w:rPr>
                <w:rFonts w:cs="Segoe UI"/>
                <w:sz w:val="16"/>
                <w:szCs w:val="16"/>
              </w:rPr>
              <w:t>5,575</w:t>
            </w:r>
          </w:p>
        </w:tc>
        <w:tc>
          <w:tcPr>
            <w:tcW w:w="1282" w:type="dxa"/>
            <w:tcBorders>
              <w:top w:val="nil"/>
              <w:left w:val="nil"/>
              <w:bottom w:val="single" w:sz="4" w:space="0" w:color="A6A6A6" w:themeColor="background1" w:themeShade="A6"/>
              <w:right w:val="nil"/>
            </w:tcBorders>
          </w:tcPr>
          <w:p w14:paraId="52714CC4" w14:textId="297E49D7" w:rsidR="00A83F08" w:rsidRPr="00A83F08" w:rsidRDefault="00A83F08" w:rsidP="00A83F08">
            <w:pPr>
              <w:pStyle w:val="TableText"/>
              <w:ind w:left="57" w:right="170"/>
              <w:jc w:val="right"/>
              <w:rPr>
                <w:rFonts w:cs="Segoe UI"/>
                <w:sz w:val="16"/>
                <w:szCs w:val="16"/>
              </w:rPr>
            </w:pPr>
            <w:r w:rsidRPr="00A83F08">
              <w:rPr>
                <w:rFonts w:cs="Segoe UI"/>
                <w:sz w:val="16"/>
                <w:szCs w:val="16"/>
              </w:rPr>
              <w:t>–</w:t>
            </w:r>
          </w:p>
        </w:tc>
        <w:tc>
          <w:tcPr>
            <w:tcW w:w="1241" w:type="dxa"/>
            <w:tcBorders>
              <w:top w:val="nil"/>
              <w:left w:val="nil"/>
              <w:bottom w:val="single" w:sz="4" w:space="0" w:color="A6A6A6" w:themeColor="background1" w:themeShade="A6"/>
              <w:right w:val="nil"/>
            </w:tcBorders>
          </w:tcPr>
          <w:p w14:paraId="5F9ACE99" w14:textId="6CE39704" w:rsidR="00A83F08" w:rsidRPr="00A83F08" w:rsidRDefault="00A83F08" w:rsidP="00A83F08">
            <w:pPr>
              <w:pStyle w:val="TableText"/>
              <w:ind w:left="57" w:right="170"/>
              <w:jc w:val="right"/>
              <w:rPr>
                <w:rFonts w:cs="Segoe UI"/>
                <w:sz w:val="16"/>
                <w:szCs w:val="16"/>
              </w:rPr>
            </w:pPr>
            <w:r w:rsidRPr="00A83F08">
              <w:rPr>
                <w:rFonts w:cs="Segoe UI"/>
                <w:sz w:val="16"/>
                <w:szCs w:val="16"/>
              </w:rPr>
              <w:t>–</w:t>
            </w:r>
          </w:p>
        </w:tc>
      </w:tr>
      <w:tr w:rsidR="00A83F08" w:rsidRPr="00A83F08" w14:paraId="0A9DF4ED" w14:textId="77777777" w:rsidTr="00A83F08">
        <w:trPr>
          <w:trHeight w:val="344"/>
        </w:trPr>
        <w:tc>
          <w:tcPr>
            <w:tcW w:w="1274" w:type="dxa"/>
            <w:tcBorders>
              <w:top w:val="single" w:sz="4" w:space="0" w:color="A6A6A6" w:themeColor="background1" w:themeShade="A6"/>
              <w:left w:val="nil"/>
              <w:bottom w:val="single" w:sz="4" w:space="0" w:color="A6A6A6" w:themeColor="background1" w:themeShade="A6"/>
              <w:right w:val="nil"/>
            </w:tcBorders>
          </w:tcPr>
          <w:p w14:paraId="543C5EEA" w14:textId="232F0B1E" w:rsidR="00A83F08" w:rsidRPr="00A83F08" w:rsidRDefault="00A83F08" w:rsidP="00A83F08">
            <w:pPr>
              <w:pStyle w:val="TableText"/>
              <w:ind w:left="57" w:right="170"/>
              <w:jc w:val="right"/>
              <w:rPr>
                <w:rFonts w:cs="Segoe UI"/>
                <w:b/>
                <w:bCs/>
                <w:sz w:val="16"/>
                <w:szCs w:val="16"/>
              </w:rPr>
            </w:pPr>
            <w:r w:rsidRPr="00A83F08">
              <w:rPr>
                <w:rFonts w:cs="Segoe UI"/>
                <w:b/>
                <w:bCs/>
                <w:sz w:val="16"/>
                <w:szCs w:val="16"/>
              </w:rPr>
              <w:t>139,310</w:t>
            </w:r>
          </w:p>
        </w:tc>
        <w:tc>
          <w:tcPr>
            <w:tcW w:w="3121" w:type="dxa"/>
            <w:tcBorders>
              <w:top w:val="single" w:sz="4" w:space="0" w:color="A6A6A6" w:themeColor="background1" w:themeShade="A6"/>
              <w:left w:val="nil"/>
              <w:bottom w:val="single" w:sz="4" w:space="0" w:color="A6A6A6" w:themeColor="background1" w:themeShade="A6"/>
              <w:right w:val="nil"/>
            </w:tcBorders>
            <w:hideMark/>
          </w:tcPr>
          <w:p w14:paraId="2B120B61" w14:textId="77777777" w:rsidR="00A83F08" w:rsidRPr="00A83F08" w:rsidRDefault="00A83F08" w:rsidP="00A83F08">
            <w:pPr>
              <w:pStyle w:val="TableText"/>
              <w:ind w:left="57"/>
              <w:rPr>
                <w:b/>
                <w:bCs/>
                <w:sz w:val="16"/>
                <w:szCs w:val="18"/>
              </w:rPr>
            </w:pPr>
            <w:r w:rsidRPr="00A83F08">
              <w:rPr>
                <w:b/>
                <w:bCs/>
                <w:w w:val="105"/>
                <w:sz w:val="16"/>
                <w:szCs w:val="18"/>
              </w:rPr>
              <w:t>Net</w:t>
            </w:r>
            <w:r w:rsidRPr="00A83F08">
              <w:rPr>
                <w:b/>
                <w:bCs/>
                <w:spacing w:val="6"/>
                <w:w w:val="105"/>
                <w:sz w:val="16"/>
                <w:szCs w:val="18"/>
              </w:rPr>
              <w:t xml:space="preserve"> </w:t>
            </w:r>
            <w:r w:rsidRPr="00A83F08">
              <w:rPr>
                <w:b/>
                <w:bCs/>
                <w:w w:val="105"/>
                <w:sz w:val="16"/>
                <w:szCs w:val="18"/>
              </w:rPr>
              <w:t>cash</w:t>
            </w:r>
            <w:r w:rsidRPr="00A83F08">
              <w:rPr>
                <w:b/>
                <w:bCs/>
                <w:spacing w:val="7"/>
                <w:w w:val="105"/>
                <w:sz w:val="16"/>
                <w:szCs w:val="18"/>
              </w:rPr>
              <w:t xml:space="preserve"> </w:t>
            </w:r>
            <w:r w:rsidRPr="00A83F08">
              <w:rPr>
                <w:b/>
                <w:bCs/>
                <w:w w:val="105"/>
                <w:sz w:val="16"/>
                <w:szCs w:val="18"/>
              </w:rPr>
              <w:t>flow</w:t>
            </w:r>
            <w:r w:rsidRPr="00A83F08">
              <w:rPr>
                <w:b/>
                <w:bCs/>
                <w:spacing w:val="6"/>
                <w:w w:val="105"/>
                <w:sz w:val="16"/>
                <w:szCs w:val="18"/>
              </w:rPr>
              <w:t xml:space="preserve"> </w:t>
            </w:r>
            <w:r w:rsidRPr="00A83F08">
              <w:rPr>
                <w:b/>
                <w:bCs/>
                <w:w w:val="105"/>
                <w:sz w:val="16"/>
                <w:szCs w:val="18"/>
              </w:rPr>
              <w:t>from</w:t>
            </w:r>
            <w:r w:rsidRPr="00A83F08">
              <w:rPr>
                <w:b/>
                <w:bCs/>
                <w:spacing w:val="7"/>
                <w:w w:val="105"/>
                <w:sz w:val="16"/>
                <w:szCs w:val="18"/>
              </w:rPr>
              <w:t xml:space="preserve"> </w:t>
            </w:r>
            <w:r w:rsidRPr="00A83F08">
              <w:rPr>
                <w:b/>
                <w:bCs/>
                <w:w w:val="105"/>
                <w:sz w:val="16"/>
                <w:szCs w:val="18"/>
              </w:rPr>
              <w:t>operating</w:t>
            </w:r>
            <w:r w:rsidRPr="00A83F08">
              <w:rPr>
                <w:b/>
                <w:bCs/>
                <w:spacing w:val="6"/>
                <w:w w:val="105"/>
                <w:sz w:val="16"/>
                <w:szCs w:val="18"/>
              </w:rPr>
              <w:t xml:space="preserve"> </w:t>
            </w:r>
            <w:r w:rsidRPr="00A83F08">
              <w:rPr>
                <w:b/>
                <w:bCs/>
                <w:w w:val="105"/>
                <w:sz w:val="16"/>
                <w:szCs w:val="18"/>
              </w:rPr>
              <w:t>activities</w:t>
            </w:r>
          </w:p>
        </w:tc>
        <w:tc>
          <w:tcPr>
            <w:tcW w:w="1252" w:type="dxa"/>
            <w:tcBorders>
              <w:top w:val="single" w:sz="4" w:space="0" w:color="A6A6A6" w:themeColor="background1" w:themeShade="A6"/>
              <w:left w:val="nil"/>
              <w:bottom w:val="single" w:sz="4" w:space="0" w:color="A6A6A6" w:themeColor="background1" w:themeShade="A6"/>
              <w:right w:val="nil"/>
            </w:tcBorders>
          </w:tcPr>
          <w:p w14:paraId="6E4B4FF1" w14:textId="72257374" w:rsidR="00A83F08" w:rsidRPr="00A83F08" w:rsidRDefault="00A83F08" w:rsidP="00A83F08">
            <w:pPr>
              <w:pStyle w:val="TableText"/>
              <w:ind w:left="57" w:right="170"/>
              <w:jc w:val="right"/>
              <w:rPr>
                <w:rFonts w:cs="Segoe UI"/>
                <w:b/>
                <w:bCs/>
                <w:sz w:val="16"/>
                <w:szCs w:val="16"/>
              </w:rPr>
            </w:pPr>
            <w:r w:rsidRPr="00A83F08">
              <w:rPr>
                <w:rFonts w:cs="Segoe UI"/>
                <w:b/>
                <w:bCs/>
                <w:sz w:val="16"/>
                <w:szCs w:val="16"/>
              </w:rPr>
              <w:t>38,670</w:t>
            </w:r>
          </w:p>
        </w:tc>
        <w:tc>
          <w:tcPr>
            <w:tcW w:w="1282" w:type="dxa"/>
            <w:tcBorders>
              <w:top w:val="single" w:sz="4" w:space="0" w:color="A6A6A6" w:themeColor="background1" w:themeShade="A6"/>
              <w:left w:val="nil"/>
              <w:bottom w:val="single" w:sz="4" w:space="0" w:color="A6A6A6" w:themeColor="background1" w:themeShade="A6"/>
              <w:right w:val="nil"/>
            </w:tcBorders>
          </w:tcPr>
          <w:p w14:paraId="5A46CA3C" w14:textId="21CB24D9" w:rsidR="00A83F08" w:rsidRPr="00A83F08" w:rsidRDefault="00A83F08" w:rsidP="00A83F08">
            <w:pPr>
              <w:pStyle w:val="TableText"/>
              <w:ind w:left="57" w:right="170"/>
              <w:jc w:val="right"/>
              <w:rPr>
                <w:rFonts w:cs="Segoe UI"/>
                <w:b/>
                <w:bCs/>
                <w:sz w:val="16"/>
                <w:szCs w:val="16"/>
              </w:rPr>
            </w:pPr>
            <w:r w:rsidRPr="00A83F08">
              <w:rPr>
                <w:rFonts w:cs="Segoe UI"/>
                <w:b/>
                <w:bCs/>
                <w:sz w:val="16"/>
                <w:szCs w:val="16"/>
              </w:rPr>
              <w:t>5,034</w:t>
            </w:r>
          </w:p>
        </w:tc>
        <w:tc>
          <w:tcPr>
            <w:tcW w:w="1241" w:type="dxa"/>
            <w:tcBorders>
              <w:top w:val="single" w:sz="4" w:space="0" w:color="A6A6A6" w:themeColor="background1" w:themeShade="A6"/>
              <w:left w:val="nil"/>
              <w:bottom w:val="single" w:sz="4" w:space="0" w:color="A6A6A6" w:themeColor="background1" w:themeShade="A6"/>
              <w:right w:val="nil"/>
            </w:tcBorders>
          </w:tcPr>
          <w:p w14:paraId="68C93909" w14:textId="09516E7B" w:rsidR="00A83F08" w:rsidRPr="00A83F08" w:rsidRDefault="00A83F08" w:rsidP="00A83F08">
            <w:pPr>
              <w:pStyle w:val="TableText"/>
              <w:ind w:left="57" w:right="170"/>
              <w:jc w:val="right"/>
              <w:rPr>
                <w:rFonts w:cs="Segoe UI"/>
                <w:b/>
                <w:bCs/>
                <w:sz w:val="16"/>
                <w:szCs w:val="16"/>
              </w:rPr>
            </w:pPr>
            <w:r w:rsidRPr="00A83F08">
              <w:rPr>
                <w:rFonts w:cs="Segoe UI"/>
                <w:b/>
                <w:bCs/>
                <w:sz w:val="16"/>
                <w:szCs w:val="16"/>
              </w:rPr>
              <w:t>4,300</w:t>
            </w:r>
          </w:p>
        </w:tc>
      </w:tr>
      <w:tr w:rsidR="00A83F08" w:rsidRPr="00A83F08" w14:paraId="1F3DCD78" w14:textId="77777777" w:rsidTr="00A83F08">
        <w:trPr>
          <w:trHeight w:val="354"/>
        </w:trPr>
        <w:tc>
          <w:tcPr>
            <w:tcW w:w="1274" w:type="dxa"/>
            <w:tcBorders>
              <w:top w:val="single" w:sz="4" w:space="0" w:color="A6A6A6" w:themeColor="background1" w:themeShade="A6"/>
              <w:left w:val="nil"/>
              <w:bottom w:val="nil"/>
              <w:right w:val="nil"/>
            </w:tcBorders>
          </w:tcPr>
          <w:p w14:paraId="68C9D5BA" w14:textId="77777777" w:rsidR="00A83F08" w:rsidRPr="00A83F08" w:rsidRDefault="00A83F08" w:rsidP="00A83F08">
            <w:pPr>
              <w:pStyle w:val="TableText"/>
              <w:ind w:left="57" w:right="170"/>
              <w:jc w:val="right"/>
              <w:rPr>
                <w:rFonts w:cs="Segoe UI"/>
                <w:b/>
                <w:bCs/>
                <w:sz w:val="16"/>
                <w:szCs w:val="16"/>
              </w:rPr>
            </w:pPr>
          </w:p>
        </w:tc>
        <w:tc>
          <w:tcPr>
            <w:tcW w:w="3121" w:type="dxa"/>
            <w:tcBorders>
              <w:top w:val="single" w:sz="4" w:space="0" w:color="A6A6A6" w:themeColor="background1" w:themeShade="A6"/>
              <w:left w:val="nil"/>
              <w:bottom w:val="nil"/>
              <w:right w:val="nil"/>
            </w:tcBorders>
            <w:hideMark/>
          </w:tcPr>
          <w:p w14:paraId="2219322A" w14:textId="77777777" w:rsidR="00A83F08" w:rsidRPr="00A83F08" w:rsidRDefault="00A83F08" w:rsidP="00A83F08">
            <w:pPr>
              <w:pStyle w:val="TableText"/>
              <w:ind w:left="57"/>
              <w:rPr>
                <w:b/>
                <w:bCs/>
                <w:sz w:val="16"/>
                <w:szCs w:val="18"/>
              </w:rPr>
            </w:pPr>
            <w:r w:rsidRPr="00A83F08">
              <w:rPr>
                <w:b/>
                <w:bCs/>
                <w:w w:val="110"/>
                <w:sz w:val="16"/>
                <w:szCs w:val="18"/>
              </w:rPr>
              <w:t>Cash</w:t>
            </w:r>
            <w:r w:rsidRPr="00A83F08">
              <w:rPr>
                <w:b/>
                <w:bCs/>
                <w:spacing w:val="-8"/>
                <w:w w:val="110"/>
                <w:sz w:val="16"/>
                <w:szCs w:val="18"/>
              </w:rPr>
              <w:t xml:space="preserve"> </w:t>
            </w:r>
            <w:r w:rsidRPr="00A83F08">
              <w:rPr>
                <w:b/>
                <w:bCs/>
                <w:w w:val="110"/>
                <w:sz w:val="16"/>
                <w:szCs w:val="18"/>
              </w:rPr>
              <w:t>flows</w:t>
            </w:r>
            <w:r w:rsidRPr="00A83F08">
              <w:rPr>
                <w:b/>
                <w:bCs/>
                <w:spacing w:val="-8"/>
                <w:w w:val="110"/>
                <w:sz w:val="16"/>
                <w:szCs w:val="18"/>
              </w:rPr>
              <w:t xml:space="preserve"> </w:t>
            </w:r>
            <w:r w:rsidRPr="00A83F08">
              <w:rPr>
                <w:b/>
                <w:bCs/>
                <w:w w:val="110"/>
                <w:sz w:val="16"/>
                <w:szCs w:val="18"/>
              </w:rPr>
              <w:t>from</w:t>
            </w:r>
            <w:r w:rsidRPr="00A83F08">
              <w:rPr>
                <w:b/>
                <w:bCs/>
                <w:spacing w:val="-8"/>
                <w:w w:val="110"/>
                <w:sz w:val="16"/>
                <w:szCs w:val="18"/>
              </w:rPr>
              <w:t xml:space="preserve"> </w:t>
            </w:r>
            <w:r w:rsidRPr="00A83F08">
              <w:rPr>
                <w:b/>
                <w:bCs/>
                <w:w w:val="110"/>
                <w:sz w:val="16"/>
                <w:szCs w:val="18"/>
              </w:rPr>
              <w:t>investing</w:t>
            </w:r>
            <w:r w:rsidRPr="00A83F08">
              <w:rPr>
                <w:b/>
                <w:bCs/>
                <w:spacing w:val="-8"/>
                <w:w w:val="110"/>
                <w:sz w:val="16"/>
                <w:szCs w:val="18"/>
              </w:rPr>
              <w:t xml:space="preserve"> </w:t>
            </w:r>
            <w:r w:rsidRPr="00A83F08">
              <w:rPr>
                <w:b/>
                <w:bCs/>
                <w:w w:val="110"/>
                <w:sz w:val="16"/>
                <w:szCs w:val="18"/>
              </w:rPr>
              <w:t>activities</w:t>
            </w:r>
          </w:p>
        </w:tc>
        <w:tc>
          <w:tcPr>
            <w:tcW w:w="1252" w:type="dxa"/>
            <w:tcBorders>
              <w:top w:val="single" w:sz="4" w:space="0" w:color="A6A6A6" w:themeColor="background1" w:themeShade="A6"/>
              <w:left w:val="nil"/>
              <w:bottom w:val="nil"/>
              <w:right w:val="nil"/>
            </w:tcBorders>
          </w:tcPr>
          <w:p w14:paraId="3BA636D2" w14:textId="77777777" w:rsidR="00A83F08" w:rsidRPr="00A83F08" w:rsidRDefault="00A83F08" w:rsidP="00A83F08">
            <w:pPr>
              <w:pStyle w:val="TableText"/>
              <w:ind w:left="57" w:right="170"/>
              <w:jc w:val="right"/>
              <w:rPr>
                <w:rFonts w:cs="Segoe UI"/>
                <w:b/>
                <w:bCs/>
                <w:sz w:val="16"/>
                <w:szCs w:val="16"/>
              </w:rPr>
            </w:pPr>
          </w:p>
        </w:tc>
        <w:tc>
          <w:tcPr>
            <w:tcW w:w="1282" w:type="dxa"/>
            <w:tcBorders>
              <w:top w:val="single" w:sz="4" w:space="0" w:color="A6A6A6" w:themeColor="background1" w:themeShade="A6"/>
              <w:left w:val="nil"/>
              <w:bottom w:val="nil"/>
              <w:right w:val="nil"/>
            </w:tcBorders>
          </w:tcPr>
          <w:p w14:paraId="7291EDA7" w14:textId="77777777" w:rsidR="00A83F08" w:rsidRPr="00A83F08" w:rsidRDefault="00A83F08" w:rsidP="00A83F08">
            <w:pPr>
              <w:pStyle w:val="TableText"/>
              <w:ind w:left="57" w:right="170"/>
              <w:jc w:val="right"/>
              <w:rPr>
                <w:rFonts w:cs="Segoe UI"/>
                <w:b/>
                <w:bCs/>
                <w:sz w:val="16"/>
                <w:szCs w:val="16"/>
              </w:rPr>
            </w:pPr>
          </w:p>
        </w:tc>
        <w:tc>
          <w:tcPr>
            <w:tcW w:w="1241" w:type="dxa"/>
            <w:tcBorders>
              <w:top w:val="single" w:sz="4" w:space="0" w:color="A6A6A6" w:themeColor="background1" w:themeShade="A6"/>
              <w:left w:val="nil"/>
              <w:bottom w:val="nil"/>
              <w:right w:val="nil"/>
            </w:tcBorders>
          </w:tcPr>
          <w:p w14:paraId="635717ED" w14:textId="77777777" w:rsidR="00A83F08" w:rsidRPr="00A83F08" w:rsidRDefault="00A83F08" w:rsidP="00A83F08">
            <w:pPr>
              <w:pStyle w:val="TableText"/>
              <w:ind w:left="57" w:right="170"/>
              <w:jc w:val="right"/>
              <w:rPr>
                <w:rFonts w:cs="Segoe UI"/>
                <w:b/>
                <w:bCs/>
                <w:sz w:val="16"/>
                <w:szCs w:val="16"/>
              </w:rPr>
            </w:pPr>
          </w:p>
        </w:tc>
      </w:tr>
      <w:tr w:rsidR="00A83F08" w14:paraId="7002C200" w14:textId="77777777" w:rsidTr="00A83F08">
        <w:trPr>
          <w:trHeight w:val="369"/>
        </w:trPr>
        <w:tc>
          <w:tcPr>
            <w:tcW w:w="1274" w:type="dxa"/>
          </w:tcPr>
          <w:p w14:paraId="21003D6D" w14:textId="5ECA4A40" w:rsidR="00A83F08" w:rsidRDefault="00A83F08" w:rsidP="00A83F08">
            <w:pPr>
              <w:pStyle w:val="TableText"/>
              <w:ind w:left="57" w:right="170"/>
              <w:jc w:val="right"/>
              <w:rPr>
                <w:rFonts w:cs="Segoe UI"/>
                <w:sz w:val="16"/>
                <w:szCs w:val="16"/>
              </w:rPr>
            </w:pPr>
            <w:r w:rsidRPr="00A83F08">
              <w:rPr>
                <w:rFonts w:cs="Segoe UI"/>
                <w:sz w:val="16"/>
                <w:szCs w:val="16"/>
              </w:rPr>
              <w:t>25</w:t>
            </w:r>
          </w:p>
        </w:tc>
        <w:tc>
          <w:tcPr>
            <w:tcW w:w="3121" w:type="dxa"/>
            <w:hideMark/>
          </w:tcPr>
          <w:p w14:paraId="2141475B" w14:textId="77777777" w:rsidR="00A83F08" w:rsidRPr="00A83F08" w:rsidRDefault="00A83F08" w:rsidP="00A83F08">
            <w:pPr>
              <w:pStyle w:val="TableText"/>
              <w:ind w:left="57"/>
              <w:rPr>
                <w:sz w:val="16"/>
                <w:szCs w:val="18"/>
              </w:rPr>
            </w:pPr>
            <w:r w:rsidRPr="00A83F08">
              <w:rPr>
                <w:sz w:val="16"/>
                <w:szCs w:val="18"/>
              </w:rPr>
              <w:t>Receipts</w:t>
            </w:r>
            <w:r w:rsidRPr="00A83F08">
              <w:rPr>
                <w:spacing w:val="9"/>
                <w:sz w:val="16"/>
                <w:szCs w:val="18"/>
              </w:rPr>
              <w:t xml:space="preserve"> </w:t>
            </w:r>
            <w:r w:rsidRPr="00A83F08">
              <w:rPr>
                <w:sz w:val="16"/>
                <w:szCs w:val="18"/>
              </w:rPr>
              <w:t>from</w:t>
            </w:r>
            <w:r w:rsidRPr="00A83F08">
              <w:rPr>
                <w:spacing w:val="9"/>
                <w:sz w:val="16"/>
                <w:szCs w:val="18"/>
              </w:rPr>
              <w:t xml:space="preserve"> </w:t>
            </w:r>
            <w:r w:rsidRPr="00A83F08">
              <w:rPr>
                <w:sz w:val="16"/>
                <w:szCs w:val="18"/>
              </w:rPr>
              <w:t>sale</w:t>
            </w:r>
            <w:r w:rsidRPr="00A83F08">
              <w:rPr>
                <w:spacing w:val="9"/>
                <w:sz w:val="16"/>
                <w:szCs w:val="18"/>
              </w:rPr>
              <w:t xml:space="preserve"> </w:t>
            </w:r>
            <w:r w:rsidRPr="00A83F08">
              <w:rPr>
                <w:sz w:val="16"/>
                <w:szCs w:val="18"/>
              </w:rPr>
              <w:t>of</w:t>
            </w:r>
            <w:r w:rsidRPr="00A83F08">
              <w:rPr>
                <w:spacing w:val="9"/>
                <w:sz w:val="16"/>
                <w:szCs w:val="18"/>
              </w:rPr>
              <w:t xml:space="preserve"> </w:t>
            </w:r>
            <w:r w:rsidRPr="00A83F08">
              <w:rPr>
                <w:sz w:val="16"/>
                <w:szCs w:val="18"/>
              </w:rPr>
              <w:t>property,</w:t>
            </w:r>
            <w:r w:rsidRPr="00A83F08">
              <w:rPr>
                <w:spacing w:val="9"/>
                <w:sz w:val="16"/>
                <w:szCs w:val="18"/>
              </w:rPr>
              <w:t xml:space="preserve"> </w:t>
            </w:r>
            <w:r w:rsidRPr="00A83F08">
              <w:rPr>
                <w:sz w:val="16"/>
                <w:szCs w:val="18"/>
              </w:rPr>
              <w:t>plant</w:t>
            </w:r>
            <w:r w:rsidRPr="00A83F08">
              <w:rPr>
                <w:spacing w:val="9"/>
                <w:sz w:val="16"/>
                <w:szCs w:val="18"/>
              </w:rPr>
              <w:t xml:space="preserve"> </w:t>
            </w:r>
            <w:r w:rsidRPr="00A83F08">
              <w:rPr>
                <w:sz w:val="16"/>
                <w:szCs w:val="18"/>
              </w:rPr>
              <w:t>and</w:t>
            </w:r>
            <w:r w:rsidRPr="00A83F08">
              <w:rPr>
                <w:spacing w:val="-54"/>
                <w:sz w:val="16"/>
                <w:szCs w:val="18"/>
              </w:rPr>
              <w:t xml:space="preserve"> </w:t>
            </w:r>
            <w:r w:rsidRPr="00A83F08">
              <w:rPr>
                <w:w w:val="105"/>
                <w:sz w:val="16"/>
                <w:szCs w:val="18"/>
              </w:rPr>
              <w:t>equipment</w:t>
            </w:r>
          </w:p>
        </w:tc>
        <w:tc>
          <w:tcPr>
            <w:tcW w:w="1252" w:type="dxa"/>
          </w:tcPr>
          <w:p w14:paraId="605B2FD8" w14:textId="14080967" w:rsidR="00A83F08" w:rsidRPr="00A83F08" w:rsidRDefault="00A83F08" w:rsidP="00A83F08">
            <w:pPr>
              <w:pStyle w:val="TableText"/>
              <w:ind w:left="57" w:right="170"/>
              <w:jc w:val="right"/>
              <w:rPr>
                <w:rFonts w:cs="Segoe UI"/>
                <w:sz w:val="16"/>
                <w:szCs w:val="16"/>
              </w:rPr>
            </w:pPr>
            <w:r w:rsidRPr="00A83F08">
              <w:rPr>
                <w:rFonts w:cs="Segoe UI"/>
                <w:sz w:val="16"/>
                <w:szCs w:val="16"/>
              </w:rPr>
              <w:t>–</w:t>
            </w:r>
          </w:p>
        </w:tc>
        <w:tc>
          <w:tcPr>
            <w:tcW w:w="1282" w:type="dxa"/>
          </w:tcPr>
          <w:p w14:paraId="25475DBE" w14:textId="135D680C" w:rsidR="00A83F08" w:rsidRPr="00A83F08" w:rsidRDefault="00A83F08" w:rsidP="00A83F08">
            <w:pPr>
              <w:pStyle w:val="TableText"/>
              <w:ind w:left="57" w:right="170"/>
              <w:jc w:val="right"/>
              <w:rPr>
                <w:rFonts w:cs="Segoe UI"/>
                <w:sz w:val="16"/>
                <w:szCs w:val="16"/>
              </w:rPr>
            </w:pPr>
            <w:r w:rsidRPr="00A83F08">
              <w:rPr>
                <w:rFonts w:cs="Segoe UI"/>
                <w:sz w:val="16"/>
                <w:szCs w:val="16"/>
              </w:rPr>
              <w:t>–</w:t>
            </w:r>
          </w:p>
        </w:tc>
        <w:tc>
          <w:tcPr>
            <w:tcW w:w="1241" w:type="dxa"/>
          </w:tcPr>
          <w:p w14:paraId="3DE4078F" w14:textId="016D4D9C" w:rsidR="00A83F08" w:rsidRPr="00A83F08" w:rsidRDefault="00A83F08" w:rsidP="00A83F08">
            <w:pPr>
              <w:pStyle w:val="TableText"/>
              <w:ind w:left="57" w:right="170"/>
              <w:jc w:val="right"/>
              <w:rPr>
                <w:rFonts w:cs="Segoe UI"/>
                <w:sz w:val="16"/>
                <w:szCs w:val="16"/>
              </w:rPr>
            </w:pPr>
            <w:r w:rsidRPr="00A83F08">
              <w:rPr>
                <w:rFonts w:cs="Segoe UI"/>
                <w:sz w:val="16"/>
                <w:szCs w:val="16"/>
              </w:rPr>
              <w:t>4,000</w:t>
            </w:r>
          </w:p>
        </w:tc>
      </w:tr>
      <w:tr w:rsidR="00A83F08" w14:paraId="3D694A1D" w14:textId="77777777" w:rsidTr="00A83F08">
        <w:trPr>
          <w:trHeight w:val="289"/>
        </w:trPr>
        <w:tc>
          <w:tcPr>
            <w:tcW w:w="1274" w:type="dxa"/>
          </w:tcPr>
          <w:p w14:paraId="34D97E06" w14:textId="118F569D" w:rsidR="00A83F08" w:rsidRDefault="00A83F08" w:rsidP="00A83F08">
            <w:pPr>
              <w:pStyle w:val="TableText"/>
              <w:ind w:left="57" w:right="170"/>
              <w:jc w:val="right"/>
              <w:rPr>
                <w:rFonts w:cs="Segoe UI"/>
                <w:sz w:val="16"/>
                <w:szCs w:val="16"/>
              </w:rPr>
            </w:pPr>
            <w:r w:rsidRPr="00A83F08">
              <w:rPr>
                <w:rFonts w:cs="Segoe UI"/>
                <w:sz w:val="16"/>
                <w:szCs w:val="16"/>
              </w:rPr>
              <w:t>(1,142)</w:t>
            </w:r>
          </w:p>
        </w:tc>
        <w:tc>
          <w:tcPr>
            <w:tcW w:w="3121" w:type="dxa"/>
            <w:hideMark/>
          </w:tcPr>
          <w:p w14:paraId="16C4881F" w14:textId="77777777" w:rsidR="00A83F08" w:rsidRPr="00A83F08" w:rsidRDefault="00A83F08" w:rsidP="00A83F08">
            <w:pPr>
              <w:pStyle w:val="TableText"/>
              <w:ind w:left="57"/>
              <w:rPr>
                <w:sz w:val="16"/>
                <w:szCs w:val="18"/>
              </w:rPr>
            </w:pPr>
            <w:r w:rsidRPr="00A83F08">
              <w:rPr>
                <w:spacing w:val="-1"/>
                <w:w w:val="105"/>
                <w:sz w:val="16"/>
                <w:szCs w:val="18"/>
              </w:rPr>
              <w:t>Purchase</w:t>
            </w:r>
            <w:r w:rsidRPr="00A83F08">
              <w:rPr>
                <w:spacing w:val="-14"/>
                <w:w w:val="105"/>
                <w:sz w:val="16"/>
                <w:szCs w:val="18"/>
              </w:rPr>
              <w:t xml:space="preserve"> </w:t>
            </w:r>
            <w:r w:rsidRPr="00A83F08">
              <w:rPr>
                <w:spacing w:val="-1"/>
                <w:w w:val="105"/>
                <w:sz w:val="16"/>
                <w:szCs w:val="18"/>
              </w:rPr>
              <w:t>of</w:t>
            </w:r>
            <w:r w:rsidRPr="00A83F08">
              <w:rPr>
                <w:spacing w:val="-13"/>
                <w:w w:val="105"/>
                <w:sz w:val="16"/>
                <w:szCs w:val="18"/>
              </w:rPr>
              <w:t xml:space="preserve"> </w:t>
            </w:r>
            <w:r w:rsidRPr="00A83F08">
              <w:rPr>
                <w:spacing w:val="-1"/>
                <w:w w:val="105"/>
                <w:sz w:val="16"/>
                <w:szCs w:val="18"/>
              </w:rPr>
              <w:t>property,</w:t>
            </w:r>
            <w:r w:rsidRPr="00A83F08">
              <w:rPr>
                <w:spacing w:val="-13"/>
                <w:w w:val="105"/>
                <w:sz w:val="16"/>
                <w:szCs w:val="18"/>
              </w:rPr>
              <w:t xml:space="preserve"> </w:t>
            </w:r>
            <w:r w:rsidRPr="00A83F08">
              <w:rPr>
                <w:w w:val="105"/>
                <w:sz w:val="16"/>
                <w:szCs w:val="18"/>
              </w:rPr>
              <w:t>plant</w:t>
            </w:r>
            <w:r w:rsidRPr="00A83F08">
              <w:rPr>
                <w:spacing w:val="-13"/>
                <w:w w:val="105"/>
                <w:sz w:val="16"/>
                <w:szCs w:val="18"/>
              </w:rPr>
              <w:t xml:space="preserve"> </w:t>
            </w:r>
            <w:r w:rsidRPr="00A83F08">
              <w:rPr>
                <w:w w:val="105"/>
                <w:sz w:val="16"/>
                <w:szCs w:val="18"/>
              </w:rPr>
              <w:t>and</w:t>
            </w:r>
            <w:r w:rsidRPr="00A83F08">
              <w:rPr>
                <w:spacing w:val="-57"/>
                <w:w w:val="105"/>
                <w:sz w:val="16"/>
                <w:szCs w:val="18"/>
              </w:rPr>
              <w:t xml:space="preserve"> </w:t>
            </w:r>
            <w:r w:rsidRPr="00A83F08">
              <w:rPr>
                <w:w w:val="105"/>
                <w:sz w:val="16"/>
                <w:szCs w:val="18"/>
              </w:rPr>
              <w:t>equipment</w:t>
            </w:r>
          </w:p>
        </w:tc>
        <w:tc>
          <w:tcPr>
            <w:tcW w:w="1252" w:type="dxa"/>
          </w:tcPr>
          <w:p w14:paraId="0CA6BBDF" w14:textId="59470474" w:rsidR="00A83F08" w:rsidRPr="00A83F08" w:rsidRDefault="00A83F08" w:rsidP="00A83F08">
            <w:pPr>
              <w:pStyle w:val="TableText"/>
              <w:ind w:left="57" w:right="170"/>
              <w:jc w:val="right"/>
              <w:rPr>
                <w:rFonts w:cs="Segoe UI"/>
                <w:sz w:val="16"/>
                <w:szCs w:val="16"/>
              </w:rPr>
            </w:pPr>
            <w:r w:rsidRPr="00A83F08">
              <w:rPr>
                <w:rFonts w:cs="Segoe UI"/>
                <w:sz w:val="16"/>
                <w:szCs w:val="16"/>
              </w:rPr>
              <w:t>(2,259)</w:t>
            </w:r>
          </w:p>
        </w:tc>
        <w:tc>
          <w:tcPr>
            <w:tcW w:w="1282" w:type="dxa"/>
          </w:tcPr>
          <w:p w14:paraId="73820CBC" w14:textId="1482CB7C" w:rsidR="00A83F08" w:rsidRPr="00A83F08" w:rsidRDefault="00A83F08" w:rsidP="00A83F08">
            <w:pPr>
              <w:pStyle w:val="TableText"/>
              <w:ind w:left="57" w:right="170"/>
              <w:jc w:val="right"/>
              <w:rPr>
                <w:rFonts w:cs="Segoe UI"/>
                <w:sz w:val="16"/>
                <w:szCs w:val="16"/>
              </w:rPr>
            </w:pPr>
            <w:r w:rsidRPr="00A83F08">
              <w:rPr>
                <w:rFonts w:cs="Segoe UI"/>
                <w:sz w:val="16"/>
                <w:szCs w:val="16"/>
              </w:rPr>
              <w:t>(1,500)</w:t>
            </w:r>
          </w:p>
        </w:tc>
        <w:tc>
          <w:tcPr>
            <w:tcW w:w="1241" w:type="dxa"/>
          </w:tcPr>
          <w:p w14:paraId="5F2F8760" w14:textId="78C4FDDB" w:rsidR="00A83F08" w:rsidRPr="00A83F08" w:rsidRDefault="00A83F08" w:rsidP="00A83F08">
            <w:pPr>
              <w:pStyle w:val="TableText"/>
              <w:ind w:left="57" w:right="170"/>
              <w:jc w:val="right"/>
              <w:rPr>
                <w:rFonts w:cs="Segoe UI"/>
                <w:sz w:val="16"/>
                <w:szCs w:val="16"/>
              </w:rPr>
            </w:pPr>
            <w:r w:rsidRPr="00A83F08">
              <w:rPr>
                <w:rFonts w:cs="Segoe UI"/>
                <w:sz w:val="16"/>
                <w:szCs w:val="16"/>
              </w:rPr>
              <w:t>(1,500)</w:t>
            </w:r>
          </w:p>
        </w:tc>
      </w:tr>
      <w:tr w:rsidR="00A83F08" w14:paraId="2E0ABE36" w14:textId="77777777" w:rsidTr="00A83F08">
        <w:trPr>
          <w:trHeight w:val="348"/>
        </w:trPr>
        <w:tc>
          <w:tcPr>
            <w:tcW w:w="1274" w:type="dxa"/>
            <w:tcBorders>
              <w:top w:val="nil"/>
              <w:left w:val="nil"/>
              <w:bottom w:val="single" w:sz="4" w:space="0" w:color="A6A6A6" w:themeColor="background1" w:themeShade="A6"/>
              <w:right w:val="nil"/>
            </w:tcBorders>
          </w:tcPr>
          <w:p w14:paraId="0B4D0504" w14:textId="42FA84F3" w:rsidR="00A83F08" w:rsidRDefault="00A83F08" w:rsidP="00A83F08">
            <w:pPr>
              <w:pStyle w:val="TableText"/>
              <w:ind w:left="57" w:right="170"/>
              <w:jc w:val="right"/>
              <w:rPr>
                <w:rFonts w:cs="Segoe UI"/>
                <w:sz w:val="16"/>
                <w:szCs w:val="16"/>
              </w:rPr>
            </w:pPr>
            <w:r w:rsidRPr="00A83F08">
              <w:rPr>
                <w:rFonts w:cs="Segoe UI"/>
                <w:sz w:val="16"/>
                <w:szCs w:val="16"/>
              </w:rPr>
              <w:t>–</w:t>
            </w:r>
          </w:p>
        </w:tc>
        <w:tc>
          <w:tcPr>
            <w:tcW w:w="3121" w:type="dxa"/>
            <w:tcBorders>
              <w:top w:val="nil"/>
              <w:left w:val="nil"/>
              <w:bottom w:val="single" w:sz="4" w:space="0" w:color="A6A6A6" w:themeColor="background1" w:themeShade="A6"/>
              <w:right w:val="nil"/>
            </w:tcBorders>
            <w:hideMark/>
          </w:tcPr>
          <w:p w14:paraId="24C63310" w14:textId="77777777" w:rsidR="00A83F08" w:rsidRPr="00A83F08" w:rsidRDefault="00A83F08" w:rsidP="00A83F08">
            <w:pPr>
              <w:pStyle w:val="TableText"/>
              <w:ind w:left="57"/>
              <w:rPr>
                <w:sz w:val="16"/>
                <w:szCs w:val="18"/>
              </w:rPr>
            </w:pPr>
            <w:r w:rsidRPr="00A83F08">
              <w:rPr>
                <w:w w:val="105"/>
                <w:sz w:val="16"/>
                <w:szCs w:val="18"/>
              </w:rPr>
              <w:t>Purchase</w:t>
            </w:r>
            <w:r w:rsidRPr="00A83F08">
              <w:rPr>
                <w:spacing w:val="-10"/>
                <w:w w:val="105"/>
                <w:sz w:val="16"/>
                <w:szCs w:val="18"/>
              </w:rPr>
              <w:t xml:space="preserve"> </w:t>
            </w:r>
            <w:r w:rsidRPr="00A83F08">
              <w:rPr>
                <w:w w:val="105"/>
                <w:sz w:val="16"/>
                <w:szCs w:val="18"/>
              </w:rPr>
              <w:t>of</w:t>
            </w:r>
            <w:r w:rsidRPr="00A83F08">
              <w:rPr>
                <w:spacing w:val="-10"/>
                <w:w w:val="105"/>
                <w:sz w:val="16"/>
                <w:szCs w:val="18"/>
              </w:rPr>
              <w:t xml:space="preserve"> </w:t>
            </w:r>
            <w:r w:rsidRPr="00A83F08">
              <w:rPr>
                <w:w w:val="105"/>
                <w:sz w:val="16"/>
                <w:szCs w:val="18"/>
              </w:rPr>
              <w:t>intangible</w:t>
            </w:r>
            <w:r w:rsidRPr="00A83F08">
              <w:rPr>
                <w:spacing w:val="-10"/>
                <w:w w:val="105"/>
                <w:sz w:val="16"/>
                <w:szCs w:val="18"/>
              </w:rPr>
              <w:t xml:space="preserve"> </w:t>
            </w:r>
            <w:r w:rsidRPr="00A83F08">
              <w:rPr>
                <w:w w:val="105"/>
                <w:sz w:val="16"/>
                <w:szCs w:val="18"/>
              </w:rPr>
              <w:t>assets</w:t>
            </w:r>
          </w:p>
        </w:tc>
        <w:tc>
          <w:tcPr>
            <w:tcW w:w="1252" w:type="dxa"/>
            <w:tcBorders>
              <w:top w:val="nil"/>
              <w:left w:val="nil"/>
              <w:bottom w:val="single" w:sz="4" w:space="0" w:color="A6A6A6" w:themeColor="background1" w:themeShade="A6"/>
              <w:right w:val="nil"/>
            </w:tcBorders>
          </w:tcPr>
          <w:p w14:paraId="62A1A0A9" w14:textId="384BA209" w:rsidR="00A83F08" w:rsidRPr="00A83F08" w:rsidRDefault="00A83F08" w:rsidP="00A83F08">
            <w:pPr>
              <w:pStyle w:val="TableText"/>
              <w:ind w:left="57" w:right="170"/>
              <w:jc w:val="right"/>
              <w:rPr>
                <w:rFonts w:cs="Segoe UI"/>
                <w:sz w:val="16"/>
                <w:szCs w:val="16"/>
              </w:rPr>
            </w:pPr>
            <w:r w:rsidRPr="00A83F08">
              <w:rPr>
                <w:rFonts w:cs="Segoe UI"/>
                <w:sz w:val="16"/>
                <w:szCs w:val="16"/>
              </w:rPr>
              <w:t>–</w:t>
            </w:r>
          </w:p>
        </w:tc>
        <w:tc>
          <w:tcPr>
            <w:tcW w:w="1282" w:type="dxa"/>
            <w:tcBorders>
              <w:top w:val="nil"/>
              <w:left w:val="nil"/>
              <w:bottom w:val="single" w:sz="4" w:space="0" w:color="A6A6A6" w:themeColor="background1" w:themeShade="A6"/>
              <w:right w:val="nil"/>
            </w:tcBorders>
          </w:tcPr>
          <w:p w14:paraId="6D9D67E8" w14:textId="48940744" w:rsidR="00A83F08" w:rsidRPr="00A83F08" w:rsidRDefault="00A83F08" w:rsidP="00A83F08">
            <w:pPr>
              <w:pStyle w:val="TableText"/>
              <w:ind w:left="57" w:right="170"/>
              <w:jc w:val="right"/>
              <w:rPr>
                <w:rFonts w:cs="Segoe UI"/>
                <w:sz w:val="16"/>
                <w:szCs w:val="16"/>
              </w:rPr>
            </w:pPr>
            <w:r w:rsidRPr="00A83F08">
              <w:rPr>
                <w:rFonts w:cs="Segoe UI"/>
                <w:sz w:val="16"/>
                <w:szCs w:val="16"/>
              </w:rPr>
              <w:t>(100)</w:t>
            </w:r>
          </w:p>
        </w:tc>
        <w:tc>
          <w:tcPr>
            <w:tcW w:w="1241" w:type="dxa"/>
            <w:tcBorders>
              <w:top w:val="nil"/>
              <w:left w:val="nil"/>
              <w:bottom w:val="single" w:sz="4" w:space="0" w:color="A6A6A6" w:themeColor="background1" w:themeShade="A6"/>
              <w:right w:val="nil"/>
            </w:tcBorders>
          </w:tcPr>
          <w:p w14:paraId="4AA81A6E" w14:textId="71E786EE" w:rsidR="00A83F08" w:rsidRPr="00A83F08" w:rsidRDefault="00A83F08" w:rsidP="00A83F08">
            <w:pPr>
              <w:pStyle w:val="TableText"/>
              <w:ind w:left="57" w:right="170"/>
              <w:jc w:val="right"/>
              <w:rPr>
                <w:rFonts w:cs="Segoe UI"/>
                <w:sz w:val="16"/>
                <w:szCs w:val="16"/>
              </w:rPr>
            </w:pPr>
            <w:r w:rsidRPr="00A83F08">
              <w:rPr>
                <w:rFonts w:cs="Segoe UI"/>
                <w:sz w:val="16"/>
                <w:szCs w:val="16"/>
              </w:rPr>
              <w:t>(100)</w:t>
            </w:r>
          </w:p>
        </w:tc>
      </w:tr>
      <w:tr w:rsidR="00A83F08" w:rsidRPr="00A83F08" w14:paraId="0FA457B3" w14:textId="77777777" w:rsidTr="00A83F08">
        <w:trPr>
          <w:trHeight w:val="344"/>
        </w:trPr>
        <w:tc>
          <w:tcPr>
            <w:tcW w:w="1274" w:type="dxa"/>
            <w:tcBorders>
              <w:top w:val="single" w:sz="4" w:space="0" w:color="A6A6A6" w:themeColor="background1" w:themeShade="A6"/>
              <w:left w:val="nil"/>
              <w:bottom w:val="single" w:sz="4" w:space="0" w:color="A6A6A6" w:themeColor="background1" w:themeShade="A6"/>
              <w:right w:val="nil"/>
            </w:tcBorders>
          </w:tcPr>
          <w:p w14:paraId="6D2FE5B2" w14:textId="1FCB35CC" w:rsidR="00A83F08" w:rsidRPr="00A83F08" w:rsidRDefault="00A83F08" w:rsidP="00A83F08">
            <w:pPr>
              <w:pStyle w:val="TableText"/>
              <w:ind w:left="57" w:right="170"/>
              <w:jc w:val="right"/>
              <w:rPr>
                <w:rFonts w:cs="Segoe UI"/>
                <w:b/>
                <w:bCs/>
                <w:sz w:val="16"/>
                <w:szCs w:val="16"/>
              </w:rPr>
            </w:pPr>
            <w:r w:rsidRPr="00A83F08">
              <w:rPr>
                <w:rFonts w:cs="Segoe UI"/>
                <w:b/>
                <w:bCs/>
                <w:sz w:val="16"/>
                <w:szCs w:val="16"/>
              </w:rPr>
              <w:t>(1,117)</w:t>
            </w:r>
          </w:p>
        </w:tc>
        <w:tc>
          <w:tcPr>
            <w:tcW w:w="3121" w:type="dxa"/>
            <w:tcBorders>
              <w:top w:val="single" w:sz="4" w:space="0" w:color="A6A6A6" w:themeColor="background1" w:themeShade="A6"/>
              <w:left w:val="nil"/>
              <w:bottom w:val="single" w:sz="4" w:space="0" w:color="A6A6A6" w:themeColor="background1" w:themeShade="A6"/>
              <w:right w:val="nil"/>
            </w:tcBorders>
            <w:hideMark/>
          </w:tcPr>
          <w:p w14:paraId="618BD3D3" w14:textId="77777777" w:rsidR="00A83F08" w:rsidRPr="00A83F08" w:rsidRDefault="00A83F08" w:rsidP="00A83F08">
            <w:pPr>
              <w:pStyle w:val="TableText"/>
              <w:ind w:left="57"/>
              <w:rPr>
                <w:b/>
                <w:bCs/>
                <w:sz w:val="16"/>
                <w:szCs w:val="18"/>
              </w:rPr>
            </w:pPr>
            <w:r w:rsidRPr="00A83F08">
              <w:rPr>
                <w:b/>
                <w:bCs/>
                <w:w w:val="110"/>
                <w:sz w:val="16"/>
                <w:szCs w:val="18"/>
              </w:rPr>
              <w:t>Net</w:t>
            </w:r>
            <w:r w:rsidRPr="00A83F08">
              <w:rPr>
                <w:b/>
                <w:bCs/>
                <w:spacing w:val="-14"/>
                <w:w w:val="110"/>
                <w:sz w:val="16"/>
                <w:szCs w:val="18"/>
              </w:rPr>
              <w:t xml:space="preserve"> </w:t>
            </w:r>
            <w:r w:rsidRPr="00A83F08">
              <w:rPr>
                <w:b/>
                <w:bCs/>
                <w:w w:val="110"/>
                <w:sz w:val="16"/>
                <w:szCs w:val="18"/>
              </w:rPr>
              <w:t>cash</w:t>
            </w:r>
            <w:r w:rsidRPr="00A83F08">
              <w:rPr>
                <w:b/>
                <w:bCs/>
                <w:spacing w:val="-13"/>
                <w:w w:val="110"/>
                <w:sz w:val="16"/>
                <w:szCs w:val="18"/>
              </w:rPr>
              <w:t xml:space="preserve"> </w:t>
            </w:r>
            <w:r w:rsidRPr="00A83F08">
              <w:rPr>
                <w:b/>
                <w:bCs/>
                <w:w w:val="110"/>
                <w:sz w:val="16"/>
                <w:szCs w:val="18"/>
              </w:rPr>
              <w:t>flow</w:t>
            </w:r>
            <w:r w:rsidRPr="00A83F08">
              <w:rPr>
                <w:b/>
                <w:bCs/>
                <w:spacing w:val="-14"/>
                <w:w w:val="110"/>
                <w:sz w:val="16"/>
                <w:szCs w:val="18"/>
              </w:rPr>
              <w:t xml:space="preserve"> </w:t>
            </w:r>
            <w:r w:rsidRPr="00A83F08">
              <w:rPr>
                <w:b/>
                <w:bCs/>
                <w:w w:val="110"/>
                <w:sz w:val="16"/>
                <w:szCs w:val="18"/>
              </w:rPr>
              <w:t>from</w:t>
            </w:r>
            <w:r w:rsidRPr="00A83F08">
              <w:rPr>
                <w:b/>
                <w:bCs/>
                <w:spacing w:val="-13"/>
                <w:w w:val="110"/>
                <w:sz w:val="16"/>
                <w:szCs w:val="18"/>
              </w:rPr>
              <w:t xml:space="preserve"> </w:t>
            </w:r>
            <w:r w:rsidRPr="00A83F08">
              <w:rPr>
                <w:b/>
                <w:bCs/>
                <w:w w:val="110"/>
                <w:sz w:val="16"/>
                <w:szCs w:val="18"/>
              </w:rPr>
              <w:t>investing</w:t>
            </w:r>
            <w:r w:rsidRPr="00A83F08">
              <w:rPr>
                <w:b/>
                <w:bCs/>
                <w:spacing w:val="-14"/>
                <w:w w:val="110"/>
                <w:sz w:val="16"/>
                <w:szCs w:val="18"/>
              </w:rPr>
              <w:t xml:space="preserve"> </w:t>
            </w:r>
            <w:r w:rsidRPr="00A83F08">
              <w:rPr>
                <w:b/>
                <w:bCs/>
                <w:w w:val="110"/>
                <w:sz w:val="16"/>
                <w:szCs w:val="18"/>
              </w:rPr>
              <w:t>activities</w:t>
            </w:r>
          </w:p>
        </w:tc>
        <w:tc>
          <w:tcPr>
            <w:tcW w:w="1252" w:type="dxa"/>
            <w:tcBorders>
              <w:top w:val="single" w:sz="4" w:space="0" w:color="A6A6A6" w:themeColor="background1" w:themeShade="A6"/>
              <w:left w:val="nil"/>
              <w:bottom w:val="single" w:sz="4" w:space="0" w:color="A6A6A6" w:themeColor="background1" w:themeShade="A6"/>
              <w:right w:val="nil"/>
            </w:tcBorders>
          </w:tcPr>
          <w:p w14:paraId="4C4A30B9" w14:textId="5A304063" w:rsidR="00A83F08" w:rsidRPr="00A83F08" w:rsidRDefault="00A83F08" w:rsidP="00A83F08">
            <w:pPr>
              <w:pStyle w:val="TableText"/>
              <w:ind w:left="57" w:right="170"/>
              <w:jc w:val="right"/>
              <w:rPr>
                <w:rFonts w:cs="Segoe UI"/>
                <w:b/>
                <w:bCs/>
                <w:sz w:val="16"/>
                <w:szCs w:val="16"/>
              </w:rPr>
            </w:pPr>
            <w:r w:rsidRPr="00A83F08">
              <w:rPr>
                <w:rFonts w:cs="Segoe UI"/>
                <w:b/>
                <w:bCs/>
                <w:sz w:val="16"/>
                <w:szCs w:val="16"/>
              </w:rPr>
              <w:t>(2,259)</w:t>
            </w:r>
          </w:p>
        </w:tc>
        <w:tc>
          <w:tcPr>
            <w:tcW w:w="1282" w:type="dxa"/>
            <w:tcBorders>
              <w:top w:val="single" w:sz="4" w:space="0" w:color="A6A6A6" w:themeColor="background1" w:themeShade="A6"/>
              <w:left w:val="nil"/>
              <w:bottom w:val="single" w:sz="4" w:space="0" w:color="A6A6A6" w:themeColor="background1" w:themeShade="A6"/>
              <w:right w:val="nil"/>
            </w:tcBorders>
          </w:tcPr>
          <w:p w14:paraId="553C18B3" w14:textId="0822ED69" w:rsidR="00A83F08" w:rsidRPr="00A83F08" w:rsidRDefault="00A83F08" w:rsidP="00A83F08">
            <w:pPr>
              <w:pStyle w:val="TableText"/>
              <w:ind w:left="57" w:right="170"/>
              <w:jc w:val="right"/>
              <w:rPr>
                <w:rFonts w:cs="Segoe UI"/>
                <w:b/>
                <w:bCs/>
                <w:sz w:val="16"/>
                <w:szCs w:val="16"/>
              </w:rPr>
            </w:pPr>
            <w:r w:rsidRPr="00A83F08">
              <w:rPr>
                <w:rFonts w:cs="Segoe UI"/>
                <w:b/>
                <w:bCs/>
                <w:sz w:val="16"/>
                <w:szCs w:val="16"/>
              </w:rPr>
              <w:t>(1,600)</w:t>
            </w:r>
          </w:p>
        </w:tc>
        <w:tc>
          <w:tcPr>
            <w:tcW w:w="1241" w:type="dxa"/>
            <w:tcBorders>
              <w:top w:val="single" w:sz="4" w:space="0" w:color="A6A6A6" w:themeColor="background1" w:themeShade="A6"/>
              <w:left w:val="nil"/>
              <w:bottom w:val="single" w:sz="4" w:space="0" w:color="A6A6A6" w:themeColor="background1" w:themeShade="A6"/>
              <w:right w:val="nil"/>
            </w:tcBorders>
          </w:tcPr>
          <w:p w14:paraId="7D8C6FA7" w14:textId="3EFA87A6" w:rsidR="00A83F08" w:rsidRPr="00A83F08" w:rsidRDefault="00A83F08" w:rsidP="00A83F08">
            <w:pPr>
              <w:pStyle w:val="TableText"/>
              <w:ind w:left="57" w:right="170"/>
              <w:jc w:val="right"/>
              <w:rPr>
                <w:rFonts w:cs="Segoe UI"/>
                <w:b/>
                <w:bCs/>
                <w:sz w:val="16"/>
                <w:szCs w:val="16"/>
              </w:rPr>
            </w:pPr>
            <w:r w:rsidRPr="00A83F08">
              <w:rPr>
                <w:rFonts w:cs="Segoe UI"/>
                <w:b/>
                <w:bCs/>
                <w:sz w:val="16"/>
                <w:szCs w:val="16"/>
              </w:rPr>
              <w:t>2,400</w:t>
            </w:r>
          </w:p>
        </w:tc>
      </w:tr>
      <w:tr w:rsidR="00A83F08" w:rsidRPr="00A83F08" w14:paraId="4032C05B" w14:textId="77777777" w:rsidTr="00A83F08">
        <w:trPr>
          <w:trHeight w:val="354"/>
        </w:trPr>
        <w:tc>
          <w:tcPr>
            <w:tcW w:w="1274" w:type="dxa"/>
            <w:tcBorders>
              <w:top w:val="single" w:sz="4" w:space="0" w:color="A6A6A6" w:themeColor="background1" w:themeShade="A6"/>
              <w:left w:val="nil"/>
              <w:bottom w:val="nil"/>
              <w:right w:val="nil"/>
            </w:tcBorders>
          </w:tcPr>
          <w:p w14:paraId="2EC53596" w14:textId="77777777" w:rsidR="00A83F08" w:rsidRPr="00A83F08" w:rsidRDefault="00A83F08" w:rsidP="00A83F08">
            <w:pPr>
              <w:pStyle w:val="TableText"/>
              <w:ind w:left="57" w:right="170"/>
              <w:jc w:val="right"/>
              <w:rPr>
                <w:rFonts w:cs="Segoe UI"/>
                <w:b/>
                <w:bCs/>
                <w:sz w:val="16"/>
                <w:szCs w:val="16"/>
              </w:rPr>
            </w:pPr>
          </w:p>
        </w:tc>
        <w:tc>
          <w:tcPr>
            <w:tcW w:w="3121" w:type="dxa"/>
            <w:tcBorders>
              <w:top w:val="single" w:sz="4" w:space="0" w:color="A6A6A6" w:themeColor="background1" w:themeShade="A6"/>
              <w:left w:val="nil"/>
              <w:bottom w:val="nil"/>
              <w:right w:val="nil"/>
            </w:tcBorders>
            <w:hideMark/>
          </w:tcPr>
          <w:p w14:paraId="5EA580E0" w14:textId="77777777" w:rsidR="00A83F08" w:rsidRPr="00A83F08" w:rsidRDefault="00A83F08" w:rsidP="00A83F08">
            <w:pPr>
              <w:pStyle w:val="TableText"/>
              <w:ind w:left="57"/>
              <w:rPr>
                <w:b/>
                <w:bCs/>
                <w:sz w:val="16"/>
                <w:szCs w:val="18"/>
              </w:rPr>
            </w:pPr>
            <w:r w:rsidRPr="00A83F08">
              <w:rPr>
                <w:b/>
                <w:bCs/>
                <w:w w:val="110"/>
                <w:sz w:val="16"/>
                <w:szCs w:val="18"/>
              </w:rPr>
              <w:t>Cash</w:t>
            </w:r>
            <w:r w:rsidRPr="00A83F08">
              <w:rPr>
                <w:b/>
                <w:bCs/>
                <w:spacing w:val="-13"/>
                <w:w w:val="110"/>
                <w:sz w:val="16"/>
                <w:szCs w:val="18"/>
              </w:rPr>
              <w:t xml:space="preserve"> </w:t>
            </w:r>
            <w:r w:rsidRPr="00A83F08">
              <w:rPr>
                <w:b/>
                <w:bCs/>
                <w:w w:val="110"/>
                <w:sz w:val="16"/>
                <w:szCs w:val="18"/>
              </w:rPr>
              <w:t>flows</w:t>
            </w:r>
            <w:r w:rsidRPr="00A83F08">
              <w:rPr>
                <w:b/>
                <w:bCs/>
                <w:spacing w:val="-13"/>
                <w:w w:val="110"/>
                <w:sz w:val="16"/>
                <w:szCs w:val="18"/>
              </w:rPr>
              <w:t xml:space="preserve"> </w:t>
            </w:r>
            <w:r w:rsidRPr="00A83F08">
              <w:rPr>
                <w:b/>
                <w:bCs/>
                <w:w w:val="110"/>
                <w:sz w:val="16"/>
                <w:szCs w:val="18"/>
              </w:rPr>
              <w:t>from</w:t>
            </w:r>
            <w:r w:rsidRPr="00A83F08">
              <w:rPr>
                <w:b/>
                <w:bCs/>
                <w:spacing w:val="-12"/>
                <w:w w:val="110"/>
                <w:sz w:val="16"/>
                <w:szCs w:val="18"/>
              </w:rPr>
              <w:t xml:space="preserve"> </w:t>
            </w:r>
            <w:r w:rsidRPr="00A83F08">
              <w:rPr>
                <w:b/>
                <w:bCs/>
                <w:w w:val="110"/>
                <w:sz w:val="16"/>
                <w:szCs w:val="18"/>
              </w:rPr>
              <w:t>financing</w:t>
            </w:r>
            <w:r w:rsidRPr="00A83F08">
              <w:rPr>
                <w:b/>
                <w:bCs/>
                <w:spacing w:val="-13"/>
                <w:w w:val="110"/>
                <w:sz w:val="16"/>
                <w:szCs w:val="18"/>
              </w:rPr>
              <w:t xml:space="preserve"> </w:t>
            </w:r>
            <w:r w:rsidRPr="00A83F08">
              <w:rPr>
                <w:b/>
                <w:bCs/>
                <w:w w:val="110"/>
                <w:sz w:val="16"/>
                <w:szCs w:val="18"/>
              </w:rPr>
              <w:t>activities</w:t>
            </w:r>
          </w:p>
        </w:tc>
        <w:tc>
          <w:tcPr>
            <w:tcW w:w="1252" w:type="dxa"/>
            <w:tcBorders>
              <w:top w:val="single" w:sz="4" w:space="0" w:color="A6A6A6" w:themeColor="background1" w:themeShade="A6"/>
              <w:left w:val="nil"/>
              <w:bottom w:val="nil"/>
              <w:right w:val="nil"/>
            </w:tcBorders>
          </w:tcPr>
          <w:p w14:paraId="0E4DF2DC" w14:textId="77777777" w:rsidR="00A83F08" w:rsidRPr="00A83F08" w:rsidRDefault="00A83F08" w:rsidP="00A83F08">
            <w:pPr>
              <w:pStyle w:val="TableText"/>
              <w:ind w:left="57" w:right="170"/>
              <w:jc w:val="right"/>
              <w:rPr>
                <w:rFonts w:cs="Segoe UI"/>
                <w:b/>
                <w:bCs/>
                <w:sz w:val="16"/>
                <w:szCs w:val="16"/>
              </w:rPr>
            </w:pPr>
          </w:p>
        </w:tc>
        <w:tc>
          <w:tcPr>
            <w:tcW w:w="1282" w:type="dxa"/>
            <w:tcBorders>
              <w:top w:val="single" w:sz="4" w:space="0" w:color="A6A6A6" w:themeColor="background1" w:themeShade="A6"/>
              <w:left w:val="nil"/>
              <w:bottom w:val="nil"/>
              <w:right w:val="nil"/>
            </w:tcBorders>
          </w:tcPr>
          <w:p w14:paraId="5F6AA176" w14:textId="77777777" w:rsidR="00A83F08" w:rsidRPr="00A83F08" w:rsidRDefault="00A83F08" w:rsidP="00A83F08">
            <w:pPr>
              <w:pStyle w:val="TableText"/>
              <w:ind w:left="57" w:right="170"/>
              <w:jc w:val="right"/>
              <w:rPr>
                <w:rFonts w:cs="Segoe UI"/>
                <w:b/>
                <w:bCs/>
                <w:sz w:val="16"/>
                <w:szCs w:val="16"/>
              </w:rPr>
            </w:pPr>
          </w:p>
        </w:tc>
        <w:tc>
          <w:tcPr>
            <w:tcW w:w="1241" w:type="dxa"/>
            <w:tcBorders>
              <w:top w:val="single" w:sz="4" w:space="0" w:color="A6A6A6" w:themeColor="background1" w:themeShade="A6"/>
              <w:left w:val="nil"/>
              <w:bottom w:val="nil"/>
              <w:right w:val="nil"/>
            </w:tcBorders>
          </w:tcPr>
          <w:p w14:paraId="18C106E8" w14:textId="77777777" w:rsidR="00A83F08" w:rsidRPr="00A83F08" w:rsidRDefault="00A83F08" w:rsidP="00A83F08">
            <w:pPr>
              <w:pStyle w:val="TableText"/>
              <w:ind w:left="57" w:right="170"/>
              <w:jc w:val="right"/>
              <w:rPr>
                <w:rFonts w:cs="Segoe UI"/>
                <w:b/>
                <w:bCs/>
                <w:sz w:val="16"/>
                <w:szCs w:val="16"/>
              </w:rPr>
            </w:pPr>
          </w:p>
        </w:tc>
      </w:tr>
      <w:tr w:rsidR="00A83F08" w14:paraId="55C8F098" w14:textId="77777777" w:rsidTr="00A83F08">
        <w:trPr>
          <w:trHeight w:val="359"/>
        </w:trPr>
        <w:tc>
          <w:tcPr>
            <w:tcW w:w="1274" w:type="dxa"/>
          </w:tcPr>
          <w:p w14:paraId="258843CE" w14:textId="51DB8C94" w:rsidR="00A83F08" w:rsidRDefault="00A83F08" w:rsidP="00A83F08">
            <w:pPr>
              <w:pStyle w:val="TableText"/>
              <w:ind w:left="57" w:right="170"/>
              <w:jc w:val="right"/>
              <w:rPr>
                <w:rFonts w:cs="Segoe UI"/>
                <w:sz w:val="16"/>
                <w:szCs w:val="16"/>
              </w:rPr>
            </w:pPr>
            <w:r w:rsidRPr="00A83F08">
              <w:rPr>
                <w:rFonts w:cs="Segoe UI"/>
                <w:sz w:val="16"/>
                <w:szCs w:val="16"/>
              </w:rPr>
              <w:t>(3,473)</w:t>
            </w:r>
          </w:p>
        </w:tc>
        <w:tc>
          <w:tcPr>
            <w:tcW w:w="3121" w:type="dxa"/>
            <w:hideMark/>
          </w:tcPr>
          <w:p w14:paraId="779DFE24" w14:textId="77777777" w:rsidR="00A83F08" w:rsidRPr="00A83F08" w:rsidRDefault="00A83F08" w:rsidP="00A83F08">
            <w:pPr>
              <w:pStyle w:val="TableText"/>
              <w:ind w:left="57"/>
              <w:rPr>
                <w:sz w:val="16"/>
                <w:szCs w:val="18"/>
              </w:rPr>
            </w:pPr>
            <w:r w:rsidRPr="00A83F08">
              <w:rPr>
                <w:w w:val="105"/>
                <w:sz w:val="16"/>
                <w:szCs w:val="18"/>
              </w:rPr>
              <w:t>Capital</w:t>
            </w:r>
            <w:r w:rsidRPr="00A83F08">
              <w:rPr>
                <w:spacing w:val="-2"/>
                <w:w w:val="105"/>
                <w:sz w:val="16"/>
                <w:szCs w:val="18"/>
              </w:rPr>
              <w:t xml:space="preserve"> </w:t>
            </w:r>
            <w:r w:rsidRPr="00A83F08">
              <w:rPr>
                <w:w w:val="105"/>
                <w:sz w:val="16"/>
                <w:szCs w:val="18"/>
              </w:rPr>
              <w:t>withdrawal</w:t>
            </w:r>
          </w:p>
        </w:tc>
        <w:tc>
          <w:tcPr>
            <w:tcW w:w="1252" w:type="dxa"/>
          </w:tcPr>
          <w:p w14:paraId="032B8FC9" w14:textId="2C32AF1E" w:rsidR="00A83F08" w:rsidRPr="00A83F08" w:rsidRDefault="00A83F08" w:rsidP="00A83F08">
            <w:pPr>
              <w:pStyle w:val="TableText"/>
              <w:ind w:left="57" w:right="170"/>
              <w:jc w:val="right"/>
              <w:rPr>
                <w:rFonts w:cs="Segoe UI"/>
                <w:sz w:val="16"/>
                <w:szCs w:val="16"/>
              </w:rPr>
            </w:pPr>
            <w:r w:rsidRPr="00A83F08">
              <w:rPr>
                <w:rFonts w:cs="Segoe UI"/>
                <w:sz w:val="16"/>
                <w:szCs w:val="16"/>
              </w:rPr>
              <w:t>(400)</w:t>
            </w:r>
          </w:p>
        </w:tc>
        <w:tc>
          <w:tcPr>
            <w:tcW w:w="1282" w:type="dxa"/>
          </w:tcPr>
          <w:p w14:paraId="3937CA4B" w14:textId="2F74D423" w:rsidR="00A83F08" w:rsidRPr="00A83F08" w:rsidRDefault="00A83F08" w:rsidP="00A83F08">
            <w:pPr>
              <w:pStyle w:val="TableText"/>
              <w:ind w:left="57" w:right="170"/>
              <w:jc w:val="right"/>
              <w:rPr>
                <w:rFonts w:cs="Segoe UI"/>
                <w:sz w:val="16"/>
                <w:szCs w:val="16"/>
              </w:rPr>
            </w:pPr>
            <w:r w:rsidRPr="00A83F08">
              <w:rPr>
                <w:rFonts w:cs="Segoe UI"/>
                <w:sz w:val="16"/>
                <w:szCs w:val="16"/>
              </w:rPr>
              <w:t>–</w:t>
            </w:r>
          </w:p>
        </w:tc>
        <w:tc>
          <w:tcPr>
            <w:tcW w:w="1241" w:type="dxa"/>
          </w:tcPr>
          <w:p w14:paraId="2C586289" w14:textId="2FFB0C12" w:rsidR="00A83F08" w:rsidRPr="00A83F08" w:rsidRDefault="00A83F08" w:rsidP="00A83F08">
            <w:pPr>
              <w:pStyle w:val="TableText"/>
              <w:ind w:left="57" w:right="170"/>
              <w:jc w:val="right"/>
              <w:rPr>
                <w:rFonts w:cs="Segoe UI"/>
                <w:sz w:val="16"/>
                <w:szCs w:val="16"/>
              </w:rPr>
            </w:pPr>
            <w:r w:rsidRPr="00A83F08">
              <w:rPr>
                <w:rFonts w:cs="Segoe UI"/>
                <w:sz w:val="16"/>
                <w:szCs w:val="16"/>
              </w:rPr>
              <w:t>–</w:t>
            </w:r>
          </w:p>
        </w:tc>
      </w:tr>
      <w:tr w:rsidR="00A83F08" w14:paraId="340403C7" w14:textId="77777777" w:rsidTr="00A83F08">
        <w:trPr>
          <w:trHeight w:val="348"/>
        </w:trPr>
        <w:tc>
          <w:tcPr>
            <w:tcW w:w="1274" w:type="dxa"/>
            <w:tcBorders>
              <w:top w:val="nil"/>
              <w:left w:val="nil"/>
              <w:bottom w:val="single" w:sz="4" w:space="0" w:color="A6A6A6" w:themeColor="background1" w:themeShade="A6"/>
              <w:right w:val="nil"/>
            </w:tcBorders>
          </w:tcPr>
          <w:p w14:paraId="18C2D45B" w14:textId="6EACEFD1" w:rsidR="00A83F08" w:rsidRDefault="00A83F08" w:rsidP="00A83F08">
            <w:pPr>
              <w:pStyle w:val="TableText"/>
              <w:ind w:left="57" w:right="170"/>
              <w:jc w:val="right"/>
              <w:rPr>
                <w:rFonts w:cs="Segoe UI"/>
                <w:sz w:val="16"/>
                <w:szCs w:val="16"/>
              </w:rPr>
            </w:pPr>
            <w:r w:rsidRPr="00A83F08">
              <w:rPr>
                <w:rFonts w:cs="Segoe UI"/>
                <w:sz w:val="16"/>
                <w:szCs w:val="16"/>
              </w:rPr>
              <w:t>(142,589)</w:t>
            </w:r>
          </w:p>
        </w:tc>
        <w:tc>
          <w:tcPr>
            <w:tcW w:w="3121" w:type="dxa"/>
            <w:tcBorders>
              <w:top w:val="nil"/>
              <w:left w:val="nil"/>
              <w:bottom w:val="single" w:sz="4" w:space="0" w:color="A6A6A6" w:themeColor="background1" w:themeShade="A6"/>
              <w:right w:val="nil"/>
            </w:tcBorders>
            <w:hideMark/>
          </w:tcPr>
          <w:p w14:paraId="0559786F" w14:textId="77777777" w:rsidR="00A83F08" w:rsidRPr="00A83F08" w:rsidRDefault="00A83F08" w:rsidP="00A83F08">
            <w:pPr>
              <w:pStyle w:val="TableText"/>
              <w:ind w:left="57"/>
              <w:rPr>
                <w:sz w:val="16"/>
                <w:szCs w:val="18"/>
              </w:rPr>
            </w:pPr>
            <w:r w:rsidRPr="00A83F08">
              <w:rPr>
                <w:sz w:val="16"/>
                <w:szCs w:val="18"/>
              </w:rPr>
              <w:t>Return</w:t>
            </w:r>
            <w:r w:rsidRPr="00A83F08">
              <w:rPr>
                <w:spacing w:val="3"/>
                <w:sz w:val="16"/>
                <w:szCs w:val="18"/>
              </w:rPr>
              <w:t xml:space="preserve"> </w:t>
            </w:r>
            <w:r w:rsidRPr="00A83F08">
              <w:rPr>
                <w:sz w:val="16"/>
                <w:szCs w:val="18"/>
              </w:rPr>
              <w:t>of</w:t>
            </w:r>
            <w:r w:rsidRPr="00A83F08">
              <w:rPr>
                <w:spacing w:val="3"/>
                <w:sz w:val="16"/>
                <w:szCs w:val="18"/>
              </w:rPr>
              <w:t xml:space="preserve"> </w:t>
            </w:r>
            <w:r w:rsidRPr="00A83F08">
              <w:rPr>
                <w:sz w:val="16"/>
                <w:szCs w:val="18"/>
              </w:rPr>
              <w:t>operating</w:t>
            </w:r>
            <w:r w:rsidRPr="00A83F08">
              <w:rPr>
                <w:spacing w:val="3"/>
                <w:sz w:val="16"/>
                <w:szCs w:val="18"/>
              </w:rPr>
              <w:t xml:space="preserve"> </w:t>
            </w:r>
            <w:r w:rsidRPr="00A83F08">
              <w:rPr>
                <w:sz w:val="16"/>
                <w:szCs w:val="18"/>
              </w:rPr>
              <w:t>surplus</w:t>
            </w:r>
          </w:p>
        </w:tc>
        <w:tc>
          <w:tcPr>
            <w:tcW w:w="1252" w:type="dxa"/>
            <w:tcBorders>
              <w:top w:val="nil"/>
              <w:left w:val="nil"/>
              <w:bottom w:val="single" w:sz="4" w:space="0" w:color="A6A6A6" w:themeColor="background1" w:themeShade="A6"/>
              <w:right w:val="nil"/>
            </w:tcBorders>
          </w:tcPr>
          <w:p w14:paraId="546DF7D7" w14:textId="4D0AE1B6" w:rsidR="00A83F08" w:rsidRPr="00A83F08" w:rsidRDefault="00A83F08" w:rsidP="00A83F08">
            <w:pPr>
              <w:pStyle w:val="TableText"/>
              <w:ind w:left="57" w:right="170"/>
              <w:jc w:val="right"/>
              <w:rPr>
                <w:rFonts w:cs="Segoe UI"/>
                <w:sz w:val="16"/>
                <w:szCs w:val="16"/>
              </w:rPr>
            </w:pPr>
            <w:r w:rsidRPr="00A83F08">
              <w:rPr>
                <w:rFonts w:cs="Segoe UI"/>
                <w:sz w:val="16"/>
                <w:szCs w:val="16"/>
              </w:rPr>
              <w:t>(34,129)</w:t>
            </w:r>
          </w:p>
        </w:tc>
        <w:tc>
          <w:tcPr>
            <w:tcW w:w="1282" w:type="dxa"/>
            <w:tcBorders>
              <w:top w:val="nil"/>
              <w:left w:val="nil"/>
              <w:bottom w:val="single" w:sz="4" w:space="0" w:color="A6A6A6" w:themeColor="background1" w:themeShade="A6"/>
              <w:right w:val="nil"/>
            </w:tcBorders>
          </w:tcPr>
          <w:p w14:paraId="19C9D1D1" w14:textId="3581CE6C" w:rsidR="00A83F08" w:rsidRPr="00A83F08" w:rsidRDefault="00A83F08" w:rsidP="00A83F08">
            <w:pPr>
              <w:pStyle w:val="TableText"/>
              <w:ind w:left="57" w:right="170"/>
              <w:jc w:val="right"/>
              <w:rPr>
                <w:rFonts w:cs="Segoe UI"/>
                <w:sz w:val="16"/>
                <w:szCs w:val="16"/>
              </w:rPr>
            </w:pPr>
            <w:r w:rsidRPr="00A83F08">
              <w:rPr>
                <w:rFonts w:cs="Segoe UI"/>
                <w:sz w:val="16"/>
                <w:szCs w:val="16"/>
              </w:rPr>
              <w:t>(3,434)</w:t>
            </w:r>
          </w:p>
        </w:tc>
        <w:tc>
          <w:tcPr>
            <w:tcW w:w="1241" w:type="dxa"/>
            <w:tcBorders>
              <w:top w:val="nil"/>
              <w:left w:val="nil"/>
              <w:bottom w:val="single" w:sz="4" w:space="0" w:color="A6A6A6" w:themeColor="background1" w:themeShade="A6"/>
              <w:right w:val="nil"/>
            </w:tcBorders>
          </w:tcPr>
          <w:p w14:paraId="6E83092D" w14:textId="4FD8CDC4" w:rsidR="00A83F08" w:rsidRPr="00A83F08" w:rsidRDefault="00A83F08" w:rsidP="00A83F08">
            <w:pPr>
              <w:pStyle w:val="TableText"/>
              <w:ind w:left="57" w:right="170"/>
              <w:jc w:val="right"/>
              <w:rPr>
                <w:rFonts w:cs="Segoe UI"/>
                <w:sz w:val="16"/>
                <w:szCs w:val="16"/>
              </w:rPr>
            </w:pPr>
            <w:r w:rsidRPr="00A83F08">
              <w:rPr>
                <w:rFonts w:cs="Segoe UI"/>
                <w:sz w:val="16"/>
                <w:szCs w:val="16"/>
              </w:rPr>
              <w:t>(6,700)</w:t>
            </w:r>
          </w:p>
        </w:tc>
      </w:tr>
      <w:tr w:rsidR="00A83F08" w:rsidRPr="00A83F08" w14:paraId="3965B74B" w14:textId="77777777" w:rsidTr="00A83F08">
        <w:trPr>
          <w:trHeight w:val="344"/>
        </w:trPr>
        <w:tc>
          <w:tcPr>
            <w:tcW w:w="1274" w:type="dxa"/>
            <w:tcBorders>
              <w:top w:val="single" w:sz="4" w:space="0" w:color="A6A6A6" w:themeColor="background1" w:themeShade="A6"/>
              <w:left w:val="nil"/>
              <w:bottom w:val="single" w:sz="4" w:space="0" w:color="A6A6A6" w:themeColor="background1" w:themeShade="A6"/>
              <w:right w:val="nil"/>
            </w:tcBorders>
          </w:tcPr>
          <w:p w14:paraId="1911A9A9" w14:textId="7B790DE6" w:rsidR="00A83F08" w:rsidRPr="00A83F08" w:rsidRDefault="00A83F08" w:rsidP="00A83F08">
            <w:pPr>
              <w:pStyle w:val="TableText"/>
              <w:ind w:left="57" w:right="170"/>
              <w:jc w:val="right"/>
              <w:rPr>
                <w:rFonts w:cs="Segoe UI"/>
                <w:b/>
                <w:bCs/>
                <w:sz w:val="16"/>
                <w:szCs w:val="16"/>
              </w:rPr>
            </w:pPr>
            <w:r w:rsidRPr="00A83F08">
              <w:rPr>
                <w:rFonts w:cs="Segoe UI"/>
                <w:b/>
                <w:bCs/>
                <w:sz w:val="16"/>
                <w:szCs w:val="16"/>
              </w:rPr>
              <w:t>(146,062)</w:t>
            </w:r>
          </w:p>
        </w:tc>
        <w:tc>
          <w:tcPr>
            <w:tcW w:w="3121" w:type="dxa"/>
            <w:tcBorders>
              <w:top w:val="single" w:sz="4" w:space="0" w:color="A6A6A6" w:themeColor="background1" w:themeShade="A6"/>
              <w:left w:val="nil"/>
              <w:bottom w:val="single" w:sz="4" w:space="0" w:color="A6A6A6" w:themeColor="background1" w:themeShade="A6"/>
              <w:right w:val="nil"/>
            </w:tcBorders>
            <w:hideMark/>
          </w:tcPr>
          <w:p w14:paraId="55A66CFE" w14:textId="77777777" w:rsidR="00A83F08" w:rsidRPr="00A83F08" w:rsidRDefault="00A83F08" w:rsidP="00A83F08">
            <w:pPr>
              <w:pStyle w:val="TableText"/>
              <w:ind w:left="57"/>
              <w:rPr>
                <w:b/>
                <w:bCs/>
                <w:sz w:val="16"/>
                <w:szCs w:val="18"/>
              </w:rPr>
            </w:pPr>
            <w:r w:rsidRPr="00A83F08">
              <w:rPr>
                <w:b/>
                <w:bCs/>
                <w:w w:val="110"/>
                <w:sz w:val="16"/>
                <w:szCs w:val="18"/>
              </w:rPr>
              <w:t>Net</w:t>
            </w:r>
            <w:r w:rsidRPr="00A83F08">
              <w:rPr>
                <w:b/>
                <w:bCs/>
                <w:spacing w:val="-18"/>
                <w:w w:val="110"/>
                <w:sz w:val="16"/>
                <w:szCs w:val="18"/>
              </w:rPr>
              <w:t xml:space="preserve"> </w:t>
            </w:r>
            <w:r w:rsidRPr="00A83F08">
              <w:rPr>
                <w:b/>
                <w:bCs/>
                <w:w w:val="110"/>
                <w:sz w:val="16"/>
                <w:szCs w:val="18"/>
              </w:rPr>
              <w:t>cash</w:t>
            </w:r>
            <w:r w:rsidRPr="00A83F08">
              <w:rPr>
                <w:b/>
                <w:bCs/>
                <w:spacing w:val="-18"/>
                <w:w w:val="110"/>
                <w:sz w:val="16"/>
                <w:szCs w:val="18"/>
              </w:rPr>
              <w:t xml:space="preserve"> </w:t>
            </w:r>
            <w:r w:rsidRPr="00A83F08">
              <w:rPr>
                <w:b/>
                <w:bCs/>
                <w:w w:val="110"/>
                <w:sz w:val="16"/>
                <w:szCs w:val="18"/>
              </w:rPr>
              <w:t>flow</w:t>
            </w:r>
            <w:r w:rsidRPr="00A83F08">
              <w:rPr>
                <w:b/>
                <w:bCs/>
                <w:spacing w:val="-17"/>
                <w:w w:val="110"/>
                <w:sz w:val="16"/>
                <w:szCs w:val="18"/>
              </w:rPr>
              <w:t xml:space="preserve"> </w:t>
            </w:r>
            <w:r w:rsidRPr="00A83F08">
              <w:rPr>
                <w:b/>
                <w:bCs/>
                <w:w w:val="110"/>
                <w:sz w:val="16"/>
                <w:szCs w:val="18"/>
              </w:rPr>
              <w:t>from</w:t>
            </w:r>
            <w:r w:rsidRPr="00A83F08">
              <w:rPr>
                <w:b/>
                <w:bCs/>
                <w:spacing w:val="-18"/>
                <w:w w:val="110"/>
                <w:sz w:val="16"/>
                <w:szCs w:val="18"/>
              </w:rPr>
              <w:t xml:space="preserve"> </w:t>
            </w:r>
            <w:r w:rsidRPr="00A83F08">
              <w:rPr>
                <w:b/>
                <w:bCs/>
                <w:w w:val="110"/>
                <w:sz w:val="16"/>
                <w:szCs w:val="18"/>
              </w:rPr>
              <w:t>financing</w:t>
            </w:r>
            <w:r w:rsidRPr="00A83F08">
              <w:rPr>
                <w:b/>
                <w:bCs/>
                <w:spacing w:val="-17"/>
                <w:w w:val="110"/>
                <w:sz w:val="16"/>
                <w:szCs w:val="18"/>
              </w:rPr>
              <w:t xml:space="preserve"> </w:t>
            </w:r>
            <w:r w:rsidRPr="00A83F08">
              <w:rPr>
                <w:b/>
                <w:bCs/>
                <w:w w:val="110"/>
                <w:sz w:val="16"/>
                <w:szCs w:val="18"/>
              </w:rPr>
              <w:t>activities</w:t>
            </w:r>
          </w:p>
        </w:tc>
        <w:tc>
          <w:tcPr>
            <w:tcW w:w="1252" w:type="dxa"/>
            <w:tcBorders>
              <w:top w:val="single" w:sz="4" w:space="0" w:color="A6A6A6" w:themeColor="background1" w:themeShade="A6"/>
              <w:left w:val="nil"/>
              <w:bottom w:val="single" w:sz="4" w:space="0" w:color="A6A6A6" w:themeColor="background1" w:themeShade="A6"/>
              <w:right w:val="nil"/>
            </w:tcBorders>
          </w:tcPr>
          <w:p w14:paraId="6CB039BE" w14:textId="4B5AAB73" w:rsidR="00A83F08" w:rsidRPr="00A83F08" w:rsidRDefault="00A83F08" w:rsidP="00A83F08">
            <w:pPr>
              <w:pStyle w:val="TableText"/>
              <w:ind w:left="57" w:right="170"/>
              <w:jc w:val="right"/>
              <w:rPr>
                <w:rFonts w:cs="Segoe UI"/>
                <w:b/>
                <w:bCs/>
                <w:sz w:val="16"/>
                <w:szCs w:val="16"/>
              </w:rPr>
            </w:pPr>
            <w:r w:rsidRPr="00A83F08">
              <w:rPr>
                <w:rFonts w:cs="Segoe UI"/>
                <w:b/>
                <w:bCs/>
                <w:sz w:val="16"/>
                <w:szCs w:val="16"/>
              </w:rPr>
              <w:t>(34,529)</w:t>
            </w:r>
          </w:p>
        </w:tc>
        <w:tc>
          <w:tcPr>
            <w:tcW w:w="1282" w:type="dxa"/>
            <w:tcBorders>
              <w:top w:val="single" w:sz="4" w:space="0" w:color="A6A6A6" w:themeColor="background1" w:themeShade="A6"/>
              <w:left w:val="nil"/>
              <w:bottom w:val="single" w:sz="4" w:space="0" w:color="A6A6A6" w:themeColor="background1" w:themeShade="A6"/>
              <w:right w:val="nil"/>
            </w:tcBorders>
          </w:tcPr>
          <w:p w14:paraId="3FA41653" w14:textId="70702D0C" w:rsidR="00A83F08" w:rsidRPr="00A83F08" w:rsidRDefault="00A83F08" w:rsidP="00A83F08">
            <w:pPr>
              <w:pStyle w:val="TableText"/>
              <w:ind w:left="57" w:right="170"/>
              <w:jc w:val="right"/>
              <w:rPr>
                <w:rFonts w:cs="Segoe UI"/>
                <w:b/>
                <w:bCs/>
                <w:sz w:val="16"/>
                <w:szCs w:val="16"/>
              </w:rPr>
            </w:pPr>
            <w:r w:rsidRPr="00A83F08">
              <w:rPr>
                <w:rFonts w:cs="Segoe UI"/>
                <w:b/>
                <w:bCs/>
                <w:sz w:val="16"/>
                <w:szCs w:val="16"/>
              </w:rPr>
              <w:t>(3,434)</w:t>
            </w:r>
          </w:p>
        </w:tc>
        <w:tc>
          <w:tcPr>
            <w:tcW w:w="1241" w:type="dxa"/>
            <w:tcBorders>
              <w:top w:val="single" w:sz="4" w:space="0" w:color="A6A6A6" w:themeColor="background1" w:themeShade="A6"/>
              <w:left w:val="nil"/>
              <w:bottom w:val="single" w:sz="4" w:space="0" w:color="A6A6A6" w:themeColor="background1" w:themeShade="A6"/>
              <w:right w:val="nil"/>
            </w:tcBorders>
          </w:tcPr>
          <w:p w14:paraId="14F94200" w14:textId="1A7D1023" w:rsidR="00A83F08" w:rsidRPr="00A83F08" w:rsidRDefault="00A83F08" w:rsidP="00A83F08">
            <w:pPr>
              <w:pStyle w:val="TableText"/>
              <w:ind w:left="57" w:right="170"/>
              <w:jc w:val="right"/>
              <w:rPr>
                <w:rFonts w:cs="Segoe UI"/>
                <w:b/>
                <w:bCs/>
                <w:sz w:val="16"/>
                <w:szCs w:val="16"/>
              </w:rPr>
            </w:pPr>
            <w:r w:rsidRPr="00A83F08">
              <w:rPr>
                <w:rFonts w:cs="Segoe UI"/>
                <w:b/>
                <w:bCs/>
                <w:sz w:val="16"/>
                <w:szCs w:val="16"/>
              </w:rPr>
              <w:t>(6,700)</w:t>
            </w:r>
          </w:p>
        </w:tc>
      </w:tr>
      <w:tr w:rsidR="00A83F08" w:rsidRPr="00A83F08" w14:paraId="37B46D65" w14:textId="77777777" w:rsidTr="00A83F08">
        <w:trPr>
          <w:trHeight w:val="354"/>
        </w:trPr>
        <w:tc>
          <w:tcPr>
            <w:tcW w:w="1274" w:type="dxa"/>
            <w:tcBorders>
              <w:top w:val="single" w:sz="4" w:space="0" w:color="A6A6A6" w:themeColor="background1" w:themeShade="A6"/>
              <w:left w:val="nil"/>
              <w:bottom w:val="nil"/>
              <w:right w:val="nil"/>
            </w:tcBorders>
          </w:tcPr>
          <w:p w14:paraId="0E35820E" w14:textId="6E171CD3" w:rsidR="00A83F08" w:rsidRPr="00A83F08" w:rsidRDefault="00A83F08" w:rsidP="00A83F08">
            <w:pPr>
              <w:pStyle w:val="TableText"/>
              <w:ind w:left="57" w:right="170"/>
              <w:jc w:val="right"/>
              <w:rPr>
                <w:rFonts w:cs="Segoe UI"/>
                <w:b/>
                <w:bCs/>
                <w:sz w:val="16"/>
                <w:szCs w:val="16"/>
              </w:rPr>
            </w:pPr>
            <w:r w:rsidRPr="00A83F08">
              <w:rPr>
                <w:rFonts w:cs="Segoe UI"/>
                <w:b/>
                <w:bCs/>
                <w:sz w:val="16"/>
                <w:szCs w:val="16"/>
              </w:rPr>
              <w:t>(7,869)</w:t>
            </w:r>
          </w:p>
        </w:tc>
        <w:tc>
          <w:tcPr>
            <w:tcW w:w="3121" w:type="dxa"/>
            <w:tcBorders>
              <w:top w:val="single" w:sz="4" w:space="0" w:color="A6A6A6" w:themeColor="background1" w:themeShade="A6"/>
              <w:left w:val="nil"/>
              <w:bottom w:val="nil"/>
              <w:right w:val="nil"/>
            </w:tcBorders>
            <w:hideMark/>
          </w:tcPr>
          <w:p w14:paraId="35CB0357" w14:textId="77777777" w:rsidR="00A83F08" w:rsidRPr="00A83F08" w:rsidRDefault="00A83F08" w:rsidP="00A83F08">
            <w:pPr>
              <w:pStyle w:val="TableText"/>
              <w:ind w:left="57"/>
              <w:rPr>
                <w:b/>
                <w:bCs/>
                <w:sz w:val="16"/>
                <w:szCs w:val="18"/>
              </w:rPr>
            </w:pPr>
            <w:r w:rsidRPr="00A83F08">
              <w:rPr>
                <w:b/>
                <w:bCs/>
                <w:w w:val="110"/>
                <w:sz w:val="16"/>
                <w:szCs w:val="18"/>
              </w:rPr>
              <w:t>Net</w:t>
            </w:r>
            <w:r w:rsidRPr="00A83F08">
              <w:rPr>
                <w:b/>
                <w:bCs/>
                <w:spacing w:val="-17"/>
                <w:w w:val="110"/>
                <w:sz w:val="16"/>
                <w:szCs w:val="18"/>
              </w:rPr>
              <w:t xml:space="preserve"> </w:t>
            </w:r>
            <w:r w:rsidRPr="00A83F08">
              <w:rPr>
                <w:b/>
                <w:bCs/>
                <w:w w:val="110"/>
                <w:sz w:val="16"/>
                <w:szCs w:val="18"/>
              </w:rPr>
              <w:t>increase</w:t>
            </w:r>
            <w:r w:rsidRPr="00A83F08">
              <w:rPr>
                <w:b/>
                <w:bCs/>
                <w:spacing w:val="-17"/>
                <w:w w:val="110"/>
                <w:sz w:val="16"/>
                <w:szCs w:val="18"/>
              </w:rPr>
              <w:t xml:space="preserve"> </w:t>
            </w:r>
            <w:r w:rsidRPr="00A83F08">
              <w:rPr>
                <w:b/>
                <w:bCs/>
                <w:w w:val="110"/>
                <w:sz w:val="16"/>
                <w:szCs w:val="18"/>
              </w:rPr>
              <w:t>in</w:t>
            </w:r>
            <w:r w:rsidRPr="00A83F08">
              <w:rPr>
                <w:b/>
                <w:bCs/>
                <w:spacing w:val="-16"/>
                <w:w w:val="110"/>
                <w:sz w:val="16"/>
                <w:szCs w:val="18"/>
              </w:rPr>
              <w:t xml:space="preserve"> </w:t>
            </w:r>
            <w:r w:rsidRPr="00A83F08">
              <w:rPr>
                <w:b/>
                <w:bCs/>
                <w:w w:val="110"/>
                <w:sz w:val="16"/>
                <w:szCs w:val="18"/>
              </w:rPr>
              <w:t>cash</w:t>
            </w:r>
            <w:r w:rsidRPr="00A83F08">
              <w:rPr>
                <w:b/>
                <w:bCs/>
                <w:spacing w:val="-17"/>
                <w:w w:val="110"/>
                <w:sz w:val="16"/>
                <w:szCs w:val="18"/>
              </w:rPr>
              <w:t xml:space="preserve"> </w:t>
            </w:r>
            <w:r w:rsidRPr="00A83F08">
              <w:rPr>
                <w:b/>
                <w:bCs/>
                <w:w w:val="110"/>
                <w:sz w:val="16"/>
                <w:szCs w:val="18"/>
              </w:rPr>
              <w:t>held</w:t>
            </w:r>
          </w:p>
        </w:tc>
        <w:tc>
          <w:tcPr>
            <w:tcW w:w="1252" w:type="dxa"/>
            <w:tcBorders>
              <w:top w:val="single" w:sz="4" w:space="0" w:color="A6A6A6" w:themeColor="background1" w:themeShade="A6"/>
              <w:left w:val="nil"/>
              <w:bottom w:val="nil"/>
              <w:right w:val="nil"/>
            </w:tcBorders>
          </w:tcPr>
          <w:p w14:paraId="484BF98C" w14:textId="4AE0BC0C" w:rsidR="00A83F08" w:rsidRPr="00A83F08" w:rsidRDefault="00A83F08" w:rsidP="00A83F08">
            <w:pPr>
              <w:pStyle w:val="TableText"/>
              <w:ind w:left="57" w:right="170"/>
              <w:jc w:val="right"/>
              <w:rPr>
                <w:rFonts w:cs="Segoe UI"/>
                <w:b/>
                <w:bCs/>
                <w:sz w:val="16"/>
                <w:szCs w:val="16"/>
              </w:rPr>
            </w:pPr>
            <w:r w:rsidRPr="00A83F08">
              <w:rPr>
                <w:rFonts w:cs="Segoe UI"/>
                <w:b/>
                <w:bCs/>
                <w:sz w:val="16"/>
                <w:szCs w:val="16"/>
              </w:rPr>
              <w:t>1,882</w:t>
            </w:r>
          </w:p>
        </w:tc>
        <w:tc>
          <w:tcPr>
            <w:tcW w:w="1282" w:type="dxa"/>
            <w:tcBorders>
              <w:top w:val="single" w:sz="4" w:space="0" w:color="A6A6A6" w:themeColor="background1" w:themeShade="A6"/>
              <w:left w:val="nil"/>
              <w:bottom w:val="nil"/>
              <w:right w:val="nil"/>
            </w:tcBorders>
          </w:tcPr>
          <w:p w14:paraId="25B13AA4" w14:textId="2A9AEE14" w:rsidR="00A83F08" w:rsidRPr="00A83F08" w:rsidRDefault="00A83F08" w:rsidP="00A83F08">
            <w:pPr>
              <w:pStyle w:val="TableText"/>
              <w:ind w:left="57" w:right="170"/>
              <w:jc w:val="right"/>
              <w:rPr>
                <w:rFonts w:cs="Segoe UI"/>
                <w:b/>
                <w:bCs/>
                <w:sz w:val="16"/>
                <w:szCs w:val="16"/>
              </w:rPr>
            </w:pPr>
            <w:r w:rsidRPr="00A83F08">
              <w:rPr>
                <w:rFonts w:cs="Segoe UI"/>
                <w:b/>
                <w:bCs/>
                <w:sz w:val="16"/>
                <w:szCs w:val="16"/>
              </w:rPr>
              <w:t>–</w:t>
            </w:r>
          </w:p>
        </w:tc>
        <w:tc>
          <w:tcPr>
            <w:tcW w:w="1241" w:type="dxa"/>
            <w:tcBorders>
              <w:top w:val="single" w:sz="4" w:space="0" w:color="A6A6A6" w:themeColor="background1" w:themeShade="A6"/>
              <w:left w:val="nil"/>
              <w:bottom w:val="nil"/>
              <w:right w:val="nil"/>
            </w:tcBorders>
          </w:tcPr>
          <w:p w14:paraId="1B2363B2" w14:textId="14AC4751" w:rsidR="00A83F08" w:rsidRPr="00A83F08" w:rsidRDefault="00A83F08" w:rsidP="00A83F08">
            <w:pPr>
              <w:pStyle w:val="TableText"/>
              <w:ind w:left="57" w:right="170"/>
              <w:jc w:val="right"/>
              <w:rPr>
                <w:rFonts w:cs="Segoe UI"/>
                <w:b/>
                <w:bCs/>
                <w:sz w:val="16"/>
                <w:szCs w:val="16"/>
              </w:rPr>
            </w:pPr>
            <w:r w:rsidRPr="00A83F08">
              <w:rPr>
                <w:rFonts w:cs="Segoe UI"/>
                <w:b/>
                <w:bCs/>
                <w:sz w:val="16"/>
                <w:szCs w:val="16"/>
              </w:rPr>
              <w:t>–</w:t>
            </w:r>
          </w:p>
        </w:tc>
      </w:tr>
      <w:tr w:rsidR="00A83F08" w14:paraId="6403B8A2" w14:textId="77777777" w:rsidTr="00A83F08">
        <w:trPr>
          <w:trHeight w:val="348"/>
        </w:trPr>
        <w:tc>
          <w:tcPr>
            <w:tcW w:w="1274" w:type="dxa"/>
            <w:tcBorders>
              <w:top w:val="nil"/>
              <w:left w:val="nil"/>
              <w:bottom w:val="single" w:sz="4" w:space="0" w:color="A6A6A6" w:themeColor="background1" w:themeShade="A6"/>
              <w:right w:val="nil"/>
            </w:tcBorders>
          </w:tcPr>
          <w:p w14:paraId="1FD58B58" w14:textId="07B9B6A1" w:rsidR="00A83F08" w:rsidRDefault="00A83F08" w:rsidP="00A83F08">
            <w:pPr>
              <w:pStyle w:val="TableText"/>
              <w:ind w:left="57" w:right="170"/>
              <w:jc w:val="right"/>
              <w:rPr>
                <w:rFonts w:cs="Segoe UI"/>
                <w:sz w:val="16"/>
                <w:szCs w:val="16"/>
              </w:rPr>
            </w:pPr>
            <w:r w:rsidRPr="00A83F08">
              <w:rPr>
                <w:rFonts w:cs="Segoe UI"/>
                <w:sz w:val="16"/>
                <w:szCs w:val="16"/>
              </w:rPr>
              <w:t>13,733</w:t>
            </w:r>
          </w:p>
        </w:tc>
        <w:tc>
          <w:tcPr>
            <w:tcW w:w="3121" w:type="dxa"/>
            <w:tcBorders>
              <w:top w:val="nil"/>
              <w:left w:val="nil"/>
              <w:bottom w:val="single" w:sz="4" w:space="0" w:color="A6A6A6" w:themeColor="background1" w:themeShade="A6"/>
              <w:right w:val="nil"/>
            </w:tcBorders>
            <w:hideMark/>
          </w:tcPr>
          <w:p w14:paraId="5E4F65AA" w14:textId="77777777" w:rsidR="00A83F08" w:rsidRPr="00A83F08" w:rsidRDefault="00A83F08" w:rsidP="00A83F08">
            <w:pPr>
              <w:pStyle w:val="TableText"/>
              <w:ind w:left="57"/>
              <w:rPr>
                <w:sz w:val="16"/>
                <w:szCs w:val="18"/>
              </w:rPr>
            </w:pPr>
            <w:r w:rsidRPr="00A83F08">
              <w:rPr>
                <w:w w:val="105"/>
                <w:sz w:val="16"/>
                <w:szCs w:val="18"/>
              </w:rPr>
              <w:t>Cash</w:t>
            </w:r>
            <w:r w:rsidRPr="00A83F08">
              <w:rPr>
                <w:spacing w:val="-9"/>
                <w:w w:val="105"/>
                <w:sz w:val="16"/>
                <w:szCs w:val="18"/>
              </w:rPr>
              <w:t xml:space="preserve"> </w:t>
            </w:r>
            <w:r w:rsidRPr="00A83F08">
              <w:rPr>
                <w:w w:val="105"/>
                <w:sz w:val="16"/>
                <w:szCs w:val="18"/>
              </w:rPr>
              <w:t>at</w:t>
            </w:r>
            <w:r w:rsidRPr="00A83F08">
              <w:rPr>
                <w:spacing w:val="-8"/>
                <w:w w:val="105"/>
                <w:sz w:val="16"/>
                <w:szCs w:val="18"/>
              </w:rPr>
              <w:t xml:space="preserve"> </w:t>
            </w:r>
            <w:r w:rsidRPr="00A83F08">
              <w:rPr>
                <w:w w:val="105"/>
                <w:sz w:val="16"/>
                <w:szCs w:val="18"/>
              </w:rPr>
              <w:t>the</w:t>
            </w:r>
            <w:r w:rsidRPr="00A83F08">
              <w:rPr>
                <w:spacing w:val="-8"/>
                <w:w w:val="105"/>
                <w:sz w:val="16"/>
                <w:szCs w:val="18"/>
              </w:rPr>
              <w:t xml:space="preserve"> </w:t>
            </w:r>
            <w:r w:rsidRPr="00A83F08">
              <w:rPr>
                <w:w w:val="105"/>
                <w:sz w:val="16"/>
                <w:szCs w:val="18"/>
              </w:rPr>
              <w:t>beginning</w:t>
            </w:r>
            <w:r w:rsidRPr="00A83F08">
              <w:rPr>
                <w:spacing w:val="-9"/>
                <w:w w:val="105"/>
                <w:sz w:val="16"/>
                <w:szCs w:val="18"/>
              </w:rPr>
              <w:t xml:space="preserve"> </w:t>
            </w:r>
            <w:r w:rsidRPr="00A83F08">
              <w:rPr>
                <w:w w:val="105"/>
                <w:sz w:val="16"/>
                <w:szCs w:val="18"/>
              </w:rPr>
              <w:t>of</w:t>
            </w:r>
            <w:r w:rsidRPr="00A83F08">
              <w:rPr>
                <w:spacing w:val="-8"/>
                <w:w w:val="105"/>
                <w:sz w:val="16"/>
                <w:szCs w:val="18"/>
              </w:rPr>
              <w:t xml:space="preserve"> </w:t>
            </w:r>
            <w:r w:rsidRPr="00A83F08">
              <w:rPr>
                <w:w w:val="105"/>
                <w:sz w:val="16"/>
                <w:szCs w:val="18"/>
              </w:rPr>
              <w:t>the</w:t>
            </w:r>
            <w:r w:rsidRPr="00A83F08">
              <w:rPr>
                <w:spacing w:val="-8"/>
                <w:w w:val="105"/>
                <w:sz w:val="16"/>
                <w:szCs w:val="18"/>
              </w:rPr>
              <w:t xml:space="preserve"> </w:t>
            </w:r>
            <w:r w:rsidRPr="00A83F08">
              <w:rPr>
                <w:w w:val="105"/>
                <w:sz w:val="16"/>
                <w:szCs w:val="18"/>
              </w:rPr>
              <w:t>year</w:t>
            </w:r>
          </w:p>
        </w:tc>
        <w:tc>
          <w:tcPr>
            <w:tcW w:w="1252" w:type="dxa"/>
            <w:tcBorders>
              <w:top w:val="nil"/>
              <w:left w:val="nil"/>
              <w:bottom w:val="single" w:sz="4" w:space="0" w:color="A6A6A6" w:themeColor="background1" w:themeShade="A6"/>
              <w:right w:val="nil"/>
            </w:tcBorders>
          </w:tcPr>
          <w:p w14:paraId="26FC1B87" w14:textId="30389DEE" w:rsidR="00A83F08" w:rsidRPr="00A83F08" w:rsidRDefault="00A83F08" w:rsidP="00A83F08">
            <w:pPr>
              <w:pStyle w:val="TableText"/>
              <w:ind w:left="57" w:right="170"/>
              <w:jc w:val="right"/>
              <w:rPr>
                <w:rFonts w:cs="Segoe UI"/>
                <w:sz w:val="16"/>
                <w:szCs w:val="16"/>
              </w:rPr>
            </w:pPr>
            <w:r w:rsidRPr="00A83F08">
              <w:rPr>
                <w:rFonts w:cs="Segoe UI"/>
                <w:sz w:val="16"/>
                <w:szCs w:val="16"/>
              </w:rPr>
              <w:t>5,864</w:t>
            </w:r>
          </w:p>
        </w:tc>
        <w:tc>
          <w:tcPr>
            <w:tcW w:w="1282" w:type="dxa"/>
            <w:tcBorders>
              <w:top w:val="nil"/>
              <w:left w:val="nil"/>
              <w:bottom w:val="single" w:sz="4" w:space="0" w:color="A6A6A6" w:themeColor="background1" w:themeShade="A6"/>
              <w:right w:val="nil"/>
            </w:tcBorders>
          </w:tcPr>
          <w:p w14:paraId="30B8CBAE" w14:textId="070F9373" w:rsidR="00A83F08" w:rsidRPr="00A83F08" w:rsidRDefault="00A83F08" w:rsidP="00A83F08">
            <w:pPr>
              <w:pStyle w:val="TableText"/>
              <w:ind w:left="57" w:right="170"/>
              <w:jc w:val="right"/>
              <w:rPr>
                <w:rFonts w:cs="Segoe UI"/>
                <w:sz w:val="16"/>
                <w:szCs w:val="16"/>
              </w:rPr>
            </w:pPr>
            <w:r w:rsidRPr="00A83F08">
              <w:rPr>
                <w:rFonts w:cs="Segoe UI"/>
                <w:sz w:val="16"/>
                <w:szCs w:val="16"/>
              </w:rPr>
              <w:t>10,000</w:t>
            </w:r>
          </w:p>
        </w:tc>
        <w:tc>
          <w:tcPr>
            <w:tcW w:w="1241" w:type="dxa"/>
            <w:tcBorders>
              <w:top w:val="nil"/>
              <w:left w:val="nil"/>
              <w:bottom w:val="single" w:sz="4" w:space="0" w:color="A6A6A6" w:themeColor="background1" w:themeShade="A6"/>
              <w:right w:val="nil"/>
            </w:tcBorders>
          </w:tcPr>
          <w:p w14:paraId="3C6AB08C" w14:textId="7B984A09" w:rsidR="00A83F08" w:rsidRPr="00A83F08" w:rsidRDefault="00A83F08" w:rsidP="00A83F08">
            <w:pPr>
              <w:pStyle w:val="TableText"/>
              <w:ind w:left="57" w:right="170"/>
              <w:jc w:val="right"/>
              <w:rPr>
                <w:rFonts w:cs="Segoe UI"/>
                <w:sz w:val="16"/>
                <w:szCs w:val="16"/>
              </w:rPr>
            </w:pPr>
            <w:r w:rsidRPr="00A83F08">
              <w:rPr>
                <w:rFonts w:cs="Segoe UI"/>
                <w:sz w:val="16"/>
                <w:szCs w:val="16"/>
              </w:rPr>
              <w:t>7,000</w:t>
            </w:r>
          </w:p>
        </w:tc>
      </w:tr>
      <w:tr w:rsidR="00A83F08" w:rsidRPr="00A83F08" w14:paraId="6CF4D4DB" w14:textId="77777777" w:rsidTr="00A83F08">
        <w:trPr>
          <w:trHeight w:val="344"/>
        </w:trPr>
        <w:tc>
          <w:tcPr>
            <w:tcW w:w="1274" w:type="dxa"/>
            <w:tcBorders>
              <w:top w:val="single" w:sz="4" w:space="0" w:color="A6A6A6" w:themeColor="background1" w:themeShade="A6"/>
              <w:left w:val="nil"/>
              <w:bottom w:val="single" w:sz="4" w:space="0" w:color="A6A6A6" w:themeColor="background1" w:themeShade="A6"/>
              <w:right w:val="nil"/>
            </w:tcBorders>
          </w:tcPr>
          <w:p w14:paraId="7DCF0D84" w14:textId="7A9FE838" w:rsidR="00A83F08" w:rsidRPr="00A83F08" w:rsidRDefault="00A83F08" w:rsidP="00A83F08">
            <w:pPr>
              <w:pStyle w:val="TableText"/>
              <w:ind w:left="57" w:right="170"/>
              <w:jc w:val="right"/>
              <w:rPr>
                <w:rFonts w:cs="Segoe UI"/>
                <w:b/>
                <w:bCs/>
                <w:sz w:val="16"/>
                <w:szCs w:val="16"/>
              </w:rPr>
            </w:pPr>
            <w:r w:rsidRPr="00A83F08">
              <w:rPr>
                <w:rFonts w:cs="Segoe UI"/>
                <w:b/>
                <w:bCs/>
                <w:sz w:val="16"/>
                <w:szCs w:val="16"/>
              </w:rPr>
              <w:t>5,864</w:t>
            </w:r>
          </w:p>
        </w:tc>
        <w:tc>
          <w:tcPr>
            <w:tcW w:w="3121" w:type="dxa"/>
            <w:tcBorders>
              <w:top w:val="single" w:sz="4" w:space="0" w:color="A6A6A6" w:themeColor="background1" w:themeShade="A6"/>
              <w:left w:val="nil"/>
              <w:bottom w:val="single" w:sz="4" w:space="0" w:color="A6A6A6" w:themeColor="background1" w:themeShade="A6"/>
              <w:right w:val="nil"/>
            </w:tcBorders>
            <w:hideMark/>
          </w:tcPr>
          <w:p w14:paraId="0B468C06" w14:textId="77777777" w:rsidR="00A83F08" w:rsidRPr="00A83F08" w:rsidRDefault="00A83F08" w:rsidP="00A83F08">
            <w:pPr>
              <w:pStyle w:val="TableText"/>
              <w:ind w:left="57"/>
              <w:rPr>
                <w:b/>
                <w:bCs/>
                <w:sz w:val="16"/>
                <w:szCs w:val="18"/>
              </w:rPr>
            </w:pPr>
            <w:r w:rsidRPr="00A83F08">
              <w:rPr>
                <w:b/>
                <w:bCs/>
                <w:w w:val="110"/>
                <w:sz w:val="16"/>
                <w:szCs w:val="18"/>
              </w:rPr>
              <w:t>Cash</w:t>
            </w:r>
            <w:r w:rsidRPr="00A83F08">
              <w:rPr>
                <w:b/>
                <w:bCs/>
                <w:spacing w:val="-12"/>
                <w:w w:val="110"/>
                <w:sz w:val="16"/>
                <w:szCs w:val="18"/>
              </w:rPr>
              <w:t xml:space="preserve"> </w:t>
            </w:r>
            <w:r w:rsidRPr="00A83F08">
              <w:rPr>
                <w:b/>
                <w:bCs/>
                <w:w w:val="110"/>
                <w:sz w:val="16"/>
                <w:szCs w:val="18"/>
              </w:rPr>
              <w:t>at</w:t>
            </w:r>
            <w:r w:rsidRPr="00A83F08">
              <w:rPr>
                <w:b/>
                <w:bCs/>
                <w:spacing w:val="-11"/>
                <w:w w:val="110"/>
                <w:sz w:val="16"/>
                <w:szCs w:val="18"/>
              </w:rPr>
              <w:t xml:space="preserve"> </w:t>
            </w:r>
            <w:r w:rsidRPr="00A83F08">
              <w:rPr>
                <w:b/>
                <w:bCs/>
                <w:w w:val="110"/>
                <w:sz w:val="16"/>
                <w:szCs w:val="18"/>
              </w:rPr>
              <w:t>the</w:t>
            </w:r>
            <w:r w:rsidRPr="00A83F08">
              <w:rPr>
                <w:b/>
                <w:bCs/>
                <w:spacing w:val="-11"/>
                <w:w w:val="110"/>
                <w:sz w:val="16"/>
                <w:szCs w:val="18"/>
              </w:rPr>
              <w:t xml:space="preserve"> </w:t>
            </w:r>
            <w:r w:rsidRPr="00A83F08">
              <w:rPr>
                <w:b/>
                <w:bCs/>
                <w:w w:val="110"/>
                <w:sz w:val="16"/>
                <w:szCs w:val="18"/>
              </w:rPr>
              <w:t>end</w:t>
            </w:r>
            <w:r w:rsidRPr="00A83F08">
              <w:rPr>
                <w:b/>
                <w:bCs/>
                <w:spacing w:val="-11"/>
                <w:w w:val="110"/>
                <w:sz w:val="16"/>
                <w:szCs w:val="18"/>
              </w:rPr>
              <w:t xml:space="preserve"> </w:t>
            </w:r>
            <w:r w:rsidRPr="00A83F08">
              <w:rPr>
                <w:b/>
                <w:bCs/>
                <w:w w:val="110"/>
                <w:sz w:val="16"/>
                <w:szCs w:val="18"/>
              </w:rPr>
              <w:t>of</w:t>
            </w:r>
            <w:r w:rsidRPr="00A83F08">
              <w:rPr>
                <w:b/>
                <w:bCs/>
                <w:spacing w:val="-11"/>
                <w:w w:val="110"/>
                <w:sz w:val="16"/>
                <w:szCs w:val="18"/>
              </w:rPr>
              <w:t xml:space="preserve"> </w:t>
            </w:r>
            <w:r w:rsidRPr="00A83F08">
              <w:rPr>
                <w:b/>
                <w:bCs/>
                <w:w w:val="110"/>
                <w:sz w:val="16"/>
                <w:szCs w:val="18"/>
              </w:rPr>
              <w:t>the</w:t>
            </w:r>
            <w:r w:rsidRPr="00A83F08">
              <w:rPr>
                <w:b/>
                <w:bCs/>
                <w:spacing w:val="-11"/>
                <w:w w:val="110"/>
                <w:sz w:val="16"/>
                <w:szCs w:val="18"/>
              </w:rPr>
              <w:t xml:space="preserve"> </w:t>
            </w:r>
            <w:r w:rsidRPr="00A83F08">
              <w:rPr>
                <w:b/>
                <w:bCs/>
                <w:w w:val="110"/>
                <w:sz w:val="16"/>
                <w:szCs w:val="18"/>
              </w:rPr>
              <w:t>year</w:t>
            </w:r>
          </w:p>
        </w:tc>
        <w:tc>
          <w:tcPr>
            <w:tcW w:w="1252" w:type="dxa"/>
            <w:tcBorders>
              <w:top w:val="single" w:sz="4" w:space="0" w:color="A6A6A6" w:themeColor="background1" w:themeShade="A6"/>
              <w:left w:val="nil"/>
              <w:bottom w:val="single" w:sz="4" w:space="0" w:color="A6A6A6" w:themeColor="background1" w:themeShade="A6"/>
              <w:right w:val="nil"/>
            </w:tcBorders>
          </w:tcPr>
          <w:p w14:paraId="2C767A74" w14:textId="1C5D425E" w:rsidR="00A83F08" w:rsidRPr="00A83F08" w:rsidRDefault="00A83F08" w:rsidP="00A83F08">
            <w:pPr>
              <w:pStyle w:val="TableText"/>
              <w:ind w:left="57" w:right="170"/>
              <w:jc w:val="right"/>
              <w:rPr>
                <w:rFonts w:cs="Segoe UI"/>
                <w:b/>
                <w:bCs/>
                <w:sz w:val="16"/>
                <w:szCs w:val="16"/>
              </w:rPr>
            </w:pPr>
            <w:r w:rsidRPr="00A83F08">
              <w:rPr>
                <w:rFonts w:cs="Segoe UI"/>
                <w:b/>
                <w:bCs/>
                <w:sz w:val="16"/>
                <w:szCs w:val="16"/>
              </w:rPr>
              <w:t>7,746</w:t>
            </w:r>
          </w:p>
        </w:tc>
        <w:tc>
          <w:tcPr>
            <w:tcW w:w="1282" w:type="dxa"/>
            <w:tcBorders>
              <w:top w:val="single" w:sz="4" w:space="0" w:color="A6A6A6" w:themeColor="background1" w:themeShade="A6"/>
              <w:left w:val="nil"/>
              <w:bottom w:val="single" w:sz="4" w:space="0" w:color="A6A6A6" w:themeColor="background1" w:themeShade="A6"/>
              <w:right w:val="nil"/>
            </w:tcBorders>
          </w:tcPr>
          <w:p w14:paraId="5844776D" w14:textId="40C7D6CE" w:rsidR="00A83F08" w:rsidRPr="00A83F08" w:rsidRDefault="00A83F08" w:rsidP="00A83F08">
            <w:pPr>
              <w:pStyle w:val="TableText"/>
              <w:ind w:left="57" w:right="170"/>
              <w:jc w:val="right"/>
              <w:rPr>
                <w:rFonts w:cs="Segoe UI"/>
                <w:b/>
                <w:bCs/>
                <w:sz w:val="16"/>
                <w:szCs w:val="16"/>
              </w:rPr>
            </w:pPr>
            <w:r w:rsidRPr="00A83F08">
              <w:rPr>
                <w:rFonts w:cs="Segoe UI"/>
                <w:b/>
                <w:bCs/>
                <w:sz w:val="16"/>
                <w:szCs w:val="16"/>
              </w:rPr>
              <w:t>10,000</w:t>
            </w:r>
          </w:p>
        </w:tc>
        <w:tc>
          <w:tcPr>
            <w:tcW w:w="1241" w:type="dxa"/>
            <w:tcBorders>
              <w:top w:val="single" w:sz="4" w:space="0" w:color="A6A6A6" w:themeColor="background1" w:themeShade="A6"/>
              <w:left w:val="nil"/>
              <w:bottom w:val="single" w:sz="4" w:space="0" w:color="A6A6A6" w:themeColor="background1" w:themeShade="A6"/>
              <w:right w:val="nil"/>
            </w:tcBorders>
          </w:tcPr>
          <w:p w14:paraId="55A66EC8" w14:textId="4D8881B0" w:rsidR="00A83F08" w:rsidRPr="00A83F08" w:rsidRDefault="00A83F08" w:rsidP="00A83F08">
            <w:pPr>
              <w:pStyle w:val="TableText"/>
              <w:ind w:left="57" w:right="170"/>
              <w:jc w:val="right"/>
              <w:rPr>
                <w:rFonts w:cs="Segoe UI"/>
                <w:b/>
                <w:bCs/>
                <w:sz w:val="16"/>
                <w:szCs w:val="16"/>
              </w:rPr>
            </w:pPr>
            <w:r w:rsidRPr="00A83F08">
              <w:rPr>
                <w:rFonts w:cs="Segoe UI"/>
                <w:b/>
                <w:bCs/>
                <w:sz w:val="16"/>
                <w:szCs w:val="16"/>
              </w:rPr>
              <w:t>7,000</w:t>
            </w:r>
          </w:p>
        </w:tc>
      </w:tr>
    </w:tbl>
    <w:p w14:paraId="6E3E4763" w14:textId="77777777" w:rsidR="00FE1495" w:rsidRDefault="00FE1495" w:rsidP="00FE1495">
      <w:pPr>
        <w:pStyle w:val="Note"/>
      </w:pPr>
      <w:r>
        <w:t>The accompanying notes form part of these financial statements.</w:t>
      </w:r>
    </w:p>
    <w:p w14:paraId="1DB7AE11" w14:textId="77777777" w:rsidR="00A83F08" w:rsidRPr="00A83F08" w:rsidRDefault="00A83F08" w:rsidP="00A83F08"/>
    <w:p w14:paraId="203DDAF9" w14:textId="77777777" w:rsidR="00FF0D54" w:rsidRDefault="00FF0D54" w:rsidP="00FF0D54">
      <w:pPr>
        <w:rPr>
          <w:highlight w:val="yellow"/>
        </w:rPr>
      </w:pPr>
    </w:p>
    <w:p w14:paraId="664959DF" w14:textId="77777777" w:rsidR="002B31D8" w:rsidRDefault="002B31D8" w:rsidP="002B31D8">
      <w:pPr>
        <w:ind w:firstLine="567"/>
        <w:rPr>
          <w:highlight w:val="yellow"/>
        </w:rPr>
        <w:sectPr w:rsidR="002B31D8" w:rsidSect="000A3324">
          <w:pgSz w:w="11907" w:h="16840" w:code="9"/>
          <w:pgMar w:top="1418" w:right="1701" w:bottom="1134" w:left="1843" w:header="284" w:footer="425" w:gutter="284"/>
          <w:cols w:space="720"/>
        </w:sectPr>
      </w:pPr>
    </w:p>
    <w:p w14:paraId="507623B2" w14:textId="77777777" w:rsidR="002B31D8" w:rsidRPr="00386646" w:rsidRDefault="002B31D8" w:rsidP="00386646">
      <w:pPr>
        <w:spacing w:after="180"/>
        <w:rPr>
          <w:b/>
          <w:bCs/>
          <w:color w:val="0A6AB4"/>
          <w:sz w:val="46"/>
          <w:szCs w:val="46"/>
        </w:rPr>
      </w:pPr>
      <w:r w:rsidRPr="00386646">
        <w:rPr>
          <w:b/>
          <w:bCs/>
          <w:color w:val="0A6AB4"/>
          <w:sz w:val="46"/>
          <w:szCs w:val="46"/>
        </w:rPr>
        <w:lastRenderedPageBreak/>
        <w:t>Statement of cash flows for the year ended 30 June 2024 (continued)</w:t>
      </w:r>
    </w:p>
    <w:p w14:paraId="145F6F0B" w14:textId="57C771BC" w:rsidR="00FF0D54" w:rsidRDefault="002B31D8" w:rsidP="002B31D8">
      <w:r>
        <w:t>Reconciliation of net surplus/(deficit) to net cash flow from operating activities:</w:t>
      </w:r>
    </w:p>
    <w:p w14:paraId="19630C05" w14:textId="07D0E3AD" w:rsidR="002B31D8" w:rsidRDefault="002B31D8" w:rsidP="002B31D8"/>
    <w:tbl>
      <w:tblPr>
        <w:tblW w:w="8190" w:type="dxa"/>
        <w:tblLayout w:type="fixed"/>
        <w:tblCellMar>
          <w:left w:w="0" w:type="dxa"/>
          <w:right w:w="0" w:type="dxa"/>
        </w:tblCellMar>
        <w:tblLook w:val="01E0" w:firstRow="1" w:lastRow="1" w:firstColumn="1" w:lastColumn="1" w:noHBand="0" w:noVBand="0"/>
      </w:tblPr>
      <w:tblGrid>
        <w:gridCol w:w="1274"/>
        <w:gridCol w:w="5387"/>
        <w:gridCol w:w="1529"/>
      </w:tblGrid>
      <w:tr w:rsidR="002B31D8" w14:paraId="6FB722CF" w14:textId="77777777" w:rsidTr="002B31D8">
        <w:trPr>
          <w:trHeight w:val="784"/>
        </w:trPr>
        <w:tc>
          <w:tcPr>
            <w:tcW w:w="1274" w:type="dxa"/>
            <w:shd w:val="clear" w:color="auto" w:fill="D9D9D9" w:themeFill="background1" w:themeFillShade="D9"/>
            <w:hideMark/>
          </w:tcPr>
          <w:p w14:paraId="09881B4D" w14:textId="77777777" w:rsidR="002B31D8" w:rsidRDefault="002B31D8">
            <w:pPr>
              <w:pStyle w:val="TableParagraph"/>
              <w:spacing w:before="60" w:after="60"/>
              <w:ind w:left="57" w:right="170"/>
              <w:jc w:val="right"/>
              <w:rPr>
                <w:rFonts w:ascii="Segoe UI" w:hAnsi="Segoe UI" w:cs="Segoe UI"/>
                <w:b/>
                <w:bCs/>
                <w:sz w:val="16"/>
                <w:szCs w:val="16"/>
              </w:rPr>
            </w:pPr>
            <w:r>
              <w:rPr>
                <w:rFonts w:ascii="Segoe UI" w:hAnsi="Segoe UI" w:cs="Segoe UI"/>
                <w:b/>
                <w:bCs/>
                <w:sz w:val="16"/>
                <w:szCs w:val="16"/>
              </w:rPr>
              <w:t xml:space="preserve">Actual </w:t>
            </w:r>
          </w:p>
          <w:p w14:paraId="458C064E" w14:textId="40B1F014" w:rsidR="002B31D8" w:rsidRDefault="002B31D8">
            <w:pPr>
              <w:pStyle w:val="TableParagraph"/>
              <w:spacing w:before="60" w:after="60"/>
              <w:ind w:left="57" w:right="170"/>
              <w:jc w:val="right"/>
              <w:rPr>
                <w:rFonts w:ascii="Segoe UI" w:hAnsi="Segoe UI" w:cs="Segoe UI"/>
                <w:b/>
                <w:bCs/>
                <w:sz w:val="16"/>
                <w:szCs w:val="16"/>
              </w:rPr>
            </w:pPr>
            <w:r>
              <w:rPr>
                <w:rFonts w:ascii="Segoe UI" w:hAnsi="Segoe UI" w:cs="Segoe UI"/>
                <w:b/>
                <w:bCs/>
                <w:sz w:val="16"/>
                <w:szCs w:val="16"/>
              </w:rPr>
              <w:t>2023</w:t>
            </w:r>
          </w:p>
          <w:p w14:paraId="27DAB40E" w14:textId="77777777" w:rsidR="002B31D8" w:rsidRDefault="002B31D8">
            <w:pPr>
              <w:pStyle w:val="TableParagraph"/>
              <w:spacing w:before="60" w:after="60"/>
              <w:ind w:left="57" w:right="170"/>
              <w:jc w:val="right"/>
              <w:rPr>
                <w:rFonts w:ascii="Segoe UI" w:hAnsi="Segoe UI" w:cs="Segoe UI"/>
                <w:b/>
                <w:bCs/>
                <w:sz w:val="16"/>
                <w:szCs w:val="16"/>
              </w:rPr>
            </w:pPr>
            <w:r>
              <w:rPr>
                <w:rFonts w:ascii="Segoe UI" w:hAnsi="Segoe UI" w:cs="Segoe UI"/>
                <w:b/>
                <w:bCs/>
                <w:sz w:val="16"/>
                <w:szCs w:val="16"/>
              </w:rPr>
              <w:t>$000</w:t>
            </w:r>
          </w:p>
        </w:tc>
        <w:tc>
          <w:tcPr>
            <w:tcW w:w="5387" w:type="dxa"/>
            <w:shd w:val="clear" w:color="auto" w:fill="D9D9D9" w:themeFill="background1" w:themeFillShade="D9"/>
          </w:tcPr>
          <w:p w14:paraId="0C3A4F23" w14:textId="77777777" w:rsidR="002B31D8" w:rsidRDefault="002B31D8">
            <w:pPr>
              <w:pStyle w:val="TableParagraph"/>
              <w:rPr>
                <w:rFonts w:ascii="Times New Roman"/>
                <w:b/>
                <w:bCs/>
                <w:sz w:val="18"/>
              </w:rPr>
            </w:pPr>
          </w:p>
        </w:tc>
        <w:tc>
          <w:tcPr>
            <w:tcW w:w="1529" w:type="dxa"/>
            <w:shd w:val="clear" w:color="auto" w:fill="D9D9D9" w:themeFill="background1" w:themeFillShade="D9"/>
            <w:hideMark/>
          </w:tcPr>
          <w:p w14:paraId="33FAA138" w14:textId="77777777" w:rsidR="002B31D8" w:rsidRDefault="002B31D8">
            <w:pPr>
              <w:pStyle w:val="TableParagraph"/>
              <w:spacing w:before="60" w:after="60"/>
              <w:ind w:right="152"/>
              <w:jc w:val="right"/>
              <w:rPr>
                <w:rFonts w:ascii="Segoe UI" w:hAnsi="Segoe UI" w:cs="Segoe UI"/>
                <w:b/>
                <w:bCs/>
                <w:w w:val="110"/>
                <w:sz w:val="16"/>
                <w:szCs w:val="16"/>
              </w:rPr>
            </w:pPr>
            <w:r>
              <w:rPr>
                <w:rFonts w:ascii="Segoe UI" w:hAnsi="Segoe UI" w:cs="Segoe UI"/>
                <w:b/>
                <w:bCs/>
                <w:w w:val="110"/>
                <w:sz w:val="16"/>
                <w:szCs w:val="16"/>
              </w:rPr>
              <w:t>Actual</w:t>
            </w:r>
          </w:p>
          <w:p w14:paraId="3107C154" w14:textId="00DA85EB" w:rsidR="002B31D8" w:rsidRDefault="002B31D8">
            <w:pPr>
              <w:pStyle w:val="TableParagraph"/>
              <w:spacing w:before="60" w:after="60"/>
              <w:ind w:right="152"/>
              <w:jc w:val="right"/>
              <w:rPr>
                <w:rFonts w:ascii="Segoe UI" w:hAnsi="Segoe UI" w:cs="Segoe UI"/>
                <w:b/>
                <w:bCs/>
                <w:w w:val="110"/>
                <w:sz w:val="16"/>
                <w:szCs w:val="16"/>
              </w:rPr>
            </w:pPr>
            <w:r>
              <w:rPr>
                <w:rFonts w:ascii="Segoe UI" w:hAnsi="Segoe UI" w:cs="Segoe UI"/>
                <w:b/>
                <w:bCs/>
                <w:w w:val="110"/>
                <w:sz w:val="16"/>
                <w:szCs w:val="16"/>
              </w:rPr>
              <w:t xml:space="preserve"> 2024</w:t>
            </w:r>
          </w:p>
          <w:p w14:paraId="11908125" w14:textId="77777777" w:rsidR="002B31D8" w:rsidRDefault="002B31D8">
            <w:pPr>
              <w:pStyle w:val="TableParagraph"/>
              <w:spacing w:before="60" w:after="60"/>
              <w:ind w:right="152"/>
              <w:jc w:val="right"/>
              <w:rPr>
                <w:rFonts w:ascii="Segoe UI" w:hAnsi="Segoe UI" w:cs="Segoe UI"/>
                <w:b/>
                <w:bCs/>
                <w:w w:val="110"/>
                <w:sz w:val="16"/>
                <w:szCs w:val="16"/>
              </w:rPr>
            </w:pPr>
            <w:r>
              <w:rPr>
                <w:rFonts w:ascii="Segoe UI" w:hAnsi="Segoe UI" w:cs="Segoe UI"/>
                <w:b/>
                <w:bCs/>
                <w:w w:val="110"/>
                <w:sz w:val="16"/>
                <w:szCs w:val="16"/>
              </w:rPr>
              <w:t>$000</w:t>
            </w:r>
          </w:p>
        </w:tc>
      </w:tr>
      <w:tr w:rsidR="002B31D8" w:rsidRPr="002B31D8" w14:paraId="3A47E048" w14:textId="77777777" w:rsidTr="002B31D8">
        <w:trPr>
          <w:trHeight w:val="354"/>
        </w:trPr>
        <w:tc>
          <w:tcPr>
            <w:tcW w:w="1274" w:type="dxa"/>
          </w:tcPr>
          <w:p w14:paraId="5FBF4C25" w14:textId="4F764BE5" w:rsidR="002B31D8" w:rsidRPr="002B31D8" w:rsidRDefault="002B31D8" w:rsidP="002B31D8">
            <w:pPr>
              <w:pStyle w:val="TableText"/>
              <w:ind w:left="57" w:right="170"/>
              <w:jc w:val="right"/>
              <w:rPr>
                <w:rFonts w:cs="Segoe UI"/>
                <w:b/>
                <w:bCs/>
                <w:sz w:val="16"/>
                <w:szCs w:val="16"/>
              </w:rPr>
            </w:pPr>
            <w:r w:rsidRPr="002B31D8">
              <w:rPr>
                <w:rFonts w:cs="Segoe UI"/>
                <w:b/>
                <w:bCs/>
                <w:sz w:val="16"/>
                <w:szCs w:val="16"/>
              </w:rPr>
              <w:t>33,155</w:t>
            </w:r>
          </w:p>
        </w:tc>
        <w:tc>
          <w:tcPr>
            <w:tcW w:w="5387" w:type="dxa"/>
            <w:hideMark/>
          </w:tcPr>
          <w:p w14:paraId="48D9057A" w14:textId="77777777" w:rsidR="002B31D8" w:rsidRPr="002B31D8" w:rsidRDefault="002B31D8" w:rsidP="002B31D8">
            <w:pPr>
              <w:pStyle w:val="TableParagraph"/>
              <w:spacing w:before="60" w:after="60"/>
              <w:ind w:left="113"/>
              <w:rPr>
                <w:rFonts w:ascii="Segoe UI" w:hAnsi="Segoe UI" w:cs="Segoe UI"/>
                <w:b/>
                <w:bCs/>
                <w:w w:val="105"/>
                <w:sz w:val="16"/>
                <w:szCs w:val="16"/>
              </w:rPr>
            </w:pPr>
            <w:r w:rsidRPr="002B31D8">
              <w:rPr>
                <w:rFonts w:ascii="Segoe UI" w:hAnsi="Segoe UI" w:cs="Segoe UI"/>
                <w:b/>
                <w:bCs/>
                <w:w w:val="105"/>
                <w:sz w:val="16"/>
                <w:szCs w:val="16"/>
              </w:rPr>
              <w:t>Net surplus/(deficit)</w:t>
            </w:r>
          </w:p>
        </w:tc>
        <w:tc>
          <w:tcPr>
            <w:tcW w:w="1529" w:type="dxa"/>
          </w:tcPr>
          <w:p w14:paraId="48B3F196" w14:textId="4702C8F0" w:rsidR="002B31D8" w:rsidRPr="002B31D8" w:rsidRDefault="002B31D8" w:rsidP="002B31D8">
            <w:pPr>
              <w:pStyle w:val="TableText"/>
              <w:ind w:left="57" w:right="170"/>
              <w:jc w:val="right"/>
              <w:rPr>
                <w:rFonts w:cs="Segoe UI"/>
                <w:b/>
                <w:bCs/>
                <w:sz w:val="16"/>
                <w:szCs w:val="16"/>
              </w:rPr>
            </w:pPr>
            <w:r w:rsidRPr="002B31D8">
              <w:rPr>
                <w:rFonts w:cs="Segoe UI"/>
                <w:b/>
                <w:bCs/>
                <w:sz w:val="16"/>
                <w:szCs w:val="16"/>
              </w:rPr>
              <w:t>14,862</w:t>
            </w:r>
          </w:p>
        </w:tc>
      </w:tr>
      <w:tr w:rsidR="002B31D8" w14:paraId="110390CD" w14:textId="77777777" w:rsidTr="002B31D8">
        <w:trPr>
          <w:trHeight w:val="359"/>
        </w:trPr>
        <w:tc>
          <w:tcPr>
            <w:tcW w:w="1274" w:type="dxa"/>
          </w:tcPr>
          <w:p w14:paraId="72740D5C" w14:textId="77777777" w:rsidR="002B31D8" w:rsidRPr="002B31D8" w:rsidRDefault="002B31D8" w:rsidP="002B31D8">
            <w:pPr>
              <w:pStyle w:val="TableText"/>
              <w:ind w:left="57" w:right="170"/>
              <w:jc w:val="right"/>
              <w:rPr>
                <w:rFonts w:cs="Segoe UI"/>
                <w:sz w:val="16"/>
                <w:szCs w:val="16"/>
              </w:rPr>
            </w:pPr>
          </w:p>
        </w:tc>
        <w:tc>
          <w:tcPr>
            <w:tcW w:w="5387" w:type="dxa"/>
            <w:hideMark/>
          </w:tcPr>
          <w:p w14:paraId="69316F24" w14:textId="77777777" w:rsidR="002B31D8" w:rsidRDefault="002B31D8" w:rsidP="002B31D8">
            <w:pPr>
              <w:pStyle w:val="TableParagraph"/>
              <w:spacing w:before="60" w:after="60"/>
              <w:ind w:left="113"/>
              <w:rPr>
                <w:rFonts w:ascii="Segoe UI" w:hAnsi="Segoe UI" w:cs="Segoe UI"/>
                <w:b/>
                <w:bCs/>
                <w:w w:val="105"/>
                <w:sz w:val="16"/>
                <w:szCs w:val="16"/>
              </w:rPr>
            </w:pPr>
            <w:r>
              <w:rPr>
                <w:rFonts w:ascii="Segoe UI" w:hAnsi="Segoe UI" w:cs="Segoe UI"/>
                <w:b/>
                <w:bCs/>
                <w:w w:val="105"/>
                <w:sz w:val="16"/>
                <w:szCs w:val="16"/>
              </w:rPr>
              <w:t>Add/(less) non-cash items</w:t>
            </w:r>
          </w:p>
        </w:tc>
        <w:tc>
          <w:tcPr>
            <w:tcW w:w="1529" w:type="dxa"/>
          </w:tcPr>
          <w:p w14:paraId="2881A780" w14:textId="77777777" w:rsidR="002B31D8" w:rsidRPr="002B31D8" w:rsidRDefault="002B31D8" w:rsidP="002B31D8">
            <w:pPr>
              <w:pStyle w:val="TableText"/>
              <w:ind w:left="57" w:right="170"/>
              <w:jc w:val="right"/>
              <w:rPr>
                <w:rFonts w:cs="Segoe UI"/>
                <w:sz w:val="16"/>
                <w:szCs w:val="16"/>
              </w:rPr>
            </w:pPr>
          </w:p>
        </w:tc>
      </w:tr>
      <w:tr w:rsidR="002B31D8" w14:paraId="503DE49E" w14:textId="77777777" w:rsidTr="002B31D8">
        <w:trPr>
          <w:trHeight w:val="359"/>
        </w:trPr>
        <w:tc>
          <w:tcPr>
            <w:tcW w:w="1274" w:type="dxa"/>
          </w:tcPr>
          <w:p w14:paraId="50D6BDE5" w14:textId="084A68FC" w:rsidR="002B31D8" w:rsidRDefault="002B31D8" w:rsidP="002B31D8">
            <w:pPr>
              <w:pStyle w:val="TableText"/>
              <w:ind w:left="57" w:right="170"/>
              <w:jc w:val="right"/>
              <w:rPr>
                <w:rFonts w:cs="Segoe UI"/>
                <w:sz w:val="16"/>
                <w:szCs w:val="16"/>
              </w:rPr>
            </w:pPr>
            <w:r w:rsidRPr="002B31D8">
              <w:rPr>
                <w:rFonts w:cs="Segoe UI"/>
                <w:sz w:val="16"/>
                <w:szCs w:val="16"/>
              </w:rPr>
              <w:t>(743)</w:t>
            </w:r>
          </w:p>
        </w:tc>
        <w:tc>
          <w:tcPr>
            <w:tcW w:w="5387" w:type="dxa"/>
            <w:hideMark/>
          </w:tcPr>
          <w:p w14:paraId="593FE796" w14:textId="77777777" w:rsidR="002B31D8" w:rsidRDefault="002B31D8" w:rsidP="002B31D8">
            <w:pPr>
              <w:pStyle w:val="TableParagraph"/>
              <w:spacing w:before="60" w:after="60"/>
              <w:ind w:left="113"/>
              <w:rPr>
                <w:rFonts w:ascii="Segoe UI" w:hAnsi="Segoe UI" w:cs="Segoe UI"/>
                <w:w w:val="105"/>
                <w:sz w:val="16"/>
                <w:szCs w:val="16"/>
              </w:rPr>
            </w:pPr>
            <w:r>
              <w:rPr>
                <w:rFonts w:ascii="Segoe UI" w:hAnsi="Segoe UI" w:cs="Segoe UI"/>
                <w:w w:val="105"/>
                <w:sz w:val="16"/>
                <w:szCs w:val="16"/>
              </w:rPr>
              <w:t>Crown entities transfer</w:t>
            </w:r>
          </w:p>
        </w:tc>
        <w:tc>
          <w:tcPr>
            <w:tcW w:w="1529" w:type="dxa"/>
          </w:tcPr>
          <w:p w14:paraId="03A446D4" w14:textId="50E378BA" w:rsidR="002B31D8" w:rsidRPr="002B31D8" w:rsidRDefault="002B31D8" w:rsidP="002B31D8">
            <w:pPr>
              <w:pStyle w:val="TableText"/>
              <w:ind w:left="57" w:right="170"/>
              <w:jc w:val="right"/>
              <w:rPr>
                <w:rFonts w:cs="Segoe UI"/>
                <w:sz w:val="16"/>
                <w:szCs w:val="16"/>
              </w:rPr>
            </w:pPr>
            <w:r w:rsidRPr="002B31D8">
              <w:rPr>
                <w:rFonts w:cs="Segoe UI"/>
                <w:sz w:val="16"/>
                <w:szCs w:val="16"/>
              </w:rPr>
              <w:t>(116)</w:t>
            </w:r>
          </w:p>
        </w:tc>
      </w:tr>
      <w:tr w:rsidR="002B31D8" w14:paraId="43A52557" w14:textId="77777777" w:rsidTr="002B31D8">
        <w:trPr>
          <w:trHeight w:val="348"/>
        </w:trPr>
        <w:tc>
          <w:tcPr>
            <w:tcW w:w="1274" w:type="dxa"/>
            <w:tcBorders>
              <w:top w:val="nil"/>
              <w:left w:val="nil"/>
              <w:bottom w:val="single" w:sz="4" w:space="0" w:color="A6A6A6" w:themeColor="background1" w:themeShade="A6"/>
              <w:right w:val="nil"/>
            </w:tcBorders>
          </w:tcPr>
          <w:p w14:paraId="717864AD" w14:textId="29AA4864" w:rsidR="002B31D8" w:rsidRDefault="002B31D8" w:rsidP="002B31D8">
            <w:pPr>
              <w:pStyle w:val="TableText"/>
              <w:ind w:left="57" w:right="170"/>
              <w:jc w:val="right"/>
              <w:rPr>
                <w:rFonts w:cs="Segoe UI"/>
                <w:sz w:val="16"/>
                <w:szCs w:val="16"/>
              </w:rPr>
            </w:pPr>
            <w:r w:rsidRPr="002B31D8">
              <w:rPr>
                <w:rFonts w:cs="Segoe UI"/>
                <w:sz w:val="16"/>
                <w:szCs w:val="16"/>
              </w:rPr>
              <w:t>2,260</w:t>
            </w:r>
          </w:p>
        </w:tc>
        <w:tc>
          <w:tcPr>
            <w:tcW w:w="5387" w:type="dxa"/>
            <w:tcBorders>
              <w:top w:val="nil"/>
              <w:left w:val="nil"/>
              <w:bottom w:val="single" w:sz="4" w:space="0" w:color="A6A6A6" w:themeColor="background1" w:themeShade="A6"/>
              <w:right w:val="nil"/>
            </w:tcBorders>
            <w:hideMark/>
          </w:tcPr>
          <w:p w14:paraId="32BB348A" w14:textId="77777777" w:rsidR="002B31D8" w:rsidRDefault="002B31D8" w:rsidP="002B31D8">
            <w:pPr>
              <w:pStyle w:val="TableParagraph"/>
              <w:spacing w:before="60" w:after="60"/>
              <w:ind w:left="113"/>
              <w:rPr>
                <w:rFonts w:ascii="Segoe UI" w:hAnsi="Segoe UI" w:cs="Segoe UI"/>
                <w:w w:val="105"/>
                <w:sz w:val="16"/>
                <w:szCs w:val="16"/>
              </w:rPr>
            </w:pPr>
            <w:r>
              <w:rPr>
                <w:rFonts w:ascii="Segoe UI" w:hAnsi="Segoe UI" w:cs="Segoe UI"/>
                <w:w w:val="105"/>
                <w:sz w:val="16"/>
                <w:szCs w:val="16"/>
              </w:rPr>
              <w:t>Depreciation and amortisation expense</w:t>
            </w:r>
          </w:p>
        </w:tc>
        <w:tc>
          <w:tcPr>
            <w:tcW w:w="1529" w:type="dxa"/>
            <w:tcBorders>
              <w:top w:val="nil"/>
              <w:left w:val="nil"/>
              <w:bottom w:val="single" w:sz="4" w:space="0" w:color="A6A6A6" w:themeColor="background1" w:themeShade="A6"/>
              <w:right w:val="nil"/>
            </w:tcBorders>
          </w:tcPr>
          <w:p w14:paraId="52DB56FE" w14:textId="419B53BB" w:rsidR="002B31D8" w:rsidRPr="002B31D8" w:rsidRDefault="002B31D8" w:rsidP="002B31D8">
            <w:pPr>
              <w:pStyle w:val="TableText"/>
              <w:ind w:left="57" w:right="170"/>
              <w:jc w:val="right"/>
              <w:rPr>
                <w:rFonts w:cs="Segoe UI"/>
                <w:sz w:val="16"/>
                <w:szCs w:val="16"/>
              </w:rPr>
            </w:pPr>
            <w:r w:rsidRPr="002B31D8">
              <w:rPr>
                <w:rFonts w:cs="Segoe UI"/>
                <w:sz w:val="16"/>
                <w:szCs w:val="16"/>
              </w:rPr>
              <w:t>1,041</w:t>
            </w:r>
          </w:p>
        </w:tc>
      </w:tr>
      <w:tr w:rsidR="002B31D8" w:rsidRPr="002B31D8" w14:paraId="222E98CC" w14:textId="77777777" w:rsidTr="002B31D8">
        <w:trPr>
          <w:trHeight w:val="344"/>
        </w:trPr>
        <w:tc>
          <w:tcPr>
            <w:tcW w:w="1274" w:type="dxa"/>
            <w:tcBorders>
              <w:top w:val="single" w:sz="4" w:space="0" w:color="A6A6A6" w:themeColor="background1" w:themeShade="A6"/>
              <w:left w:val="nil"/>
              <w:bottom w:val="single" w:sz="4" w:space="0" w:color="A6A6A6" w:themeColor="background1" w:themeShade="A6"/>
              <w:right w:val="nil"/>
            </w:tcBorders>
          </w:tcPr>
          <w:p w14:paraId="319656FE" w14:textId="04A7EAB1" w:rsidR="002B31D8" w:rsidRPr="002B31D8" w:rsidRDefault="002B31D8" w:rsidP="002B31D8">
            <w:pPr>
              <w:pStyle w:val="TableText"/>
              <w:ind w:left="57" w:right="170"/>
              <w:jc w:val="right"/>
              <w:rPr>
                <w:rFonts w:cs="Segoe UI"/>
                <w:b/>
                <w:bCs/>
                <w:sz w:val="16"/>
                <w:szCs w:val="16"/>
              </w:rPr>
            </w:pPr>
            <w:r w:rsidRPr="002B31D8">
              <w:rPr>
                <w:rFonts w:cs="Segoe UI"/>
                <w:b/>
                <w:bCs/>
                <w:sz w:val="16"/>
                <w:szCs w:val="16"/>
              </w:rPr>
              <w:t>1,517</w:t>
            </w:r>
          </w:p>
        </w:tc>
        <w:tc>
          <w:tcPr>
            <w:tcW w:w="5387" w:type="dxa"/>
            <w:tcBorders>
              <w:top w:val="single" w:sz="4" w:space="0" w:color="A6A6A6" w:themeColor="background1" w:themeShade="A6"/>
              <w:left w:val="nil"/>
              <w:bottom w:val="single" w:sz="4" w:space="0" w:color="A6A6A6" w:themeColor="background1" w:themeShade="A6"/>
              <w:right w:val="nil"/>
            </w:tcBorders>
            <w:hideMark/>
          </w:tcPr>
          <w:p w14:paraId="6F9426B0" w14:textId="77777777" w:rsidR="002B31D8" w:rsidRPr="002B31D8" w:rsidRDefault="002B31D8" w:rsidP="002B31D8">
            <w:pPr>
              <w:pStyle w:val="TableParagraph"/>
              <w:spacing w:before="60" w:after="60"/>
              <w:ind w:left="113"/>
              <w:rPr>
                <w:rFonts w:ascii="Segoe UI" w:hAnsi="Segoe UI" w:cs="Segoe UI"/>
                <w:b/>
                <w:bCs/>
                <w:w w:val="105"/>
                <w:sz w:val="16"/>
                <w:szCs w:val="16"/>
              </w:rPr>
            </w:pPr>
            <w:r w:rsidRPr="002B31D8">
              <w:rPr>
                <w:rFonts w:ascii="Segoe UI" w:hAnsi="Segoe UI" w:cs="Segoe UI"/>
                <w:b/>
                <w:bCs/>
                <w:w w:val="105"/>
                <w:sz w:val="16"/>
                <w:szCs w:val="16"/>
              </w:rPr>
              <w:t>Total non-cash items</w:t>
            </w:r>
          </w:p>
        </w:tc>
        <w:tc>
          <w:tcPr>
            <w:tcW w:w="1529" w:type="dxa"/>
            <w:tcBorders>
              <w:top w:val="single" w:sz="4" w:space="0" w:color="A6A6A6" w:themeColor="background1" w:themeShade="A6"/>
              <w:left w:val="nil"/>
              <w:bottom w:val="single" w:sz="4" w:space="0" w:color="A6A6A6" w:themeColor="background1" w:themeShade="A6"/>
              <w:right w:val="nil"/>
            </w:tcBorders>
          </w:tcPr>
          <w:p w14:paraId="219D14AB" w14:textId="7EE816CE" w:rsidR="002B31D8" w:rsidRPr="002B31D8" w:rsidRDefault="002B31D8" w:rsidP="002B31D8">
            <w:pPr>
              <w:pStyle w:val="TableText"/>
              <w:ind w:left="57" w:right="170"/>
              <w:jc w:val="right"/>
              <w:rPr>
                <w:rFonts w:cs="Segoe UI"/>
                <w:b/>
                <w:bCs/>
                <w:sz w:val="16"/>
                <w:szCs w:val="16"/>
              </w:rPr>
            </w:pPr>
            <w:r w:rsidRPr="002B31D8">
              <w:rPr>
                <w:rFonts w:cs="Segoe UI"/>
                <w:b/>
                <w:bCs/>
                <w:sz w:val="16"/>
                <w:szCs w:val="16"/>
              </w:rPr>
              <w:t>925</w:t>
            </w:r>
          </w:p>
        </w:tc>
      </w:tr>
      <w:tr w:rsidR="002B31D8" w14:paraId="490CF762" w14:textId="77777777" w:rsidTr="002B31D8">
        <w:trPr>
          <w:trHeight w:val="354"/>
        </w:trPr>
        <w:tc>
          <w:tcPr>
            <w:tcW w:w="1274" w:type="dxa"/>
            <w:tcBorders>
              <w:top w:val="single" w:sz="4" w:space="0" w:color="A6A6A6" w:themeColor="background1" w:themeShade="A6"/>
              <w:left w:val="nil"/>
              <w:bottom w:val="nil"/>
              <w:right w:val="nil"/>
            </w:tcBorders>
          </w:tcPr>
          <w:p w14:paraId="70A8982F" w14:textId="77777777" w:rsidR="002B31D8" w:rsidRPr="002B31D8" w:rsidRDefault="002B31D8" w:rsidP="002B31D8">
            <w:pPr>
              <w:pStyle w:val="TableText"/>
              <w:ind w:left="57" w:right="170"/>
              <w:jc w:val="right"/>
              <w:rPr>
                <w:rFonts w:cs="Segoe UI"/>
                <w:sz w:val="16"/>
                <w:szCs w:val="16"/>
              </w:rPr>
            </w:pPr>
          </w:p>
        </w:tc>
        <w:tc>
          <w:tcPr>
            <w:tcW w:w="5387" w:type="dxa"/>
            <w:tcBorders>
              <w:top w:val="single" w:sz="4" w:space="0" w:color="A6A6A6" w:themeColor="background1" w:themeShade="A6"/>
              <w:left w:val="nil"/>
              <w:bottom w:val="nil"/>
              <w:right w:val="nil"/>
            </w:tcBorders>
            <w:hideMark/>
          </w:tcPr>
          <w:p w14:paraId="0EE32742" w14:textId="77777777" w:rsidR="002B31D8" w:rsidRDefault="002B31D8" w:rsidP="002B31D8">
            <w:pPr>
              <w:pStyle w:val="TableParagraph"/>
              <w:spacing w:before="60" w:after="60"/>
              <w:ind w:left="113"/>
              <w:rPr>
                <w:rFonts w:ascii="Segoe UI" w:hAnsi="Segoe UI" w:cs="Segoe UI"/>
                <w:b/>
                <w:bCs/>
                <w:w w:val="105"/>
                <w:sz w:val="16"/>
                <w:szCs w:val="16"/>
              </w:rPr>
            </w:pPr>
            <w:r>
              <w:rPr>
                <w:rFonts w:ascii="Segoe UI" w:hAnsi="Segoe UI" w:cs="Segoe UI"/>
                <w:b/>
                <w:bCs/>
                <w:w w:val="105"/>
                <w:sz w:val="16"/>
                <w:szCs w:val="16"/>
              </w:rPr>
              <w:t>Add/(less) items classified as investing or financing activities</w:t>
            </w:r>
          </w:p>
        </w:tc>
        <w:tc>
          <w:tcPr>
            <w:tcW w:w="1529" w:type="dxa"/>
            <w:tcBorders>
              <w:top w:val="single" w:sz="4" w:space="0" w:color="A6A6A6" w:themeColor="background1" w:themeShade="A6"/>
              <w:left w:val="nil"/>
              <w:bottom w:val="nil"/>
              <w:right w:val="nil"/>
            </w:tcBorders>
          </w:tcPr>
          <w:p w14:paraId="3B65BCE9" w14:textId="77777777" w:rsidR="002B31D8" w:rsidRPr="002B31D8" w:rsidRDefault="002B31D8" w:rsidP="002B31D8">
            <w:pPr>
              <w:pStyle w:val="TableText"/>
              <w:ind w:left="57" w:right="170"/>
              <w:jc w:val="right"/>
              <w:rPr>
                <w:rFonts w:cs="Segoe UI"/>
                <w:sz w:val="16"/>
                <w:szCs w:val="16"/>
              </w:rPr>
            </w:pPr>
          </w:p>
        </w:tc>
      </w:tr>
      <w:tr w:rsidR="002B31D8" w14:paraId="46A6D352" w14:textId="77777777" w:rsidTr="002B31D8">
        <w:trPr>
          <w:trHeight w:val="348"/>
        </w:trPr>
        <w:tc>
          <w:tcPr>
            <w:tcW w:w="1274" w:type="dxa"/>
            <w:tcBorders>
              <w:top w:val="nil"/>
              <w:left w:val="nil"/>
              <w:bottom w:val="single" w:sz="4" w:space="0" w:color="A6A6A6" w:themeColor="background1" w:themeShade="A6"/>
              <w:right w:val="nil"/>
            </w:tcBorders>
          </w:tcPr>
          <w:p w14:paraId="117B420C" w14:textId="38E32AEB" w:rsidR="002B31D8" w:rsidRDefault="002B31D8" w:rsidP="002B31D8">
            <w:pPr>
              <w:pStyle w:val="TableText"/>
              <w:ind w:left="57" w:right="170"/>
              <w:jc w:val="right"/>
              <w:rPr>
                <w:rFonts w:cs="Segoe UI"/>
                <w:sz w:val="16"/>
                <w:szCs w:val="16"/>
              </w:rPr>
            </w:pPr>
            <w:r w:rsidRPr="002B31D8">
              <w:rPr>
                <w:rFonts w:cs="Segoe UI"/>
                <w:sz w:val="16"/>
                <w:szCs w:val="16"/>
              </w:rPr>
              <w:t>8</w:t>
            </w:r>
          </w:p>
        </w:tc>
        <w:tc>
          <w:tcPr>
            <w:tcW w:w="5387" w:type="dxa"/>
            <w:tcBorders>
              <w:top w:val="nil"/>
              <w:left w:val="nil"/>
              <w:bottom w:val="single" w:sz="4" w:space="0" w:color="A6A6A6" w:themeColor="background1" w:themeShade="A6"/>
              <w:right w:val="nil"/>
            </w:tcBorders>
            <w:hideMark/>
          </w:tcPr>
          <w:p w14:paraId="40A178DD" w14:textId="77777777" w:rsidR="002B31D8" w:rsidRDefault="002B31D8" w:rsidP="002B31D8">
            <w:pPr>
              <w:pStyle w:val="TableParagraph"/>
              <w:spacing w:before="60" w:after="60"/>
              <w:ind w:left="113"/>
              <w:rPr>
                <w:rFonts w:ascii="Segoe UI" w:hAnsi="Segoe UI" w:cs="Segoe UI"/>
                <w:w w:val="105"/>
                <w:sz w:val="16"/>
                <w:szCs w:val="16"/>
              </w:rPr>
            </w:pPr>
            <w:r>
              <w:rPr>
                <w:rFonts w:ascii="Segoe UI" w:hAnsi="Segoe UI" w:cs="Segoe UI"/>
                <w:w w:val="105"/>
                <w:sz w:val="16"/>
                <w:szCs w:val="16"/>
              </w:rPr>
              <w:t>(Gains)/losses on disposal of property, plant and equipment</w:t>
            </w:r>
          </w:p>
        </w:tc>
        <w:tc>
          <w:tcPr>
            <w:tcW w:w="1529" w:type="dxa"/>
            <w:tcBorders>
              <w:top w:val="nil"/>
              <w:left w:val="nil"/>
              <w:bottom w:val="single" w:sz="4" w:space="0" w:color="A6A6A6" w:themeColor="background1" w:themeShade="A6"/>
              <w:right w:val="nil"/>
            </w:tcBorders>
          </w:tcPr>
          <w:p w14:paraId="0DA67A19" w14:textId="28BFCFED" w:rsidR="002B31D8" w:rsidRPr="002B31D8" w:rsidRDefault="002B31D8" w:rsidP="002B31D8">
            <w:pPr>
              <w:pStyle w:val="TableText"/>
              <w:ind w:left="57" w:right="170"/>
              <w:jc w:val="right"/>
              <w:rPr>
                <w:rFonts w:cs="Segoe UI"/>
                <w:sz w:val="16"/>
                <w:szCs w:val="16"/>
              </w:rPr>
            </w:pPr>
            <w:r w:rsidRPr="002B31D8">
              <w:rPr>
                <w:rFonts w:cs="Segoe UI"/>
                <w:sz w:val="16"/>
                <w:szCs w:val="16"/>
              </w:rPr>
              <w:t>–</w:t>
            </w:r>
          </w:p>
        </w:tc>
      </w:tr>
      <w:tr w:rsidR="002B31D8" w:rsidRPr="002B31D8" w14:paraId="42B60C23" w14:textId="77777777" w:rsidTr="002B31D8">
        <w:trPr>
          <w:trHeight w:val="344"/>
        </w:trPr>
        <w:tc>
          <w:tcPr>
            <w:tcW w:w="1274" w:type="dxa"/>
            <w:tcBorders>
              <w:top w:val="single" w:sz="4" w:space="0" w:color="A6A6A6" w:themeColor="background1" w:themeShade="A6"/>
              <w:left w:val="nil"/>
              <w:bottom w:val="single" w:sz="4" w:space="0" w:color="A6A6A6" w:themeColor="background1" w:themeShade="A6"/>
              <w:right w:val="nil"/>
            </w:tcBorders>
          </w:tcPr>
          <w:p w14:paraId="0905BA26" w14:textId="7DF2500F" w:rsidR="002B31D8" w:rsidRPr="002B31D8" w:rsidRDefault="002B31D8" w:rsidP="002B31D8">
            <w:pPr>
              <w:pStyle w:val="TableText"/>
              <w:ind w:left="57" w:right="170"/>
              <w:jc w:val="right"/>
              <w:rPr>
                <w:rFonts w:cs="Segoe UI"/>
                <w:b/>
                <w:bCs/>
                <w:sz w:val="16"/>
                <w:szCs w:val="16"/>
              </w:rPr>
            </w:pPr>
            <w:r w:rsidRPr="002B31D8">
              <w:rPr>
                <w:rFonts w:cs="Segoe UI"/>
                <w:b/>
                <w:bCs/>
                <w:sz w:val="16"/>
                <w:szCs w:val="16"/>
              </w:rPr>
              <w:t>8</w:t>
            </w:r>
          </w:p>
        </w:tc>
        <w:tc>
          <w:tcPr>
            <w:tcW w:w="5387" w:type="dxa"/>
            <w:tcBorders>
              <w:top w:val="single" w:sz="4" w:space="0" w:color="A6A6A6" w:themeColor="background1" w:themeShade="A6"/>
              <w:left w:val="nil"/>
              <w:bottom w:val="single" w:sz="4" w:space="0" w:color="A6A6A6" w:themeColor="background1" w:themeShade="A6"/>
              <w:right w:val="nil"/>
            </w:tcBorders>
            <w:hideMark/>
          </w:tcPr>
          <w:p w14:paraId="3BC2F09D" w14:textId="77777777" w:rsidR="002B31D8" w:rsidRPr="002B31D8" w:rsidRDefault="002B31D8" w:rsidP="002B31D8">
            <w:pPr>
              <w:pStyle w:val="TableParagraph"/>
              <w:spacing w:before="60" w:after="60"/>
              <w:ind w:left="113"/>
              <w:rPr>
                <w:rFonts w:ascii="Segoe UI" w:hAnsi="Segoe UI" w:cs="Segoe UI"/>
                <w:b/>
                <w:bCs/>
                <w:w w:val="105"/>
                <w:sz w:val="16"/>
                <w:szCs w:val="16"/>
              </w:rPr>
            </w:pPr>
            <w:r w:rsidRPr="002B31D8">
              <w:rPr>
                <w:rFonts w:ascii="Segoe UI" w:hAnsi="Segoe UI" w:cs="Segoe UI"/>
                <w:b/>
                <w:bCs/>
                <w:w w:val="105"/>
                <w:sz w:val="16"/>
                <w:szCs w:val="16"/>
              </w:rPr>
              <w:t>Total items classified as investing or financing activities</w:t>
            </w:r>
          </w:p>
        </w:tc>
        <w:tc>
          <w:tcPr>
            <w:tcW w:w="1529" w:type="dxa"/>
            <w:tcBorders>
              <w:top w:val="single" w:sz="4" w:space="0" w:color="A6A6A6" w:themeColor="background1" w:themeShade="A6"/>
              <w:left w:val="nil"/>
              <w:bottom w:val="single" w:sz="4" w:space="0" w:color="A6A6A6" w:themeColor="background1" w:themeShade="A6"/>
              <w:right w:val="nil"/>
            </w:tcBorders>
          </w:tcPr>
          <w:p w14:paraId="40958257" w14:textId="619890EF" w:rsidR="002B31D8" w:rsidRPr="002B31D8" w:rsidRDefault="002B31D8" w:rsidP="002B31D8">
            <w:pPr>
              <w:pStyle w:val="TableText"/>
              <w:ind w:left="57" w:right="170"/>
              <w:jc w:val="right"/>
              <w:rPr>
                <w:rFonts w:cs="Segoe UI"/>
                <w:b/>
                <w:bCs/>
                <w:sz w:val="16"/>
                <w:szCs w:val="16"/>
              </w:rPr>
            </w:pPr>
            <w:r w:rsidRPr="002B31D8">
              <w:rPr>
                <w:rFonts w:cs="Segoe UI"/>
                <w:b/>
                <w:bCs/>
                <w:sz w:val="16"/>
                <w:szCs w:val="16"/>
              </w:rPr>
              <w:t>–</w:t>
            </w:r>
          </w:p>
        </w:tc>
      </w:tr>
      <w:tr w:rsidR="002B31D8" w:rsidRPr="002B31D8" w14:paraId="78F8E087" w14:textId="77777777" w:rsidTr="002B31D8">
        <w:trPr>
          <w:trHeight w:val="354"/>
        </w:trPr>
        <w:tc>
          <w:tcPr>
            <w:tcW w:w="1274" w:type="dxa"/>
            <w:tcBorders>
              <w:top w:val="single" w:sz="4" w:space="0" w:color="A6A6A6" w:themeColor="background1" w:themeShade="A6"/>
              <w:left w:val="nil"/>
              <w:bottom w:val="nil"/>
              <w:right w:val="nil"/>
            </w:tcBorders>
          </w:tcPr>
          <w:p w14:paraId="5CFC6DF5" w14:textId="77777777" w:rsidR="002B31D8" w:rsidRPr="002B31D8" w:rsidRDefault="002B31D8" w:rsidP="002B31D8">
            <w:pPr>
              <w:pStyle w:val="TableText"/>
              <w:ind w:left="57" w:right="170"/>
              <w:jc w:val="right"/>
              <w:rPr>
                <w:rFonts w:cs="Segoe UI"/>
                <w:b/>
                <w:bCs/>
                <w:sz w:val="16"/>
                <w:szCs w:val="16"/>
              </w:rPr>
            </w:pPr>
          </w:p>
        </w:tc>
        <w:tc>
          <w:tcPr>
            <w:tcW w:w="5387" w:type="dxa"/>
            <w:tcBorders>
              <w:top w:val="single" w:sz="4" w:space="0" w:color="A6A6A6" w:themeColor="background1" w:themeShade="A6"/>
              <w:left w:val="nil"/>
              <w:bottom w:val="nil"/>
              <w:right w:val="nil"/>
            </w:tcBorders>
            <w:hideMark/>
          </w:tcPr>
          <w:p w14:paraId="5B1348A3" w14:textId="77777777" w:rsidR="002B31D8" w:rsidRPr="002B31D8" w:rsidRDefault="002B31D8" w:rsidP="002B31D8">
            <w:pPr>
              <w:pStyle w:val="TableParagraph"/>
              <w:spacing w:before="60" w:after="60"/>
              <w:ind w:left="113"/>
              <w:rPr>
                <w:rFonts w:ascii="Segoe UI" w:hAnsi="Segoe UI" w:cs="Segoe UI"/>
                <w:b/>
                <w:bCs/>
                <w:w w:val="105"/>
                <w:sz w:val="16"/>
                <w:szCs w:val="16"/>
              </w:rPr>
            </w:pPr>
            <w:r w:rsidRPr="002B31D8">
              <w:rPr>
                <w:rFonts w:ascii="Segoe UI" w:hAnsi="Segoe UI" w:cs="Segoe UI"/>
                <w:b/>
                <w:bCs/>
                <w:w w:val="105"/>
                <w:sz w:val="16"/>
                <w:szCs w:val="16"/>
              </w:rPr>
              <w:t>Add/(less) movements in working capital items</w:t>
            </w:r>
          </w:p>
        </w:tc>
        <w:tc>
          <w:tcPr>
            <w:tcW w:w="1529" w:type="dxa"/>
            <w:tcBorders>
              <w:top w:val="single" w:sz="4" w:space="0" w:color="A6A6A6" w:themeColor="background1" w:themeShade="A6"/>
              <w:left w:val="nil"/>
              <w:bottom w:val="nil"/>
              <w:right w:val="nil"/>
            </w:tcBorders>
          </w:tcPr>
          <w:p w14:paraId="0DD67FFE" w14:textId="77777777" w:rsidR="002B31D8" w:rsidRPr="002B31D8" w:rsidRDefault="002B31D8" w:rsidP="002B31D8">
            <w:pPr>
              <w:pStyle w:val="TableText"/>
              <w:ind w:left="57" w:right="170"/>
              <w:jc w:val="right"/>
              <w:rPr>
                <w:rFonts w:cs="Segoe UI"/>
                <w:b/>
                <w:bCs/>
                <w:sz w:val="16"/>
                <w:szCs w:val="16"/>
              </w:rPr>
            </w:pPr>
          </w:p>
        </w:tc>
      </w:tr>
      <w:tr w:rsidR="002B31D8" w14:paraId="08836796" w14:textId="77777777" w:rsidTr="002B31D8">
        <w:trPr>
          <w:trHeight w:val="359"/>
        </w:trPr>
        <w:tc>
          <w:tcPr>
            <w:tcW w:w="1274" w:type="dxa"/>
          </w:tcPr>
          <w:p w14:paraId="7ECA9027" w14:textId="53F655B8" w:rsidR="002B31D8" w:rsidRDefault="002B31D8" w:rsidP="002B31D8">
            <w:pPr>
              <w:pStyle w:val="TableText"/>
              <w:ind w:left="57" w:right="170"/>
              <w:jc w:val="right"/>
              <w:rPr>
                <w:rFonts w:cs="Segoe UI"/>
                <w:sz w:val="16"/>
                <w:szCs w:val="16"/>
              </w:rPr>
            </w:pPr>
            <w:r w:rsidRPr="002B31D8">
              <w:rPr>
                <w:rFonts w:cs="Segoe UI"/>
                <w:sz w:val="16"/>
                <w:szCs w:val="16"/>
              </w:rPr>
              <w:t>4,563</w:t>
            </w:r>
          </w:p>
        </w:tc>
        <w:tc>
          <w:tcPr>
            <w:tcW w:w="5387" w:type="dxa"/>
            <w:hideMark/>
          </w:tcPr>
          <w:p w14:paraId="3C0924C6" w14:textId="77777777" w:rsidR="002B31D8" w:rsidRDefault="002B31D8" w:rsidP="002B31D8">
            <w:pPr>
              <w:pStyle w:val="TableParagraph"/>
              <w:spacing w:before="60" w:after="60"/>
              <w:ind w:left="113"/>
              <w:rPr>
                <w:rFonts w:ascii="Segoe UI" w:hAnsi="Segoe UI" w:cs="Segoe UI"/>
                <w:w w:val="105"/>
                <w:sz w:val="16"/>
                <w:szCs w:val="16"/>
              </w:rPr>
            </w:pPr>
            <w:r>
              <w:rPr>
                <w:rFonts w:ascii="Segoe UI" w:hAnsi="Segoe UI" w:cs="Segoe UI"/>
                <w:w w:val="105"/>
                <w:sz w:val="16"/>
                <w:szCs w:val="16"/>
              </w:rPr>
              <w:t>(Increase)/decrease in receivables</w:t>
            </w:r>
          </w:p>
        </w:tc>
        <w:tc>
          <w:tcPr>
            <w:tcW w:w="1529" w:type="dxa"/>
          </w:tcPr>
          <w:p w14:paraId="45D49C77" w14:textId="34FD18DC" w:rsidR="002B31D8" w:rsidRPr="002B31D8" w:rsidRDefault="002B31D8" w:rsidP="002B31D8">
            <w:pPr>
              <w:pStyle w:val="TableText"/>
              <w:ind w:left="57" w:right="170"/>
              <w:jc w:val="right"/>
              <w:rPr>
                <w:rFonts w:cs="Segoe UI"/>
                <w:sz w:val="16"/>
                <w:szCs w:val="16"/>
              </w:rPr>
            </w:pPr>
            <w:r w:rsidRPr="002B31D8">
              <w:rPr>
                <w:rFonts w:cs="Segoe UI"/>
                <w:sz w:val="16"/>
                <w:szCs w:val="16"/>
              </w:rPr>
              <w:t>3,660</w:t>
            </w:r>
          </w:p>
        </w:tc>
      </w:tr>
      <w:tr w:rsidR="002B31D8" w14:paraId="5B626504" w14:textId="77777777" w:rsidTr="002B31D8">
        <w:trPr>
          <w:trHeight w:val="359"/>
        </w:trPr>
        <w:tc>
          <w:tcPr>
            <w:tcW w:w="1274" w:type="dxa"/>
          </w:tcPr>
          <w:p w14:paraId="34299D9D" w14:textId="2C4360DE" w:rsidR="002B31D8" w:rsidRDefault="002B31D8" w:rsidP="002B31D8">
            <w:pPr>
              <w:pStyle w:val="TableText"/>
              <w:ind w:left="57" w:right="170"/>
              <w:jc w:val="right"/>
              <w:rPr>
                <w:rFonts w:cs="Segoe UI"/>
                <w:sz w:val="16"/>
                <w:szCs w:val="16"/>
              </w:rPr>
            </w:pPr>
            <w:r w:rsidRPr="002B31D8">
              <w:rPr>
                <w:rFonts w:cs="Segoe UI"/>
                <w:sz w:val="16"/>
                <w:szCs w:val="16"/>
              </w:rPr>
              <w:t>182,471</w:t>
            </w:r>
          </w:p>
        </w:tc>
        <w:tc>
          <w:tcPr>
            <w:tcW w:w="5387" w:type="dxa"/>
            <w:hideMark/>
          </w:tcPr>
          <w:p w14:paraId="3B906BBF" w14:textId="77777777" w:rsidR="002B31D8" w:rsidRDefault="002B31D8" w:rsidP="002B31D8">
            <w:pPr>
              <w:pStyle w:val="TableParagraph"/>
              <w:spacing w:before="60" w:after="60"/>
              <w:ind w:left="113"/>
              <w:rPr>
                <w:rFonts w:ascii="Segoe UI" w:hAnsi="Segoe UI" w:cs="Segoe UI"/>
                <w:w w:val="105"/>
                <w:sz w:val="16"/>
                <w:szCs w:val="16"/>
              </w:rPr>
            </w:pPr>
            <w:r>
              <w:rPr>
                <w:rFonts w:ascii="Segoe UI" w:hAnsi="Segoe UI" w:cs="Segoe UI"/>
                <w:w w:val="105"/>
                <w:sz w:val="16"/>
                <w:szCs w:val="16"/>
              </w:rPr>
              <w:t>(Increase)/decrease in debtor Crown</w:t>
            </w:r>
          </w:p>
        </w:tc>
        <w:tc>
          <w:tcPr>
            <w:tcW w:w="1529" w:type="dxa"/>
          </w:tcPr>
          <w:p w14:paraId="2E8264D1" w14:textId="6CAF894F" w:rsidR="002B31D8" w:rsidRPr="002B31D8" w:rsidRDefault="002B31D8" w:rsidP="002B31D8">
            <w:pPr>
              <w:pStyle w:val="TableText"/>
              <w:ind w:left="57" w:right="170"/>
              <w:jc w:val="right"/>
              <w:rPr>
                <w:rFonts w:cs="Segoe UI"/>
                <w:sz w:val="16"/>
                <w:szCs w:val="16"/>
              </w:rPr>
            </w:pPr>
            <w:r w:rsidRPr="002B31D8">
              <w:rPr>
                <w:rFonts w:cs="Segoe UI"/>
                <w:sz w:val="16"/>
                <w:szCs w:val="16"/>
              </w:rPr>
              <w:t>1,454</w:t>
            </w:r>
          </w:p>
        </w:tc>
      </w:tr>
      <w:tr w:rsidR="002B31D8" w14:paraId="595A22FB" w14:textId="77777777" w:rsidTr="002B31D8">
        <w:trPr>
          <w:trHeight w:val="359"/>
        </w:trPr>
        <w:tc>
          <w:tcPr>
            <w:tcW w:w="1274" w:type="dxa"/>
          </w:tcPr>
          <w:p w14:paraId="68CA220B" w14:textId="2FE7E324" w:rsidR="002B31D8" w:rsidRDefault="002B31D8" w:rsidP="002B31D8">
            <w:pPr>
              <w:pStyle w:val="TableText"/>
              <w:ind w:left="57" w:right="170"/>
              <w:jc w:val="right"/>
              <w:rPr>
                <w:rFonts w:cs="Segoe UI"/>
                <w:sz w:val="16"/>
                <w:szCs w:val="16"/>
              </w:rPr>
            </w:pPr>
            <w:r w:rsidRPr="002B31D8">
              <w:rPr>
                <w:rFonts w:cs="Segoe UI"/>
                <w:sz w:val="16"/>
                <w:szCs w:val="16"/>
              </w:rPr>
              <w:t>8,713</w:t>
            </w:r>
          </w:p>
        </w:tc>
        <w:tc>
          <w:tcPr>
            <w:tcW w:w="5387" w:type="dxa"/>
            <w:hideMark/>
          </w:tcPr>
          <w:p w14:paraId="2D88E6CD" w14:textId="77777777" w:rsidR="002B31D8" w:rsidRDefault="002B31D8" w:rsidP="002B31D8">
            <w:pPr>
              <w:pStyle w:val="TableParagraph"/>
              <w:spacing w:before="60" w:after="60"/>
              <w:ind w:left="113"/>
              <w:rPr>
                <w:rFonts w:ascii="Segoe UI" w:hAnsi="Segoe UI" w:cs="Segoe UI"/>
                <w:w w:val="105"/>
                <w:sz w:val="16"/>
                <w:szCs w:val="16"/>
              </w:rPr>
            </w:pPr>
            <w:r>
              <w:rPr>
                <w:rFonts w:ascii="Segoe UI" w:hAnsi="Segoe UI" w:cs="Segoe UI"/>
                <w:w w:val="105"/>
                <w:sz w:val="16"/>
                <w:szCs w:val="16"/>
              </w:rPr>
              <w:t>(Increase)/decrease in prepayments</w:t>
            </w:r>
          </w:p>
        </w:tc>
        <w:tc>
          <w:tcPr>
            <w:tcW w:w="1529" w:type="dxa"/>
          </w:tcPr>
          <w:p w14:paraId="780B020A" w14:textId="2533904A" w:rsidR="002B31D8" w:rsidRPr="002B31D8" w:rsidRDefault="002B31D8" w:rsidP="002B31D8">
            <w:pPr>
              <w:pStyle w:val="TableText"/>
              <w:ind w:left="57" w:right="170"/>
              <w:jc w:val="right"/>
              <w:rPr>
                <w:rFonts w:cs="Segoe UI"/>
                <w:sz w:val="16"/>
                <w:szCs w:val="16"/>
              </w:rPr>
            </w:pPr>
            <w:r w:rsidRPr="002B31D8">
              <w:rPr>
                <w:rFonts w:cs="Segoe UI"/>
                <w:sz w:val="16"/>
                <w:szCs w:val="16"/>
              </w:rPr>
              <w:t>(1,394)</w:t>
            </w:r>
          </w:p>
        </w:tc>
      </w:tr>
      <w:tr w:rsidR="002B31D8" w14:paraId="37006903" w14:textId="77777777" w:rsidTr="002B31D8">
        <w:trPr>
          <w:trHeight w:val="359"/>
        </w:trPr>
        <w:tc>
          <w:tcPr>
            <w:tcW w:w="1274" w:type="dxa"/>
          </w:tcPr>
          <w:p w14:paraId="71FCE001" w14:textId="6E01A249" w:rsidR="002B31D8" w:rsidRDefault="002B31D8" w:rsidP="002B31D8">
            <w:pPr>
              <w:pStyle w:val="TableText"/>
              <w:ind w:left="57" w:right="170"/>
              <w:jc w:val="right"/>
              <w:rPr>
                <w:rFonts w:cs="Segoe UI"/>
                <w:sz w:val="16"/>
                <w:szCs w:val="16"/>
              </w:rPr>
            </w:pPr>
            <w:r w:rsidRPr="002B31D8">
              <w:rPr>
                <w:rFonts w:cs="Segoe UI"/>
                <w:sz w:val="16"/>
                <w:szCs w:val="16"/>
              </w:rPr>
              <w:t>(77,118)</w:t>
            </w:r>
          </w:p>
        </w:tc>
        <w:tc>
          <w:tcPr>
            <w:tcW w:w="5387" w:type="dxa"/>
            <w:hideMark/>
          </w:tcPr>
          <w:p w14:paraId="0D2A8AFD" w14:textId="77777777" w:rsidR="002B31D8" w:rsidRDefault="002B31D8" w:rsidP="002B31D8">
            <w:pPr>
              <w:pStyle w:val="TableParagraph"/>
              <w:spacing w:before="60" w:after="60"/>
              <w:ind w:left="113"/>
              <w:rPr>
                <w:rFonts w:ascii="Segoe UI" w:hAnsi="Segoe UI" w:cs="Segoe UI"/>
                <w:w w:val="105"/>
                <w:sz w:val="16"/>
                <w:szCs w:val="16"/>
              </w:rPr>
            </w:pPr>
            <w:r>
              <w:rPr>
                <w:rFonts w:ascii="Segoe UI" w:hAnsi="Segoe UI" w:cs="Segoe UI"/>
                <w:w w:val="105"/>
                <w:sz w:val="16"/>
                <w:szCs w:val="16"/>
              </w:rPr>
              <w:t>Increase/(decrease) in payables*</w:t>
            </w:r>
          </w:p>
        </w:tc>
        <w:tc>
          <w:tcPr>
            <w:tcW w:w="1529" w:type="dxa"/>
          </w:tcPr>
          <w:p w14:paraId="3422D2DE" w14:textId="463332A3" w:rsidR="002B31D8" w:rsidRPr="002B31D8" w:rsidRDefault="002B31D8" w:rsidP="002B31D8">
            <w:pPr>
              <w:pStyle w:val="TableText"/>
              <w:ind w:left="57" w:right="170"/>
              <w:jc w:val="right"/>
              <w:rPr>
                <w:rFonts w:cs="Segoe UI"/>
                <w:sz w:val="16"/>
                <w:szCs w:val="16"/>
              </w:rPr>
            </w:pPr>
            <w:r w:rsidRPr="002B31D8">
              <w:rPr>
                <w:rFonts w:cs="Segoe UI"/>
                <w:sz w:val="16"/>
                <w:szCs w:val="16"/>
              </w:rPr>
              <w:t>9,969</w:t>
            </w:r>
          </w:p>
        </w:tc>
      </w:tr>
      <w:tr w:rsidR="002B31D8" w14:paraId="53ABEC5E" w14:textId="77777777" w:rsidTr="002B31D8">
        <w:trPr>
          <w:trHeight w:val="359"/>
        </w:trPr>
        <w:tc>
          <w:tcPr>
            <w:tcW w:w="1274" w:type="dxa"/>
          </w:tcPr>
          <w:p w14:paraId="7B975A70" w14:textId="39471E15" w:rsidR="002B31D8" w:rsidRPr="002B31D8" w:rsidRDefault="002B31D8" w:rsidP="002B31D8">
            <w:pPr>
              <w:pStyle w:val="TableText"/>
              <w:ind w:left="57" w:right="170"/>
              <w:jc w:val="right"/>
              <w:rPr>
                <w:rFonts w:cs="Segoe UI"/>
                <w:sz w:val="16"/>
                <w:szCs w:val="16"/>
              </w:rPr>
            </w:pPr>
            <w:r w:rsidRPr="002B31D8">
              <w:rPr>
                <w:rFonts w:cs="Segoe UI"/>
                <w:sz w:val="16"/>
                <w:szCs w:val="16"/>
              </w:rPr>
              <w:t>–</w:t>
            </w:r>
          </w:p>
        </w:tc>
        <w:tc>
          <w:tcPr>
            <w:tcW w:w="5387" w:type="dxa"/>
          </w:tcPr>
          <w:p w14:paraId="78757EA2" w14:textId="201932EF" w:rsidR="002B31D8" w:rsidRDefault="002B31D8" w:rsidP="002B31D8">
            <w:pPr>
              <w:pStyle w:val="TableParagraph"/>
              <w:spacing w:before="60" w:after="60"/>
              <w:ind w:left="113"/>
              <w:rPr>
                <w:rFonts w:ascii="Segoe UI" w:hAnsi="Segoe UI" w:cs="Segoe UI"/>
                <w:w w:val="105"/>
                <w:sz w:val="16"/>
                <w:szCs w:val="16"/>
              </w:rPr>
            </w:pPr>
            <w:r w:rsidRPr="002B31D8">
              <w:rPr>
                <w:rFonts w:ascii="Segoe UI" w:hAnsi="Segoe UI" w:cs="Segoe UI"/>
                <w:w w:val="105"/>
                <w:sz w:val="16"/>
                <w:szCs w:val="16"/>
              </w:rPr>
              <w:t>Increase/(decrease) in provisions</w:t>
            </w:r>
          </w:p>
        </w:tc>
        <w:tc>
          <w:tcPr>
            <w:tcW w:w="1529" w:type="dxa"/>
          </w:tcPr>
          <w:p w14:paraId="4E88081C" w14:textId="3990DA8D" w:rsidR="002B31D8" w:rsidRPr="002B31D8" w:rsidRDefault="002B31D8" w:rsidP="002B31D8">
            <w:pPr>
              <w:pStyle w:val="TableText"/>
              <w:ind w:left="57" w:right="170"/>
              <w:jc w:val="right"/>
              <w:rPr>
                <w:rFonts w:cs="Segoe UI"/>
                <w:sz w:val="16"/>
                <w:szCs w:val="16"/>
              </w:rPr>
            </w:pPr>
            <w:r w:rsidRPr="002B31D8">
              <w:rPr>
                <w:rFonts w:cs="Segoe UI"/>
                <w:sz w:val="16"/>
                <w:szCs w:val="16"/>
              </w:rPr>
              <w:t>8,796</w:t>
            </w:r>
          </w:p>
        </w:tc>
      </w:tr>
      <w:tr w:rsidR="002B31D8" w14:paraId="6639CB54" w14:textId="77777777" w:rsidTr="002B31D8">
        <w:trPr>
          <w:trHeight w:val="348"/>
        </w:trPr>
        <w:tc>
          <w:tcPr>
            <w:tcW w:w="1274" w:type="dxa"/>
            <w:tcBorders>
              <w:top w:val="nil"/>
              <w:left w:val="nil"/>
              <w:bottom w:val="single" w:sz="4" w:space="0" w:color="A6A6A6" w:themeColor="background1" w:themeShade="A6"/>
              <w:right w:val="nil"/>
            </w:tcBorders>
          </w:tcPr>
          <w:p w14:paraId="25C9742E" w14:textId="7859E7A3" w:rsidR="002B31D8" w:rsidRDefault="002B31D8" w:rsidP="002B31D8">
            <w:pPr>
              <w:pStyle w:val="TableText"/>
              <w:ind w:left="57" w:right="170"/>
              <w:jc w:val="right"/>
              <w:rPr>
                <w:rFonts w:cs="Segoe UI"/>
                <w:sz w:val="16"/>
                <w:szCs w:val="16"/>
              </w:rPr>
            </w:pPr>
            <w:r w:rsidRPr="002B31D8">
              <w:rPr>
                <w:rFonts w:cs="Segoe UI"/>
                <w:b/>
                <w:bCs/>
                <w:sz w:val="16"/>
                <w:szCs w:val="16"/>
              </w:rPr>
              <w:t>(13,999)</w:t>
            </w:r>
          </w:p>
        </w:tc>
        <w:tc>
          <w:tcPr>
            <w:tcW w:w="5387" w:type="dxa"/>
            <w:tcBorders>
              <w:top w:val="nil"/>
              <w:left w:val="nil"/>
              <w:bottom w:val="single" w:sz="4" w:space="0" w:color="A6A6A6" w:themeColor="background1" w:themeShade="A6"/>
              <w:right w:val="nil"/>
            </w:tcBorders>
            <w:hideMark/>
          </w:tcPr>
          <w:p w14:paraId="3C7AC541" w14:textId="77777777" w:rsidR="002B31D8" w:rsidRDefault="002B31D8" w:rsidP="002B31D8">
            <w:pPr>
              <w:pStyle w:val="TableParagraph"/>
              <w:spacing w:before="60" w:after="60"/>
              <w:ind w:left="113"/>
              <w:rPr>
                <w:rFonts w:ascii="Segoe UI" w:hAnsi="Segoe UI" w:cs="Segoe UI"/>
                <w:w w:val="105"/>
                <w:sz w:val="16"/>
                <w:szCs w:val="16"/>
              </w:rPr>
            </w:pPr>
            <w:r>
              <w:rPr>
                <w:rFonts w:ascii="Segoe UI" w:hAnsi="Segoe UI" w:cs="Segoe UI"/>
                <w:w w:val="105"/>
                <w:sz w:val="16"/>
                <w:szCs w:val="16"/>
              </w:rPr>
              <w:t>Increase/(decrease) in employee entitlements</w:t>
            </w:r>
          </w:p>
        </w:tc>
        <w:tc>
          <w:tcPr>
            <w:tcW w:w="1529" w:type="dxa"/>
            <w:tcBorders>
              <w:top w:val="nil"/>
              <w:left w:val="nil"/>
              <w:bottom w:val="single" w:sz="4" w:space="0" w:color="A6A6A6" w:themeColor="background1" w:themeShade="A6"/>
              <w:right w:val="nil"/>
            </w:tcBorders>
          </w:tcPr>
          <w:p w14:paraId="4CEE1F76" w14:textId="051D2ABF" w:rsidR="002B31D8" w:rsidRPr="002B31D8" w:rsidRDefault="002B31D8" w:rsidP="002B31D8">
            <w:pPr>
              <w:pStyle w:val="TableText"/>
              <w:ind w:left="57" w:right="170"/>
              <w:jc w:val="right"/>
              <w:rPr>
                <w:rFonts w:cs="Segoe UI"/>
                <w:sz w:val="16"/>
                <w:szCs w:val="16"/>
              </w:rPr>
            </w:pPr>
            <w:r w:rsidRPr="002B31D8">
              <w:rPr>
                <w:rFonts w:cs="Segoe UI"/>
                <w:b/>
                <w:bCs/>
                <w:sz w:val="16"/>
                <w:szCs w:val="16"/>
              </w:rPr>
              <w:t>398</w:t>
            </w:r>
          </w:p>
        </w:tc>
      </w:tr>
      <w:tr w:rsidR="002B31D8" w:rsidRPr="002B31D8" w14:paraId="7E753B9E" w14:textId="77777777" w:rsidTr="002B31D8">
        <w:trPr>
          <w:trHeight w:val="344"/>
        </w:trPr>
        <w:tc>
          <w:tcPr>
            <w:tcW w:w="1274" w:type="dxa"/>
            <w:tcBorders>
              <w:top w:val="single" w:sz="4" w:space="0" w:color="A6A6A6" w:themeColor="background1" w:themeShade="A6"/>
              <w:left w:val="nil"/>
              <w:bottom w:val="single" w:sz="4" w:space="0" w:color="A6A6A6" w:themeColor="background1" w:themeShade="A6"/>
              <w:right w:val="nil"/>
            </w:tcBorders>
          </w:tcPr>
          <w:p w14:paraId="523A5112" w14:textId="2C185A84" w:rsidR="002B31D8" w:rsidRPr="002B31D8" w:rsidRDefault="002B31D8" w:rsidP="002B31D8">
            <w:pPr>
              <w:pStyle w:val="TableText"/>
              <w:ind w:left="57" w:right="170"/>
              <w:jc w:val="right"/>
              <w:rPr>
                <w:rFonts w:cs="Segoe UI"/>
                <w:b/>
                <w:bCs/>
                <w:sz w:val="16"/>
                <w:szCs w:val="16"/>
              </w:rPr>
            </w:pPr>
            <w:r w:rsidRPr="002B31D8">
              <w:rPr>
                <w:rFonts w:cs="Segoe UI"/>
                <w:b/>
                <w:bCs/>
                <w:sz w:val="16"/>
                <w:szCs w:val="16"/>
              </w:rPr>
              <w:t>104,630</w:t>
            </w:r>
          </w:p>
        </w:tc>
        <w:tc>
          <w:tcPr>
            <w:tcW w:w="5387" w:type="dxa"/>
            <w:tcBorders>
              <w:top w:val="single" w:sz="4" w:space="0" w:color="A6A6A6" w:themeColor="background1" w:themeShade="A6"/>
              <w:left w:val="nil"/>
              <w:bottom w:val="single" w:sz="4" w:space="0" w:color="A6A6A6" w:themeColor="background1" w:themeShade="A6"/>
              <w:right w:val="nil"/>
            </w:tcBorders>
            <w:hideMark/>
          </w:tcPr>
          <w:p w14:paraId="22450D89" w14:textId="77777777" w:rsidR="002B31D8" w:rsidRPr="002B31D8" w:rsidRDefault="002B31D8" w:rsidP="002B31D8">
            <w:pPr>
              <w:pStyle w:val="TableParagraph"/>
              <w:spacing w:before="60" w:after="60"/>
              <w:ind w:left="113"/>
              <w:rPr>
                <w:rFonts w:ascii="Segoe UI" w:hAnsi="Segoe UI" w:cs="Segoe UI"/>
                <w:b/>
                <w:bCs/>
                <w:w w:val="105"/>
                <w:sz w:val="16"/>
                <w:szCs w:val="16"/>
              </w:rPr>
            </w:pPr>
            <w:r w:rsidRPr="002B31D8">
              <w:rPr>
                <w:rFonts w:ascii="Segoe UI" w:hAnsi="Segoe UI" w:cs="Segoe UI"/>
                <w:b/>
                <w:bCs/>
                <w:w w:val="105"/>
                <w:sz w:val="16"/>
                <w:szCs w:val="16"/>
              </w:rPr>
              <w:t>Total movements in working capital items</w:t>
            </w:r>
          </w:p>
        </w:tc>
        <w:tc>
          <w:tcPr>
            <w:tcW w:w="1529" w:type="dxa"/>
            <w:tcBorders>
              <w:top w:val="single" w:sz="4" w:space="0" w:color="A6A6A6" w:themeColor="background1" w:themeShade="A6"/>
              <w:left w:val="nil"/>
              <w:bottom w:val="single" w:sz="4" w:space="0" w:color="A6A6A6" w:themeColor="background1" w:themeShade="A6"/>
              <w:right w:val="nil"/>
            </w:tcBorders>
          </w:tcPr>
          <w:p w14:paraId="4E250D1F" w14:textId="4AFD8B7F" w:rsidR="002B31D8" w:rsidRPr="002B31D8" w:rsidRDefault="002B31D8" w:rsidP="002B31D8">
            <w:pPr>
              <w:pStyle w:val="TableText"/>
              <w:ind w:left="57" w:right="170"/>
              <w:jc w:val="right"/>
              <w:rPr>
                <w:rFonts w:cs="Segoe UI"/>
                <w:b/>
                <w:bCs/>
                <w:sz w:val="16"/>
                <w:szCs w:val="16"/>
              </w:rPr>
            </w:pPr>
            <w:r w:rsidRPr="002B31D8">
              <w:rPr>
                <w:rFonts w:cs="Segoe UI"/>
                <w:b/>
                <w:bCs/>
                <w:sz w:val="16"/>
                <w:szCs w:val="16"/>
              </w:rPr>
              <w:t>22,883</w:t>
            </w:r>
          </w:p>
        </w:tc>
      </w:tr>
      <w:tr w:rsidR="002B31D8" w:rsidRPr="002B31D8" w14:paraId="2DAA6608" w14:textId="77777777" w:rsidTr="002B31D8">
        <w:trPr>
          <w:trHeight w:val="344"/>
        </w:trPr>
        <w:tc>
          <w:tcPr>
            <w:tcW w:w="1274" w:type="dxa"/>
            <w:tcBorders>
              <w:top w:val="single" w:sz="4" w:space="0" w:color="A6A6A6" w:themeColor="background1" w:themeShade="A6"/>
              <w:left w:val="nil"/>
              <w:bottom w:val="single" w:sz="4" w:space="0" w:color="A6A6A6" w:themeColor="background1" w:themeShade="A6"/>
              <w:right w:val="nil"/>
            </w:tcBorders>
          </w:tcPr>
          <w:p w14:paraId="727D2909" w14:textId="7F3B5139" w:rsidR="002B31D8" w:rsidRPr="002B31D8" w:rsidRDefault="002B31D8" w:rsidP="002B31D8">
            <w:pPr>
              <w:pStyle w:val="TableText"/>
              <w:ind w:left="57" w:right="170"/>
              <w:jc w:val="right"/>
              <w:rPr>
                <w:rFonts w:cs="Segoe UI"/>
                <w:b/>
                <w:bCs/>
                <w:sz w:val="16"/>
                <w:szCs w:val="16"/>
              </w:rPr>
            </w:pPr>
            <w:r w:rsidRPr="002B31D8">
              <w:rPr>
                <w:rFonts w:cs="Segoe UI"/>
                <w:b/>
                <w:bCs/>
                <w:sz w:val="16"/>
                <w:szCs w:val="16"/>
              </w:rPr>
              <w:t>139,310</w:t>
            </w:r>
          </w:p>
        </w:tc>
        <w:tc>
          <w:tcPr>
            <w:tcW w:w="5387" w:type="dxa"/>
            <w:tcBorders>
              <w:top w:val="single" w:sz="4" w:space="0" w:color="A6A6A6" w:themeColor="background1" w:themeShade="A6"/>
              <w:left w:val="nil"/>
              <w:bottom w:val="single" w:sz="4" w:space="0" w:color="A6A6A6" w:themeColor="background1" w:themeShade="A6"/>
              <w:right w:val="nil"/>
            </w:tcBorders>
            <w:hideMark/>
          </w:tcPr>
          <w:p w14:paraId="469C3C39" w14:textId="77777777" w:rsidR="002B31D8" w:rsidRPr="002B31D8" w:rsidRDefault="002B31D8" w:rsidP="002B31D8">
            <w:pPr>
              <w:pStyle w:val="TableParagraph"/>
              <w:spacing w:before="60" w:after="60"/>
              <w:ind w:left="113"/>
              <w:rPr>
                <w:rFonts w:ascii="Segoe UI" w:hAnsi="Segoe UI" w:cs="Segoe UI"/>
                <w:b/>
                <w:bCs/>
                <w:w w:val="105"/>
                <w:sz w:val="16"/>
                <w:szCs w:val="16"/>
              </w:rPr>
            </w:pPr>
            <w:r w:rsidRPr="002B31D8">
              <w:rPr>
                <w:rFonts w:ascii="Segoe UI" w:hAnsi="Segoe UI" w:cs="Segoe UI"/>
                <w:b/>
                <w:bCs/>
                <w:w w:val="105"/>
                <w:sz w:val="16"/>
                <w:szCs w:val="16"/>
              </w:rPr>
              <w:t>Net cash flow from operating activities</w:t>
            </w:r>
          </w:p>
        </w:tc>
        <w:tc>
          <w:tcPr>
            <w:tcW w:w="1529" w:type="dxa"/>
            <w:tcBorders>
              <w:top w:val="single" w:sz="4" w:space="0" w:color="A6A6A6" w:themeColor="background1" w:themeShade="A6"/>
              <w:left w:val="nil"/>
              <w:bottom w:val="single" w:sz="4" w:space="0" w:color="A6A6A6" w:themeColor="background1" w:themeShade="A6"/>
              <w:right w:val="nil"/>
            </w:tcBorders>
          </w:tcPr>
          <w:p w14:paraId="72BF3D95" w14:textId="074149D8" w:rsidR="002B31D8" w:rsidRPr="002B31D8" w:rsidRDefault="002B31D8" w:rsidP="002B31D8">
            <w:pPr>
              <w:pStyle w:val="TableText"/>
              <w:ind w:left="57" w:right="170"/>
              <w:jc w:val="right"/>
              <w:rPr>
                <w:rFonts w:cs="Segoe UI"/>
                <w:b/>
                <w:bCs/>
                <w:sz w:val="16"/>
                <w:szCs w:val="16"/>
              </w:rPr>
            </w:pPr>
            <w:r w:rsidRPr="002B31D8">
              <w:rPr>
                <w:rFonts w:cs="Segoe UI"/>
                <w:b/>
                <w:bCs/>
                <w:sz w:val="16"/>
                <w:szCs w:val="16"/>
              </w:rPr>
              <w:t>38,670</w:t>
            </w:r>
          </w:p>
        </w:tc>
      </w:tr>
    </w:tbl>
    <w:p w14:paraId="6AA85D72" w14:textId="151BF15F" w:rsidR="002B31D8" w:rsidRDefault="002B31D8" w:rsidP="00CF0688">
      <w:pPr>
        <w:pStyle w:val="Note"/>
        <w:ind w:left="142" w:hanging="142"/>
      </w:pPr>
      <w:r w:rsidRPr="002B31D8">
        <w:t xml:space="preserve">* </w:t>
      </w:r>
      <w:r w:rsidR="00CF0688">
        <w:tab/>
      </w:r>
      <w:r w:rsidRPr="002B31D8">
        <w:t>Payables for capital expenditure have been excluded when calculating the increase/ decrease in the payables movement as they are relating to investing activities.</w:t>
      </w:r>
    </w:p>
    <w:p w14:paraId="0B089337" w14:textId="77777777" w:rsidR="00FE1495" w:rsidRDefault="00FE1495" w:rsidP="00FE1495">
      <w:pPr>
        <w:pStyle w:val="Note"/>
      </w:pPr>
      <w:r>
        <w:t>The accompanying notes form part of these financial statements.</w:t>
      </w:r>
    </w:p>
    <w:p w14:paraId="3753203D" w14:textId="77777777" w:rsidR="00FE1495" w:rsidRPr="00FE1495" w:rsidRDefault="00FE1495" w:rsidP="00FE1495"/>
    <w:p w14:paraId="55361CAE" w14:textId="77777777" w:rsidR="002D5D61" w:rsidRDefault="002D5D61" w:rsidP="002D5D61">
      <w:pPr>
        <w:rPr>
          <w:highlight w:val="yellow"/>
        </w:rPr>
      </w:pPr>
    </w:p>
    <w:p w14:paraId="7E914D7E" w14:textId="77777777" w:rsidR="002D5D61" w:rsidRDefault="002D5D61" w:rsidP="002D5D61">
      <w:pPr>
        <w:rPr>
          <w:highlight w:val="yellow"/>
        </w:rPr>
      </w:pPr>
    </w:p>
    <w:p w14:paraId="4AB6B395" w14:textId="77777777" w:rsidR="002D5D61" w:rsidRDefault="002D5D61" w:rsidP="002D5D61">
      <w:pPr>
        <w:rPr>
          <w:highlight w:val="yellow"/>
        </w:rPr>
        <w:sectPr w:rsidR="002D5D61" w:rsidSect="000A3324">
          <w:pgSz w:w="11907" w:h="16840" w:code="9"/>
          <w:pgMar w:top="1418" w:right="1701" w:bottom="1134" w:left="1843" w:header="284" w:footer="425" w:gutter="284"/>
          <w:cols w:space="720"/>
        </w:sectPr>
      </w:pPr>
    </w:p>
    <w:p w14:paraId="4F5D679F" w14:textId="77777777" w:rsidR="002D5D61" w:rsidRPr="00386646" w:rsidRDefault="002D5D61" w:rsidP="00386646">
      <w:pPr>
        <w:spacing w:after="180"/>
        <w:rPr>
          <w:b/>
          <w:bCs/>
          <w:color w:val="0A6AB4"/>
          <w:sz w:val="46"/>
          <w:szCs w:val="46"/>
        </w:rPr>
      </w:pPr>
      <w:r w:rsidRPr="00386646">
        <w:rPr>
          <w:b/>
          <w:bCs/>
          <w:color w:val="0A6AB4"/>
          <w:sz w:val="46"/>
          <w:szCs w:val="46"/>
        </w:rPr>
        <w:lastRenderedPageBreak/>
        <w:t>Statement of cash flows for the year ended 30 June 2024 (continued)</w:t>
      </w:r>
    </w:p>
    <w:p w14:paraId="531E6707" w14:textId="77777777" w:rsidR="002D5D61" w:rsidRDefault="002D5D61" w:rsidP="002D5D61">
      <w:r>
        <w:t>Reconciliation of net cash flow from financing activities:</w:t>
      </w:r>
    </w:p>
    <w:p w14:paraId="45DAE423" w14:textId="77777777" w:rsidR="002D5D61" w:rsidRDefault="002D5D61" w:rsidP="002D5D61"/>
    <w:tbl>
      <w:tblPr>
        <w:tblW w:w="8400" w:type="dxa"/>
        <w:tblLayout w:type="fixed"/>
        <w:tblCellMar>
          <w:left w:w="0" w:type="dxa"/>
          <w:right w:w="0" w:type="dxa"/>
        </w:tblCellMar>
        <w:tblLook w:val="01E0" w:firstRow="1" w:lastRow="1" w:firstColumn="1" w:lastColumn="1" w:noHBand="0" w:noVBand="0"/>
      </w:tblPr>
      <w:tblGrid>
        <w:gridCol w:w="1276"/>
        <w:gridCol w:w="5534"/>
        <w:gridCol w:w="1590"/>
      </w:tblGrid>
      <w:tr w:rsidR="002D5D61" w14:paraId="12804CC4" w14:textId="77777777" w:rsidTr="002D5D61">
        <w:trPr>
          <w:trHeight w:val="784"/>
        </w:trPr>
        <w:tc>
          <w:tcPr>
            <w:tcW w:w="1276" w:type="dxa"/>
            <w:shd w:val="clear" w:color="auto" w:fill="D9D9D9" w:themeFill="background1" w:themeFillShade="D9"/>
            <w:hideMark/>
          </w:tcPr>
          <w:p w14:paraId="7F57A81B" w14:textId="77777777" w:rsidR="002D5D61" w:rsidRDefault="002D5D61">
            <w:pPr>
              <w:pStyle w:val="TableParagraph"/>
              <w:spacing w:before="60" w:after="60"/>
              <w:ind w:left="57" w:right="170"/>
              <w:jc w:val="right"/>
              <w:rPr>
                <w:rFonts w:ascii="Segoe UI" w:hAnsi="Segoe UI" w:cs="Segoe UI"/>
                <w:b/>
                <w:bCs/>
                <w:sz w:val="16"/>
                <w:szCs w:val="16"/>
              </w:rPr>
            </w:pPr>
            <w:r>
              <w:rPr>
                <w:rFonts w:ascii="Segoe UI" w:hAnsi="Segoe UI" w:cs="Segoe UI"/>
                <w:b/>
                <w:bCs/>
                <w:sz w:val="16"/>
                <w:szCs w:val="16"/>
              </w:rPr>
              <w:t xml:space="preserve">Actual </w:t>
            </w:r>
          </w:p>
          <w:p w14:paraId="60D920D2" w14:textId="50CD2BD3" w:rsidR="002D5D61" w:rsidRDefault="002D5D61">
            <w:pPr>
              <w:pStyle w:val="TableParagraph"/>
              <w:spacing w:before="60" w:after="60"/>
              <w:ind w:left="57" w:right="170"/>
              <w:jc w:val="right"/>
              <w:rPr>
                <w:rFonts w:ascii="Segoe UI" w:hAnsi="Segoe UI" w:cs="Segoe UI"/>
                <w:b/>
                <w:bCs/>
                <w:sz w:val="16"/>
                <w:szCs w:val="16"/>
              </w:rPr>
            </w:pPr>
            <w:r>
              <w:rPr>
                <w:rFonts w:ascii="Segoe UI" w:hAnsi="Segoe UI" w:cs="Segoe UI"/>
                <w:b/>
                <w:bCs/>
                <w:sz w:val="16"/>
                <w:szCs w:val="16"/>
              </w:rPr>
              <w:t>2023</w:t>
            </w:r>
          </w:p>
          <w:p w14:paraId="04CD12CD" w14:textId="77777777" w:rsidR="002D5D61" w:rsidRDefault="002D5D61">
            <w:pPr>
              <w:pStyle w:val="TableParagraph"/>
              <w:spacing w:before="60" w:after="60"/>
              <w:ind w:left="57" w:right="170"/>
              <w:jc w:val="right"/>
              <w:rPr>
                <w:rFonts w:ascii="Segoe UI" w:hAnsi="Segoe UI" w:cs="Segoe UI"/>
                <w:b/>
                <w:bCs/>
                <w:sz w:val="16"/>
                <w:szCs w:val="16"/>
              </w:rPr>
            </w:pPr>
            <w:r>
              <w:rPr>
                <w:rFonts w:ascii="Segoe UI" w:hAnsi="Segoe UI" w:cs="Segoe UI"/>
                <w:b/>
                <w:bCs/>
                <w:sz w:val="16"/>
                <w:szCs w:val="16"/>
              </w:rPr>
              <w:t>$000</w:t>
            </w:r>
          </w:p>
        </w:tc>
        <w:tc>
          <w:tcPr>
            <w:tcW w:w="5534" w:type="dxa"/>
            <w:shd w:val="clear" w:color="auto" w:fill="D9D9D9" w:themeFill="background1" w:themeFillShade="D9"/>
          </w:tcPr>
          <w:p w14:paraId="4A56F546" w14:textId="77777777" w:rsidR="002D5D61" w:rsidRDefault="002D5D61">
            <w:pPr>
              <w:pStyle w:val="TableParagraph"/>
              <w:rPr>
                <w:rFonts w:ascii="Times New Roman"/>
                <w:b/>
                <w:bCs/>
                <w:sz w:val="18"/>
              </w:rPr>
            </w:pPr>
          </w:p>
        </w:tc>
        <w:tc>
          <w:tcPr>
            <w:tcW w:w="1590" w:type="dxa"/>
            <w:shd w:val="clear" w:color="auto" w:fill="D9D9D9" w:themeFill="background1" w:themeFillShade="D9"/>
            <w:hideMark/>
          </w:tcPr>
          <w:p w14:paraId="050C5E1E" w14:textId="77777777" w:rsidR="002D5D61" w:rsidRDefault="002D5D61">
            <w:pPr>
              <w:pStyle w:val="TableParagraph"/>
              <w:spacing w:before="60" w:after="60"/>
              <w:ind w:right="152"/>
              <w:jc w:val="right"/>
              <w:rPr>
                <w:rFonts w:ascii="Segoe UI" w:hAnsi="Segoe UI" w:cs="Segoe UI"/>
                <w:b/>
                <w:bCs/>
                <w:w w:val="110"/>
                <w:sz w:val="16"/>
                <w:szCs w:val="16"/>
              </w:rPr>
            </w:pPr>
            <w:r>
              <w:rPr>
                <w:rFonts w:ascii="Segoe UI" w:hAnsi="Segoe UI" w:cs="Segoe UI"/>
                <w:b/>
                <w:bCs/>
                <w:w w:val="110"/>
                <w:sz w:val="16"/>
                <w:szCs w:val="16"/>
              </w:rPr>
              <w:t xml:space="preserve">Actual </w:t>
            </w:r>
          </w:p>
          <w:p w14:paraId="468356A7" w14:textId="143A7F72" w:rsidR="002D5D61" w:rsidRDefault="002D5D61">
            <w:pPr>
              <w:pStyle w:val="TableParagraph"/>
              <w:spacing w:before="60" w:after="60"/>
              <w:ind w:right="152"/>
              <w:jc w:val="right"/>
              <w:rPr>
                <w:rFonts w:ascii="Segoe UI" w:hAnsi="Segoe UI" w:cs="Segoe UI"/>
                <w:b/>
                <w:bCs/>
                <w:w w:val="110"/>
                <w:sz w:val="16"/>
                <w:szCs w:val="16"/>
              </w:rPr>
            </w:pPr>
            <w:r>
              <w:rPr>
                <w:rFonts w:ascii="Segoe UI" w:hAnsi="Segoe UI" w:cs="Segoe UI"/>
                <w:b/>
                <w:bCs/>
                <w:w w:val="110"/>
                <w:sz w:val="16"/>
                <w:szCs w:val="16"/>
              </w:rPr>
              <w:t>2024</w:t>
            </w:r>
          </w:p>
          <w:p w14:paraId="37A00F86" w14:textId="77777777" w:rsidR="002D5D61" w:rsidRDefault="002D5D61">
            <w:pPr>
              <w:pStyle w:val="TableParagraph"/>
              <w:spacing w:before="60" w:after="60"/>
              <w:ind w:right="152"/>
              <w:jc w:val="right"/>
              <w:rPr>
                <w:rFonts w:ascii="Segoe UI" w:hAnsi="Segoe UI" w:cs="Segoe UI"/>
                <w:b/>
                <w:bCs/>
                <w:w w:val="110"/>
                <w:sz w:val="16"/>
                <w:szCs w:val="16"/>
              </w:rPr>
            </w:pPr>
            <w:r>
              <w:rPr>
                <w:rFonts w:ascii="Segoe UI" w:hAnsi="Segoe UI" w:cs="Segoe UI"/>
                <w:b/>
                <w:bCs/>
                <w:w w:val="110"/>
                <w:sz w:val="16"/>
                <w:szCs w:val="16"/>
              </w:rPr>
              <w:t>$000</w:t>
            </w:r>
          </w:p>
        </w:tc>
      </w:tr>
      <w:tr w:rsidR="002D5D61" w:rsidRPr="00CF0688" w14:paraId="21776612" w14:textId="77777777" w:rsidTr="002D5D61">
        <w:trPr>
          <w:trHeight w:val="354"/>
        </w:trPr>
        <w:tc>
          <w:tcPr>
            <w:tcW w:w="1276" w:type="dxa"/>
          </w:tcPr>
          <w:p w14:paraId="5F0DC0CF" w14:textId="77777777" w:rsidR="002D5D61" w:rsidRPr="00CF0688" w:rsidRDefault="002D5D61">
            <w:pPr>
              <w:pStyle w:val="TableParagraph"/>
              <w:spacing w:before="60" w:after="60"/>
              <w:ind w:left="57" w:right="170"/>
              <w:jc w:val="right"/>
              <w:rPr>
                <w:rFonts w:ascii="Segoe UI" w:hAnsi="Segoe UI" w:cs="Segoe UI"/>
                <w:b/>
                <w:bCs/>
                <w:sz w:val="16"/>
                <w:szCs w:val="16"/>
              </w:rPr>
            </w:pPr>
          </w:p>
        </w:tc>
        <w:tc>
          <w:tcPr>
            <w:tcW w:w="5534" w:type="dxa"/>
            <w:hideMark/>
          </w:tcPr>
          <w:p w14:paraId="2DAABB96" w14:textId="77777777" w:rsidR="002D5D61" w:rsidRPr="00CF0688" w:rsidRDefault="002D5D61">
            <w:pPr>
              <w:pStyle w:val="TableParagraph"/>
              <w:spacing w:before="60" w:after="60"/>
              <w:ind w:left="113"/>
              <w:rPr>
                <w:rFonts w:ascii="Segoe UI" w:hAnsi="Segoe UI" w:cs="Segoe UI"/>
                <w:b/>
                <w:bCs/>
                <w:w w:val="105"/>
                <w:sz w:val="16"/>
                <w:szCs w:val="16"/>
              </w:rPr>
            </w:pPr>
            <w:r w:rsidRPr="00CF0688">
              <w:rPr>
                <w:rFonts w:ascii="Segoe UI" w:hAnsi="Segoe UI" w:cs="Segoe UI"/>
                <w:b/>
                <w:bCs/>
                <w:w w:val="105"/>
                <w:sz w:val="16"/>
                <w:szCs w:val="16"/>
              </w:rPr>
              <w:t>Movement in liability arising from financing activities</w:t>
            </w:r>
          </w:p>
        </w:tc>
        <w:tc>
          <w:tcPr>
            <w:tcW w:w="1590" w:type="dxa"/>
          </w:tcPr>
          <w:p w14:paraId="09EB4309" w14:textId="77777777" w:rsidR="002D5D61" w:rsidRPr="00CF0688" w:rsidRDefault="002D5D61">
            <w:pPr>
              <w:pStyle w:val="TableParagraph"/>
              <w:spacing w:before="60" w:after="60"/>
              <w:ind w:right="152"/>
              <w:jc w:val="right"/>
              <w:rPr>
                <w:rFonts w:ascii="Segoe UI" w:hAnsi="Segoe UI" w:cs="Segoe UI"/>
                <w:b/>
                <w:bCs/>
                <w:w w:val="110"/>
                <w:sz w:val="16"/>
                <w:szCs w:val="16"/>
              </w:rPr>
            </w:pPr>
          </w:p>
        </w:tc>
      </w:tr>
      <w:tr w:rsidR="002D5D61" w14:paraId="08C8AB13" w14:textId="77777777" w:rsidTr="002D5D61">
        <w:trPr>
          <w:trHeight w:val="348"/>
        </w:trPr>
        <w:tc>
          <w:tcPr>
            <w:tcW w:w="1276" w:type="dxa"/>
            <w:tcBorders>
              <w:top w:val="nil"/>
              <w:left w:val="nil"/>
              <w:bottom w:val="single" w:sz="4" w:space="0" w:color="A6A6A6" w:themeColor="background1" w:themeShade="A6"/>
              <w:right w:val="nil"/>
            </w:tcBorders>
          </w:tcPr>
          <w:p w14:paraId="7C93840C" w14:textId="18054DD8" w:rsidR="002D5D61" w:rsidRDefault="002D5D61" w:rsidP="002D5D61">
            <w:pPr>
              <w:pStyle w:val="TableText"/>
              <w:ind w:left="57" w:right="170"/>
              <w:jc w:val="right"/>
              <w:rPr>
                <w:rFonts w:cs="Segoe UI"/>
                <w:sz w:val="16"/>
                <w:szCs w:val="16"/>
              </w:rPr>
            </w:pPr>
            <w:r w:rsidRPr="002D5D61">
              <w:rPr>
                <w:rFonts w:cs="Segoe UI"/>
                <w:sz w:val="16"/>
                <w:szCs w:val="16"/>
              </w:rPr>
              <w:t>(108,460)</w:t>
            </w:r>
          </w:p>
        </w:tc>
        <w:tc>
          <w:tcPr>
            <w:tcW w:w="5534" w:type="dxa"/>
            <w:tcBorders>
              <w:top w:val="nil"/>
              <w:left w:val="nil"/>
              <w:bottom w:val="single" w:sz="4" w:space="0" w:color="A6A6A6" w:themeColor="background1" w:themeShade="A6"/>
              <w:right w:val="nil"/>
            </w:tcBorders>
            <w:hideMark/>
          </w:tcPr>
          <w:p w14:paraId="423DB373" w14:textId="77777777" w:rsidR="002D5D61" w:rsidRDefault="002D5D61" w:rsidP="002D5D61">
            <w:pPr>
              <w:pStyle w:val="TableParagraph"/>
              <w:spacing w:before="60" w:after="60"/>
              <w:ind w:left="113"/>
              <w:rPr>
                <w:rFonts w:ascii="Segoe UI" w:hAnsi="Segoe UI" w:cs="Segoe UI"/>
                <w:w w:val="105"/>
                <w:sz w:val="16"/>
                <w:szCs w:val="16"/>
              </w:rPr>
            </w:pPr>
            <w:r>
              <w:rPr>
                <w:rFonts w:ascii="Segoe UI" w:hAnsi="Segoe UI" w:cs="Segoe UI"/>
                <w:w w:val="105"/>
                <w:sz w:val="16"/>
                <w:szCs w:val="16"/>
              </w:rPr>
              <w:t>Increase/(decrease) in return of operating surplus liability</w:t>
            </w:r>
          </w:p>
        </w:tc>
        <w:tc>
          <w:tcPr>
            <w:tcW w:w="1590" w:type="dxa"/>
            <w:tcBorders>
              <w:top w:val="nil"/>
              <w:left w:val="nil"/>
              <w:bottom w:val="single" w:sz="4" w:space="0" w:color="A6A6A6" w:themeColor="background1" w:themeShade="A6"/>
              <w:right w:val="nil"/>
            </w:tcBorders>
          </w:tcPr>
          <w:p w14:paraId="541A1C9E" w14:textId="325DBDD5" w:rsidR="002D5D61" w:rsidRPr="002D5D61" w:rsidRDefault="002D5D61" w:rsidP="002D5D61">
            <w:pPr>
              <w:pStyle w:val="TableText"/>
              <w:ind w:left="57" w:right="170"/>
              <w:jc w:val="right"/>
              <w:rPr>
                <w:rFonts w:cs="Segoe UI"/>
                <w:sz w:val="16"/>
                <w:szCs w:val="16"/>
              </w:rPr>
            </w:pPr>
            <w:r w:rsidRPr="002D5D61">
              <w:rPr>
                <w:rFonts w:cs="Segoe UI"/>
                <w:sz w:val="16"/>
                <w:szCs w:val="16"/>
              </w:rPr>
              <w:t>(18,786)</w:t>
            </w:r>
          </w:p>
        </w:tc>
      </w:tr>
      <w:tr w:rsidR="002D5D61" w:rsidRPr="00CF0688" w14:paraId="77F07B46" w14:textId="77777777" w:rsidTr="002D5D61">
        <w:trPr>
          <w:trHeight w:val="344"/>
        </w:trPr>
        <w:tc>
          <w:tcPr>
            <w:tcW w:w="1276" w:type="dxa"/>
            <w:tcBorders>
              <w:top w:val="single" w:sz="4" w:space="0" w:color="A6A6A6" w:themeColor="background1" w:themeShade="A6"/>
              <w:left w:val="nil"/>
              <w:bottom w:val="single" w:sz="4" w:space="0" w:color="A6A6A6" w:themeColor="background1" w:themeShade="A6"/>
              <w:right w:val="nil"/>
            </w:tcBorders>
          </w:tcPr>
          <w:p w14:paraId="1557AAEE" w14:textId="1E8804E1" w:rsidR="002D5D61" w:rsidRPr="00CF0688" w:rsidRDefault="002D5D61" w:rsidP="002D5D61">
            <w:pPr>
              <w:pStyle w:val="TableText"/>
              <w:ind w:left="57" w:right="170"/>
              <w:jc w:val="right"/>
              <w:rPr>
                <w:rFonts w:cs="Segoe UI"/>
                <w:b/>
                <w:bCs/>
                <w:sz w:val="16"/>
                <w:szCs w:val="16"/>
              </w:rPr>
            </w:pPr>
            <w:r w:rsidRPr="00CF0688">
              <w:rPr>
                <w:rFonts w:cs="Segoe UI"/>
                <w:b/>
                <w:bCs/>
                <w:sz w:val="16"/>
                <w:szCs w:val="16"/>
              </w:rPr>
              <w:t>(108,460)</w:t>
            </w:r>
          </w:p>
        </w:tc>
        <w:tc>
          <w:tcPr>
            <w:tcW w:w="5534" w:type="dxa"/>
            <w:tcBorders>
              <w:top w:val="single" w:sz="4" w:space="0" w:color="A6A6A6" w:themeColor="background1" w:themeShade="A6"/>
              <w:left w:val="nil"/>
              <w:bottom w:val="single" w:sz="4" w:space="0" w:color="A6A6A6" w:themeColor="background1" w:themeShade="A6"/>
              <w:right w:val="nil"/>
            </w:tcBorders>
            <w:hideMark/>
          </w:tcPr>
          <w:p w14:paraId="5F453AAF" w14:textId="77777777" w:rsidR="002D5D61" w:rsidRPr="00CF0688" w:rsidRDefault="002D5D61" w:rsidP="002D5D61">
            <w:pPr>
              <w:pStyle w:val="TableParagraph"/>
              <w:spacing w:before="60" w:after="60"/>
              <w:ind w:left="113"/>
              <w:rPr>
                <w:rFonts w:ascii="Segoe UI" w:hAnsi="Segoe UI" w:cs="Segoe UI"/>
                <w:b/>
                <w:bCs/>
                <w:w w:val="105"/>
                <w:sz w:val="16"/>
                <w:szCs w:val="16"/>
              </w:rPr>
            </w:pPr>
            <w:r w:rsidRPr="00CF0688">
              <w:rPr>
                <w:rFonts w:ascii="Segoe UI" w:hAnsi="Segoe UI" w:cs="Segoe UI"/>
                <w:b/>
                <w:bCs/>
                <w:w w:val="105"/>
                <w:sz w:val="16"/>
                <w:szCs w:val="16"/>
              </w:rPr>
              <w:t>Total movement in liability arising from financing activities</w:t>
            </w:r>
          </w:p>
        </w:tc>
        <w:tc>
          <w:tcPr>
            <w:tcW w:w="1590" w:type="dxa"/>
            <w:tcBorders>
              <w:top w:val="single" w:sz="4" w:space="0" w:color="A6A6A6" w:themeColor="background1" w:themeShade="A6"/>
              <w:left w:val="nil"/>
              <w:bottom w:val="single" w:sz="4" w:space="0" w:color="A6A6A6" w:themeColor="background1" w:themeShade="A6"/>
              <w:right w:val="nil"/>
            </w:tcBorders>
          </w:tcPr>
          <w:p w14:paraId="7DE93DB0" w14:textId="514873D6" w:rsidR="002D5D61" w:rsidRPr="00CF0688" w:rsidRDefault="002D5D61" w:rsidP="002D5D61">
            <w:pPr>
              <w:pStyle w:val="TableText"/>
              <w:ind w:left="57" w:right="170"/>
              <w:jc w:val="right"/>
              <w:rPr>
                <w:rFonts w:cs="Segoe UI"/>
                <w:b/>
                <w:bCs/>
                <w:sz w:val="16"/>
                <w:szCs w:val="16"/>
              </w:rPr>
            </w:pPr>
            <w:r w:rsidRPr="00CF0688">
              <w:rPr>
                <w:rFonts w:cs="Segoe UI"/>
                <w:b/>
                <w:bCs/>
                <w:sz w:val="16"/>
                <w:szCs w:val="16"/>
              </w:rPr>
              <w:t>(18,786)</w:t>
            </w:r>
          </w:p>
        </w:tc>
      </w:tr>
      <w:tr w:rsidR="002D5D61" w:rsidRPr="00CF0688" w14:paraId="14052846" w14:textId="77777777" w:rsidTr="002D5D61">
        <w:trPr>
          <w:trHeight w:val="354"/>
        </w:trPr>
        <w:tc>
          <w:tcPr>
            <w:tcW w:w="1276" w:type="dxa"/>
            <w:tcBorders>
              <w:top w:val="single" w:sz="4" w:space="0" w:color="A6A6A6" w:themeColor="background1" w:themeShade="A6"/>
              <w:left w:val="nil"/>
              <w:bottom w:val="nil"/>
              <w:right w:val="nil"/>
            </w:tcBorders>
          </w:tcPr>
          <w:p w14:paraId="5FB633D3" w14:textId="77777777" w:rsidR="002D5D61" w:rsidRPr="00CF0688" w:rsidRDefault="002D5D61" w:rsidP="002D5D61">
            <w:pPr>
              <w:pStyle w:val="TableText"/>
              <w:ind w:left="57" w:right="170"/>
              <w:jc w:val="right"/>
              <w:rPr>
                <w:rFonts w:cs="Segoe UI"/>
                <w:b/>
                <w:bCs/>
                <w:sz w:val="16"/>
                <w:szCs w:val="16"/>
              </w:rPr>
            </w:pPr>
          </w:p>
        </w:tc>
        <w:tc>
          <w:tcPr>
            <w:tcW w:w="5534" w:type="dxa"/>
            <w:tcBorders>
              <w:top w:val="single" w:sz="4" w:space="0" w:color="A6A6A6" w:themeColor="background1" w:themeShade="A6"/>
              <w:left w:val="nil"/>
              <w:bottom w:val="nil"/>
              <w:right w:val="nil"/>
            </w:tcBorders>
            <w:hideMark/>
          </w:tcPr>
          <w:p w14:paraId="6BEF082E" w14:textId="77777777" w:rsidR="002D5D61" w:rsidRPr="00CF0688" w:rsidRDefault="002D5D61" w:rsidP="002D5D61">
            <w:pPr>
              <w:pStyle w:val="TableParagraph"/>
              <w:spacing w:before="60" w:after="60"/>
              <w:ind w:left="113"/>
              <w:rPr>
                <w:rFonts w:ascii="Segoe UI" w:hAnsi="Segoe UI" w:cs="Segoe UI"/>
                <w:b/>
                <w:bCs/>
                <w:w w:val="105"/>
                <w:sz w:val="16"/>
                <w:szCs w:val="16"/>
              </w:rPr>
            </w:pPr>
            <w:r w:rsidRPr="00CF0688">
              <w:rPr>
                <w:rFonts w:ascii="Segoe UI" w:hAnsi="Segoe UI" w:cs="Segoe UI"/>
                <w:b/>
                <w:bCs/>
                <w:w w:val="105"/>
                <w:sz w:val="16"/>
                <w:szCs w:val="16"/>
              </w:rPr>
              <w:t>Non-cash item</w:t>
            </w:r>
          </w:p>
        </w:tc>
        <w:tc>
          <w:tcPr>
            <w:tcW w:w="1590" w:type="dxa"/>
            <w:tcBorders>
              <w:top w:val="single" w:sz="4" w:space="0" w:color="A6A6A6" w:themeColor="background1" w:themeShade="A6"/>
              <w:left w:val="nil"/>
              <w:bottom w:val="nil"/>
              <w:right w:val="nil"/>
            </w:tcBorders>
          </w:tcPr>
          <w:p w14:paraId="4C19C771" w14:textId="77777777" w:rsidR="002D5D61" w:rsidRPr="00CF0688" w:rsidRDefault="002D5D61" w:rsidP="002D5D61">
            <w:pPr>
              <w:pStyle w:val="TableText"/>
              <w:ind w:left="57" w:right="170"/>
              <w:jc w:val="right"/>
              <w:rPr>
                <w:rFonts w:cs="Segoe UI"/>
                <w:b/>
                <w:bCs/>
                <w:sz w:val="16"/>
                <w:szCs w:val="16"/>
              </w:rPr>
            </w:pPr>
          </w:p>
        </w:tc>
      </w:tr>
      <w:tr w:rsidR="002D5D61" w14:paraId="5CDF1C34" w14:textId="77777777" w:rsidTr="002D5D61">
        <w:trPr>
          <w:trHeight w:val="348"/>
        </w:trPr>
        <w:tc>
          <w:tcPr>
            <w:tcW w:w="1276" w:type="dxa"/>
            <w:tcBorders>
              <w:top w:val="nil"/>
              <w:left w:val="nil"/>
              <w:bottom w:val="single" w:sz="4" w:space="0" w:color="A6A6A6" w:themeColor="background1" w:themeShade="A6"/>
              <w:right w:val="nil"/>
            </w:tcBorders>
          </w:tcPr>
          <w:p w14:paraId="24E6C053" w14:textId="632FE20F" w:rsidR="002D5D61" w:rsidRDefault="002D5D61" w:rsidP="002D5D61">
            <w:pPr>
              <w:pStyle w:val="TableText"/>
              <w:ind w:left="57" w:right="170"/>
              <w:jc w:val="right"/>
              <w:rPr>
                <w:rFonts w:cs="Segoe UI"/>
                <w:sz w:val="16"/>
                <w:szCs w:val="16"/>
              </w:rPr>
            </w:pPr>
            <w:r w:rsidRPr="002D5D61">
              <w:rPr>
                <w:rFonts w:cs="Segoe UI"/>
                <w:sz w:val="16"/>
                <w:szCs w:val="16"/>
              </w:rPr>
              <w:t>(34,129)</w:t>
            </w:r>
          </w:p>
        </w:tc>
        <w:tc>
          <w:tcPr>
            <w:tcW w:w="5534" w:type="dxa"/>
            <w:tcBorders>
              <w:top w:val="nil"/>
              <w:left w:val="nil"/>
              <w:bottom w:val="single" w:sz="4" w:space="0" w:color="A6A6A6" w:themeColor="background1" w:themeShade="A6"/>
              <w:right w:val="nil"/>
            </w:tcBorders>
            <w:hideMark/>
          </w:tcPr>
          <w:p w14:paraId="436D0126" w14:textId="77777777" w:rsidR="002D5D61" w:rsidRDefault="002D5D61" w:rsidP="002D5D61">
            <w:pPr>
              <w:pStyle w:val="TableParagraph"/>
              <w:spacing w:before="60" w:after="60"/>
              <w:ind w:left="113"/>
              <w:rPr>
                <w:rFonts w:ascii="Segoe UI" w:hAnsi="Segoe UI" w:cs="Segoe UI"/>
                <w:w w:val="105"/>
                <w:sz w:val="16"/>
                <w:szCs w:val="16"/>
              </w:rPr>
            </w:pPr>
            <w:r>
              <w:rPr>
                <w:rFonts w:ascii="Segoe UI" w:hAnsi="Segoe UI" w:cs="Segoe UI"/>
                <w:w w:val="105"/>
                <w:sz w:val="16"/>
                <w:szCs w:val="16"/>
              </w:rPr>
              <w:t>Operating surplus to be paid to the Crown in 2023/24</w:t>
            </w:r>
          </w:p>
        </w:tc>
        <w:tc>
          <w:tcPr>
            <w:tcW w:w="1590" w:type="dxa"/>
            <w:tcBorders>
              <w:top w:val="nil"/>
              <w:left w:val="nil"/>
              <w:bottom w:val="single" w:sz="4" w:space="0" w:color="A6A6A6" w:themeColor="background1" w:themeShade="A6"/>
              <w:right w:val="nil"/>
            </w:tcBorders>
          </w:tcPr>
          <w:p w14:paraId="47D1F635" w14:textId="6390C250" w:rsidR="002D5D61" w:rsidRPr="002D5D61" w:rsidRDefault="002D5D61" w:rsidP="002D5D61">
            <w:pPr>
              <w:pStyle w:val="TableText"/>
              <w:ind w:left="57" w:right="170"/>
              <w:jc w:val="right"/>
              <w:rPr>
                <w:rFonts w:cs="Segoe UI"/>
                <w:sz w:val="16"/>
                <w:szCs w:val="16"/>
              </w:rPr>
            </w:pPr>
            <w:r w:rsidRPr="002D5D61">
              <w:rPr>
                <w:rFonts w:cs="Segoe UI"/>
                <w:sz w:val="16"/>
                <w:szCs w:val="16"/>
              </w:rPr>
              <w:t>(15,343)</w:t>
            </w:r>
          </w:p>
        </w:tc>
      </w:tr>
      <w:tr w:rsidR="002D5D61" w:rsidRPr="00CF0688" w14:paraId="36FFAFB2" w14:textId="77777777" w:rsidTr="002D5D61">
        <w:trPr>
          <w:trHeight w:val="344"/>
        </w:trPr>
        <w:tc>
          <w:tcPr>
            <w:tcW w:w="1276" w:type="dxa"/>
            <w:tcBorders>
              <w:top w:val="single" w:sz="4" w:space="0" w:color="A6A6A6" w:themeColor="background1" w:themeShade="A6"/>
              <w:left w:val="nil"/>
              <w:bottom w:val="single" w:sz="4" w:space="0" w:color="A6A6A6" w:themeColor="background1" w:themeShade="A6"/>
              <w:right w:val="nil"/>
            </w:tcBorders>
          </w:tcPr>
          <w:p w14:paraId="7649E5A2" w14:textId="3F004DBD" w:rsidR="002D5D61" w:rsidRPr="00CF0688" w:rsidRDefault="002D5D61" w:rsidP="002D5D61">
            <w:pPr>
              <w:pStyle w:val="TableText"/>
              <w:ind w:left="57" w:right="170"/>
              <w:jc w:val="right"/>
              <w:rPr>
                <w:rFonts w:cs="Segoe UI"/>
                <w:b/>
                <w:bCs/>
                <w:sz w:val="16"/>
                <w:szCs w:val="16"/>
              </w:rPr>
            </w:pPr>
            <w:r w:rsidRPr="00CF0688">
              <w:rPr>
                <w:rFonts w:cs="Segoe UI"/>
                <w:b/>
                <w:bCs/>
                <w:sz w:val="16"/>
                <w:szCs w:val="16"/>
              </w:rPr>
              <w:t>(34,129)</w:t>
            </w:r>
          </w:p>
        </w:tc>
        <w:tc>
          <w:tcPr>
            <w:tcW w:w="5534" w:type="dxa"/>
            <w:tcBorders>
              <w:top w:val="single" w:sz="4" w:space="0" w:color="A6A6A6" w:themeColor="background1" w:themeShade="A6"/>
              <w:left w:val="nil"/>
              <w:bottom w:val="single" w:sz="4" w:space="0" w:color="A6A6A6" w:themeColor="background1" w:themeShade="A6"/>
              <w:right w:val="nil"/>
            </w:tcBorders>
            <w:hideMark/>
          </w:tcPr>
          <w:p w14:paraId="0BFB6387" w14:textId="77777777" w:rsidR="002D5D61" w:rsidRPr="00CF0688" w:rsidRDefault="002D5D61" w:rsidP="002D5D61">
            <w:pPr>
              <w:pStyle w:val="TableParagraph"/>
              <w:spacing w:before="60" w:after="60"/>
              <w:ind w:left="113"/>
              <w:rPr>
                <w:rFonts w:ascii="Segoe UI" w:hAnsi="Segoe UI" w:cs="Segoe UI"/>
                <w:b/>
                <w:bCs/>
                <w:w w:val="105"/>
                <w:sz w:val="16"/>
                <w:szCs w:val="16"/>
              </w:rPr>
            </w:pPr>
            <w:r w:rsidRPr="00CF0688">
              <w:rPr>
                <w:rFonts w:ascii="Segoe UI" w:hAnsi="Segoe UI" w:cs="Segoe UI"/>
                <w:b/>
                <w:bCs/>
                <w:w w:val="105"/>
                <w:sz w:val="16"/>
                <w:szCs w:val="16"/>
              </w:rPr>
              <w:t>Total non-cash item</w:t>
            </w:r>
          </w:p>
        </w:tc>
        <w:tc>
          <w:tcPr>
            <w:tcW w:w="1590" w:type="dxa"/>
            <w:tcBorders>
              <w:top w:val="single" w:sz="4" w:space="0" w:color="A6A6A6" w:themeColor="background1" w:themeShade="A6"/>
              <w:left w:val="nil"/>
              <w:bottom w:val="single" w:sz="4" w:space="0" w:color="A6A6A6" w:themeColor="background1" w:themeShade="A6"/>
              <w:right w:val="nil"/>
            </w:tcBorders>
          </w:tcPr>
          <w:p w14:paraId="4625E645" w14:textId="437B74A4" w:rsidR="002D5D61" w:rsidRPr="00CF0688" w:rsidRDefault="002D5D61" w:rsidP="002D5D61">
            <w:pPr>
              <w:pStyle w:val="TableText"/>
              <w:ind w:left="57" w:right="170"/>
              <w:jc w:val="right"/>
              <w:rPr>
                <w:rFonts w:cs="Segoe UI"/>
                <w:b/>
                <w:bCs/>
                <w:sz w:val="16"/>
                <w:szCs w:val="16"/>
              </w:rPr>
            </w:pPr>
            <w:r w:rsidRPr="00CF0688">
              <w:rPr>
                <w:rFonts w:cs="Segoe UI"/>
                <w:b/>
                <w:bCs/>
                <w:sz w:val="16"/>
                <w:szCs w:val="16"/>
              </w:rPr>
              <w:t>(15,343)</w:t>
            </w:r>
          </w:p>
        </w:tc>
      </w:tr>
      <w:tr w:rsidR="002D5D61" w:rsidRPr="00CF0688" w14:paraId="3C63BA33" w14:textId="77777777" w:rsidTr="002D5D61">
        <w:trPr>
          <w:trHeight w:val="354"/>
        </w:trPr>
        <w:tc>
          <w:tcPr>
            <w:tcW w:w="1276" w:type="dxa"/>
            <w:tcBorders>
              <w:top w:val="single" w:sz="4" w:space="0" w:color="A6A6A6" w:themeColor="background1" w:themeShade="A6"/>
              <w:left w:val="nil"/>
              <w:bottom w:val="nil"/>
              <w:right w:val="nil"/>
            </w:tcBorders>
          </w:tcPr>
          <w:p w14:paraId="0A041636" w14:textId="77777777" w:rsidR="002D5D61" w:rsidRPr="00CF0688" w:rsidRDefault="002D5D61" w:rsidP="002D5D61">
            <w:pPr>
              <w:pStyle w:val="TableText"/>
              <w:ind w:left="57" w:right="170"/>
              <w:jc w:val="right"/>
              <w:rPr>
                <w:rFonts w:cs="Segoe UI"/>
                <w:b/>
                <w:bCs/>
                <w:sz w:val="16"/>
                <w:szCs w:val="16"/>
              </w:rPr>
            </w:pPr>
          </w:p>
        </w:tc>
        <w:tc>
          <w:tcPr>
            <w:tcW w:w="5534" w:type="dxa"/>
            <w:tcBorders>
              <w:top w:val="single" w:sz="4" w:space="0" w:color="A6A6A6" w:themeColor="background1" w:themeShade="A6"/>
              <w:left w:val="nil"/>
              <w:bottom w:val="nil"/>
              <w:right w:val="nil"/>
            </w:tcBorders>
            <w:hideMark/>
          </w:tcPr>
          <w:p w14:paraId="59D4C139" w14:textId="77777777" w:rsidR="002D5D61" w:rsidRPr="00CF0688" w:rsidRDefault="002D5D61" w:rsidP="002D5D61">
            <w:pPr>
              <w:pStyle w:val="TableParagraph"/>
              <w:spacing w:before="60" w:after="60"/>
              <w:ind w:left="113"/>
              <w:rPr>
                <w:rFonts w:ascii="Segoe UI" w:hAnsi="Segoe UI" w:cs="Segoe UI"/>
                <w:b/>
                <w:bCs/>
                <w:w w:val="105"/>
                <w:sz w:val="16"/>
                <w:szCs w:val="16"/>
              </w:rPr>
            </w:pPr>
            <w:r w:rsidRPr="00CF0688">
              <w:rPr>
                <w:rFonts w:ascii="Segoe UI" w:hAnsi="Segoe UI" w:cs="Segoe UI"/>
                <w:b/>
                <w:bCs/>
                <w:w w:val="105"/>
                <w:sz w:val="16"/>
                <w:szCs w:val="16"/>
              </w:rPr>
              <w:t>Add/(less) owner’s contribution and withdrawal</w:t>
            </w:r>
          </w:p>
        </w:tc>
        <w:tc>
          <w:tcPr>
            <w:tcW w:w="1590" w:type="dxa"/>
            <w:tcBorders>
              <w:top w:val="single" w:sz="4" w:space="0" w:color="A6A6A6" w:themeColor="background1" w:themeShade="A6"/>
              <w:left w:val="nil"/>
              <w:bottom w:val="nil"/>
              <w:right w:val="nil"/>
            </w:tcBorders>
          </w:tcPr>
          <w:p w14:paraId="52059CF8" w14:textId="77777777" w:rsidR="002D5D61" w:rsidRPr="00CF0688" w:rsidRDefault="002D5D61" w:rsidP="002D5D61">
            <w:pPr>
              <w:pStyle w:val="TableText"/>
              <w:ind w:left="57" w:right="170"/>
              <w:jc w:val="right"/>
              <w:rPr>
                <w:rFonts w:cs="Segoe UI"/>
                <w:b/>
                <w:bCs/>
                <w:sz w:val="16"/>
                <w:szCs w:val="16"/>
              </w:rPr>
            </w:pPr>
          </w:p>
        </w:tc>
      </w:tr>
      <w:tr w:rsidR="002D5D61" w14:paraId="184555CD" w14:textId="77777777" w:rsidTr="002D5D61">
        <w:trPr>
          <w:trHeight w:val="348"/>
        </w:trPr>
        <w:tc>
          <w:tcPr>
            <w:tcW w:w="1276" w:type="dxa"/>
            <w:tcBorders>
              <w:top w:val="nil"/>
              <w:left w:val="nil"/>
              <w:bottom w:val="single" w:sz="4" w:space="0" w:color="A6A6A6" w:themeColor="background1" w:themeShade="A6"/>
              <w:right w:val="nil"/>
            </w:tcBorders>
          </w:tcPr>
          <w:p w14:paraId="7D052772" w14:textId="09B321E8" w:rsidR="002D5D61" w:rsidRDefault="002D5D61" w:rsidP="002D5D61">
            <w:pPr>
              <w:pStyle w:val="TableText"/>
              <w:ind w:left="57" w:right="170"/>
              <w:jc w:val="right"/>
              <w:rPr>
                <w:rFonts w:cs="Segoe UI"/>
                <w:sz w:val="16"/>
                <w:szCs w:val="16"/>
              </w:rPr>
            </w:pPr>
            <w:r w:rsidRPr="002D5D61">
              <w:rPr>
                <w:rFonts w:cs="Segoe UI"/>
                <w:sz w:val="16"/>
                <w:szCs w:val="16"/>
              </w:rPr>
              <w:t>(3,473)</w:t>
            </w:r>
          </w:p>
        </w:tc>
        <w:tc>
          <w:tcPr>
            <w:tcW w:w="5534" w:type="dxa"/>
            <w:tcBorders>
              <w:top w:val="nil"/>
              <w:left w:val="nil"/>
              <w:bottom w:val="single" w:sz="4" w:space="0" w:color="A6A6A6" w:themeColor="background1" w:themeShade="A6"/>
              <w:right w:val="nil"/>
            </w:tcBorders>
            <w:hideMark/>
          </w:tcPr>
          <w:p w14:paraId="49C73BD2" w14:textId="77777777" w:rsidR="002D5D61" w:rsidRDefault="002D5D61" w:rsidP="002D5D61">
            <w:pPr>
              <w:pStyle w:val="TableParagraph"/>
              <w:spacing w:before="60" w:after="60"/>
              <w:ind w:left="113"/>
              <w:rPr>
                <w:rFonts w:ascii="Segoe UI" w:hAnsi="Segoe UI" w:cs="Segoe UI"/>
                <w:w w:val="105"/>
                <w:sz w:val="16"/>
                <w:szCs w:val="16"/>
              </w:rPr>
            </w:pPr>
            <w:r>
              <w:rPr>
                <w:rFonts w:ascii="Segoe UI" w:hAnsi="Segoe UI" w:cs="Segoe UI"/>
                <w:w w:val="105"/>
                <w:sz w:val="16"/>
                <w:szCs w:val="16"/>
              </w:rPr>
              <w:t>Capital withdrawal</w:t>
            </w:r>
          </w:p>
        </w:tc>
        <w:tc>
          <w:tcPr>
            <w:tcW w:w="1590" w:type="dxa"/>
            <w:tcBorders>
              <w:top w:val="nil"/>
              <w:left w:val="nil"/>
              <w:bottom w:val="single" w:sz="4" w:space="0" w:color="A6A6A6" w:themeColor="background1" w:themeShade="A6"/>
              <w:right w:val="nil"/>
            </w:tcBorders>
          </w:tcPr>
          <w:p w14:paraId="7B4EC76B" w14:textId="7236A1E6" w:rsidR="002D5D61" w:rsidRPr="002D5D61" w:rsidRDefault="002D5D61" w:rsidP="002D5D61">
            <w:pPr>
              <w:pStyle w:val="TableText"/>
              <w:ind w:left="57" w:right="170"/>
              <w:jc w:val="right"/>
              <w:rPr>
                <w:rFonts w:cs="Segoe UI"/>
                <w:sz w:val="16"/>
                <w:szCs w:val="16"/>
              </w:rPr>
            </w:pPr>
            <w:r w:rsidRPr="002D5D61">
              <w:rPr>
                <w:rFonts w:cs="Segoe UI"/>
                <w:sz w:val="16"/>
                <w:szCs w:val="16"/>
              </w:rPr>
              <w:t>(400)</w:t>
            </w:r>
          </w:p>
        </w:tc>
      </w:tr>
      <w:tr w:rsidR="002D5D61" w:rsidRPr="00CF0688" w14:paraId="48AD911A" w14:textId="77777777" w:rsidTr="002D5D61">
        <w:trPr>
          <w:trHeight w:val="344"/>
        </w:trPr>
        <w:tc>
          <w:tcPr>
            <w:tcW w:w="1276" w:type="dxa"/>
            <w:tcBorders>
              <w:top w:val="single" w:sz="4" w:space="0" w:color="A6A6A6" w:themeColor="background1" w:themeShade="A6"/>
              <w:left w:val="nil"/>
              <w:bottom w:val="single" w:sz="4" w:space="0" w:color="A6A6A6" w:themeColor="background1" w:themeShade="A6"/>
              <w:right w:val="nil"/>
            </w:tcBorders>
          </w:tcPr>
          <w:p w14:paraId="36F94BC0" w14:textId="38287761" w:rsidR="002D5D61" w:rsidRPr="00CF0688" w:rsidRDefault="002D5D61" w:rsidP="002D5D61">
            <w:pPr>
              <w:pStyle w:val="TableText"/>
              <w:ind w:left="57" w:right="170"/>
              <w:jc w:val="right"/>
              <w:rPr>
                <w:rFonts w:cs="Segoe UI"/>
                <w:b/>
                <w:bCs/>
                <w:sz w:val="16"/>
                <w:szCs w:val="16"/>
              </w:rPr>
            </w:pPr>
            <w:r w:rsidRPr="00CF0688">
              <w:rPr>
                <w:rFonts w:cs="Segoe UI"/>
                <w:b/>
                <w:bCs/>
                <w:sz w:val="16"/>
                <w:szCs w:val="16"/>
              </w:rPr>
              <w:t>(3,473)</w:t>
            </w:r>
          </w:p>
        </w:tc>
        <w:tc>
          <w:tcPr>
            <w:tcW w:w="5534" w:type="dxa"/>
            <w:tcBorders>
              <w:top w:val="single" w:sz="4" w:space="0" w:color="A6A6A6" w:themeColor="background1" w:themeShade="A6"/>
              <w:left w:val="nil"/>
              <w:bottom w:val="single" w:sz="4" w:space="0" w:color="A6A6A6" w:themeColor="background1" w:themeShade="A6"/>
              <w:right w:val="nil"/>
            </w:tcBorders>
            <w:hideMark/>
          </w:tcPr>
          <w:p w14:paraId="14DBDA05" w14:textId="77777777" w:rsidR="002D5D61" w:rsidRPr="00CF0688" w:rsidRDefault="002D5D61" w:rsidP="002D5D61">
            <w:pPr>
              <w:pStyle w:val="TableParagraph"/>
              <w:spacing w:before="60" w:after="60"/>
              <w:ind w:left="113"/>
              <w:rPr>
                <w:rFonts w:ascii="Segoe UI" w:hAnsi="Segoe UI" w:cs="Segoe UI"/>
                <w:b/>
                <w:bCs/>
                <w:w w:val="105"/>
                <w:sz w:val="16"/>
                <w:szCs w:val="16"/>
              </w:rPr>
            </w:pPr>
            <w:r w:rsidRPr="00CF0688">
              <w:rPr>
                <w:rFonts w:ascii="Segoe UI" w:hAnsi="Segoe UI" w:cs="Segoe UI"/>
                <w:b/>
                <w:bCs/>
                <w:w w:val="105"/>
                <w:sz w:val="16"/>
                <w:szCs w:val="16"/>
              </w:rPr>
              <w:t>Net owner’s contribution and withdrawal</w:t>
            </w:r>
          </w:p>
        </w:tc>
        <w:tc>
          <w:tcPr>
            <w:tcW w:w="1590" w:type="dxa"/>
            <w:tcBorders>
              <w:top w:val="single" w:sz="4" w:space="0" w:color="A6A6A6" w:themeColor="background1" w:themeShade="A6"/>
              <w:left w:val="nil"/>
              <w:bottom w:val="single" w:sz="4" w:space="0" w:color="A6A6A6" w:themeColor="background1" w:themeShade="A6"/>
              <w:right w:val="nil"/>
            </w:tcBorders>
          </w:tcPr>
          <w:p w14:paraId="5147C06A" w14:textId="34EDEB18" w:rsidR="002D5D61" w:rsidRPr="00CF0688" w:rsidRDefault="002D5D61" w:rsidP="002D5D61">
            <w:pPr>
              <w:pStyle w:val="TableText"/>
              <w:ind w:left="57" w:right="170"/>
              <w:jc w:val="right"/>
              <w:rPr>
                <w:rFonts w:cs="Segoe UI"/>
                <w:b/>
                <w:bCs/>
                <w:sz w:val="16"/>
                <w:szCs w:val="16"/>
              </w:rPr>
            </w:pPr>
            <w:r w:rsidRPr="00CF0688">
              <w:rPr>
                <w:rFonts w:cs="Segoe UI"/>
                <w:b/>
                <w:bCs/>
                <w:sz w:val="16"/>
                <w:szCs w:val="16"/>
              </w:rPr>
              <w:t>(400)</w:t>
            </w:r>
          </w:p>
        </w:tc>
      </w:tr>
      <w:tr w:rsidR="002D5D61" w:rsidRPr="00CF0688" w14:paraId="7EA7AB91" w14:textId="77777777" w:rsidTr="002D5D61">
        <w:trPr>
          <w:trHeight w:val="344"/>
        </w:trPr>
        <w:tc>
          <w:tcPr>
            <w:tcW w:w="1276" w:type="dxa"/>
            <w:tcBorders>
              <w:top w:val="single" w:sz="4" w:space="0" w:color="A6A6A6" w:themeColor="background1" w:themeShade="A6"/>
              <w:left w:val="nil"/>
              <w:bottom w:val="single" w:sz="4" w:space="0" w:color="A6A6A6" w:themeColor="background1" w:themeShade="A6"/>
              <w:right w:val="nil"/>
            </w:tcBorders>
          </w:tcPr>
          <w:p w14:paraId="45A4702E" w14:textId="0378A3A0" w:rsidR="002D5D61" w:rsidRPr="00CF0688" w:rsidRDefault="002D5D61" w:rsidP="002D5D61">
            <w:pPr>
              <w:pStyle w:val="TableText"/>
              <w:ind w:left="57" w:right="170"/>
              <w:jc w:val="right"/>
              <w:rPr>
                <w:rFonts w:cs="Segoe UI"/>
                <w:b/>
                <w:bCs/>
                <w:sz w:val="16"/>
                <w:szCs w:val="16"/>
              </w:rPr>
            </w:pPr>
            <w:r w:rsidRPr="00CF0688">
              <w:rPr>
                <w:rFonts w:cs="Segoe UI"/>
                <w:b/>
                <w:bCs/>
                <w:sz w:val="16"/>
                <w:szCs w:val="16"/>
              </w:rPr>
              <w:t>(146,062)</w:t>
            </w:r>
          </w:p>
        </w:tc>
        <w:tc>
          <w:tcPr>
            <w:tcW w:w="5534" w:type="dxa"/>
            <w:tcBorders>
              <w:top w:val="single" w:sz="4" w:space="0" w:color="A6A6A6" w:themeColor="background1" w:themeShade="A6"/>
              <w:left w:val="nil"/>
              <w:bottom w:val="single" w:sz="4" w:space="0" w:color="A6A6A6" w:themeColor="background1" w:themeShade="A6"/>
              <w:right w:val="nil"/>
            </w:tcBorders>
            <w:hideMark/>
          </w:tcPr>
          <w:p w14:paraId="50707777" w14:textId="77777777" w:rsidR="002D5D61" w:rsidRPr="00CF0688" w:rsidRDefault="002D5D61" w:rsidP="002D5D61">
            <w:pPr>
              <w:pStyle w:val="TableParagraph"/>
              <w:spacing w:before="60" w:after="60"/>
              <w:ind w:left="113"/>
              <w:rPr>
                <w:rFonts w:ascii="Segoe UI" w:hAnsi="Segoe UI" w:cs="Segoe UI"/>
                <w:b/>
                <w:bCs/>
                <w:w w:val="105"/>
                <w:sz w:val="16"/>
                <w:szCs w:val="16"/>
              </w:rPr>
            </w:pPr>
            <w:r w:rsidRPr="00CF0688">
              <w:rPr>
                <w:rFonts w:ascii="Segoe UI" w:hAnsi="Segoe UI" w:cs="Segoe UI"/>
                <w:b/>
                <w:bCs/>
                <w:w w:val="105"/>
                <w:sz w:val="16"/>
                <w:szCs w:val="16"/>
              </w:rPr>
              <w:t>Net cash flow from financing activities</w:t>
            </w:r>
          </w:p>
        </w:tc>
        <w:tc>
          <w:tcPr>
            <w:tcW w:w="1590" w:type="dxa"/>
            <w:tcBorders>
              <w:top w:val="single" w:sz="4" w:space="0" w:color="A6A6A6" w:themeColor="background1" w:themeShade="A6"/>
              <w:left w:val="nil"/>
              <w:bottom w:val="single" w:sz="4" w:space="0" w:color="A6A6A6" w:themeColor="background1" w:themeShade="A6"/>
              <w:right w:val="nil"/>
            </w:tcBorders>
          </w:tcPr>
          <w:p w14:paraId="05A3F982" w14:textId="2660B8FC" w:rsidR="002D5D61" w:rsidRPr="00CF0688" w:rsidRDefault="002D5D61" w:rsidP="002D5D61">
            <w:pPr>
              <w:pStyle w:val="TableText"/>
              <w:ind w:left="57" w:right="170"/>
              <w:jc w:val="right"/>
              <w:rPr>
                <w:rFonts w:cs="Segoe UI"/>
                <w:b/>
                <w:bCs/>
                <w:sz w:val="16"/>
                <w:szCs w:val="16"/>
              </w:rPr>
            </w:pPr>
            <w:r w:rsidRPr="00CF0688">
              <w:rPr>
                <w:rFonts w:cs="Segoe UI"/>
                <w:b/>
                <w:bCs/>
                <w:sz w:val="16"/>
                <w:szCs w:val="16"/>
              </w:rPr>
              <w:t>(34,529)</w:t>
            </w:r>
          </w:p>
        </w:tc>
      </w:tr>
    </w:tbl>
    <w:p w14:paraId="7851CBF3" w14:textId="77777777" w:rsidR="00FE1495" w:rsidRDefault="00FE1495" w:rsidP="00FE1495">
      <w:pPr>
        <w:pStyle w:val="Note"/>
      </w:pPr>
      <w:r>
        <w:t>The accompanying notes form part of these financial statements.</w:t>
      </w:r>
    </w:p>
    <w:p w14:paraId="1EE789D3" w14:textId="77777777" w:rsidR="00253224" w:rsidRDefault="00253224" w:rsidP="00253224">
      <w:pPr>
        <w:rPr>
          <w:highlight w:val="yellow"/>
        </w:rPr>
        <w:sectPr w:rsidR="00253224" w:rsidSect="000A3324">
          <w:pgSz w:w="11907" w:h="16840" w:code="9"/>
          <w:pgMar w:top="1418" w:right="1701" w:bottom="1134" w:left="1843" w:header="284" w:footer="425" w:gutter="284"/>
          <w:cols w:space="720"/>
        </w:sectPr>
      </w:pPr>
    </w:p>
    <w:p w14:paraId="5AD4F2A0" w14:textId="77777777" w:rsidR="00FE1495" w:rsidRDefault="00FE1495" w:rsidP="00386646">
      <w:pPr>
        <w:pStyle w:val="Heading2"/>
        <w:spacing w:before="0"/>
      </w:pPr>
      <w:bookmarkStart w:id="45" w:name="_Toc180077041"/>
      <w:r>
        <w:lastRenderedPageBreak/>
        <w:t xml:space="preserve">Statement of commitments as </w:t>
      </w:r>
      <w:proofErr w:type="gramStart"/>
      <w:r>
        <w:t>at</w:t>
      </w:r>
      <w:proofErr w:type="gramEnd"/>
      <w:r>
        <w:t xml:space="preserve"> 30 June 2024</w:t>
      </w:r>
      <w:bookmarkEnd w:id="45"/>
    </w:p>
    <w:p w14:paraId="2C50DEF9" w14:textId="77777777" w:rsidR="00FE1495" w:rsidRDefault="00FE1495" w:rsidP="00FE1495">
      <w:pPr>
        <w:pStyle w:val="Heading4"/>
      </w:pPr>
      <w:r>
        <w:t xml:space="preserve">Capital </w:t>
      </w:r>
      <w:proofErr w:type="gramStart"/>
      <w:r>
        <w:t>commitments</w:t>
      </w:r>
      <w:proofErr w:type="gramEnd"/>
      <w:r>
        <w:tab/>
      </w:r>
    </w:p>
    <w:p w14:paraId="06E2A5D6" w14:textId="74D4828D" w:rsidR="00FE1495" w:rsidRDefault="00FE1495" w:rsidP="00FE1495">
      <w:r>
        <w:t>Capital commitments are the aggregate amount of capital expenditure contracted for the acquisition of property, plant and equipment and intangible assets that have not been paid for or are not recognised as a liability at balance date.</w:t>
      </w:r>
    </w:p>
    <w:p w14:paraId="17A157FB" w14:textId="77777777" w:rsidR="00FE1495" w:rsidRDefault="00FE1495" w:rsidP="00FE1495"/>
    <w:p w14:paraId="76B9450F" w14:textId="29282D4B" w:rsidR="00253224" w:rsidRDefault="00FE1495" w:rsidP="00FE1495">
      <w:r>
        <w:t>Cancellable capital commitments, which have penalty or exit costs explicit in the agreement on exercising that option to cancel, are reported below at the lower of the remaining contractual commitment and the value of those penalty or exit costs.</w:t>
      </w:r>
    </w:p>
    <w:p w14:paraId="184EE509" w14:textId="77777777" w:rsidR="00FE1495" w:rsidRDefault="00FE1495" w:rsidP="00FE1495">
      <w:pPr>
        <w:pStyle w:val="Heading4"/>
      </w:pPr>
      <w:r>
        <w:t>Non-cancellable operating lease commitments</w:t>
      </w:r>
    </w:p>
    <w:p w14:paraId="38C60F41" w14:textId="7574531D" w:rsidR="00FE1495" w:rsidRDefault="00FE1495" w:rsidP="00FE1495">
      <w:r>
        <w:t>The Ministry leases property, plant and equipment in the normal course of its business. The majority of these leases are for premises and car parks, which have a non-cancellable leasing period ranging from two to ten years.</w:t>
      </w:r>
    </w:p>
    <w:p w14:paraId="0AA58151" w14:textId="77777777" w:rsidR="00FE1495" w:rsidRDefault="00FE1495" w:rsidP="00FE1495"/>
    <w:p w14:paraId="6BDE10F8" w14:textId="023E5FE3" w:rsidR="00253224" w:rsidRDefault="00FE1495" w:rsidP="00FE1495">
      <w:r>
        <w:t>The Ministry’s non-cancellable operating leases have varying terms, escalation clauses and renewal rights.</w:t>
      </w:r>
    </w:p>
    <w:p w14:paraId="2DF13ED7" w14:textId="1B048600" w:rsidR="00FE1495" w:rsidRDefault="00FE1495" w:rsidP="00FE1495"/>
    <w:tbl>
      <w:tblPr>
        <w:tblW w:w="8010" w:type="dxa"/>
        <w:tblLayout w:type="fixed"/>
        <w:tblCellMar>
          <w:left w:w="0" w:type="dxa"/>
          <w:right w:w="0" w:type="dxa"/>
        </w:tblCellMar>
        <w:tblLook w:val="01E0" w:firstRow="1" w:lastRow="1" w:firstColumn="1" w:lastColumn="1" w:noHBand="0" w:noVBand="0"/>
      </w:tblPr>
      <w:tblGrid>
        <w:gridCol w:w="850"/>
        <w:gridCol w:w="5385"/>
        <w:gridCol w:w="1775"/>
      </w:tblGrid>
      <w:tr w:rsidR="00FE1495" w14:paraId="117AE6C4" w14:textId="77777777" w:rsidTr="00FE1495">
        <w:trPr>
          <w:trHeight w:val="784"/>
        </w:trPr>
        <w:tc>
          <w:tcPr>
            <w:tcW w:w="850" w:type="dxa"/>
            <w:shd w:val="clear" w:color="auto" w:fill="D9D9D9" w:themeFill="background1" w:themeFillShade="D9"/>
            <w:hideMark/>
          </w:tcPr>
          <w:p w14:paraId="50B90DB4" w14:textId="77777777" w:rsidR="00FE1495" w:rsidRDefault="00FE1495">
            <w:pPr>
              <w:pStyle w:val="TableParagraph"/>
              <w:spacing w:before="60" w:after="60"/>
              <w:ind w:left="57" w:right="170"/>
              <w:jc w:val="right"/>
              <w:rPr>
                <w:rFonts w:ascii="Segoe UI" w:hAnsi="Segoe UI" w:cs="Segoe UI"/>
                <w:b/>
                <w:bCs/>
                <w:sz w:val="16"/>
                <w:szCs w:val="16"/>
              </w:rPr>
            </w:pPr>
            <w:r>
              <w:rPr>
                <w:rFonts w:ascii="Segoe UI" w:hAnsi="Segoe UI" w:cs="Segoe UI"/>
                <w:b/>
                <w:bCs/>
                <w:sz w:val="16"/>
                <w:szCs w:val="16"/>
              </w:rPr>
              <w:t xml:space="preserve">Actual </w:t>
            </w:r>
          </w:p>
          <w:p w14:paraId="664F8AA7" w14:textId="2E8BF636" w:rsidR="00FE1495" w:rsidRDefault="00FE1495">
            <w:pPr>
              <w:pStyle w:val="TableParagraph"/>
              <w:spacing w:before="60" w:after="60"/>
              <w:ind w:left="57" w:right="170"/>
              <w:jc w:val="right"/>
              <w:rPr>
                <w:rFonts w:ascii="Segoe UI" w:hAnsi="Segoe UI" w:cs="Segoe UI"/>
                <w:b/>
                <w:bCs/>
                <w:sz w:val="16"/>
                <w:szCs w:val="16"/>
              </w:rPr>
            </w:pPr>
            <w:r>
              <w:rPr>
                <w:rFonts w:ascii="Segoe UI" w:hAnsi="Segoe UI" w:cs="Segoe UI"/>
                <w:b/>
                <w:bCs/>
                <w:sz w:val="16"/>
                <w:szCs w:val="16"/>
              </w:rPr>
              <w:t>2023</w:t>
            </w:r>
          </w:p>
          <w:p w14:paraId="148727D3" w14:textId="77777777" w:rsidR="00FE1495" w:rsidRDefault="00FE1495">
            <w:pPr>
              <w:pStyle w:val="TableParagraph"/>
              <w:spacing w:before="60" w:after="60"/>
              <w:ind w:left="57" w:right="170"/>
              <w:jc w:val="right"/>
              <w:rPr>
                <w:rFonts w:ascii="Segoe UI" w:hAnsi="Segoe UI" w:cs="Segoe UI"/>
                <w:b/>
                <w:bCs/>
                <w:sz w:val="16"/>
                <w:szCs w:val="16"/>
              </w:rPr>
            </w:pPr>
            <w:r>
              <w:rPr>
                <w:rFonts w:ascii="Segoe UI" w:hAnsi="Segoe UI" w:cs="Segoe UI"/>
                <w:b/>
                <w:bCs/>
                <w:sz w:val="16"/>
                <w:szCs w:val="16"/>
              </w:rPr>
              <w:t>$000</w:t>
            </w:r>
          </w:p>
        </w:tc>
        <w:tc>
          <w:tcPr>
            <w:tcW w:w="5385" w:type="dxa"/>
            <w:shd w:val="clear" w:color="auto" w:fill="D9D9D9" w:themeFill="background1" w:themeFillShade="D9"/>
          </w:tcPr>
          <w:p w14:paraId="200F867F" w14:textId="77777777" w:rsidR="00FE1495" w:rsidRDefault="00FE1495">
            <w:pPr>
              <w:pStyle w:val="TableParagraph"/>
              <w:rPr>
                <w:rFonts w:ascii="Times New Roman"/>
                <w:b/>
                <w:bCs/>
                <w:sz w:val="18"/>
              </w:rPr>
            </w:pPr>
          </w:p>
        </w:tc>
        <w:tc>
          <w:tcPr>
            <w:tcW w:w="1775" w:type="dxa"/>
            <w:shd w:val="clear" w:color="auto" w:fill="D9D9D9" w:themeFill="background1" w:themeFillShade="D9"/>
            <w:hideMark/>
          </w:tcPr>
          <w:p w14:paraId="0EA77C7F" w14:textId="77777777" w:rsidR="00FE1495" w:rsidRDefault="00FE1495">
            <w:pPr>
              <w:pStyle w:val="TableParagraph"/>
              <w:spacing w:before="60" w:after="60"/>
              <w:ind w:right="152"/>
              <w:jc w:val="right"/>
              <w:rPr>
                <w:rFonts w:ascii="Segoe UI" w:hAnsi="Segoe UI" w:cs="Segoe UI"/>
                <w:b/>
                <w:bCs/>
                <w:w w:val="110"/>
                <w:sz w:val="16"/>
                <w:szCs w:val="16"/>
              </w:rPr>
            </w:pPr>
            <w:r>
              <w:rPr>
                <w:rFonts w:ascii="Segoe UI" w:hAnsi="Segoe UI" w:cs="Segoe UI"/>
                <w:b/>
                <w:bCs/>
                <w:w w:val="110"/>
                <w:sz w:val="16"/>
                <w:szCs w:val="16"/>
              </w:rPr>
              <w:t xml:space="preserve">Actual </w:t>
            </w:r>
          </w:p>
          <w:p w14:paraId="4A5FDD1E" w14:textId="7789529B" w:rsidR="00FE1495" w:rsidRDefault="00FE1495">
            <w:pPr>
              <w:pStyle w:val="TableParagraph"/>
              <w:spacing w:before="60" w:after="60"/>
              <w:ind w:right="152"/>
              <w:jc w:val="right"/>
              <w:rPr>
                <w:rFonts w:ascii="Segoe UI" w:hAnsi="Segoe UI" w:cs="Segoe UI"/>
                <w:b/>
                <w:bCs/>
                <w:w w:val="110"/>
                <w:sz w:val="16"/>
                <w:szCs w:val="16"/>
              </w:rPr>
            </w:pPr>
            <w:r>
              <w:rPr>
                <w:rFonts w:ascii="Segoe UI" w:hAnsi="Segoe UI" w:cs="Segoe UI"/>
                <w:b/>
                <w:bCs/>
                <w:w w:val="110"/>
                <w:sz w:val="16"/>
                <w:szCs w:val="16"/>
              </w:rPr>
              <w:t>2024</w:t>
            </w:r>
          </w:p>
          <w:p w14:paraId="5AB29E97" w14:textId="77777777" w:rsidR="00FE1495" w:rsidRDefault="00FE1495">
            <w:pPr>
              <w:pStyle w:val="TableParagraph"/>
              <w:spacing w:before="60" w:after="60"/>
              <w:ind w:right="152"/>
              <w:jc w:val="right"/>
              <w:rPr>
                <w:rFonts w:ascii="Segoe UI" w:hAnsi="Segoe UI" w:cs="Segoe UI"/>
                <w:b/>
                <w:bCs/>
                <w:w w:val="110"/>
                <w:sz w:val="16"/>
                <w:szCs w:val="16"/>
              </w:rPr>
            </w:pPr>
            <w:r>
              <w:rPr>
                <w:rFonts w:ascii="Segoe UI" w:hAnsi="Segoe UI" w:cs="Segoe UI"/>
                <w:b/>
                <w:bCs/>
                <w:w w:val="110"/>
                <w:sz w:val="16"/>
                <w:szCs w:val="16"/>
              </w:rPr>
              <w:t>$000</w:t>
            </w:r>
          </w:p>
        </w:tc>
      </w:tr>
      <w:tr w:rsidR="00FE1495" w:rsidRPr="00FE1495" w14:paraId="0E3182E9" w14:textId="77777777" w:rsidTr="00FE1495">
        <w:trPr>
          <w:trHeight w:val="354"/>
        </w:trPr>
        <w:tc>
          <w:tcPr>
            <w:tcW w:w="850" w:type="dxa"/>
          </w:tcPr>
          <w:p w14:paraId="32F3B3DD" w14:textId="77777777" w:rsidR="00FE1495" w:rsidRPr="00FE1495" w:rsidRDefault="00FE1495">
            <w:pPr>
              <w:pStyle w:val="TableParagraph"/>
              <w:spacing w:before="60" w:after="60"/>
              <w:ind w:left="57" w:right="170"/>
              <w:jc w:val="right"/>
              <w:rPr>
                <w:rFonts w:ascii="Segoe UI" w:hAnsi="Segoe UI" w:cs="Segoe UI"/>
                <w:b/>
                <w:bCs/>
                <w:sz w:val="16"/>
                <w:szCs w:val="16"/>
              </w:rPr>
            </w:pPr>
          </w:p>
        </w:tc>
        <w:tc>
          <w:tcPr>
            <w:tcW w:w="5385" w:type="dxa"/>
            <w:hideMark/>
          </w:tcPr>
          <w:p w14:paraId="4A47E3C6" w14:textId="77777777" w:rsidR="00FE1495" w:rsidRPr="00FE1495" w:rsidRDefault="00FE1495" w:rsidP="00FE1495">
            <w:pPr>
              <w:pStyle w:val="TableText"/>
              <w:rPr>
                <w:b/>
                <w:bCs/>
                <w:w w:val="105"/>
                <w:sz w:val="16"/>
                <w:szCs w:val="18"/>
              </w:rPr>
            </w:pPr>
            <w:r w:rsidRPr="00FE1495">
              <w:rPr>
                <w:b/>
                <w:bCs/>
                <w:w w:val="105"/>
                <w:sz w:val="16"/>
                <w:szCs w:val="18"/>
              </w:rPr>
              <w:t>Capital commitments</w:t>
            </w:r>
          </w:p>
        </w:tc>
        <w:tc>
          <w:tcPr>
            <w:tcW w:w="1775" w:type="dxa"/>
          </w:tcPr>
          <w:p w14:paraId="42FA0F80" w14:textId="77777777" w:rsidR="00FE1495" w:rsidRPr="00FE1495" w:rsidRDefault="00FE1495">
            <w:pPr>
              <w:pStyle w:val="TableParagraph"/>
              <w:spacing w:before="60" w:after="60"/>
              <w:ind w:right="152"/>
              <w:jc w:val="right"/>
              <w:rPr>
                <w:rFonts w:ascii="Segoe UI" w:hAnsi="Segoe UI" w:cs="Segoe UI"/>
                <w:b/>
                <w:bCs/>
                <w:w w:val="110"/>
                <w:sz w:val="16"/>
                <w:szCs w:val="16"/>
              </w:rPr>
            </w:pPr>
          </w:p>
        </w:tc>
      </w:tr>
      <w:tr w:rsidR="00FE1495" w14:paraId="7B2EF9FE" w14:textId="77777777" w:rsidTr="00FE1495">
        <w:trPr>
          <w:trHeight w:val="348"/>
        </w:trPr>
        <w:tc>
          <w:tcPr>
            <w:tcW w:w="850" w:type="dxa"/>
            <w:tcBorders>
              <w:top w:val="nil"/>
              <w:left w:val="nil"/>
              <w:bottom w:val="single" w:sz="4" w:space="0" w:color="A6A6A6" w:themeColor="background1" w:themeShade="A6"/>
              <w:right w:val="nil"/>
            </w:tcBorders>
          </w:tcPr>
          <w:p w14:paraId="1C77DD38" w14:textId="5074C64F" w:rsidR="00FE1495" w:rsidRDefault="00FE1495" w:rsidP="00FE1495">
            <w:pPr>
              <w:pStyle w:val="TableText"/>
              <w:ind w:left="57" w:right="170"/>
              <w:jc w:val="right"/>
              <w:rPr>
                <w:rFonts w:cs="Segoe UI"/>
                <w:sz w:val="16"/>
                <w:szCs w:val="16"/>
              </w:rPr>
            </w:pPr>
            <w:r w:rsidRPr="00FE1495">
              <w:rPr>
                <w:rFonts w:cs="Segoe UI"/>
                <w:sz w:val="16"/>
                <w:szCs w:val="16"/>
              </w:rPr>
              <w:t>1,827</w:t>
            </w:r>
          </w:p>
        </w:tc>
        <w:tc>
          <w:tcPr>
            <w:tcW w:w="5385" w:type="dxa"/>
            <w:tcBorders>
              <w:top w:val="nil"/>
              <w:left w:val="nil"/>
              <w:bottom w:val="single" w:sz="4" w:space="0" w:color="A6A6A6" w:themeColor="background1" w:themeShade="A6"/>
              <w:right w:val="nil"/>
            </w:tcBorders>
            <w:hideMark/>
          </w:tcPr>
          <w:p w14:paraId="3D6E6624" w14:textId="77777777" w:rsidR="00FE1495" w:rsidRPr="00FE1495" w:rsidRDefault="00FE1495" w:rsidP="00FE1495">
            <w:pPr>
              <w:pStyle w:val="TableText"/>
              <w:rPr>
                <w:w w:val="105"/>
                <w:sz w:val="16"/>
                <w:szCs w:val="18"/>
              </w:rPr>
            </w:pPr>
            <w:r w:rsidRPr="00FE1495">
              <w:rPr>
                <w:w w:val="105"/>
                <w:sz w:val="16"/>
                <w:szCs w:val="18"/>
              </w:rPr>
              <w:t>Property, plant and equipment</w:t>
            </w:r>
          </w:p>
        </w:tc>
        <w:tc>
          <w:tcPr>
            <w:tcW w:w="1775" w:type="dxa"/>
            <w:tcBorders>
              <w:top w:val="nil"/>
              <w:left w:val="nil"/>
              <w:bottom w:val="single" w:sz="4" w:space="0" w:color="A6A6A6" w:themeColor="background1" w:themeShade="A6"/>
              <w:right w:val="nil"/>
            </w:tcBorders>
          </w:tcPr>
          <w:p w14:paraId="4F5140C7" w14:textId="689E61D3" w:rsidR="00FE1495" w:rsidRPr="00FE1495" w:rsidRDefault="00FE1495" w:rsidP="00FE1495">
            <w:pPr>
              <w:pStyle w:val="TableText"/>
              <w:ind w:left="57" w:right="170"/>
              <w:jc w:val="right"/>
              <w:rPr>
                <w:rFonts w:cs="Segoe UI"/>
                <w:sz w:val="16"/>
                <w:szCs w:val="16"/>
              </w:rPr>
            </w:pPr>
            <w:r w:rsidRPr="00FE1495">
              <w:rPr>
                <w:rFonts w:cs="Segoe UI"/>
                <w:sz w:val="16"/>
                <w:szCs w:val="16"/>
              </w:rPr>
              <w:t>–</w:t>
            </w:r>
          </w:p>
        </w:tc>
      </w:tr>
      <w:tr w:rsidR="00FE1495" w:rsidRPr="00FE1495" w14:paraId="1066D19D" w14:textId="77777777" w:rsidTr="00FE1495">
        <w:trPr>
          <w:trHeight w:val="344"/>
        </w:trPr>
        <w:tc>
          <w:tcPr>
            <w:tcW w:w="850" w:type="dxa"/>
            <w:tcBorders>
              <w:top w:val="single" w:sz="4" w:space="0" w:color="A6A6A6" w:themeColor="background1" w:themeShade="A6"/>
              <w:left w:val="nil"/>
              <w:bottom w:val="single" w:sz="4" w:space="0" w:color="A6A6A6" w:themeColor="background1" w:themeShade="A6"/>
              <w:right w:val="nil"/>
            </w:tcBorders>
          </w:tcPr>
          <w:p w14:paraId="54396E19" w14:textId="2AE8B17F" w:rsidR="00FE1495" w:rsidRPr="00FE1495" w:rsidRDefault="00FE1495" w:rsidP="00FE1495">
            <w:pPr>
              <w:pStyle w:val="TableText"/>
              <w:ind w:left="57" w:right="170"/>
              <w:jc w:val="right"/>
              <w:rPr>
                <w:rFonts w:cs="Segoe UI"/>
                <w:b/>
                <w:bCs/>
                <w:sz w:val="16"/>
                <w:szCs w:val="16"/>
              </w:rPr>
            </w:pPr>
            <w:r w:rsidRPr="00FE1495">
              <w:rPr>
                <w:rFonts w:cs="Segoe UI"/>
                <w:b/>
                <w:bCs/>
                <w:sz w:val="16"/>
                <w:szCs w:val="16"/>
              </w:rPr>
              <w:t>1,827</w:t>
            </w:r>
          </w:p>
        </w:tc>
        <w:tc>
          <w:tcPr>
            <w:tcW w:w="5385" w:type="dxa"/>
            <w:tcBorders>
              <w:top w:val="single" w:sz="4" w:space="0" w:color="A6A6A6" w:themeColor="background1" w:themeShade="A6"/>
              <w:left w:val="nil"/>
              <w:bottom w:val="single" w:sz="4" w:space="0" w:color="A6A6A6" w:themeColor="background1" w:themeShade="A6"/>
              <w:right w:val="nil"/>
            </w:tcBorders>
            <w:hideMark/>
          </w:tcPr>
          <w:p w14:paraId="3A41936B" w14:textId="77777777" w:rsidR="00FE1495" w:rsidRPr="00FE1495" w:rsidRDefault="00FE1495" w:rsidP="00FE1495">
            <w:pPr>
              <w:pStyle w:val="TableText"/>
              <w:rPr>
                <w:b/>
                <w:bCs/>
                <w:w w:val="105"/>
                <w:sz w:val="16"/>
                <w:szCs w:val="18"/>
              </w:rPr>
            </w:pPr>
            <w:r w:rsidRPr="00FE1495">
              <w:rPr>
                <w:b/>
                <w:bCs/>
                <w:w w:val="105"/>
                <w:sz w:val="16"/>
                <w:szCs w:val="18"/>
              </w:rPr>
              <w:t>Total capital commitments</w:t>
            </w:r>
          </w:p>
        </w:tc>
        <w:tc>
          <w:tcPr>
            <w:tcW w:w="1775" w:type="dxa"/>
            <w:tcBorders>
              <w:top w:val="single" w:sz="4" w:space="0" w:color="A6A6A6" w:themeColor="background1" w:themeShade="A6"/>
              <w:left w:val="nil"/>
              <w:bottom w:val="single" w:sz="4" w:space="0" w:color="A6A6A6" w:themeColor="background1" w:themeShade="A6"/>
              <w:right w:val="nil"/>
            </w:tcBorders>
          </w:tcPr>
          <w:p w14:paraId="00C13DA7" w14:textId="1F1BD809" w:rsidR="00FE1495" w:rsidRPr="00FE1495" w:rsidRDefault="00FE1495" w:rsidP="00FE1495">
            <w:pPr>
              <w:pStyle w:val="TableText"/>
              <w:ind w:left="57" w:right="170"/>
              <w:jc w:val="right"/>
              <w:rPr>
                <w:rFonts w:cs="Segoe UI"/>
                <w:b/>
                <w:bCs/>
                <w:sz w:val="16"/>
                <w:szCs w:val="16"/>
              </w:rPr>
            </w:pPr>
            <w:r w:rsidRPr="00FE1495">
              <w:rPr>
                <w:rFonts w:cs="Segoe UI"/>
                <w:b/>
                <w:bCs/>
                <w:sz w:val="16"/>
                <w:szCs w:val="16"/>
              </w:rPr>
              <w:t>–</w:t>
            </w:r>
          </w:p>
        </w:tc>
      </w:tr>
      <w:tr w:rsidR="00FE1495" w:rsidRPr="00FE1495" w14:paraId="690CB4B6" w14:textId="77777777" w:rsidTr="00FE1495">
        <w:trPr>
          <w:trHeight w:val="354"/>
        </w:trPr>
        <w:tc>
          <w:tcPr>
            <w:tcW w:w="850" w:type="dxa"/>
            <w:tcBorders>
              <w:top w:val="single" w:sz="4" w:space="0" w:color="A6A6A6" w:themeColor="background1" w:themeShade="A6"/>
              <w:left w:val="nil"/>
              <w:right w:val="nil"/>
            </w:tcBorders>
          </w:tcPr>
          <w:p w14:paraId="53843260" w14:textId="77777777" w:rsidR="00FE1495" w:rsidRPr="00FE1495" w:rsidRDefault="00FE1495" w:rsidP="00FE1495">
            <w:pPr>
              <w:pStyle w:val="TableText"/>
              <w:ind w:left="57" w:right="170"/>
              <w:jc w:val="right"/>
              <w:rPr>
                <w:rFonts w:cs="Segoe UI"/>
                <w:b/>
                <w:bCs/>
                <w:sz w:val="16"/>
                <w:szCs w:val="16"/>
              </w:rPr>
            </w:pPr>
          </w:p>
        </w:tc>
        <w:tc>
          <w:tcPr>
            <w:tcW w:w="5385" w:type="dxa"/>
            <w:tcBorders>
              <w:top w:val="single" w:sz="4" w:space="0" w:color="A6A6A6" w:themeColor="background1" w:themeShade="A6"/>
              <w:left w:val="nil"/>
              <w:right w:val="nil"/>
            </w:tcBorders>
            <w:hideMark/>
          </w:tcPr>
          <w:p w14:paraId="118D7704" w14:textId="77777777" w:rsidR="00FE1495" w:rsidRPr="00FE1495" w:rsidRDefault="00FE1495" w:rsidP="00FE1495">
            <w:pPr>
              <w:pStyle w:val="TableText"/>
              <w:rPr>
                <w:b/>
                <w:bCs/>
                <w:w w:val="105"/>
                <w:sz w:val="16"/>
                <w:szCs w:val="18"/>
              </w:rPr>
            </w:pPr>
            <w:r w:rsidRPr="00FE1495">
              <w:rPr>
                <w:b/>
                <w:bCs/>
                <w:w w:val="105"/>
                <w:sz w:val="16"/>
                <w:szCs w:val="18"/>
              </w:rPr>
              <w:t>Operating leases as lessee</w:t>
            </w:r>
          </w:p>
        </w:tc>
        <w:tc>
          <w:tcPr>
            <w:tcW w:w="1775" w:type="dxa"/>
            <w:tcBorders>
              <w:top w:val="single" w:sz="4" w:space="0" w:color="A6A6A6" w:themeColor="background1" w:themeShade="A6"/>
              <w:left w:val="nil"/>
              <w:right w:val="nil"/>
            </w:tcBorders>
          </w:tcPr>
          <w:p w14:paraId="7B1B800F" w14:textId="77777777" w:rsidR="00FE1495" w:rsidRPr="00FE1495" w:rsidRDefault="00FE1495" w:rsidP="00FE1495">
            <w:pPr>
              <w:pStyle w:val="TableText"/>
              <w:ind w:left="57" w:right="170"/>
              <w:jc w:val="right"/>
              <w:rPr>
                <w:rFonts w:cs="Segoe UI"/>
                <w:b/>
                <w:bCs/>
                <w:sz w:val="16"/>
                <w:szCs w:val="16"/>
              </w:rPr>
            </w:pPr>
          </w:p>
        </w:tc>
      </w:tr>
      <w:tr w:rsidR="00FE1495" w14:paraId="30CA735E" w14:textId="77777777" w:rsidTr="00FE1495">
        <w:trPr>
          <w:trHeight w:val="354"/>
        </w:trPr>
        <w:tc>
          <w:tcPr>
            <w:tcW w:w="850" w:type="dxa"/>
            <w:tcBorders>
              <w:left w:val="nil"/>
              <w:bottom w:val="nil"/>
              <w:right w:val="nil"/>
            </w:tcBorders>
          </w:tcPr>
          <w:p w14:paraId="277D8E4C" w14:textId="77777777" w:rsidR="00FE1495" w:rsidRPr="00FE1495" w:rsidRDefault="00FE1495" w:rsidP="00FE1495">
            <w:pPr>
              <w:pStyle w:val="TableText"/>
              <w:ind w:left="57" w:right="170"/>
              <w:jc w:val="right"/>
              <w:rPr>
                <w:rFonts w:cs="Segoe UI"/>
                <w:sz w:val="16"/>
                <w:szCs w:val="16"/>
              </w:rPr>
            </w:pPr>
          </w:p>
        </w:tc>
        <w:tc>
          <w:tcPr>
            <w:tcW w:w="5385" w:type="dxa"/>
            <w:tcBorders>
              <w:left w:val="nil"/>
              <w:bottom w:val="nil"/>
              <w:right w:val="nil"/>
            </w:tcBorders>
            <w:hideMark/>
          </w:tcPr>
          <w:p w14:paraId="16C8CDD5" w14:textId="77777777" w:rsidR="00FE1495" w:rsidRPr="00FE1495" w:rsidRDefault="00FE1495" w:rsidP="00FE1495">
            <w:pPr>
              <w:pStyle w:val="TableText"/>
              <w:rPr>
                <w:w w:val="105"/>
                <w:sz w:val="16"/>
                <w:szCs w:val="18"/>
              </w:rPr>
            </w:pPr>
            <w:r w:rsidRPr="00FE1495">
              <w:rPr>
                <w:w w:val="105"/>
                <w:sz w:val="16"/>
                <w:szCs w:val="18"/>
              </w:rPr>
              <w:t>Future aggregate lease payments to be paid under non-cancellable operating leases are as follows</w:t>
            </w:r>
          </w:p>
        </w:tc>
        <w:tc>
          <w:tcPr>
            <w:tcW w:w="1775" w:type="dxa"/>
            <w:tcBorders>
              <w:left w:val="nil"/>
              <w:bottom w:val="nil"/>
              <w:right w:val="nil"/>
            </w:tcBorders>
          </w:tcPr>
          <w:p w14:paraId="308D1E26" w14:textId="77777777" w:rsidR="00FE1495" w:rsidRPr="00FE1495" w:rsidRDefault="00FE1495" w:rsidP="00FE1495">
            <w:pPr>
              <w:pStyle w:val="TableText"/>
              <w:ind w:left="57" w:right="170"/>
              <w:jc w:val="right"/>
              <w:rPr>
                <w:rFonts w:cs="Segoe UI"/>
                <w:sz w:val="16"/>
                <w:szCs w:val="16"/>
              </w:rPr>
            </w:pPr>
          </w:p>
        </w:tc>
      </w:tr>
      <w:tr w:rsidR="00FE1495" w14:paraId="00E7D2E5" w14:textId="77777777" w:rsidTr="00FE1495">
        <w:trPr>
          <w:trHeight w:val="359"/>
        </w:trPr>
        <w:tc>
          <w:tcPr>
            <w:tcW w:w="850" w:type="dxa"/>
          </w:tcPr>
          <w:p w14:paraId="61B8B5A3" w14:textId="0C6375A1" w:rsidR="00FE1495" w:rsidRDefault="00FE1495" w:rsidP="00FE1495">
            <w:pPr>
              <w:pStyle w:val="TableText"/>
              <w:ind w:left="57" w:right="170"/>
              <w:jc w:val="right"/>
              <w:rPr>
                <w:rFonts w:cs="Segoe UI"/>
                <w:sz w:val="16"/>
                <w:szCs w:val="16"/>
              </w:rPr>
            </w:pPr>
            <w:r w:rsidRPr="00FE1495">
              <w:rPr>
                <w:rFonts w:cs="Segoe UI"/>
                <w:sz w:val="16"/>
                <w:szCs w:val="16"/>
              </w:rPr>
              <w:t>9,057</w:t>
            </w:r>
          </w:p>
        </w:tc>
        <w:tc>
          <w:tcPr>
            <w:tcW w:w="5385" w:type="dxa"/>
            <w:hideMark/>
          </w:tcPr>
          <w:p w14:paraId="061D1BEA" w14:textId="77777777" w:rsidR="00FE1495" w:rsidRPr="00FE1495" w:rsidRDefault="00FE1495" w:rsidP="00FE1495">
            <w:pPr>
              <w:pStyle w:val="TableText"/>
              <w:rPr>
                <w:w w:val="105"/>
                <w:sz w:val="16"/>
                <w:szCs w:val="18"/>
              </w:rPr>
            </w:pPr>
            <w:r w:rsidRPr="00FE1495">
              <w:rPr>
                <w:w w:val="105"/>
                <w:sz w:val="16"/>
                <w:szCs w:val="18"/>
              </w:rPr>
              <w:t>Not later than one year</w:t>
            </w:r>
          </w:p>
        </w:tc>
        <w:tc>
          <w:tcPr>
            <w:tcW w:w="1775" w:type="dxa"/>
          </w:tcPr>
          <w:p w14:paraId="25C4907D" w14:textId="2620F154" w:rsidR="00FE1495" w:rsidRPr="00FE1495" w:rsidRDefault="00FE1495" w:rsidP="00FE1495">
            <w:pPr>
              <w:pStyle w:val="TableText"/>
              <w:ind w:left="57" w:right="170"/>
              <w:jc w:val="right"/>
              <w:rPr>
                <w:rFonts w:cs="Segoe UI"/>
                <w:sz w:val="16"/>
                <w:szCs w:val="16"/>
              </w:rPr>
            </w:pPr>
            <w:r w:rsidRPr="00FE1495">
              <w:rPr>
                <w:rFonts w:cs="Segoe UI"/>
                <w:sz w:val="16"/>
                <w:szCs w:val="16"/>
              </w:rPr>
              <w:t>9,882</w:t>
            </w:r>
          </w:p>
        </w:tc>
      </w:tr>
      <w:tr w:rsidR="00FE1495" w14:paraId="1CACE6C3" w14:textId="77777777" w:rsidTr="00FE1495">
        <w:trPr>
          <w:trHeight w:val="359"/>
        </w:trPr>
        <w:tc>
          <w:tcPr>
            <w:tcW w:w="850" w:type="dxa"/>
          </w:tcPr>
          <w:p w14:paraId="5892599B" w14:textId="5EA449A6" w:rsidR="00FE1495" w:rsidRDefault="00FE1495" w:rsidP="00FE1495">
            <w:pPr>
              <w:pStyle w:val="TableText"/>
              <w:ind w:left="57" w:right="170"/>
              <w:jc w:val="right"/>
              <w:rPr>
                <w:rFonts w:cs="Segoe UI"/>
                <w:sz w:val="16"/>
                <w:szCs w:val="16"/>
              </w:rPr>
            </w:pPr>
            <w:r w:rsidRPr="00FE1495">
              <w:rPr>
                <w:rFonts w:cs="Segoe UI"/>
                <w:sz w:val="16"/>
                <w:szCs w:val="16"/>
              </w:rPr>
              <w:t>32,898</w:t>
            </w:r>
          </w:p>
        </w:tc>
        <w:tc>
          <w:tcPr>
            <w:tcW w:w="5385" w:type="dxa"/>
            <w:hideMark/>
          </w:tcPr>
          <w:p w14:paraId="018474EB" w14:textId="77777777" w:rsidR="00FE1495" w:rsidRPr="00FE1495" w:rsidRDefault="00FE1495" w:rsidP="00FE1495">
            <w:pPr>
              <w:pStyle w:val="TableText"/>
              <w:rPr>
                <w:w w:val="105"/>
                <w:sz w:val="16"/>
                <w:szCs w:val="18"/>
              </w:rPr>
            </w:pPr>
            <w:r w:rsidRPr="00FE1495">
              <w:rPr>
                <w:w w:val="105"/>
                <w:sz w:val="16"/>
                <w:szCs w:val="18"/>
              </w:rPr>
              <w:t>Later than one year and not later than five years</w:t>
            </w:r>
          </w:p>
        </w:tc>
        <w:tc>
          <w:tcPr>
            <w:tcW w:w="1775" w:type="dxa"/>
          </w:tcPr>
          <w:p w14:paraId="5185FFA3" w14:textId="58D6D81D" w:rsidR="00FE1495" w:rsidRPr="00FE1495" w:rsidRDefault="00FE1495" w:rsidP="00FE1495">
            <w:pPr>
              <w:pStyle w:val="TableText"/>
              <w:ind w:left="57" w:right="170"/>
              <w:jc w:val="right"/>
              <w:rPr>
                <w:rFonts w:cs="Segoe UI"/>
                <w:sz w:val="16"/>
                <w:szCs w:val="16"/>
              </w:rPr>
            </w:pPr>
            <w:r w:rsidRPr="00FE1495">
              <w:rPr>
                <w:rFonts w:cs="Segoe UI"/>
                <w:sz w:val="16"/>
                <w:szCs w:val="16"/>
              </w:rPr>
              <w:t>33,858</w:t>
            </w:r>
          </w:p>
        </w:tc>
      </w:tr>
      <w:tr w:rsidR="00FE1495" w14:paraId="0961F0FE" w14:textId="77777777" w:rsidTr="00FE1495">
        <w:trPr>
          <w:trHeight w:val="348"/>
        </w:trPr>
        <w:tc>
          <w:tcPr>
            <w:tcW w:w="850" w:type="dxa"/>
            <w:tcBorders>
              <w:top w:val="nil"/>
              <w:left w:val="nil"/>
              <w:bottom w:val="single" w:sz="4" w:space="0" w:color="A6A6A6" w:themeColor="background1" w:themeShade="A6"/>
              <w:right w:val="nil"/>
            </w:tcBorders>
          </w:tcPr>
          <w:p w14:paraId="301D7DEA" w14:textId="5FAA4CEE" w:rsidR="00FE1495" w:rsidRDefault="00FE1495" w:rsidP="00FE1495">
            <w:pPr>
              <w:pStyle w:val="TableText"/>
              <w:ind w:left="57" w:right="170"/>
              <w:jc w:val="right"/>
              <w:rPr>
                <w:rFonts w:cs="Segoe UI"/>
                <w:sz w:val="16"/>
                <w:szCs w:val="16"/>
              </w:rPr>
            </w:pPr>
            <w:r w:rsidRPr="00FE1495">
              <w:rPr>
                <w:rFonts w:cs="Segoe UI"/>
                <w:sz w:val="16"/>
                <w:szCs w:val="16"/>
              </w:rPr>
              <w:t>25,910</w:t>
            </w:r>
          </w:p>
        </w:tc>
        <w:tc>
          <w:tcPr>
            <w:tcW w:w="5385" w:type="dxa"/>
            <w:tcBorders>
              <w:top w:val="nil"/>
              <w:left w:val="nil"/>
              <w:bottom w:val="single" w:sz="4" w:space="0" w:color="A6A6A6" w:themeColor="background1" w:themeShade="A6"/>
              <w:right w:val="nil"/>
            </w:tcBorders>
            <w:hideMark/>
          </w:tcPr>
          <w:p w14:paraId="767440E3" w14:textId="77777777" w:rsidR="00FE1495" w:rsidRPr="00FE1495" w:rsidRDefault="00FE1495" w:rsidP="00FE1495">
            <w:pPr>
              <w:pStyle w:val="TableText"/>
              <w:rPr>
                <w:w w:val="105"/>
                <w:sz w:val="16"/>
                <w:szCs w:val="18"/>
              </w:rPr>
            </w:pPr>
            <w:r w:rsidRPr="00FE1495">
              <w:rPr>
                <w:w w:val="105"/>
                <w:sz w:val="16"/>
                <w:szCs w:val="18"/>
              </w:rPr>
              <w:t>Later than five years</w:t>
            </w:r>
          </w:p>
        </w:tc>
        <w:tc>
          <w:tcPr>
            <w:tcW w:w="1775" w:type="dxa"/>
            <w:tcBorders>
              <w:top w:val="nil"/>
              <w:left w:val="nil"/>
              <w:bottom w:val="single" w:sz="4" w:space="0" w:color="A6A6A6" w:themeColor="background1" w:themeShade="A6"/>
              <w:right w:val="nil"/>
            </w:tcBorders>
          </w:tcPr>
          <w:p w14:paraId="64EA3E39" w14:textId="452DBE01" w:rsidR="00FE1495" w:rsidRPr="00FE1495" w:rsidRDefault="00FE1495" w:rsidP="00FE1495">
            <w:pPr>
              <w:pStyle w:val="TableText"/>
              <w:ind w:left="57" w:right="170"/>
              <w:jc w:val="right"/>
              <w:rPr>
                <w:rFonts w:cs="Segoe UI"/>
                <w:sz w:val="16"/>
                <w:szCs w:val="16"/>
              </w:rPr>
            </w:pPr>
            <w:r w:rsidRPr="00FE1495">
              <w:rPr>
                <w:rFonts w:cs="Segoe UI"/>
                <w:sz w:val="16"/>
                <w:szCs w:val="16"/>
              </w:rPr>
              <w:t>20,541</w:t>
            </w:r>
          </w:p>
        </w:tc>
      </w:tr>
      <w:tr w:rsidR="00FE1495" w:rsidRPr="00FE1495" w14:paraId="202B78BB" w14:textId="77777777" w:rsidTr="00FE1495">
        <w:trPr>
          <w:trHeight w:val="344"/>
        </w:trPr>
        <w:tc>
          <w:tcPr>
            <w:tcW w:w="850" w:type="dxa"/>
            <w:tcBorders>
              <w:top w:val="single" w:sz="4" w:space="0" w:color="A6A6A6" w:themeColor="background1" w:themeShade="A6"/>
              <w:left w:val="nil"/>
              <w:bottom w:val="single" w:sz="4" w:space="0" w:color="A6A6A6" w:themeColor="background1" w:themeShade="A6"/>
              <w:right w:val="nil"/>
            </w:tcBorders>
          </w:tcPr>
          <w:p w14:paraId="0D67036A" w14:textId="23562852" w:rsidR="00FE1495" w:rsidRPr="00FE1495" w:rsidRDefault="00FE1495" w:rsidP="00FE1495">
            <w:pPr>
              <w:pStyle w:val="TableText"/>
              <w:ind w:left="57" w:right="170"/>
              <w:jc w:val="right"/>
              <w:rPr>
                <w:rFonts w:cs="Segoe UI"/>
                <w:b/>
                <w:bCs/>
                <w:sz w:val="16"/>
                <w:szCs w:val="16"/>
              </w:rPr>
            </w:pPr>
            <w:r w:rsidRPr="00FE1495">
              <w:rPr>
                <w:rFonts w:cs="Segoe UI"/>
                <w:b/>
                <w:bCs/>
                <w:sz w:val="16"/>
                <w:szCs w:val="16"/>
              </w:rPr>
              <w:t>67,865</w:t>
            </w:r>
          </w:p>
        </w:tc>
        <w:tc>
          <w:tcPr>
            <w:tcW w:w="5385" w:type="dxa"/>
            <w:tcBorders>
              <w:top w:val="single" w:sz="4" w:space="0" w:color="A6A6A6" w:themeColor="background1" w:themeShade="A6"/>
              <w:left w:val="nil"/>
              <w:bottom w:val="single" w:sz="4" w:space="0" w:color="A6A6A6" w:themeColor="background1" w:themeShade="A6"/>
              <w:right w:val="nil"/>
            </w:tcBorders>
            <w:hideMark/>
          </w:tcPr>
          <w:p w14:paraId="43FAA365" w14:textId="77777777" w:rsidR="00FE1495" w:rsidRPr="00FE1495" w:rsidRDefault="00FE1495" w:rsidP="00FE1495">
            <w:pPr>
              <w:pStyle w:val="TableText"/>
              <w:rPr>
                <w:b/>
                <w:bCs/>
                <w:w w:val="105"/>
                <w:sz w:val="16"/>
                <w:szCs w:val="18"/>
              </w:rPr>
            </w:pPr>
            <w:r w:rsidRPr="00FE1495">
              <w:rPr>
                <w:b/>
                <w:bCs/>
                <w:w w:val="105"/>
                <w:sz w:val="16"/>
                <w:szCs w:val="18"/>
              </w:rPr>
              <w:t>Total non-cancellable operating lease commitments</w:t>
            </w:r>
          </w:p>
        </w:tc>
        <w:tc>
          <w:tcPr>
            <w:tcW w:w="1775" w:type="dxa"/>
            <w:tcBorders>
              <w:top w:val="single" w:sz="4" w:space="0" w:color="A6A6A6" w:themeColor="background1" w:themeShade="A6"/>
              <w:left w:val="nil"/>
              <w:bottom w:val="single" w:sz="4" w:space="0" w:color="A6A6A6" w:themeColor="background1" w:themeShade="A6"/>
              <w:right w:val="nil"/>
            </w:tcBorders>
          </w:tcPr>
          <w:p w14:paraId="015B21C7" w14:textId="06DF14AB" w:rsidR="00FE1495" w:rsidRPr="00FE1495" w:rsidRDefault="00FE1495" w:rsidP="00FE1495">
            <w:pPr>
              <w:pStyle w:val="TableText"/>
              <w:ind w:left="57" w:right="170"/>
              <w:jc w:val="right"/>
              <w:rPr>
                <w:rFonts w:cs="Segoe UI"/>
                <w:b/>
                <w:bCs/>
                <w:sz w:val="16"/>
                <w:szCs w:val="16"/>
              </w:rPr>
            </w:pPr>
            <w:r w:rsidRPr="00FE1495">
              <w:rPr>
                <w:rFonts w:cs="Segoe UI"/>
                <w:b/>
                <w:bCs/>
                <w:sz w:val="16"/>
                <w:szCs w:val="16"/>
              </w:rPr>
              <w:t>64,281</w:t>
            </w:r>
          </w:p>
        </w:tc>
      </w:tr>
      <w:tr w:rsidR="00FE1495" w:rsidRPr="00FE1495" w14:paraId="3FA0873D" w14:textId="77777777" w:rsidTr="00FE1495">
        <w:trPr>
          <w:trHeight w:val="344"/>
        </w:trPr>
        <w:tc>
          <w:tcPr>
            <w:tcW w:w="850" w:type="dxa"/>
            <w:tcBorders>
              <w:top w:val="single" w:sz="4" w:space="0" w:color="A6A6A6" w:themeColor="background1" w:themeShade="A6"/>
              <w:left w:val="nil"/>
              <w:bottom w:val="single" w:sz="4" w:space="0" w:color="A6A6A6" w:themeColor="background1" w:themeShade="A6"/>
              <w:right w:val="nil"/>
            </w:tcBorders>
          </w:tcPr>
          <w:p w14:paraId="3EC36292" w14:textId="3B558DCF" w:rsidR="00FE1495" w:rsidRPr="00FE1495" w:rsidRDefault="00FE1495" w:rsidP="00FE1495">
            <w:pPr>
              <w:pStyle w:val="TableText"/>
              <w:ind w:left="57" w:right="170"/>
              <w:jc w:val="right"/>
              <w:rPr>
                <w:rFonts w:cs="Segoe UI"/>
                <w:b/>
                <w:bCs/>
                <w:sz w:val="16"/>
                <w:szCs w:val="16"/>
              </w:rPr>
            </w:pPr>
            <w:r w:rsidRPr="00FE1495">
              <w:rPr>
                <w:rFonts w:cs="Segoe UI"/>
                <w:b/>
                <w:bCs/>
                <w:sz w:val="16"/>
                <w:szCs w:val="16"/>
              </w:rPr>
              <w:t>69,692</w:t>
            </w:r>
          </w:p>
        </w:tc>
        <w:tc>
          <w:tcPr>
            <w:tcW w:w="5385" w:type="dxa"/>
            <w:tcBorders>
              <w:top w:val="single" w:sz="4" w:space="0" w:color="A6A6A6" w:themeColor="background1" w:themeShade="A6"/>
              <w:left w:val="nil"/>
              <w:bottom w:val="single" w:sz="4" w:space="0" w:color="A6A6A6" w:themeColor="background1" w:themeShade="A6"/>
              <w:right w:val="nil"/>
            </w:tcBorders>
            <w:hideMark/>
          </w:tcPr>
          <w:p w14:paraId="68A948B3" w14:textId="77777777" w:rsidR="00FE1495" w:rsidRPr="00FE1495" w:rsidRDefault="00FE1495" w:rsidP="00FE1495">
            <w:pPr>
              <w:pStyle w:val="TableText"/>
              <w:rPr>
                <w:b/>
                <w:bCs/>
                <w:w w:val="105"/>
                <w:sz w:val="16"/>
                <w:szCs w:val="18"/>
              </w:rPr>
            </w:pPr>
            <w:r w:rsidRPr="00FE1495">
              <w:rPr>
                <w:b/>
                <w:bCs/>
                <w:w w:val="105"/>
                <w:sz w:val="16"/>
                <w:szCs w:val="18"/>
              </w:rPr>
              <w:t>Total commitments</w:t>
            </w:r>
          </w:p>
        </w:tc>
        <w:tc>
          <w:tcPr>
            <w:tcW w:w="1775" w:type="dxa"/>
            <w:tcBorders>
              <w:top w:val="single" w:sz="4" w:space="0" w:color="A6A6A6" w:themeColor="background1" w:themeShade="A6"/>
              <w:left w:val="nil"/>
              <w:bottom w:val="single" w:sz="4" w:space="0" w:color="A6A6A6" w:themeColor="background1" w:themeShade="A6"/>
              <w:right w:val="nil"/>
            </w:tcBorders>
          </w:tcPr>
          <w:p w14:paraId="4156F277" w14:textId="3728919A" w:rsidR="00FE1495" w:rsidRPr="00FE1495" w:rsidRDefault="00FE1495" w:rsidP="00FE1495">
            <w:pPr>
              <w:pStyle w:val="TableText"/>
              <w:ind w:left="57" w:right="170"/>
              <w:jc w:val="right"/>
              <w:rPr>
                <w:rFonts w:cs="Segoe UI"/>
                <w:b/>
                <w:bCs/>
                <w:sz w:val="16"/>
                <w:szCs w:val="16"/>
              </w:rPr>
            </w:pPr>
            <w:r w:rsidRPr="00FE1495">
              <w:rPr>
                <w:rFonts w:cs="Segoe UI"/>
                <w:b/>
                <w:bCs/>
                <w:sz w:val="16"/>
                <w:szCs w:val="16"/>
              </w:rPr>
              <w:t>64,281</w:t>
            </w:r>
          </w:p>
        </w:tc>
      </w:tr>
    </w:tbl>
    <w:p w14:paraId="26D9AFFC" w14:textId="77777777" w:rsidR="00FE1495" w:rsidRPr="00FE1495" w:rsidRDefault="00FE1495" w:rsidP="00FE1495">
      <w:pPr>
        <w:pStyle w:val="Note"/>
      </w:pPr>
      <w:r w:rsidRPr="00FE1495">
        <w:t>The accompanying notes form part of these financial statements.</w:t>
      </w:r>
    </w:p>
    <w:p w14:paraId="1795688F" w14:textId="77777777" w:rsidR="00FE1495" w:rsidRDefault="00FE1495" w:rsidP="00FE1495"/>
    <w:p w14:paraId="55B821AC" w14:textId="77777777" w:rsidR="00FE1495" w:rsidRDefault="00FE1495" w:rsidP="00FE1495">
      <w:r>
        <w:t>The Ministry has medium to long-term leases on its premises in Auckland and Wellington, and Hamilton, Christchurch and Palmerston North are leased premises only for Te Aho o Te Kahu. The annual lease payments are subject to regular reviews ranging from one to four years. Amounts disclosed are based on current rental rates.</w:t>
      </w:r>
    </w:p>
    <w:p w14:paraId="0FC216FC" w14:textId="77777777" w:rsidR="00FE1495" w:rsidRDefault="00FE1495" w:rsidP="00FE1495"/>
    <w:p w14:paraId="0E2CB32A" w14:textId="77777777" w:rsidR="00FE1495" w:rsidRDefault="00FE1495" w:rsidP="00FE1495"/>
    <w:p w14:paraId="7283FDA3" w14:textId="77777777" w:rsidR="00FE1495" w:rsidRDefault="00FE1495" w:rsidP="00FE1495">
      <w:pPr>
        <w:rPr>
          <w:highlight w:val="yellow"/>
        </w:rPr>
        <w:sectPr w:rsidR="00FE1495" w:rsidSect="000A3324">
          <w:pgSz w:w="11907" w:h="16840" w:code="9"/>
          <w:pgMar w:top="1418" w:right="1701" w:bottom="1134" w:left="1843" w:header="284" w:footer="425" w:gutter="284"/>
          <w:cols w:space="720"/>
        </w:sectPr>
      </w:pPr>
    </w:p>
    <w:p w14:paraId="478FC8FF" w14:textId="77777777" w:rsidR="00FE1495" w:rsidRDefault="00FE1495" w:rsidP="00FE1495">
      <w:pPr>
        <w:pStyle w:val="Heading2"/>
        <w:spacing w:before="0"/>
      </w:pPr>
      <w:bookmarkStart w:id="46" w:name="_Toc180077042"/>
      <w:r>
        <w:lastRenderedPageBreak/>
        <w:t xml:space="preserve">Statement of contingent liabilities and contingent assets as </w:t>
      </w:r>
      <w:proofErr w:type="gramStart"/>
      <w:r>
        <w:t>at</w:t>
      </w:r>
      <w:proofErr w:type="gramEnd"/>
      <w:r>
        <w:t xml:space="preserve"> 30 June 2024</w:t>
      </w:r>
      <w:bookmarkEnd w:id="46"/>
    </w:p>
    <w:p w14:paraId="721EB8B3" w14:textId="6DFEB468" w:rsidR="00FE1495" w:rsidRDefault="00FE1495" w:rsidP="00FE1495">
      <w:r>
        <w:t xml:space="preserve">The Ministry is defending a small number of legal disputes involving past employees for which a potential liability has not yet been quantified as </w:t>
      </w:r>
      <w:proofErr w:type="gramStart"/>
      <w:r>
        <w:t>at</w:t>
      </w:r>
      <w:proofErr w:type="gramEnd"/>
      <w:r>
        <w:t xml:space="preserve"> 30 June 2024.</w:t>
      </w:r>
    </w:p>
    <w:p w14:paraId="5F5BF676" w14:textId="77777777" w:rsidR="00FE1495" w:rsidRDefault="00FE1495" w:rsidP="00FE1495"/>
    <w:p w14:paraId="4CB16EDF" w14:textId="77777777" w:rsidR="00FE1495" w:rsidRDefault="00FE1495" w:rsidP="00FE1495">
      <w:r>
        <w:t xml:space="preserve">The Ministry had no other contingent liabilities as </w:t>
      </w:r>
      <w:proofErr w:type="gramStart"/>
      <w:r>
        <w:t>at</w:t>
      </w:r>
      <w:proofErr w:type="gramEnd"/>
      <w:r>
        <w:t xml:space="preserve"> 30 June 2024 (2023: $nil). </w:t>
      </w:r>
    </w:p>
    <w:p w14:paraId="21F83F17" w14:textId="77777777" w:rsidR="00FE1495" w:rsidRDefault="00FE1495" w:rsidP="00FE1495"/>
    <w:p w14:paraId="36A30A9F" w14:textId="77777777" w:rsidR="00FE1495" w:rsidRDefault="00FE1495" w:rsidP="00FE1495">
      <w:r>
        <w:t xml:space="preserve">The Ministry had no contingent assets as </w:t>
      </w:r>
      <w:proofErr w:type="gramStart"/>
      <w:r>
        <w:t>at</w:t>
      </w:r>
      <w:proofErr w:type="gramEnd"/>
      <w:r>
        <w:t xml:space="preserve"> 30 June 2024 (2023: $nil).</w:t>
      </w:r>
    </w:p>
    <w:p w14:paraId="3282FA0C" w14:textId="77777777" w:rsidR="00FE1495" w:rsidRDefault="00FE1495" w:rsidP="00FE1495">
      <w:pPr>
        <w:pStyle w:val="Heading2"/>
      </w:pPr>
      <w:bookmarkStart w:id="47" w:name="_Toc180077043"/>
      <w:r>
        <w:t>Notes to the financial statements for the year ended 30 June 2024</w:t>
      </w:r>
      <w:bookmarkEnd w:id="47"/>
    </w:p>
    <w:p w14:paraId="1F00FB48" w14:textId="65AF405D" w:rsidR="00FE1495" w:rsidRPr="00FE1495" w:rsidRDefault="00FE1495" w:rsidP="00FE1495">
      <w:pPr>
        <w:rPr>
          <w:b/>
          <w:bCs/>
        </w:rPr>
      </w:pPr>
      <w:r w:rsidRPr="00FE1495">
        <w:rPr>
          <w:b/>
          <w:bCs/>
        </w:rPr>
        <w:t>Notes index</w:t>
      </w:r>
    </w:p>
    <w:p w14:paraId="7CFA53A1" w14:textId="2F234F0B" w:rsidR="00FE1495" w:rsidRDefault="00FE1495" w:rsidP="007123AC">
      <w:pPr>
        <w:pStyle w:val="Number"/>
        <w:numPr>
          <w:ilvl w:val="0"/>
          <w:numId w:val="28"/>
        </w:numPr>
        <w:ind w:left="426" w:hanging="426"/>
      </w:pPr>
      <w:r>
        <w:t>Statement of accounting policies</w:t>
      </w:r>
    </w:p>
    <w:p w14:paraId="2A673483" w14:textId="6C2800BA" w:rsidR="00FE1495" w:rsidRDefault="00FE1495" w:rsidP="007123AC">
      <w:pPr>
        <w:pStyle w:val="Number"/>
        <w:numPr>
          <w:ilvl w:val="0"/>
          <w:numId w:val="28"/>
        </w:numPr>
        <w:ind w:left="426" w:hanging="426"/>
      </w:pPr>
      <w:r>
        <w:t>Revenue</w:t>
      </w:r>
    </w:p>
    <w:p w14:paraId="54564427" w14:textId="3D77821C" w:rsidR="00FE1495" w:rsidRDefault="00FE1495" w:rsidP="007123AC">
      <w:pPr>
        <w:pStyle w:val="Number"/>
        <w:numPr>
          <w:ilvl w:val="0"/>
          <w:numId w:val="28"/>
        </w:numPr>
        <w:ind w:left="426" w:hanging="426"/>
      </w:pPr>
      <w:r>
        <w:t>Personnel costs</w:t>
      </w:r>
    </w:p>
    <w:p w14:paraId="0C817FB6" w14:textId="6837BC3A" w:rsidR="00FE1495" w:rsidRDefault="00FE1495" w:rsidP="007123AC">
      <w:pPr>
        <w:pStyle w:val="Number"/>
        <w:numPr>
          <w:ilvl w:val="0"/>
          <w:numId w:val="28"/>
        </w:numPr>
        <w:ind w:left="426" w:hanging="426"/>
      </w:pPr>
      <w:r>
        <w:t xml:space="preserve">Capital </w:t>
      </w:r>
      <w:proofErr w:type="gramStart"/>
      <w:r>
        <w:t>charge</w:t>
      </w:r>
      <w:proofErr w:type="gramEnd"/>
    </w:p>
    <w:p w14:paraId="5F0D200A" w14:textId="709263AC" w:rsidR="00FE1495" w:rsidRDefault="00FE1495" w:rsidP="007123AC">
      <w:pPr>
        <w:pStyle w:val="Number"/>
        <w:numPr>
          <w:ilvl w:val="0"/>
          <w:numId w:val="28"/>
        </w:numPr>
        <w:ind w:left="426" w:hanging="426"/>
      </w:pPr>
      <w:r>
        <w:t>Other expenses</w:t>
      </w:r>
    </w:p>
    <w:p w14:paraId="1592FEF2" w14:textId="36E756F6" w:rsidR="00FE1495" w:rsidRDefault="00FE1495" w:rsidP="007123AC">
      <w:pPr>
        <w:pStyle w:val="Number"/>
        <w:numPr>
          <w:ilvl w:val="0"/>
          <w:numId w:val="28"/>
        </w:numPr>
        <w:ind w:left="426" w:hanging="426"/>
      </w:pPr>
      <w:r>
        <w:t>Receivables</w:t>
      </w:r>
    </w:p>
    <w:p w14:paraId="434B3F30" w14:textId="53CE8F52" w:rsidR="00FE1495" w:rsidRDefault="00FE1495" w:rsidP="007123AC">
      <w:pPr>
        <w:pStyle w:val="Number"/>
        <w:numPr>
          <w:ilvl w:val="0"/>
          <w:numId w:val="28"/>
        </w:numPr>
        <w:ind w:left="426" w:hanging="426"/>
      </w:pPr>
      <w:r>
        <w:t xml:space="preserve">Plant, property and </w:t>
      </w:r>
      <w:proofErr w:type="gramStart"/>
      <w:r>
        <w:t>equipment</w:t>
      </w:r>
      <w:proofErr w:type="gramEnd"/>
    </w:p>
    <w:p w14:paraId="38C3F3E6" w14:textId="47C52F74" w:rsidR="00FE1495" w:rsidRDefault="00FE1495" w:rsidP="007123AC">
      <w:pPr>
        <w:pStyle w:val="Number"/>
        <w:numPr>
          <w:ilvl w:val="0"/>
          <w:numId w:val="28"/>
        </w:numPr>
        <w:ind w:left="426" w:hanging="426"/>
      </w:pPr>
      <w:r>
        <w:t>Intangible assets</w:t>
      </w:r>
    </w:p>
    <w:p w14:paraId="507081C4" w14:textId="1D008FEC" w:rsidR="00FE1495" w:rsidRDefault="00FE1495" w:rsidP="007123AC">
      <w:pPr>
        <w:pStyle w:val="Number"/>
        <w:numPr>
          <w:ilvl w:val="0"/>
          <w:numId w:val="28"/>
        </w:numPr>
        <w:ind w:left="426" w:hanging="426"/>
      </w:pPr>
      <w:r>
        <w:t>Payables</w:t>
      </w:r>
    </w:p>
    <w:p w14:paraId="072F136C" w14:textId="4A54CE84" w:rsidR="00FE1495" w:rsidRDefault="00FE1495" w:rsidP="007123AC">
      <w:pPr>
        <w:pStyle w:val="Number"/>
        <w:numPr>
          <w:ilvl w:val="0"/>
          <w:numId w:val="28"/>
        </w:numPr>
        <w:ind w:left="426" w:hanging="426"/>
      </w:pPr>
      <w:r>
        <w:t>Return of operating surplus</w:t>
      </w:r>
    </w:p>
    <w:p w14:paraId="3408DA32" w14:textId="0EFDF621" w:rsidR="00FE1495" w:rsidRDefault="00FE1495" w:rsidP="007123AC">
      <w:pPr>
        <w:pStyle w:val="Number"/>
        <w:numPr>
          <w:ilvl w:val="0"/>
          <w:numId w:val="28"/>
        </w:numPr>
        <w:ind w:left="426" w:hanging="426"/>
      </w:pPr>
      <w:r>
        <w:t>Provisions</w:t>
      </w:r>
    </w:p>
    <w:p w14:paraId="52A78056" w14:textId="6F633F43" w:rsidR="00FE1495" w:rsidRDefault="00FE1495" w:rsidP="007123AC">
      <w:pPr>
        <w:pStyle w:val="Number"/>
        <w:numPr>
          <w:ilvl w:val="0"/>
          <w:numId w:val="28"/>
        </w:numPr>
        <w:ind w:left="426" w:hanging="426"/>
      </w:pPr>
      <w:r>
        <w:t>Employee entitlements</w:t>
      </w:r>
    </w:p>
    <w:p w14:paraId="7EF34AB7" w14:textId="5AE67607" w:rsidR="00FE1495" w:rsidRDefault="00FE1495" w:rsidP="007123AC">
      <w:pPr>
        <w:pStyle w:val="Number"/>
        <w:numPr>
          <w:ilvl w:val="0"/>
          <w:numId w:val="28"/>
        </w:numPr>
        <w:ind w:left="426" w:hanging="426"/>
      </w:pPr>
      <w:r>
        <w:t>Equity</w:t>
      </w:r>
    </w:p>
    <w:p w14:paraId="568648C3" w14:textId="0AC92C0B" w:rsidR="00FE1495" w:rsidRDefault="00FE1495" w:rsidP="007123AC">
      <w:pPr>
        <w:pStyle w:val="Number"/>
        <w:numPr>
          <w:ilvl w:val="0"/>
          <w:numId w:val="28"/>
        </w:numPr>
        <w:ind w:left="426" w:hanging="426"/>
      </w:pPr>
      <w:r>
        <w:t>Memorandum accounts</w:t>
      </w:r>
    </w:p>
    <w:p w14:paraId="78A24B76" w14:textId="79054A85" w:rsidR="00FE1495" w:rsidRDefault="00FE1495" w:rsidP="007123AC">
      <w:pPr>
        <w:pStyle w:val="Number"/>
        <w:numPr>
          <w:ilvl w:val="0"/>
          <w:numId w:val="28"/>
        </w:numPr>
        <w:ind w:left="426" w:hanging="426"/>
      </w:pPr>
      <w:r>
        <w:t>Related party transactions</w:t>
      </w:r>
    </w:p>
    <w:p w14:paraId="0535D9EB" w14:textId="16EEC20B" w:rsidR="00FE1495" w:rsidRDefault="00FE1495" w:rsidP="007123AC">
      <w:pPr>
        <w:pStyle w:val="Number"/>
        <w:numPr>
          <w:ilvl w:val="0"/>
          <w:numId w:val="28"/>
        </w:numPr>
        <w:ind w:left="426" w:hanging="426"/>
      </w:pPr>
      <w:r>
        <w:t>Financial instruments</w:t>
      </w:r>
    </w:p>
    <w:p w14:paraId="7DF5BD25" w14:textId="5BDA6100" w:rsidR="00FE1495" w:rsidRDefault="00FE1495" w:rsidP="007123AC">
      <w:pPr>
        <w:pStyle w:val="Number"/>
        <w:numPr>
          <w:ilvl w:val="0"/>
          <w:numId w:val="28"/>
        </w:numPr>
        <w:ind w:left="426" w:hanging="426"/>
      </w:pPr>
      <w:r>
        <w:t>Departmental agency results</w:t>
      </w:r>
    </w:p>
    <w:p w14:paraId="1C33D7C9" w14:textId="77777777" w:rsidR="00FE1495" w:rsidRDefault="00FE1495" w:rsidP="007123AC">
      <w:pPr>
        <w:pStyle w:val="Number"/>
        <w:numPr>
          <w:ilvl w:val="0"/>
          <w:numId w:val="28"/>
        </w:numPr>
        <w:ind w:left="426" w:hanging="426"/>
        <w:sectPr w:rsidR="00FE1495" w:rsidSect="000A3324">
          <w:pgSz w:w="11907" w:h="16840" w:code="9"/>
          <w:pgMar w:top="1418" w:right="1701" w:bottom="1134" w:left="1843" w:header="284" w:footer="425" w:gutter="284"/>
          <w:cols w:space="720"/>
        </w:sectPr>
      </w:pPr>
      <w:r w:rsidRPr="00FE1495">
        <w:t>Events after balance date</w:t>
      </w:r>
    </w:p>
    <w:p w14:paraId="2AF1CB46" w14:textId="77777777" w:rsidR="00732F44" w:rsidRDefault="00732F44" w:rsidP="007123AC">
      <w:pPr>
        <w:pStyle w:val="Heading3"/>
        <w:numPr>
          <w:ilvl w:val="6"/>
          <w:numId w:val="5"/>
        </w:numPr>
        <w:tabs>
          <w:tab w:val="num" w:pos="5040"/>
        </w:tabs>
        <w:spacing w:before="0"/>
        <w:ind w:left="709" w:hanging="709"/>
      </w:pPr>
      <w:r>
        <w:lastRenderedPageBreak/>
        <w:t>Statement of accounting policies</w:t>
      </w:r>
    </w:p>
    <w:p w14:paraId="19101539" w14:textId="77777777" w:rsidR="00732F44" w:rsidRDefault="00732F44" w:rsidP="00732F44">
      <w:pPr>
        <w:pStyle w:val="Heading4"/>
      </w:pPr>
      <w:r>
        <w:t>Reporting entity</w:t>
      </w:r>
      <w:r>
        <w:tab/>
      </w:r>
    </w:p>
    <w:p w14:paraId="3D892A0B" w14:textId="0C53912C" w:rsidR="00732F44" w:rsidRDefault="00732F44" w:rsidP="00732F44">
      <w:r>
        <w:t>The Ministry of Health (the Ministry) is a government department as defined by section 5 of the Public Service Act 2020 and is domiciled and operates in New Zealand. The relevant legislation governing the Ministry’s operations includes the Public Finance Act 1989, the Public Service Act 2020 and the New Zealand Public Health and Disability Act 2000. The Ministry’s ultimate parent is the New Zealand Crown.</w:t>
      </w:r>
    </w:p>
    <w:p w14:paraId="7CF50964" w14:textId="77777777" w:rsidR="00732F44" w:rsidRDefault="00732F44" w:rsidP="00732F44"/>
    <w:p w14:paraId="7EFC778F" w14:textId="63B313BA" w:rsidR="00732F44" w:rsidRDefault="00732F44" w:rsidP="00732F44">
      <w:r>
        <w:t>The financial statements of the Ministry for the year ended 30 June 2024 are consolidated financial statements including the Ministry and Te Aho o Te Kahu – Cancer Control Agency (Te Aho o Te Kahu). Te Aho o Te Kahu (established 1 December 2019) is a departmental agency as defined by section 2 of the Public Finance Act 1989 and section 5 of the Public Service Act 2020 and is hosted within the Ministry. Unless explicitly stated, references to the Ministry cover the Ministry and the departmental agency (see note 17).</w:t>
      </w:r>
    </w:p>
    <w:p w14:paraId="6808C26D" w14:textId="77777777" w:rsidR="00732F44" w:rsidRDefault="00732F44" w:rsidP="00732F44"/>
    <w:p w14:paraId="3683B178" w14:textId="3317B31B" w:rsidR="00732F44" w:rsidRDefault="00732F44" w:rsidP="00732F44">
      <w:r>
        <w:t xml:space="preserve">In addition, the Ministry has reported on Crown activities that it administers in the Non-departmental statements and schedules on </w:t>
      </w:r>
      <w:r w:rsidRPr="00672DB3">
        <w:t>pages 151–167</w:t>
      </w:r>
      <w:r>
        <w:t>.</w:t>
      </w:r>
    </w:p>
    <w:p w14:paraId="2F3ECEAD" w14:textId="77777777" w:rsidR="00732F44" w:rsidRDefault="00732F44" w:rsidP="00732F44"/>
    <w:p w14:paraId="753C20A2" w14:textId="178BA1B6" w:rsidR="00732F44" w:rsidRDefault="00732F44" w:rsidP="00732F44">
      <w:r>
        <w:t>The Ministry’s primary objective is to provide services to the New Zealand public. The Ministry funds, administers and monitors the delivery of health services.</w:t>
      </w:r>
    </w:p>
    <w:p w14:paraId="62C774F1" w14:textId="77777777" w:rsidR="00732F44" w:rsidRDefault="00732F44" w:rsidP="00732F44"/>
    <w:p w14:paraId="1EBCD11A" w14:textId="18DE39BD" w:rsidR="00732F44" w:rsidRDefault="00732F44" w:rsidP="00732F44">
      <w:r>
        <w:t>The Ministry has designated itself as a public benefit entity (PBE) for the purposes of complying with generally accepted accounting practice.</w:t>
      </w:r>
    </w:p>
    <w:p w14:paraId="2059C8A0" w14:textId="77777777" w:rsidR="00732F44" w:rsidRDefault="00732F44" w:rsidP="00732F44"/>
    <w:p w14:paraId="0AD899B2" w14:textId="77777777" w:rsidR="00FE1495" w:rsidRDefault="00732F44" w:rsidP="00732F44">
      <w:r>
        <w:t>The financial statements are for the year ended 30 June 2024 and were approved for issue by the Director-General of Health on 30 September 2024.</w:t>
      </w:r>
    </w:p>
    <w:p w14:paraId="0F272AE0" w14:textId="77777777" w:rsidR="00732F44" w:rsidRDefault="00732F44" w:rsidP="00732F44">
      <w:pPr>
        <w:pStyle w:val="Heading4"/>
      </w:pPr>
      <w:r>
        <w:t>Basis of preparation</w:t>
      </w:r>
      <w:r>
        <w:tab/>
      </w:r>
    </w:p>
    <w:p w14:paraId="7EA54D10" w14:textId="06AE8627" w:rsidR="00732F44" w:rsidRDefault="00732F44" w:rsidP="00732F44">
      <w:r>
        <w:t>The financial statements have been prepared on a going-concern basis and the accounting policies have been applied consistently throughout the year.</w:t>
      </w:r>
    </w:p>
    <w:p w14:paraId="2212C301" w14:textId="77777777" w:rsidR="00732F44" w:rsidRDefault="00732F44" w:rsidP="00732F44">
      <w:pPr>
        <w:pStyle w:val="Heading4"/>
      </w:pPr>
      <w:r>
        <w:t>Statement of compliance</w:t>
      </w:r>
    </w:p>
    <w:p w14:paraId="60E0C62C" w14:textId="15BF38DF" w:rsidR="00732F44" w:rsidRDefault="00732F44" w:rsidP="00732F44">
      <w:r>
        <w:t>The financial statements and service performance information of the Ministry have been prepared in accordance with the requirements of the Public Finance Act 1989, which include the requirement to comply with generally accepted accounting practice and Treasury instructions.</w:t>
      </w:r>
    </w:p>
    <w:p w14:paraId="63F5871F" w14:textId="77777777" w:rsidR="00732F44" w:rsidRDefault="00732F44" w:rsidP="00732F44"/>
    <w:p w14:paraId="035BB1C0" w14:textId="77777777" w:rsidR="00732F44" w:rsidRDefault="00732F44" w:rsidP="00732F44">
      <w:r>
        <w:t>The financial statements and service performance information have been prepared in accordance with PBE standards.</w:t>
      </w:r>
    </w:p>
    <w:p w14:paraId="6ED7C951" w14:textId="77777777" w:rsidR="00732F44" w:rsidRDefault="00732F44" w:rsidP="00732F44">
      <w:pPr>
        <w:pStyle w:val="Heading4"/>
      </w:pPr>
      <w:r w:rsidRPr="00732F44">
        <w:t>Presentation currency and rounding</w:t>
      </w:r>
    </w:p>
    <w:p w14:paraId="21EAC30A" w14:textId="77777777" w:rsidR="00732F44" w:rsidRDefault="00732F44" w:rsidP="00732F44">
      <w:r w:rsidRPr="00732F44">
        <w:t>The financial statements are presented in New Zealand dollars and all values are rounded to the nearest thousand dollars ($000).</w:t>
      </w:r>
    </w:p>
    <w:p w14:paraId="005CA911" w14:textId="77777777" w:rsidR="00732F44" w:rsidRDefault="00732F44" w:rsidP="00732F44"/>
    <w:p w14:paraId="5500B411" w14:textId="77777777" w:rsidR="00732F44" w:rsidRDefault="00732F44" w:rsidP="00732F44">
      <w:pPr>
        <w:pStyle w:val="Heading4"/>
      </w:pPr>
      <w:r w:rsidRPr="00732F44">
        <w:lastRenderedPageBreak/>
        <w:t>Comparative figures</w:t>
      </w:r>
    </w:p>
    <w:p w14:paraId="3C61419E" w14:textId="07D31007" w:rsidR="00732F44" w:rsidRDefault="00732F44" w:rsidP="00732F44">
      <w:r>
        <w:t>When presentation or classification of items in the financial statements is amended or accounting policies are changed, comparative figures are restated to ensure consistency with the current period unless it is impracticable to do so.</w:t>
      </w:r>
    </w:p>
    <w:p w14:paraId="492E738B" w14:textId="550B5E28" w:rsidR="00732F44" w:rsidRDefault="00732F44" w:rsidP="00732F44">
      <w:pPr>
        <w:pStyle w:val="Heading4"/>
      </w:pPr>
      <w:r>
        <w:t xml:space="preserve">New or amended standards </w:t>
      </w:r>
      <w:proofErr w:type="gramStart"/>
      <w:r>
        <w:t>adopted</w:t>
      </w:r>
      <w:proofErr w:type="gramEnd"/>
    </w:p>
    <w:p w14:paraId="69E664B0" w14:textId="0834885B" w:rsidR="00732F44" w:rsidRDefault="00732F44" w:rsidP="00732F44">
      <w:r>
        <w:t>Standards and amendments that have been issued and have been early adopted by the Ministry are as follows.</w:t>
      </w:r>
    </w:p>
    <w:p w14:paraId="46B19BCA" w14:textId="77777777" w:rsidR="00732F44" w:rsidRDefault="00732F44" w:rsidP="00732F44">
      <w:pPr>
        <w:pStyle w:val="Heading5"/>
      </w:pPr>
      <w:r>
        <w:t>Disclosure of Fees for Audit Firms’ Services (Amendments to PBE IPSAS 1)</w:t>
      </w:r>
    </w:p>
    <w:p w14:paraId="24D122AD" w14:textId="64FAC47F" w:rsidR="00732F44" w:rsidRDefault="00732F44" w:rsidP="00732F44">
      <w:r>
        <w:t>Amendments to PBE IPSAS 1 Presentation of Financial Reports change the required disclosures for fees relating to services provided by the audit or review provider, including a requirement to disaggregate the fees into specified categories. The amendments to PBE IPSAS 1 aim to address concerns about the quality and consistency of disclosures an entity provides about fees paid to its audit or review firm for different types of services. The enhanced disclosures are expected to improve the transparency and consistency of disclosures about fees paid to an entity’s audit or review firm. This is effective for the year ended 30 June 2025.</w:t>
      </w:r>
    </w:p>
    <w:p w14:paraId="59C4BDFB" w14:textId="77777777" w:rsidR="00732F44" w:rsidRDefault="00732F44" w:rsidP="00732F44"/>
    <w:p w14:paraId="062C0E68" w14:textId="03511CA6" w:rsidR="00732F44" w:rsidRDefault="00732F44" w:rsidP="00732F44">
      <w:r>
        <w:t>The Ministry is already in compliance with this standard.</w:t>
      </w:r>
    </w:p>
    <w:p w14:paraId="6331712A" w14:textId="77777777" w:rsidR="00732F44" w:rsidRDefault="00732F44" w:rsidP="00732F44">
      <w:pPr>
        <w:pStyle w:val="Heading5"/>
      </w:pPr>
      <w:r>
        <w:t>PBE IFRS 17 Insurance Contracts</w:t>
      </w:r>
    </w:p>
    <w:p w14:paraId="7ACF39BC" w14:textId="6BB9306F" w:rsidR="00732F44" w:rsidRDefault="00732F44" w:rsidP="00732F44">
      <w:r>
        <w:t>This new standard sets out accounting requirements for insurers and other entities that issue insurance contracts and applies to financial reports covering periods beginning on or after 1 January 2026.</w:t>
      </w:r>
    </w:p>
    <w:p w14:paraId="3A83F288" w14:textId="77777777" w:rsidR="00732F44" w:rsidRDefault="00732F44" w:rsidP="00732F44"/>
    <w:p w14:paraId="1613762A" w14:textId="7FF97AB6" w:rsidR="00732F44" w:rsidRDefault="00732F44" w:rsidP="00732F44">
      <w:r>
        <w:t>The Ministry has assessed this standard and there are not anticipated to be any  impacts on the financial statements as the Ministry does not currently issue insurance contracts.</w:t>
      </w:r>
    </w:p>
    <w:p w14:paraId="067BA213" w14:textId="34C89E4C" w:rsidR="00732F44" w:rsidRDefault="00732F44" w:rsidP="00732F44">
      <w:pPr>
        <w:pStyle w:val="Heading4"/>
      </w:pPr>
      <w:r>
        <w:t>Other changes in accounting policies</w:t>
      </w:r>
    </w:p>
    <w:p w14:paraId="50055C69" w14:textId="128BE050" w:rsidR="00732F44" w:rsidRDefault="00732F44" w:rsidP="00732F44">
      <w:r w:rsidRPr="00732F44">
        <w:t>There have been no other changes in the Ministry’s accounting policies since the date of the last audited financial statements.</w:t>
      </w:r>
    </w:p>
    <w:p w14:paraId="78B71A1B" w14:textId="77777777" w:rsidR="00732F44" w:rsidRDefault="00732F44" w:rsidP="00732F44">
      <w:pPr>
        <w:pStyle w:val="Heading4"/>
      </w:pPr>
      <w:r>
        <w:t>Summary of significant accounting policies</w:t>
      </w:r>
    </w:p>
    <w:p w14:paraId="23718894" w14:textId="12F7380D" w:rsidR="00732F44" w:rsidRDefault="00732F44" w:rsidP="00732F44">
      <w:r w:rsidRPr="00732F44">
        <w:t xml:space="preserve">Significant accounting policies are included in the notes to which they relate. </w:t>
      </w:r>
      <w:r>
        <w:t>S</w:t>
      </w:r>
      <w:r w:rsidRPr="00732F44">
        <w:t>ignificant accounting policies that do not relate to a specific note are outlined below.</w:t>
      </w:r>
    </w:p>
    <w:p w14:paraId="55915887" w14:textId="312E14FA" w:rsidR="00732F44" w:rsidRDefault="00732F44" w:rsidP="00732F44">
      <w:pPr>
        <w:pStyle w:val="Heading4"/>
      </w:pPr>
      <w:r>
        <w:t>Foreign currency transactions</w:t>
      </w:r>
    </w:p>
    <w:p w14:paraId="4FE794E2" w14:textId="70AACB83" w:rsidR="00732F44" w:rsidRDefault="00732F44" w:rsidP="00732F44">
      <w:r w:rsidRPr="00732F44">
        <w:t>Foreign currency transactions are translated into New Zealand dollars using the spot exchange rates at the dates of the transactions. Foreign exchange gains and losses resulting from the settlement of such transactions are recognised in the surplus or deficit</w:t>
      </w:r>
      <w:r>
        <w:t>.</w:t>
      </w:r>
    </w:p>
    <w:p w14:paraId="634E4C56" w14:textId="77777777" w:rsidR="00C642F8" w:rsidRDefault="00C642F8" w:rsidP="00732F44"/>
    <w:p w14:paraId="312E267B" w14:textId="1C29DD9C" w:rsidR="00732F44" w:rsidRDefault="00C642F8" w:rsidP="00C642F8">
      <w:pPr>
        <w:pStyle w:val="Heading4"/>
      </w:pPr>
      <w:r w:rsidRPr="00C642F8">
        <w:lastRenderedPageBreak/>
        <w:t xml:space="preserve">Cash and cash </w:t>
      </w:r>
      <w:proofErr w:type="gramStart"/>
      <w:r w:rsidRPr="00C642F8">
        <w:t>equivalents</w:t>
      </w:r>
      <w:proofErr w:type="gramEnd"/>
    </w:p>
    <w:p w14:paraId="7B6F1848" w14:textId="574D8AD6" w:rsidR="00C642F8" w:rsidRDefault="00C642F8" w:rsidP="00C642F8">
      <w:r>
        <w:t>Cash and cash equivalents comprise funds in current accounts with Westpac New Zealand Limited, a registered bank.</w:t>
      </w:r>
    </w:p>
    <w:p w14:paraId="54D41AFE" w14:textId="77777777" w:rsidR="00C642F8" w:rsidRDefault="00C642F8" w:rsidP="00C642F8"/>
    <w:p w14:paraId="70037099" w14:textId="681C67A6" w:rsidR="00C642F8" w:rsidRDefault="00C642F8" w:rsidP="00C642F8">
      <w:r>
        <w:t>The Ministry is only permitted to expend its cash and cash equivalents within the scope and limits of its appropriations.</w:t>
      </w:r>
    </w:p>
    <w:p w14:paraId="24C1424B" w14:textId="77777777" w:rsidR="00C642F8" w:rsidRDefault="00C642F8" w:rsidP="00C642F8"/>
    <w:p w14:paraId="7EECB831" w14:textId="2518FBCF" w:rsidR="00732F44" w:rsidRDefault="00C642F8" w:rsidP="00C642F8">
      <w:r>
        <w:t>Cash and cash equivalents are subject to the expected loss requirements of PBE IFRS 9. However, no loss allowance has been recognised because the estimated loss allowance for credit losses is considered to be nil or trivial.</w:t>
      </w:r>
    </w:p>
    <w:p w14:paraId="4A80EF64" w14:textId="4488C165" w:rsidR="00C642F8" w:rsidRDefault="00C642F8" w:rsidP="00C642F8">
      <w:pPr>
        <w:pStyle w:val="Heading4"/>
      </w:pPr>
      <w:r w:rsidRPr="00C642F8">
        <w:t>Goods and services tax</w:t>
      </w:r>
    </w:p>
    <w:p w14:paraId="6DE3CA48" w14:textId="1FE84E86" w:rsidR="00C642F8" w:rsidRDefault="00C642F8" w:rsidP="00C642F8">
      <w:r>
        <w:t>Items in the financial statements are stated exclusive of goods and services tax (GST), except for receivables and payables, which are stated on a GST inclusive basis. Where GST is not recoverable as input tax, it is recognised as part of the related asset or expense.</w:t>
      </w:r>
    </w:p>
    <w:p w14:paraId="2E1923C7" w14:textId="77777777" w:rsidR="00C642F8" w:rsidRDefault="00C642F8" w:rsidP="00C642F8"/>
    <w:p w14:paraId="5A632882" w14:textId="157E4C82" w:rsidR="00732F44" w:rsidRDefault="00C642F8" w:rsidP="00C642F8">
      <w:r>
        <w:t>The net amount of GST recoverable from, or payable to, Inland Revenue is included as part of receivables or payables in the statement of financial position. The net GST paid to or received from Inland Revenue, including the GST relating to investing and financing activities, is classified as an operating cash flow in the statement of cash flows.</w:t>
      </w:r>
    </w:p>
    <w:p w14:paraId="2915F50B" w14:textId="113039EE" w:rsidR="00732F44" w:rsidRDefault="00C642F8" w:rsidP="00C642F8">
      <w:pPr>
        <w:pStyle w:val="Heading4"/>
      </w:pPr>
      <w:r w:rsidRPr="00C642F8">
        <w:t>Income tax</w:t>
      </w:r>
    </w:p>
    <w:p w14:paraId="022B1F74" w14:textId="5AEBF4DD" w:rsidR="00C642F8" w:rsidRDefault="00C642F8" w:rsidP="00C642F8">
      <w:r>
        <w:t>The Ministry is a public authority and consequently is exempt from income tax. Accordingly, no provision has been made for income tax.</w:t>
      </w:r>
    </w:p>
    <w:p w14:paraId="4A667D77" w14:textId="60EDA6E4" w:rsidR="00732F44" w:rsidRDefault="00C642F8" w:rsidP="00C642F8">
      <w:pPr>
        <w:pStyle w:val="Heading4"/>
      </w:pPr>
      <w:r w:rsidRPr="00C642F8">
        <w:t xml:space="preserve">Budget and forecast </w:t>
      </w:r>
      <w:proofErr w:type="gramStart"/>
      <w:r w:rsidRPr="00C642F8">
        <w:t>figures</w:t>
      </w:r>
      <w:proofErr w:type="gramEnd"/>
    </w:p>
    <w:p w14:paraId="0DDA633C" w14:textId="77777777" w:rsidR="00C642F8" w:rsidRDefault="00C642F8" w:rsidP="00C642F8">
      <w:pPr>
        <w:pStyle w:val="Heading5"/>
      </w:pPr>
      <w:r>
        <w:t>Basis of the budget figures</w:t>
      </w:r>
    </w:p>
    <w:p w14:paraId="0E1DA833" w14:textId="77777777" w:rsidR="00C642F8" w:rsidRDefault="00C642F8" w:rsidP="00C642F8">
      <w:r>
        <w:t>The 2023/24 budget figures are for the year ended 30 June 2024 and were published in the 2022/2023 Annual Report. They are consistent with the Ministry’s best estimate at the time for financial forecast information submitted to the Treasury for the Budget Economic and Fiscal Update for the year ended 2023/24.</w:t>
      </w:r>
    </w:p>
    <w:p w14:paraId="22CA773C" w14:textId="77777777" w:rsidR="00C642F8" w:rsidRDefault="00C642F8" w:rsidP="00C642F8">
      <w:pPr>
        <w:pStyle w:val="Heading5"/>
      </w:pPr>
      <w:r>
        <w:t>Basis of the forecast figures</w:t>
      </w:r>
    </w:p>
    <w:p w14:paraId="4C4CEFF2" w14:textId="1391E2E8" w:rsidR="00C642F8" w:rsidRDefault="00C642F8" w:rsidP="00C642F8">
      <w:r>
        <w:t>The 2024/25 forecast figures are for the year ending 30 June 2025, which are consistent with the best estimate at the time for the Budget Economic and Fiscal Update forecast financial information submitted to the Treasury for the year ending 2024/25.</w:t>
      </w:r>
    </w:p>
    <w:p w14:paraId="5EBA96ED" w14:textId="77777777" w:rsidR="00C642F8" w:rsidRDefault="00C642F8" w:rsidP="00C642F8"/>
    <w:p w14:paraId="3E9DE4C4" w14:textId="373CE83A" w:rsidR="00C642F8" w:rsidRDefault="00C642F8" w:rsidP="00C642F8">
      <w:r>
        <w:t>The forecast financial statements have been prepared as required by the Public Finance Act 1989 to communicate forecast financial information for accountability purposes. The 30 June 2025 forecast figures have been prepared in accordance with and comply with PBE FRS 42 Prospective Financial Statements.</w:t>
      </w:r>
    </w:p>
    <w:p w14:paraId="36A5C2A7" w14:textId="77777777" w:rsidR="00C642F8" w:rsidRDefault="00C642F8" w:rsidP="00C642F8"/>
    <w:p w14:paraId="18285AB0" w14:textId="4A5E027A" w:rsidR="00C642F8" w:rsidRPr="00C642F8" w:rsidRDefault="00C642F8" w:rsidP="00C642F8">
      <w:r>
        <w:t>The budget and forecast figures are unaudited and have been prepared using the accounting policies adopted in preparing these financial statements.</w:t>
      </w:r>
    </w:p>
    <w:p w14:paraId="58E8093C" w14:textId="10294262" w:rsidR="00732F44" w:rsidRDefault="00732F44" w:rsidP="00732F44"/>
    <w:p w14:paraId="14A54F49" w14:textId="2861A156" w:rsidR="00C642F8" w:rsidRDefault="00C642F8" w:rsidP="00C642F8">
      <w:r>
        <w:lastRenderedPageBreak/>
        <w:t>The Director-General of Health, as Chief Executive of the Ministry, is responsible for the forecast financial statements, including the appropriateness of the assumptions underlying them and all other required disclosures. The forecast financial statements were approved by the Chief Executive on 23 April 2024.</w:t>
      </w:r>
    </w:p>
    <w:p w14:paraId="447736B6" w14:textId="77777777" w:rsidR="00C642F8" w:rsidRDefault="00C642F8" w:rsidP="00C642F8"/>
    <w:p w14:paraId="24DF6BAD" w14:textId="77777777" w:rsidR="00C642F8" w:rsidRDefault="00C642F8" w:rsidP="00C642F8">
      <w:r>
        <w:t>While the Ministry regularly updates its forecasts, updated forecast financial statements for the year ending 30 June 2025 will not be published during the year.</w:t>
      </w:r>
    </w:p>
    <w:p w14:paraId="2A32A29E" w14:textId="77777777" w:rsidR="00C642F8" w:rsidRDefault="00C642F8" w:rsidP="00C642F8">
      <w:pPr>
        <w:pStyle w:val="Heading5"/>
      </w:pPr>
      <w:r>
        <w:t xml:space="preserve">Significant assumptions used in preparing the forecast financial </w:t>
      </w:r>
      <w:proofErr w:type="gramStart"/>
      <w:r>
        <w:t>information</w:t>
      </w:r>
      <w:proofErr w:type="gramEnd"/>
    </w:p>
    <w:p w14:paraId="739547E9" w14:textId="2C7AAF1F" w:rsidR="00C642F8" w:rsidRDefault="00C642F8" w:rsidP="00C642F8">
      <w:r>
        <w:t>The forecast figures contained in these financial statements reflect the Ministry’s purpose and activities and are based on a number of assumptions about what may occur during the 2024/25 year. The forecast figures have been compiled on the basis of existing government policies and ministerial expectations at the time the Main Estimates were finalised.</w:t>
      </w:r>
    </w:p>
    <w:p w14:paraId="799D0B47" w14:textId="77777777" w:rsidR="00C642F8" w:rsidRDefault="00C642F8" w:rsidP="00C642F8"/>
    <w:p w14:paraId="40F49E8B" w14:textId="77777777" w:rsidR="00C642F8" w:rsidRDefault="00C642F8" w:rsidP="00C642F8">
      <w:r>
        <w:t xml:space="preserve">The main assumptions, which were adopted as </w:t>
      </w:r>
      <w:proofErr w:type="gramStart"/>
      <w:r>
        <w:t>at</w:t>
      </w:r>
      <w:proofErr w:type="gramEnd"/>
      <w:r>
        <w:t xml:space="preserve"> 23 April 2024, were as follows.</w:t>
      </w:r>
    </w:p>
    <w:p w14:paraId="03731FBA" w14:textId="18E35151" w:rsidR="00C642F8" w:rsidRDefault="00C642F8" w:rsidP="00C642F8">
      <w:pPr>
        <w:pStyle w:val="Bullet"/>
      </w:pPr>
      <w:r>
        <w:t>The Ministry’s activities and output expectations will remain substantially the same as in 2023/24, focusing on the Government’s priorities.</w:t>
      </w:r>
    </w:p>
    <w:p w14:paraId="552BE1C7" w14:textId="3D892F13" w:rsidR="00C642F8" w:rsidRDefault="00C642F8" w:rsidP="00FC5289">
      <w:pPr>
        <w:pStyle w:val="Bullet"/>
      </w:pPr>
      <w:r>
        <w:t>Personnel costs were based on current wages and salary costs adjusted for anticipated remuneration changes. This also reflects time limited initiatives coming to an end and potential reductions in personnel costs to meet the Government’s request for the Ministry to find saving targets as announced in Budget 2024.</w:t>
      </w:r>
    </w:p>
    <w:p w14:paraId="0F81702E" w14:textId="6D9ADCBA" w:rsidR="00C642F8" w:rsidRDefault="00C642F8" w:rsidP="00C642F8">
      <w:pPr>
        <w:pStyle w:val="Bullet"/>
      </w:pPr>
      <w:r>
        <w:t>Operating costs were based on historical experience and adjusted for factors that are believed to be reasonable in the circumstances. They are the Ministry’s best estimate of future costs that will be incurred.</w:t>
      </w:r>
    </w:p>
    <w:p w14:paraId="73B942DD" w14:textId="104006C4" w:rsidR="00C642F8" w:rsidRDefault="00C642F8" w:rsidP="00C642F8">
      <w:pPr>
        <w:pStyle w:val="Bullet"/>
      </w:pPr>
      <w:r>
        <w:t>Estimated year-end information for 2023/24 was used as the opening position for the 2024/25 forecasts.</w:t>
      </w:r>
    </w:p>
    <w:p w14:paraId="3BF5E08B" w14:textId="77777777" w:rsidR="00C642F8" w:rsidRDefault="00C642F8" w:rsidP="00C642F8"/>
    <w:p w14:paraId="2547144B" w14:textId="035055BD" w:rsidR="00C642F8" w:rsidRDefault="00C642F8" w:rsidP="00C642F8">
      <w:r>
        <w:t xml:space="preserve">The actual financial results achieved for 30 June 2025 are likely to vary from the forecast information presented and the variance may be material. Factors that may lead to a material difference between information in these forecast </w:t>
      </w:r>
      <w:proofErr w:type="gramStart"/>
      <w:r>
        <w:t>financial</w:t>
      </w:r>
      <w:proofErr w:type="gramEnd"/>
    </w:p>
    <w:p w14:paraId="32E24C66" w14:textId="77777777" w:rsidR="00C642F8" w:rsidRDefault="00C642F8" w:rsidP="00C642F8">
      <w:r>
        <w:t>information statements and the actual reported results include:</w:t>
      </w:r>
    </w:p>
    <w:p w14:paraId="2E99C603" w14:textId="2F748EFB" w:rsidR="00C642F8" w:rsidRDefault="00C642F8" w:rsidP="00C642F8">
      <w:pPr>
        <w:pStyle w:val="Bullet"/>
      </w:pPr>
      <w:r>
        <w:t>changes to the budget through initiatives approved by Cabinet during 2024/25 and reflected in the Vote Health 2024/25 Supplementary Estimates</w:t>
      </w:r>
    </w:p>
    <w:p w14:paraId="5C4E3C93" w14:textId="391C0B3C" w:rsidR="00C642F8" w:rsidRDefault="00C642F8" w:rsidP="00C642F8">
      <w:pPr>
        <w:pStyle w:val="Bullet"/>
      </w:pPr>
      <w:r>
        <w:t xml:space="preserve">technical adjustments to (including transfers between) financial </w:t>
      </w:r>
      <w:proofErr w:type="gramStart"/>
      <w:r>
        <w:t>years</w:t>
      </w:r>
      <w:proofErr w:type="gramEnd"/>
    </w:p>
    <w:p w14:paraId="19E4688B" w14:textId="6F92435A" w:rsidR="00C642F8" w:rsidRDefault="00C642F8" w:rsidP="00C642F8">
      <w:pPr>
        <w:pStyle w:val="Bullet"/>
      </w:pPr>
      <w:r>
        <w:t>timing of expenditure relating to significant programmes and projects.</w:t>
      </w:r>
    </w:p>
    <w:p w14:paraId="475ECD37" w14:textId="77777777" w:rsidR="00862096" w:rsidRDefault="00862096" w:rsidP="007123AC">
      <w:pPr>
        <w:pStyle w:val="Heading3"/>
        <w:numPr>
          <w:ilvl w:val="6"/>
          <w:numId w:val="5"/>
        </w:numPr>
        <w:tabs>
          <w:tab w:val="num" w:pos="5040"/>
        </w:tabs>
        <w:ind w:left="709" w:hanging="709"/>
      </w:pPr>
      <w:r>
        <w:t>Revenue</w:t>
      </w:r>
    </w:p>
    <w:p w14:paraId="1AF3831C" w14:textId="77777777" w:rsidR="00862096" w:rsidRDefault="00862096" w:rsidP="00862096">
      <w:pPr>
        <w:pStyle w:val="Heading4"/>
      </w:pPr>
      <w:r>
        <w:t>Accounting policy</w:t>
      </w:r>
    </w:p>
    <w:p w14:paraId="3AAC8F8F" w14:textId="008249D8" w:rsidR="00862096" w:rsidRDefault="00862096" w:rsidP="00862096">
      <w:r>
        <w:t>The specific accounting policies for significant revenue items are explained below.</w:t>
      </w:r>
    </w:p>
    <w:p w14:paraId="21579B98" w14:textId="77777777" w:rsidR="00862096" w:rsidRDefault="00862096" w:rsidP="00862096"/>
    <w:p w14:paraId="3BA66B9B" w14:textId="77777777" w:rsidR="00862096" w:rsidRDefault="00862096" w:rsidP="00862096">
      <w:r>
        <w:t>The Ministry derives revenue through the provision of outputs to the Crown and for services to third parties. Such revenue is recognised at fair value of consideration received.</w:t>
      </w:r>
    </w:p>
    <w:p w14:paraId="57FFFF4C" w14:textId="77777777" w:rsidR="00862096" w:rsidRDefault="00862096" w:rsidP="00862096"/>
    <w:p w14:paraId="69C7DDFE" w14:textId="77777777" w:rsidR="00862096" w:rsidRDefault="00862096" w:rsidP="00862096">
      <w:pPr>
        <w:pStyle w:val="Heading4"/>
      </w:pPr>
      <w:r w:rsidRPr="00862096">
        <w:lastRenderedPageBreak/>
        <w:t>Revenue Crown</w:t>
      </w:r>
    </w:p>
    <w:p w14:paraId="00335AF9" w14:textId="156B6638" w:rsidR="00862096" w:rsidRDefault="00862096" w:rsidP="00862096">
      <w:r>
        <w:t>Revenue from the Crown is measured based on the Ministry’s funding entitlement for the reporting period. The funding entitlement is established by Parliament when it passes the Appropriation Acts for the financial year. The amount of revenue recognised takes into account any amendments to appropriations approved in the Appropriation (Supplementary Estimates) Act for the year approved prior to the balance date.</w:t>
      </w:r>
    </w:p>
    <w:p w14:paraId="543D32EE" w14:textId="77777777" w:rsidR="00862096" w:rsidRDefault="00862096" w:rsidP="00862096"/>
    <w:p w14:paraId="4D35B003" w14:textId="4AD7C454" w:rsidR="00862096" w:rsidRDefault="00862096" w:rsidP="00862096">
      <w:r>
        <w:t>There are no conditions attached to the funding from the Crown. However, the Ministry can incur expenses only within the scope and limits of its appropriations.</w:t>
      </w:r>
    </w:p>
    <w:p w14:paraId="5293AB9F" w14:textId="77777777" w:rsidR="00862096" w:rsidRDefault="00862096" w:rsidP="00862096"/>
    <w:p w14:paraId="35CFB4C9" w14:textId="77777777" w:rsidR="00862096" w:rsidRDefault="00862096" w:rsidP="00862096">
      <w:r>
        <w:t>The fair value of Revenue Crown has been determined to be equivalent to the funding entitlement of $254.075 million (2023: $282.864 million).</w:t>
      </w:r>
    </w:p>
    <w:p w14:paraId="14BF52A4" w14:textId="0AD21B53" w:rsidR="00862096" w:rsidRDefault="00862096" w:rsidP="00862096">
      <w:pPr>
        <w:pStyle w:val="Heading4"/>
      </w:pPr>
      <w:r>
        <w:t>Supply of services</w:t>
      </w:r>
      <w:r>
        <w:tab/>
        <w:t xml:space="preserve"> </w:t>
      </w:r>
    </w:p>
    <w:p w14:paraId="7F841EC0" w14:textId="77777777" w:rsidR="00862096" w:rsidRDefault="00862096" w:rsidP="00862096">
      <w:r>
        <w:t>Revenue from the supply of services is recognised by reference to the stage of completion of the transaction at balance date and only to the extent that the outcome of the transaction can be estimated reliably.</w:t>
      </w:r>
    </w:p>
    <w:p w14:paraId="4CA2E0C9" w14:textId="66275A15" w:rsidR="00862096" w:rsidRPr="00862096" w:rsidRDefault="00862096" w:rsidP="00862096">
      <w:pPr>
        <w:pStyle w:val="Heading4"/>
      </w:pPr>
      <w:r w:rsidRPr="00862096">
        <w:t>Other revenue</w:t>
      </w:r>
    </w:p>
    <w:tbl>
      <w:tblPr>
        <w:tblW w:w="8085" w:type="dxa"/>
        <w:tblLayout w:type="fixed"/>
        <w:tblCellMar>
          <w:left w:w="0" w:type="dxa"/>
          <w:right w:w="0" w:type="dxa"/>
        </w:tblCellMar>
        <w:tblLook w:val="01E0" w:firstRow="1" w:lastRow="1" w:firstColumn="1" w:lastColumn="1" w:noHBand="0" w:noVBand="0"/>
      </w:tblPr>
      <w:tblGrid>
        <w:gridCol w:w="994"/>
        <w:gridCol w:w="3829"/>
        <w:gridCol w:w="3262"/>
      </w:tblGrid>
      <w:tr w:rsidR="00862096" w14:paraId="7968A04B" w14:textId="77777777" w:rsidTr="00862096">
        <w:trPr>
          <w:trHeight w:val="784"/>
        </w:trPr>
        <w:tc>
          <w:tcPr>
            <w:tcW w:w="994" w:type="dxa"/>
            <w:shd w:val="clear" w:color="auto" w:fill="D9D9D9" w:themeFill="background1" w:themeFillShade="D9"/>
            <w:hideMark/>
          </w:tcPr>
          <w:p w14:paraId="4106F1BB" w14:textId="77777777" w:rsidR="00862096" w:rsidRDefault="00862096">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 xml:space="preserve">Actual </w:t>
            </w:r>
          </w:p>
          <w:p w14:paraId="427478C3" w14:textId="3DE597CB" w:rsidR="00862096" w:rsidRDefault="00862096">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2023</w:t>
            </w:r>
          </w:p>
          <w:p w14:paraId="0949A4EA" w14:textId="77777777" w:rsidR="00862096" w:rsidRDefault="00862096">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3829" w:type="dxa"/>
            <w:shd w:val="clear" w:color="auto" w:fill="D9D9D9" w:themeFill="background1" w:themeFillShade="D9"/>
          </w:tcPr>
          <w:p w14:paraId="694850D7" w14:textId="77777777" w:rsidR="00862096" w:rsidRDefault="00862096">
            <w:pPr>
              <w:pStyle w:val="TableParagraph"/>
              <w:spacing w:before="60" w:after="60"/>
              <w:ind w:left="-42" w:firstLine="99"/>
              <w:rPr>
                <w:rFonts w:ascii="Segoe UI" w:hAnsi="Segoe UI" w:cs="Segoe UI"/>
                <w:b/>
                <w:bCs/>
                <w:w w:val="105"/>
                <w:sz w:val="16"/>
                <w:szCs w:val="16"/>
              </w:rPr>
            </w:pPr>
          </w:p>
        </w:tc>
        <w:tc>
          <w:tcPr>
            <w:tcW w:w="3262" w:type="dxa"/>
            <w:shd w:val="clear" w:color="auto" w:fill="D9D9D9" w:themeFill="background1" w:themeFillShade="D9"/>
            <w:hideMark/>
          </w:tcPr>
          <w:p w14:paraId="16522BEA" w14:textId="77777777" w:rsidR="00862096" w:rsidRDefault="0086209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 xml:space="preserve">Actual </w:t>
            </w:r>
          </w:p>
          <w:p w14:paraId="696B6162" w14:textId="278A7B2B" w:rsidR="00862096" w:rsidRDefault="0086209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5783E157" w14:textId="77777777" w:rsidR="00862096" w:rsidRDefault="0086209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r>
      <w:tr w:rsidR="00862096" w14:paraId="414B7B2E" w14:textId="77777777" w:rsidTr="00862096">
        <w:trPr>
          <w:trHeight w:val="354"/>
        </w:trPr>
        <w:tc>
          <w:tcPr>
            <w:tcW w:w="994" w:type="dxa"/>
            <w:hideMark/>
          </w:tcPr>
          <w:p w14:paraId="3DDA4758" w14:textId="71CFA4FD" w:rsidR="00862096" w:rsidRPr="00862096" w:rsidRDefault="00862096" w:rsidP="00862096">
            <w:pPr>
              <w:pStyle w:val="TableParagraph"/>
              <w:spacing w:before="60" w:after="60"/>
              <w:ind w:left="-42" w:right="152" w:firstLine="99"/>
              <w:jc w:val="right"/>
              <w:rPr>
                <w:rFonts w:ascii="Segoe UI" w:hAnsi="Segoe UI" w:cs="Segoe UI"/>
                <w:w w:val="110"/>
                <w:sz w:val="16"/>
                <w:szCs w:val="16"/>
              </w:rPr>
            </w:pPr>
            <w:r w:rsidRPr="00862096">
              <w:rPr>
                <w:rFonts w:ascii="Segoe UI" w:hAnsi="Segoe UI" w:cs="Segoe UI"/>
                <w:w w:val="110"/>
                <w:sz w:val="16"/>
                <w:szCs w:val="16"/>
              </w:rPr>
              <w:t>10,581</w:t>
            </w:r>
          </w:p>
        </w:tc>
        <w:tc>
          <w:tcPr>
            <w:tcW w:w="3829" w:type="dxa"/>
            <w:hideMark/>
          </w:tcPr>
          <w:p w14:paraId="79EFDC99" w14:textId="77777777" w:rsidR="00862096" w:rsidRDefault="00862096" w:rsidP="00862096">
            <w:pPr>
              <w:pStyle w:val="TableParagraph"/>
              <w:spacing w:before="60" w:after="60"/>
              <w:ind w:left="-42" w:firstLine="99"/>
              <w:rPr>
                <w:rFonts w:ascii="Segoe UI" w:hAnsi="Segoe UI" w:cs="Segoe UI"/>
                <w:w w:val="105"/>
                <w:sz w:val="16"/>
                <w:szCs w:val="16"/>
              </w:rPr>
            </w:pPr>
            <w:r>
              <w:rPr>
                <w:rFonts w:ascii="Segoe UI" w:hAnsi="Segoe UI" w:cs="Segoe UI"/>
                <w:w w:val="105"/>
                <w:sz w:val="16"/>
                <w:szCs w:val="16"/>
              </w:rPr>
              <w:t>Medicines registration</w:t>
            </w:r>
          </w:p>
        </w:tc>
        <w:tc>
          <w:tcPr>
            <w:tcW w:w="3262" w:type="dxa"/>
            <w:hideMark/>
          </w:tcPr>
          <w:p w14:paraId="01EECD6D" w14:textId="0D641083" w:rsidR="00862096" w:rsidRDefault="00862096" w:rsidP="00862096">
            <w:pPr>
              <w:pStyle w:val="TableParagraph"/>
              <w:spacing w:before="60" w:after="60"/>
              <w:ind w:left="-42" w:right="152" w:firstLine="99"/>
              <w:jc w:val="right"/>
              <w:rPr>
                <w:rFonts w:ascii="Segoe UI" w:hAnsi="Segoe UI" w:cs="Segoe UI"/>
                <w:w w:val="110"/>
                <w:sz w:val="16"/>
                <w:szCs w:val="16"/>
              </w:rPr>
            </w:pPr>
            <w:r w:rsidRPr="00862096">
              <w:rPr>
                <w:rFonts w:ascii="Segoe UI" w:hAnsi="Segoe UI" w:cs="Segoe UI"/>
                <w:w w:val="110"/>
                <w:sz w:val="16"/>
                <w:szCs w:val="16"/>
              </w:rPr>
              <w:t>11,919</w:t>
            </w:r>
          </w:p>
        </w:tc>
      </w:tr>
      <w:tr w:rsidR="00862096" w14:paraId="40D2BBB2" w14:textId="77777777" w:rsidTr="00862096">
        <w:trPr>
          <w:trHeight w:val="359"/>
        </w:trPr>
        <w:tc>
          <w:tcPr>
            <w:tcW w:w="994" w:type="dxa"/>
            <w:hideMark/>
          </w:tcPr>
          <w:p w14:paraId="07C1707A" w14:textId="0AF2C3B4" w:rsidR="00862096" w:rsidRPr="00862096" w:rsidRDefault="00862096" w:rsidP="00862096">
            <w:pPr>
              <w:pStyle w:val="TableParagraph"/>
              <w:spacing w:before="60" w:after="60"/>
              <w:ind w:left="-42" w:right="152" w:firstLine="99"/>
              <w:jc w:val="right"/>
              <w:rPr>
                <w:rFonts w:ascii="Segoe UI" w:hAnsi="Segoe UI" w:cs="Segoe UI"/>
                <w:w w:val="110"/>
                <w:sz w:val="16"/>
                <w:szCs w:val="16"/>
              </w:rPr>
            </w:pPr>
            <w:r w:rsidRPr="00862096">
              <w:rPr>
                <w:rFonts w:ascii="Segoe UI" w:hAnsi="Segoe UI" w:cs="Segoe UI"/>
                <w:w w:val="110"/>
                <w:sz w:val="16"/>
                <w:szCs w:val="16"/>
              </w:rPr>
              <w:t>4,425</w:t>
            </w:r>
          </w:p>
        </w:tc>
        <w:tc>
          <w:tcPr>
            <w:tcW w:w="3829" w:type="dxa"/>
            <w:hideMark/>
          </w:tcPr>
          <w:p w14:paraId="2304BDDB" w14:textId="77777777" w:rsidR="00862096" w:rsidRDefault="00862096" w:rsidP="00862096">
            <w:pPr>
              <w:pStyle w:val="TableParagraph"/>
              <w:spacing w:before="60" w:after="60"/>
              <w:ind w:left="-42" w:firstLine="99"/>
              <w:rPr>
                <w:rFonts w:ascii="Segoe UI" w:hAnsi="Segoe UI" w:cs="Segoe UI"/>
                <w:w w:val="105"/>
                <w:sz w:val="16"/>
                <w:szCs w:val="16"/>
              </w:rPr>
            </w:pPr>
            <w:r>
              <w:rPr>
                <w:rFonts w:ascii="Segoe UI" w:hAnsi="Segoe UI" w:cs="Segoe UI"/>
                <w:w w:val="105"/>
                <w:sz w:val="16"/>
                <w:szCs w:val="16"/>
              </w:rPr>
              <w:t>Annual licence and registration fees</w:t>
            </w:r>
          </w:p>
        </w:tc>
        <w:tc>
          <w:tcPr>
            <w:tcW w:w="3262" w:type="dxa"/>
            <w:hideMark/>
          </w:tcPr>
          <w:p w14:paraId="07F4439E" w14:textId="16C9C378" w:rsidR="00862096" w:rsidRDefault="00862096" w:rsidP="00862096">
            <w:pPr>
              <w:pStyle w:val="TableParagraph"/>
              <w:spacing w:before="60" w:after="60"/>
              <w:ind w:left="-42" w:right="152" w:firstLine="99"/>
              <w:jc w:val="right"/>
              <w:rPr>
                <w:rFonts w:ascii="Segoe UI" w:hAnsi="Segoe UI" w:cs="Segoe UI"/>
                <w:w w:val="110"/>
                <w:sz w:val="16"/>
                <w:szCs w:val="16"/>
              </w:rPr>
            </w:pPr>
            <w:r w:rsidRPr="00862096">
              <w:rPr>
                <w:rFonts w:ascii="Segoe UI" w:hAnsi="Segoe UI" w:cs="Segoe UI"/>
                <w:w w:val="110"/>
                <w:sz w:val="16"/>
                <w:szCs w:val="16"/>
              </w:rPr>
              <w:t>3,981</w:t>
            </w:r>
          </w:p>
        </w:tc>
      </w:tr>
      <w:tr w:rsidR="00862096" w14:paraId="1FC8B237" w14:textId="77777777" w:rsidTr="00862096">
        <w:trPr>
          <w:trHeight w:val="359"/>
        </w:trPr>
        <w:tc>
          <w:tcPr>
            <w:tcW w:w="994" w:type="dxa"/>
          </w:tcPr>
          <w:p w14:paraId="683EF6B9" w14:textId="1E4A83CB" w:rsidR="00862096" w:rsidRPr="00862096" w:rsidRDefault="00862096" w:rsidP="00862096">
            <w:pPr>
              <w:pStyle w:val="TableParagraph"/>
              <w:spacing w:before="60" w:after="60"/>
              <w:ind w:left="-42" w:right="152" w:firstLine="99"/>
              <w:jc w:val="right"/>
              <w:rPr>
                <w:rFonts w:ascii="Segoe UI" w:hAnsi="Segoe UI" w:cs="Segoe UI"/>
                <w:w w:val="110"/>
                <w:sz w:val="16"/>
                <w:szCs w:val="16"/>
              </w:rPr>
            </w:pPr>
            <w:r w:rsidRPr="00862096">
              <w:rPr>
                <w:rFonts w:ascii="Segoe UI" w:hAnsi="Segoe UI" w:cs="Segoe UI"/>
                <w:w w:val="110"/>
                <w:sz w:val="16"/>
                <w:szCs w:val="16"/>
              </w:rPr>
              <w:t>–</w:t>
            </w:r>
          </w:p>
        </w:tc>
        <w:tc>
          <w:tcPr>
            <w:tcW w:w="3829" w:type="dxa"/>
          </w:tcPr>
          <w:p w14:paraId="528C04FA" w14:textId="4B5922D1" w:rsidR="00862096" w:rsidRDefault="00862096" w:rsidP="00862096">
            <w:pPr>
              <w:pStyle w:val="TableParagraph"/>
              <w:spacing w:before="60" w:after="60"/>
              <w:ind w:left="-42" w:firstLine="99"/>
              <w:rPr>
                <w:rFonts w:ascii="Segoe UI" w:hAnsi="Segoe UI" w:cs="Segoe UI"/>
                <w:w w:val="105"/>
                <w:sz w:val="16"/>
                <w:szCs w:val="16"/>
              </w:rPr>
            </w:pPr>
            <w:r w:rsidRPr="00862096">
              <w:rPr>
                <w:rFonts w:ascii="Segoe UI" w:hAnsi="Segoe UI" w:cs="Segoe UI"/>
                <w:w w:val="105"/>
                <w:sz w:val="16"/>
                <w:szCs w:val="16"/>
              </w:rPr>
              <w:t>Lease income</w:t>
            </w:r>
          </w:p>
        </w:tc>
        <w:tc>
          <w:tcPr>
            <w:tcW w:w="3262" w:type="dxa"/>
          </w:tcPr>
          <w:p w14:paraId="60A7C8A1" w14:textId="555C9A99" w:rsidR="00862096" w:rsidRDefault="00862096" w:rsidP="00862096">
            <w:pPr>
              <w:pStyle w:val="TableParagraph"/>
              <w:spacing w:before="60" w:after="60"/>
              <w:ind w:left="-42" w:right="152" w:firstLine="99"/>
              <w:jc w:val="right"/>
              <w:rPr>
                <w:rFonts w:ascii="Segoe UI" w:hAnsi="Segoe UI" w:cs="Segoe UI"/>
                <w:w w:val="110"/>
                <w:sz w:val="16"/>
                <w:szCs w:val="16"/>
              </w:rPr>
            </w:pPr>
            <w:r w:rsidRPr="00862096">
              <w:rPr>
                <w:rFonts w:ascii="Segoe UI" w:hAnsi="Segoe UI" w:cs="Segoe UI"/>
                <w:w w:val="110"/>
                <w:sz w:val="16"/>
                <w:szCs w:val="16"/>
              </w:rPr>
              <w:t>3,900</w:t>
            </w:r>
          </w:p>
        </w:tc>
      </w:tr>
      <w:tr w:rsidR="00862096" w14:paraId="12627465" w14:textId="77777777" w:rsidTr="00862096">
        <w:trPr>
          <w:trHeight w:val="348"/>
        </w:trPr>
        <w:tc>
          <w:tcPr>
            <w:tcW w:w="994" w:type="dxa"/>
            <w:tcBorders>
              <w:top w:val="nil"/>
              <w:left w:val="nil"/>
              <w:bottom w:val="dotted" w:sz="6" w:space="0" w:color="002E6E"/>
              <w:right w:val="nil"/>
            </w:tcBorders>
            <w:hideMark/>
          </w:tcPr>
          <w:p w14:paraId="6F777773" w14:textId="6C0C9249" w:rsidR="00862096" w:rsidRPr="00862096" w:rsidRDefault="00862096" w:rsidP="00862096">
            <w:pPr>
              <w:pStyle w:val="TableParagraph"/>
              <w:spacing w:before="60" w:after="60"/>
              <w:ind w:left="-42" w:right="152" w:firstLine="99"/>
              <w:jc w:val="right"/>
              <w:rPr>
                <w:rFonts w:ascii="Segoe UI" w:hAnsi="Segoe UI" w:cs="Segoe UI"/>
                <w:w w:val="110"/>
                <w:sz w:val="16"/>
                <w:szCs w:val="16"/>
              </w:rPr>
            </w:pPr>
            <w:r w:rsidRPr="00862096">
              <w:rPr>
                <w:rFonts w:ascii="Segoe UI" w:hAnsi="Segoe UI" w:cs="Segoe UI"/>
                <w:w w:val="110"/>
                <w:sz w:val="16"/>
                <w:szCs w:val="16"/>
              </w:rPr>
              <w:t>4,677</w:t>
            </w:r>
          </w:p>
        </w:tc>
        <w:tc>
          <w:tcPr>
            <w:tcW w:w="3829" w:type="dxa"/>
            <w:tcBorders>
              <w:top w:val="nil"/>
              <w:left w:val="nil"/>
              <w:bottom w:val="dotted" w:sz="6" w:space="0" w:color="002E6E"/>
              <w:right w:val="nil"/>
            </w:tcBorders>
            <w:hideMark/>
          </w:tcPr>
          <w:p w14:paraId="552E642C" w14:textId="77777777" w:rsidR="00862096" w:rsidRDefault="00862096" w:rsidP="00862096">
            <w:pPr>
              <w:pStyle w:val="TableParagraph"/>
              <w:spacing w:before="60" w:after="60"/>
              <w:ind w:left="-42" w:firstLine="99"/>
              <w:rPr>
                <w:rFonts w:ascii="Segoe UI" w:hAnsi="Segoe UI" w:cs="Segoe UI"/>
                <w:w w:val="105"/>
                <w:sz w:val="16"/>
                <w:szCs w:val="16"/>
              </w:rPr>
            </w:pPr>
            <w:r>
              <w:rPr>
                <w:rFonts w:ascii="Segoe UI" w:hAnsi="Segoe UI" w:cs="Segoe UI"/>
                <w:w w:val="105"/>
                <w:sz w:val="16"/>
                <w:szCs w:val="16"/>
              </w:rPr>
              <w:t>Other revenue</w:t>
            </w:r>
          </w:p>
        </w:tc>
        <w:tc>
          <w:tcPr>
            <w:tcW w:w="3262" w:type="dxa"/>
            <w:tcBorders>
              <w:top w:val="nil"/>
              <w:left w:val="nil"/>
              <w:bottom w:val="dotted" w:sz="6" w:space="0" w:color="002E6E"/>
              <w:right w:val="nil"/>
            </w:tcBorders>
            <w:hideMark/>
          </w:tcPr>
          <w:p w14:paraId="6FC5CD50" w14:textId="1340710D" w:rsidR="00862096" w:rsidRDefault="00862096" w:rsidP="00862096">
            <w:pPr>
              <w:pStyle w:val="TableParagraph"/>
              <w:spacing w:before="60" w:after="60"/>
              <w:ind w:left="-42" w:right="152" w:firstLine="99"/>
              <w:jc w:val="right"/>
              <w:rPr>
                <w:rFonts w:ascii="Segoe UI" w:hAnsi="Segoe UI" w:cs="Segoe UI"/>
                <w:w w:val="110"/>
                <w:sz w:val="16"/>
                <w:szCs w:val="16"/>
              </w:rPr>
            </w:pPr>
            <w:r w:rsidRPr="00862096">
              <w:rPr>
                <w:rFonts w:ascii="Segoe UI" w:hAnsi="Segoe UI" w:cs="Segoe UI"/>
                <w:w w:val="110"/>
                <w:sz w:val="16"/>
                <w:szCs w:val="16"/>
              </w:rPr>
              <w:t>10,057</w:t>
            </w:r>
          </w:p>
        </w:tc>
      </w:tr>
      <w:tr w:rsidR="00862096" w:rsidRPr="00862096" w14:paraId="6BAFD064" w14:textId="77777777" w:rsidTr="00862096">
        <w:trPr>
          <w:trHeight w:val="344"/>
        </w:trPr>
        <w:tc>
          <w:tcPr>
            <w:tcW w:w="994" w:type="dxa"/>
            <w:tcBorders>
              <w:top w:val="dotted" w:sz="6" w:space="0" w:color="002E6E"/>
              <w:left w:val="nil"/>
              <w:bottom w:val="dotted" w:sz="6" w:space="0" w:color="002E6E"/>
              <w:right w:val="nil"/>
            </w:tcBorders>
            <w:hideMark/>
          </w:tcPr>
          <w:p w14:paraId="661803C2" w14:textId="0A5771A6" w:rsidR="00862096" w:rsidRPr="00862096" w:rsidRDefault="00862096" w:rsidP="00862096">
            <w:pPr>
              <w:pStyle w:val="TableParagraph"/>
              <w:spacing w:before="60" w:after="60"/>
              <w:ind w:left="-42" w:right="152" w:firstLine="99"/>
              <w:jc w:val="right"/>
              <w:rPr>
                <w:rFonts w:ascii="Segoe UI" w:hAnsi="Segoe UI" w:cs="Segoe UI"/>
                <w:b/>
                <w:bCs/>
                <w:w w:val="110"/>
                <w:sz w:val="16"/>
                <w:szCs w:val="16"/>
              </w:rPr>
            </w:pPr>
            <w:r w:rsidRPr="00862096">
              <w:rPr>
                <w:rFonts w:ascii="Segoe UI" w:hAnsi="Segoe UI" w:cs="Segoe UI"/>
                <w:b/>
                <w:bCs/>
                <w:w w:val="110"/>
                <w:sz w:val="16"/>
                <w:szCs w:val="16"/>
              </w:rPr>
              <w:t>19,683</w:t>
            </w:r>
          </w:p>
        </w:tc>
        <w:tc>
          <w:tcPr>
            <w:tcW w:w="3829" w:type="dxa"/>
            <w:tcBorders>
              <w:top w:val="dotted" w:sz="6" w:space="0" w:color="002E6E"/>
              <w:left w:val="nil"/>
              <w:bottom w:val="dotted" w:sz="6" w:space="0" w:color="002E6E"/>
              <w:right w:val="nil"/>
            </w:tcBorders>
            <w:hideMark/>
          </w:tcPr>
          <w:p w14:paraId="425504BD" w14:textId="77777777" w:rsidR="00862096" w:rsidRPr="00862096" w:rsidRDefault="00862096" w:rsidP="00862096">
            <w:pPr>
              <w:pStyle w:val="TableParagraph"/>
              <w:spacing w:before="60" w:after="60"/>
              <w:ind w:left="-42" w:firstLine="99"/>
              <w:rPr>
                <w:rFonts w:ascii="Segoe UI" w:hAnsi="Segoe UI" w:cs="Segoe UI"/>
                <w:b/>
                <w:bCs/>
                <w:w w:val="105"/>
                <w:sz w:val="16"/>
                <w:szCs w:val="16"/>
              </w:rPr>
            </w:pPr>
            <w:r w:rsidRPr="00862096">
              <w:rPr>
                <w:rFonts w:ascii="Segoe UI" w:hAnsi="Segoe UI" w:cs="Segoe UI"/>
                <w:b/>
                <w:bCs/>
                <w:w w:val="105"/>
                <w:sz w:val="16"/>
                <w:szCs w:val="16"/>
              </w:rPr>
              <w:t>Total other revenue</w:t>
            </w:r>
          </w:p>
        </w:tc>
        <w:tc>
          <w:tcPr>
            <w:tcW w:w="3262" w:type="dxa"/>
            <w:tcBorders>
              <w:top w:val="dotted" w:sz="6" w:space="0" w:color="002E6E"/>
              <w:left w:val="nil"/>
              <w:bottom w:val="dotted" w:sz="6" w:space="0" w:color="002E6E"/>
              <w:right w:val="nil"/>
            </w:tcBorders>
            <w:hideMark/>
          </w:tcPr>
          <w:p w14:paraId="52A3A9A4" w14:textId="1E358480" w:rsidR="00862096" w:rsidRPr="00862096" w:rsidRDefault="00862096" w:rsidP="00862096">
            <w:pPr>
              <w:pStyle w:val="TableParagraph"/>
              <w:spacing w:before="60" w:after="60"/>
              <w:ind w:left="-42" w:right="152" w:firstLine="99"/>
              <w:jc w:val="right"/>
              <w:rPr>
                <w:rFonts w:ascii="Segoe UI" w:hAnsi="Segoe UI" w:cs="Segoe UI"/>
                <w:b/>
                <w:bCs/>
                <w:w w:val="110"/>
                <w:sz w:val="16"/>
                <w:szCs w:val="16"/>
              </w:rPr>
            </w:pPr>
            <w:r w:rsidRPr="00862096">
              <w:rPr>
                <w:rFonts w:ascii="Segoe UI" w:hAnsi="Segoe UI" w:cs="Segoe UI"/>
                <w:b/>
                <w:bCs/>
                <w:w w:val="110"/>
                <w:sz w:val="16"/>
                <w:szCs w:val="16"/>
              </w:rPr>
              <w:t>29,857</w:t>
            </w:r>
          </w:p>
        </w:tc>
      </w:tr>
    </w:tbl>
    <w:p w14:paraId="2A14EF01" w14:textId="77777777" w:rsidR="00FC5289" w:rsidRDefault="00FC5289" w:rsidP="00FC5289">
      <w:pPr>
        <w:pStyle w:val="Heading4"/>
      </w:pPr>
      <w:r>
        <w:t>Explanation of major variances against budget</w:t>
      </w:r>
    </w:p>
    <w:p w14:paraId="2B1AF5CD" w14:textId="2EB8B514" w:rsidR="00FC5289" w:rsidRDefault="00FC5289" w:rsidP="00FC5289">
      <w:r>
        <w:t xml:space="preserve"> Revenue Crown was $34.541 million above higher than budget mainly due:</w:t>
      </w:r>
    </w:p>
    <w:p w14:paraId="4454721F" w14:textId="5E237859" w:rsidR="00FC5289" w:rsidRDefault="00FC5289" w:rsidP="00FC5289">
      <w:pPr>
        <w:pStyle w:val="Bullet"/>
      </w:pPr>
      <w:r>
        <w:t xml:space="preserve">changes to funding for public health surveillance activities ($24 million) and drawdown of a contingency held to strengthen the Ministry’s stewardship role ($23.949 million), offset by funding returned of $19.577 million relating to district health board sustainability funding as part of a package of short-term </w:t>
      </w:r>
      <w:proofErr w:type="gramStart"/>
      <w:r>
        <w:t>savings</w:t>
      </w:r>
      <w:proofErr w:type="gramEnd"/>
    </w:p>
    <w:p w14:paraId="76AADD69" w14:textId="77CC15CB" w:rsidR="00FC5289" w:rsidRDefault="00FC5289" w:rsidP="00FC5289">
      <w:pPr>
        <w:pStyle w:val="Bullet"/>
      </w:pPr>
      <w:r>
        <w:t>an in-</w:t>
      </w:r>
      <w:proofErr w:type="gramStart"/>
      <w:r>
        <w:t>principle</w:t>
      </w:r>
      <w:proofErr w:type="gramEnd"/>
      <w:r>
        <w:t xml:space="preserve"> expense transfer totalling $6.782 million, which was carried over from 2022/23 into 2023/24. This was confirmed after the 2022/23 Annual Report’s completion in September 2023.</w:t>
      </w:r>
    </w:p>
    <w:p w14:paraId="41543951" w14:textId="77777777" w:rsidR="00CF0688" w:rsidRDefault="00CF0688" w:rsidP="00FC5289"/>
    <w:p w14:paraId="13FCF04C" w14:textId="705D2B54" w:rsidR="00FC5289" w:rsidRDefault="00FC5289" w:rsidP="00FC5289">
      <w:r>
        <w:t>Other revenue was $11,632 million higher than budget mainly due to:</w:t>
      </w:r>
    </w:p>
    <w:p w14:paraId="699B3D7E" w14:textId="565A827E" w:rsidR="00FC5289" w:rsidRDefault="00FC5289" w:rsidP="00FC5289">
      <w:pPr>
        <w:pStyle w:val="Bullet"/>
      </w:pPr>
      <w:r>
        <w:t>funding received from the Ministry of Foreign Affairs and Trade for the Polynesian Health Corridors Programme ($7.042 million)</w:t>
      </w:r>
    </w:p>
    <w:p w14:paraId="0392F939" w14:textId="4E497E0C" w:rsidR="00FC5289" w:rsidRDefault="00FC5289" w:rsidP="00FC5289">
      <w:pPr>
        <w:pStyle w:val="Bullet"/>
      </w:pPr>
      <w:r>
        <w:t>an additional $4.190 million received from Health New Zealand for IT and facilities costs.</w:t>
      </w:r>
    </w:p>
    <w:p w14:paraId="4B79B70C" w14:textId="77777777" w:rsidR="00FC5289" w:rsidRDefault="00FC5289" w:rsidP="00FC5289"/>
    <w:p w14:paraId="44DBA602" w14:textId="77777777" w:rsidR="00862096" w:rsidRDefault="00FC5289" w:rsidP="00FC5289">
      <w:r>
        <w:lastRenderedPageBreak/>
        <w:t>Debtor Crown was $35.164 million higher than budget mainly as less cash was required and drawn down during the financial year, resulting in a greater Debtor Crown balance at year-end.</w:t>
      </w:r>
    </w:p>
    <w:p w14:paraId="440BCBA2" w14:textId="77777777" w:rsidR="00FC5289" w:rsidRDefault="00FC5289" w:rsidP="007123AC">
      <w:pPr>
        <w:pStyle w:val="Heading3"/>
        <w:numPr>
          <w:ilvl w:val="6"/>
          <w:numId w:val="5"/>
        </w:numPr>
        <w:tabs>
          <w:tab w:val="num" w:pos="5040"/>
        </w:tabs>
        <w:ind w:left="709" w:hanging="709"/>
      </w:pPr>
      <w:r>
        <w:t>Personnel costs</w:t>
      </w:r>
    </w:p>
    <w:p w14:paraId="138FD295" w14:textId="77777777" w:rsidR="00FC5289" w:rsidRDefault="00FC5289" w:rsidP="00FC5289">
      <w:pPr>
        <w:pStyle w:val="Heading4"/>
      </w:pPr>
      <w:r>
        <w:t>Accounting policy</w:t>
      </w:r>
      <w:r>
        <w:tab/>
      </w:r>
    </w:p>
    <w:p w14:paraId="0F8E519C" w14:textId="77777777" w:rsidR="00FC5289" w:rsidRDefault="00FC5289" w:rsidP="00FC5289">
      <w:pPr>
        <w:pStyle w:val="Heading5"/>
      </w:pPr>
      <w:r>
        <w:t>Salaries and wages</w:t>
      </w:r>
    </w:p>
    <w:p w14:paraId="492D932B" w14:textId="77777777" w:rsidR="00FC5289" w:rsidRDefault="00FC5289" w:rsidP="00FC5289">
      <w:r>
        <w:t>Salaries and wages are recognised as an expense as employees provide services.</w:t>
      </w:r>
    </w:p>
    <w:p w14:paraId="7473A38C" w14:textId="77777777" w:rsidR="00FC5289" w:rsidRDefault="00FC5289" w:rsidP="00FC5289">
      <w:pPr>
        <w:pStyle w:val="Heading5"/>
      </w:pPr>
      <w:r>
        <w:t>Superannuation schemes</w:t>
      </w:r>
    </w:p>
    <w:p w14:paraId="13562447" w14:textId="77777777" w:rsidR="00FC5289" w:rsidRPr="00FC5289" w:rsidRDefault="00FC5289" w:rsidP="00FC5289">
      <w:pPr>
        <w:spacing w:after="160"/>
        <w:rPr>
          <w:b/>
          <w:bCs/>
        </w:rPr>
      </w:pPr>
      <w:r w:rsidRPr="00FC5289">
        <w:rPr>
          <w:b/>
          <w:bCs/>
        </w:rPr>
        <w:t>Defined contribution schemes</w:t>
      </w:r>
    </w:p>
    <w:p w14:paraId="20957A7F" w14:textId="77777777" w:rsidR="00FC5289" w:rsidRDefault="00FC5289" w:rsidP="00FC5289">
      <w:r>
        <w:t xml:space="preserve">Employer contributions to the State Sector Retirement Savings Scheme, KiwiSaver and the Government Superannuation Fund are accounted for as defined contribution superannuation schemes and are expensed in </w:t>
      </w:r>
      <w:proofErr w:type="gramStart"/>
      <w:r>
        <w:t>surplus</w:t>
      </w:r>
      <w:proofErr w:type="gramEnd"/>
      <w:r>
        <w:t xml:space="preserve"> or deficit as incurred.</w:t>
      </w:r>
    </w:p>
    <w:p w14:paraId="24ECCE67" w14:textId="77777777" w:rsidR="00FC5289" w:rsidRDefault="00FC5289" w:rsidP="00FC5289"/>
    <w:tbl>
      <w:tblPr>
        <w:tblW w:w="7800" w:type="dxa"/>
        <w:tblLayout w:type="fixed"/>
        <w:tblCellMar>
          <w:left w:w="0" w:type="dxa"/>
          <w:right w:w="0" w:type="dxa"/>
        </w:tblCellMar>
        <w:tblLook w:val="01E0" w:firstRow="1" w:lastRow="1" w:firstColumn="1" w:lastColumn="1" w:noHBand="0" w:noVBand="0"/>
      </w:tblPr>
      <w:tblGrid>
        <w:gridCol w:w="1281"/>
        <w:gridCol w:w="4958"/>
        <w:gridCol w:w="1561"/>
      </w:tblGrid>
      <w:tr w:rsidR="00FC5289" w14:paraId="24C92E1A" w14:textId="77777777" w:rsidTr="00FC5289">
        <w:trPr>
          <w:trHeight w:val="784"/>
        </w:trPr>
        <w:tc>
          <w:tcPr>
            <w:tcW w:w="1281" w:type="dxa"/>
            <w:shd w:val="clear" w:color="auto" w:fill="D9D9D9" w:themeFill="background1" w:themeFillShade="D9"/>
            <w:hideMark/>
          </w:tcPr>
          <w:p w14:paraId="6AF05879" w14:textId="77777777" w:rsidR="00FC5289" w:rsidRDefault="00FC5289">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 xml:space="preserve">Actual </w:t>
            </w:r>
          </w:p>
          <w:p w14:paraId="217F1C8F" w14:textId="08EA3259" w:rsidR="00FC5289" w:rsidRDefault="00FC5289">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2023</w:t>
            </w:r>
          </w:p>
          <w:p w14:paraId="24776481" w14:textId="77777777" w:rsidR="00FC5289" w:rsidRDefault="00FC5289">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4958" w:type="dxa"/>
            <w:shd w:val="clear" w:color="auto" w:fill="D9D9D9" w:themeFill="background1" w:themeFillShade="D9"/>
          </w:tcPr>
          <w:p w14:paraId="13577871" w14:textId="77777777" w:rsidR="00FC5289" w:rsidRDefault="00FC5289">
            <w:pPr>
              <w:pStyle w:val="TableParagraph"/>
              <w:rPr>
                <w:rFonts w:ascii="Times New Roman"/>
                <w:b/>
                <w:bCs/>
                <w:sz w:val="18"/>
              </w:rPr>
            </w:pPr>
          </w:p>
        </w:tc>
        <w:tc>
          <w:tcPr>
            <w:tcW w:w="1561" w:type="dxa"/>
            <w:shd w:val="clear" w:color="auto" w:fill="D9D9D9" w:themeFill="background1" w:themeFillShade="D9"/>
            <w:hideMark/>
          </w:tcPr>
          <w:p w14:paraId="1DB436C8" w14:textId="77777777" w:rsidR="00FC5289" w:rsidRDefault="00FC5289">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 xml:space="preserve">Actual </w:t>
            </w:r>
          </w:p>
          <w:p w14:paraId="25A6652F" w14:textId="07210E19" w:rsidR="00FC5289" w:rsidRDefault="00FC5289">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7B847D55" w14:textId="77777777" w:rsidR="00FC5289" w:rsidRDefault="00FC5289">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r>
      <w:tr w:rsidR="00FC5289" w14:paraId="27D17DBB" w14:textId="77777777" w:rsidTr="00FC5289">
        <w:trPr>
          <w:trHeight w:val="354"/>
        </w:trPr>
        <w:tc>
          <w:tcPr>
            <w:tcW w:w="1281" w:type="dxa"/>
            <w:hideMark/>
          </w:tcPr>
          <w:p w14:paraId="54FA579D" w14:textId="209F0E2A" w:rsidR="00FC5289" w:rsidRDefault="00FC5289" w:rsidP="00FC5289">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95,359</w:t>
            </w:r>
          </w:p>
        </w:tc>
        <w:tc>
          <w:tcPr>
            <w:tcW w:w="4958" w:type="dxa"/>
            <w:hideMark/>
          </w:tcPr>
          <w:p w14:paraId="22FFF668" w14:textId="77777777" w:rsidR="00FC5289" w:rsidRDefault="00FC5289" w:rsidP="00FC5289">
            <w:pPr>
              <w:pStyle w:val="TableParagraph"/>
              <w:spacing w:before="60" w:after="60"/>
              <w:ind w:left="-42" w:firstLine="99"/>
              <w:rPr>
                <w:rFonts w:ascii="Segoe UI" w:hAnsi="Segoe UI" w:cs="Segoe UI"/>
                <w:w w:val="105"/>
                <w:sz w:val="16"/>
                <w:szCs w:val="16"/>
              </w:rPr>
            </w:pPr>
            <w:r>
              <w:rPr>
                <w:rFonts w:ascii="Segoe UI" w:hAnsi="Segoe UI" w:cs="Segoe UI"/>
                <w:w w:val="105"/>
                <w:sz w:val="16"/>
                <w:szCs w:val="16"/>
              </w:rPr>
              <w:t>Salaries and wages</w:t>
            </w:r>
          </w:p>
        </w:tc>
        <w:tc>
          <w:tcPr>
            <w:tcW w:w="1561" w:type="dxa"/>
            <w:hideMark/>
          </w:tcPr>
          <w:p w14:paraId="509CBB7D" w14:textId="5D89FCF1" w:rsidR="00FC5289" w:rsidRDefault="00FC5289" w:rsidP="00FC5289">
            <w:pPr>
              <w:pStyle w:val="TableParagraph"/>
              <w:spacing w:before="60" w:after="60"/>
              <w:ind w:left="-42" w:right="170" w:firstLine="99"/>
              <w:jc w:val="right"/>
              <w:rPr>
                <w:rFonts w:ascii="Segoe UI" w:hAnsi="Segoe UI" w:cs="Segoe UI"/>
                <w:w w:val="110"/>
                <w:sz w:val="16"/>
                <w:szCs w:val="16"/>
              </w:rPr>
            </w:pPr>
            <w:r w:rsidRPr="00FC5289">
              <w:rPr>
                <w:rFonts w:ascii="Segoe UI" w:hAnsi="Segoe UI" w:cs="Segoe UI"/>
                <w:w w:val="110"/>
                <w:sz w:val="16"/>
                <w:szCs w:val="16"/>
              </w:rPr>
              <w:t>117,619</w:t>
            </w:r>
          </w:p>
        </w:tc>
      </w:tr>
      <w:tr w:rsidR="00FC5289" w14:paraId="55EDD5D8" w14:textId="77777777" w:rsidTr="00FC5289">
        <w:trPr>
          <w:trHeight w:val="359"/>
        </w:trPr>
        <w:tc>
          <w:tcPr>
            <w:tcW w:w="1281" w:type="dxa"/>
            <w:hideMark/>
          </w:tcPr>
          <w:p w14:paraId="2AD1482D" w14:textId="4087F01F" w:rsidR="00FC5289" w:rsidRDefault="00FC5289" w:rsidP="00FC5289">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3,084</w:t>
            </w:r>
          </w:p>
        </w:tc>
        <w:tc>
          <w:tcPr>
            <w:tcW w:w="4958" w:type="dxa"/>
            <w:hideMark/>
          </w:tcPr>
          <w:p w14:paraId="39CAA6A3" w14:textId="77777777" w:rsidR="00FC5289" w:rsidRDefault="00FC5289" w:rsidP="00FC5289">
            <w:pPr>
              <w:pStyle w:val="TableParagraph"/>
              <w:spacing w:before="60" w:after="60"/>
              <w:ind w:left="-42" w:firstLine="99"/>
              <w:rPr>
                <w:rFonts w:ascii="Segoe UI" w:hAnsi="Segoe UI" w:cs="Segoe UI"/>
                <w:w w:val="105"/>
                <w:sz w:val="16"/>
                <w:szCs w:val="16"/>
              </w:rPr>
            </w:pPr>
            <w:r>
              <w:rPr>
                <w:rFonts w:ascii="Segoe UI" w:hAnsi="Segoe UI" w:cs="Segoe UI"/>
                <w:w w:val="105"/>
                <w:sz w:val="16"/>
                <w:szCs w:val="16"/>
              </w:rPr>
              <w:t>Employer contributions to defined contribution plans</w:t>
            </w:r>
          </w:p>
        </w:tc>
        <w:tc>
          <w:tcPr>
            <w:tcW w:w="1561" w:type="dxa"/>
            <w:hideMark/>
          </w:tcPr>
          <w:p w14:paraId="2E678F36" w14:textId="1587DE47" w:rsidR="00FC5289" w:rsidRDefault="00FC5289" w:rsidP="00FC5289">
            <w:pPr>
              <w:pStyle w:val="TableParagraph"/>
              <w:spacing w:before="60" w:after="60"/>
              <w:ind w:left="-42" w:right="170" w:firstLine="99"/>
              <w:jc w:val="right"/>
              <w:rPr>
                <w:rFonts w:ascii="Segoe UI" w:hAnsi="Segoe UI" w:cs="Segoe UI"/>
                <w:w w:val="110"/>
                <w:sz w:val="16"/>
                <w:szCs w:val="16"/>
              </w:rPr>
            </w:pPr>
            <w:r w:rsidRPr="00FC5289">
              <w:rPr>
                <w:rFonts w:ascii="Segoe UI" w:hAnsi="Segoe UI" w:cs="Segoe UI"/>
                <w:w w:val="110"/>
                <w:sz w:val="16"/>
                <w:szCs w:val="16"/>
              </w:rPr>
              <w:t>3,543</w:t>
            </w:r>
          </w:p>
        </w:tc>
      </w:tr>
      <w:tr w:rsidR="00FC5289" w14:paraId="3312D844" w14:textId="77777777" w:rsidTr="00FC5289">
        <w:trPr>
          <w:trHeight w:val="359"/>
        </w:trPr>
        <w:tc>
          <w:tcPr>
            <w:tcW w:w="1281" w:type="dxa"/>
            <w:hideMark/>
          </w:tcPr>
          <w:p w14:paraId="2031A766" w14:textId="2122BF42" w:rsidR="00FC5289" w:rsidRDefault="00FC5289" w:rsidP="00FC5289">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1,077</w:t>
            </w:r>
          </w:p>
        </w:tc>
        <w:tc>
          <w:tcPr>
            <w:tcW w:w="4958" w:type="dxa"/>
            <w:hideMark/>
          </w:tcPr>
          <w:p w14:paraId="2BEFA50F" w14:textId="77777777" w:rsidR="00FC5289" w:rsidRDefault="00FC5289" w:rsidP="00FC5289">
            <w:pPr>
              <w:pStyle w:val="TableParagraph"/>
              <w:spacing w:before="60" w:after="60"/>
              <w:ind w:left="-42" w:firstLine="99"/>
              <w:rPr>
                <w:rFonts w:ascii="Segoe UI" w:hAnsi="Segoe UI" w:cs="Segoe UI"/>
                <w:w w:val="105"/>
                <w:sz w:val="16"/>
                <w:szCs w:val="16"/>
              </w:rPr>
            </w:pPr>
            <w:r>
              <w:rPr>
                <w:rFonts w:ascii="Segoe UI" w:hAnsi="Segoe UI" w:cs="Segoe UI"/>
                <w:w w:val="105"/>
                <w:sz w:val="16"/>
                <w:szCs w:val="16"/>
              </w:rPr>
              <w:t>Increase/(decrease) in employee entitlements</w:t>
            </w:r>
          </w:p>
        </w:tc>
        <w:tc>
          <w:tcPr>
            <w:tcW w:w="1561" w:type="dxa"/>
            <w:hideMark/>
          </w:tcPr>
          <w:p w14:paraId="239C0259" w14:textId="445F3719" w:rsidR="00FC5289" w:rsidRDefault="00FC5289" w:rsidP="00FC5289">
            <w:pPr>
              <w:pStyle w:val="TableParagraph"/>
              <w:spacing w:before="60" w:after="60"/>
              <w:ind w:left="-42" w:right="170" w:firstLine="99"/>
              <w:jc w:val="right"/>
              <w:rPr>
                <w:rFonts w:ascii="Segoe UI" w:hAnsi="Segoe UI" w:cs="Segoe UI"/>
                <w:w w:val="110"/>
                <w:sz w:val="16"/>
                <w:szCs w:val="16"/>
              </w:rPr>
            </w:pPr>
            <w:r w:rsidRPr="00FC5289">
              <w:rPr>
                <w:rFonts w:ascii="Segoe UI" w:hAnsi="Segoe UI" w:cs="Segoe UI"/>
                <w:w w:val="110"/>
                <w:sz w:val="16"/>
                <w:szCs w:val="16"/>
              </w:rPr>
              <w:t>621</w:t>
            </w:r>
          </w:p>
        </w:tc>
      </w:tr>
      <w:tr w:rsidR="00FC5289" w14:paraId="3A59DF2C" w14:textId="77777777" w:rsidTr="00FC5289">
        <w:trPr>
          <w:trHeight w:val="348"/>
        </w:trPr>
        <w:tc>
          <w:tcPr>
            <w:tcW w:w="1281" w:type="dxa"/>
            <w:tcBorders>
              <w:top w:val="nil"/>
              <w:left w:val="nil"/>
              <w:bottom w:val="dotted" w:sz="6" w:space="0" w:color="002E6E"/>
              <w:right w:val="nil"/>
            </w:tcBorders>
            <w:hideMark/>
          </w:tcPr>
          <w:p w14:paraId="74FF6A90" w14:textId="78D44823" w:rsidR="00FC5289" w:rsidRDefault="00FC5289" w:rsidP="00FC5289">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1,822</w:t>
            </w:r>
          </w:p>
        </w:tc>
        <w:tc>
          <w:tcPr>
            <w:tcW w:w="4958" w:type="dxa"/>
            <w:tcBorders>
              <w:top w:val="nil"/>
              <w:left w:val="nil"/>
              <w:bottom w:val="dotted" w:sz="6" w:space="0" w:color="002E6E"/>
              <w:right w:val="nil"/>
            </w:tcBorders>
            <w:hideMark/>
          </w:tcPr>
          <w:p w14:paraId="05A8098E" w14:textId="77777777" w:rsidR="00FC5289" w:rsidRDefault="00FC5289" w:rsidP="00FC5289">
            <w:pPr>
              <w:pStyle w:val="TableParagraph"/>
              <w:spacing w:before="60" w:after="60"/>
              <w:ind w:left="-42" w:firstLine="99"/>
              <w:rPr>
                <w:rFonts w:ascii="Segoe UI" w:hAnsi="Segoe UI" w:cs="Segoe UI"/>
                <w:w w:val="105"/>
                <w:sz w:val="16"/>
                <w:szCs w:val="16"/>
              </w:rPr>
            </w:pPr>
            <w:r>
              <w:rPr>
                <w:rFonts w:ascii="Segoe UI" w:hAnsi="Segoe UI" w:cs="Segoe UI"/>
                <w:w w:val="105"/>
                <w:sz w:val="16"/>
                <w:szCs w:val="16"/>
              </w:rPr>
              <w:t>Other personnel costs</w:t>
            </w:r>
          </w:p>
        </w:tc>
        <w:tc>
          <w:tcPr>
            <w:tcW w:w="1561" w:type="dxa"/>
            <w:tcBorders>
              <w:top w:val="nil"/>
              <w:left w:val="nil"/>
              <w:bottom w:val="dotted" w:sz="6" w:space="0" w:color="002E6E"/>
              <w:right w:val="nil"/>
            </w:tcBorders>
            <w:hideMark/>
          </w:tcPr>
          <w:p w14:paraId="1A834E27" w14:textId="69559FB7" w:rsidR="00FC5289" w:rsidRDefault="00FC5289" w:rsidP="00FC5289">
            <w:pPr>
              <w:pStyle w:val="TableParagraph"/>
              <w:spacing w:before="60" w:after="60"/>
              <w:ind w:left="-42" w:right="170" w:firstLine="99"/>
              <w:jc w:val="right"/>
              <w:rPr>
                <w:rFonts w:ascii="Segoe UI" w:hAnsi="Segoe UI" w:cs="Segoe UI"/>
                <w:w w:val="110"/>
                <w:sz w:val="16"/>
                <w:szCs w:val="16"/>
              </w:rPr>
            </w:pPr>
            <w:r w:rsidRPr="00FC5289">
              <w:rPr>
                <w:rFonts w:ascii="Segoe UI" w:hAnsi="Segoe UI" w:cs="Segoe UI"/>
                <w:w w:val="110"/>
                <w:sz w:val="16"/>
                <w:szCs w:val="16"/>
              </w:rPr>
              <w:t>5,250</w:t>
            </w:r>
          </w:p>
        </w:tc>
      </w:tr>
      <w:tr w:rsidR="00FC5289" w:rsidRPr="00FC5289" w14:paraId="11E3263B" w14:textId="77777777" w:rsidTr="00FC5289">
        <w:trPr>
          <w:trHeight w:val="344"/>
        </w:trPr>
        <w:tc>
          <w:tcPr>
            <w:tcW w:w="1281" w:type="dxa"/>
            <w:tcBorders>
              <w:top w:val="dotted" w:sz="6" w:space="0" w:color="002E6E"/>
              <w:left w:val="nil"/>
              <w:bottom w:val="dotted" w:sz="6" w:space="0" w:color="002E6E"/>
              <w:right w:val="nil"/>
            </w:tcBorders>
            <w:hideMark/>
          </w:tcPr>
          <w:p w14:paraId="24D36CE2" w14:textId="75661C4A" w:rsidR="00FC5289" w:rsidRPr="00FC5289" w:rsidRDefault="00FC5289" w:rsidP="00FC5289">
            <w:pPr>
              <w:pStyle w:val="TableParagraph"/>
              <w:spacing w:before="60" w:after="60"/>
              <w:ind w:left="-42" w:right="170" w:firstLine="99"/>
              <w:jc w:val="right"/>
              <w:rPr>
                <w:rFonts w:ascii="Segoe UI" w:hAnsi="Segoe UI" w:cs="Segoe UI"/>
                <w:b/>
                <w:bCs/>
                <w:sz w:val="16"/>
                <w:szCs w:val="16"/>
              </w:rPr>
            </w:pPr>
            <w:r w:rsidRPr="00FC5289">
              <w:rPr>
                <w:rFonts w:ascii="Segoe UI" w:hAnsi="Segoe UI" w:cs="Segoe UI"/>
                <w:b/>
                <w:bCs/>
                <w:w w:val="110"/>
                <w:sz w:val="16"/>
                <w:szCs w:val="16"/>
              </w:rPr>
              <w:t>101,342</w:t>
            </w:r>
          </w:p>
        </w:tc>
        <w:tc>
          <w:tcPr>
            <w:tcW w:w="4958" w:type="dxa"/>
            <w:tcBorders>
              <w:top w:val="dotted" w:sz="6" w:space="0" w:color="002E6E"/>
              <w:left w:val="nil"/>
              <w:bottom w:val="dotted" w:sz="6" w:space="0" w:color="002E6E"/>
              <w:right w:val="nil"/>
            </w:tcBorders>
            <w:hideMark/>
          </w:tcPr>
          <w:p w14:paraId="5E04E208" w14:textId="77777777" w:rsidR="00FC5289" w:rsidRPr="00FC5289" w:rsidRDefault="00FC5289" w:rsidP="00FC5289">
            <w:pPr>
              <w:pStyle w:val="TableParagraph"/>
              <w:spacing w:before="60" w:after="60"/>
              <w:ind w:left="-42" w:firstLine="99"/>
              <w:rPr>
                <w:rFonts w:ascii="Segoe UI" w:hAnsi="Segoe UI" w:cs="Segoe UI"/>
                <w:b/>
                <w:bCs/>
                <w:w w:val="105"/>
                <w:sz w:val="16"/>
                <w:szCs w:val="16"/>
              </w:rPr>
            </w:pPr>
            <w:r w:rsidRPr="00FC5289">
              <w:rPr>
                <w:rFonts w:ascii="Segoe UI" w:hAnsi="Segoe UI" w:cs="Segoe UI"/>
                <w:b/>
                <w:bCs/>
                <w:w w:val="105"/>
                <w:sz w:val="16"/>
                <w:szCs w:val="16"/>
              </w:rPr>
              <w:t>Total personnel costs</w:t>
            </w:r>
          </w:p>
        </w:tc>
        <w:tc>
          <w:tcPr>
            <w:tcW w:w="1561" w:type="dxa"/>
            <w:tcBorders>
              <w:top w:val="dotted" w:sz="6" w:space="0" w:color="002E6E"/>
              <w:left w:val="nil"/>
              <w:bottom w:val="dotted" w:sz="6" w:space="0" w:color="002E6E"/>
              <w:right w:val="nil"/>
            </w:tcBorders>
            <w:hideMark/>
          </w:tcPr>
          <w:p w14:paraId="7C603521" w14:textId="02E2F09D" w:rsidR="00FC5289" w:rsidRPr="00FC5289" w:rsidRDefault="00FC5289" w:rsidP="00FC5289">
            <w:pPr>
              <w:pStyle w:val="TableParagraph"/>
              <w:spacing w:before="60" w:after="60"/>
              <w:ind w:left="-42" w:right="170" w:firstLine="99"/>
              <w:jc w:val="right"/>
              <w:rPr>
                <w:rFonts w:ascii="Segoe UI" w:hAnsi="Segoe UI" w:cs="Segoe UI"/>
                <w:b/>
                <w:bCs/>
                <w:w w:val="110"/>
                <w:sz w:val="16"/>
                <w:szCs w:val="16"/>
              </w:rPr>
            </w:pPr>
            <w:r w:rsidRPr="00FC5289">
              <w:rPr>
                <w:rFonts w:ascii="Segoe UI" w:hAnsi="Segoe UI" w:cs="Segoe UI"/>
                <w:b/>
                <w:bCs/>
                <w:w w:val="110"/>
                <w:sz w:val="16"/>
                <w:szCs w:val="16"/>
              </w:rPr>
              <w:t>127,033</w:t>
            </w:r>
          </w:p>
        </w:tc>
      </w:tr>
    </w:tbl>
    <w:p w14:paraId="2CC5B39B" w14:textId="77777777" w:rsidR="00FC5289" w:rsidRDefault="00FC5289" w:rsidP="00FC5289">
      <w:pPr>
        <w:rPr>
          <w:highlight w:val="yellow"/>
        </w:rPr>
      </w:pPr>
    </w:p>
    <w:p w14:paraId="177B5E5C" w14:textId="77777777" w:rsidR="00FC5289" w:rsidRDefault="00FC5289" w:rsidP="00FC5289">
      <w:pPr>
        <w:pStyle w:val="Heading4"/>
      </w:pPr>
      <w:r>
        <w:t>Explanation of major variances against budget</w:t>
      </w:r>
    </w:p>
    <w:p w14:paraId="080BFF26" w14:textId="2A1D7697" w:rsidR="00FC5289" w:rsidRDefault="00FC5289" w:rsidP="00FC5289">
      <w:r>
        <w:t>Personnel costs were $28.752 million higher than budget due to sustainability funding (additional for new roles), public sector pay adjustment and a one-off redundancy provision of $5.768 million.</w:t>
      </w:r>
    </w:p>
    <w:p w14:paraId="475B53F9" w14:textId="77777777" w:rsidR="00FC5289" w:rsidRDefault="00FC5289" w:rsidP="00FC5289"/>
    <w:p w14:paraId="7A725EE3" w14:textId="15B15E7D" w:rsidR="00FC5289" w:rsidRDefault="00FC5289" w:rsidP="00FC5289">
      <w:r>
        <w:t>The redundancy provision costs arose as a result of making necessary changes to our structure to continue to effectively lead our health system and to deliver the 6.5% savings required by the Government from 2024/25 as part of the Budget 2024 baseline savings exercise.</w:t>
      </w:r>
    </w:p>
    <w:p w14:paraId="3C642B9D" w14:textId="77777777" w:rsidR="00FC5289" w:rsidRDefault="00FC5289" w:rsidP="007123AC">
      <w:pPr>
        <w:pStyle w:val="Heading3"/>
        <w:numPr>
          <w:ilvl w:val="6"/>
          <w:numId w:val="5"/>
        </w:numPr>
        <w:tabs>
          <w:tab w:val="num" w:pos="5040"/>
        </w:tabs>
        <w:ind w:left="709" w:hanging="709"/>
      </w:pPr>
      <w:r>
        <w:t xml:space="preserve">Capital </w:t>
      </w:r>
      <w:proofErr w:type="gramStart"/>
      <w:r>
        <w:t>charge</w:t>
      </w:r>
      <w:proofErr w:type="gramEnd"/>
    </w:p>
    <w:p w14:paraId="69E9EFEA" w14:textId="77777777" w:rsidR="00FC5289" w:rsidRDefault="00FC5289" w:rsidP="00FC5289">
      <w:pPr>
        <w:pStyle w:val="Heading4"/>
      </w:pPr>
      <w:r>
        <w:t>Accounting policy</w:t>
      </w:r>
    </w:p>
    <w:p w14:paraId="04AA4545" w14:textId="380227A3" w:rsidR="00FC5289" w:rsidRDefault="00FC5289" w:rsidP="00FC5289">
      <w:r>
        <w:t>The capital charge is recognised as an expense in the financial year to which the charge relates.</w:t>
      </w:r>
    </w:p>
    <w:p w14:paraId="45B76282" w14:textId="77777777" w:rsidR="00FC5289" w:rsidRDefault="00FC5289" w:rsidP="00FC5289"/>
    <w:p w14:paraId="50828B85" w14:textId="274ADF8F" w:rsidR="00FC5289" w:rsidRDefault="00FC5289" w:rsidP="00FC5289">
      <w:r>
        <w:lastRenderedPageBreak/>
        <w:t xml:space="preserve">The Ministry pays a capital charge to the Crown on its equity balance (adjusted for memorandum accounts) as </w:t>
      </w:r>
      <w:proofErr w:type="gramStart"/>
      <w:r>
        <w:t>at</w:t>
      </w:r>
      <w:proofErr w:type="gramEnd"/>
      <w:r>
        <w:t xml:space="preserve"> 30 June and 31 December each year. The capital charge rate for the year ended 30 June 2024 was 5.0% (2023: 5.0%).</w:t>
      </w:r>
    </w:p>
    <w:p w14:paraId="5B9B13A7" w14:textId="77777777" w:rsidR="00FC5289" w:rsidRDefault="00FC5289" w:rsidP="007123AC">
      <w:pPr>
        <w:pStyle w:val="Heading3"/>
        <w:numPr>
          <w:ilvl w:val="6"/>
          <w:numId w:val="5"/>
        </w:numPr>
        <w:tabs>
          <w:tab w:val="num" w:pos="5040"/>
        </w:tabs>
        <w:ind w:left="709" w:hanging="709"/>
      </w:pPr>
      <w:r w:rsidRPr="00FC5289">
        <w:t>Other Expenses</w:t>
      </w:r>
    </w:p>
    <w:p w14:paraId="1A79BAF1" w14:textId="77777777" w:rsidR="00FC5289" w:rsidRDefault="00FC5289" w:rsidP="00FC5289">
      <w:pPr>
        <w:pStyle w:val="Heading4"/>
      </w:pPr>
      <w:r>
        <w:t>Accounting policy</w:t>
      </w:r>
    </w:p>
    <w:p w14:paraId="4B056101" w14:textId="77777777" w:rsidR="00FC5289" w:rsidRPr="00FC5289" w:rsidRDefault="00FC5289" w:rsidP="00FC5289">
      <w:pPr>
        <w:pStyle w:val="Heading5"/>
      </w:pPr>
      <w:r w:rsidRPr="00FC5289">
        <w:t>Operating leases</w:t>
      </w:r>
    </w:p>
    <w:p w14:paraId="286738B5" w14:textId="5A077BD1" w:rsidR="00FC5289" w:rsidRDefault="00FC5289" w:rsidP="00FC5289">
      <w:r>
        <w:t>An operating lease is a lease that does not transfer substantially all the risks and rewards incidental to ownership of an asset. Lease payments under an operating lease are recognised as an expense on a straight-line basis over the term of the lease.</w:t>
      </w:r>
    </w:p>
    <w:p w14:paraId="6C25E3D4" w14:textId="77777777" w:rsidR="00CF0688" w:rsidRDefault="00CF0688" w:rsidP="00FC5289"/>
    <w:p w14:paraId="6B421FC2" w14:textId="1E25C150" w:rsidR="00FC5289" w:rsidRDefault="00FC5289" w:rsidP="00FC5289">
      <w:r>
        <w:t>Lease incentives are recognised in the surplus or deficit as a reduction of rental expense over the lease term.</w:t>
      </w:r>
    </w:p>
    <w:p w14:paraId="62C9390E" w14:textId="77777777" w:rsidR="00FC5289" w:rsidRPr="00FC5289" w:rsidRDefault="00FC5289" w:rsidP="00FC5289">
      <w:pPr>
        <w:pStyle w:val="Heading5"/>
      </w:pPr>
      <w:r w:rsidRPr="00FC5289">
        <w:t>Other expenses</w:t>
      </w:r>
    </w:p>
    <w:p w14:paraId="5C9EB75C" w14:textId="77777777" w:rsidR="00FC5289" w:rsidRDefault="00FC5289" w:rsidP="00FC5289">
      <w:r>
        <w:t>Other expenses are recognised as expenditure as goods and services are received or delivered.</w:t>
      </w:r>
    </w:p>
    <w:p w14:paraId="4FED2621" w14:textId="77777777" w:rsidR="00FC5289" w:rsidRPr="00FC5289" w:rsidRDefault="00FC5289" w:rsidP="00FC5289">
      <w:pPr>
        <w:pStyle w:val="Heading5"/>
      </w:pPr>
      <w:r w:rsidRPr="00FC5289">
        <w:t>Funding to third parties</w:t>
      </w:r>
    </w:p>
    <w:p w14:paraId="5FBF8CFC" w14:textId="77777777" w:rsidR="00FC5289" w:rsidRDefault="00FC5289" w:rsidP="00FC5289">
      <w:r>
        <w:t>The Ministry provides funding to third parties. Expenditure is recognised by the Ministry when milestones set out in the agreements or contracts are assessed as met.</w:t>
      </w:r>
    </w:p>
    <w:p w14:paraId="0C317545" w14:textId="77777777" w:rsidR="00FC5289" w:rsidRDefault="00FC5289" w:rsidP="00FC5289"/>
    <w:p w14:paraId="76C64C5B" w14:textId="77777777" w:rsidR="00FC5289" w:rsidRDefault="00FC5289" w:rsidP="00FC5289">
      <w:pPr>
        <w:sectPr w:rsidR="00FC5289" w:rsidSect="000A3324">
          <w:pgSz w:w="11907" w:h="16840" w:code="9"/>
          <w:pgMar w:top="1418" w:right="1701" w:bottom="1134" w:left="1843" w:header="284" w:footer="425" w:gutter="284"/>
          <w:cols w:space="720"/>
        </w:sectPr>
      </w:pPr>
    </w:p>
    <w:tbl>
      <w:tblPr>
        <w:tblW w:w="8550" w:type="dxa"/>
        <w:tblInd w:w="7" w:type="dxa"/>
        <w:tblLayout w:type="fixed"/>
        <w:tblCellMar>
          <w:left w:w="0" w:type="dxa"/>
          <w:right w:w="0" w:type="dxa"/>
        </w:tblCellMar>
        <w:tblLook w:val="01E0" w:firstRow="1" w:lastRow="1" w:firstColumn="1" w:lastColumn="1" w:noHBand="0" w:noVBand="0"/>
      </w:tblPr>
      <w:tblGrid>
        <w:gridCol w:w="1246"/>
        <w:gridCol w:w="3423"/>
        <w:gridCol w:w="1195"/>
        <w:gridCol w:w="1356"/>
        <w:gridCol w:w="1330"/>
      </w:tblGrid>
      <w:tr w:rsidR="00FC5289" w14:paraId="5499B289" w14:textId="77777777" w:rsidTr="00FC5289">
        <w:trPr>
          <w:trHeight w:val="1004"/>
        </w:trPr>
        <w:tc>
          <w:tcPr>
            <w:tcW w:w="1246" w:type="dxa"/>
            <w:shd w:val="clear" w:color="auto" w:fill="D9D9D9" w:themeFill="background1" w:themeFillShade="D9"/>
            <w:hideMark/>
          </w:tcPr>
          <w:p w14:paraId="1F5CF76F" w14:textId="77777777" w:rsidR="00FC5289" w:rsidRDefault="00FC5289">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lastRenderedPageBreak/>
              <w:t>Actual</w:t>
            </w:r>
            <w:r>
              <w:rPr>
                <w:rFonts w:ascii="Segoe UI" w:hAnsi="Segoe UI" w:cs="Segoe UI"/>
                <w:b/>
                <w:bCs/>
                <w:sz w:val="16"/>
                <w:szCs w:val="16"/>
              </w:rPr>
              <w:br/>
            </w:r>
          </w:p>
          <w:p w14:paraId="4C8D30B8" w14:textId="3FCFEC9C" w:rsidR="00FC5289" w:rsidRDefault="00FC5289">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2023</w:t>
            </w:r>
          </w:p>
          <w:p w14:paraId="5F92E30D" w14:textId="77777777" w:rsidR="00FC5289" w:rsidRDefault="00FC5289">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3423" w:type="dxa"/>
            <w:shd w:val="clear" w:color="auto" w:fill="D9D9D9" w:themeFill="background1" w:themeFillShade="D9"/>
          </w:tcPr>
          <w:p w14:paraId="211D4C41" w14:textId="77777777" w:rsidR="00FC5289" w:rsidRDefault="00FC5289">
            <w:pPr>
              <w:pStyle w:val="TableParagraph"/>
              <w:rPr>
                <w:rFonts w:ascii="Segoe UI" w:hAnsi="Segoe UI" w:cs="Segoe UI"/>
                <w:b/>
                <w:bCs/>
                <w:sz w:val="16"/>
                <w:szCs w:val="16"/>
              </w:rPr>
            </w:pPr>
          </w:p>
        </w:tc>
        <w:tc>
          <w:tcPr>
            <w:tcW w:w="1195" w:type="dxa"/>
            <w:shd w:val="clear" w:color="auto" w:fill="D9D9D9" w:themeFill="background1" w:themeFillShade="D9"/>
            <w:hideMark/>
          </w:tcPr>
          <w:p w14:paraId="7C032DFB" w14:textId="77777777" w:rsidR="00FC5289" w:rsidRDefault="00FC5289">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Actual</w:t>
            </w:r>
            <w:r>
              <w:rPr>
                <w:rFonts w:ascii="Segoe UI" w:hAnsi="Segoe UI" w:cs="Segoe UI"/>
                <w:b/>
                <w:bCs/>
                <w:w w:val="110"/>
                <w:sz w:val="16"/>
                <w:szCs w:val="16"/>
              </w:rPr>
              <w:br/>
            </w:r>
          </w:p>
          <w:p w14:paraId="2107E441" w14:textId="0747F26E" w:rsidR="00FC5289" w:rsidRDefault="00FC5289">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46CC6502" w14:textId="77777777" w:rsidR="00FC5289" w:rsidRDefault="00FC5289">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356" w:type="dxa"/>
            <w:shd w:val="clear" w:color="auto" w:fill="D9D9D9" w:themeFill="background1" w:themeFillShade="D9"/>
            <w:hideMark/>
          </w:tcPr>
          <w:p w14:paraId="2A4BDDF0" w14:textId="77777777" w:rsidR="00FC5289" w:rsidRDefault="00FC5289">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Unaudited</w:t>
            </w:r>
            <w:r>
              <w:rPr>
                <w:rFonts w:ascii="Segoe UI" w:hAnsi="Segoe UI" w:cs="Segoe UI"/>
                <w:b/>
                <w:bCs/>
                <w:w w:val="110"/>
                <w:sz w:val="16"/>
                <w:szCs w:val="16"/>
              </w:rPr>
              <w:br/>
              <w:t>budget</w:t>
            </w:r>
          </w:p>
          <w:p w14:paraId="3B8DFC5B" w14:textId="2C969256" w:rsidR="00FC5289" w:rsidRDefault="00FC5289">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5117036D" w14:textId="77777777" w:rsidR="00FC5289" w:rsidRDefault="00FC5289">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330" w:type="dxa"/>
            <w:shd w:val="clear" w:color="auto" w:fill="D9D9D9" w:themeFill="background1" w:themeFillShade="D9"/>
            <w:hideMark/>
          </w:tcPr>
          <w:p w14:paraId="7AEB5AAA" w14:textId="77777777" w:rsidR="00FC5289" w:rsidRDefault="00FC5289">
            <w:pPr>
              <w:pStyle w:val="TableParagraph"/>
              <w:spacing w:before="60" w:after="60" w:line="252" w:lineRule="auto"/>
              <w:ind w:left="-42" w:right="152" w:firstLine="99"/>
              <w:jc w:val="right"/>
              <w:rPr>
                <w:rFonts w:ascii="Segoe UI" w:hAnsi="Segoe UI" w:cs="Segoe UI"/>
                <w:b/>
                <w:bCs/>
                <w:w w:val="110"/>
                <w:sz w:val="16"/>
                <w:szCs w:val="16"/>
              </w:rPr>
            </w:pPr>
            <w:r>
              <w:rPr>
                <w:rFonts w:ascii="Segoe UI" w:hAnsi="Segoe UI" w:cs="Segoe UI"/>
                <w:b/>
                <w:bCs/>
                <w:w w:val="110"/>
                <w:sz w:val="16"/>
                <w:szCs w:val="16"/>
              </w:rPr>
              <w:t>Unaudited forecast</w:t>
            </w:r>
          </w:p>
          <w:p w14:paraId="32022571" w14:textId="5C60E5FE" w:rsidR="00FC5289" w:rsidRDefault="00FC5289">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2025</w:t>
            </w:r>
          </w:p>
          <w:p w14:paraId="1763394B" w14:textId="77777777" w:rsidR="00FC5289" w:rsidRDefault="00FC5289">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r>
      <w:tr w:rsidR="00034D00" w14:paraId="732EDE61" w14:textId="77777777" w:rsidTr="00FC5289">
        <w:trPr>
          <w:trHeight w:val="359"/>
        </w:trPr>
        <w:tc>
          <w:tcPr>
            <w:tcW w:w="1246" w:type="dxa"/>
          </w:tcPr>
          <w:p w14:paraId="62BBBDED" w14:textId="5D4D84B5" w:rsidR="00034D00" w:rsidRPr="00FC5289" w:rsidRDefault="00034D00" w:rsidP="00034D00">
            <w:pPr>
              <w:pStyle w:val="TableText"/>
              <w:ind w:right="170"/>
              <w:jc w:val="right"/>
              <w:rPr>
                <w:w w:val="110"/>
                <w:sz w:val="16"/>
                <w:szCs w:val="18"/>
              </w:rPr>
            </w:pPr>
            <w:r w:rsidRPr="00FC5289">
              <w:rPr>
                <w:w w:val="110"/>
                <w:sz w:val="16"/>
                <w:szCs w:val="18"/>
              </w:rPr>
              <w:t>43,597</w:t>
            </w:r>
          </w:p>
        </w:tc>
        <w:tc>
          <w:tcPr>
            <w:tcW w:w="3423" w:type="dxa"/>
          </w:tcPr>
          <w:p w14:paraId="57720ECE" w14:textId="190A5ED1" w:rsidR="00034D00" w:rsidRPr="00034D00" w:rsidRDefault="00034D00" w:rsidP="00034D00">
            <w:pPr>
              <w:pStyle w:val="TableText"/>
              <w:ind w:left="57"/>
              <w:rPr>
                <w:w w:val="105"/>
                <w:sz w:val="16"/>
                <w:szCs w:val="18"/>
              </w:rPr>
            </w:pPr>
            <w:r w:rsidRPr="00034D00">
              <w:rPr>
                <w:sz w:val="16"/>
                <w:szCs w:val="18"/>
              </w:rPr>
              <w:t>Scientific</w:t>
            </w:r>
            <w:r w:rsidRPr="00034D00">
              <w:rPr>
                <w:spacing w:val="14"/>
                <w:sz w:val="16"/>
                <w:szCs w:val="18"/>
              </w:rPr>
              <w:t xml:space="preserve"> </w:t>
            </w:r>
            <w:r w:rsidRPr="00034D00">
              <w:rPr>
                <w:spacing w:val="-2"/>
                <w:sz w:val="16"/>
                <w:szCs w:val="18"/>
              </w:rPr>
              <w:t>advice</w:t>
            </w:r>
          </w:p>
        </w:tc>
        <w:tc>
          <w:tcPr>
            <w:tcW w:w="1195" w:type="dxa"/>
          </w:tcPr>
          <w:p w14:paraId="4DAEC948" w14:textId="68D68F98" w:rsidR="00034D00" w:rsidRPr="00034D00" w:rsidRDefault="00034D00" w:rsidP="00034D00">
            <w:pPr>
              <w:pStyle w:val="TableText"/>
              <w:ind w:right="170"/>
              <w:jc w:val="right"/>
              <w:rPr>
                <w:w w:val="110"/>
                <w:sz w:val="16"/>
                <w:szCs w:val="18"/>
              </w:rPr>
            </w:pPr>
            <w:r w:rsidRPr="00034D00">
              <w:rPr>
                <w:w w:val="110"/>
                <w:sz w:val="16"/>
                <w:szCs w:val="18"/>
              </w:rPr>
              <w:t>43,117</w:t>
            </w:r>
          </w:p>
        </w:tc>
        <w:tc>
          <w:tcPr>
            <w:tcW w:w="1356" w:type="dxa"/>
          </w:tcPr>
          <w:p w14:paraId="456C9DD5" w14:textId="0A4F9928" w:rsidR="00034D00" w:rsidRPr="00034D00" w:rsidRDefault="00034D00" w:rsidP="00034D00">
            <w:pPr>
              <w:pStyle w:val="TableText"/>
              <w:ind w:right="170"/>
              <w:jc w:val="right"/>
              <w:rPr>
                <w:w w:val="110"/>
                <w:sz w:val="16"/>
                <w:szCs w:val="18"/>
              </w:rPr>
            </w:pPr>
            <w:r w:rsidRPr="00034D00">
              <w:rPr>
                <w:w w:val="110"/>
                <w:sz w:val="16"/>
                <w:szCs w:val="18"/>
              </w:rPr>
              <w:t>23,081</w:t>
            </w:r>
          </w:p>
        </w:tc>
        <w:tc>
          <w:tcPr>
            <w:tcW w:w="1330" w:type="dxa"/>
          </w:tcPr>
          <w:p w14:paraId="72EFC393" w14:textId="2AB34C54" w:rsidR="00034D00" w:rsidRPr="00034D00" w:rsidRDefault="00034D00" w:rsidP="00034D00">
            <w:pPr>
              <w:pStyle w:val="TableText"/>
              <w:ind w:right="170"/>
              <w:jc w:val="right"/>
              <w:rPr>
                <w:w w:val="110"/>
                <w:sz w:val="16"/>
                <w:szCs w:val="18"/>
              </w:rPr>
            </w:pPr>
            <w:r w:rsidRPr="00034D00">
              <w:rPr>
                <w:w w:val="110"/>
                <w:sz w:val="16"/>
                <w:szCs w:val="18"/>
              </w:rPr>
              <w:t>29,857</w:t>
            </w:r>
          </w:p>
        </w:tc>
      </w:tr>
      <w:tr w:rsidR="00034D00" w14:paraId="76213736" w14:textId="77777777" w:rsidTr="00FC5289">
        <w:trPr>
          <w:trHeight w:val="359"/>
        </w:trPr>
        <w:tc>
          <w:tcPr>
            <w:tcW w:w="1246" w:type="dxa"/>
          </w:tcPr>
          <w:p w14:paraId="24090ADB" w14:textId="01E8F5EA" w:rsidR="00034D00" w:rsidRPr="00FC5289" w:rsidRDefault="00034D00" w:rsidP="00034D00">
            <w:pPr>
              <w:pStyle w:val="TableText"/>
              <w:ind w:right="170"/>
              <w:jc w:val="right"/>
              <w:rPr>
                <w:w w:val="110"/>
                <w:sz w:val="16"/>
                <w:szCs w:val="18"/>
              </w:rPr>
            </w:pPr>
            <w:r w:rsidRPr="00FC5289">
              <w:rPr>
                <w:w w:val="110"/>
                <w:sz w:val="16"/>
                <w:szCs w:val="18"/>
              </w:rPr>
              <w:t>33,004</w:t>
            </w:r>
          </w:p>
        </w:tc>
        <w:tc>
          <w:tcPr>
            <w:tcW w:w="3423" w:type="dxa"/>
          </w:tcPr>
          <w:p w14:paraId="09F2441C" w14:textId="4C687C7C" w:rsidR="00034D00" w:rsidRPr="00034D00" w:rsidRDefault="00034D00" w:rsidP="00034D00">
            <w:pPr>
              <w:pStyle w:val="TableText"/>
              <w:ind w:left="57"/>
              <w:rPr>
                <w:w w:val="105"/>
                <w:sz w:val="16"/>
                <w:szCs w:val="18"/>
              </w:rPr>
            </w:pPr>
            <w:r w:rsidRPr="00034D00">
              <w:rPr>
                <w:sz w:val="16"/>
                <w:szCs w:val="18"/>
              </w:rPr>
              <w:t>Professional</w:t>
            </w:r>
            <w:r w:rsidRPr="00034D00">
              <w:rPr>
                <w:spacing w:val="17"/>
                <w:sz w:val="16"/>
                <w:szCs w:val="18"/>
              </w:rPr>
              <w:t xml:space="preserve"> </w:t>
            </w:r>
            <w:r w:rsidRPr="00034D00">
              <w:rPr>
                <w:sz w:val="16"/>
                <w:szCs w:val="18"/>
              </w:rPr>
              <w:t>specialist</w:t>
            </w:r>
            <w:r w:rsidRPr="00034D00">
              <w:rPr>
                <w:spacing w:val="18"/>
                <w:sz w:val="16"/>
                <w:szCs w:val="18"/>
              </w:rPr>
              <w:t xml:space="preserve"> </w:t>
            </w:r>
            <w:r w:rsidRPr="00034D00">
              <w:rPr>
                <w:spacing w:val="-2"/>
                <w:sz w:val="16"/>
                <w:szCs w:val="18"/>
              </w:rPr>
              <w:t>fees***</w:t>
            </w:r>
          </w:p>
        </w:tc>
        <w:tc>
          <w:tcPr>
            <w:tcW w:w="1195" w:type="dxa"/>
          </w:tcPr>
          <w:p w14:paraId="2E2BA3C4" w14:textId="3B840038" w:rsidR="00034D00" w:rsidRPr="00034D00" w:rsidRDefault="00034D00" w:rsidP="00034D00">
            <w:pPr>
              <w:pStyle w:val="TableText"/>
              <w:ind w:right="170"/>
              <w:jc w:val="right"/>
              <w:rPr>
                <w:w w:val="110"/>
                <w:sz w:val="16"/>
                <w:szCs w:val="18"/>
              </w:rPr>
            </w:pPr>
            <w:r w:rsidRPr="00034D00">
              <w:rPr>
                <w:w w:val="110"/>
                <w:sz w:val="16"/>
                <w:szCs w:val="18"/>
              </w:rPr>
              <w:t>39,003</w:t>
            </w:r>
          </w:p>
        </w:tc>
        <w:tc>
          <w:tcPr>
            <w:tcW w:w="1356" w:type="dxa"/>
          </w:tcPr>
          <w:p w14:paraId="5B365584" w14:textId="520925AE" w:rsidR="00034D00" w:rsidRPr="00034D00" w:rsidRDefault="00034D00" w:rsidP="00034D00">
            <w:pPr>
              <w:pStyle w:val="TableText"/>
              <w:ind w:right="170"/>
              <w:jc w:val="right"/>
              <w:rPr>
                <w:w w:val="110"/>
                <w:sz w:val="16"/>
                <w:szCs w:val="18"/>
              </w:rPr>
            </w:pPr>
            <w:r w:rsidRPr="00034D00">
              <w:rPr>
                <w:w w:val="110"/>
                <w:sz w:val="16"/>
                <w:szCs w:val="18"/>
              </w:rPr>
              <w:t>56,812</w:t>
            </w:r>
          </w:p>
        </w:tc>
        <w:tc>
          <w:tcPr>
            <w:tcW w:w="1330" w:type="dxa"/>
          </w:tcPr>
          <w:p w14:paraId="4E7B9573" w14:textId="43F76D09" w:rsidR="00034D00" w:rsidRPr="00034D00" w:rsidRDefault="00034D00" w:rsidP="00034D00">
            <w:pPr>
              <w:pStyle w:val="TableText"/>
              <w:ind w:right="170"/>
              <w:jc w:val="right"/>
              <w:rPr>
                <w:w w:val="110"/>
                <w:sz w:val="16"/>
                <w:szCs w:val="18"/>
              </w:rPr>
            </w:pPr>
            <w:r w:rsidRPr="00034D00">
              <w:rPr>
                <w:w w:val="110"/>
                <w:sz w:val="16"/>
                <w:szCs w:val="18"/>
              </w:rPr>
              <w:t>38,350</w:t>
            </w:r>
          </w:p>
        </w:tc>
      </w:tr>
      <w:tr w:rsidR="00034D00" w14:paraId="3986683D" w14:textId="77777777" w:rsidTr="00FC5289">
        <w:trPr>
          <w:trHeight w:val="359"/>
        </w:trPr>
        <w:tc>
          <w:tcPr>
            <w:tcW w:w="1246" w:type="dxa"/>
          </w:tcPr>
          <w:p w14:paraId="0D2CB6D0" w14:textId="612EC389" w:rsidR="00034D00" w:rsidRPr="00FC5289" w:rsidRDefault="00034D00" w:rsidP="00034D00">
            <w:pPr>
              <w:pStyle w:val="TableText"/>
              <w:ind w:right="170"/>
              <w:jc w:val="right"/>
              <w:rPr>
                <w:w w:val="110"/>
                <w:sz w:val="16"/>
                <w:szCs w:val="18"/>
              </w:rPr>
            </w:pPr>
            <w:r w:rsidRPr="00FC5289">
              <w:rPr>
                <w:w w:val="110"/>
                <w:sz w:val="16"/>
                <w:szCs w:val="18"/>
              </w:rPr>
              <w:t>46,945</w:t>
            </w:r>
          </w:p>
        </w:tc>
        <w:tc>
          <w:tcPr>
            <w:tcW w:w="3423" w:type="dxa"/>
          </w:tcPr>
          <w:p w14:paraId="076E04D6" w14:textId="6BF1E07E" w:rsidR="00034D00" w:rsidRPr="00034D00" w:rsidRDefault="00034D00" w:rsidP="00034D00">
            <w:pPr>
              <w:pStyle w:val="TableText"/>
              <w:ind w:left="57"/>
              <w:rPr>
                <w:w w:val="105"/>
                <w:sz w:val="16"/>
                <w:szCs w:val="18"/>
              </w:rPr>
            </w:pPr>
            <w:r w:rsidRPr="00034D00">
              <w:rPr>
                <w:w w:val="105"/>
                <w:sz w:val="16"/>
                <w:szCs w:val="18"/>
              </w:rPr>
              <w:t>Contractors</w:t>
            </w:r>
            <w:r w:rsidRPr="00034D00">
              <w:rPr>
                <w:spacing w:val="-4"/>
                <w:w w:val="105"/>
                <w:sz w:val="16"/>
                <w:szCs w:val="18"/>
              </w:rPr>
              <w:t xml:space="preserve"> </w:t>
            </w:r>
            <w:r w:rsidRPr="00034D00">
              <w:rPr>
                <w:w w:val="105"/>
                <w:sz w:val="16"/>
                <w:szCs w:val="18"/>
              </w:rPr>
              <w:t>and</w:t>
            </w:r>
            <w:r w:rsidRPr="00034D00">
              <w:rPr>
                <w:spacing w:val="-4"/>
                <w:w w:val="105"/>
                <w:sz w:val="16"/>
                <w:szCs w:val="18"/>
              </w:rPr>
              <w:t xml:space="preserve"> </w:t>
            </w:r>
            <w:r w:rsidRPr="00034D00">
              <w:rPr>
                <w:spacing w:val="-2"/>
                <w:w w:val="105"/>
                <w:sz w:val="16"/>
                <w:szCs w:val="18"/>
              </w:rPr>
              <w:t>consultants</w:t>
            </w:r>
          </w:p>
        </w:tc>
        <w:tc>
          <w:tcPr>
            <w:tcW w:w="1195" w:type="dxa"/>
          </w:tcPr>
          <w:p w14:paraId="22BC2CDB" w14:textId="061ED088" w:rsidR="00034D00" w:rsidRPr="00034D00" w:rsidRDefault="00034D00" w:rsidP="00034D00">
            <w:pPr>
              <w:pStyle w:val="TableText"/>
              <w:ind w:right="170"/>
              <w:jc w:val="right"/>
              <w:rPr>
                <w:w w:val="110"/>
                <w:sz w:val="16"/>
                <w:szCs w:val="18"/>
              </w:rPr>
            </w:pPr>
            <w:r w:rsidRPr="00034D00">
              <w:rPr>
                <w:w w:val="110"/>
                <w:sz w:val="16"/>
                <w:szCs w:val="18"/>
              </w:rPr>
              <w:t>18,537</w:t>
            </w:r>
          </w:p>
        </w:tc>
        <w:tc>
          <w:tcPr>
            <w:tcW w:w="1356" w:type="dxa"/>
          </w:tcPr>
          <w:p w14:paraId="2811A05B" w14:textId="6732B836" w:rsidR="00034D00" w:rsidRPr="00034D00" w:rsidRDefault="00034D00" w:rsidP="00034D00">
            <w:pPr>
              <w:pStyle w:val="TableText"/>
              <w:ind w:right="170"/>
              <w:jc w:val="right"/>
              <w:rPr>
                <w:w w:val="110"/>
                <w:sz w:val="16"/>
                <w:szCs w:val="18"/>
              </w:rPr>
            </w:pPr>
            <w:r w:rsidRPr="00034D00">
              <w:rPr>
                <w:w w:val="110"/>
                <w:sz w:val="16"/>
                <w:szCs w:val="18"/>
              </w:rPr>
              <w:t>26,692</w:t>
            </w:r>
          </w:p>
        </w:tc>
        <w:tc>
          <w:tcPr>
            <w:tcW w:w="1330" w:type="dxa"/>
          </w:tcPr>
          <w:p w14:paraId="474191E2" w14:textId="1FD1E269" w:rsidR="00034D00" w:rsidRPr="00034D00" w:rsidRDefault="00034D00" w:rsidP="00034D00">
            <w:pPr>
              <w:pStyle w:val="TableText"/>
              <w:ind w:right="170"/>
              <w:jc w:val="right"/>
              <w:rPr>
                <w:w w:val="110"/>
                <w:sz w:val="16"/>
                <w:szCs w:val="18"/>
              </w:rPr>
            </w:pPr>
            <w:r w:rsidRPr="00034D00">
              <w:rPr>
                <w:w w:val="110"/>
                <w:sz w:val="16"/>
                <w:szCs w:val="18"/>
              </w:rPr>
              <w:t>9,360</w:t>
            </w:r>
          </w:p>
        </w:tc>
      </w:tr>
      <w:tr w:rsidR="00034D00" w14:paraId="5B74B631" w14:textId="77777777" w:rsidTr="00FC5289">
        <w:trPr>
          <w:trHeight w:val="359"/>
        </w:trPr>
        <w:tc>
          <w:tcPr>
            <w:tcW w:w="1246" w:type="dxa"/>
          </w:tcPr>
          <w:p w14:paraId="19E87305" w14:textId="5A103B15" w:rsidR="00034D00" w:rsidRPr="00FC5289" w:rsidRDefault="00034D00" w:rsidP="00034D00">
            <w:pPr>
              <w:pStyle w:val="TableText"/>
              <w:ind w:right="170"/>
              <w:jc w:val="right"/>
              <w:rPr>
                <w:w w:val="110"/>
                <w:sz w:val="16"/>
                <w:szCs w:val="18"/>
              </w:rPr>
            </w:pPr>
            <w:r w:rsidRPr="00FC5289">
              <w:rPr>
                <w:w w:val="110"/>
                <w:sz w:val="16"/>
                <w:szCs w:val="18"/>
              </w:rPr>
              <w:t>12,636</w:t>
            </w:r>
          </w:p>
        </w:tc>
        <w:tc>
          <w:tcPr>
            <w:tcW w:w="3423" w:type="dxa"/>
          </w:tcPr>
          <w:p w14:paraId="05914828" w14:textId="2ADD99C5" w:rsidR="00034D00" w:rsidRPr="00034D00" w:rsidRDefault="00034D00" w:rsidP="00034D00">
            <w:pPr>
              <w:pStyle w:val="TableText"/>
              <w:ind w:left="57"/>
              <w:rPr>
                <w:w w:val="105"/>
                <w:sz w:val="16"/>
                <w:szCs w:val="18"/>
              </w:rPr>
            </w:pPr>
            <w:r w:rsidRPr="00034D00">
              <w:rPr>
                <w:w w:val="105"/>
                <w:sz w:val="16"/>
                <w:szCs w:val="18"/>
              </w:rPr>
              <w:t>Operating</w:t>
            </w:r>
            <w:r w:rsidRPr="00034D00">
              <w:rPr>
                <w:spacing w:val="-10"/>
                <w:w w:val="105"/>
                <w:sz w:val="16"/>
                <w:szCs w:val="18"/>
              </w:rPr>
              <w:t xml:space="preserve"> </w:t>
            </w:r>
            <w:r w:rsidRPr="00034D00">
              <w:rPr>
                <w:w w:val="105"/>
                <w:sz w:val="16"/>
                <w:szCs w:val="18"/>
              </w:rPr>
              <w:t>lease</w:t>
            </w:r>
            <w:r w:rsidRPr="00034D00">
              <w:rPr>
                <w:spacing w:val="-10"/>
                <w:w w:val="105"/>
                <w:sz w:val="16"/>
                <w:szCs w:val="18"/>
              </w:rPr>
              <w:t xml:space="preserve"> </w:t>
            </w:r>
            <w:r w:rsidRPr="00034D00">
              <w:rPr>
                <w:spacing w:val="-2"/>
                <w:w w:val="105"/>
                <w:sz w:val="16"/>
                <w:szCs w:val="18"/>
              </w:rPr>
              <w:t>payments</w:t>
            </w:r>
          </w:p>
        </w:tc>
        <w:tc>
          <w:tcPr>
            <w:tcW w:w="1195" w:type="dxa"/>
          </w:tcPr>
          <w:p w14:paraId="3189E8FE" w14:textId="51E7941C" w:rsidR="00034D00" w:rsidRPr="00034D00" w:rsidRDefault="00034D00" w:rsidP="00034D00">
            <w:pPr>
              <w:pStyle w:val="TableText"/>
              <w:ind w:right="170"/>
              <w:jc w:val="right"/>
              <w:rPr>
                <w:w w:val="110"/>
                <w:sz w:val="16"/>
                <w:szCs w:val="18"/>
              </w:rPr>
            </w:pPr>
            <w:r w:rsidRPr="00034D00">
              <w:rPr>
                <w:w w:val="110"/>
                <w:sz w:val="16"/>
                <w:szCs w:val="18"/>
              </w:rPr>
              <w:t>13,385</w:t>
            </w:r>
          </w:p>
        </w:tc>
        <w:tc>
          <w:tcPr>
            <w:tcW w:w="1356" w:type="dxa"/>
          </w:tcPr>
          <w:p w14:paraId="12BC3689" w14:textId="3C29D854" w:rsidR="00034D00" w:rsidRPr="00034D00" w:rsidRDefault="00034D00" w:rsidP="00034D00">
            <w:pPr>
              <w:pStyle w:val="TableText"/>
              <w:ind w:right="170"/>
              <w:jc w:val="right"/>
              <w:rPr>
                <w:w w:val="110"/>
                <w:sz w:val="16"/>
                <w:szCs w:val="18"/>
              </w:rPr>
            </w:pPr>
            <w:r w:rsidRPr="00034D00">
              <w:rPr>
                <w:w w:val="110"/>
                <w:sz w:val="16"/>
                <w:szCs w:val="18"/>
              </w:rPr>
              <w:t>10,756</w:t>
            </w:r>
          </w:p>
        </w:tc>
        <w:tc>
          <w:tcPr>
            <w:tcW w:w="1330" w:type="dxa"/>
          </w:tcPr>
          <w:p w14:paraId="5984EC93" w14:textId="2C5CE668" w:rsidR="00034D00" w:rsidRPr="00034D00" w:rsidRDefault="00034D00" w:rsidP="00034D00">
            <w:pPr>
              <w:pStyle w:val="TableText"/>
              <w:ind w:right="170"/>
              <w:jc w:val="right"/>
              <w:rPr>
                <w:w w:val="110"/>
                <w:sz w:val="16"/>
                <w:szCs w:val="18"/>
              </w:rPr>
            </w:pPr>
            <w:r w:rsidRPr="00034D00">
              <w:rPr>
                <w:w w:val="110"/>
                <w:sz w:val="16"/>
                <w:szCs w:val="18"/>
              </w:rPr>
              <w:t>12,972</w:t>
            </w:r>
          </w:p>
        </w:tc>
      </w:tr>
      <w:tr w:rsidR="00034D00" w14:paraId="7871E8ED" w14:textId="77777777" w:rsidTr="00FC5289">
        <w:trPr>
          <w:trHeight w:val="359"/>
        </w:trPr>
        <w:tc>
          <w:tcPr>
            <w:tcW w:w="1246" w:type="dxa"/>
          </w:tcPr>
          <w:p w14:paraId="64A62AA0" w14:textId="3BB77D14" w:rsidR="00034D00" w:rsidRPr="00FC5289" w:rsidRDefault="00034D00" w:rsidP="00034D00">
            <w:pPr>
              <w:pStyle w:val="TableText"/>
              <w:ind w:right="170"/>
              <w:jc w:val="right"/>
              <w:rPr>
                <w:w w:val="110"/>
                <w:sz w:val="16"/>
                <w:szCs w:val="18"/>
              </w:rPr>
            </w:pPr>
            <w:r w:rsidRPr="00FC5289">
              <w:rPr>
                <w:w w:val="110"/>
                <w:sz w:val="16"/>
                <w:szCs w:val="18"/>
              </w:rPr>
              <w:t>13,521</w:t>
            </w:r>
          </w:p>
        </w:tc>
        <w:tc>
          <w:tcPr>
            <w:tcW w:w="3423" w:type="dxa"/>
          </w:tcPr>
          <w:p w14:paraId="55BE22ED" w14:textId="39F6C9FB" w:rsidR="00034D00" w:rsidRPr="00034D00" w:rsidRDefault="00034D00" w:rsidP="00034D00">
            <w:pPr>
              <w:pStyle w:val="TableText"/>
              <w:ind w:left="57"/>
              <w:rPr>
                <w:w w:val="105"/>
                <w:sz w:val="16"/>
                <w:szCs w:val="18"/>
              </w:rPr>
            </w:pPr>
            <w:r w:rsidRPr="00034D00">
              <w:rPr>
                <w:w w:val="105"/>
                <w:sz w:val="16"/>
                <w:szCs w:val="18"/>
              </w:rPr>
              <w:t>Computer</w:t>
            </w:r>
            <w:r w:rsidRPr="00034D00">
              <w:rPr>
                <w:spacing w:val="-12"/>
                <w:w w:val="105"/>
                <w:sz w:val="16"/>
                <w:szCs w:val="18"/>
              </w:rPr>
              <w:t xml:space="preserve"> </w:t>
            </w:r>
            <w:r w:rsidRPr="00034D00">
              <w:rPr>
                <w:spacing w:val="-2"/>
                <w:w w:val="105"/>
                <w:sz w:val="16"/>
                <w:szCs w:val="18"/>
              </w:rPr>
              <w:t>services</w:t>
            </w:r>
          </w:p>
        </w:tc>
        <w:tc>
          <w:tcPr>
            <w:tcW w:w="1195" w:type="dxa"/>
          </w:tcPr>
          <w:p w14:paraId="7A4EC007" w14:textId="03000019" w:rsidR="00034D00" w:rsidRPr="00034D00" w:rsidRDefault="00034D00" w:rsidP="00034D00">
            <w:pPr>
              <w:pStyle w:val="TableText"/>
              <w:ind w:right="170"/>
              <w:jc w:val="right"/>
              <w:rPr>
                <w:w w:val="110"/>
                <w:sz w:val="16"/>
                <w:szCs w:val="18"/>
              </w:rPr>
            </w:pPr>
            <w:r w:rsidRPr="00034D00">
              <w:rPr>
                <w:w w:val="110"/>
                <w:sz w:val="16"/>
                <w:szCs w:val="18"/>
              </w:rPr>
              <w:t>11,381</w:t>
            </w:r>
          </w:p>
        </w:tc>
        <w:tc>
          <w:tcPr>
            <w:tcW w:w="1356" w:type="dxa"/>
          </w:tcPr>
          <w:p w14:paraId="3A29B5E5" w14:textId="32106A2B" w:rsidR="00034D00" w:rsidRPr="00034D00" w:rsidRDefault="00034D00" w:rsidP="00034D00">
            <w:pPr>
              <w:pStyle w:val="TableText"/>
              <w:ind w:right="170"/>
              <w:jc w:val="right"/>
              <w:rPr>
                <w:w w:val="110"/>
                <w:sz w:val="16"/>
                <w:szCs w:val="18"/>
              </w:rPr>
            </w:pPr>
            <w:r w:rsidRPr="00034D00">
              <w:rPr>
                <w:w w:val="110"/>
                <w:sz w:val="16"/>
                <w:szCs w:val="18"/>
              </w:rPr>
              <w:t>5,436</w:t>
            </w:r>
          </w:p>
        </w:tc>
        <w:tc>
          <w:tcPr>
            <w:tcW w:w="1330" w:type="dxa"/>
          </w:tcPr>
          <w:p w14:paraId="6D33D4A6" w14:textId="3AC5B81C" w:rsidR="00034D00" w:rsidRPr="00034D00" w:rsidRDefault="00034D00" w:rsidP="00034D00">
            <w:pPr>
              <w:pStyle w:val="TableText"/>
              <w:ind w:right="170"/>
              <w:jc w:val="right"/>
              <w:rPr>
                <w:w w:val="110"/>
                <w:sz w:val="16"/>
                <w:szCs w:val="18"/>
              </w:rPr>
            </w:pPr>
            <w:r w:rsidRPr="00034D00">
              <w:rPr>
                <w:w w:val="110"/>
                <w:sz w:val="16"/>
                <w:szCs w:val="18"/>
              </w:rPr>
              <w:t>8,751</w:t>
            </w:r>
          </w:p>
        </w:tc>
      </w:tr>
      <w:tr w:rsidR="00034D00" w14:paraId="1A1B3690" w14:textId="77777777" w:rsidTr="00FC5289">
        <w:trPr>
          <w:trHeight w:val="359"/>
        </w:trPr>
        <w:tc>
          <w:tcPr>
            <w:tcW w:w="1246" w:type="dxa"/>
          </w:tcPr>
          <w:p w14:paraId="0D2E302C" w14:textId="09464A0D" w:rsidR="00034D00" w:rsidRPr="00FC5289" w:rsidRDefault="00034D00" w:rsidP="00034D00">
            <w:pPr>
              <w:pStyle w:val="TableText"/>
              <w:ind w:right="170"/>
              <w:jc w:val="right"/>
              <w:rPr>
                <w:w w:val="110"/>
                <w:sz w:val="16"/>
                <w:szCs w:val="18"/>
              </w:rPr>
            </w:pPr>
            <w:r w:rsidRPr="00FC5289">
              <w:rPr>
                <w:w w:val="110"/>
                <w:sz w:val="16"/>
                <w:szCs w:val="18"/>
              </w:rPr>
              <w:t>4,177</w:t>
            </w:r>
          </w:p>
        </w:tc>
        <w:tc>
          <w:tcPr>
            <w:tcW w:w="3423" w:type="dxa"/>
          </w:tcPr>
          <w:p w14:paraId="3FFACD38" w14:textId="37331B97" w:rsidR="00034D00" w:rsidRPr="00034D00" w:rsidRDefault="00034D00" w:rsidP="00034D00">
            <w:pPr>
              <w:pStyle w:val="TableText"/>
              <w:ind w:left="57"/>
              <w:rPr>
                <w:w w:val="105"/>
                <w:sz w:val="16"/>
                <w:szCs w:val="18"/>
              </w:rPr>
            </w:pPr>
            <w:r w:rsidRPr="00034D00">
              <w:rPr>
                <w:w w:val="105"/>
                <w:sz w:val="16"/>
                <w:szCs w:val="18"/>
              </w:rPr>
              <w:t>Occupancy</w:t>
            </w:r>
            <w:r w:rsidRPr="00034D00">
              <w:rPr>
                <w:spacing w:val="-2"/>
                <w:w w:val="105"/>
                <w:sz w:val="16"/>
                <w:szCs w:val="18"/>
              </w:rPr>
              <w:t xml:space="preserve"> </w:t>
            </w:r>
            <w:r w:rsidRPr="00034D00">
              <w:rPr>
                <w:w w:val="105"/>
                <w:sz w:val="16"/>
                <w:szCs w:val="18"/>
              </w:rPr>
              <w:t>costs</w:t>
            </w:r>
            <w:r w:rsidRPr="00034D00">
              <w:rPr>
                <w:spacing w:val="-2"/>
                <w:w w:val="105"/>
                <w:sz w:val="16"/>
                <w:szCs w:val="18"/>
              </w:rPr>
              <w:t xml:space="preserve"> </w:t>
            </w:r>
            <w:r w:rsidRPr="00034D00">
              <w:rPr>
                <w:w w:val="105"/>
                <w:sz w:val="16"/>
                <w:szCs w:val="18"/>
              </w:rPr>
              <w:t>other</w:t>
            </w:r>
            <w:r w:rsidRPr="00034D00">
              <w:rPr>
                <w:spacing w:val="-1"/>
                <w:w w:val="105"/>
                <w:sz w:val="16"/>
                <w:szCs w:val="18"/>
              </w:rPr>
              <w:t xml:space="preserve"> </w:t>
            </w:r>
            <w:r w:rsidRPr="00034D00">
              <w:rPr>
                <w:w w:val="105"/>
                <w:sz w:val="16"/>
                <w:szCs w:val="18"/>
              </w:rPr>
              <w:t>than</w:t>
            </w:r>
            <w:r w:rsidRPr="00034D00">
              <w:rPr>
                <w:spacing w:val="-2"/>
                <w:w w:val="105"/>
                <w:sz w:val="16"/>
                <w:szCs w:val="18"/>
              </w:rPr>
              <w:t xml:space="preserve"> leases</w:t>
            </w:r>
          </w:p>
        </w:tc>
        <w:tc>
          <w:tcPr>
            <w:tcW w:w="1195" w:type="dxa"/>
          </w:tcPr>
          <w:p w14:paraId="139FB0E4" w14:textId="4E34D566" w:rsidR="00034D00" w:rsidRPr="00034D00" w:rsidRDefault="00034D00" w:rsidP="00034D00">
            <w:pPr>
              <w:pStyle w:val="TableText"/>
              <w:ind w:right="170"/>
              <w:jc w:val="right"/>
              <w:rPr>
                <w:w w:val="110"/>
                <w:sz w:val="16"/>
                <w:szCs w:val="18"/>
              </w:rPr>
            </w:pPr>
            <w:r w:rsidRPr="00034D00">
              <w:rPr>
                <w:w w:val="110"/>
                <w:sz w:val="16"/>
                <w:szCs w:val="18"/>
              </w:rPr>
              <w:t>3,828</w:t>
            </w:r>
          </w:p>
        </w:tc>
        <w:tc>
          <w:tcPr>
            <w:tcW w:w="1356" w:type="dxa"/>
          </w:tcPr>
          <w:p w14:paraId="7051E29B" w14:textId="5BEB91FB" w:rsidR="00034D00" w:rsidRPr="00034D00" w:rsidRDefault="00034D00" w:rsidP="00034D00">
            <w:pPr>
              <w:pStyle w:val="TableText"/>
              <w:ind w:right="170"/>
              <w:jc w:val="right"/>
              <w:rPr>
                <w:w w:val="110"/>
                <w:sz w:val="16"/>
                <w:szCs w:val="18"/>
              </w:rPr>
            </w:pPr>
            <w:r w:rsidRPr="00034D00">
              <w:rPr>
                <w:w w:val="110"/>
                <w:sz w:val="16"/>
                <w:szCs w:val="18"/>
              </w:rPr>
              <w:t>5,521</w:t>
            </w:r>
          </w:p>
        </w:tc>
        <w:tc>
          <w:tcPr>
            <w:tcW w:w="1330" w:type="dxa"/>
          </w:tcPr>
          <w:p w14:paraId="106F54F7" w14:textId="774C218C" w:rsidR="00034D00" w:rsidRPr="00034D00" w:rsidRDefault="00034D00" w:rsidP="00034D00">
            <w:pPr>
              <w:pStyle w:val="TableText"/>
              <w:ind w:right="170"/>
              <w:jc w:val="right"/>
              <w:rPr>
                <w:w w:val="110"/>
                <w:sz w:val="16"/>
                <w:szCs w:val="18"/>
              </w:rPr>
            </w:pPr>
            <w:r w:rsidRPr="00034D00">
              <w:rPr>
                <w:w w:val="110"/>
                <w:sz w:val="16"/>
                <w:szCs w:val="18"/>
              </w:rPr>
              <w:t>3,870</w:t>
            </w:r>
          </w:p>
        </w:tc>
      </w:tr>
      <w:tr w:rsidR="00034D00" w14:paraId="4E59276F" w14:textId="77777777" w:rsidTr="00FC5289">
        <w:trPr>
          <w:trHeight w:val="359"/>
        </w:trPr>
        <w:tc>
          <w:tcPr>
            <w:tcW w:w="1246" w:type="dxa"/>
          </w:tcPr>
          <w:p w14:paraId="3F5EACAD" w14:textId="689389C5" w:rsidR="00034D00" w:rsidRPr="00FC5289" w:rsidRDefault="00034D00" w:rsidP="00034D00">
            <w:pPr>
              <w:pStyle w:val="TableText"/>
              <w:ind w:right="170"/>
              <w:jc w:val="right"/>
              <w:rPr>
                <w:w w:val="110"/>
                <w:sz w:val="16"/>
                <w:szCs w:val="18"/>
              </w:rPr>
            </w:pPr>
            <w:r w:rsidRPr="00FC5289">
              <w:rPr>
                <w:w w:val="110"/>
                <w:sz w:val="16"/>
                <w:szCs w:val="18"/>
              </w:rPr>
              <w:t>5*</w:t>
            </w:r>
          </w:p>
        </w:tc>
        <w:tc>
          <w:tcPr>
            <w:tcW w:w="3423" w:type="dxa"/>
          </w:tcPr>
          <w:p w14:paraId="2E13501A" w14:textId="0B85FABB" w:rsidR="00034D00" w:rsidRPr="00034D00" w:rsidRDefault="00034D00" w:rsidP="00034D00">
            <w:pPr>
              <w:pStyle w:val="TableText"/>
              <w:ind w:left="57"/>
              <w:rPr>
                <w:rFonts w:cs="Segoe UI"/>
                <w:w w:val="105"/>
                <w:sz w:val="16"/>
                <w:szCs w:val="18"/>
              </w:rPr>
            </w:pPr>
            <w:r w:rsidRPr="00034D00">
              <w:rPr>
                <w:sz w:val="16"/>
                <w:szCs w:val="18"/>
              </w:rPr>
              <w:t>Repairs</w:t>
            </w:r>
            <w:r w:rsidRPr="00034D00">
              <w:rPr>
                <w:spacing w:val="16"/>
                <w:sz w:val="16"/>
                <w:szCs w:val="18"/>
              </w:rPr>
              <w:t xml:space="preserve"> </w:t>
            </w:r>
            <w:r w:rsidRPr="00034D00">
              <w:rPr>
                <w:sz w:val="16"/>
                <w:szCs w:val="18"/>
              </w:rPr>
              <w:t>and</w:t>
            </w:r>
            <w:r w:rsidRPr="00034D00">
              <w:rPr>
                <w:spacing w:val="17"/>
                <w:sz w:val="16"/>
                <w:szCs w:val="18"/>
              </w:rPr>
              <w:t xml:space="preserve"> </w:t>
            </w:r>
            <w:r w:rsidRPr="00034D00">
              <w:rPr>
                <w:spacing w:val="-2"/>
                <w:sz w:val="16"/>
                <w:szCs w:val="18"/>
              </w:rPr>
              <w:t>maintenance</w:t>
            </w:r>
          </w:p>
        </w:tc>
        <w:tc>
          <w:tcPr>
            <w:tcW w:w="1195" w:type="dxa"/>
          </w:tcPr>
          <w:p w14:paraId="35F4B476" w14:textId="3EAFF01F" w:rsidR="00034D00" w:rsidRPr="00034D00" w:rsidRDefault="00034D00" w:rsidP="00034D00">
            <w:pPr>
              <w:pStyle w:val="TableText"/>
              <w:ind w:right="170"/>
              <w:jc w:val="right"/>
              <w:rPr>
                <w:w w:val="110"/>
                <w:sz w:val="16"/>
                <w:szCs w:val="18"/>
              </w:rPr>
            </w:pPr>
            <w:r w:rsidRPr="00034D00">
              <w:rPr>
                <w:w w:val="110"/>
                <w:sz w:val="16"/>
                <w:szCs w:val="18"/>
              </w:rPr>
              <w:t>3,501</w:t>
            </w:r>
          </w:p>
        </w:tc>
        <w:tc>
          <w:tcPr>
            <w:tcW w:w="1356" w:type="dxa"/>
          </w:tcPr>
          <w:p w14:paraId="07BBE37E" w14:textId="7E9B9D44" w:rsidR="00034D00" w:rsidRPr="00034D00" w:rsidRDefault="00034D00" w:rsidP="00034D00">
            <w:pPr>
              <w:pStyle w:val="TableText"/>
              <w:ind w:right="170"/>
              <w:jc w:val="right"/>
              <w:rPr>
                <w:w w:val="110"/>
                <w:sz w:val="16"/>
                <w:szCs w:val="18"/>
              </w:rPr>
            </w:pPr>
            <w:r w:rsidRPr="00034D00">
              <w:rPr>
                <w:w w:val="110"/>
                <w:sz w:val="16"/>
                <w:szCs w:val="18"/>
              </w:rPr>
              <w:t>–</w:t>
            </w:r>
          </w:p>
        </w:tc>
        <w:tc>
          <w:tcPr>
            <w:tcW w:w="1330" w:type="dxa"/>
          </w:tcPr>
          <w:p w14:paraId="4E131D55" w14:textId="32ED28E6" w:rsidR="00034D00" w:rsidRPr="00034D00" w:rsidRDefault="00034D00" w:rsidP="00034D00">
            <w:pPr>
              <w:pStyle w:val="TableText"/>
              <w:ind w:right="170"/>
              <w:jc w:val="right"/>
              <w:rPr>
                <w:w w:val="110"/>
                <w:sz w:val="16"/>
                <w:szCs w:val="18"/>
              </w:rPr>
            </w:pPr>
            <w:r w:rsidRPr="00034D00">
              <w:rPr>
                <w:w w:val="110"/>
                <w:sz w:val="16"/>
                <w:szCs w:val="18"/>
              </w:rPr>
              <w:t>–</w:t>
            </w:r>
          </w:p>
        </w:tc>
      </w:tr>
      <w:tr w:rsidR="00034D00" w14:paraId="5C3DF11F" w14:textId="77777777" w:rsidTr="00FC5289">
        <w:trPr>
          <w:trHeight w:val="359"/>
        </w:trPr>
        <w:tc>
          <w:tcPr>
            <w:tcW w:w="1246" w:type="dxa"/>
          </w:tcPr>
          <w:p w14:paraId="4D4ABA32" w14:textId="7F193B7B" w:rsidR="00034D00" w:rsidRPr="00FC5289" w:rsidRDefault="00034D00" w:rsidP="00034D00">
            <w:pPr>
              <w:pStyle w:val="TableText"/>
              <w:ind w:right="170"/>
              <w:jc w:val="right"/>
              <w:rPr>
                <w:w w:val="110"/>
                <w:sz w:val="16"/>
                <w:szCs w:val="18"/>
              </w:rPr>
            </w:pPr>
            <w:r w:rsidRPr="00FC5289">
              <w:rPr>
                <w:w w:val="110"/>
                <w:sz w:val="16"/>
                <w:szCs w:val="18"/>
              </w:rPr>
              <w:t>2,335</w:t>
            </w:r>
          </w:p>
        </w:tc>
        <w:tc>
          <w:tcPr>
            <w:tcW w:w="3423" w:type="dxa"/>
          </w:tcPr>
          <w:p w14:paraId="46D5E715" w14:textId="2DF08DA9" w:rsidR="00034D00" w:rsidRPr="00034D00" w:rsidRDefault="00034D00" w:rsidP="00034D00">
            <w:pPr>
              <w:pStyle w:val="TableText"/>
              <w:ind w:left="57"/>
              <w:rPr>
                <w:rFonts w:cs="Segoe UI"/>
                <w:w w:val="105"/>
                <w:sz w:val="16"/>
                <w:szCs w:val="18"/>
              </w:rPr>
            </w:pPr>
            <w:r w:rsidRPr="00034D00">
              <w:rPr>
                <w:spacing w:val="-2"/>
                <w:sz w:val="16"/>
                <w:szCs w:val="18"/>
              </w:rPr>
              <w:t>Travel</w:t>
            </w:r>
          </w:p>
        </w:tc>
        <w:tc>
          <w:tcPr>
            <w:tcW w:w="1195" w:type="dxa"/>
          </w:tcPr>
          <w:p w14:paraId="170EDF15" w14:textId="4F46C84F" w:rsidR="00034D00" w:rsidRPr="00034D00" w:rsidRDefault="00034D00" w:rsidP="00034D00">
            <w:pPr>
              <w:pStyle w:val="TableText"/>
              <w:ind w:right="170"/>
              <w:jc w:val="right"/>
              <w:rPr>
                <w:w w:val="110"/>
                <w:sz w:val="16"/>
                <w:szCs w:val="18"/>
              </w:rPr>
            </w:pPr>
            <w:r w:rsidRPr="00034D00">
              <w:rPr>
                <w:w w:val="110"/>
                <w:sz w:val="16"/>
                <w:szCs w:val="18"/>
              </w:rPr>
              <w:t>1,994</w:t>
            </w:r>
          </w:p>
        </w:tc>
        <w:tc>
          <w:tcPr>
            <w:tcW w:w="1356" w:type="dxa"/>
          </w:tcPr>
          <w:p w14:paraId="3090E2ED" w14:textId="697F66D9" w:rsidR="00034D00" w:rsidRPr="00034D00" w:rsidRDefault="00034D00" w:rsidP="00034D00">
            <w:pPr>
              <w:pStyle w:val="TableText"/>
              <w:ind w:right="170"/>
              <w:jc w:val="right"/>
              <w:rPr>
                <w:w w:val="110"/>
                <w:sz w:val="16"/>
                <w:szCs w:val="18"/>
              </w:rPr>
            </w:pPr>
            <w:r w:rsidRPr="00034D00">
              <w:rPr>
                <w:w w:val="110"/>
                <w:sz w:val="16"/>
                <w:szCs w:val="18"/>
              </w:rPr>
              <w:t>1,847</w:t>
            </w:r>
          </w:p>
        </w:tc>
        <w:tc>
          <w:tcPr>
            <w:tcW w:w="1330" w:type="dxa"/>
          </w:tcPr>
          <w:p w14:paraId="415E5DB6" w14:textId="57997F1A" w:rsidR="00034D00" w:rsidRPr="00034D00" w:rsidRDefault="00034D00" w:rsidP="00034D00">
            <w:pPr>
              <w:pStyle w:val="TableText"/>
              <w:ind w:right="170"/>
              <w:jc w:val="right"/>
              <w:rPr>
                <w:w w:val="110"/>
                <w:sz w:val="16"/>
                <w:szCs w:val="18"/>
              </w:rPr>
            </w:pPr>
            <w:r w:rsidRPr="00034D00">
              <w:rPr>
                <w:w w:val="110"/>
                <w:sz w:val="16"/>
                <w:szCs w:val="18"/>
              </w:rPr>
              <w:t>2,167</w:t>
            </w:r>
          </w:p>
        </w:tc>
      </w:tr>
      <w:tr w:rsidR="00034D00" w14:paraId="29B7214E" w14:textId="77777777" w:rsidTr="00FC5289">
        <w:trPr>
          <w:trHeight w:val="359"/>
        </w:trPr>
        <w:tc>
          <w:tcPr>
            <w:tcW w:w="1246" w:type="dxa"/>
          </w:tcPr>
          <w:p w14:paraId="4F582294" w14:textId="060BD3A0" w:rsidR="00034D00" w:rsidRPr="00FC5289" w:rsidRDefault="00034D00" w:rsidP="00034D00">
            <w:pPr>
              <w:pStyle w:val="TableText"/>
              <w:ind w:right="170"/>
              <w:jc w:val="right"/>
              <w:rPr>
                <w:w w:val="110"/>
                <w:sz w:val="16"/>
                <w:szCs w:val="18"/>
              </w:rPr>
            </w:pPr>
            <w:r w:rsidRPr="00FC5289">
              <w:rPr>
                <w:w w:val="110"/>
                <w:sz w:val="16"/>
                <w:szCs w:val="18"/>
              </w:rPr>
              <w:t>1,778*</w:t>
            </w:r>
          </w:p>
        </w:tc>
        <w:tc>
          <w:tcPr>
            <w:tcW w:w="3423" w:type="dxa"/>
          </w:tcPr>
          <w:p w14:paraId="03336C53" w14:textId="007748F1" w:rsidR="00034D00" w:rsidRPr="00034D00" w:rsidRDefault="00034D00" w:rsidP="00034D00">
            <w:pPr>
              <w:pStyle w:val="TableText"/>
              <w:ind w:left="57"/>
              <w:rPr>
                <w:rFonts w:cs="Segoe UI"/>
                <w:w w:val="105"/>
                <w:sz w:val="16"/>
                <w:szCs w:val="18"/>
              </w:rPr>
            </w:pPr>
            <w:r w:rsidRPr="00034D00">
              <w:rPr>
                <w:spacing w:val="-2"/>
                <w:w w:val="105"/>
                <w:sz w:val="16"/>
                <w:szCs w:val="18"/>
              </w:rPr>
              <w:t>Communications</w:t>
            </w:r>
          </w:p>
        </w:tc>
        <w:tc>
          <w:tcPr>
            <w:tcW w:w="1195" w:type="dxa"/>
          </w:tcPr>
          <w:p w14:paraId="66CF567C" w14:textId="36ADF458" w:rsidR="00034D00" w:rsidRPr="00034D00" w:rsidRDefault="00034D00" w:rsidP="00034D00">
            <w:pPr>
              <w:pStyle w:val="TableText"/>
              <w:ind w:right="170"/>
              <w:jc w:val="right"/>
              <w:rPr>
                <w:w w:val="110"/>
                <w:sz w:val="16"/>
                <w:szCs w:val="18"/>
              </w:rPr>
            </w:pPr>
            <w:r w:rsidRPr="00034D00">
              <w:rPr>
                <w:w w:val="110"/>
                <w:sz w:val="16"/>
                <w:szCs w:val="18"/>
              </w:rPr>
              <w:t>1,556</w:t>
            </w:r>
          </w:p>
        </w:tc>
        <w:tc>
          <w:tcPr>
            <w:tcW w:w="1356" w:type="dxa"/>
          </w:tcPr>
          <w:p w14:paraId="3B35C4F1" w14:textId="4A839D06" w:rsidR="00034D00" w:rsidRPr="00034D00" w:rsidRDefault="00034D00" w:rsidP="00034D00">
            <w:pPr>
              <w:pStyle w:val="TableText"/>
              <w:ind w:right="170"/>
              <w:jc w:val="right"/>
              <w:rPr>
                <w:w w:val="110"/>
                <w:sz w:val="16"/>
                <w:szCs w:val="18"/>
              </w:rPr>
            </w:pPr>
            <w:r w:rsidRPr="00034D00">
              <w:rPr>
                <w:w w:val="110"/>
                <w:sz w:val="16"/>
                <w:szCs w:val="18"/>
              </w:rPr>
              <w:t>1,752</w:t>
            </w:r>
          </w:p>
        </w:tc>
        <w:tc>
          <w:tcPr>
            <w:tcW w:w="1330" w:type="dxa"/>
          </w:tcPr>
          <w:p w14:paraId="18D11FA1" w14:textId="362BCCD7" w:rsidR="00034D00" w:rsidRPr="00034D00" w:rsidRDefault="00034D00" w:rsidP="00034D00">
            <w:pPr>
              <w:pStyle w:val="TableText"/>
              <w:ind w:right="170"/>
              <w:jc w:val="right"/>
              <w:rPr>
                <w:w w:val="110"/>
                <w:sz w:val="16"/>
                <w:szCs w:val="18"/>
              </w:rPr>
            </w:pPr>
            <w:r w:rsidRPr="00034D00">
              <w:rPr>
                <w:w w:val="110"/>
                <w:sz w:val="16"/>
                <w:szCs w:val="18"/>
              </w:rPr>
              <w:t>2,001</w:t>
            </w:r>
          </w:p>
        </w:tc>
      </w:tr>
      <w:tr w:rsidR="00034D00" w14:paraId="20319BB4" w14:textId="77777777" w:rsidTr="00FC5289">
        <w:trPr>
          <w:trHeight w:val="359"/>
        </w:trPr>
        <w:tc>
          <w:tcPr>
            <w:tcW w:w="1246" w:type="dxa"/>
          </w:tcPr>
          <w:p w14:paraId="7185818D" w14:textId="0EC25102" w:rsidR="00034D00" w:rsidRPr="00FC5289" w:rsidRDefault="00034D00" w:rsidP="00034D00">
            <w:pPr>
              <w:pStyle w:val="TableText"/>
              <w:ind w:right="170"/>
              <w:jc w:val="right"/>
              <w:rPr>
                <w:w w:val="110"/>
                <w:sz w:val="16"/>
                <w:szCs w:val="18"/>
              </w:rPr>
            </w:pPr>
            <w:r w:rsidRPr="00FC5289">
              <w:rPr>
                <w:w w:val="110"/>
                <w:sz w:val="16"/>
                <w:szCs w:val="18"/>
              </w:rPr>
              <w:t>1,069*</w:t>
            </w:r>
          </w:p>
        </w:tc>
        <w:tc>
          <w:tcPr>
            <w:tcW w:w="3423" w:type="dxa"/>
          </w:tcPr>
          <w:p w14:paraId="29C804B8" w14:textId="7B35F008" w:rsidR="00034D00" w:rsidRPr="00034D00" w:rsidRDefault="00034D00" w:rsidP="00034D00">
            <w:pPr>
              <w:pStyle w:val="TableText"/>
              <w:ind w:left="57"/>
              <w:rPr>
                <w:rFonts w:cs="Segoe UI"/>
                <w:w w:val="105"/>
                <w:sz w:val="16"/>
                <w:szCs w:val="18"/>
              </w:rPr>
            </w:pPr>
            <w:r w:rsidRPr="00034D00">
              <w:rPr>
                <w:spacing w:val="-2"/>
                <w:w w:val="105"/>
                <w:sz w:val="16"/>
                <w:szCs w:val="18"/>
              </w:rPr>
              <w:t>Insurance</w:t>
            </w:r>
          </w:p>
        </w:tc>
        <w:tc>
          <w:tcPr>
            <w:tcW w:w="1195" w:type="dxa"/>
          </w:tcPr>
          <w:p w14:paraId="7969E27A" w14:textId="495E2FE4" w:rsidR="00034D00" w:rsidRPr="00034D00" w:rsidRDefault="00034D00" w:rsidP="00034D00">
            <w:pPr>
              <w:pStyle w:val="TableText"/>
              <w:ind w:right="170"/>
              <w:jc w:val="right"/>
              <w:rPr>
                <w:w w:val="110"/>
                <w:sz w:val="16"/>
                <w:szCs w:val="18"/>
              </w:rPr>
            </w:pPr>
            <w:r w:rsidRPr="00034D00">
              <w:rPr>
                <w:w w:val="110"/>
                <w:sz w:val="16"/>
                <w:szCs w:val="18"/>
              </w:rPr>
              <w:t>1,415</w:t>
            </w:r>
          </w:p>
        </w:tc>
        <w:tc>
          <w:tcPr>
            <w:tcW w:w="1356" w:type="dxa"/>
          </w:tcPr>
          <w:p w14:paraId="6E226824" w14:textId="3D602B39" w:rsidR="00034D00" w:rsidRPr="00034D00" w:rsidRDefault="00034D00" w:rsidP="00034D00">
            <w:pPr>
              <w:pStyle w:val="TableText"/>
              <w:ind w:right="170"/>
              <w:jc w:val="right"/>
              <w:rPr>
                <w:w w:val="110"/>
                <w:sz w:val="16"/>
                <w:szCs w:val="18"/>
              </w:rPr>
            </w:pPr>
            <w:r w:rsidRPr="00034D00">
              <w:rPr>
                <w:w w:val="110"/>
                <w:sz w:val="16"/>
                <w:szCs w:val="18"/>
              </w:rPr>
              <w:t>1,905</w:t>
            </w:r>
          </w:p>
        </w:tc>
        <w:tc>
          <w:tcPr>
            <w:tcW w:w="1330" w:type="dxa"/>
          </w:tcPr>
          <w:p w14:paraId="390216CD" w14:textId="2D670B0A" w:rsidR="00034D00" w:rsidRPr="00034D00" w:rsidRDefault="00034D00" w:rsidP="00034D00">
            <w:pPr>
              <w:pStyle w:val="TableText"/>
              <w:ind w:right="170"/>
              <w:jc w:val="right"/>
              <w:rPr>
                <w:w w:val="110"/>
                <w:sz w:val="16"/>
                <w:szCs w:val="18"/>
              </w:rPr>
            </w:pPr>
            <w:r w:rsidRPr="00034D00">
              <w:rPr>
                <w:w w:val="110"/>
                <w:sz w:val="16"/>
                <w:szCs w:val="18"/>
              </w:rPr>
              <w:t>1,435</w:t>
            </w:r>
          </w:p>
        </w:tc>
      </w:tr>
      <w:tr w:rsidR="00034D00" w14:paraId="63CD37AF" w14:textId="77777777" w:rsidTr="00FC5289">
        <w:trPr>
          <w:trHeight w:val="359"/>
        </w:trPr>
        <w:tc>
          <w:tcPr>
            <w:tcW w:w="1246" w:type="dxa"/>
          </w:tcPr>
          <w:p w14:paraId="2A2F0B14" w14:textId="4FAA6FD3" w:rsidR="00034D00" w:rsidRPr="00FC5289" w:rsidRDefault="00034D00" w:rsidP="00034D00">
            <w:pPr>
              <w:pStyle w:val="TableText"/>
              <w:ind w:right="170"/>
              <w:jc w:val="right"/>
              <w:rPr>
                <w:w w:val="110"/>
                <w:sz w:val="16"/>
                <w:szCs w:val="18"/>
              </w:rPr>
            </w:pPr>
            <w:r w:rsidRPr="00FC5289">
              <w:rPr>
                <w:w w:val="110"/>
                <w:sz w:val="16"/>
                <w:szCs w:val="18"/>
              </w:rPr>
              <w:t>696</w:t>
            </w:r>
          </w:p>
        </w:tc>
        <w:tc>
          <w:tcPr>
            <w:tcW w:w="3423" w:type="dxa"/>
          </w:tcPr>
          <w:p w14:paraId="69C8CB11" w14:textId="5F4662BC" w:rsidR="00034D00" w:rsidRPr="00034D00" w:rsidRDefault="00034D00" w:rsidP="00034D00">
            <w:pPr>
              <w:pStyle w:val="TableText"/>
              <w:ind w:left="57"/>
              <w:rPr>
                <w:rFonts w:cs="Segoe UI"/>
                <w:w w:val="105"/>
                <w:sz w:val="16"/>
                <w:szCs w:val="18"/>
              </w:rPr>
            </w:pPr>
            <w:r w:rsidRPr="00034D00">
              <w:rPr>
                <w:sz w:val="16"/>
                <w:szCs w:val="18"/>
              </w:rPr>
              <w:t>Printing</w:t>
            </w:r>
            <w:r w:rsidRPr="00034D00">
              <w:rPr>
                <w:spacing w:val="3"/>
                <w:sz w:val="16"/>
                <w:szCs w:val="18"/>
              </w:rPr>
              <w:t xml:space="preserve"> </w:t>
            </w:r>
            <w:r w:rsidRPr="00034D00">
              <w:rPr>
                <w:sz w:val="16"/>
                <w:szCs w:val="18"/>
              </w:rPr>
              <w:t>and</w:t>
            </w:r>
            <w:r w:rsidRPr="00034D00">
              <w:rPr>
                <w:spacing w:val="4"/>
                <w:sz w:val="16"/>
                <w:szCs w:val="18"/>
              </w:rPr>
              <w:t xml:space="preserve"> </w:t>
            </w:r>
            <w:r w:rsidRPr="00034D00">
              <w:rPr>
                <w:spacing w:val="-2"/>
                <w:sz w:val="16"/>
                <w:szCs w:val="18"/>
              </w:rPr>
              <w:t>stationery</w:t>
            </w:r>
          </w:p>
        </w:tc>
        <w:tc>
          <w:tcPr>
            <w:tcW w:w="1195" w:type="dxa"/>
          </w:tcPr>
          <w:p w14:paraId="57232BFB" w14:textId="651F5699" w:rsidR="00034D00" w:rsidRPr="00034D00" w:rsidRDefault="00034D00" w:rsidP="00034D00">
            <w:pPr>
              <w:pStyle w:val="TableText"/>
              <w:ind w:right="170"/>
              <w:jc w:val="right"/>
              <w:rPr>
                <w:w w:val="110"/>
                <w:sz w:val="16"/>
                <w:szCs w:val="18"/>
              </w:rPr>
            </w:pPr>
            <w:r w:rsidRPr="00034D00">
              <w:rPr>
                <w:w w:val="110"/>
                <w:sz w:val="16"/>
                <w:szCs w:val="18"/>
              </w:rPr>
              <w:t>419</w:t>
            </w:r>
          </w:p>
        </w:tc>
        <w:tc>
          <w:tcPr>
            <w:tcW w:w="1356" w:type="dxa"/>
          </w:tcPr>
          <w:p w14:paraId="7B5B3018" w14:textId="7E4A0EDC" w:rsidR="00034D00" w:rsidRPr="00034D00" w:rsidRDefault="00034D00" w:rsidP="00034D00">
            <w:pPr>
              <w:pStyle w:val="TableText"/>
              <w:ind w:right="170"/>
              <w:jc w:val="right"/>
              <w:rPr>
                <w:w w:val="110"/>
                <w:sz w:val="16"/>
                <w:szCs w:val="18"/>
              </w:rPr>
            </w:pPr>
            <w:r w:rsidRPr="00034D00">
              <w:rPr>
                <w:w w:val="110"/>
                <w:sz w:val="16"/>
                <w:szCs w:val="18"/>
              </w:rPr>
              <w:t>558</w:t>
            </w:r>
          </w:p>
        </w:tc>
        <w:tc>
          <w:tcPr>
            <w:tcW w:w="1330" w:type="dxa"/>
          </w:tcPr>
          <w:p w14:paraId="745108D8" w14:textId="7A29019C" w:rsidR="00034D00" w:rsidRPr="00034D00" w:rsidRDefault="00034D00" w:rsidP="00034D00">
            <w:pPr>
              <w:pStyle w:val="TableText"/>
              <w:ind w:right="170"/>
              <w:jc w:val="right"/>
              <w:rPr>
                <w:w w:val="110"/>
                <w:sz w:val="16"/>
                <w:szCs w:val="18"/>
              </w:rPr>
            </w:pPr>
            <w:r w:rsidRPr="00034D00">
              <w:rPr>
                <w:w w:val="110"/>
                <w:sz w:val="16"/>
                <w:szCs w:val="18"/>
              </w:rPr>
              <w:t>410</w:t>
            </w:r>
          </w:p>
        </w:tc>
      </w:tr>
      <w:tr w:rsidR="00034D00" w14:paraId="1BD6D30F" w14:textId="77777777" w:rsidTr="00FC5289">
        <w:trPr>
          <w:trHeight w:val="359"/>
        </w:trPr>
        <w:tc>
          <w:tcPr>
            <w:tcW w:w="1246" w:type="dxa"/>
          </w:tcPr>
          <w:p w14:paraId="52DE2018" w14:textId="5890D109" w:rsidR="00034D00" w:rsidRPr="00FC5289" w:rsidRDefault="00034D00" w:rsidP="00034D00">
            <w:pPr>
              <w:pStyle w:val="TableText"/>
              <w:ind w:right="170"/>
              <w:jc w:val="right"/>
              <w:rPr>
                <w:w w:val="110"/>
                <w:sz w:val="16"/>
                <w:szCs w:val="18"/>
              </w:rPr>
            </w:pPr>
            <w:r w:rsidRPr="00FC5289">
              <w:rPr>
                <w:w w:val="110"/>
                <w:sz w:val="16"/>
                <w:szCs w:val="18"/>
              </w:rPr>
              <w:t>491</w:t>
            </w:r>
          </w:p>
        </w:tc>
        <w:tc>
          <w:tcPr>
            <w:tcW w:w="3423" w:type="dxa"/>
          </w:tcPr>
          <w:p w14:paraId="2E822BA9" w14:textId="2A46A708" w:rsidR="00034D00" w:rsidRPr="00034D00" w:rsidRDefault="00034D00" w:rsidP="00034D00">
            <w:pPr>
              <w:pStyle w:val="TableText"/>
              <w:ind w:left="57"/>
              <w:rPr>
                <w:rFonts w:cs="Segoe UI"/>
                <w:w w:val="105"/>
                <w:sz w:val="16"/>
                <w:szCs w:val="18"/>
              </w:rPr>
            </w:pPr>
            <w:r w:rsidRPr="00034D00">
              <w:rPr>
                <w:sz w:val="16"/>
                <w:szCs w:val="18"/>
              </w:rPr>
              <w:t>Fees</w:t>
            </w:r>
            <w:r w:rsidRPr="00034D00">
              <w:rPr>
                <w:spacing w:val="-1"/>
                <w:sz w:val="16"/>
                <w:szCs w:val="18"/>
              </w:rPr>
              <w:t xml:space="preserve"> </w:t>
            </w:r>
            <w:r w:rsidRPr="00034D00">
              <w:rPr>
                <w:sz w:val="16"/>
                <w:szCs w:val="18"/>
              </w:rPr>
              <w:t>to</w:t>
            </w:r>
            <w:r w:rsidRPr="00034D00">
              <w:rPr>
                <w:spacing w:val="-1"/>
                <w:sz w:val="16"/>
                <w:szCs w:val="18"/>
              </w:rPr>
              <w:t xml:space="preserve"> </w:t>
            </w:r>
            <w:r w:rsidRPr="00034D00">
              <w:rPr>
                <w:sz w:val="16"/>
                <w:szCs w:val="18"/>
              </w:rPr>
              <w:t>Audit</w:t>
            </w:r>
            <w:r w:rsidRPr="00034D00">
              <w:rPr>
                <w:spacing w:val="-1"/>
                <w:sz w:val="16"/>
                <w:szCs w:val="18"/>
              </w:rPr>
              <w:t xml:space="preserve"> </w:t>
            </w:r>
            <w:r w:rsidRPr="00034D00">
              <w:rPr>
                <w:sz w:val="16"/>
                <w:szCs w:val="18"/>
              </w:rPr>
              <w:t>New</w:t>
            </w:r>
            <w:r w:rsidRPr="00034D00">
              <w:rPr>
                <w:spacing w:val="-1"/>
                <w:sz w:val="16"/>
                <w:szCs w:val="18"/>
              </w:rPr>
              <w:t xml:space="preserve"> </w:t>
            </w:r>
            <w:r w:rsidRPr="00034D00">
              <w:rPr>
                <w:sz w:val="16"/>
                <w:szCs w:val="18"/>
              </w:rPr>
              <w:t>Zealand</w:t>
            </w:r>
            <w:r w:rsidRPr="00034D00">
              <w:rPr>
                <w:spacing w:val="-1"/>
                <w:sz w:val="16"/>
                <w:szCs w:val="18"/>
              </w:rPr>
              <w:t xml:space="preserve"> </w:t>
            </w:r>
            <w:r w:rsidRPr="00034D00">
              <w:rPr>
                <w:sz w:val="16"/>
                <w:szCs w:val="18"/>
              </w:rPr>
              <w:t>for</w:t>
            </w:r>
            <w:r w:rsidRPr="00034D00">
              <w:rPr>
                <w:spacing w:val="-1"/>
                <w:sz w:val="16"/>
                <w:szCs w:val="18"/>
              </w:rPr>
              <w:t xml:space="preserve"> </w:t>
            </w:r>
            <w:r w:rsidRPr="00034D00">
              <w:rPr>
                <w:sz w:val="16"/>
                <w:szCs w:val="18"/>
              </w:rPr>
              <w:t>audit</w:t>
            </w:r>
            <w:r w:rsidRPr="00034D00">
              <w:rPr>
                <w:spacing w:val="-1"/>
                <w:sz w:val="16"/>
                <w:szCs w:val="18"/>
              </w:rPr>
              <w:t xml:space="preserve"> </w:t>
            </w:r>
            <w:r w:rsidRPr="00034D00">
              <w:rPr>
                <w:sz w:val="16"/>
                <w:szCs w:val="18"/>
              </w:rPr>
              <w:t xml:space="preserve">of </w:t>
            </w:r>
            <w:r w:rsidRPr="00034D00">
              <w:rPr>
                <w:w w:val="105"/>
                <w:sz w:val="16"/>
                <w:szCs w:val="18"/>
              </w:rPr>
              <w:t>financial</w:t>
            </w:r>
            <w:r w:rsidRPr="00034D00">
              <w:rPr>
                <w:spacing w:val="-5"/>
                <w:w w:val="105"/>
                <w:sz w:val="16"/>
                <w:szCs w:val="18"/>
              </w:rPr>
              <w:t xml:space="preserve"> </w:t>
            </w:r>
            <w:r w:rsidRPr="00034D00">
              <w:rPr>
                <w:w w:val="105"/>
                <w:sz w:val="16"/>
                <w:szCs w:val="18"/>
              </w:rPr>
              <w:t>statements**</w:t>
            </w:r>
          </w:p>
        </w:tc>
        <w:tc>
          <w:tcPr>
            <w:tcW w:w="1195" w:type="dxa"/>
          </w:tcPr>
          <w:p w14:paraId="52D1BE4C" w14:textId="122FA8E6" w:rsidR="00034D00" w:rsidRPr="00034D00" w:rsidRDefault="00034D00" w:rsidP="00034D00">
            <w:pPr>
              <w:pStyle w:val="TableText"/>
              <w:ind w:right="170"/>
              <w:jc w:val="right"/>
              <w:rPr>
                <w:w w:val="110"/>
                <w:sz w:val="16"/>
                <w:szCs w:val="18"/>
              </w:rPr>
            </w:pPr>
            <w:r w:rsidRPr="00034D00">
              <w:rPr>
                <w:w w:val="110"/>
                <w:sz w:val="16"/>
                <w:szCs w:val="18"/>
              </w:rPr>
              <w:t>381</w:t>
            </w:r>
          </w:p>
        </w:tc>
        <w:tc>
          <w:tcPr>
            <w:tcW w:w="1356" w:type="dxa"/>
          </w:tcPr>
          <w:p w14:paraId="537E4386" w14:textId="496F3055" w:rsidR="00034D00" w:rsidRPr="00034D00" w:rsidRDefault="00034D00" w:rsidP="00034D00">
            <w:pPr>
              <w:pStyle w:val="TableText"/>
              <w:ind w:right="170"/>
              <w:jc w:val="right"/>
              <w:rPr>
                <w:w w:val="110"/>
                <w:sz w:val="16"/>
                <w:szCs w:val="18"/>
              </w:rPr>
            </w:pPr>
            <w:r w:rsidRPr="00034D00">
              <w:rPr>
                <w:w w:val="110"/>
                <w:sz w:val="16"/>
                <w:szCs w:val="18"/>
              </w:rPr>
              <w:t>423</w:t>
            </w:r>
          </w:p>
        </w:tc>
        <w:tc>
          <w:tcPr>
            <w:tcW w:w="1330" w:type="dxa"/>
          </w:tcPr>
          <w:p w14:paraId="2DF14452" w14:textId="499E103C" w:rsidR="00034D00" w:rsidRPr="00034D00" w:rsidRDefault="00034D00" w:rsidP="00034D00">
            <w:pPr>
              <w:pStyle w:val="TableText"/>
              <w:ind w:right="170"/>
              <w:jc w:val="right"/>
              <w:rPr>
                <w:w w:val="110"/>
                <w:sz w:val="16"/>
                <w:szCs w:val="18"/>
              </w:rPr>
            </w:pPr>
            <w:r w:rsidRPr="00034D00">
              <w:rPr>
                <w:w w:val="110"/>
                <w:sz w:val="16"/>
                <w:szCs w:val="18"/>
              </w:rPr>
              <w:t>423</w:t>
            </w:r>
          </w:p>
        </w:tc>
      </w:tr>
      <w:tr w:rsidR="00034D00" w14:paraId="71B41D8B" w14:textId="77777777" w:rsidTr="00FC5289">
        <w:trPr>
          <w:trHeight w:val="359"/>
        </w:trPr>
        <w:tc>
          <w:tcPr>
            <w:tcW w:w="1246" w:type="dxa"/>
          </w:tcPr>
          <w:p w14:paraId="1B6BB50D" w14:textId="46B028E0" w:rsidR="00034D00" w:rsidRPr="00FC5289" w:rsidRDefault="00034D00" w:rsidP="00034D00">
            <w:pPr>
              <w:pStyle w:val="TableText"/>
              <w:ind w:right="170"/>
              <w:jc w:val="right"/>
              <w:rPr>
                <w:w w:val="110"/>
                <w:sz w:val="16"/>
                <w:szCs w:val="18"/>
              </w:rPr>
            </w:pPr>
            <w:r w:rsidRPr="00FC5289">
              <w:rPr>
                <w:w w:val="110"/>
                <w:sz w:val="16"/>
                <w:szCs w:val="18"/>
              </w:rPr>
              <w:t>287</w:t>
            </w:r>
          </w:p>
        </w:tc>
        <w:tc>
          <w:tcPr>
            <w:tcW w:w="3423" w:type="dxa"/>
          </w:tcPr>
          <w:p w14:paraId="0E0D7BF5" w14:textId="7382A47C" w:rsidR="00034D00" w:rsidRPr="00034D00" w:rsidRDefault="00034D00" w:rsidP="00034D00">
            <w:pPr>
              <w:pStyle w:val="TableText"/>
              <w:ind w:left="57"/>
              <w:rPr>
                <w:rFonts w:cs="Segoe UI"/>
                <w:w w:val="105"/>
                <w:sz w:val="16"/>
                <w:szCs w:val="18"/>
              </w:rPr>
            </w:pPr>
            <w:r w:rsidRPr="00034D00">
              <w:rPr>
                <w:spacing w:val="-2"/>
                <w:sz w:val="16"/>
                <w:szCs w:val="18"/>
              </w:rPr>
              <w:t>Advertising</w:t>
            </w:r>
          </w:p>
        </w:tc>
        <w:tc>
          <w:tcPr>
            <w:tcW w:w="1195" w:type="dxa"/>
          </w:tcPr>
          <w:p w14:paraId="36591D60" w14:textId="4FE1A217" w:rsidR="00034D00" w:rsidRPr="00034D00" w:rsidRDefault="00034D00" w:rsidP="00034D00">
            <w:pPr>
              <w:pStyle w:val="TableText"/>
              <w:ind w:right="170"/>
              <w:jc w:val="right"/>
              <w:rPr>
                <w:w w:val="110"/>
                <w:sz w:val="16"/>
                <w:szCs w:val="18"/>
              </w:rPr>
            </w:pPr>
            <w:r w:rsidRPr="00034D00">
              <w:rPr>
                <w:w w:val="110"/>
                <w:sz w:val="16"/>
                <w:szCs w:val="18"/>
              </w:rPr>
              <w:t>254</w:t>
            </w:r>
          </w:p>
        </w:tc>
        <w:tc>
          <w:tcPr>
            <w:tcW w:w="1356" w:type="dxa"/>
          </w:tcPr>
          <w:p w14:paraId="13C8CEA2" w14:textId="1E143376" w:rsidR="00034D00" w:rsidRPr="00034D00" w:rsidRDefault="00034D00" w:rsidP="00034D00">
            <w:pPr>
              <w:pStyle w:val="TableText"/>
              <w:ind w:right="170"/>
              <w:jc w:val="right"/>
              <w:rPr>
                <w:w w:val="110"/>
                <w:sz w:val="16"/>
                <w:szCs w:val="18"/>
              </w:rPr>
            </w:pPr>
            <w:r w:rsidRPr="00034D00">
              <w:rPr>
                <w:w w:val="110"/>
                <w:sz w:val="16"/>
                <w:szCs w:val="18"/>
              </w:rPr>
              <w:t>103</w:t>
            </w:r>
          </w:p>
        </w:tc>
        <w:tc>
          <w:tcPr>
            <w:tcW w:w="1330" w:type="dxa"/>
          </w:tcPr>
          <w:p w14:paraId="19ABDFC4" w14:textId="0806E6F3" w:rsidR="00034D00" w:rsidRPr="00034D00" w:rsidRDefault="00034D00" w:rsidP="00034D00">
            <w:pPr>
              <w:pStyle w:val="TableText"/>
              <w:ind w:right="170"/>
              <w:jc w:val="right"/>
              <w:rPr>
                <w:w w:val="110"/>
                <w:sz w:val="16"/>
                <w:szCs w:val="18"/>
              </w:rPr>
            </w:pPr>
            <w:r w:rsidRPr="00034D00">
              <w:rPr>
                <w:w w:val="110"/>
                <w:sz w:val="16"/>
                <w:szCs w:val="18"/>
              </w:rPr>
              <w:t>123</w:t>
            </w:r>
          </w:p>
        </w:tc>
      </w:tr>
      <w:tr w:rsidR="00034D00" w14:paraId="05902DD4" w14:textId="77777777" w:rsidTr="00FC5289">
        <w:trPr>
          <w:trHeight w:val="359"/>
        </w:trPr>
        <w:tc>
          <w:tcPr>
            <w:tcW w:w="1246" w:type="dxa"/>
          </w:tcPr>
          <w:p w14:paraId="25DE584E" w14:textId="6F1CF4B6" w:rsidR="00034D00" w:rsidRPr="00FC5289" w:rsidRDefault="00034D00" w:rsidP="00034D00">
            <w:pPr>
              <w:pStyle w:val="TableText"/>
              <w:ind w:right="170"/>
              <w:jc w:val="right"/>
              <w:rPr>
                <w:w w:val="110"/>
                <w:sz w:val="16"/>
                <w:szCs w:val="18"/>
              </w:rPr>
            </w:pPr>
            <w:r w:rsidRPr="00FC5289">
              <w:rPr>
                <w:w w:val="110"/>
                <w:sz w:val="16"/>
                <w:szCs w:val="18"/>
              </w:rPr>
              <w:t>312</w:t>
            </w:r>
          </w:p>
        </w:tc>
        <w:tc>
          <w:tcPr>
            <w:tcW w:w="3423" w:type="dxa"/>
          </w:tcPr>
          <w:p w14:paraId="5DEE7716" w14:textId="75ED2D4B" w:rsidR="00034D00" w:rsidRPr="00034D00" w:rsidRDefault="00034D00" w:rsidP="00034D00">
            <w:pPr>
              <w:pStyle w:val="TableText"/>
              <w:ind w:left="57"/>
              <w:rPr>
                <w:rFonts w:cs="Segoe UI"/>
                <w:w w:val="105"/>
                <w:sz w:val="16"/>
                <w:szCs w:val="18"/>
              </w:rPr>
            </w:pPr>
            <w:r w:rsidRPr="00034D00">
              <w:rPr>
                <w:w w:val="105"/>
                <w:sz w:val="16"/>
                <w:szCs w:val="18"/>
              </w:rPr>
              <w:t>Sector</w:t>
            </w:r>
            <w:r w:rsidRPr="00034D00">
              <w:rPr>
                <w:spacing w:val="-7"/>
                <w:w w:val="105"/>
                <w:sz w:val="16"/>
                <w:szCs w:val="18"/>
              </w:rPr>
              <w:t xml:space="preserve"> </w:t>
            </w:r>
            <w:r w:rsidRPr="00034D00">
              <w:rPr>
                <w:w w:val="105"/>
                <w:sz w:val="16"/>
                <w:szCs w:val="18"/>
              </w:rPr>
              <w:t>and</w:t>
            </w:r>
            <w:r w:rsidRPr="00034D00">
              <w:rPr>
                <w:spacing w:val="-6"/>
                <w:w w:val="105"/>
                <w:sz w:val="16"/>
                <w:szCs w:val="18"/>
              </w:rPr>
              <w:t xml:space="preserve"> </w:t>
            </w:r>
            <w:r w:rsidRPr="00034D00">
              <w:rPr>
                <w:w w:val="105"/>
                <w:sz w:val="16"/>
                <w:szCs w:val="18"/>
              </w:rPr>
              <w:t>public</w:t>
            </w:r>
            <w:r w:rsidRPr="00034D00">
              <w:rPr>
                <w:spacing w:val="-7"/>
                <w:w w:val="105"/>
                <w:sz w:val="16"/>
                <w:szCs w:val="18"/>
              </w:rPr>
              <w:t xml:space="preserve"> </w:t>
            </w:r>
            <w:r w:rsidRPr="00034D00">
              <w:rPr>
                <w:spacing w:val="-2"/>
                <w:w w:val="105"/>
                <w:sz w:val="16"/>
                <w:szCs w:val="18"/>
              </w:rPr>
              <w:t>consultations</w:t>
            </w:r>
          </w:p>
        </w:tc>
        <w:tc>
          <w:tcPr>
            <w:tcW w:w="1195" w:type="dxa"/>
          </w:tcPr>
          <w:p w14:paraId="205B5D29" w14:textId="0BD6AAC8" w:rsidR="00034D00" w:rsidRPr="00034D00" w:rsidRDefault="00034D00" w:rsidP="00034D00">
            <w:pPr>
              <w:pStyle w:val="TableText"/>
              <w:ind w:right="170"/>
              <w:jc w:val="right"/>
              <w:rPr>
                <w:w w:val="110"/>
                <w:sz w:val="16"/>
                <w:szCs w:val="18"/>
              </w:rPr>
            </w:pPr>
            <w:r w:rsidRPr="00034D00">
              <w:rPr>
                <w:w w:val="110"/>
                <w:sz w:val="16"/>
                <w:szCs w:val="18"/>
              </w:rPr>
              <w:t>210</w:t>
            </w:r>
          </w:p>
        </w:tc>
        <w:tc>
          <w:tcPr>
            <w:tcW w:w="1356" w:type="dxa"/>
          </w:tcPr>
          <w:p w14:paraId="6C11C363" w14:textId="45627E77" w:rsidR="00034D00" w:rsidRPr="00034D00" w:rsidRDefault="00034D00" w:rsidP="00034D00">
            <w:pPr>
              <w:pStyle w:val="TableText"/>
              <w:ind w:right="170"/>
              <w:jc w:val="right"/>
              <w:rPr>
                <w:w w:val="110"/>
                <w:sz w:val="16"/>
                <w:szCs w:val="18"/>
              </w:rPr>
            </w:pPr>
            <w:r w:rsidRPr="00034D00">
              <w:rPr>
                <w:w w:val="110"/>
                <w:sz w:val="16"/>
                <w:szCs w:val="18"/>
              </w:rPr>
              <w:t>2,224</w:t>
            </w:r>
          </w:p>
        </w:tc>
        <w:tc>
          <w:tcPr>
            <w:tcW w:w="1330" w:type="dxa"/>
          </w:tcPr>
          <w:p w14:paraId="00819079" w14:textId="6E9A83D4" w:rsidR="00034D00" w:rsidRPr="00034D00" w:rsidRDefault="00034D00" w:rsidP="00034D00">
            <w:pPr>
              <w:pStyle w:val="TableText"/>
              <w:ind w:right="170"/>
              <w:jc w:val="right"/>
              <w:rPr>
                <w:w w:val="110"/>
                <w:sz w:val="16"/>
                <w:szCs w:val="18"/>
              </w:rPr>
            </w:pPr>
            <w:r w:rsidRPr="00034D00">
              <w:rPr>
                <w:w w:val="110"/>
                <w:sz w:val="16"/>
                <w:szCs w:val="18"/>
              </w:rPr>
              <w:t>495</w:t>
            </w:r>
          </w:p>
        </w:tc>
      </w:tr>
      <w:tr w:rsidR="00034D00" w14:paraId="5023D097" w14:textId="77777777" w:rsidTr="00FC5289">
        <w:trPr>
          <w:trHeight w:val="359"/>
        </w:trPr>
        <w:tc>
          <w:tcPr>
            <w:tcW w:w="1246" w:type="dxa"/>
          </w:tcPr>
          <w:p w14:paraId="073AD684" w14:textId="44E4D411" w:rsidR="00034D00" w:rsidRPr="00FC5289" w:rsidRDefault="00034D00" w:rsidP="00034D00">
            <w:pPr>
              <w:pStyle w:val="TableText"/>
              <w:ind w:right="170"/>
              <w:jc w:val="right"/>
              <w:rPr>
                <w:w w:val="110"/>
                <w:sz w:val="16"/>
                <w:szCs w:val="18"/>
              </w:rPr>
            </w:pPr>
            <w:r w:rsidRPr="00FC5289">
              <w:rPr>
                <w:w w:val="110"/>
                <w:sz w:val="16"/>
                <w:szCs w:val="18"/>
              </w:rPr>
              <w:t>371</w:t>
            </w:r>
          </w:p>
        </w:tc>
        <w:tc>
          <w:tcPr>
            <w:tcW w:w="3423" w:type="dxa"/>
          </w:tcPr>
          <w:p w14:paraId="77444346" w14:textId="26EF8704" w:rsidR="00034D00" w:rsidRPr="00034D00" w:rsidRDefault="00034D00" w:rsidP="00034D00">
            <w:pPr>
              <w:pStyle w:val="TableText"/>
              <w:ind w:left="57"/>
              <w:rPr>
                <w:rFonts w:cs="Segoe UI"/>
                <w:w w:val="105"/>
                <w:sz w:val="16"/>
                <w:szCs w:val="18"/>
              </w:rPr>
            </w:pPr>
            <w:r w:rsidRPr="00034D00">
              <w:rPr>
                <w:sz w:val="16"/>
                <w:szCs w:val="18"/>
              </w:rPr>
              <w:t>Impairment</w:t>
            </w:r>
            <w:r w:rsidRPr="00034D00">
              <w:rPr>
                <w:spacing w:val="9"/>
                <w:sz w:val="16"/>
                <w:szCs w:val="18"/>
              </w:rPr>
              <w:t xml:space="preserve"> </w:t>
            </w:r>
            <w:r w:rsidRPr="00034D00">
              <w:rPr>
                <w:sz w:val="16"/>
                <w:szCs w:val="18"/>
              </w:rPr>
              <w:t>loss</w:t>
            </w:r>
            <w:r w:rsidRPr="00034D00">
              <w:rPr>
                <w:spacing w:val="10"/>
                <w:sz w:val="16"/>
                <w:szCs w:val="18"/>
              </w:rPr>
              <w:t xml:space="preserve"> </w:t>
            </w:r>
            <w:r w:rsidRPr="00034D00">
              <w:rPr>
                <w:sz w:val="16"/>
                <w:szCs w:val="18"/>
              </w:rPr>
              <w:t>on</w:t>
            </w:r>
            <w:r w:rsidRPr="00034D00">
              <w:rPr>
                <w:spacing w:val="10"/>
                <w:sz w:val="16"/>
                <w:szCs w:val="18"/>
              </w:rPr>
              <w:t xml:space="preserve"> </w:t>
            </w:r>
            <w:r w:rsidRPr="00034D00">
              <w:rPr>
                <w:spacing w:val="-2"/>
                <w:sz w:val="16"/>
                <w:szCs w:val="18"/>
              </w:rPr>
              <w:t>receivables</w:t>
            </w:r>
          </w:p>
        </w:tc>
        <w:tc>
          <w:tcPr>
            <w:tcW w:w="1195" w:type="dxa"/>
          </w:tcPr>
          <w:p w14:paraId="10D5D3A4" w14:textId="38C04BBC" w:rsidR="00034D00" w:rsidRPr="00034D00" w:rsidRDefault="00034D00" w:rsidP="00034D00">
            <w:pPr>
              <w:pStyle w:val="TableText"/>
              <w:ind w:right="170"/>
              <w:jc w:val="right"/>
              <w:rPr>
                <w:w w:val="110"/>
                <w:sz w:val="16"/>
                <w:szCs w:val="18"/>
              </w:rPr>
            </w:pPr>
            <w:r w:rsidRPr="00034D00">
              <w:rPr>
                <w:w w:val="110"/>
                <w:sz w:val="16"/>
                <w:szCs w:val="18"/>
              </w:rPr>
              <w:t>(40)</w:t>
            </w:r>
          </w:p>
        </w:tc>
        <w:tc>
          <w:tcPr>
            <w:tcW w:w="1356" w:type="dxa"/>
          </w:tcPr>
          <w:p w14:paraId="76250654" w14:textId="44263E8B" w:rsidR="00034D00" w:rsidRPr="00034D00" w:rsidRDefault="00034D00" w:rsidP="00034D00">
            <w:pPr>
              <w:pStyle w:val="TableText"/>
              <w:ind w:right="170"/>
              <w:jc w:val="right"/>
              <w:rPr>
                <w:w w:val="110"/>
                <w:sz w:val="16"/>
                <w:szCs w:val="18"/>
              </w:rPr>
            </w:pPr>
            <w:r w:rsidRPr="00034D00">
              <w:rPr>
                <w:w w:val="110"/>
                <w:sz w:val="16"/>
                <w:szCs w:val="18"/>
              </w:rPr>
              <w:t>–</w:t>
            </w:r>
          </w:p>
        </w:tc>
        <w:tc>
          <w:tcPr>
            <w:tcW w:w="1330" w:type="dxa"/>
          </w:tcPr>
          <w:p w14:paraId="0570B6DC" w14:textId="0A3A2CC5" w:rsidR="00034D00" w:rsidRPr="00034D00" w:rsidRDefault="00034D00" w:rsidP="00034D00">
            <w:pPr>
              <w:pStyle w:val="TableText"/>
              <w:ind w:right="170"/>
              <w:jc w:val="right"/>
              <w:rPr>
                <w:w w:val="110"/>
                <w:sz w:val="16"/>
                <w:szCs w:val="18"/>
              </w:rPr>
            </w:pPr>
            <w:r w:rsidRPr="00034D00">
              <w:rPr>
                <w:w w:val="110"/>
                <w:sz w:val="16"/>
                <w:szCs w:val="18"/>
              </w:rPr>
              <w:t>–</w:t>
            </w:r>
          </w:p>
        </w:tc>
      </w:tr>
      <w:tr w:rsidR="00034D00" w14:paraId="24BAA209" w14:textId="77777777" w:rsidTr="00FC5289">
        <w:trPr>
          <w:trHeight w:val="359"/>
        </w:trPr>
        <w:tc>
          <w:tcPr>
            <w:tcW w:w="1246" w:type="dxa"/>
          </w:tcPr>
          <w:p w14:paraId="09061351" w14:textId="19A86406" w:rsidR="00034D00" w:rsidRPr="00FC5289" w:rsidRDefault="00034D00" w:rsidP="00034D00">
            <w:pPr>
              <w:pStyle w:val="TableText"/>
              <w:ind w:right="170"/>
              <w:jc w:val="right"/>
              <w:rPr>
                <w:w w:val="110"/>
                <w:sz w:val="16"/>
                <w:szCs w:val="18"/>
              </w:rPr>
            </w:pPr>
            <w:r w:rsidRPr="00FC5289">
              <w:rPr>
                <w:w w:val="110"/>
                <w:sz w:val="16"/>
                <w:szCs w:val="18"/>
              </w:rPr>
              <w:t>8</w:t>
            </w:r>
          </w:p>
        </w:tc>
        <w:tc>
          <w:tcPr>
            <w:tcW w:w="3423" w:type="dxa"/>
          </w:tcPr>
          <w:p w14:paraId="491FB177" w14:textId="4E1B662A" w:rsidR="00034D00" w:rsidRPr="00034D00" w:rsidRDefault="00034D00" w:rsidP="00034D00">
            <w:pPr>
              <w:pStyle w:val="TableText"/>
              <w:ind w:left="57"/>
              <w:rPr>
                <w:rFonts w:cs="Segoe UI"/>
                <w:w w:val="105"/>
                <w:sz w:val="16"/>
                <w:szCs w:val="18"/>
              </w:rPr>
            </w:pPr>
            <w:r w:rsidRPr="00034D00">
              <w:rPr>
                <w:sz w:val="16"/>
                <w:szCs w:val="18"/>
              </w:rPr>
              <w:t>Net</w:t>
            </w:r>
            <w:r w:rsidRPr="00034D00">
              <w:rPr>
                <w:spacing w:val="-14"/>
                <w:sz w:val="16"/>
                <w:szCs w:val="18"/>
              </w:rPr>
              <w:t xml:space="preserve"> </w:t>
            </w:r>
            <w:r w:rsidRPr="00034D00">
              <w:rPr>
                <w:sz w:val="16"/>
                <w:szCs w:val="18"/>
              </w:rPr>
              <w:t>loss</w:t>
            </w:r>
            <w:r w:rsidRPr="00034D00">
              <w:rPr>
                <w:spacing w:val="-14"/>
                <w:sz w:val="16"/>
                <w:szCs w:val="18"/>
              </w:rPr>
              <w:t xml:space="preserve"> </w:t>
            </w:r>
            <w:r w:rsidRPr="00034D00">
              <w:rPr>
                <w:sz w:val="16"/>
                <w:szCs w:val="18"/>
              </w:rPr>
              <w:t>on</w:t>
            </w:r>
            <w:r w:rsidRPr="00034D00">
              <w:rPr>
                <w:spacing w:val="-14"/>
                <w:sz w:val="16"/>
                <w:szCs w:val="18"/>
              </w:rPr>
              <w:t xml:space="preserve"> </w:t>
            </w:r>
            <w:r w:rsidRPr="00034D00">
              <w:rPr>
                <w:sz w:val="16"/>
                <w:szCs w:val="18"/>
              </w:rPr>
              <w:t>sale/disposal</w:t>
            </w:r>
            <w:r w:rsidRPr="00034D00">
              <w:rPr>
                <w:spacing w:val="-14"/>
                <w:sz w:val="16"/>
                <w:szCs w:val="18"/>
              </w:rPr>
              <w:t xml:space="preserve"> </w:t>
            </w:r>
            <w:r w:rsidRPr="00034D00">
              <w:rPr>
                <w:sz w:val="16"/>
                <w:szCs w:val="18"/>
              </w:rPr>
              <w:t>of</w:t>
            </w:r>
            <w:r w:rsidRPr="00034D00">
              <w:rPr>
                <w:spacing w:val="-14"/>
                <w:sz w:val="16"/>
                <w:szCs w:val="18"/>
              </w:rPr>
              <w:t xml:space="preserve"> </w:t>
            </w:r>
            <w:r w:rsidRPr="00034D00">
              <w:rPr>
                <w:sz w:val="16"/>
                <w:szCs w:val="18"/>
              </w:rPr>
              <w:t>property,</w:t>
            </w:r>
            <w:r w:rsidRPr="00034D00">
              <w:rPr>
                <w:spacing w:val="-14"/>
                <w:sz w:val="16"/>
                <w:szCs w:val="18"/>
              </w:rPr>
              <w:t xml:space="preserve"> </w:t>
            </w:r>
            <w:r w:rsidRPr="00034D00">
              <w:rPr>
                <w:sz w:val="16"/>
                <w:szCs w:val="18"/>
              </w:rPr>
              <w:t xml:space="preserve">plant </w:t>
            </w:r>
            <w:r w:rsidRPr="00034D00">
              <w:rPr>
                <w:w w:val="105"/>
                <w:sz w:val="16"/>
                <w:szCs w:val="18"/>
              </w:rPr>
              <w:t>and</w:t>
            </w:r>
            <w:r w:rsidRPr="00034D00">
              <w:rPr>
                <w:spacing w:val="-13"/>
                <w:w w:val="105"/>
                <w:sz w:val="16"/>
                <w:szCs w:val="18"/>
              </w:rPr>
              <w:t xml:space="preserve"> </w:t>
            </w:r>
            <w:r w:rsidRPr="00034D00">
              <w:rPr>
                <w:w w:val="105"/>
                <w:sz w:val="16"/>
                <w:szCs w:val="18"/>
              </w:rPr>
              <w:t>equipment</w:t>
            </w:r>
          </w:p>
        </w:tc>
        <w:tc>
          <w:tcPr>
            <w:tcW w:w="1195" w:type="dxa"/>
          </w:tcPr>
          <w:p w14:paraId="5FE7EE0E" w14:textId="74D445F9" w:rsidR="00034D00" w:rsidRPr="00034D00" w:rsidRDefault="00034D00" w:rsidP="00034D00">
            <w:pPr>
              <w:pStyle w:val="TableText"/>
              <w:ind w:right="170"/>
              <w:jc w:val="right"/>
              <w:rPr>
                <w:w w:val="110"/>
                <w:sz w:val="16"/>
                <w:szCs w:val="18"/>
              </w:rPr>
            </w:pPr>
            <w:r w:rsidRPr="00034D00">
              <w:rPr>
                <w:w w:val="110"/>
                <w:sz w:val="16"/>
                <w:szCs w:val="18"/>
              </w:rPr>
              <w:t>–</w:t>
            </w:r>
          </w:p>
        </w:tc>
        <w:tc>
          <w:tcPr>
            <w:tcW w:w="1356" w:type="dxa"/>
          </w:tcPr>
          <w:p w14:paraId="5FA48865" w14:textId="0E8D5B72" w:rsidR="00034D00" w:rsidRPr="00034D00" w:rsidRDefault="00034D00" w:rsidP="00034D00">
            <w:pPr>
              <w:pStyle w:val="TableText"/>
              <w:ind w:right="170"/>
              <w:jc w:val="right"/>
              <w:rPr>
                <w:w w:val="110"/>
                <w:sz w:val="16"/>
                <w:szCs w:val="18"/>
              </w:rPr>
            </w:pPr>
            <w:r w:rsidRPr="00034D00">
              <w:rPr>
                <w:w w:val="110"/>
                <w:sz w:val="16"/>
                <w:szCs w:val="18"/>
              </w:rPr>
              <w:t>–</w:t>
            </w:r>
          </w:p>
        </w:tc>
        <w:tc>
          <w:tcPr>
            <w:tcW w:w="1330" w:type="dxa"/>
          </w:tcPr>
          <w:p w14:paraId="46116774" w14:textId="5FF9CCCC" w:rsidR="00034D00" w:rsidRPr="00034D00" w:rsidRDefault="00034D00" w:rsidP="00034D00">
            <w:pPr>
              <w:pStyle w:val="TableText"/>
              <w:ind w:right="170"/>
              <w:jc w:val="right"/>
              <w:rPr>
                <w:w w:val="110"/>
                <w:sz w:val="16"/>
                <w:szCs w:val="18"/>
              </w:rPr>
            </w:pPr>
            <w:r w:rsidRPr="00034D00">
              <w:rPr>
                <w:w w:val="110"/>
                <w:sz w:val="16"/>
                <w:szCs w:val="18"/>
              </w:rPr>
              <w:t>-</w:t>
            </w:r>
          </w:p>
        </w:tc>
      </w:tr>
      <w:tr w:rsidR="00034D00" w14:paraId="72C99C6E" w14:textId="77777777" w:rsidTr="00FC5289">
        <w:trPr>
          <w:trHeight w:val="359"/>
        </w:trPr>
        <w:tc>
          <w:tcPr>
            <w:tcW w:w="1246" w:type="dxa"/>
          </w:tcPr>
          <w:p w14:paraId="26E70565" w14:textId="6C11F778" w:rsidR="00034D00" w:rsidRPr="00FC5289" w:rsidRDefault="00034D00" w:rsidP="00034D00">
            <w:pPr>
              <w:pStyle w:val="TableText"/>
              <w:ind w:right="170"/>
              <w:jc w:val="right"/>
              <w:rPr>
                <w:w w:val="110"/>
                <w:sz w:val="16"/>
                <w:szCs w:val="18"/>
              </w:rPr>
            </w:pPr>
            <w:r w:rsidRPr="00FC5289">
              <w:rPr>
                <w:w w:val="110"/>
                <w:sz w:val="16"/>
                <w:szCs w:val="18"/>
              </w:rPr>
              <w:t>3,433*</w:t>
            </w:r>
          </w:p>
        </w:tc>
        <w:tc>
          <w:tcPr>
            <w:tcW w:w="3423" w:type="dxa"/>
          </w:tcPr>
          <w:p w14:paraId="07C6AA2B" w14:textId="0C2B3E90" w:rsidR="00034D00" w:rsidRPr="00034D00" w:rsidRDefault="00034D00" w:rsidP="00034D00">
            <w:pPr>
              <w:pStyle w:val="TableText"/>
              <w:ind w:left="57"/>
              <w:rPr>
                <w:rFonts w:cs="Segoe UI"/>
                <w:w w:val="105"/>
                <w:sz w:val="16"/>
                <w:szCs w:val="18"/>
              </w:rPr>
            </w:pPr>
            <w:r w:rsidRPr="00034D00">
              <w:rPr>
                <w:sz w:val="16"/>
                <w:szCs w:val="18"/>
              </w:rPr>
              <w:t>Other</w:t>
            </w:r>
            <w:r w:rsidRPr="00034D00">
              <w:rPr>
                <w:spacing w:val="-5"/>
                <w:sz w:val="16"/>
                <w:szCs w:val="18"/>
              </w:rPr>
              <w:t xml:space="preserve"> </w:t>
            </w:r>
            <w:r w:rsidRPr="00034D00">
              <w:rPr>
                <w:spacing w:val="-2"/>
                <w:sz w:val="16"/>
                <w:szCs w:val="18"/>
              </w:rPr>
              <w:t>expenses</w:t>
            </w:r>
          </w:p>
        </w:tc>
        <w:tc>
          <w:tcPr>
            <w:tcW w:w="1195" w:type="dxa"/>
          </w:tcPr>
          <w:p w14:paraId="6B7AE91E" w14:textId="62C89257" w:rsidR="00034D00" w:rsidRPr="00034D00" w:rsidRDefault="00034D00" w:rsidP="00034D00">
            <w:pPr>
              <w:pStyle w:val="TableText"/>
              <w:ind w:right="170"/>
              <w:jc w:val="right"/>
              <w:rPr>
                <w:w w:val="110"/>
                <w:sz w:val="16"/>
                <w:szCs w:val="18"/>
              </w:rPr>
            </w:pPr>
            <w:r w:rsidRPr="00034D00">
              <w:rPr>
                <w:w w:val="110"/>
                <w:sz w:val="16"/>
                <w:szCs w:val="18"/>
              </w:rPr>
              <w:t>1,421</w:t>
            </w:r>
          </w:p>
        </w:tc>
        <w:tc>
          <w:tcPr>
            <w:tcW w:w="1356" w:type="dxa"/>
          </w:tcPr>
          <w:p w14:paraId="654E1843" w14:textId="43A2FEE7" w:rsidR="00034D00" w:rsidRPr="00034D00" w:rsidRDefault="00034D00" w:rsidP="00034D00">
            <w:pPr>
              <w:pStyle w:val="TableText"/>
              <w:ind w:right="170"/>
              <w:jc w:val="right"/>
              <w:rPr>
                <w:w w:val="110"/>
                <w:sz w:val="16"/>
                <w:szCs w:val="18"/>
              </w:rPr>
            </w:pPr>
            <w:r w:rsidRPr="00034D00">
              <w:rPr>
                <w:w w:val="110"/>
                <w:sz w:val="16"/>
                <w:szCs w:val="18"/>
              </w:rPr>
              <w:t>712</w:t>
            </w:r>
          </w:p>
        </w:tc>
        <w:tc>
          <w:tcPr>
            <w:tcW w:w="1330" w:type="dxa"/>
          </w:tcPr>
          <w:p w14:paraId="00059FA1" w14:textId="5F19C1F4" w:rsidR="00034D00" w:rsidRPr="00034D00" w:rsidRDefault="00034D00" w:rsidP="00034D00">
            <w:pPr>
              <w:pStyle w:val="TableText"/>
              <w:ind w:right="170"/>
              <w:jc w:val="right"/>
              <w:rPr>
                <w:w w:val="110"/>
                <w:sz w:val="16"/>
                <w:szCs w:val="18"/>
              </w:rPr>
            </w:pPr>
            <w:r w:rsidRPr="00034D00">
              <w:rPr>
                <w:w w:val="110"/>
                <w:sz w:val="16"/>
                <w:szCs w:val="18"/>
              </w:rPr>
              <w:t>506</w:t>
            </w:r>
          </w:p>
        </w:tc>
      </w:tr>
      <w:tr w:rsidR="00034D00" w:rsidRPr="00034D00" w14:paraId="2181D83F" w14:textId="77777777" w:rsidTr="00FC5289">
        <w:trPr>
          <w:trHeight w:val="344"/>
        </w:trPr>
        <w:tc>
          <w:tcPr>
            <w:tcW w:w="1246" w:type="dxa"/>
            <w:tcBorders>
              <w:top w:val="single" w:sz="4" w:space="0" w:color="A6A6A6" w:themeColor="background1" w:themeShade="A6"/>
              <w:left w:val="nil"/>
              <w:bottom w:val="single" w:sz="4" w:space="0" w:color="A6A6A6" w:themeColor="background1" w:themeShade="A6"/>
              <w:right w:val="nil"/>
            </w:tcBorders>
          </w:tcPr>
          <w:p w14:paraId="0B889C81" w14:textId="084FA6C4" w:rsidR="00034D00" w:rsidRPr="00034D00" w:rsidRDefault="00034D00" w:rsidP="00034D00">
            <w:pPr>
              <w:pStyle w:val="TableText"/>
              <w:ind w:right="170"/>
              <w:jc w:val="right"/>
              <w:rPr>
                <w:b/>
                <w:bCs/>
                <w:w w:val="110"/>
                <w:sz w:val="16"/>
                <w:szCs w:val="18"/>
              </w:rPr>
            </w:pPr>
            <w:r w:rsidRPr="00034D00">
              <w:rPr>
                <w:b/>
                <w:bCs/>
                <w:w w:val="110"/>
                <w:sz w:val="16"/>
                <w:szCs w:val="18"/>
              </w:rPr>
              <w:t>164,665</w:t>
            </w:r>
          </w:p>
        </w:tc>
        <w:tc>
          <w:tcPr>
            <w:tcW w:w="3423" w:type="dxa"/>
            <w:tcBorders>
              <w:top w:val="single" w:sz="4" w:space="0" w:color="A6A6A6" w:themeColor="background1" w:themeShade="A6"/>
              <w:left w:val="nil"/>
              <w:bottom w:val="single" w:sz="4" w:space="0" w:color="A6A6A6" w:themeColor="background1" w:themeShade="A6"/>
              <w:right w:val="nil"/>
            </w:tcBorders>
          </w:tcPr>
          <w:p w14:paraId="12E8BA56" w14:textId="18BC6EE9" w:rsidR="00034D00" w:rsidRPr="00034D00" w:rsidRDefault="00034D00" w:rsidP="00034D00">
            <w:pPr>
              <w:pStyle w:val="TableParagraph"/>
              <w:spacing w:before="60" w:after="60"/>
              <w:ind w:left="-42" w:firstLine="99"/>
              <w:rPr>
                <w:rFonts w:ascii="Segoe UI" w:hAnsi="Segoe UI" w:cs="Segoe UI"/>
                <w:b/>
                <w:bCs/>
                <w:w w:val="105"/>
                <w:sz w:val="16"/>
                <w:szCs w:val="16"/>
              </w:rPr>
            </w:pPr>
            <w:r w:rsidRPr="00034D00">
              <w:rPr>
                <w:rFonts w:ascii="Segoe UI" w:hAnsi="Segoe UI" w:cs="Segoe UI"/>
                <w:b/>
                <w:bCs/>
                <w:w w:val="105"/>
                <w:sz w:val="16"/>
                <w:szCs w:val="16"/>
              </w:rPr>
              <w:t>Total other expenses</w:t>
            </w:r>
          </w:p>
        </w:tc>
        <w:tc>
          <w:tcPr>
            <w:tcW w:w="1195" w:type="dxa"/>
            <w:tcBorders>
              <w:top w:val="single" w:sz="4" w:space="0" w:color="A6A6A6" w:themeColor="background1" w:themeShade="A6"/>
              <w:left w:val="nil"/>
              <w:bottom w:val="single" w:sz="4" w:space="0" w:color="A6A6A6" w:themeColor="background1" w:themeShade="A6"/>
              <w:right w:val="nil"/>
            </w:tcBorders>
          </w:tcPr>
          <w:p w14:paraId="054134EF" w14:textId="7A3285E7" w:rsidR="00034D00" w:rsidRPr="00034D00" w:rsidRDefault="00034D00" w:rsidP="00034D00">
            <w:pPr>
              <w:pStyle w:val="TableText"/>
              <w:ind w:right="170"/>
              <w:jc w:val="right"/>
              <w:rPr>
                <w:b/>
                <w:bCs/>
                <w:w w:val="110"/>
                <w:sz w:val="16"/>
                <w:szCs w:val="18"/>
              </w:rPr>
            </w:pPr>
            <w:r w:rsidRPr="00034D00">
              <w:rPr>
                <w:b/>
                <w:bCs/>
                <w:w w:val="110"/>
                <w:sz w:val="16"/>
                <w:szCs w:val="18"/>
              </w:rPr>
              <w:t>140,362</w:t>
            </w:r>
          </w:p>
        </w:tc>
        <w:tc>
          <w:tcPr>
            <w:tcW w:w="1356" w:type="dxa"/>
            <w:tcBorders>
              <w:top w:val="single" w:sz="4" w:space="0" w:color="A6A6A6" w:themeColor="background1" w:themeShade="A6"/>
              <w:left w:val="nil"/>
              <w:bottom w:val="single" w:sz="4" w:space="0" w:color="A6A6A6" w:themeColor="background1" w:themeShade="A6"/>
              <w:right w:val="nil"/>
            </w:tcBorders>
          </w:tcPr>
          <w:p w14:paraId="31987770" w14:textId="7F47EE11" w:rsidR="00034D00" w:rsidRPr="00034D00" w:rsidRDefault="00034D00" w:rsidP="00034D00">
            <w:pPr>
              <w:pStyle w:val="TableText"/>
              <w:ind w:right="170"/>
              <w:jc w:val="right"/>
              <w:rPr>
                <w:b/>
                <w:bCs/>
                <w:w w:val="110"/>
                <w:sz w:val="16"/>
                <w:szCs w:val="18"/>
              </w:rPr>
            </w:pPr>
            <w:r w:rsidRPr="00034D00">
              <w:rPr>
                <w:b/>
                <w:bCs/>
                <w:w w:val="110"/>
                <w:sz w:val="16"/>
                <w:szCs w:val="18"/>
              </w:rPr>
              <w:t>137,822</w:t>
            </w:r>
          </w:p>
        </w:tc>
        <w:tc>
          <w:tcPr>
            <w:tcW w:w="1330" w:type="dxa"/>
            <w:tcBorders>
              <w:top w:val="single" w:sz="4" w:space="0" w:color="A6A6A6" w:themeColor="background1" w:themeShade="A6"/>
              <w:left w:val="nil"/>
              <w:bottom w:val="single" w:sz="4" w:space="0" w:color="A6A6A6" w:themeColor="background1" w:themeShade="A6"/>
              <w:right w:val="nil"/>
            </w:tcBorders>
          </w:tcPr>
          <w:p w14:paraId="412AC985" w14:textId="05850BD3" w:rsidR="00034D00" w:rsidRPr="00034D00" w:rsidRDefault="00034D00" w:rsidP="00034D00">
            <w:pPr>
              <w:pStyle w:val="TableText"/>
              <w:ind w:right="170"/>
              <w:jc w:val="right"/>
              <w:rPr>
                <w:b/>
                <w:bCs/>
                <w:w w:val="110"/>
                <w:sz w:val="16"/>
                <w:szCs w:val="18"/>
              </w:rPr>
            </w:pPr>
            <w:r w:rsidRPr="00034D00">
              <w:rPr>
                <w:b/>
                <w:bCs/>
                <w:w w:val="110"/>
                <w:sz w:val="16"/>
                <w:szCs w:val="18"/>
              </w:rPr>
              <w:t>114,720</w:t>
            </w:r>
          </w:p>
        </w:tc>
      </w:tr>
    </w:tbl>
    <w:p w14:paraId="2113F9DB" w14:textId="17C13C57" w:rsidR="00034D00" w:rsidRDefault="00034D00" w:rsidP="00034D00">
      <w:pPr>
        <w:pStyle w:val="Note"/>
        <w:ind w:left="284" w:hanging="284"/>
      </w:pPr>
      <w:r>
        <w:t xml:space="preserve">* </w:t>
      </w:r>
      <w:r>
        <w:tab/>
        <w:t>Other expenses have been restated for prior years as the expenditure for insurance and repairs and maintenance have been separately disclosed. Courier costs has been included in other expenses.</w:t>
      </w:r>
    </w:p>
    <w:p w14:paraId="166501D4" w14:textId="6B34A720" w:rsidR="00034D00" w:rsidRDefault="00034D00" w:rsidP="00034D00">
      <w:pPr>
        <w:pStyle w:val="Note"/>
        <w:ind w:left="284" w:hanging="284"/>
      </w:pPr>
      <w:r>
        <w:t xml:space="preserve">** </w:t>
      </w:r>
      <w:r>
        <w:tab/>
        <w:t>Audit New Zealand are our appointed auditors. The fees paid are for the audit of our financial statements and performance information only. No other services were provided by our auditors in 2024 (2023: nil).</w:t>
      </w:r>
    </w:p>
    <w:p w14:paraId="5D78714F" w14:textId="77777777" w:rsidR="00FC5289" w:rsidRDefault="00034D00" w:rsidP="00034D00">
      <w:pPr>
        <w:pStyle w:val="Note"/>
        <w:ind w:left="284" w:hanging="284"/>
      </w:pPr>
      <w:r>
        <w:t>*** Professional services fee includes $13.469 million (2023: $0.136 million) of funding provided to local authorities for water fluoridation, as a result of direction notices under the Health Act 1956.</w:t>
      </w:r>
    </w:p>
    <w:p w14:paraId="6FF1DC4D" w14:textId="77777777" w:rsidR="00034D00" w:rsidRPr="00034D00" w:rsidRDefault="00034D00" w:rsidP="00034D00">
      <w:pPr>
        <w:pStyle w:val="Heading4"/>
      </w:pPr>
      <w:r w:rsidRPr="00034D00">
        <w:t>Explanation of major variances against budget</w:t>
      </w:r>
    </w:p>
    <w:p w14:paraId="2BA0FE00" w14:textId="1E1B27A1" w:rsidR="00034D00" w:rsidRDefault="00034D00" w:rsidP="00F44A53">
      <w:r w:rsidRPr="00034D00">
        <w:t>Other expenses were $2.540 million higher than budget.</w:t>
      </w:r>
    </w:p>
    <w:p w14:paraId="12CC07BC" w14:textId="77777777" w:rsidR="00034D00" w:rsidRPr="00034D00" w:rsidRDefault="00034D00" w:rsidP="00F44A53"/>
    <w:p w14:paraId="5A3D19C5" w14:textId="38516C46" w:rsidR="00034D00" w:rsidRDefault="00034D00" w:rsidP="00F44A53">
      <w:r w:rsidRPr="00034D00">
        <w:t>Operating costs were based on historical experience and other factors that are believed to be reasonable in the circumstances. They are the Ministry’s best estimate of future costs that will be incurred at the time of preparing the 2023/24 Main Estimates.</w:t>
      </w:r>
    </w:p>
    <w:p w14:paraId="26B37D04" w14:textId="77777777" w:rsidR="00034D00" w:rsidRPr="00034D00" w:rsidRDefault="00034D00" w:rsidP="00F44A53"/>
    <w:p w14:paraId="75127740" w14:textId="4ECFD626" w:rsidR="00034D00" w:rsidRDefault="00034D00" w:rsidP="00F44A53">
      <w:r w:rsidRPr="00034D00">
        <w:t>Estimated year-end information for 2022/23 was used as the opening position for the 2023/24 budget. Significant changes during the year that impact on the year-end results against the budget are outlined in the Vote Health 2023/24 Supplementary Estimates.</w:t>
      </w:r>
    </w:p>
    <w:p w14:paraId="16574587" w14:textId="77777777" w:rsidR="00034D00" w:rsidRPr="00034D00" w:rsidRDefault="00034D00" w:rsidP="00F44A53"/>
    <w:p w14:paraId="6075C689" w14:textId="2D12F7BA" w:rsidR="00034D00" w:rsidRDefault="00034D00" w:rsidP="00F44A53">
      <w:r w:rsidRPr="00034D00">
        <w:t>Scientific advice expenditure was $20.036 million higher than budget due to additional funding received during 2023/24 for public health surveillance funding.</w:t>
      </w:r>
    </w:p>
    <w:p w14:paraId="01198173" w14:textId="214E7261" w:rsidR="00034D00" w:rsidRDefault="00034D00" w:rsidP="00F44A53">
      <w:r w:rsidRPr="00034D00">
        <w:lastRenderedPageBreak/>
        <w:t>The Ministry has worked to reduce expenditure on contractors and consultants in line with public sector expectations. The Ministry’s spend in this area was $8.155 million less than budget.</w:t>
      </w:r>
    </w:p>
    <w:p w14:paraId="1087E338" w14:textId="3C0E0BB2" w:rsidR="00034D00" w:rsidRDefault="00034D00" w:rsidP="007123AC">
      <w:pPr>
        <w:pStyle w:val="Heading3"/>
        <w:numPr>
          <w:ilvl w:val="6"/>
          <w:numId w:val="5"/>
        </w:numPr>
        <w:tabs>
          <w:tab w:val="num" w:pos="5040"/>
        </w:tabs>
        <w:ind w:left="709" w:hanging="709"/>
      </w:pPr>
      <w:r>
        <w:t>Receivables</w:t>
      </w:r>
    </w:p>
    <w:p w14:paraId="2938E92E" w14:textId="77777777" w:rsidR="000A1102" w:rsidRDefault="00034D00" w:rsidP="000A1102">
      <w:pPr>
        <w:pStyle w:val="Heading4"/>
      </w:pPr>
      <w:r>
        <w:t>Accounting policy</w:t>
      </w:r>
      <w:r>
        <w:tab/>
      </w:r>
    </w:p>
    <w:p w14:paraId="3FA447A6" w14:textId="7D014AEC" w:rsidR="00034D00" w:rsidRDefault="00034D00" w:rsidP="00034D00">
      <w:r>
        <w:t>Short-term receivables are measured at amortised cost and</w:t>
      </w:r>
      <w:r w:rsidR="000A1102">
        <w:t xml:space="preserve"> </w:t>
      </w:r>
      <w:r>
        <w:t>recorded at the amount less any provision for uncollectable amounts and an allowance for credit losses according to the requirements of PBE IFRS 9.</w:t>
      </w:r>
    </w:p>
    <w:p w14:paraId="10ADB5BA" w14:textId="77777777" w:rsidR="00034D00" w:rsidRDefault="00034D00" w:rsidP="00034D00"/>
    <w:p w14:paraId="636B18F6" w14:textId="77777777" w:rsidR="00034D00" w:rsidRDefault="00034D00" w:rsidP="00034D00">
      <w:r>
        <w:t>A receivable is considered to be uncollectable when there is evidence that the amount will not be fully collectable. The amount that is uncollectable is the difference between the carrying amount due and the present value of the amount expected to be collected.</w:t>
      </w:r>
    </w:p>
    <w:p w14:paraId="1889ECEC" w14:textId="69685BBF" w:rsidR="00034D00" w:rsidRDefault="00034D00" w:rsidP="00034D00">
      <w:pPr>
        <w:pStyle w:val="Heading4"/>
      </w:pPr>
      <w:r w:rsidRPr="00034D00">
        <w:t>Breakdown of receivables and further information</w:t>
      </w:r>
    </w:p>
    <w:tbl>
      <w:tblPr>
        <w:tblW w:w="8160" w:type="dxa"/>
        <w:tblLayout w:type="fixed"/>
        <w:tblCellMar>
          <w:left w:w="0" w:type="dxa"/>
          <w:right w:w="0" w:type="dxa"/>
        </w:tblCellMar>
        <w:tblLook w:val="01E0" w:firstRow="1" w:lastRow="1" w:firstColumn="1" w:lastColumn="1" w:noHBand="0" w:noVBand="0"/>
      </w:tblPr>
      <w:tblGrid>
        <w:gridCol w:w="1275"/>
        <w:gridCol w:w="5668"/>
        <w:gridCol w:w="1217"/>
      </w:tblGrid>
      <w:tr w:rsidR="00034D00" w14:paraId="76FB8713" w14:textId="77777777" w:rsidTr="00034D00">
        <w:trPr>
          <w:trHeight w:val="784"/>
        </w:trPr>
        <w:tc>
          <w:tcPr>
            <w:tcW w:w="1275" w:type="dxa"/>
            <w:shd w:val="clear" w:color="auto" w:fill="D9D9D9" w:themeFill="background1" w:themeFillShade="D9"/>
            <w:hideMark/>
          </w:tcPr>
          <w:p w14:paraId="5FD9EFCD" w14:textId="77777777" w:rsidR="00034D00" w:rsidRDefault="00034D00">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 xml:space="preserve">Actual </w:t>
            </w:r>
          </w:p>
          <w:p w14:paraId="46D18143" w14:textId="597C2E37" w:rsidR="00034D00" w:rsidRDefault="00034D00">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2023</w:t>
            </w:r>
          </w:p>
          <w:p w14:paraId="6E58AF7E" w14:textId="77777777" w:rsidR="00034D00" w:rsidRDefault="00034D00">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5668" w:type="dxa"/>
            <w:shd w:val="clear" w:color="auto" w:fill="D9D9D9" w:themeFill="background1" w:themeFillShade="D9"/>
          </w:tcPr>
          <w:p w14:paraId="5B5171E7" w14:textId="77777777" w:rsidR="00034D00" w:rsidRDefault="00034D00">
            <w:pPr>
              <w:pStyle w:val="TableParagraph"/>
              <w:rPr>
                <w:rFonts w:ascii="Times New Roman"/>
                <w:b/>
                <w:bCs/>
                <w:sz w:val="18"/>
              </w:rPr>
            </w:pPr>
          </w:p>
        </w:tc>
        <w:tc>
          <w:tcPr>
            <w:tcW w:w="1217" w:type="dxa"/>
            <w:shd w:val="clear" w:color="auto" w:fill="D9D9D9" w:themeFill="background1" w:themeFillShade="D9"/>
            <w:hideMark/>
          </w:tcPr>
          <w:p w14:paraId="5E8B91F1" w14:textId="77777777" w:rsidR="00034D00" w:rsidRDefault="00034D0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 xml:space="preserve">Actual </w:t>
            </w:r>
          </w:p>
          <w:p w14:paraId="2B6AC163" w14:textId="59D1D3A0" w:rsidR="00034D00" w:rsidRDefault="00034D0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3989CFF4" w14:textId="77777777" w:rsidR="00034D00" w:rsidRDefault="00034D0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r>
      <w:tr w:rsidR="00034D00" w14:paraId="25673BAE" w14:textId="77777777" w:rsidTr="00034D00">
        <w:trPr>
          <w:trHeight w:val="344"/>
        </w:trPr>
        <w:tc>
          <w:tcPr>
            <w:tcW w:w="1275" w:type="dxa"/>
            <w:tcBorders>
              <w:top w:val="nil"/>
              <w:left w:val="nil"/>
              <w:bottom w:val="single" w:sz="4" w:space="0" w:color="BFBFBF" w:themeColor="background1" w:themeShade="BF"/>
              <w:right w:val="nil"/>
            </w:tcBorders>
            <w:hideMark/>
          </w:tcPr>
          <w:p w14:paraId="2A79D007" w14:textId="39136130" w:rsidR="00034D00" w:rsidRDefault="00034D00" w:rsidP="00034D00">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9,278</w:t>
            </w:r>
          </w:p>
        </w:tc>
        <w:tc>
          <w:tcPr>
            <w:tcW w:w="5668" w:type="dxa"/>
            <w:tcBorders>
              <w:top w:val="nil"/>
              <w:left w:val="nil"/>
              <w:bottom w:val="single" w:sz="4" w:space="0" w:color="BFBFBF" w:themeColor="background1" w:themeShade="BF"/>
              <w:right w:val="nil"/>
            </w:tcBorders>
            <w:hideMark/>
          </w:tcPr>
          <w:p w14:paraId="1E2E5438" w14:textId="77777777" w:rsidR="00034D00" w:rsidRDefault="00034D00" w:rsidP="00034D00">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Gross receivables</w:t>
            </w:r>
          </w:p>
        </w:tc>
        <w:tc>
          <w:tcPr>
            <w:tcW w:w="1217" w:type="dxa"/>
            <w:tcBorders>
              <w:top w:val="nil"/>
              <w:left w:val="nil"/>
              <w:bottom w:val="single" w:sz="4" w:space="0" w:color="BFBFBF" w:themeColor="background1" w:themeShade="BF"/>
              <w:right w:val="nil"/>
            </w:tcBorders>
            <w:hideMark/>
          </w:tcPr>
          <w:p w14:paraId="72619A3E" w14:textId="2AB4C9DB" w:rsidR="00034D00" w:rsidRDefault="00034D00" w:rsidP="00034D00">
            <w:pPr>
              <w:pStyle w:val="TableParagraph"/>
              <w:spacing w:before="60" w:after="60"/>
              <w:ind w:left="-42" w:right="170" w:firstLine="99"/>
              <w:jc w:val="right"/>
              <w:rPr>
                <w:rFonts w:ascii="Segoe UI" w:hAnsi="Segoe UI" w:cs="Segoe UI"/>
                <w:w w:val="110"/>
                <w:sz w:val="16"/>
                <w:szCs w:val="16"/>
              </w:rPr>
            </w:pPr>
            <w:r w:rsidRPr="00034D00">
              <w:rPr>
                <w:rFonts w:ascii="Segoe UI" w:hAnsi="Segoe UI" w:cs="Segoe UI"/>
                <w:w w:val="110"/>
                <w:sz w:val="16"/>
                <w:szCs w:val="16"/>
              </w:rPr>
              <w:t>5,578</w:t>
            </w:r>
          </w:p>
        </w:tc>
      </w:tr>
      <w:tr w:rsidR="00034D00" w14:paraId="3DCC4196" w14:textId="77777777" w:rsidTr="00034D00">
        <w:trPr>
          <w:trHeight w:val="344"/>
        </w:trPr>
        <w:tc>
          <w:tcPr>
            <w:tcW w:w="1275" w:type="dxa"/>
            <w:tcBorders>
              <w:top w:val="single" w:sz="4" w:space="0" w:color="BFBFBF" w:themeColor="background1" w:themeShade="BF"/>
              <w:left w:val="nil"/>
              <w:bottom w:val="single" w:sz="4" w:space="0" w:color="BFBFBF" w:themeColor="background1" w:themeShade="BF"/>
              <w:right w:val="nil"/>
            </w:tcBorders>
            <w:hideMark/>
          </w:tcPr>
          <w:p w14:paraId="04693F22" w14:textId="6582C3BE" w:rsidR="00034D00" w:rsidRDefault="00034D00" w:rsidP="00034D00">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(371)</w:t>
            </w:r>
          </w:p>
        </w:tc>
        <w:tc>
          <w:tcPr>
            <w:tcW w:w="5668" w:type="dxa"/>
            <w:tcBorders>
              <w:top w:val="single" w:sz="4" w:space="0" w:color="BFBFBF" w:themeColor="background1" w:themeShade="BF"/>
              <w:left w:val="nil"/>
              <w:bottom w:val="single" w:sz="4" w:space="0" w:color="BFBFBF" w:themeColor="background1" w:themeShade="BF"/>
              <w:right w:val="nil"/>
            </w:tcBorders>
            <w:hideMark/>
          </w:tcPr>
          <w:p w14:paraId="54A7A250" w14:textId="77777777" w:rsidR="00034D00" w:rsidRDefault="00034D00" w:rsidP="00034D00">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Less: allowances for credit losses</w:t>
            </w:r>
          </w:p>
        </w:tc>
        <w:tc>
          <w:tcPr>
            <w:tcW w:w="1217" w:type="dxa"/>
            <w:tcBorders>
              <w:top w:val="single" w:sz="4" w:space="0" w:color="BFBFBF" w:themeColor="background1" w:themeShade="BF"/>
              <w:left w:val="nil"/>
              <w:bottom w:val="single" w:sz="4" w:space="0" w:color="BFBFBF" w:themeColor="background1" w:themeShade="BF"/>
              <w:right w:val="nil"/>
            </w:tcBorders>
            <w:hideMark/>
          </w:tcPr>
          <w:p w14:paraId="3E0AC249" w14:textId="3638CF96" w:rsidR="00034D00" w:rsidRDefault="00034D00" w:rsidP="00034D00">
            <w:pPr>
              <w:pStyle w:val="TableParagraph"/>
              <w:spacing w:before="60" w:after="60"/>
              <w:ind w:left="-42" w:right="170" w:firstLine="99"/>
              <w:jc w:val="right"/>
              <w:rPr>
                <w:rFonts w:ascii="Segoe UI" w:hAnsi="Segoe UI" w:cs="Segoe UI"/>
                <w:w w:val="110"/>
                <w:sz w:val="16"/>
                <w:szCs w:val="16"/>
              </w:rPr>
            </w:pPr>
            <w:r w:rsidRPr="00034D00">
              <w:rPr>
                <w:rFonts w:ascii="Segoe UI" w:hAnsi="Segoe UI" w:cs="Segoe UI"/>
                <w:w w:val="110"/>
                <w:sz w:val="16"/>
                <w:szCs w:val="16"/>
              </w:rPr>
              <w:t>(331)</w:t>
            </w:r>
          </w:p>
        </w:tc>
      </w:tr>
      <w:tr w:rsidR="00034D00" w14:paraId="27DA0128" w14:textId="77777777" w:rsidTr="00034D00">
        <w:trPr>
          <w:trHeight w:val="344"/>
        </w:trPr>
        <w:tc>
          <w:tcPr>
            <w:tcW w:w="1275" w:type="dxa"/>
            <w:tcBorders>
              <w:top w:val="single" w:sz="4" w:space="0" w:color="BFBFBF" w:themeColor="background1" w:themeShade="BF"/>
              <w:left w:val="nil"/>
              <w:bottom w:val="single" w:sz="4" w:space="0" w:color="BFBFBF" w:themeColor="background1" w:themeShade="BF"/>
              <w:right w:val="nil"/>
            </w:tcBorders>
            <w:hideMark/>
          </w:tcPr>
          <w:p w14:paraId="5FFCF3E1" w14:textId="5A8260F7" w:rsidR="00034D00" w:rsidRDefault="00034D00" w:rsidP="00034D00">
            <w:pPr>
              <w:pStyle w:val="TableParagraph"/>
              <w:spacing w:before="60" w:after="60"/>
              <w:ind w:left="-42" w:right="170" w:firstLine="99"/>
              <w:jc w:val="right"/>
              <w:rPr>
                <w:rFonts w:ascii="Segoe UI" w:hAnsi="Segoe UI" w:cs="Segoe UI"/>
                <w:b/>
                <w:bCs/>
                <w:sz w:val="16"/>
                <w:szCs w:val="16"/>
              </w:rPr>
            </w:pPr>
            <w:r>
              <w:rPr>
                <w:rFonts w:ascii="Segoe UI" w:hAnsi="Segoe UI" w:cs="Segoe UI"/>
                <w:b/>
                <w:bCs/>
                <w:w w:val="110"/>
                <w:sz w:val="16"/>
                <w:szCs w:val="16"/>
              </w:rPr>
              <w:t>8,907</w:t>
            </w:r>
          </w:p>
        </w:tc>
        <w:tc>
          <w:tcPr>
            <w:tcW w:w="5668" w:type="dxa"/>
            <w:tcBorders>
              <w:top w:val="single" w:sz="4" w:space="0" w:color="BFBFBF" w:themeColor="background1" w:themeShade="BF"/>
              <w:left w:val="nil"/>
              <w:bottom w:val="single" w:sz="4" w:space="0" w:color="BFBFBF" w:themeColor="background1" w:themeShade="BF"/>
              <w:right w:val="nil"/>
            </w:tcBorders>
            <w:hideMark/>
          </w:tcPr>
          <w:p w14:paraId="0624D728" w14:textId="77777777" w:rsidR="00034D00" w:rsidRDefault="00034D00" w:rsidP="00034D00">
            <w:pPr>
              <w:pStyle w:val="TableParagraph"/>
              <w:spacing w:before="60" w:after="60"/>
              <w:ind w:left="66" w:hanging="5"/>
              <w:rPr>
                <w:rFonts w:ascii="Segoe UI" w:hAnsi="Segoe UI" w:cs="Segoe UI"/>
                <w:b/>
                <w:bCs/>
                <w:w w:val="105"/>
                <w:sz w:val="16"/>
                <w:szCs w:val="16"/>
              </w:rPr>
            </w:pPr>
            <w:r>
              <w:rPr>
                <w:rFonts w:ascii="Segoe UI" w:hAnsi="Segoe UI" w:cs="Segoe UI"/>
                <w:b/>
                <w:bCs/>
                <w:w w:val="105"/>
                <w:sz w:val="16"/>
                <w:szCs w:val="16"/>
              </w:rPr>
              <w:t>Net receivables</w:t>
            </w:r>
          </w:p>
        </w:tc>
        <w:tc>
          <w:tcPr>
            <w:tcW w:w="1217" w:type="dxa"/>
            <w:tcBorders>
              <w:top w:val="single" w:sz="4" w:space="0" w:color="BFBFBF" w:themeColor="background1" w:themeShade="BF"/>
              <w:left w:val="nil"/>
              <w:bottom w:val="single" w:sz="4" w:space="0" w:color="BFBFBF" w:themeColor="background1" w:themeShade="BF"/>
              <w:right w:val="nil"/>
            </w:tcBorders>
            <w:hideMark/>
          </w:tcPr>
          <w:p w14:paraId="4E5ED9E5" w14:textId="278FF3AD" w:rsidR="00034D00" w:rsidRPr="00034D00" w:rsidRDefault="00034D00" w:rsidP="00034D00">
            <w:pPr>
              <w:pStyle w:val="TableParagraph"/>
              <w:spacing w:before="60" w:after="60"/>
              <w:ind w:left="-42" w:right="170" w:firstLine="99"/>
              <w:jc w:val="right"/>
              <w:rPr>
                <w:rFonts w:ascii="Segoe UI" w:hAnsi="Segoe UI" w:cs="Segoe UI"/>
                <w:b/>
                <w:bCs/>
                <w:w w:val="110"/>
                <w:sz w:val="16"/>
                <w:szCs w:val="16"/>
              </w:rPr>
            </w:pPr>
            <w:r w:rsidRPr="00034D00">
              <w:rPr>
                <w:rFonts w:ascii="Segoe UI" w:hAnsi="Segoe UI" w:cs="Segoe UI"/>
                <w:b/>
                <w:bCs/>
                <w:w w:val="110"/>
                <w:sz w:val="16"/>
                <w:szCs w:val="16"/>
              </w:rPr>
              <w:t>5,247</w:t>
            </w:r>
          </w:p>
        </w:tc>
      </w:tr>
      <w:tr w:rsidR="00034D00" w:rsidRPr="00034D00" w14:paraId="361CAF84" w14:textId="77777777" w:rsidTr="00034D00">
        <w:trPr>
          <w:trHeight w:val="344"/>
        </w:trPr>
        <w:tc>
          <w:tcPr>
            <w:tcW w:w="8160" w:type="dxa"/>
            <w:gridSpan w:val="3"/>
            <w:tcBorders>
              <w:top w:val="single" w:sz="4" w:space="0" w:color="BFBFBF" w:themeColor="background1" w:themeShade="BF"/>
              <w:left w:val="nil"/>
              <w:bottom w:val="single" w:sz="4" w:space="0" w:color="BFBFBF" w:themeColor="background1" w:themeShade="BF"/>
              <w:right w:val="nil"/>
            </w:tcBorders>
            <w:hideMark/>
          </w:tcPr>
          <w:p w14:paraId="716B22A3" w14:textId="77777777" w:rsidR="00034D00" w:rsidRPr="00034D00" w:rsidRDefault="00034D00">
            <w:pPr>
              <w:pStyle w:val="TableParagraph"/>
              <w:spacing w:before="60" w:after="60"/>
              <w:ind w:left="-42" w:right="152" w:firstLine="99"/>
              <w:rPr>
                <w:rFonts w:ascii="Segoe UI" w:hAnsi="Segoe UI" w:cs="Segoe UI"/>
                <w:w w:val="110"/>
                <w:sz w:val="16"/>
                <w:szCs w:val="16"/>
              </w:rPr>
            </w:pPr>
            <w:r w:rsidRPr="00034D00">
              <w:rPr>
                <w:rFonts w:ascii="Segoe UI" w:hAnsi="Segoe UI" w:cs="Segoe UI"/>
                <w:w w:val="110"/>
                <w:sz w:val="16"/>
                <w:szCs w:val="16"/>
              </w:rPr>
              <w:t>Receivables consist of:</w:t>
            </w:r>
          </w:p>
        </w:tc>
      </w:tr>
      <w:tr w:rsidR="00034D00" w14:paraId="4A82CB58" w14:textId="77777777" w:rsidTr="00034D00">
        <w:trPr>
          <w:trHeight w:val="344"/>
        </w:trPr>
        <w:tc>
          <w:tcPr>
            <w:tcW w:w="1275" w:type="dxa"/>
            <w:tcBorders>
              <w:top w:val="single" w:sz="4" w:space="0" w:color="BFBFBF" w:themeColor="background1" w:themeShade="BF"/>
              <w:left w:val="nil"/>
              <w:bottom w:val="single" w:sz="4" w:space="0" w:color="BFBFBF" w:themeColor="background1" w:themeShade="BF"/>
              <w:right w:val="nil"/>
            </w:tcBorders>
            <w:hideMark/>
          </w:tcPr>
          <w:p w14:paraId="05862ECD" w14:textId="70053D0F" w:rsidR="00034D00" w:rsidRDefault="00034D00" w:rsidP="00034D00">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8,907</w:t>
            </w:r>
          </w:p>
        </w:tc>
        <w:tc>
          <w:tcPr>
            <w:tcW w:w="5668" w:type="dxa"/>
            <w:tcBorders>
              <w:top w:val="single" w:sz="4" w:space="0" w:color="BFBFBF" w:themeColor="background1" w:themeShade="BF"/>
              <w:left w:val="nil"/>
              <w:bottom w:val="single" w:sz="4" w:space="0" w:color="BFBFBF" w:themeColor="background1" w:themeShade="BF"/>
              <w:right w:val="nil"/>
            </w:tcBorders>
            <w:hideMark/>
          </w:tcPr>
          <w:p w14:paraId="07BE2BC5" w14:textId="77777777" w:rsidR="00034D00" w:rsidRDefault="00034D00" w:rsidP="00034D00">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Receivables from registration and licence fees and other revenue</w:t>
            </w:r>
          </w:p>
        </w:tc>
        <w:tc>
          <w:tcPr>
            <w:tcW w:w="1217" w:type="dxa"/>
            <w:tcBorders>
              <w:top w:val="single" w:sz="4" w:space="0" w:color="BFBFBF" w:themeColor="background1" w:themeShade="BF"/>
              <w:left w:val="nil"/>
              <w:bottom w:val="single" w:sz="4" w:space="0" w:color="BFBFBF" w:themeColor="background1" w:themeShade="BF"/>
              <w:right w:val="nil"/>
            </w:tcBorders>
            <w:hideMark/>
          </w:tcPr>
          <w:p w14:paraId="25A1C802" w14:textId="0E5BDAD2" w:rsidR="00034D00" w:rsidRDefault="00034D00" w:rsidP="00034D00">
            <w:pPr>
              <w:pStyle w:val="TableParagraph"/>
              <w:spacing w:before="60" w:after="60"/>
              <w:ind w:left="-42" w:right="170" w:firstLine="99"/>
              <w:jc w:val="right"/>
              <w:rPr>
                <w:rFonts w:ascii="Segoe UI" w:hAnsi="Segoe UI" w:cs="Segoe UI"/>
                <w:w w:val="110"/>
                <w:sz w:val="16"/>
                <w:szCs w:val="16"/>
              </w:rPr>
            </w:pPr>
            <w:r w:rsidRPr="00034D00">
              <w:rPr>
                <w:rFonts w:ascii="Segoe UI" w:hAnsi="Segoe UI" w:cs="Segoe UI"/>
                <w:w w:val="110"/>
                <w:sz w:val="16"/>
                <w:szCs w:val="16"/>
              </w:rPr>
              <w:t>5,247</w:t>
            </w:r>
          </w:p>
        </w:tc>
      </w:tr>
      <w:tr w:rsidR="00034D00" w14:paraId="2BD71D36" w14:textId="77777777" w:rsidTr="00034D00">
        <w:trPr>
          <w:trHeight w:val="344"/>
        </w:trPr>
        <w:tc>
          <w:tcPr>
            <w:tcW w:w="1275" w:type="dxa"/>
            <w:tcBorders>
              <w:top w:val="single" w:sz="4" w:space="0" w:color="BFBFBF" w:themeColor="background1" w:themeShade="BF"/>
              <w:left w:val="nil"/>
              <w:bottom w:val="single" w:sz="4" w:space="0" w:color="BFBFBF" w:themeColor="background1" w:themeShade="BF"/>
              <w:right w:val="nil"/>
            </w:tcBorders>
            <w:hideMark/>
          </w:tcPr>
          <w:p w14:paraId="16BFC7E9" w14:textId="0369F775" w:rsidR="00034D00" w:rsidRDefault="00034D00" w:rsidP="00034D00">
            <w:pPr>
              <w:pStyle w:val="TableParagraph"/>
              <w:spacing w:before="60" w:after="60"/>
              <w:ind w:left="-42" w:right="170" w:firstLine="99"/>
              <w:jc w:val="right"/>
              <w:rPr>
                <w:rFonts w:ascii="Segoe UI" w:hAnsi="Segoe UI" w:cs="Segoe UI"/>
                <w:b/>
                <w:bCs/>
                <w:sz w:val="16"/>
                <w:szCs w:val="16"/>
              </w:rPr>
            </w:pPr>
            <w:r>
              <w:rPr>
                <w:rFonts w:ascii="Segoe UI" w:hAnsi="Segoe UI" w:cs="Segoe UI"/>
                <w:b/>
                <w:bCs/>
                <w:w w:val="110"/>
                <w:sz w:val="16"/>
                <w:szCs w:val="16"/>
              </w:rPr>
              <w:t>8,907</w:t>
            </w:r>
          </w:p>
        </w:tc>
        <w:tc>
          <w:tcPr>
            <w:tcW w:w="5668" w:type="dxa"/>
            <w:tcBorders>
              <w:top w:val="single" w:sz="4" w:space="0" w:color="BFBFBF" w:themeColor="background1" w:themeShade="BF"/>
              <w:left w:val="nil"/>
              <w:bottom w:val="single" w:sz="4" w:space="0" w:color="BFBFBF" w:themeColor="background1" w:themeShade="BF"/>
              <w:right w:val="nil"/>
            </w:tcBorders>
            <w:hideMark/>
          </w:tcPr>
          <w:p w14:paraId="5665006C" w14:textId="77777777" w:rsidR="00034D00" w:rsidRDefault="00034D00" w:rsidP="00034D00">
            <w:pPr>
              <w:pStyle w:val="TableParagraph"/>
              <w:spacing w:before="60" w:after="60"/>
              <w:ind w:left="66" w:hanging="5"/>
              <w:rPr>
                <w:rFonts w:ascii="Segoe UI" w:hAnsi="Segoe UI" w:cs="Segoe UI"/>
                <w:b/>
                <w:bCs/>
                <w:w w:val="105"/>
                <w:sz w:val="16"/>
                <w:szCs w:val="16"/>
              </w:rPr>
            </w:pPr>
            <w:r>
              <w:rPr>
                <w:rFonts w:ascii="Segoe UI" w:hAnsi="Segoe UI" w:cs="Segoe UI"/>
                <w:b/>
                <w:bCs/>
                <w:w w:val="105"/>
                <w:sz w:val="16"/>
                <w:szCs w:val="16"/>
              </w:rPr>
              <w:t>Total receivables</w:t>
            </w:r>
          </w:p>
        </w:tc>
        <w:tc>
          <w:tcPr>
            <w:tcW w:w="1217" w:type="dxa"/>
            <w:tcBorders>
              <w:top w:val="single" w:sz="4" w:space="0" w:color="BFBFBF" w:themeColor="background1" w:themeShade="BF"/>
              <w:left w:val="nil"/>
              <w:bottom w:val="single" w:sz="4" w:space="0" w:color="BFBFBF" w:themeColor="background1" w:themeShade="BF"/>
              <w:right w:val="nil"/>
            </w:tcBorders>
            <w:hideMark/>
          </w:tcPr>
          <w:p w14:paraId="7BCE13B6" w14:textId="4717BDD0" w:rsidR="00034D00" w:rsidRPr="00034D00" w:rsidRDefault="00034D00" w:rsidP="00034D00">
            <w:pPr>
              <w:pStyle w:val="TableParagraph"/>
              <w:spacing w:before="60" w:after="60"/>
              <w:ind w:left="-42" w:right="170" w:firstLine="99"/>
              <w:jc w:val="right"/>
              <w:rPr>
                <w:rFonts w:ascii="Segoe UI" w:hAnsi="Segoe UI" w:cs="Segoe UI"/>
                <w:b/>
                <w:bCs/>
                <w:w w:val="110"/>
                <w:sz w:val="16"/>
                <w:szCs w:val="16"/>
              </w:rPr>
            </w:pPr>
            <w:r w:rsidRPr="00034D00">
              <w:rPr>
                <w:rFonts w:ascii="Segoe UI" w:hAnsi="Segoe UI" w:cs="Segoe UI"/>
                <w:b/>
                <w:bCs/>
                <w:w w:val="110"/>
                <w:sz w:val="16"/>
                <w:szCs w:val="16"/>
              </w:rPr>
              <w:t>5,247</w:t>
            </w:r>
          </w:p>
        </w:tc>
      </w:tr>
    </w:tbl>
    <w:p w14:paraId="7A1A5EB5" w14:textId="77777777" w:rsidR="00034D00" w:rsidRDefault="00034D00" w:rsidP="00034D00"/>
    <w:p w14:paraId="5C6C934A" w14:textId="67AE60F6" w:rsidR="00034D00" w:rsidRDefault="00034D00" w:rsidP="00034D00">
      <w:r>
        <w:t xml:space="preserve">As </w:t>
      </w:r>
      <w:proofErr w:type="gramStart"/>
      <w:r>
        <w:t>at</w:t>
      </w:r>
      <w:proofErr w:type="gramEnd"/>
      <w:r>
        <w:t xml:space="preserve"> 30 June 2024, impairment of gross receivables has been calculated based on a review of specific overdue receivables.</w:t>
      </w:r>
    </w:p>
    <w:p w14:paraId="27CAB9FA" w14:textId="77777777" w:rsidR="00034D00" w:rsidRDefault="00034D00" w:rsidP="00034D00"/>
    <w:p w14:paraId="62FA7676" w14:textId="274D61EC" w:rsidR="00034D00" w:rsidRDefault="00034D00" w:rsidP="00034D00">
      <w:r>
        <w:t>There have been no changes during the reporting period in the estimation techniques or significant assumptions used in measuring the loss allowance.</w:t>
      </w:r>
    </w:p>
    <w:p w14:paraId="1C366F2F" w14:textId="124941BF" w:rsidR="00034D00" w:rsidRDefault="00034D00" w:rsidP="00034D00">
      <w:pPr>
        <w:pStyle w:val="Heading4"/>
      </w:pPr>
      <w:r w:rsidRPr="00034D00">
        <w:t>Ageing profile of receivables</w:t>
      </w:r>
    </w:p>
    <w:tbl>
      <w:tblPr>
        <w:tblW w:w="7920" w:type="dxa"/>
        <w:tblLayout w:type="fixed"/>
        <w:tblCellMar>
          <w:left w:w="0" w:type="dxa"/>
          <w:right w:w="0" w:type="dxa"/>
        </w:tblCellMar>
        <w:tblLook w:val="01E0" w:firstRow="1" w:lastRow="1" w:firstColumn="1" w:lastColumn="1" w:noHBand="0" w:noVBand="0"/>
      </w:tblPr>
      <w:tblGrid>
        <w:gridCol w:w="870"/>
        <w:gridCol w:w="1116"/>
        <w:gridCol w:w="820"/>
        <w:gridCol w:w="1986"/>
        <w:gridCol w:w="1097"/>
        <w:gridCol w:w="1200"/>
        <w:gridCol w:w="831"/>
      </w:tblGrid>
      <w:tr w:rsidR="00034D00" w14:paraId="6D8348A5" w14:textId="77777777" w:rsidTr="00034D00">
        <w:trPr>
          <w:trHeight w:val="187"/>
        </w:trPr>
        <w:tc>
          <w:tcPr>
            <w:tcW w:w="870" w:type="dxa"/>
            <w:shd w:val="clear" w:color="auto" w:fill="D9D9D9" w:themeFill="background1" w:themeFillShade="D9"/>
          </w:tcPr>
          <w:p w14:paraId="1F0D4DCD" w14:textId="77777777" w:rsidR="00034D00" w:rsidRDefault="00034D00">
            <w:pPr>
              <w:pStyle w:val="TableParagraph"/>
              <w:rPr>
                <w:rFonts w:ascii="Times New Roman"/>
                <w:sz w:val="18"/>
              </w:rPr>
            </w:pPr>
          </w:p>
        </w:tc>
        <w:tc>
          <w:tcPr>
            <w:tcW w:w="1116" w:type="dxa"/>
            <w:shd w:val="clear" w:color="auto" w:fill="D9D9D9" w:themeFill="background1" w:themeFillShade="D9"/>
            <w:hideMark/>
          </w:tcPr>
          <w:p w14:paraId="5C6E7E7F" w14:textId="6017FB29" w:rsidR="00034D00" w:rsidRDefault="00034D00">
            <w:pPr>
              <w:pStyle w:val="TableParagraph"/>
              <w:spacing w:before="60" w:after="60"/>
              <w:ind w:left="66" w:hanging="5"/>
              <w:jc w:val="center"/>
              <w:rPr>
                <w:rFonts w:ascii="Segoe UI" w:hAnsi="Segoe UI" w:cs="Segoe UI"/>
                <w:b/>
                <w:bCs/>
                <w:w w:val="105"/>
                <w:sz w:val="16"/>
                <w:szCs w:val="16"/>
              </w:rPr>
            </w:pPr>
            <w:r>
              <w:rPr>
                <w:rFonts w:ascii="Segoe UI" w:hAnsi="Segoe UI" w:cs="Segoe UI"/>
                <w:b/>
                <w:bCs/>
                <w:w w:val="105"/>
                <w:sz w:val="16"/>
                <w:szCs w:val="16"/>
              </w:rPr>
              <w:t>2023</w:t>
            </w:r>
          </w:p>
        </w:tc>
        <w:tc>
          <w:tcPr>
            <w:tcW w:w="820" w:type="dxa"/>
            <w:shd w:val="clear" w:color="auto" w:fill="D9D9D9" w:themeFill="background1" w:themeFillShade="D9"/>
          </w:tcPr>
          <w:p w14:paraId="15F7C3DA" w14:textId="77777777" w:rsidR="00034D00" w:rsidRDefault="00034D00">
            <w:pPr>
              <w:pStyle w:val="TableParagraph"/>
              <w:spacing w:before="60" w:after="60"/>
              <w:ind w:left="66" w:hanging="5"/>
              <w:jc w:val="center"/>
              <w:rPr>
                <w:rFonts w:ascii="Segoe UI" w:hAnsi="Segoe UI" w:cs="Segoe UI"/>
                <w:b/>
                <w:bCs/>
                <w:w w:val="105"/>
                <w:sz w:val="16"/>
                <w:szCs w:val="16"/>
              </w:rPr>
            </w:pPr>
          </w:p>
        </w:tc>
        <w:tc>
          <w:tcPr>
            <w:tcW w:w="1986" w:type="dxa"/>
            <w:shd w:val="clear" w:color="auto" w:fill="D9D9D9" w:themeFill="background1" w:themeFillShade="D9"/>
          </w:tcPr>
          <w:p w14:paraId="5D214362" w14:textId="77777777" w:rsidR="00034D00" w:rsidRDefault="00034D00">
            <w:pPr>
              <w:pStyle w:val="TableParagraph"/>
              <w:spacing w:before="60" w:after="60"/>
              <w:ind w:left="66" w:hanging="5"/>
              <w:jc w:val="center"/>
              <w:rPr>
                <w:rFonts w:ascii="Segoe UI" w:hAnsi="Segoe UI" w:cs="Segoe UI"/>
                <w:b/>
                <w:bCs/>
                <w:w w:val="105"/>
                <w:sz w:val="16"/>
                <w:szCs w:val="16"/>
              </w:rPr>
            </w:pPr>
          </w:p>
        </w:tc>
        <w:tc>
          <w:tcPr>
            <w:tcW w:w="1097" w:type="dxa"/>
            <w:shd w:val="clear" w:color="auto" w:fill="D9D9D9" w:themeFill="background1" w:themeFillShade="D9"/>
          </w:tcPr>
          <w:p w14:paraId="6022E17D" w14:textId="77777777" w:rsidR="00034D00" w:rsidRDefault="00034D00">
            <w:pPr>
              <w:pStyle w:val="TableParagraph"/>
              <w:spacing w:before="60" w:after="60"/>
              <w:ind w:left="66" w:hanging="5"/>
              <w:jc w:val="center"/>
              <w:rPr>
                <w:rFonts w:ascii="Segoe UI" w:hAnsi="Segoe UI" w:cs="Segoe UI"/>
                <w:b/>
                <w:bCs/>
                <w:w w:val="105"/>
                <w:sz w:val="16"/>
                <w:szCs w:val="16"/>
              </w:rPr>
            </w:pPr>
          </w:p>
        </w:tc>
        <w:tc>
          <w:tcPr>
            <w:tcW w:w="1200" w:type="dxa"/>
            <w:shd w:val="clear" w:color="auto" w:fill="D9D9D9" w:themeFill="background1" w:themeFillShade="D9"/>
            <w:hideMark/>
          </w:tcPr>
          <w:p w14:paraId="35315EEA" w14:textId="318F9852" w:rsidR="00034D00" w:rsidRDefault="00034D00">
            <w:pPr>
              <w:pStyle w:val="TableParagraph"/>
              <w:spacing w:before="60" w:after="60"/>
              <w:ind w:left="66" w:hanging="5"/>
              <w:jc w:val="center"/>
              <w:rPr>
                <w:rFonts w:ascii="Segoe UI" w:hAnsi="Segoe UI" w:cs="Segoe UI"/>
                <w:b/>
                <w:bCs/>
                <w:w w:val="105"/>
                <w:sz w:val="16"/>
                <w:szCs w:val="16"/>
              </w:rPr>
            </w:pPr>
            <w:r>
              <w:rPr>
                <w:rFonts w:ascii="Segoe UI" w:hAnsi="Segoe UI" w:cs="Segoe UI"/>
                <w:b/>
                <w:bCs/>
                <w:w w:val="105"/>
                <w:sz w:val="16"/>
                <w:szCs w:val="16"/>
              </w:rPr>
              <w:t>2024</w:t>
            </w:r>
          </w:p>
        </w:tc>
        <w:tc>
          <w:tcPr>
            <w:tcW w:w="831" w:type="dxa"/>
            <w:shd w:val="clear" w:color="auto" w:fill="D9D9D9" w:themeFill="background1" w:themeFillShade="D9"/>
          </w:tcPr>
          <w:p w14:paraId="4212FD11" w14:textId="77777777" w:rsidR="00034D00" w:rsidRDefault="00034D00">
            <w:pPr>
              <w:pStyle w:val="TableParagraph"/>
              <w:rPr>
                <w:rFonts w:ascii="Times New Roman"/>
                <w:sz w:val="18"/>
              </w:rPr>
            </w:pPr>
          </w:p>
        </w:tc>
      </w:tr>
      <w:tr w:rsidR="00034D00" w14:paraId="2809B63D" w14:textId="77777777" w:rsidTr="00034D00">
        <w:trPr>
          <w:trHeight w:val="533"/>
        </w:trPr>
        <w:tc>
          <w:tcPr>
            <w:tcW w:w="870" w:type="dxa"/>
            <w:shd w:val="clear" w:color="auto" w:fill="D9D9D9" w:themeFill="background1" w:themeFillShade="D9"/>
            <w:hideMark/>
          </w:tcPr>
          <w:p w14:paraId="6086C91E" w14:textId="77777777" w:rsidR="00034D00" w:rsidRDefault="00034D00">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Gross</w:t>
            </w:r>
          </w:p>
          <w:p w14:paraId="2DDE6262" w14:textId="77777777" w:rsidR="00034D00" w:rsidRDefault="00034D00">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1116" w:type="dxa"/>
            <w:shd w:val="clear" w:color="auto" w:fill="D9D9D9" w:themeFill="background1" w:themeFillShade="D9"/>
            <w:hideMark/>
          </w:tcPr>
          <w:p w14:paraId="47712550" w14:textId="77777777" w:rsidR="00034D00" w:rsidRDefault="00034D00">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Impairment</w:t>
            </w:r>
          </w:p>
          <w:p w14:paraId="5AB1547D" w14:textId="77777777" w:rsidR="00034D00" w:rsidRDefault="00034D00">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820" w:type="dxa"/>
            <w:shd w:val="clear" w:color="auto" w:fill="D9D9D9" w:themeFill="background1" w:themeFillShade="D9"/>
            <w:hideMark/>
          </w:tcPr>
          <w:p w14:paraId="600324DD" w14:textId="77777777" w:rsidR="00034D00" w:rsidRDefault="00034D00">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Net</w:t>
            </w:r>
          </w:p>
          <w:p w14:paraId="73AA09E0" w14:textId="77777777" w:rsidR="00034D00" w:rsidRDefault="00034D00">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1986" w:type="dxa"/>
            <w:shd w:val="clear" w:color="auto" w:fill="D9D9D9" w:themeFill="background1" w:themeFillShade="D9"/>
          </w:tcPr>
          <w:p w14:paraId="5D49BD2D" w14:textId="77777777" w:rsidR="00034D00" w:rsidRDefault="00034D00">
            <w:pPr>
              <w:pStyle w:val="TableParagraph"/>
              <w:rPr>
                <w:rFonts w:ascii="Century Gothic"/>
                <w:b/>
                <w:sz w:val="20"/>
              </w:rPr>
            </w:pPr>
          </w:p>
          <w:p w14:paraId="70EB4947" w14:textId="77777777" w:rsidR="00034D00" w:rsidRDefault="00034D00">
            <w:pPr>
              <w:pStyle w:val="TableParagraph"/>
              <w:spacing w:before="11"/>
              <w:rPr>
                <w:rFonts w:ascii="Century Gothic"/>
                <w:b/>
                <w:sz w:val="17"/>
              </w:rPr>
            </w:pPr>
          </w:p>
          <w:p w14:paraId="0D671225" w14:textId="77777777" w:rsidR="00034D00" w:rsidRDefault="00034D00">
            <w:pPr>
              <w:pStyle w:val="TableParagraph"/>
              <w:spacing w:line="20" w:lineRule="exact"/>
              <w:ind w:left="-7"/>
              <w:rPr>
                <w:rFonts w:ascii="Century Gothic"/>
                <w:sz w:val="2"/>
              </w:rPr>
            </w:pPr>
          </w:p>
        </w:tc>
        <w:tc>
          <w:tcPr>
            <w:tcW w:w="1097" w:type="dxa"/>
            <w:shd w:val="clear" w:color="auto" w:fill="D9D9D9" w:themeFill="background1" w:themeFillShade="D9"/>
            <w:hideMark/>
          </w:tcPr>
          <w:p w14:paraId="462FD7E7" w14:textId="77777777" w:rsidR="00034D00" w:rsidRDefault="00034D0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Gross</w:t>
            </w:r>
          </w:p>
          <w:p w14:paraId="347A972E" w14:textId="77777777" w:rsidR="00034D00" w:rsidRDefault="00034D0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200" w:type="dxa"/>
            <w:shd w:val="clear" w:color="auto" w:fill="D9D9D9" w:themeFill="background1" w:themeFillShade="D9"/>
            <w:hideMark/>
          </w:tcPr>
          <w:p w14:paraId="5E068684" w14:textId="77777777" w:rsidR="00034D00" w:rsidRDefault="00034D0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Impairment</w:t>
            </w:r>
          </w:p>
          <w:p w14:paraId="3B6368BE" w14:textId="77777777" w:rsidR="00034D00" w:rsidRDefault="00034D0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831" w:type="dxa"/>
            <w:shd w:val="clear" w:color="auto" w:fill="D9D9D9" w:themeFill="background1" w:themeFillShade="D9"/>
            <w:hideMark/>
          </w:tcPr>
          <w:p w14:paraId="6FB6255A" w14:textId="77777777" w:rsidR="00034D00" w:rsidRDefault="00034D0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Net</w:t>
            </w:r>
          </w:p>
          <w:p w14:paraId="39C3CFDA" w14:textId="77777777" w:rsidR="00034D00" w:rsidRDefault="00034D0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r>
      <w:tr w:rsidR="00034D00" w14:paraId="4591F543" w14:textId="77777777" w:rsidTr="00034D00">
        <w:trPr>
          <w:trHeight w:val="334"/>
        </w:trPr>
        <w:tc>
          <w:tcPr>
            <w:tcW w:w="870" w:type="dxa"/>
            <w:hideMark/>
          </w:tcPr>
          <w:p w14:paraId="17A1060C" w14:textId="484EFEA3" w:rsidR="00034D00" w:rsidRDefault="00034D00" w:rsidP="00034D00">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1,566</w:t>
            </w:r>
          </w:p>
        </w:tc>
        <w:tc>
          <w:tcPr>
            <w:tcW w:w="1116" w:type="dxa"/>
            <w:hideMark/>
          </w:tcPr>
          <w:p w14:paraId="1771C391" w14:textId="270218BA" w:rsidR="00034D00" w:rsidRDefault="00034D00" w:rsidP="00034D00">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w:t>
            </w:r>
          </w:p>
        </w:tc>
        <w:tc>
          <w:tcPr>
            <w:tcW w:w="820" w:type="dxa"/>
            <w:hideMark/>
          </w:tcPr>
          <w:p w14:paraId="026856EA" w14:textId="4FEE56E0" w:rsidR="00034D00" w:rsidRDefault="00034D00" w:rsidP="00034D00">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1,566</w:t>
            </w:r>
          </w:p>
        </w:tc>
        <w:tc>
          <w:tcPr>
            <w:tcW w:w="1986" w:type="dxa"/>
            <w:hideMark/>
          </w:tcPr>
          <w:p w14:paraId="77DAFC30" w14:textId="77777777" w:rsidR="00034D00" w:rsidRDefault="00034D00" w:rsidP="00034D00">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Not past due</w:t>
            </w:r>
          </w:p>
        </w:tc>
        <w:tc>
          <w:tcPr>
            <w:tcW w:w="1097" w:type="dxa"/>
            <w:hideMark/>
          </w:tcPr>
          <w:p w14:paraId="2709AB96" w14:textId="6BA21F50" w:rsidR="00034D00" w:rsidRDefault="00034D00" w:rsidP="00034D00">
            <w:pPr>
              <w:pStyle w:val="TableParagraph"/>
              <w:spacing w:before="60" w:after="60"/>
              <w:ind w:left="-42" w:right="170" w:firstLine="99"/>
              <w:jc w:val="right"/>
              <w:rPr>
                <w:rFonts w:ascii="Segoe UI" w:hAnsi="Segoe UI" w:cs="Segoe UI"/>
                <w:w w:val="110"/>
                <w:sz w:val="16"/>
                <w:szCs w:val="16"/>
              </w:rPr>
            </w:pPr>
            <w:r w:rsidRPr="00034D00">
              <w:rPr>
                <w:rFonts w:ascii="Segoe UI" w:hAnsi="Segoe UI" w:cs="Segoe UI"/>
                <w:w w:val="110"/>
                <w:sz w:val="16"/>
                <w:szCs w:val="16"/>
              </w:rPr>
              <w:t>3,789</w:t>
            </w:r>
          </w:p>
        </w:tc>
        <w:tc>
          <w:tcPr>
            <w:tcW w:w="1200" w:type="dxa"/>
            <w:hideMark/>
          </w:tcPr>
          <w:p w14:paraId="3908647F" w14:textId="7B4E14D0" w:rsidR="00034D00" w:rsidRDefault="00034D00" w:rsidP="00034D00">
            <w:pPr>
              <w:pStyle w:val="TableParagraph"/>
              <w:spacing w:before="60" w:after="60"/>
              <w:ind w:left="-42" w:right="170" w:firstLine="99"/>
              <w:jc w:val="right"/>
              <w:rPr>
                <w:rFonts w:ascii="Segoe UI" w:hAnsi="Segoe UI" w:cs="Segoe UI"/>
                <w:w w:val="110"/>
                <w:sz w:val="16"/>
                <w:szCs w:val="16"/>
              </w:rPr>
            </w:pPr>
            <w:r w:rsidRPr="00034D00">
              <w:rPr>
                <w:rFonts w:ascii="Segoe UI" w:hAnsi="Segoe UI" w:cs="Segoe UI"/>
                <w:w w:val="110"/>
                <w:sz w:val="16"/>
                <w:szCs w:val="16"/>
              </w:rPr>
              <w:t>–</w:t>
            </w:r>
          </w:p>
        </w:tc>
        <w:tc>
          <w:tcPr>
            <w:tcW w:w="831" w:type="dxa"/>
            <w:hideMark/>
          </w:tcPr>
          <w:p w14:paraId="12042F29" w14:textId="66598A06" w:rsidR="00034D00" w:rsidRDefault="00034D00" w:rsidP="00034D00">
            <w:pPr>
              <w:pStyle w:val="TableParagraph"/>
              <w:spacing w:before="60" w:after="60"/>
              <w:ind w:left="-42" w:right="170" w:firstLine="99"/>
              <w:jc w:val="right"/>
              <w:rPr>
                <w:rFonts w:ascii="Segoe UI" w:hAnsi="Segoe UI" w:cs="Segoe UI"/>
                <w:w w:val="110"/>
                <w:sz w:val="16"/>
                <w:szCs w:val="16"/>
              </w:rPr>
            </w:pPr>
            <w:r w:rsidRPr="00034D00">
              <w:rPr>
                <w:rFonts w:ascii="Segoe UI" w:hAnsi="Segoe UI" w:cs="Segoe UI"/>
                <w:w w:val="110"/>
                <w:sz w:val="16"/>
                <w:szCs w:val="16"/>
              </w:rPr>
              <w:t>3,789</w:t>
            </w:r>
          </w:p>
        </w:tc>
      </w:tr>
      <w:tr w:rsidR="00034D00" w14:paraId="3255707C" w14:textId="77777777" w:rsidTr="00034D00">
        <w:trPr>
          <w:trHeight w:val="359"/>
        </w:trPr>
        <w:tc>
          <w:tcPr>
            <w:tcW w:w="870" w:type="dxa"/>
            <w:hideMark/>
          </w:tcPr>
          <w:p w14:paraId="0B7ADC1E" w14:textId="1ACE96D4" w:rsidR="00034D00" w:rsidRDefault="00034D00" w:rsidP="00034D00">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1,950</w:t>
            </w:r>
          </w:p>
        </w:tc>
        <w:tc>
          <w:tcPr>
            <w:tcW w:w="1116" w:type="dxa"/>
            <w:hideMark/>
          </w:tcPr>
          <w:p w14:paraId="035B1709" w14:textId="14A729C4" w:rsidR="00034D00" w:rsidRDefault="00034D00" w:rsidP="00034D00">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w:t>
            </w:r>
          </w:p>
        </w:tc>
        <w:tc>
          <w:tcPr>
            <w:tcW w:w="820" w:type="dxa"/>
            <w:hideMark/>
          </w:tcPr>
          <w:p w14:paraId="588F6738" w14:textId="42FD176D" w:rsidR="00034D00" w:rsidRDefault="00034D00" w:rsidP="00034D00">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1,950</w:t>
            </w:r>
          </w:p>
        </w:tc>
        <w:tc>
          <w:tcPr>
            <w:tcW w:w="1986" w:type="dxa"/>
            <w:hideMark/>
          </w:tcPr>
          <w:p w14:paraId="1077BCF8" w14:textId="77777777" w:rsidR="00034D00" w:rsidRDefault="00034D00" w:rsidP="00034D00">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Past due 1 - 30 days</w:t>
            </w:r>
          </w:p>
        </w:tc>
        <w:tc>
          <w:tcPr>
            <w:tcW w:w="1097" w:type="dxa"/>
            <w:hideMark/>
          </w:tcPr>
          <w:p w14:paraId="5C991F9A" w14:textId="6AA3FE7B" w:rsidR="00034D00" w:rsidRDefault="00034D00" w:rsidP="00034D00">
            <w:pPr>
              <w:pStyle w:val="TableParagraph"/>
              <w:spacing w:before="60" w:after="60"/>
              <w:ind w:left="-42" w:right="170" w:firstLine="99"/>
              <w:jc w:val="right"/>
              <w:rPr>
                <w:rFonts w:ascii="Segoe UI" w:hAnsi="Segoe UI" w:cs="Segoe UI"/>
                <w:w w:val="110"/>
                <w:sz w:val="16"/>
                <w:szCs w:val="16"/>
              </w:rPr>
            </w:pPr>
            <w:r w:rsidRPr="00034D00">
              <w:rPr>
                <w:rFonts w:ascii="Segoe UI" w:hAnsi="Segoe UI" w:cs="Segoe UI"/>
                <w:w w:val="110"/>
                <w:sz w:val="16"/>
                <w:szCs w:val="16"/>
              </w:rPr>
              <w:t>261</w:t>
            </w:r>
          </w:p>
        </w:tc>
        <w:tc>
          <w:tcPr>
            <w:tcW w:w="1200" w:type="dxa"/>
            <w:hideMark/>
          </w:tcPr>
          <w:p w14:paraId="795E48E8" w14:textId="6CF19442" w:rsidR="00034D00" w:rsidRDefault="00034D00" w:rsidP="00034D00">
            <w:pPr>
              <w:pStyle w:val="TableParagraph"/>
              <w:spacing w:before="60" w:after="60"/>
              <w:ind w:left="-42" w:right="170" w:firstLine="99"/>
              <w:jc w:val="right"/>
              <w:rPr>
                <w:rFonts w:ascii="Segoe UI" w:hAnsi="Segoe UI" w:cs="Segoe UI"/>
                <w:w w:val="110"/>
                <w:sz w:val="16"/>
                <w:szCs w:val="16"/>
              </w:rPr>
            </w:pPr>
            <w:r w:rsidRPr="00034D00">
              <w:rPr>
                <w:rFonts w:ascii="Segoe UI" w:hAnsi="Segoe UI" w:cs="Segoe UI"/>
                <w:w w:val="110"/>
                <w:sz w:val="16"/>
                <w:szCs w:val="16"/>
              </w:rPr>
              <w:t>–</w:t>
            </w:r>
          </w:p>
        </w:tc>
        <w:tc>
          <w:tcPr>
            <w:tcW w:w="831" w:type="dxa"/>
            <w:hideMark/>
          </w:tcPr>
          <w:p w14:paraId="311FF70D" w14:textId="2661D327" w:rsidR="00034D00" w:rsidRDefault="00034D00" w:rsidP="00034D00">
            <w:pPr>
              <w:pStyle w:val="TableParagraph"/>
              <w:spacing w:before="60" w:after="60"/>
              <w:ind w:left="-42" w:right="170" w:firstLine="99"/>
              <w:jc w:val="right"/>
              <w:rPr>
                <w:rFonts w:ascii="Segoe UI" w:hAnsi="Segoe UI" w:cs="Segoe UI"/>
                <w:w w:val="110"/>
                <w:sz w:val="16"/>
                <w:szCs w:val="16"/>
              </w:rPr>
            </w:pPr>
            <w:r w:rsidRPr="00034D00">
              <w:rPr>
                <w:rFonts w:ascii="Segoe UI" w:hAnsi="Segoe UI" w:cs="Segoe UI"/>
                <w:w w:val="110"/>
                <w:sz w:val="16"/>
                <w:szCs w:val="16"/>
              </w:rPr>
              <w:t>261</w:t>
            </w:r>
          </w:p>
        </w:tc>
      </w:tr>
      <w:tr w:rsidR="00034D00" w14:paraId="01820C42" w14:textId="77777777" w:rsidTr="00034D00">
        <w:trPr>
          <w:trHeight w:val="359"/>
        </w:trPr>
        <w:tc>
          <w:tcPr>
            <w:tcW w:w="870" w:type="dxa"/>
            <w:hideMark/>
          </w:tcPr>
          <w:p w14:paraId="12C918D2" w14:textId="10734127" w:rsidR="00034D00" w:rsidRDefault="00034D00" w:rsidP="00034D00">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33</w:t>
            </w:r>
          </w:p>
        </w:tc>
        <w:tc>
          <w:tcPr>
            <w:tcW w:w="1116" w:type="dxa"/>
            <w:hideMark/>
          </w:tcPr>
          <w:p w14:paraId="47C9E69D" w14:textId="6F85C10B" w:rsidR="00034D00" w:rsidRDefault="00034D00" w:rsidP="00034D00">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w:t>
            </w:r>
          </w:p>
        </w:tc>
        <w:tc>
          <w:tcPr>
            <w:tcW w:w="820" w:type="dxa"/>
            <w:hideMark/>
          </w:tcPr>
          <w:p w14:paraId="27A0E2F6" w14:textId="63BA4F7F" w:rsidR="00034D00" w:rsidRDefault="00034D00" w:rsidP="00034D00">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33</w:t>
            </w:r>
          </w:p>
        </w:tc>
        <w:tc>
          <w:tcPr>
            <w:tcW w:w="1986" w:type="dxa"/>
            <w:hideMark/>
          </w:tcPr>
          <w:p w14:paraId="622FCD9C" w14:textId="77777777" w:rsidR="00034D00" w:rsidRDefault="00034D00" w:rsidP="00034D00">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Past due 31 - 60 days</w:t>
            </w:r>
          </w:p>
        </w:tc>
        <w:tc>
          <w:tcPr>
            <w:tcW w:w="1097" w:type="dxa"/>
            <w:hideMark/>
          </w:tcPr>
          <w:p w14:paraId="5EEFB622" w14:textId="7C27BDF1" w:rsidR="00034D00" w:rsidRDefault="00034D00" w:rsidP="00034D00">
            <w:pPr>
              <w:pStyle w:val="TableParagraph"/>
              <w:spacing w:before="60" w:after="60"/>
              <w:ind w:left="-42" w:right="170" w:firstLine="99"/>
              <w:jc w:val="right"/>
              <w:rPr>
                <w:rFonts w:ascii="Segoe UI" w:hAnsi="Segoe UI" w:cs="Segoe UI"/>
                <w:w w:val="110"/>
                <w:sz w:val="16"/>
                <w:szCs w:val="16"/>
              </w:rPr>
            </w:pPr>
            <w:r w:rsidRPr="00034D00">
              <w:rPr>
                <w:rFonts w:ascii="Segoe UI" w:hAnsi="Segoe UI" w:cs="Segoe UI"/>
                <w:w w:val="110"/>
                <w:sz w:val="16"/>
                <w:szCs w:val="16"/>
              </w:rPr>
              <w:t>86</w:t>
            </w:r>
          </w:p>
        </w:tc>
        <w:tc>
          <w:tcPr>
            <w:tcW w:w="1200" w:type="dxa"/>
            <w:hideMark/>
          </w:tcPr>
          <w:p w14:paraId="2D2B15BD" w14:textId="1CF175EE" w:rsidR="00034D00" w:rsidRDefault="00034D00" w:rsidP="00034D00">
            <w:pPr>
              <w:pStyle w:val="TableParagraph"/>
              <w:spacing w:before="60" w:after="60"/>
              <w:ind w:left="-42" w:right="170" w:firstLine="99"/>
              <w:jc w:val="right"/>
              <w:rPr>
                <w:rFonts w:ascii="Segoe UI" w:hAnsi="Segoe UI" w:cs="Segoe UI"/>
                <w:w w:val="110"/>
                <w:sz w:val="16"/>
                <w:szCs w:val="16"/>
              </w:rPr>
            </w:pPr>
            <w:r w:rsidRPr="00034D00">
              <w:rPr>
                <w:rFonts w:ascii="Segoe UI" w:hAnsi="Segoe UI" w:cs="Segoe UI"/>
                <w:w w:val="110"/>
                <w:sz w:val="16"/>
                <w:szCs w:val="16"/>
              </w:rPr>
              <w:t>–</w:t>
            </w:r>
          </w:p>
        </w:tc>
        <w:tc>
          <w:tcPr>
            <w:tcW w:w="831" w:type="dxa"/>
            <w:hideMark/>
          </w:tcPr>
          <w:p w14:paraId="68EDAFE6" w14:textId="7651D7A2" w:rsidR="00034D00" w:rsidRDefault="00034D00" w:rsidP="00034D00">
            <w:pPr>
              <w:pStyle w:val="TableParagraph"/>
              <w:spacing w:before="60" w:after="60"/>
              <w:ind w:left="-42" w:right="170" w:firstLine="99"/>
              <w:jc w:val="right"/>
              <w:rPr>
                <w:rFonts w:ascii="Segoe UI" w:hAnsi="Segoe UI" w:cs="Segoe UI"/>
                <w:w w:val="110"/>
                <w:sz w:val="16"/>
                <w:szCs w:val="16"/>
              </w:rPr>
            </w:pPr>
            <w:r w:rsidRPr="00034D00">
              <w:rPr>
                <w:rFonts w:ascii="Segoe UI" w:hAnsi="Segoe UI" w:cs="Segoe UI"/>
                <w:w w:val="110"/>
                <w:sz w:val="16"/>
                <w:szCs w:val="16"/>
              </w:rPr>
              <w:t>86</w:t>
            </w:r>
          </w:p>
        </w:tc>
      </w:tr>
      <w:tr w:rsidR="00034D00" w14:paraId="19268642" w14:textId="77777777" w:rsidTr="00034D00">
        <w:trPr>
          <w:trHeight w:val="359"/>
        </w:trPr>
        <w:tc>
          <w:tcPr>
            <w:tcW w:w="870" w:type="dxa"/>
            <w:hideMark/>
          </w:tcPr>
          <w:p w14:paraId="751D038F" w14:textId="349A0C9D" w:rsidR="00034D00" w:rsidRDefault="00034D00" w:rsidP="00034D00">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293</w:t>
            </w:r>
          </w:p>
        </w:tc>
        <w:tc>
          <w:tcPr>
            <w:tcW w:w="1116" w:type="dxa"/>
            <w:hideMark/>
          </w:tcPr>
          <w:p w14:paraId="751E7F01" w14:textId="6A4D101E" w:rsidR="00034D00" w:rsidRDefault="00034D00" w:rsidP="00034D00">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w:t>
            </w:r>
          </w:p>
        </w:tc>
        <w:tc>
          <w:tcPr>
            <w:tcW w:w="820" w:type="dxa"/>
            <w:hideMark/>
          </w:tcPr>
          <w:p w14:paraId="2DFB510F" w14:textId="00E128C9" w:rsidR="00034D00" w:rsidRDefault="00034D00" w:rsidP="00034D00">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293</w:t>
            </w:r>
          </w:p>
        </w:tc>
        <w:tc>
          <w:tcPr>
            <w:tcW w:w="1986" w:type="dxa"/>
            <w:hideMark/>
          </w:tcPr>
          <w:p w14:paraId="1D61847E" w14:textId="77777777" w:rsidR="00034D00" w:rsidRDefault="00034D00" w:rsidP="00034D00">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Past due 61 - 90 days</w:t>
            </w:r>
          </w:p>
        </w:tc>
        <w:tc>
          <w:tcPr>
            <w:tcW w:w="1097" w:type="dxa"/>
            <w:hideMark/>
          </w:tcPr>
          <w:p w14:paraId="412499A9" w14:textId="3BD2BCD1" w:rsidR="00034D00" w:rsidRDefault="00034D00" w:rsidP="00034D00">
            <w:pPr>
              <w:pStyle w:val="TableParagraph"/>
              <w:spacing w:before="60" w:after="60"/>
              <w:ind w:left="-42" w:right="170" w:firstLine="99"/>
              <w:jc w:val="right"/>
              <w:rPr>
                <w:rFonts w:ascii="Segoe UI" w:hAnsi="Segoe UI" w:cs="Segoe UI"/>
                <w:w w:val="110"/>
                <w:sz w:val="16"/>
                <w:szCs w:val="16"/>
              </w:rPr>
            </w:pPr>
            <w:r w:rsidRPr="00034D00">
              <w:rPr>
                <w:rFonts w:ascii="Segoe UI" w:hAnsi="Segoe UI" w:cs="Segoe UI"/>
                <w:w w:val="110"/>
                <w:sz w:val="16"/>
                <w:szCs w:val="16"/>
              </w:rPr>
              <w:t>25</w:t>
            </w:r>
          </w:p>
        </w:tc>
        <w:tc>
          <w:tcPr>
            <w:tcW w:w="1200" w:type="dxa"/>
            <w:hideMark/>
          </w:tcPr>
          <w:p w14:paraId="3427B19A" w14:textId="5707EC56" w:rsidR="00034D00" w:rsidRDefault="00034D00" w:rsidP="00034D00">
            <w:pPr>
              <w:pStyle w:val="TableParagraph"/>
              <w:spacing w:before="60" w:after="60"/>
              <w:ind w:left="-42" w:right="170" w:firstLine="99"/>
              <w:jc w:val="right"/>
              <w:rPr>
                <w:rFonts w:ascii="Segoe UI" w:hAnsi="Segoe UI" w:cs="Segoe UI"/>
                <w:w w:val="110"/>
                <w:sz w:val="16"/>
                <w:szCs w:val="16"/>
              </w:rPr>
            </w:pPr>
            <w:r w:rsidRPr="00034D00">
              <w:rPr>
                <w:rFonts w:ascii="Segoe UI" w:hAnsi="Segoe UI" w:cs="Segoe UI"/>
                <w:w w:val="110"/>
                <w:sz w:val="16"/>
                <w:szCs w:val="16"/>
              </w:rPr>
              <w:t>–</w:t>
            </w:r>
          </w:p>
        </w:tc>
        <w:tc>
          <w:tcPr>
            <w:tcW w:w="831" w:type="dxa"/>
            <w:hideMark/>
          </w:tcPr>
          <w:p w14:paraId="71D5262D" w14:textId="07A40F8A" w:rsidR="00034D00" w:rsidRDefault="00034D00" w:rsidP="00034D00">
            <w:pPr>
              <w:pStyle w:val="TableParagraph"/>
              <w:spacing w:before="60" w:after="60"/>
              <w:ind w:left="-42" w:right="170" w:firstLine="99"/>
              <w:jc w:val="right"/>
              <w:rPr>
                <w:rFonts w:ascii="Segoe UI" w:hAnsi="Segoe UI" w:cs="Segoe UI"/>
                <w:w w:val="110"/>
                <w:sz w:val="16"/>
                <w:szCs w:val="16"/>
              </w:rPr>
            </w:pPr>
            <w:r w:rsidRPr="00034D00">
              <w:rPr>
                <w:rFonts w:ascii="Segoe UI" w:hAnsi="Segoe UI" w:cs="Segoe UI"/>
                <w:w w:val="110"/>
                <w:sz w:val="16"/>
                <w:szCs w:val="16"/>
              </w:rPr>
              <w:t>25</w:t>
            </w:r>
          </w:p>
        </w:tc>
      </w:tr>
      <w:tr w:rsidR="00034D00" w14:paraId="19E9A410" w14:textId="77777777" w:rsidTr="00034D00">
        <w:trPr>
          <w:trHeight w:val="348"/>
        </w:trPr>
        <w:tc>
          <w:tcPr>
            <w:tcW w:w="870" w:type="dxa"/>
            <w:tcBorders>
              <w:top w:val="nil"/>
              <w:left w:val="nil"/>
              <w:bottom w:val="single" w:sz="4" w:space="0" w:color="A6A6A6" w:themeColor="background1" w:themeShade="A6"/>
              <w:right w:val="nil"/>
            </w:tcBorders>
            <w:hideMark/>
          </w:tcPr>
          <w:p w14:paraId="75F959D4" w14:textId="587A9A4C" w:rsidR="00034D00" w:rsidRDefault="00034D00" w:rsidP="00034D00">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5,436</w:t>
            </w:r>
          </w:p>
        </w:tc>
        <w:tc>
          <w:tcPr>
            <w:tcW w:w="1116" w:type="dxa"/>
            <w:tcBorders>
              <w:top w:val="nil"/>
              <w:left w:val="nil"/>
              <w:bottom w:val="single" w:sz="4" w:space="0" w:color="A6A6A6" w:themeColor="background1" w:themeShade="A6"/>
              <w:right w:val="nil"/>
            </w:tcBorders>
            <w:hideMark/>
          </w:tcPr>
          <w:p w14:paraId="79F821A2" w14:textId="51EB48E5" w:rsidR="00034D00" w:rsidRDefault="00034D00" w:rsidP="00034D00">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(371)</w:t>
            </w:r>
          </w:p>
        </w:tc>
        <w:tc>
          <w:tcPr>
            <w:tcW w:w="820" w:type="dxa"/>
            <w:tcBorders>
              <w:top w:val="nil"/>
              <w:left w:val="nil"/>
              <w:bottom w:val="single" w:sz="4" w:space="0" w:color="A6A6A6" w:themeColor="background1" w:themeShade="A6"/>
              <w:right w:val="nil"/>
            </w:tcBorders>
            <w:hideMark/>
          </w:tcPr>
          <w:p w14:paraId="3F2F3B5D" w14:textId="18138CD9" w:rsidR="00034D00" w:rsidRDefault="00034D00" w:rsidP="00034D00">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5,065</w:t>
            </w:r>
          </w:p>
        </w:tc>
        <w:tc>
          <w:tcPr>
            <w:tcW w:w="1986" w:type="dxa"/>
            <w:tcBorders>
              <w:top w:val="nil"/>
              <w:left w:val="nil"/>
              <w:bottom w:val="single" w:sz="4" w:space="0" w:color="A6A6A6" w:themeColor="background1" w:themeShade="A6"/>
              <w:right w:val="nil"/>
            </w:tcBorders>
            <w:hideMark/>
          </w:tcPr>
          <w:p w14:paraId="12052DD6" w14:textId="77777777" w:rsidR="00034D00" w:rsidRDefault="00034D00" w:rsidP="00034D00">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Past due &gt;91 days</w:t>
            </w:r>
          </w:p>
        </w:tc>
        <w:tc>
          <w:tcPr>
            <w:tcW w:w="1097" w:type="dxa"/>
            <w:tcBorders>
              <w:top w:val="nil"/>
              <w:left w:val="nil"/>
              <w:bottom w:val="single" w:sz="4" w:space="0" w:color="A6A6A6" w:themeColor="background1" w:themeShade="A6"/>
              <w:right w:val="nil"/>
            </w:tcBorders>
            <w:hideMark/>
          </w:tcPr>
          <w:p w14:paraId="6BBC366B" w14:textId="38AD2BF1" w:rsidR="00034D00" w:rsidRDefault="00034D00" w:rsidP="00034D00">
            <w:pPr>
              <w:pStyle w:val="TableParagraph"/>
              <w:spacing w:before="60" w:after="60"/>
              <w:ind w:left="-42" w:right="170" w:firstLine="99"/>
              <w:jc w:val="right"/>
              <w:rPr>
                <w:rFonts w:ascii="Segoe UI" w:hAnsi="Segoe UI" w:cs="Segoe UI"/>
                <w:w w:val="110"/>
                <w:sz w:val="16"/>
                <w:szCs w:val="16"/>
              </w:rPr>
            </w:pPr>
            <w:r w:rsidRPr="00034D00">
              <w:rPr>
                <w:rFonts w:ascii="Segoe UI" w:hAnsi="Segoe UI" w:cs="Segoe UI"/>
                <w:w w:val="110"/>
                <w:sz w:val="16"/>
                <w:szCs w:val="16"/>
              </w:rPr>
              <w:t>1,417</w:t>
            </w:r>
          </w:p>
        </w:tc>
        <w:tc>
          <w:tcPr>
            <w:tcW w:w="1200" w:type="dxa"/>
            <w:tcBorders>
              <w:top w:val="nil"/>
              <w:left w:val="nil"/>
              <w:bottom w:val="single" w:sz="4" w:space="0" w:color="A6A6A6" w:themeColor="background1" w:themeShade="A6"/>
              <w:right w:val="nil"/>
            </w:tcBorders>
            <w:hideMark/>
          </w:tcPr>
          <w:p w14:paraId="2E80923F" w14:textId="2DDAF0C9" w:rsidR="00034D00" w:rsidRDefault="00034D00" w:rsidP="00034D00">
            <w:pPr>
              <w:pStyle w:val="TableParagraph"/>
              <w:spacing w:before="60" w:after="60"/>
              <w:ind w:left="-42" w:right="170" w:firstLine="99"/>
              <w:jc w:val="right"/>
              <w:rPr>
                <w:rFonts w:ascii="Segoe UI" w:hAnsi="Segoe UI" w:cs="Segoe UI"/>
                <w:w w:val="110"/>
                <w:sz w:val="16"/>
                <w:szCs w:val="16"/>
              </w:rPr>
            </w:pPr>
            <w:r w:rsidRPr="00034D00">
              <w:rPr>
                <w:rFonts w:ascii="Segoe UI" w:hAnsi="Segoe UI" w:cs="Segoe UI"/>
                <w:w w:val="110"/>
                <w:sz w:val="16"/>
                <w:szCs w:val="16"/>
              </w:rPr>
              <w:t>(331)</w:t>
            </w:r>
          </w:p>
        </w:tc>
        <w:tc>
          <w:tcPr>
            <w:tcW w:w="831" w:type="dxa"/>
            <w:tcBorders>
              <w:top w:val="nil"/>
              <w:left w:val="nil"/>
              <w:bottom w:val="single" w:sz="4" w:space="0" w:color="A6A6A6" w:themeColor="background1" w:themeShade="A6"/>
              <w:right w:val="nil"/>
            </w:tcBorders>
            <w:hideMark/>
          </w:tcPr>
          <w:p w14:paraId="1577399B" w14:textId="0E79B40E" w:rsidR="00034D00" w:rsidRDefault="00034D00" w:rsidP="00034D00">
            <w:pPr>
              <w:pStyle w:val="TableParagraph"/>
              <w:spacing w:before="60" w:after="60"/>
              <w:ind w:left="-42" w:right="170" w:firstLine="99"/>
              <w:jc w:val="right"/>
              <w:rPr>
                <w:rFonts w:ascii="Segoe UI" w:hAnsi="Segoe UI" w:cs="Segoe UI"/>
                <w:w w:val="110"/>
                <w:sz w:val="16"/>
                <w:szCs w:val="16"/>
              </w:rPr>
            </w:pPr>
            <w:r w:rsidRPr="00034D00">
              <w:rPr>
                <w:rFonts w:ascii="Segoe UI" w:hAnsi="Segoe UI" w:cs="Segoe UI"/>
                <w:w w:val="110"/>
                <w:sz w:val="16"/>
                <w:szCs w:val="16"/>
              </w:rPr>
              <w:t>1,086</w:t>
            </w:r>
          </w:p>
        </w:tc>
      </w:tr>
      <w:tr w:rsidR="00034D00" w14:paraId="685FFF78" w14:textId="77777777" w:rsidTr="00034D00">
        <w:trPr>
          <w:trHeight w:val="344"/>
        </w:trPr>
        <w:tc>
          <w:tcPr>
            <w:tcW w:w="870" w:type="dxa"/>
            <w:tcBorders>
              <w:top w:val="single" w:sz="4" w:space="0" w:color="A6A6A6" w:themeColor="background1" w:themeShade="A6"/>
              <w:left w:val="nil"/>
              <w:bottom w:val="single" w:sz="4" w:space="0" w:color="A6A6A6" w:themeColor="background1" w:themeShade="A6"/>
              <w:right w:val="nil"/>
            </w:tcBorders>
            <w:hideMark/>
          </w:tcPr>
          <w:p w14:paraId="3347A87E" w14:textId="6FDAAA55" w:rsidR="00034D00" w:rsidRDefault="00034D00" w:rsidP="00034D00">
            <w:pPr>
              <w:pStyle w:val="TableParagraph"/>
              <w:spacing w:before="60" w:after="60"/>
              <w:ind w:left="-42" w:right="170" w:firstLine="99"/>
              <w:jc w:val="right"/>
              <w:rPr>
                <w:rFonts w:ascii="Segoe UI" w:hAnsi="Segoe UI" w:cs="Segoe UI"/>
                <w:b/>
                <w:bCs/>
                <w:sz w:val="16"/>
                <w:szCs w:val="16"/>
              </w:rPr>
            </w:pPr>
            <w:r>
              <w:rPr>
                <w:rFonts w:ascii="Segoe UI" w:hAnsi="Segoe UI" w:cs="Segoe UI"/>
                <w:b/>
                <w:bCs/>
                <w:w w:val="110"/>
                <w:sz w:val="16"/>
                <w:szCs w:val="16"/>
              </w:rPr>
              <w:t>9,278</w:t>
            </w:r>
          </w:p>
        </w:tc>
        <w:tc>
          <w:tcPr>
            <w:tcW w:w="1116" w:type="dxa"/>
            <w:tcBorders>
              <w:top w:val="single" w:sz="4" w:space="0" w:color="A6A6A6" w:themeColor="background1" w:themeShade="A6"/>
              <w:left w:val="nil"/>
              <w:bottom w:val="single" w:sz="4" w:space="0" w:color="A6A6A6" w:themeColor="background1" w:themeShade="A6"/>
              <w:right w:val="nil"/>
            </w:tcBorders>
            <w:hideMark/>
          </w:tcPr>
          <w:p w14:paraId="5F17C9D4" w14:textId="3CA686DA" w:rsidR="00034D00" w:rsidRDefault="00034D00" w:rsidP="00034D00">
            <w:pPr>
              <w:pStyle w:val="TableParagraph"/>
              <w:spacing w:before="60" w:after="60"/>
              <w:ind w:left="-42" w:right="170" w:firstLine="99"/>
              <w:jc w:val="right"/>
              <w:rPr>
                <w:rFonts w:ascii="Segoe UI" w:hAnsi="Segoe UI" w:cs="Segoe UI"/>
                <w:b/>
                <w:bCs/>
                <w:sz w:val="16"/>
                <w:szCs w:val="16"/>
              </w:rPr>
            </w:pPr>
            <w:r>
              <w:rPr>
                <w:rFonts w:ascii="Segoe UI" w:hAnsi="Segoe UI" w:cs="Segoe UI"/>
                <w:b/>
                <w:bCs/>
                <w:w w:val="110"/>
                <w:sz w:val="16"/>
                <w:szCs w:val="16"/>
              </w:rPr>
              <w:t>(371)</w:t>
            </w:r>
          </w:p>
        </w:tc>
        <w:tc>
          <w:tcPr>
            <w:tcW w:w="820" w:type="dxa"/>
            <w:tcBorders>
              <w:top w:val="single" w:sz="4" w:space="0" w:color="A6A6A6" w:themeColor="background1" w:themeShade="A6"/>
              <w:left w:val="nil"/>
              <w:bottom w:val="single" w:sz="4" w:space="0" w:color="A6A6A6" w:themeColor="background1" w:themeShade="A6"/>
              <w:right w:val="nil"/>
            </w:tcBorders>
            <w:hideMark/>
          </w:tcPr>
          <w:p w14:paraId="2EA6C4F9" w14:textId="7B6282AB" w:rsidR="00034D00" w:rsidRDefault="00034D00" w:rsidP="00034D00">
            <w:pPr>
              <w:pStyle w:val="TableParagraph"/>
              <w:spacing w:before="60" w:after="60"/>
              <w:ind w:left="-42" w:right="170" w:firstLine="99"/>
              <w:jc w:val="right"/>
              <w:rPr>
                <w:rFonts w:ascii="Segoe UI" w:hAnsi="Segoe UI" w:cs="Segoe UI"/>
                <w:b/>
                <w:bCs/>
                <w:sz w:val="16"/>
                <w:szCs w:val="16"/>
              </w:rPr>
            </w:pPr>
            <w:r>
              <w:rPr>
                <w:rFonts w:ascii="Segoe UI" w:hAnsi="Segoe UI" w:cs="Segoe UI"/>
                <w:b/>
                <w:bCs/>
                <w:w w:val="110"/>
                <w:sz w:val="16"/>
                <w:szCs w:val="16"/>
              </w:rPr>
              <w:t>8,907</w:t>
            </w:r>
          </w:p>
        </w:tc>
        <w:tc>
          <w:tcPr>
            <w:tcW w:w="1986" w:type="dxa"/>
            <w:tcBorders>
              <w:top w:val="single" w:sz="4" w:space="0" w:color="A6A6A6" w:themeColor="background1" w:themeShade="A6"/>
              <w:left w:val="nil"/>
              <w:bottom w:val="single" w:sz="4" w:space="0" w:color="A6A6A6" w:themeColor="background1" w:themeShade="A6"/>
              <w:right w:val="nil"/>
            </w:tcBorders>
            <w:hideMark/>
          </w:tcPr>
          <w:p w14:paraId="4EDF6111" w14:textId="77777777" w:rsidR="00034D00" w:rsidRDefault="00034D00" w:rsidP="00034D00">
            <w:pPr>
              <w:pStyle w:val="TableParagraph"/>
              <w:spacing w:before="60" w:after="60"/>
              <w:ind w:left="66" w:hanging="5"/>
              <w:rPr>
                <w:rFonts w:ascii="Segoe UI" w:hAnsi="Segoe UI" w:cs="Segoe UI"/>
                <w:b/>
                <w:bCs/>
                <w:w w:val="105"/>
                <w:sz w:val="16"/>
                <w:szCs w:val="16"/>
              </w:rPr>
            </w:pPr>
            <w:r>
              <w:rPr>
                <w:rFonts w:ascii="Segoe UI" w:hAnsi="Segoe UI" w:cs="Segoe UI"/>
                <w:b/>
                <w:bCs/>
                <w:w w:val="105"/>
                <w:sz w:val="16"/>
                <w:szCs w:val="16"/>
              </w:rPr>
              <w:t xml:space="preserve">Balance as </w:t>
            </w:r>
            <w:proofErr w:type="gramStart"/>
            <w:r>
              <w:rPr>
                <w:rFonts w:ascii="Segoe UI" w:hAnsi="Segoe UI" w:cs="Segoe UI"/>
                <w:b/>
                <w:bCs/>
                <w:w w:val="105"/>
                <w:sz w:val="16"/>
                <w:szCs w:val="16"/>
              </w:rPr>
              <w:t>at</w:t>
            </w:r>
            <w:proofErr w:type="gramEnd"/>
            <w:r>
              <w:rPr>
                <w:rFonts w:ascii="Segoe UI" w:hAnsi="Segoe UI" w:cs="Segoe UI"/>
                <w:b/>
                <w:bCs/>
                <w:w w:val="105"/>
                <w:sz w:val="16"/>
                <w:szCs w:val="16"/>
              </w:rPr>
              <w:t xml:space="preserve"> 30 June</w:t>
            </w:r>
          </w:p>
        </w:tc>
        <w:tc>
          <w:tcPr>
            <w:tcW w:w="1097" w:type="dxa"/>
            <w:tcBorders>
              <w:top w:val="single" w:sz="4" w:space="0" w:color="A6A6A6" w:themeColor="background1" w:themeShade="A6"/>
              <w:left w:val="nil"/>
              <w:bottom w:val="single" w:sz="4" w:space="0" w:color="A6A6A6" w:themeColor="background1" w:themeShade="A6"/>
              <w:right w:val="nil"/>
            </w:tcBorders>
            <w:hideMark/>
          </w:tcPr>
          <w:p w14:paraId="6A9BB67E" w14:textId="2567F40C" w:rsidR="00034D00" w:rsidRPr="00034D00" w:rsidRDefault="00034D00" w:rsidP="00034D00">
            <w:pPr>
              <w:pStyle w:val="TableParagraph"/>
              <w:spacing w:before="60" w:after="60"/>
              <w:ind w:left="-42" w:right="170" w:firstLine="99"/>
              <w:jc w:val="right"/>
              <w:rPr>
                <w:rFonts w:ascii="Segoe UI" w:hAnsi="Segoe UI" w:cs="Segoe UI"/>
                <w:b/>
                <w:bCs/>
                <w:w w:val="110"/>
                <w:sz w:val="16"/>
                <w:szCs w:val="16"/>
              </w:rPr>
            </w:pPr>
            <w:r w:rsidRPr="00034D00">
              <w:rPr>
                <w:rFonts w:ascii="Segoe UI" w:hAnsi="Segoe UI" w:cs="Segoe UI"/>
                <w:b/>
                <w:bCs/>
                <w:w w:val="110"/>
                <w:sz w:val="16"/>
                <w:szCs w:val="16"/>
              </w:rPr>
              <w:t>5,578</w:t>
            </w:r>
          </w:p>
        </w:tc>
        <w:tc>
          <w:tcPr>
            <w:tcW w:w="1200" w:type="dxa"/>
            <w:tcBorders>
              <w:top w:val="single" w:sz="4" w:space="0" w:color="A6A6A6" w:themeColor="background1" w:themeShade="A6"/>
              <w:left w:val="nil"/>
              <w:bottom w:val="single" w:sz="4" w:space="0" w:color="A6A6A6" w:themeColor="background1" w:themeShade="A6"/>
              <w:right w:val="nil"/>
            </w:tcBorders>
            <w:hideMark/>
          </w:tcPr>
          <w:p w14:paraId="72B5007F" w14:textId="423B4153" w:rsidR="00034D00" w:rsidRPr="00034D00" w:rsidRDefault="00034D00" w:rsidP="00034D00">
            <w:pPr>
              <w:pStyle w:val="TableParagraph"/>
              <w:spacing w:before="60" w:after="60"/>
              <w:ind w:left="-42" w:right="170" w:firstLine="99"/>
              <w:jc w:val="right"/>
              <w:rPr>
                <w:rFonts w:ascii="Segoe UI" w:hAnsi="Segoe UI" w:cs="Segoe UI"/>
                <w:b/>
                <w:bCs/>
                <w:w w:val="110"/>
                <w:sz w:val="16"/>
                <w:szCs w:val="16"/>
              </w:rPr>
            </w:pPr>
            <w:r w:rsidRPr="00034D00">
              <w:rPr>
                <w:rFonts w:ascii="Segoe UI" w:hAnsi="Segoe UI" w:cs="Segoe UI"/>
                <w:b/>
                <w:bCs/>
                <w:w w:val="110"/>
                <w:sz w:val="16"/>
                <w:szCs w:val="16"/>
              </w:rPr>
              <w:t>(331)</w:t>
            </w:r>
          </w:p>
        </w:tc>
        <w:tc>
          <w:tcPr>
            <w:tcW w:w="831" w:type="dxa"/>
            <w:tcBorders>
              <w:top w:val="single" w:sz="4" w:space="0" w:color="A6A6A6" w:themeColor="background1" w:themeShade="A6"/>
              <w:left w:val="nil"/>
              <w:bottom w:val="single" w:sz="4" w:space="0" w:color="A6A6A6" w:themeColor="background1" w:themeShade="A6"/>
              <w:right w:val="nil"/>
            </w:tcBorders>
            <w:hideMark/>
          </w:tcPr>
          <w:p w14:paraId="24E10A97" w14:textId="7395E61D" w:rsidR="00034D00" w:rsidRPr="00034D00" w:rsidRDefault="00034D00" w:rsidP="00034D00">
            <w:pPr>
              <w:pStyle w:val="TableParagraph"/>
              <w:spacing w:before="60" w:after="60"/>
              <w:ind w:left="-42" w:right="170" w:firstLine="99"/>
              <w:jc w:val="right"/>
              <w:rPr>
                <w:rFonts w:ascii="Segoe UI" w:hAnsi="Segoe UI" w:cs="Segoe UI"/>
                <w:b/>
                <w:bCs/>
                <w:w w:val="110"/>
                <w:sz w:val="16"/>
                <w:szCs w:val="16"/>
              </w:rPr>
            </w:pPr>
            <w:r w:rsidRPr="00034D00">
              <w:rPr>
                <w:rFonts w:ascii="Segoe UI" w:hAnsi="Segoe UI" w:cs="Segoe UI"/>
                <w:b/>
                <w:bCs/>
                <w:w w:val="110"/>
                <w:sz w:val="16"/>
                <w:szCs w:val="16"/>
              </w:rPr>
              <w:t>5,247</w:t>
            </w:r>
          </w:p>
        </w:tc>
      </w:tr>
    </w:tbl>
    <w:p w14:paraId="1F6BF75C" w14:textId="77777777" w:rsidR="00034D00" w:rsidRPr="00034D00" w:rsidRDefault="00034D00" w:rsidP="00034D00"/>
    <w:p w14:paraId="44B92181" w14:textId="77777777" w:rsidR="00034D00" w:rsidRDefault="00034D00" w:rsidP="002404CD">
      <w:pPr>
        <w:pStyle w:val="Heading4"/>
        <w:spacing w:before="0"/>
      </w:pPr>
      <w:r w:rsidRPr="00034D00">
        <w:lastRenderedPageBreak/>
        <w:t>Movement in the allowance for credit losses</w:t>
      </w:r>
    </w:p>
    <w:tbl>
      <w:tblPr>
        <w:tblW w:w="7830" w:type="dxa"/>
        <w:tblLayout w:type="fixed"/>
        <w:tblCellMar>
          <w:left w:w="0" w:type="dxa"/>
          <w:right w:w="0" w:type="dxa"/>
        </w:tblCellMar>
        <w:tblLook w:val="01E0" w:firstRow="1" w:lastRow="1" w:firstColumn="1" w:lastColumn="1" w:noHBand="0" w:noVBand="0"/>
      </w:tblPr>
      <w:tblGrid>
        <w:gridCol w:w="993"/>
        <w:gridCol w:w="4959"/>
        <w:gridCol w:w="1878"/>
      </w:tblGrid>
      <w:tr w:rsidR="00034D00" w14:paraId="46AB18F2" w14:textId="77777777" w:rsidTr="002404CD">
        <w:trPr>
          <w:trHeight w:val="784"/>
        </w:trPr>
        <w:tc>
          <w:tcPr>
            <w:tcW w:w="993" w:type="dxa"/>
            <w:shd w:val="clear" w:color="auto" w:fill="D9D9D9" w:themeFill="background1" w:themeFillShade="D9"/>
            <w:hideMark/>
          </w:tcPr>
          <w:p w14:paraId="3BB36253" w14:textId="77777777" w:rsidR="00034D00" w:rsidRDefault="00034D00">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 xml:space="preserve">Actual </w:t>
            </w:r>
          </w:p>
          <w:p w14:paraId="6BCFCF62" w14:textId="721D7D0A" w:rsidR="00034D00" w:rsidRDefault="00034D00">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202</w:t>
            </w:r>
            <w:r w:rsidR="002404CD">
              <w:rPr>
                <w:rFonts w:ascii="Segoe UI" w:hAnsi="Segoe UI" w:cs="Segoe UI"/>
                <w:b/>
                <w:bCs/>
                <w:sz w:val="16"/>
                <w:szCs w:val="16"/>
              </w:rPr>
              <w:t>3</w:t>
            </w:r>
          </w:p>
          <w:p w14:paraId="1E53DC83" w14:textId="77777777" w:rsidR="00034D00" w:rsidRDefault="00034D00">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4959" w:type="dxa"/>
            <w:shd w:val="clear" w:color="auto" w:fill="D9D9D9" w:themeFill="background1" w:themeFillShade="D9"/>
          </w:tcPr>
          <w:p w14:paraId="123F5573" w14:textId="77777777" w:rsidR="00034D00" w:rsidRDefault="00034D00">
            <w:pPr>
              <w:pStyle w:val="TableParagraph"/>
              <w:rPr>
                <w:rFonts w:ascii="Times New Roman"/>
                <w:b/>
                <w:bCs/>
                <w:sz w:val="18"/>
              </w:rPr>
            </w:pPr>
          </w:p>
        </w:tc>
        <w:tc>
          <w:tcPr>
            <w:tcW w:w="1878" w:type="dxa"/>
            <w:shd w:val="clear" w:color="auto" w:fill="D9D9D9" w:themeFill="background1" w:themeFillShade="D9"/>
            <w:hideMark/>
          </w:tcPr>
          <w:p w14:paraId="22BDD7AC" w14:textId="77777777" w:rsidR="00034D00" w:rsidRDefault="00034D0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 xml:space="preserve">Actual </w:t>
            </w:r>
          </w:p>
          <w:p w14:paraId="6807B27B" w14:textId="34D2ACE9" w:rsidR="00034D00" w:rsidRDefault="00034D0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w:t>
            </w:r>
            <w:r w:rsidR="002404CD">
              <w:rPr>
                <w:rFonts w:ascii="Segoe UI" w:hAnsi="Segoe UI" w:cs="Segoe UI"/>
                <w:b/>
                <w:bCs/>
                <w:w w:val="110"/>
                <w:sz w:val="16"/>
                <w:szCs w:val="16"/>
              </w:rPr>
              <w:t>4</w:t>
            </w:r>
          </w:p>
          <w:p w14:paraId="0A570017" w14:textId="77777777" w:rsidR="00034D00" w:rsidRDefault="00034D0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r>
      <w:tr w:rsidR="002404CD" w14:paraId="57563120" w14:textId="77777777" w:rsidTr="002404CD">
        <w:trPr>
          <w:trHeight w:val="354"/>
        </w:trPr>
        <w:tc>
          <w:tcPr>
            <w:tcW w:w="993" w:type="dxa"/>
            <w:hideMark/>
          </w:tcPr>
          <w:p w14:paraId="2CE8C44C" w14:textId="57D997A8" w:rsidR="002404CD" w:rsidRDefault="002404CD" w:rsidP="002404CD">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w:t>
            </w:r>
          </w:p>
        </w:tc>
        <w:tc>
          <w:tcPr>
            <w:tcW w:w="4959" w:type="dxa"/>
            <w:hideMark/>
          </w:tcPr>
          <w:p w14:paraId="78BF5CEA" w14:textId="77777777" w:rsidR="002404CD" w:rsidRDefault="002404CD" w:rsidP="002404CD">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 xml:space="preserve">Balance as </w:t>
            </w:r>
            <w:proofErr w:type="gramStart"/>
            <w:r>
              <w:rPr>
                <w:rFonts w:ascii="Segoe UI" w:hAnsi="Segoe UI" w:cs="Segoe UI"/>
                <w:w w:val="105"/>
                <w:sz w:val="16"/>
                <w:szCs w:val="16"/>
              </w:rPr>
              <w:t>at</w:t>
            </w:r>
            <w:proofErr w:type="gramEnd"/>
            <w:r>
              <w:rPr>
                <w:rFonts w:ascii="Segoe UI" w:hAnsi="Segoe UI" w:cs="Segoe UI"/>
                <w:w w:val="105"/>
                <w:sz w:val="16"/>
                <w:szCs w:val="16"/>
              </w:rPr>
              <w:t xml:space="preserve"> 1 July</w:t>
            </w:r>
          </w:p>
        </w:tc>
        <w:tc>
          <w:tcPr>
            <w:tcW w:w="1878" w:type="dxa"/>
            <w:hideMark/>
          </w:tcPr>
          <w:p w14:paraId="605C7DE2" w14:textId="5D9DA53B" w:rsidR="002404CD" w:rsidRDefault="002404CD" w:rsidP="002404CD">
            <w:pPr>
              <w:pStyle w:val="TableParagraph"/>
              <w:spacing w:before="60" w:after="60"/>
              <w:ind w:left="-42" w:right="170" w:firstLine="99"/>
              <w:jc w:val="right"/>
              <w:rPr>
                <w:rFonts w:ascii="Segoe UI" w:hAnsi="Segoe UI" w:cs="Segoe UI"/>
                <w:w w:val="110"/>
                <w:sz w:val="16"/>
                <w:szCs w:val="16"/>
              </w:rPr>
            </w:pPr>
            <w:r w:rsidRPr="002404CD">
              <w:rPr>
                <w:rFonts w:ascii="Segoe UI" w:hAnsi="Segoe UI" w:cs="Segoe UI"/>
                <w:w w:val="110"/>
                <w:sz w:val="16"/>
                <w:szCs w:val="16"/>
              </w:rPr>
              <w:t>371</w:t>
            </w:r>
          </w:p>
        </w:tc>
      </w:tr>
      <w:tr w:rsidR="002404CD" w14:paraId="5B3BE227" w14:textId="77777777" w:rsidTr="002404CD">
        <w:trPr>
          <w:trHeight w:val="359"/>
        </w:trPr>
        <w:tc>
          <w:tcPr>
            <w:tcW w:w="993" w:type="dxa"/>
            <w:hideMark/>
          </w:tcPr>
          <w:p w14:paraId="20A7734A" w14:textId="67AA51D9" w:rsidR="002404CD" w:rsidRDefault="002404CD" w:rsidP="002404CD">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371</w:t>
            </w:r>
          </w:p>
        </w:tc>
        <w:tc>
          <w:tcPr>
            <w:tcW w:w="4959" w:type="dxa"/>
            <w:hideMark/>
          </w:tcPr>
          <w:p w14:paraId="52FEAF7B" w14:textId="1AA5D8D2" w:rsidR="002404CD" w:rsidRDefault="002404CD" w:rsidP="002404CD">
            <w:pPr>
              <w:pStyle w:val="TableParagraph"/>
              <w:spacing w:before="60" w:after="60"/>
              <w:ind w:left="66" w:hanging="5"/>
              <w:rPr>
                <w:rFonts w:ascii="Segoe UI" w:hAnsi="Segoe UI" w:cs="Segoe UI"/>
                <w:w w:val="105"/>
                <w:sz w:val="16"/>
                <w:szCs w:val="16"/>
              </w:rPr>
            </w:pPr>
            <w:r w:rsidRPr="002404CD">
              <w:rPr>
                <w:rFonts w:ascii="Segoe UI" w:hAnsi="Segoe UI" w:cs="Segoe UI"/>
                <w:w w:val="105"/>
                <w:sz w:val="16"/>
                <w:szCs w:val="16"/>
              </w:rPr>
              <w:t>Increase/(decrease) in loss allowance made during the year</w:t>
            </w:r>
          </w:p>
        </w:tc>
        <w:tc>
          <w:tcPr>
            <w:tcW w:w="1878" w:type="dxa"/>
            <w:hideMark/>
          </w:tcPr>
          <w:p w14:paraId="0F9ED41C" w14:textId="28A26B6E" w:rsidR="002404CD" w:rsidRDefault="002404CD" w:rsidP="002404CD">
            <w:pPr>
              <w:pStyle w:val="TableParagraph"/>
              <w:spacing w:before="60" w:after="60"/>
              <w:ind w:left="-42" w:right="170" w:firstLine="99"/>
              <w:jc w:val="right"/>
              <w:rPr>
                <w:rFonts w:ascii="Segoe UI" w:hAnsi="Segoe UI" w:cs="Segoe UI"/>
                <w:w w:val="110"/>
                <w:sz w:val="16"/>
                <w:szCs w:val="16"/>
              </w:rPr>
            </w:pPr>
            <w:r w:rsidRPr="002404CD">
              <w:rPr>
                <w:rFonts w:ascii="Segoe UI" w:hAnsi="Segoe UI" w:cs="Segoe UI"/>
                <w:w w:val="110"/>
                <w:sz w:val="16"/>
                <w:szCs w:val="16"/>
              </w:rPr>
              <w:t>87</w:t>
            </w:r>
          </w:p>
        </w:tc>
      </w:tr>
      <w:tr w:rsidR="002404CD" w14:paraId="382BB853" w14:textId="77777777" w:rsidTr="002404CD">
        <w:trPr>
          <w:trHeight w:val="348"/>
        </w:trPr>
        <w:tc>
          <w:tcPr>
            <w:tcW w:w="993" w:type="dxa"/>
            <w:tcBorders>
              <w:top w:val="nil"/>
              <w:left w:val="nil"/>
              <w:bottom w:val="single" w:sz="4" w:space="0" w:color="A6A6A6" w:themeColor="background1" w:themeShade="A6"/>
              <w:right w:val="nil"/>
            </w:tcBorders>
            <w:hideMark/>
          </w:tcPr>
          <w:p w14:paraId="235FE3E9" w14:textId="4D4C5B68" w:rsidR="002404CD" w:rsidRDefault="002404CD" w:rsidP="002404CD">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w:t>
            </w:r>
          </w:p>
        </w:tc>
        <w:tc>
          <w:tcPr>
            <w:tcW w:w="4959" w:type="dxa"/>
            <w:tcBorders>
              <w:top w:val="nil"/>
              <w:left w:val="nil"/>
              <w:bottom w:val="single" w:sz="4" w:space="0" w:color="A6A6A6" w:themeColor="background1" w:themeShade="A6"/>
              <w:right w:val="nil"/>
            </w:tcBorders>
            <w:hideMark/>
          </w:tcPr>
          <w:p w14:paraId="30B73125" w14:textId="0F06D3B4" w:rsidR="002404CD" w:rsidRDefault="002404CD" w:rsidP="002404CD">
            <w:pPr>
              <w:pStyle w:val="TableParagraph"/>
              <w:spacing w:before="60" w:after="60"/>
              <w:ind w:left="66" w:hanging="5"/>
              <w:rPr>
                <w:rFonts w:ascii="Segoe UI" w:hAnsi="Segoe UI" w:cs="Segoe UI"/>
                <w:w w:val="105"/>
                <w:sz w:val="16"/>
                <w:szCs w:val="16"/>
              </w:rPr>
            </w:pPr>
            <w:r w:rsidRPr="002404CD">
              <w:rPr>
                <w:rFonts w:ascii="Segoe UI" w:hAnsi="Segoe UI" w:cs="Segoe UI"/>
                <w:w w:val="105"/>
                <w:sz w:val="16"/>
                <w:szCs w:val="16"/>
              </w:rPr>
              <w:t>Receivables written off during the year</w:t>
            </w:r>
          </w:p>
        </w:tc>
        <w:tc>
          <w:tcPr>
            <w:tcW w:w="1878" w:type="dxa"/>
            <w:tcBorders>
              <w:top w:val="nil"/>
              <w:left w:val="nil"/>
              <w:bottom w:val="single" w:sz="4" w:space="0" w:color="A6A6A6" w:themeColor="background1" w:themeShade="A6"/>
              <w:right w:val="nil"/>
            </w:tcBorders>
            <w:hideMark/>
          </w:tcPr>
          <w:p w14:paraId="7EE52790" w14:textId="74837351" w:rsidR="002404CD" w:rsidRDefault="002404CD" w:rsidP="002404CD">
            <w:pPr>
              <w:pStyle w:val="TableParagraph"/>
              <w:spacing w:before="60" w:after="60"/>
              <w:ind w:left="-42" w:right="170" w:firstLine="99"/>
              <w:jc w:val="right"/>
              <w:rPr>
                <w:rFonts w:ascii="Segoe UI" w:hAnsi="Segoe UI" w:cs="Segoe UI"/>
                <w:w w:val="110"/>
                <w:sz w:val="16"/>
                <w:szCs w:val="16"/>
              </w:rPr>
            </w:pPr>
            <w:r w:rsidRPr="002404CD">
              <w:rPr>
                <w:rFonts w:ascii="Segoe UI" w:hAnsi="Segoe UI" w:cs="Segoe UI"/>
                <w:w w:val="110"/>
                <w:sz w:val="16"/>
                <w:szCs w:val="16"/>
              </w:rPr>
              <w:t>(127)</w:t>
            </w:r>
          </w:p>
        </w:tc>
      </w:tr>
      <w:tr w:rsidR="002404CD" w14:paraId="2F9560A1" w14:textId="77777777" w:rsidTr="002404CD">
        <w:trPr>
          <w:trHeight w:val="344"/>
        </w:trPr>
        <w:tc>
          <w:tcPr>
            <w:tcW w:w="993" w:type="dxa"/>
            <w:tcBorders>
              <w:top w:val="single" w:sz="4" w:space="0" w:color="A6A6A6" w:themeColor="background1" w:themeShade="A6"/>
              <w:left w:val="nil"/>
              <w:bottom w:val="single" w:sz="4" w:space="0" w:color="A6A6A6" w:themeColor="background1" w:themeShade="A6"/>
              <w:right w:val="nil"/>
            </w:tcBorders>
            <w:hideMark/>
          </w:tcPr>
          <w:p w14:paraId="004B091F" w14:textId="242653A4" w:rsidR="002404CD" w:rsidRDefault="002404CD" w:rsidP="002404CD">
            <w:pPr>
              <w:pStyle w:val="TableParagraph"/>
              <w:spacing w:before="60" w:after="60"/>
              <w:ind w:left="-42" w:right="170" w:firstLine="99"/>
              <w:jc w:val="right"/>
              <w:rPr>
                <w:rFonts w:ascii="Segoe UI" w:hAnsi="Segoe UI" w:cs="Segoe UI"/>
                <w:b/>
                <w:bCs/>
                <w:sz w:val="16"/>
                <w:szCs w:val="16"/>
              </w:rPr>
            </w:pPr>
            <w:r>
              <w:rPr>
                <w:rFonts w:ascii="Segoe UI" w:hAnsi="Segoe UI" w:cs="Segoe UI"/>
                <w:b/>
                <w:bCs/>
                <w:w w:val="110"/>
                <w:sz w:val="16"/>
                <w:szCs w:val="16"/>
              </w:rPr>
              <w:t>371</w:t>
            </w:r>
          </w:p>
        </w:tc>
        <w:tc>
          <w:tcPr>
            <w:tcW w:w="4959" w:type="dxa"/>
            <w:tcBorders>
              <w:top w:val="single" w:sz="4" w:space="0" w:color="A6A6A6" w:themeColor="background1" w:themeShade="A6"/>
              <w:left w:val="nil"/>
              <w:bottom w:val="single" w:sz="4" w:space="0" w:color="A6A6A6" w:themeColor="background1" w:themeShade="A6"/>
              <w:right w:val="nil"/>
            </w:tcBorders>
            <w:hideMark/>
          </w:tcPr>
          <w:p w14:paraId="59A989E1" w14:textId="77777777" w:rsidR="002404CD" w:rsidRDefault="002404CD" w:rsidP="002404CD">
            <w:pPr>
              <w:pStyle w:val="TableParagraph"/>
              <w:spacing w:before="60" w:after="60"/>
              <w:ind w:left="66" w:hanging="5"/>
              <w:rPr>
                <w:rFonts w:ascii="Segoe UI" w:hAnsi="Segoe UI" w:cs="Segoe UI"/>
                <w:b/>
                <w:bCs/>
                <w:w w:val="105"/>
                <w:sz w:val="16"/>
                <w:szCs w:val="16"/>
              </w:rPr>
            </w:pPr>
            <w:r>
              <w:rPr>
                <w:rFonts w:ascii="Segoe UI" w:hAnsi="Segoe UI" w:cs="Segoe UI"/>
                <w:b/>
                <w:bCs/>
                <w:w w:val="105"/>
                <w:sz w:val="16"/>
                <w:szCs w:val="16"/>
              </w:rPr>
              <w:t xml:space="preserve">Balance as </w:t>
            </w:r>
            <w:proofErr w:type="gramStart"/>
            <w:r>
              <w:rPr>
                <w:rFonts w:ascii="Segoe UI" w:hAnsi="Segoe UI" w:cs="Segoe UI"/>
                <w:b/>
                <w:bCs/>
                <w:w w:val="105"/>
                <w:sz w:val="16"/>
                <w:szCs w:val="16"/>
              </w:rPr>
              <w:t>at</w:t>
            </w:r>
            <w:proofErr w:type="gramEnd"/>
            <w:r>
              <w:rPr>
                <w:rFonts w:ascii="Segoe UI" w:hAnsi="Segoe UI" w:cs="Segoe UI"/>
                <w:b/>
                <w:bCs/>
                <w:w w:val="105"/>
                <w:sz w:val="16"/>
                <w:szCs w:val="16"/>
              </w:rPr>
              <w:t xml:space="preserve"> 30 June</w:t>
            </w:r>
          </w:p>
        </w:tc>
        <w:tc>
          <w:tcPr>
            <w:tcW w:w="1878" w:type="dxa"/>
            <w:tcBorders>
              <w:top w:val="single" w:sz="4" w:space="0" w:color="A6A6A6" w:themeColor="background1" w:themeShade="A6"/>
              <w:left w:val="nil"/>
              <w:bottom w:val="single" w:sz="4" w:space="0" w:color="A6A6A6" w:themeColor="background1" w:themeShade="A6"/>
              <w:right w:val="nil"/>
            </w:tcBorders>
            <w:hideMark/>
          </w:tcPr>
          <w:p w14:paraId="581B6F9B" w14:textId="7E7EA34E" w:rsidR="002404CD" w:rsidRPr="002404CD" w:rsidRDefault="002404CD" w:rsidP="002404CD">
            <w:pPr>
              <w:pStyle w:val="TableParagraph"/>
              <w:spacing w:before="60" w:after="60"/>
              <w:ind w:left="-42" w:right="170" w:firstLine="99"/>
              <w:jc w:val="right"/>
              <w:rPr>
                <w:rFonts w:ascii="Segoe UI" w:hAnsi="Segoe UI" w:cs="Segoe UI"/>
                <w:w w:val="110"/>
                <w:sz w:val="16"/>
                <w:szCs w:val="16"/>
              </w:rPr>
            </w:pPr>
            <w:r w:rsidRPr="002404CD">
              <w:rPr>
                <w:rFonts w:ascii="Segoe UI" w:hAnsi="Segoe UI" w:cs="Segoe UI"/>
                <w:w w:val="110"/>
                <w:sz w:val="16"/>
                <w:szCs w:val="16"/>
              </w:rPr>
              <w:t>331</w:t>
            </w:r>
          </w:p>
        </w:tc>
      </w:tr>
    </w:tbl>
    <w:p w14:paraId="068BA6D2" w14:textId="77777777" w:rsidR="002404CD" w:rsidRDefault="002404CD" w:rsidP="002404CD">
      <w:pPr>
        <w:pStyle w:val="Heading4"/>
      </w:pPr>
      <w:r>
        <w:t>Explanation of major variances against budget</w:t>
      </w:r>
    </w:p>
    <w:p w14:paraId="29B1F99C" w14:textId="172859E5" w:rsidR="002404CD" w:rsidRDefault="002404CD" w:rsidP="002404CD">
      <w:r>
        <w:t>Receivables were $4.753 million lower than budget mainly from the settlement of long outstanding debtors and a focused programme of collecting overdue accounts.</w:t>
      </w:r>
    </w:p>
    <w:p w14:paraId="7DE50595" w14:textId="5DFA04C5" w:rsidR="002404CD" w:rsidRDefault="002404CD" w:rsidP="007123AC">
      <w:pPr>
        <w:pStyle w:val="Heading3"/>
        <w:numPr>
          <w:ilvl w:val="6"/>
          <w:numId w:val="5"/>
        </w:numPr>
        <w:tabs>
          <w:tab w:val="num" w:pos="5040"/>
        </w:tabs>
        <w:ind w:left="709" w:hanging="709"/>
      </w:pPr>
      <w:r>
        <w:t xml:space="preserve">Plant, property and </w:t>
      </w:r>
      <w:proofErr w:type="gramStart"/>
      <w:r>
        <w:t>equipment</w:t>
      </w:r>
      <w:proofErr w:type="gramEnd"/>
    </w:p>
    <w:p w14:paraId="77CE5C2C" w14:textId="77777777" w:rsidR="000A1102" w:rsidRDefault="002404CD" w:rsidP="000A1102">
      <w:pPr>
        <w:pStyle w:val="Heading4"/>
      </w:pPr>
      <w:r>
        <w:t>Accounting policy</w:t>
      </w:r>
      <w:r>
        <w:tab/>
      </w:r>
    </w:p>
    <w:p w14:paraId="5B8D5AC8" w14:textId="676FA5DF" w:rsidR="002404CD" w:rsidRDefault="002404CD" w:rsidP="002404CD">
      <w:pPr>
        <w:tabs>
          <w:tab w:val="left" w:pos="452"/>
        </w:tabs>
      </w:pPr>
      <w:r>
        <w:t>Property, plant and equipment consists of the following asset</w:t>
      </w:r>
      <w:r w:rsidR="000A1102">
        <w:t xml:space="preserve"> </w:t>
      </w:r>
      <w:r>
        <w:t>classes: land, leasehold improvements, furniture, plant and equipment and motor vehicles.</w:t>
      </w:r>
    </w:p>
    <w:p w14:paraId="1E57A8E5" w14:textId="77777777" w:rsidR="002404CD" w:rsidRDefault="002404CD" w:rsidP="002404CD">
      <w:pPr>
        <w:tabs>
          <w:tab w:val="left" w:pos="452"/>
        </w:tabs>
      </w:pPr>
    </w:p>
    <w:p w14:paraId="58E0A071" w14:textId="23F71AD5" w:rsidR="002404CD" w:rsidRDefault="002404CD" w:rsidP="002404CD">
      <w:pPr>
        <w:tabs>
          <w:tab w:val="left" w:pos="452"/>
        </w:tabs>
      </w:pPr>
      <w:r>
        <w:t>Land is measured at fair value. All other classes are measured at cost less accumulated depreciation and impairment losses.</w:t>
      </w:r>
    </w:p>
    <w:p w14:paraId="59CD1559" w14:textId="77777777" w:rsidR="002404CD" w:rsidRDefault="002404CD" w:rsidP="002404CD">
      <w:pPr>
        <w:tabs>
          <w:tab w:val="left" w:pos="452"/>
        </w:tabs>
      </w:pPr>
    </w:p>
    <w:p w14:paraId="702E4943" w14:textId="77777777" w:rsidR="002404CD" w:rsidRDefault="002404CD" w:rsidP="002404CD">
      <w:pPr>
        <w:tabs>
          <w:tab w:val="left" w:pos="452"/>
        </w:tabs>
      </w:pPr>
      <w:r>
        <w:t>Individual assets or groups of assets are capitalised if their cost is greater than $4,000.</w:t>
      </w:r>
      <w:r>
        <w:tab/>
      </w:r>
    </w:p>
    <w:p w14:paraId="5162B54C" w14:textId="77777777" w:rsidR="002404CD" w:rsidRDefault="002404CD" w:rsidP="002404CD">
      <w:pPr>
        <w:pStyle w:val="Heading4"/>
      </w:pPr>
      <w:r>
        <w:t>Depreciation</w:t>
      </w:r>
      <w:r>
        <w:tab/>
      </w:r>
    </w:p>
    <w:p w14:paraId="5FC46F83" w14:textId="77777777" w:rsidR="002404CD" w:rsidRDefault="002404CD" w:rsidP="002404CD">
      <w:pPr>
        <w:tabs>
          <w:tab w:val="left" w:pos="452"/>
        </w:tabs>
      </w:pPr>
      <w:r>
        <w:t>Depreciation is provided on a straight-line basis on all property, plant and equipment, other than land, at rates that will write off the cost (or valuation) of the assets to their estimated residual values over their useful lives. The useful lives and associated depreciation rates of major classes of property, plant and equipment have been estimated as follows.</w:t>
      </w:r>
    </w:p>
    <w:p w14:paraId="08200F62" w14:textId="77777777" w:rsidR="002404CD" w:rsidRDefault="002404CD" w:rsidP="002404CD">
      <w:pPr>
        <w:tabs>
          <w:tab w:val="left" w:pos="452"/>
        </w:tabs>
      </w:pPr>
    </w:p>
    <w:tbl>
      <w:tblPr>
        <w:tblW w:w="8070" w:type="dxa"/>
        <w:tblInd w:w="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152"/>
        <w:gridCol w:w="2459"/>
        <w:gridCol w:w="2459"/>
      </w:tblGrid>
      <w:tr w:rsidR="002404CD" w14:paraId="6A8333C6" w14:textId="77777777" w:rsidTr="00F44A53">
        <w:trPr>
          <w:trHeight w:val="317"/>
        </w:trPr>
        <w:tc>
          <w:tcPr>
            <w:tcW w:w="3153" w:type="dxa"/>
            <w:tcBorders>
              <w:top w:val="nil"/>
              <w:left w:val="nil"/>
              <w:bottom w:val="nil"/>
              <w:right w:val="nil"/>
            </w:tcBorders>
            <w:shd w:val="clear" w:color="auto" w:fill="D9D9D9" w:themeFill="background1" w:themeFillShade="D9"/>
          </w:tcPr>
          <w:p w14:paraId="09B63D6B" w14:textId="77777777" w:rsidR="002404CD" w:rsidRDefault="002404CD">
            <w:pPr>
              <w:pStyle w:val="TableText"/>
              <w:ind w:left="113"/>
              <w:rPr>
                <w:b/>
                <w:bCs/>
                <w:sz w:val="16"/>
                <w:szCs w:val="18"/>
              </w:rPr>
            </w:pPr>
          </w:p>
        </w:tc>
        <w:tc>
          <w:tcPr>
            <w:tcW w:w="2460" w:type="dxa"/>
            <w:tcBorders>
              <w:top w:val="nil"/>
              <w:left w:val="nil"/>
              <w:bottom w:val="nil"/>
              <w:right w:val="nil"/>
            </w:tcBorders>
            <w:shd w:val="clear" w:color="auto" w:fill="D9D9D9" w:themeFill="background1" w:themeFillShade="D9"/>
            <w:hideMark/>
          </w:tcPr>
          <w:p w14:paraId="2F5EDB88" w14:textId="77777777" w:rsidR="002404CD" w:rsidRDefault="002404CD" w:rsidP="002404CD">
            <w:pPr>
              <w:pStyle w:val="TableText"/>
              <w:ind w:left="113" w:right="113"/>
              <w:rPr>
                <w:b/>
                <w:bCs/>
                <w:sz w:val="16"/>
                <w:szCs w:val="18"/>
              </w:rPr>
            </w:pPr>
            <w:r>
              <w:rPr>
                <w:b/>
                <w:bCs/>
                <w:sz w:val="16"/>
                <w:szCs w:val="18"/>
              </w:rPr>
              <w:t>Useful life</w:t>
            </w:r>
          </w:p>
        </w:tc>
        <w:tc>
          <w:tcPr>
            <w:tcW w:w="2460" w:type="dxa"/>
            <w:tcBorders>
              <w:top w:val="nil"/>
              <w:left w:val="nil"/>
              <w:bottom w:val="nil"/>
              <w:right w:val="nil"/>
            </w:tcBorders>
            <w:shd w:val="clear" w:color="auto" w:fill="D9D9D9" w:themeFill="background1" w:themeFillShade="D9"/>
            <w:hideMark/>
          </w:tcPr>
          <w:p w14:paraId="03082514" w14:textId="6C2468B2" w:rsidR="002404CD" w:rsidRDefault="002404CD" w:rsidP="00F44A53">
            <w:pPr>
              <w:pStyle w:val="TableText"/>
              <w:ind w:left="113" w:right="113"/>
              <w:rPr>
                <w:b/>
                <w:bCs/>
                <w:sz w:val="16"/>
                <w:szCs w:val="18"/>
              </w:rPr>
            </w:pPr>
            <w:r>
              <w:rPr>
                <w:b/>
                <w:bCs/>
                <w:sz w:val="16"/>
                <w:szCs w:val="18"/>
              </w:rPr>
              <w:t>Depreciation</w:t>
            </w:r>
            <w:r w:rsidR="00F44A53">
              <w:rPr>
                <w:b/>
                <w:bCs/>
                <w:sz w:val="16"/>
                <w:szCs w:val="18"/>
              </w:rPr>
              <w:t xml:space="preserve"> </w:t>
            </w:r>
            <w:r>
              <w:rPr>
                <w:b/>
                <w:bCs/>
                <w:sz w:val="16"/>
                <w:szCs w:val="18"/>
              </w:rPr>
              <w:t>rate</w:t>
            </w:r>
          </w:p>
        </w:tc>
      </w:tr>
      <w:tr w:rsidR="002404CD" w14:paraId="486AF437" w14:textId="77777777" w:rsidTr="002404CD">
        <w:trPr>
          <w:trHeight w:val="344"/>
        </w:trPr>
        <w:tc>
          <w:tcPr>
            <w:tcW w:w="3153" w:type="dxa"/>
            <w:tcBorders>
              <w:top w:val="nil"/>
              <w:left w:val="nil"/>
              <w:bottom w:val="single" w:sz="4" w:space="0" w:color="A6A6A6" w:themeColor="background1" w:themeShade="A6"/>
              <w:right w:val="nil"/>
            </w:tcBorders>
            <w:hideMark/>
          </w:tcPr>
          <w:p w14:paraId="46662606" w14:textId="77777777" w:rsidR="002404CD" w:rsidRDefault="002404CD">
            <w:pPr>
              <w:pStyle w:val="TableText"/>
              <w:ind w:left="113"/>
              <w:rPr>
                <w:sz w:val="16"/>
                <w:szCs w:val="18"/>
              </w:rPr>
            </w:pPr>
            <w:r>
              <w:rPr>
                <w:sz w:val="16"/>
                <w:szCs w:val="18"/>
              </w:rPr>
              <w:t>Motor vehicles</w:t>
            </w:r>
          </w:p>
        </w:tc>
        <w:tc>
          <w:tcPr>
            <w:tcW w:w="2460" w:type="dxa"/>
            <w:tcBorders>
              <w:top w:val="nil"/>
              <w:left w:val="nil"/>
              <w:bottom w:val="single" w:sz="4" w:space="0" w:color="A6A6A6" w:themeColor="background1" w:themeShade="A6"/>
              <w:right w:val="nil"/>
            </w:tcBorders>
            <w:hideMark/>
          </w:tcPr>
          <w:p w14:paraId="57CD7EA8" w14:textId="77777777" w:rsidR="002404CD" w:rsidRDefault="002404CD" w:rsidP="002404CD">
            <w:pPr>
              <w:pStyle w:val="TableText"/>
              <w:ind w:left="113" w:right="113"/>
              <w:rPr>
                <w:sz w:val="16"/>
                <w:szCs w:val="18"/>
              </w:rPr>
            </w:pPr>
            <w:r>
              <w:rPr>
                <w:sz w:val="16"/>
                <w:szCs w:val="18"/>
              </w:rPr>
              <w:t>5 years</w:t>
            </w:r>
          </w:p>
        </w:tc>
        <w:tc>
          <w:tcPr>
            <w:tcW w:w="2460" w:type="dxa"/>
            <w:tcBorders>
              <w:top w:val="nil"/>
              <w:left w:val="nil"/>
              <w:bottom w:val="single" w:sz="4" w:space="0" w:color="A6A6A6" w:themeColor="background1" w:themeShade="A6"/>
              <w:right w:val="nil"/>
            </w:tcBorders>
            <w:hideMark/>
          </w:tcPr>
          <w:p w14:paraId="0180E201" w14:textId="77777777" w:rsidR="002404CD" w:rsidRDefault="002404CD" w:rsidP="002404CD">
            <w:pPr>
              <w:pStyle w:val="TableText"/>
              <w:ind w:left="113" w:right="113"/>
              <w:rPr>
                <w:sz w:val="16"/>
                <w:szCs w:val="18"/>
              </w:rPr>
            </w:pPr>
            <w:r>
              <w:rPr>
                <w:sz w:val="16"/>
                <w:szCs w:val="18"/>
              </w:rPr>
              <w:t>20%</w:t>
            </w:r>
          </w:p>
        </w:tc>
      </w:tr>
      <w:tr w:rsidR="002404CD" w14:paraId="5F5A607D" w14:textId="77777777" w:rsidTr="002404CD">
        <w:trPr>
          <w:trHeight w:val="344"/>
        </w:trPr>
        <w:tc>
          <w:tcPr>
            <w:tcW w:w="3153" w:type="dxa"/>
            <w:tcBorders>
              <w:top w:val="single" w:sz="4" w:space="0" w:color="A6A6A6" w:themeColor="background1" w:themeShade="A6"/>
              <w:left w:val="nil"/>
              <w:bottom w:val="single" w:sz="4" w:space="0" w:color="A6A6A6" w:themeColor="background1" w:themeShade="A6"/>
              <w:right w:val="nil"/>
            </w:tcBorders>
            <w:hideMark/>
          </w:tcPr>
          <w:p w14:paraId="4A27B022" w14:textId="77777777" w:rsidR="002404CD" w:rsidRDefault="002404CD">
            <w:pPr>
              <w:pStyle w:val="TableText"/>
              <w:ind w:left="113"/>
              <w:rPr>
                <w:sz w:val="16"/>
                <w:szCs w:val="18"/>
              </w:rPr>
            </w:pPr>
            <w:r>
              <w:rPr>
                <w:sz w:val="16"/>
                <w:szCs w:val="18"/>
              </w:rPr>
              <w:t>Furniture, plant and equipment</w:t>
            </w:r>
          </w:p>
        </w:tc>
        <w:tc>
          <w:tcPr>
            <w:tcW w:w="2460" w:type="dxa"/>
            <w:tcBorders>
              <w:top w:val="single" w:sz="4" w:space="0" w:color="A6A6A6" w:themeColor="background1" w:themeShade="A6"/>
              <w:left w:val="nil"/>
              <w:bottom w:val="single" w:sz="4" w:space="0" w:color="A6A6A6" w:themeColor="background1" w:themeShade="A6"/>
              <w:right w:val="nil"/>
            </w:tcBorders>
            <w:hideMark/>
          </w:tcPr>
          <w:p w14:paraId="6F9CD899" w14:textId="77777777" w:rsidR="002404CD" w:rsidRDefault="002404CD" w:rsidP="002404CD">
            <w:pPr>
              <w:pStyle w:val="TableText"/>
              <w:ind w:left="113" w:right="113"/>
              <w:rPr>
                <w:sz w:val="16"/>
                <w:szCs w:val="18"/>
              </w:rPr>
            </w:pPr>
            <w:r>
              <w:rPr>
                <w:sz w:val="16"/>
                <w:szCs w:val="18"/>
              </w:rPr>
              <w:t>5–10 years</w:t>
            </w:r>
          </w:p>
        </w:tc>
        <w:tc>
          <w:tcPr>
            <w:tcW w:w="2460" w:type="dxa"/>
            <w:tcBorders>
              <w:top w:val="single" w:sz="4" w:space="0" w:color="A6A6A6" w:themeColor="background1" w:themeShade="A6"/>
              <w:left w:val="nil"/>
              <w:bottom w:val="single" w:sz="4" w:space="0" w:color="A6A6A6" w:themeColor="background1" w:themeShade="A6"/>
              <w:right w:val="nil"/>
            </w:tcBorders>
            <w:hideMark/>
          </w:tcPr>
          <w:p w14:paraId="6F2E5406" w14:textId="77777777" w:rsidR="002404CD" w:rsidRDefault="002404CD" w:rsidP="002404CD">
            <w:pPr>
              <w:pStyle w:val="TableText"/>
              <w:ind w:left="113" w:right="113"/>
              <w:rPr>
                <w:sz w:val="16"/>
                <w:szCs w:val="18"/>
              </w:rPr>
            </w:pPr>
            <w:r>
              <w:rPr>
                <w:sz w:val="16"/>
                <w:szCs w:val="18"/>
              </w:rPr>
              <w:t>10–20%</w:t>
            </w:r>
          </w:p>
        </w:tc>
      </w:tr>
      <w:tr w:rsidR="002404CD" w14:paraId="1F8FDA34" w14:textId="77777777" w:rsidTr="002404CD">
        <w:trPr>
          <w:trHeight w:val="344"/>
        </w:trPr>
        <w:tc>
          <w:tcPr>
            <w:tcW w:w="3153" w:type="dxa"/>
            <w:tcBorders>
              <w:top w:val="single" w:sz="4" w:space="0" w:color="A6A6A6" w:themeColor="background1" w:themeShade="A6"/>
              <w:left w:val="nil"/>
              <w:bottom w:val="single" w:sz="4" w:space="0" w:color="A6A6A6" w:themeColor="background1" w:themeShade="A6"/>
              <w:right w:val="nil"/>
            </w:tcBorders>
            <w:hideMark/>
          </w:tcPr>
          <w:p w14:paraId="2934946C" w14:textId="77777777" w:rsidR="002404CD" w:rsidRDefault="002404CD">
            <w:pPr>
              <w:pStyle w:val="TableText"/>
              <w:ind w:left="113"/>
              <w:rPr>
                <w:sz w:val="16"/>
                <w:szCs w:val="18"/>
              </w:rPr>
            </w:pPr>
            <w:r>
              <w:rPr>
                <w:sz w:val="16"/>
                <w:szCs w:val="18"/>
              </w:rPr>
              <w:t>Leasehold improvements</w:t>
            </w:r>
          </w:p>
        </w:tc>
        <w:tc>
          <w:tcPr>
            <w:tcW w:w="2460" w:type="dxa"/>
            <w:tcBorders>
              <w:top w:val="single" w:sz="4" w:space="0" w:color="A6A6A6" w:themeColor="background1" w:themeShade="A6"/>
              <w:left w:val="nil"/>
              <w:bottom w:val="single" w:sz="4" w:space="0" w:color="A6A6A6" w:themeColor="background1" w:themeShade="A6"/>
              <w:right w:val="nil"/>
            </w:tcBorders>
            <w:hideMark/>
          </w:tcPr>
          <w:p w14:paraId="612EB41F" w14:textId="77777777" w:rsidR="002404CD" w:rsidRDefault="002404CD" w:rsidP="002404CD">
            <w:pPr>
              <w:pStyle w:val="TableText"/>
              <w:ind w:left="113" w:right="113"/>
              <w:rPr>
                <w:sz w:val="16"/>
                <w:szCs w:val="18"/>
              </w:rPr>
            </w:pPr>
            <w:r>
              <w:rPr>
                <w:sz w:val="16"/>
                <w:szCs w:val="18"/>
              </w:rPr>
              <w:t>5–10 years</w:t>
            </w:r>
          </w:p>
        </w:tc>
        <w:tc>
          <w:tcPr>
            <w:tcW w:w="2460" w:type="dxa"/>
            <w:tcBorders>
              <w:top w:val="single" w:sz="4" w:space="0" w:color="A6A6A6" w:themeColor="background1" w:themeShade="A6"/>
              <w:left w:val="nil"/>
              <w:bottom w:val="single" w:sz="4" w:space="0" w:color="A6A6A6" w:themeColor="background1" w:themeShade="A6"/>
              <w:right w:val="nil"/>
            </w:tcBorders>
            <w:hideMark/>
          </w:tcPr>
          <w:p w14:paraId="57C0EEA3" w14:textId="77777777" w:rsidR="002404CD" w:rsidRDefault="002404CD" w:rsidP="002404CD">
            <w:pPr>
              <w:pStyle w:val="TableText"/>
              <w:ind w:left="113" w:right="113"/>
              <w:rPr>
                <w:sz w:val="16"/>
                <w:szCs w:val="18"/>
              </w:rPr>
            </w:pPr>
            <w:r>
              <w:rPr>
                <w:sz w:val="16"/>
                <w:szCs w:val="18"/>
              </w:rPr>
              <w:t>10–20%</w:t>
            </w:r>
          </w:p>
        </w:tc>
      </w:tr>
      <w:tr w:rsidR="002404CD" w14:paraId="44EB4B68" w14:textId="77777777" w:rsidTr="002404CD">
        <w:trPr>
          <w:trHeight w:val="344"/>
        </w:trPr>
        <w:tc>
          <w:tcPr>
            <w:tcW w:w="3153" w:type="dxa"/>
            <w:tcBorders>
              <w:top w:val="single" w:sz="4" w:space="0" w:color="A6A6A6" w:themeColor="background1" w:themeShade="A6"/>
              <w:left w:val="nil"/>
              <w:bottom w:val="single" w:sz="4" w:space="0" w:color="A6A6A6" w:themeColor="background1" w:themeShade="A6"/>
              <w:right w:val="nil"/>
            </w:tcBorders>
            <w:hideMark/>
          </w:tcPr>
          <w:p w14:paraId="6CB2C173" w14:textId="77777777" w:rsidR="002404CD" w:rsidRDefault="002404CD">
            <w:pPr>
              <w:pStyle w:val="TableText"/>
              <w:ind w:left="113"/>
              <w:rPr>
                <w:sz w:val="16"/>
                <w:szCs w:val="18"/>
              </w:rPr>
            </w:pPr>
            <w:r>
              <w:rPr>
                <w:sz w:val="16"/>
                <w:szCs w:val="18"/>
              </w:rPr>
              <w:t>Computer hardware</w:t>
            </w:r>
          </w:p>
        </w:tc>
        <w:tc>
          <w:tcPr>
            <w:tcW w:w="2460" w:type="dxa"/>
            <w:tcBorders>
              <w:top w:val="single" w:sz="4" w:space="0" w:color="A6A6A6" w:themeColor="background1" w:themeShade="A6"/>
              <w:left w:val="nil"/>
              <w:bottom w:val="single" w:sz="4" w:space="0" w:color="A6A6A6" w:themeColor="background1" w:themeShade="A6"/>
              <w:right w:val="nil"/>
            </w:tcBorders>
            <w:hideMark/>
          </w:tcPr>
          <w:p w14:paraId="20B43A56" w14:textId="77777777" w:rsidR="002404CD" w:rsidRDefault="002404CD" w:rsidP="002404CD">
            <w:pPr>
              <w:pStyle w:val="TableText"/>
              <w:ind w:left="113" w:right="113"/>
              <w:rPr>
                <w:sz w:val="16"/>
                <w:szCs w:val="18"/>
              </w:rPr>
            </w:pPr>
            <w:r>
              <w:rPr>
                <w:sz w:val="16"/>
                <w:szCs w:val="18"/>
              </w:rPr>
              <w:t>3–5 years</w:t>
            </w:r>
          </w:p>
        </w:tc>
        <w:tc>
          <w:tcPr>
            <w:tcW w:w="2460" w:type="dxa"/>
            <w:tcBorders>
              <w:top w:val="single" w:sz="4" w:space="0" w:color="A6A6A6" w:themeColor="background1" w:themeShade="A6"/>
              <w:left w:val="nil"/>
              <w:bottom w:val="single" w:sz="4" w:space="0" w:color="A6A6A6" w:themeColor="background1" w:themeShade="A6"/>
              <w:right w:val="nil"/>
            </w:tcBorders>
            <w:hideMark/>
          </w:tcPr>
          <w:p w14:paraId="3D2EBBE6" w14:textId="77777777" w:rsidR="002404CD" w:rsidRDefault="002404CD" w:rsidP="002404CD">
            <w:pPr>
              <w:pStyle w:val="TableText"/>
              <w:ind w:left="113" w:right="113"/>
              <w:rPr>
                <w:sz w:val="16"/>
                <w:szCs w:val="18"/>
              </w:rPr>
            </w:pPr>
            <w:r>
              <w:rPr>
                <w:sz w:val="16"/>
                <w:szCs w:val="18"/>
              </w:rPr>
              <w:t>20–33.3%</w:t>
            </w:r>
          </w:p>
        </w:tc>
      </w:tr>
    </w:tbl>
    <w:p w14:paraId="50B85AF0" w14:textId="77777777" w:rsidR="002404CD" w:rsidRDefault="002404CD" w:rsidP="002404CD">
      <w:pPr>
        <w:tabs>
          <w:tab w:val="left" w:pos="452"/>
        </w:tabs>
      </w:pPr>
    </w:p>
    <w:p w14:paraId="225BA77D" w14:textId="6056A6CB" w:rsidR="002404CD" w:rsidRDefault="002404CD" w:rsidP="002404CD">
      <w:r>
        <w:t>Leasehold improvements are capitalised over the shorter of the unexpired period of the lease or the estimated remaining useful lives of the improvements.</w:t>
      </w:r>
    </w:p>
    <w:p w14:paraId="7749B261" w14:textId="77777777" w:rsidR="002404CD" w:rsidRDefault="002404CD" w:rsidP="002404CD"/>
    <w:p w14:paraId="3100DF12" w14:textId="31352EF1" w:rsidR="002404CD" w:rsidRDefault="002404CD" w:rsidP="002404CD">
      <w:r>
        <w:t>The residual value and useful life of an asset are reviewed, and adjusted if applicable, at each balance date.</w:t>
      </w:r>
    </w:p>
    <w:p w14:paraId="3B320C90" w14:textId="77777777" w:rsidR="002404CD" w:rsidRDefault="002404CD" w:rsidP="002404CD"/>
    <w:p w14:paraId="66852CC8" w14:textId="77777777" w:rsidR="002404CD" w:rsidRDefault="002404CD" w:rsidP="002404CD"/>
    <w:p w14:paraId="10ADD406" w14:textId="77777777" w:rsidR="002404CD" w:rsidRDefault="002404CD" w:rsidP="002404CD">
      <w:pPr>
        <w:pStyle w:val="Heading4"/>
      </w:pPr>
      <w:r>
        <w:lastRenderedPageBreak/>
        <w:t xml:space="preserve">Work in </w:t>
      </w:r>
      <w:proofErr w:type="gramStart"/>
      <w:r>
        <w:t>progress</w:t>
      </w:r>
      <w:proofErr w:type="gramEnd"/>
      <w:r>
        <w:tab/>
      </w:r>
    </w:p>
    <w:p w14:paraId="0DB5E6E4" w14:textId="77777777" w:rsidR="002404CD" w:rsidRDefault="002404CD" w:rsidP="002404CD">
      <w:r>
        <w:t>Work in progress is recognised at cost less impairment and is not depreciated.</w:t>
      </w:r>
    </w:p>
    <w:p w14:paraId="4C427468" w14:textId="77777777" w:rsidR="002404CD" w:rsidRDefault="002404CD" w:rsidP="002404CD">
      <w:pPr>
        <w:pStyle w:val="Heading4"/>
      </w:pPr>
      <w:r>
        <w:t>Additions</w:t>
      </w:r>
    </w:p>
    <w:p w14:paraId="128617CB" w14:textId="3782D316" w:rsidR="002404CD" w:rsidRDefault="002404CD" w:rsidP="002404CD">
      <w:r>
        <w:t>The cost of an item of property, plant and equipment is recognised as an asset only when it is probable that future economic benefits or service potential associated with the item will flow to the Ministry and the cost of the item can be measured reliably.</w:t>
      </w:r>
    </w:p>
    <w:p w14:paraId="30E8C09F" w14:textId="77777777" w:rsidR="002404CD" w:rsidRDefault="002404CD" w:rsidP="002404CD"/>
    <w:p w14:paraId="60EC34EF" w14:textId="2C843C3B" w:rsidR="002404CD" w:rsidRDefault="002404CD" w:rsidP="002404CD">
      <w:r>
        <w:t>An item of property, plant and equipment is initially recognised at its cost. Where an asset is acquired through a non-exchange transaction, it is recognised at its fair value as at the date of acquisition.</w:t>
      </w:r>
    </w:p>
    <w:p w14:paraId="7861CCB4" w14:textId="77777777" w:rsidR="002404CD" w:rsidRDefault="002404CD" w:rsidP="002404CD">
      <w:pPr>
        <w:pStyle w:val="Heading4"/>
      </w:pPr>
      <w:r w:rsidRPr="002404CD">
        <w:t>Disposals</w:t>
      </w:r>
      <w:r w:rsidRPr="002404CD">
        <w:tab/>
      </w:r>
    </w:p>
    <w:p w14:paraId="534C423E" w14:textId="77777777" w:rsidR="002404CD" w:rsidRDefault="002404CD" w:rsidP="002404CD">
      <w:r w:rsidRPr="002404CD">
        <w:t>Gains and losses on disposals are determined by comparing the disposal proceeds with the carrying amount of the asset and are included in surplus or deficit. When a revalued asset is sold, the amount included in the property revaluation reserve in respect of the disposed asset is transferred to taxpayers’ funds.</w:t>
      </w:r>
    </w:p>
    <w:p w14:paraId="2B3DB09B" w14:textId="77777777" w:rsidR="002404CD" w:rsidRDefault="002404CD" w:rsidP="002404CD">
      <w:pPr>
        <w:pStyle w:val="Heading4"/>
      </w:pPr>
      <w:r>
        <w:t>Subsequent costs</w:t>
      </w:r>
    </w:p>
    <w:p w14:paraId="25D3A4D6" w14:textId="088605D6" w:rsidR="002404CD" w:rsidRDefault="002404CD" w:rsidP="002404CD">
      <w:r>
        <w:t>Costs incurred subsequent to initial acquisition are capitalised only when it is probable that future economic benefits or service potential associated with the item will flow to the Ministry and the cost of the item can be measured reliably.</w:t>
      </w:r>
    </w:p>
    <w:p w14:paraId="189A897C" w14:textId="77777777" w:rsidR="002404CD" w:rsidRDefault="002404CD" w:rsidP="002404CD"/>
    <w:p w14:paraId="3C93A1C1" w14:textId="77777777" w:rsidR="002404CD" w:rsidRDefault="002404CD" w:rsidP="002404CD">
      <w:r>
        <w:t>The costs of day-to-day servicing of property, plant and equipment are recognised in surplus or deficit as they are incurred.</w:t>
      </w:r>
    </w:p>
    <w:p w14:paraId="3E4835F0" w14:textId="77777777" w:rsidR="002404CD" w:rsidRDefault="002404CD" w:rsidP="002404CD">
      <w:pPr>
        <w:pStyle w:val="Heading4"/>
      </w:pPr>
      <w:r>
        <w:t>Revaluations</w:t>
      </w:r>
      <w:r>
        <w:tab/>
      </w:r>
    </w:p>
    <w:p w14:paraId="54BFFB41" w14:textId="40108FD0" w:rsidR="002404CD" w:rsidRDefault="002404CD" w:rsidP="002404CD">
      <w:r>
        <w:t>Land is revalued with sufficient regularity to ensure that the carrying amount does not differ materially from its fair value. Land is revalued at least every three years.</w:t>
      </w:r>
    </w:p>
    <w:p w14:paraId="7CCD5AC3" w14:textId="77777777" w:rsidR="002404CD" w:rsidRDefault="002404CD" w:rsidP="002404CD"/>
    <w:p w14:paraId="6416BECF" w14:textId="6D1FE425" w:rsidR="002404CD" w:rsidRDefault="002404CD" w:rsidP="002404CD">
      <w:r>
        <w:t>The carrying value of the revalued asset is assessed annually to ensure that it does not differ materially from fair value. If there is a material difference, then the off-cycle asset class revaluation is carried out.</w:t>
      </w:r>
    </w:p>
    <w:p w14:paraId="7B8062A3" w14:textId="77777777" w:rsidR="002404CD" w:rsidRDefault="002404CD" w:rsidP="002404CD"/>
    <w:p w14:paraId="57A2EF01" w14:textId="07550985" w:rsidR="002404CD" w:rsidRDefault="002404CD" w:rsidP="002404CD">
      <w:r>
        <w:t>Revaluation movement is accounted for on a class-of-asset basis.</w:t>
      </w:r>
    </w:p>
    <w:p w14:paraId="645AE1FF" w14:textId="77777777" w:rsidR="002404CD" w:rsidRDefault="002404CD" w:rsidP="002404CD"/>
    <w:p w14:paraId="20B7D11B" w14:textId="0D9CD3B3" w:rsidR="002404CD" w:rsidRDefault="002404CD" w:rsidP="002404CD">
      <w:r>
        <w:t>The net revaluation result is credited or debited to other comprehensive revenue and expense and is accumulated to an asset revaluation reserve in equity for that class-of-asset. Where this would result in a debit balance in the asset revaluation reserve, this balance is not recognised in other comprehensive revenue and expense but is recognised in surplus or deficit.</w:t>
      </w:r>
    </w:p>
    <w:p w14:paraId="54722842" w14:textId="77777777" w:rsidR="002404CD" w:rsidRDefault="002404CD" w:rsidP="002404CD"/>
    <w:p w14:paraId="3A7F782F" w14:textId="77777777" w:rsidR="002404CD" w:rsidRDefault="002404CD" w:rsidP="002404CD">
      <w:r>
        <w:t>Any subsequent increase on revaluation that reverses a previous decrease in value recognised in surplus or deficit will be recognised first in surplus or deficit up to the amount previously expensed, and then recognised in other comprehensive revenue and expense. A revalued asset can be impaired without having to revalue the entire class-of-asset to which the asset belongs.</w:t>
      </w:r>
    </w:p>
    <w:p w14:paraId="20BC25E8" w14:textId="77777777" w:rsidR="002404CD" w:rsidRDefault="002404CD" w:rsidP="002404CD">
      <w:pPr>
        <w:pStyle w:val="Heading4"/>
        <w:spacing w:before="0"/>
      </w:pPr>
      <w:r>
        <w:lastRenderedPageBreak/>
        <w:t>Impairment</w:t>
      </w:r>
      <w:r>
        <w:tab/>
      </w:r>
    </w:p>
    <w:p w14:paraId="1EC771C0" w14:textId="3798D89C" w:rsidR="002404CD" w:rsidRDefault="002404CD" w:rsidP="002404CD">
      <w:r>
        <w:t>Property, plant and equipment held at cost that have a finite useful life are reviewed for impairment whenever events or changes in circumstances indicate that the carrying amount may not be recoverable. An impairment loss is recognised for the amount by which the asset’s carrying amount exceeds its recoverable service amount. The recoverable service amount is the higher of an asset’s fair value less costs to sell and value in use.</w:t>
      </w:r>
    </w:p>
    <w:p w14:paraId="7DBA99DB" w14:textId="77777777" w:rsidR="002404CD" w:rsidRDefault="002404CD" w:rsidP="002404CD"/>
    <w:p w14:paraId="64639044" w14:textId="7AAD67CF" w:rsidR="002404CD" w:rsidRDefault="002404CD" w:rsidP="002404CD">
      <w:r>
        <w:t>Value in use is the present value of the asset’s remaining service potential. Value in use is determined using an approach based on one of three approaches, a depreciated replacement cost approach, a restoration cost approach, or a service units approach. The most appropriate approach used to measure value in use depends on the nature of the impairment and availability of information.</w:t>
      </w:r>
    </w:p>
    <w:p w14:paraId="697456C6" w14:textId="77777777" w:rsidR="002404CD" w:rsidRDefault="002404CD" w:rsidP="002404CD"/>
    <w:p w14:paraId="27074203" w14:textId="77777777" w:rsidR="002404CD" w:rsidRDefault="002404CD" w:rsidP="002404CD">
      <w:r>
        <w:t>If an asset’s carrying amount exceeds its recoverable service amount, the asset is considered to be impaired and the carrying amount is written down to the recoverable service amount. The total impairment loss is recognised in surplus or deficit, unless the asset belongs to a class that is measured using the revaluation model. Reversal of an impairment loss is recognised in surplus or deficit.</w:t>
      </w:r>
    </w:p>
    <w:p w14:paraId="069389E4" w14:textId="77777777" w:rsidR="002404CD" w:rsidRDefault="002404CD" w:rsidP="002404CD">
      <w:pPr>
        <w:pStyle w:val="Heading4"/>
        <w:sectPr w:rsidR="002404CD" w:rsidSect="000A3324">
          <w:pgSz w:w="11907" w:h="16840" w:code="9"/>
          <w:pgMar w:top="1418" w:right="1701" w:bottom="1134" w:left="1843" w:header="284" w:footer="425" w:gutter="284"/>
          <w:cols w:space="720"/>
        </w:sectPr>
      </w:pPr>
    </w:p>
    <w:p w14:paraId="2B67E3EB" w14:textId="25609DD4" w:rsidR="002404CD" w:rsidRDefault="002404CD" w:rsidP="00DD3379">
      <w:pPr>
        <w:pStyle w:val="Heading4"/>
        <w:spacing w:before="0"/>
      </w:pPr>
      <w:r>
        <w:lastRenderedPageBreak/>
        <w:t>Movement of property, plant and equipment</w:t>
      </w:r>
    </w:p>
    <w:p w14:paraId="573D53F6" w14:textId="651D98F6" w:rsidR="002404CD" w:rsidRDefault="002404CD" w:rsidP="002404CD">
      <w:r>
        <w:t>The land that is at 108 Victoria Street, Christchurch was valued by Bayleys Valuations Limited, an independent valuer on 30 June 2024. The building on the land was damaged and had been derecognised since the 2011 Christchurch earthquake.</w:t>
      </w:r>
    </w:p>
    <w:p w14:paraId="3B820ADB" w14:textId="77777777" w:rsidR="002404CD" w:rsidRDefault="002404CD" w:rsidP="002404CD"/>
    <w:tbl>
      <w:tblPr>
        <w:tblW w:w="8415" w:type="dxa"/>
        <w:tblLayout w:type="fixed"/>
        <w:tblCellMar>
          <w:left w:w="0" w:type="dxa"/>
          <w:right w:w="0" w:type="dxa"/>
        </w:tblCellMar>
        <w:tblLook w:val="01E0" w:firstRow="1" w:lastRow="1" w:firstColumn="1" w:lastColumn="1" w:noHBand="0" w:noVBand="0"/>
      </w:tblPr>
      <w:tblGrid>
        <w:gridCol w:w="2268"/>
        <w:gridCol w:w="1025"/>
        <w:gridCol w:w="1024"/>
        <w:gridCol w:w="1025"/>
        <w:gridCol w:w="1024"/>
        <w:gridCol w:w="1024"/>
        <w:gridCol w:w="1025"/>
      </w:tblGrid>
      <w:tr w:rsidR="002404CD" w14:paraId="1B38A67B" w14:textId="77777777" w:rsidTr="002404CD">
        <w:trPr>
          <w:trHeight w:val="1004"/>
        </w:trPr>
        <w:tc>
          <w:tcPr>
            <w:tcW w:w="2268" w:type="dxa"/>
            <w:shd w:val="clear" w:color="auto" w:fill="D9D9D9" w:themeFill="background1" w:themeFillShade="D9"/>
          </w:tcPr>
          <w:p w14:paraId="59F4FB98" w14:textId="77777777" w:rsidR="002404CD" w:rsidRDefault="002404CD">
            <w:pPr>
              <w:pStyle w:val="TableParagraph"/>
              <w:spacing w:before="60" w:after="60"/>
              <w:ind w:left="-42" w:right="170" w:firstLine="99"/>
              <w:rPr>
                <w:rFonts w:ascii="Segoe UI" w:hAnsi="Segoe UI" w:cs="Segoe UI"/>
                <w:b/>
                <w:bCs/>
                <w:sz w:val="16"/>
                <w:szCs w:val="16"/>
              </w:rPr>
            </w:pPr>
          </w:p>
          <w:p w14:paraId="2664E903" w14:textId="77777777" w:rsidR="002404CD" w:rsidRDefault="002404CD">
            <w:pPr>
              <w:pStyle w:val="TableParagraph"/>
              <w:spacing w:before="60" w:after="60"/>
              <w:ind w:left="-42" w:right="170" w:firstLine="99"/>
              <w:rPr>
                <w:rFonts w:ascii="Segoe UI" w:hAnsi="Segoe UI" w:cs="Segoe UI"/>
                <w:b/>
                <w:bCs/>
                <w:sz w:val="16"/>
                <w:szCs w:val="16"/>
              </w:rPr>
            </w:pPr>
          </w:p>
          <w:p w14:paraId="084BD60F" w14:textId="77777777" w:rsidR="002404CD" w:rsidRDefault="002404CD">
            <w:pPr>
              <w:pStyle w:val="TableParagraph"/>
              <w:spacing w:before="60" w:after="60"/>
              <w:ind w:right="170"/>
              <w:rPr>
                <w:rFonts w:ascii="Segoe UI" w:hAnsi="Segoe UI" w:cs="Segoe UI"/>
                <w:b/>
                <w:bCs/>
                <w:sz w:val="16"/>
                <w:szCs w:val="16"/>
              </w:rPr>
            </w:pPr>
          </w:p>
        </w:tc>
        <w:tc>
          <w:tcPr>
            <w:tcW w:w="1025" w:type="dxa"/>
            <w:shd w:val="clear" w:color="auto" w:fill="D9D9D9" w:themeFill="background1" w:themeFillShade="D9"/>
            <w:hideMark/>
          </w:tcPr>
          <w:p w14:paraId="605FB93E" w14:textId="77777777" w:rsidR="002404CD" w:rsidRDefault="002404CD">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Land</w:t>
            </w:r>
            <w:r>
              <w:rPr>
                <w:rFonts w:ascii="Segoe UI" w:hAnsi="Segoe UI" w:cs="Segoe UI"/>
                <w:b/>
                <w:bCs/>
                <w:sz w:val="16"/>
                <w:szCs w:val="16"/>
              </w:rPr>
              <w:br/>
            </w:r>
            <w:r>
              <w:rPr>
                <w:rFonts w:ascii="Segoe UI" w:hAnsi="Segoe UI" w:cs="Segoe UI"/>
                <w:b/>
                <w:bCs/>
                <w:sz w:val="16"/>
                <w:szCs w:val="16"/>
              </w:rPr>
              <w:br/>
            </w:r>
          </w:p>
          <w:p w14:paraId="5352576A" w14:textId="77777777" w:rsidR="002404CD" w:rsidRDefault="002404CD">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1024" w:type="dxa"/>
            <w:shd w:val="clear" w:color="auto" w:fill="D9D9D9" w:themeFill="background1" w:themeFillShade="D9"/>
            <w:hideMark/>
          </w:tcPr>
          <w:p w14:paraId="18F059D2" w14:textId="77777777" w:rsidR="002404CD" w:rsidRDefault="002404CD">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 xml:space="preserve">Leasehold </w:t>
            </w:r>
            <w:proofErr w:type="gramStart"/>
            <w:r>
              <w:rPr>
                <w:rFonts w:ascii="Segoe UI" w:hAnsi="Segoe UI" w:cs="Segoe UI"/>
                <w:b/>
                <w:bCs/>
                <w:sz w:val="16"/>
                <w:szCs w:val="16"/>
              </w:rPr>
              <w:t>improve</w:t>
            </w:r>
            <w:proofErr w:type="gramEnd"/>
            <w:r>
              <w:rPr>
                <w:rFonts w:ascii="Segoe UI" w:hAnsi="Segoe UI" w:cs="Segoe UI"/>
                <w:b/>
                <w:bCs/>
                <w:sz w:val="16"/>
                <w:szCs w:val="16"/>
              </w:rPr>
              <w:t>-ments</w:t>
            </w:r>
          </w:p>
          <w:p w14:paraId="57B29EBC" w14:textId="77777777" w:rsidR="002404CD" w:rsidRDefault="002404CD">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1025" w:type="dxa"/>
            <w:shd w:val="clear" w:color="auto" w:fill="D9D9D9" w:themeFill="background1" w:themeFillShade="D9"/>
            <w:hideMark/>
          </w:tcPr>
          <w:p w14:paraId="7A807D24" w14:textId="77777777" w:rsidR="002404CD" w:rsidRDefault="002404CD">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Furniture plant and equipment</w:t>
            </w:r>
          </w:p>
          <w:p w14:paraId="2E4DCF08" w14:textId="77777777" w:rsidR="002404CD" w:rsidRDefault="002404CD">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1024" w:type="dxa"/>
            <w:shd w:val="clear" w:color="auto" w:fill="D9D9D9" w:themeFill="background1" w:themeFillShade="D9"/>
            <w:hideMark/>
          </w:tcPr>
          <w:p w14:paraId="7A0C309B" w14:textId="77777777" w:rsidR="002404CD" w:rsidRDefault="002404CD">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Motor vehicles</w:t>
            </w:r>
            <w:r>
              <w:rPr>
                <w:rFonts w:ascii="Segoe UI" w:hAnsi="Segoe UI" w:cs="Segoe UI"/>
                <w:b/>
                <w:bCs/>
                <w:sz w:val="16"/>
                <w:szCs w:val="16"/>
              </w:rPr>
              <w:br/>
            </w:r>
          </w:p>
          <w:p w14:paraId="40B1AE2F" w14:textId="77777777" w:rsidR="002404CD" w:rsidRDefault="002404CD">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1024" w:type="dxa"/>
            <w:shd w:val="clear" w:color="auto" w:fill="D9D9D9" w:themeFill="background1" w:themeFillShade="D9"/>
            <w:hideMark/>
          </w:tcPr>
          <w:p w14:paraId="7B740EEC" w14:textId="77777777" w:rsidR="002404CD" w:rsidRDefault="002404CD">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Computer</w:t>
            </w:r>
            <w:r>
              <w:rPr>
                <w:rFonts w:ascii="Segoe UI" w:hAnsi="Segoe UI" w:cs="Segoe UI"/>
                <w:b/>
                <w:bCs/>
                <w:sz w:val="16"/>
                <w:szCs w:val="16"/>
              </w:rPr>
              <w:br/>
              <w:t xml:space="preserve"> hardware</w:t>
            </w:r>
            <w:r>
              <w:rPr>
                <w:rFonts w:ascii="Segoe UI" w:hAnsi="Segoe UI" w:cs="Segoe UI"/>
                <w:b/>
                <w:bCs/>
                <w:sz w:val="16"/>
                <w:szCs w:val="16"/>
              </w:rPr>
              <w:br/>
            </w:r>
          </w:p>
          <w:p w14:paraId="2E6D6960" w14:textId="77777777" w:rsidR="002404CD" w:rsidRDefault="002404CD">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1025" w:type="dxa"/>
            <w:shd w:val="clear" w:color="auto" w:fill="D9D9D9" w:themeFill="background1" w:themeFillShade="D9"/>
            <w:hideMark/>
          </w:tcPr>
          <w:p w14:paraId="3670423F" w14:textId="77777777" w:rsidR="002404CD" w:rsidRDefault="002404CD">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Total</w:t>
            </w:r>
            <w:r>
              <w:rPr>
                <w:rFonts w:ascii="Segoe UI" w:hAnsi="Segoe UI" w:cs="Segoe UI"/>
                <w:b/>
                <w:bCs/>
                <w:sz w:val="16"/>
                <w:szCs w:val="16"/>
              </w:rPr>
              <w:br/>
            </w:r>
            <w:r>
              <w:rPr>
                <w:rFonts w:ascii="Segoe UI" w:hAnsi="Segoe UI" w:cs="Segoe UI"/>
                <w:b/>
                <w:bCs/>
                <w:sz w:val="16"/>
                <w:szCs w:val="16"/>
              </w:rPr>
              <w:br/>
            </w:r>
          </w:p>
          <w:p w14:paraId="0BAA3179" w14:textId="77777777" w:rsidR="002404CD" w:rsidRDefault="002404CD">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r>
      <w:tr w:rsidR="002404CD" w14:paraId="62E60D50" w14:textId="77777777" w:rsidTr="002404CD">
        <w:trPr>
          <w:trHeight w:val="334"/>
        </w:trPr>
        <w:tc>
          <w:tcPr>
            <w:tcW w:w="2268" w:type="dxa"/>
          </w:tcPr>
          <w:p w14:paraId="67578703" w14:textId="63D224D4" w:rsidR="002404CD" w:rsidRPr="007D1E25" w:rsidRDefault="002404CD" w:rsidP="008F7455">
            <w:pPr>
              <w:pStyle w:val="TableParagraph"/>
              <w:spacing w:before="40" w:after="40"/>
              <w:ind w:left="-42" w:right="170" w:firstLine="99"/>
              <w:rPr>
                <w:rFonts w:ascii="Segoe UI" w:hAnsi="Segoe UI" w:cs="Segoe UI"/>
                <w:b/>
                <w:bCs/>
                <w:sz w:val="16"/>
                <w:szCs w:val="16"/>
              </w:rPr>
            </w:pPr>
            <w:r w:rsidRPr="007D1E25">
              <w:rPr>
                <w:rFonts w:ascii="Segoe UI" w:hAnsi="Segoe UI" w:cs="Segoe UI"/>
                <w:b/>
                <w:bCs/>
                <w:sz w:val="16"/>
                <w:szCs w:val="16"/>
              </w:rPr>
              <w:t>Cost or valuation</w:t>
            </w:r>
          </w:p>
        </w:tc>
        <w:tc>
          <w:tcPr>
            <w:tcW w:w="1025" w:type="dxa"/>
          </w:tcPr>
          <w:p w14:paraId="23E35F20" w14:textId="06063446" w:rsidR="002404CD" w:rsidRPr="002404CD" w:rsidRDefault="002404CD" w:rsidP="008F7455">
            <w:pPr>
              <w:pStyle w:val="TableParagraph"/>
              <w:spacing w:before="40" w:after="40"/>
              <w:ind w:left="-42" w:right="170" w:firstLine="99"/>
              <w:jc w:val="right"/>
              <w:rPr>
                <w:rFonts w:ascii="Segoe UI" w:hAnsi="Segoe UI" w:cs="Segoe UI"/>
                <w:sz w:val="16"/>
                <w:szCs w:val="16"/>
              </w:rPr>
            </w:pPr>
          </w:p>
        </w:tc>
        <w:tc>
          <w:tcPr>
            <w:tcW w:w="1024" w:type="dxa"/>
          </w:tcPr>
          <w:p w14:paraId="64C50AB7" w14:textId="2D894419" w:rsidR="002404CD" w:rsidRPr="002404CD" w:rsidRDefault="002404CD" w:rsidP="008F7455">
            <w:pPr>
              <w:pStyle w:val="TableParagraph"/>
              <w:spacing w:before="40" w:after="40"/>
              <w:ind w:left="-42" w:right="170" w:firstLine="99"/>
              <w:jc w:val="right"/>
              <w:rPr>
                <w:rFonts w:ascii="Segoe UI" w:hAnsi="Segoe UI" w:cs="Segoe UI"/>
                <w:sz w:val="16"/>
                <w:szCs w:val="16"/>
              </w:rPr>
            </w:pPr>
          </w:p>
        </w:tc>
        <w:tc>
          <w:tcPr>
            <w:tcW w:w="1025" w:type="dxa"/>
          </w:tcPr>
          <w:p w14:paraId="7639023E" w14:textId="2AC39DCB" w:rsidR="002404CD" w:rsidRPr="002404CD" w:rsidRDefault="002404CD" w:rsidP="008F7455">
            <w:pPr>
              <w:pStyle w:val="TableParagraph"/>
              <w:spacing w:before="40" w:after="40"/>
              <w:ind w:left="-42" w:right="170" w:firstLine="99"/>
              <w:jc w:val="right"/>
              <w:rPr>
                <w:rFonts w:ascii="Segoe UI" w:hAnsi="Segoe UI" w:cs="Segoe UI"/>
                <w:sz w:val="16"/>
                <w:szCs w:val="16"/>
              </w:rPr>
            </w:pPr>
          </w:p>
        </w:tc>
        <w:tc>
          <w:tcPr>
            <w:tcW w:w="1024" w:type="dxa"/>
          </w:tcPr>
          <w:p w14:paraId="0417F6B8" w14:textId="6472FF93" w:rsidR="002404CD" w:rsidRPr="002404CD" w:rsidRDefault="002404CD" w:rsidP="008F7455">
            <w:pPr>
              <w:pStyle w:val="TableParagraph"/>
              <w:spacing w:before="40" w:after="40"/>
              <w:ind w:left="-42" w:right="170" w:firstLine="99"/>
              <w:jc w:val="right"/>
              <w:rPr>
                <w:rFonts w:ascii="Segoe UI" w:hAnsi="Segoe UI" w:cs="Segoe UI"/>
                <w:sz w:val="16"/>
                <w:szCs w:val="16"/>
              </w:rPr>
            </w:pPr>
          </w:p>
        </w:tc>
        <w:tc>
          <w:tcPr>
            <w:tcW w:w="1024" w:type="dxa"/>
          </w:tcPr>
          <w:p w14:paraId="26609D6E" w14:textId="5B4AED00" w:rsidR="002404CD" w:rsidRPr="002404CD" w:rsidRDefault="002404CD" w:rsidP="008F7455">
            <w:pPr>
              <w:pStyle w:val="TableParagraph"/>
              <w:spacing w:before="40" w:after="40"/>
              <w:ind w:left="-42" w:right="170" w:firstLine="99"/>
              <w:jc w:val="right"/>
              <w:rPr>
                <w:rFonts w:ascii="Segoe UI" w:hAnsi="Segoe UI" w:cs="Segoe UI"/>
                <w:sz w:val="16"/>
                <w:szCs w:val="16"/>
              </w:rPr>
            </w:pPr>
          </w:p>
        </w:tc>
        <w:tc>
          <w:tcPr>
            <w:tcW w:w="1025" w:type="dxa"/>
          </w:tcPr>
          <w:p w14:paraId="63843B5B" w14:textId="06B14FB1" w:rsidR="002404CD" w:rsidRPr="002404CD" w:rsidRDefault="002404CD" w:rsidP="008F7455">
            <w:pPr>
              <w:pStyle w:val="TableParagraph"/>
              <w:spacing w:before="40" w:after="40"/>
              <w:ind w:left="-42" w:right="170" w:firstLine="99"/>
              <w:jc w:val="right"/>
              <w:rPr>
                <w:rFonts w:ascii="Segoe UI" w:hAnsi="Segoe UI" w:cs="Segoe UI"/>
                <w:sz w:val="16"/>
                <w:szCs w:val="16"/>
              </w:rPr>
            </w:pPr>
          </w:p>
        </w:tc>
      </w:tr>
      <w:tr w:rsidR="007D1E25" w14:paraId="6E7C89E7" w14:textId="77777777" w:rsidTr="002404CD">
        <w:trPr>
          <w:trHeight w:val="359"/>
        </w:trPr>
        <w:tc>
          <w:tcPr>
            <w:tcW w:w="2268" w:type="dxa"/>
          </w:tcPr>
          <w:p w14:paraId="2E99AE8C" w14:textId="0FDBB388" w:rsidR="007D1E25" w:rsidRDefault="007D1E25" w:rsidP="008F7455">
            <w:pPr>
              <w:pStyle w:val="TableParagraph"/>
              <w:spacing w:before="40" w:after="40"/>
              <w:ind w:left="-42" w:right="170" w:firstLine="99"/>
              <w:rPr>
                <w:rFonts w:ascii="Segoe UI" w:hAnsi="Segoe UI" w:cs="Segoe UI"/>
                <w:sz w:val="16"/>
                <w:szCs w:val="16"/>
              </w:rPr>
            </w:pPr>
            <w:r w:rsidRPr="002404CD">
              <w:rPr>
                <w:rFonts w:ascii="Segoe UI" w:hAnsi="Segoe UI" w:cs="Segoe UI"/>
                <w:sz w:val="16"/>
                <w:szCs w:val="16"/>
              </w:rPr>
              <w:t xml:space="preserve">Balance as </w:t>
            </w:r>
            <w:proofErr w:type="gramStart"/>
            <w:r w:rsidRPr="002404CD">
              <w:rPr>
                <w:rFonts w:ascii="Segoe UI" w:hAnsi="Segoe UI" w:cs="Segoe UI"/>
                <w:sz w:val="16"/>
                <w:szCs w:val="16"/>
              </w:rPr>
              <w:t>at</w:t>
            </w:r>
            <w:proofErr w:type="gramEnd"/>
            <w:r w:rsidRPr="002404CD">
              <w:rPr>
                <w:rFonts w:ascii="Segoe UI" w:hAnsi="Segoe UI" w:cs="Segoe UI"/>
                <w:sz w:val="16"/>
                <w:szCs w:val="16"/>
              </w:rPr>
              <w:t xml:space="preserve"> 1 July 2022</w:t>
            </w:r>
          </w:p>
        </w:tc>
        <w:tc>
          <w:tcPr>
            <w:tcW w:w="1025" w:type="dxa"/>
          </w:tcPr>
          <w:p w14:paraId="58CA0DB2" w14:textId="69170338"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6,315</w:t>
            </w:r>
          </w:p>
        </w:tc>
        <w:tc>
          <w:tcPr>
            <w:tcW w:w="1024" w:type="dxa"/>
          </w:tcPr>
          <w:p w14:paraId="5A7C4186" w14:textId="32E358EE"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5,588</w:t>
            </w:r>
          </w:p>
        </w:tc>
        <w:tc>
          <w:tcPr>
            <w:tcW w:w="1025" w:type="dxa"/>
          </w:tcPr>
          <w:p w14:paraId="6BEAA60A" w14:textId="56D77747"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1,986</w:t>
            </w:r>
          </w:p>
        </w:tc>
        <w:tc>
          <w:tcPr>
            <w:tcW w:w="1024" w:type="dxa"/>
          </w:tcPr>
          <w:p w14:paraId="23F0D135" w14:textId="2307D050"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452</w:t>
            </w:r>
          </w:p>
        </w:tc>
        <w:tc>
          <w:tcPr>
            <w:tcW w:w="1024" w:type="dxa"/>
          </w:tcPr>
          <w:p w14:paraId="6896B698" w14:textId="7DCF47A7"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1,272</w:t>
            </w:r>
          </w:p>
        </w:tc>
        <w:tc>
          <w:tcPr>
            <w:tcW w:w="1025" w:type="dxa"/>
          </w:tcPr>
          <w:p w14:paraId="78E7C4F9" w14:textId="13FCD386"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15,613</w:t>
            </w:r>
          </w:p>
        </w:tc>
      </w:tr>
      <w:tr w:rsidR="007D1E25" w14:paraId="5C21F86B" w14:textId="77777777" w:rsidTr="002404CD">
        <w:trPr>
          <w:trHeight w:val="359"/>
        </w:trPr>
        <w:tc>
          <w:tcPr>
            <w:tcW w:w="2268" w:type="dxa"/>
          </w:tcPr>
          <w:p w14:paraId="3AC35017" w14:textId="7A832C10" w:rsidR="007D1E25" w:rsidRDefault="007D1E25" w:rsidP="008F7455">
            <w:pPr>
              <w:pStyle w:val="TableParagraph"/>
              <w:spacing w:before="40" w:after="40"/>
              <w:ind w:left="-42" w:right="170" w:firstLine="99"/>
              <w:rPr>
                <w:rFonts w:ascii="Segoe UI" w:hAnsi="Segoe UI" w:cs="Segoe UI"/>
                <w:sz w:val="16"/>
                <w:szCs w:val="16"/>
              </w:rPr>
            </w:pPr>
            <w:r w:rsidRPr="002404CD">
              <w:rPr>
                <w:rFonts w:ascii="Segoe UI" w:hAnsi="Segoe UI" w:cs="Segoe UI"/>
                <w:sz w:val="16"/>
                <w:szCs w:val="16"/>
              </w:rPr>
              <w:t>Additions</w:t>
            </w:r>
          </w:p>
        </w:tc>
        <w:tc>
          <w:tcPr>
            <w:tcW w:w="1025" w:type="dxa"/>
          </w:tcPr>
          <w:p w14:paraId="71E44EDB" w14:textId="654B66E9"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w:t>
            </w:r>
          </w:p>
        </w:tc>
        <w:tc>
          <w:tcPr>
            <w:tcW w:w="1024" w:type="dxa"/>
          </w:tcPr>
          <w:p w14:paraId="5EB212DB" w14:textId="18B7F16F"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1,304</w:t>
            </w:r>
          </w:p>
        </w:tc>
        <w:tc>
          <w:tcPr>
            <w:tcW w:w="1025" w:type="dxa"/>
          </w:tcPr>
          <w:p w14:paraId="708A3997" w14:textId="63B5DB4E"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16</w:t>
            </w:r>
          </w:p>
        </w:tc>
        <w:tc>
          <w:tcPr>
            <w:tcW w:w="1024" w:type="dxa"/>
          </w:tcPr>
          <w:p w14:paraId="01D0547D" w14:textId="52AB3114"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w:t>
            </w:r>
          </w:p>
        </w:tc>
        <w:tc>
          <w:tcPr>
            <w:tcW w:w="1024" w:type="dxa"/>
          </w:tcPr>
          <w:p w14:paraId="3045F1FD" w14:textId="0C869BC5"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w:t>
            </w:r>
          </w:p>
        </w:tc>
        <w:tc>
          <w:tcPr>
            <w:tcW w:w="1025" w:type="dxa"/>
          </w:tcPr>
          <w:p w14:paraId="066141B2" w14:textId="23127D54"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1,320</w:t>
            </w:r>
          </w:p>
        </w:tc>
      </w:tr>
      <w:tr w:rsidR="007D1E25" w14:paraId="59EF4254" w14:textId="77777777" w:rsidTr="002404CD">
        <w:trPr>
          <w:trHeight w:val="348"/>
        </w:trPr>
        <w:tc>
          <w:tcPr>
            <w:tcW w:w="2268" w:type="dxa"/>
            <w:tcBorders>
              <w:top w:val="nil"/>
              <w:left w:val="nil"/>
              <w:bottom w:val="single" w:sz="4" w:space="0" w:color="A6A6A6" w:themeColor="background1" w:themeShade="A6"/>
              <w:right w:val="nil"/>
            </w:tcBorders>
          </w:tcPr>
          <w:p w14:paraId="1E4407E6" w14:textId="153E62D8" w:rsidR="007D1E25" w:rsidRDefault="007D1E25" w:rsidP="008F7455">
            <w:pPr>
              <w:pStyle w:val="TableParagraph"/>
              <w:spacing w:before="40" w:after="40"/>
              <w:ind w:left="-42" w:right="170" w:firstLine="99"/>
              <w:rPr>
                <w:rFonts w:ascii="Segoe UI" w:hAnsi="Segoe UI" w:cs="Segoe UI"/>
                <w:sz w:val="16"/>
                <w:szCs w:val="16"/>
              </w:rPr>
            </w:pPr>
            <w:r w:rsidRPr="002404CD">
              <w:rPr>
                <w:rFonts w:ascii="Segoe UI" w:hAnsi="Segoe UI" w:cs="Segoe UI"/>
                <w:sz w:val="16"/>
                <w:szCs w:val="16"/>
              </w:rPr>
              <w:t>Disposals*</w:t>
            </w:r>
          </w:p>
        </w:tc>
        <w:tc>
          <w:tcPr>
            <w:tcW w:w="1025" w:type="dxa"/>
            <w:tcBorders>
              <w:top w:val="nil"/>
              <w:left w:val="nil"/>
              <w:bottom w:val="single" w:sz="4" w:space="0" w:color="A6A6A6" w:themeColor="background1" w:themeShade="A6"/>
              <w:right w:val="nil"/>
            </w:tcBorders>
          </w:tcPr>
          <w:p w14:paraId="32EFD307" w14:textId="175ED22A"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w:t>
            </w:r>
          </w:p>
        </w:tc>
        <w:tc>
          <w:tcPr>
            <w:tcW w:w="1024" w:type="dxa"/>
            <w:tcBorders>
              <w:top w:val="nil"/>
              <w:left w:val="nil"/>
              <w:bottom w:val="single" w:sz="4" w:space="0" w:color="A6A6A6" w:themeColor="background1" w:themeShade="A6"/>
              <w:right w:val="nil"/>
            </w:tcBorders>
          </w:tcPr>
          <w:p w14:paraId="357F9088" w14:textId="2BB15626"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(675)</w:t>
            </w:r>
          </w:p>
        </w:tc>
        <w:tc>
          <w:tcPr>
            <w:tcW w:w="1025" w:type="dxa"/>
            <w:tcBorders>
              <w:top w:val="nil"/>
              <w:left w:val="nil"/>
              <w:bottom w:val="single" w:sz="4" w:space="0" w:color="A6A6A6" w:themeColor="background1" w:themeShade="A6"/>
              <w:right w:val="nil"/>
            </w:tcBorders>
          </w:tcPr>
          <w:p w14:paraId="79D874D7" w14:textId="4D42AED2"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(1,221)</w:t>
            </w:r>
          </w:p>
        </w:tc>
        <w:tc>
          <w:tcPr>
            <w:tcW w:w="1024" w:type="dxa"/>
            <w:tcBorders>
              <w:top w:val="nil"/>
              <w:left w:val="nil"/>
              <w:bottom w:val="single" w:sz="4" w:space="0" w:color="A6A6A6" w:themeColor="background1" w:themeShade="A6"/>
              <w:right w:val="nil"/>
            </w:tcBorders>
          </w:tcPr>
          <w:p w14:paraId="0007483B" w14:textId="12397EEA"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(281)</w:t>
            </w:r>
          </w:p>
        </w:tc>
        <w:tc>
          <w:tcPr>
            <w:tcW w:w="1024" w:type="dxa"/>
            <w:tcBorders>
              <w:top w:val="nil"/>
              <w:left w:val="nil"/>
              <w:bottom w:val="single" w:sz="4" w:space="0" w:color="A6A6A6" w:themeColor="background1" w:themeShade="A6"/>
              <w:right w:val="nil"/>
            </w:tcBorders>
          </w:tcPr>
          <w:p w14:paraId="326AB71B" w14:textId="42C69B91"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(492)</w:t>
            </w:r>
          </w:p>
        </w:tc>
        <w:tc>
          <w:tcPr>
            <w:tcW w:w="1025" w:type="dxa"/>
            <w:tcBorders>
              <w:top w:val="nil"/>
              <w:left w:val="nil"/>
              <w:bottom w:val="single" w:sz="4" w:space="0" w:color="A6A6A6" w:themeColor="background1" w:themeShade="A6"/>
              <w:right w:val="nil"/>
            </w:tcBorders>
          </w:tcPr>
          <w:p w14:paraId="42FF5F13" w14:textId="584AEB3B"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(2,669)</w:t>
            </w:r>
          </w:p>
        </w:tc>
      </w:tr>
      <w:tr w:rsidR="007D1E25" w:rsidRPr="002404CD" w14:paraId="00D8AEF5" w14:textId="77777777" w:rsidTr="002404CD">
        <w:trPr>
          <w:trHeight w:val="344"/>
        </w:trPr>
        <w:tc>
          <w:tcPr>
            <w:tcW w:w="2268" w:type="dxa"/>
            <w:tcBorders>
              <w:top w:val="single" w:sz="4" w:space="0" w:color="A6A6A6" w:themeColor="background1" w:themeShade="A6"/>
              <w:left w:val="nil"/>
              <w:bottom w:val="single" w:sz="4" w:space="0" w:color="A6A6A6" w:themeColor="background1" w:themeShade="A6"/>
              <w:right w:val="nil"/>
            </w:tcBorders>
          </w:tcPr>
          <w:p w14:paraId="4AD075F8" w14:textId="379EC7DC" w:rsidR="007D1E25" w:rsidRPr="002404CD" w:rsidRDefault="007D1E25" w:rsidP="008F7455">
            <w:pPr>
              <w:pStyle w:val="TableParagraph"/>
              <w:spacing w:before="40" w:after="40"/>
              <w:ind w:left="-42" w:right="170" w:firstLine="99"/>
              <w:rPr>
                <w:rFonts w:ascii="Segoe UI" w:hAnsi="Segoe UI" w:cs="Segoe UI"/>
                <w:b/>
                <w:bCs/>
                <w:sz w:val="16"/>
                <w:szCs w:val="16"/>
              </w:rPr>
            </w:pPr>
            <w:r w:rsidRPr="002404CD">
              <w:rPr>
                <w:rFonts w:ascii="Segoe UI" w:hAnsi="Segoe UI" w:cs="Segoe UI"/>
                <w:b/>
                <w:bCs/>
                <w:sz w:val="16"/>
                <w:szCs w:val="16"/>
              </w:rPr>
              <w:t xml:space="preserve">Balance as </w:t>
            </w:r>
            <w:proofErr w:type="gramStart"/>
            <w:r w:rsidRPr="002404CD">
              <w:rPr>
                <w:rFonts w:ascii="Segoe UI" w:hAnsi="Segoe UI" w:cs="Segoe UI"/>
                <w:b/>
                <w:bCs/>
                <w:sz w:val="16"/>
                <w:szCs w:val="16"/>
              </w:rPr>
              <w:t>at</w:t>
            </w:r>
            <w:proofErr w:type="gramEnd"/>
            <w:r w:rsidRPr="002404CD">
              <w:rPr>
                <w:rFonts w:ascii="Segoe UI" w:hAnsi="Segoe UI" w:cs="Segoe UI"/>
                <w:b/>
                <w:bCs/>
                <w:sz w:val="16"/>
                <w:szCs w:val="16"/>
              </w:rPr>
              <w:t xml:space="preserve"> 30 June 2023</w:t>
            </w:r>
          </w:p>
        </w:tc>
        <w:tc>
          <w:tcPr>
            <w:tcW w:w="1025" w:type="dxa"/>
            <w:tcBorders>
              <w:top w:val="single" w:sz="4" w:space="0" w:color="A6A6A6" w:themeColor="background1" w:themeShade="A6"/>
              <w:left w:val="nil"/>
              <w:bottom w:val="single" w:sz="4" w:space="0" w:color="A6A6A6" w:themeColor="background1" w:themeShade="A6"/>
              <w:right w:val="nil"/>
            </w:tcBorders>
          </w:tcPr>
          <w:p w14:paraId="3A4A82B0" w14:textId="686311D0" w:rsidR="007D1E25" w:rsidRPr="002404CD" w:rsidRDefault="007D1E25" w:rsidP="008F7455">
            <w:pPr>
              <w:pStyle w:val="TableParagraph"/>
              <w:spacing w:before="40" w:after="40"/>
              <w:ind w:left="-42" w:right="170" w:firstLine="99"/>
              <w:jc w:val="right"/>
              <w:rPr>
                <w:rFonts w:ascii="Segoe UI" w:hAnsi="Segoe UI" w:cs="Segoe UI"/>
                <w:b/>
                <w:bCs/>
                <w:sz w:val="16"/>
                <w:szCs w:val="16"/>
              </w:rPr>
            </w:pPr>
            <w:r w:rsidRPr="002404CD">
              <w:rPr>
                <w:rFonts w:ascii="Segoe UI" w:hAnsi="Segoe UI" w:cs="Segoe UI"/>
                <w:b/>
                <w:bCs/>
                <w:sz w:val="16"/>
                <w:szCs w:val="16"/>
              </w:rPr>
              <w:t>6,315</w:t>
            </w:r>
          </w:p>
        </w:tc>
        <w:tc>
          <w:tcPr>
            <w:tcW w:w="1024" w:type="dxa"/>
            <w:tcBorders>
              <w:top w:val="single" w:sz="4" w:space="0" w:color="A6A6A6" w:themeColor="background1" w:themeShade="A6"/>
              <w:left w:val="nil"/>
              <w:bottom w:val="single" w:sz="4" w:space="0" w:color="A6A6A6" w:themeColor="background1" w:themeShade="A6"/>
              <w:right w:val="nil"/>
            </w:tcBorders>
          </w:tcPr>
          <w:p w14:paraId="57845A60" w14:textId="3BAF4390" w:rsidR="007D1E25" w:rsidRPr="002404CD" w:rsidRDefault="007D1E25" w:rsidP="008F7455">
            <w:pPr>
              <w:pStyle w:val="TableParagraph"/>
              <w:spacing w:before="40" w:after="40"/>
              <w:ind w:left="-42" w:right="170" w:firstLine="99"/>
              <w:jc w:val="right"/>
              <w:rPr>
                <w:rFonts w:ascii="Segoe UI" w:hAnsi="Segoe UI" w:cs="Segoe UI"/>
                <w:b/>
                <w:bCs/>
                <w:sz w:val="16"/>
                <w:szCs w:val="16"/>
              </w:rPr>
            </w:pPr>
            <w:r w:rsidRPr="002404CD">
              <w:rPr>
                <w:rFonts w:ascii="Segoe UI" w:hAnsi="Segoe UI" w:cs="Segoe UI"/>
                <w:b/>
                <w:bCs/>
                <w:sz w:val="16"/>
                <w:szCs w:val="16"/>
              </w:rPr>
              <w:t>6,217</w:t>
            </w:r>
          </w:p>
        </w:tc>
        <w:tc>
          <w:tcPr>
            <w:tcW w:w="1025" w:type="dxa"/>
            <w:tcBorders>
              <w:top w:val="single" w:sz="4" w:space="0" w:color="A6A6A6" w:themeColor="background1" w:themeShade="A6"/>
              <w:left w:val="nil"/>
              <w:bottom w:val="single" w:sz="4" w:space="0" w:color="A6A6A6" w:themeColor="background1" w:themeShade="A6"/>
              <w:right w:val="nil"/>
            </w:tcBorders>
          </w:tcPr>
          <w:p w14:paraId="0B8BF6CF" w14:textId="4DBFAD79" w:rsidR="007D1E25" w:rsidRPr="002404CD" w:rsidRDefault="007D1E25" w:rsidP="008F7455">
            <w:pPr>
              <w:pStyle w:val="TableParagraph"/>
              <w:spacing w:before="40" w:after="40"/>
              <w:ind w:left="-42" w:right="170" w:firstLine="99"/>
              <w:jc w:val="right"/>
              <w:rPr>
                <w:rFonts w:ascii="Segoe UI" w:hAnsi="Segoe UI" w:cs="Segoe UI"/>
                <w:b/>
                <w:bCs/>
                <w:sz w:val="16"/>
                <w:szCs w:val="16"/>
              </w:rPr>
            </w:pPr>
            <w:r w:rsidRPr="002404CD">
              <w:rPr>
                <w:rFonts w:ascii="Segoe UI" w:hAnsi="Segoe UI" w:cs="Segoe UI"/>
                <w:b/>
                <w:bCs/>
                <w:sz w:val="16"/>
                <w:szCs w:val="16"/>
              </w:rPr>
              <w:t>781</w:t>
            </w:r>
          </w:p>
        </w:tc>
        <w:tc>
          <w:tcPr>
            <w:tcW w:w="1024" w:type="dxa"/>
            <w:tcBorders>
              <w:top w:val="single" w:sz="4" w:space="0" w:color="A6A6A6" w:themeColor="background1" w:themeShade="A6"/>
              <w:left w:val="nil"/>
              <w:bottom w:val="single" w:sz="4" w:space="0" w:color="A6A6A6" w:themeColor="background1" w:themeShade="A6"/>
              <w:right w:val="nil"/>
            </w:tcBorders>
          </w:tcPr>
          <w:p w14:paraId="13882630" w14:textId="4D6EE3B5" w:rsidR="007D1E25" w:rsidRPr="002404CD" w:rsidRDefault="007D1E25" w:rsidP="008F7455">
            <w:pPr>
              <w:pStyle w:val="TableParagraph"/>
              <w:spacing w:before="40" w:after="40"/>
              <w:ind w:left="-42" w:right="170" w:firstLine="99"/>
              <w:jc w:val="right"/>
              <w:rPr>
                <w:rFonts w:ascii="Segoe UI" w:hAnsi="Segoe UI" w:cs="Segoe UI"/>
                <w:b/>
                <w:bCs/>
                <w:sz w:val="16"/>
                <w:szCs w:val="16"/>
              </w:rPr>
            </w:pPr>
            <w:r w:rsidRPr="002404CD">
              <w:rPr>
                <w:rFonts w:ascii="Segoe UI" w:hAnsi="Segoe UI" w:cs="Segoe UI"/>
                <w:b/>
                <w:bCs/>
                <w:sz w:val="16"/>
                <w:szCs w:val="16"/>
              </w:rPr>
              <w:t>171</w:t>
            </w:r>
          </w:p>
        </w:tc>
        <w:tc>
          <w:tcPr>
            <w:tcW w:w="1024" w:type="dxa"/>
            <w:tcBorders>
              <w:top w:val="single" w:sz="4" w:space="0" w:color="A6A6A6" w:themeColor="background1" w:themeShade="A6"/>
              <w:left w:val="nil"/>
              <w:bottom w:val="single" w:sz="4" w:space="0" w:color="A6A6A6" w:themeColor="background1" w:themeShade="A6"/>
              <w:right w:val="nil"/>
            </w:tcBorders>
          </w:tcPr>
          <w:p w14:paraId="692DC1BF" w14:textId="32226E0C" w:rsidR="007D1E25" w:rsidRPr="002404CD" w:rsidRDefault="007D1E25" w:rsidP="008F7455">
            <w:pPr>
              <w:pStyle w:val="TableParagraph"/>
              <w:spacing w:before="40" w:after="40"/>
              <w:ind w:left="-42" w:right="170" w:firstLine="99"/>
              <w:jc w:val="right"/>
              <w:rPr>
                <w:rFonts w:ascii="Segoe UI" w:hAnsi="Segoe UI" w:cs="Segoe UI"/>
                <w:b/>
                <w:bCs/>
                <w:sz w:val="16"/>
                <w:szCs w:val="16"/>
              </w:rPr>
            </w:pPr>
            <w:r w:rsidRPr="002404CD">
              <w:rPr>
                <w:rFonts w:ascii="Segoe UI" w:hAnsi="Segoe UI" w:cs="Segoe UI"/>
                <w:b/>
                <w:bCs/>
                <w:sz w:val="16"/>
                <w:szCs w:val="16"/>
              </w:rPr>
              <w:t>780</w:t>
            </w:r>
          </w:p>
        </w:tc>
        <w:tc>
          <w:tcPr>
            <w:tcW w:w="1025" w:type="dxa"/>
            <w:tcBorders>
              <w:top w:val="single" w:sz="4" w:space="0" w:color="A6A6A6" w:themeColor="background1" w:themeShade="A6"/>
              <w:left w:val="nil"/>
              <w:bottom w:val="single" w:sz="4" w:space="0" w:color="A6A6A6" w:themeColor="background1" w:themeShade="A6"/>
              <w:right w:val="nil"/>
            </w:tcBorders>
          </w:tcPr>
          <w:p w14:paraId="1B6EB313" w14:textId="6DE48D49" w:rsidR="007D1E25" w:rsidRPr="002404CD" w:rsidRDefault="007D1E25" w:rsidP="008F7455">
            <w:pPr>
              <w:pStyle w:val="TableParagraph"/>
              <w:spacing w:before="40" w:after="40"/>
              <w:ind w:left="-42" w:right="170" w:firstLine="99"/>
              <w:jc w:val="right"/>
              <w:rPr>
                <w:rFonts w:ascii="Segoe UI" w:hAnsi="Segoe UI" w:cs="Segoe UI"/>
                <w:b/>
                <w:bCs/>
                <w:sz w:val="16"/>
                <w:szCs w:val="16"/>
              </w:rPr>
            </w:pPr>
            <w:r w:rsidRPr="002404CD">
              <w:rPr>
                <w:rFonts w:ascii="Segoe UI" w:hAnsi="Segoe UI" w:cs="Segoe UI"/>
                <w:b/>
                <w:bCs/>
                <w:sz w:val="16"/>
                <w:szCs w:val="16"/>
              </w:rPr>
              <w:t>14,264</w:t>
            </w:r>
          </w:p>
        </w:tc>
      </w:tr>
      <w:tr w:rsidR="007D1E25" w:rsidRPr="002404CD" w14:paraId="19DD547C" w14:textId="77777777" w:rsidTr="002404CD">
        <w:trPr>
          <w:trHeight w:val="354"/>
        </w:trPr>
        <w:tc>
          <w:tcPr>
            <w:tcW w:w="2268" w:type="dxa"/>
            <w:tcBorders>
              <w:top w:val="single" w:sz="4" w:space="0" w:color="A6A6A6" w:themeColor="background1" w:themeShade="A6"/>
              <w:left w:val="nil"/>
              <w:bottom w:val="nil"/>
              <w:right w:val="nil"/>
            </w:tcBorders>
          </w:tcPr>
          <w:p w14:paraId="13BC9252" w14:textId="61661BA3" w:rsidR="007D1E25" w:rsidRDefault="007D1E25" w:rsidP="008F7455">
            <w:pPr>
              <w:pStyle w:val="TableParagraph"/>
              <w:spacing w:before="40" w:after="40"/>
              <w:ind w:left="-42" w:right="170" w:firstLine="99"/>
              <w:rPr>
                <w:rFonts w:ascii="Segoe UI" w:hAnsi="Segoe UI" w:cs="Segoe UI"/>
                <w:sz w:val="16"/>
                <w:szCs w:val="16"/>
              </w:rPr>
            </w:pPr>
            <w:r w:rsidRPr="002404CD">
              <w:rPr>
                <w:rFonts w:ascii="Segoe UI" w:hAnsi="Segoe UI" w:cs="Segoe UI"/>
                <w:sz w:val="16"/>
                <w:szCs w:val="16"/>
              </w:rPr>
              <w:t xml:space="preserve">Balance as </w:t>
            </w:r>
            <w:proofErr w:type="gramStart"/>
            <w:r w:rsidRPr="002404CD">
              <w:rPr>
                <w:rFonts w:ascii="Segoe UI" w:hAnsi="Segoe UI" w:cs="Segoe UI"/>
                <w:sz w:val="16"/>
                <w:szCs w:val="16"/>
              </w:rPr>
              <w:t>at</w:t>
            </w:r>
            <w:proofErr w:type="gramEnd"/>
            <w:r w:rsidRPr="002404CD">
              <w:rPr>
                <w:rFonts w:ascii="Segoe UI" w:hAnsi="Segoe UI" w:cs="Segoe UI"/>
                <w:sz w:val="16"/>
                <w:szCs w:val="16"/>
              </w:rPr>
              <w:t xml:space="preserve"> 1 July 2023</w:t>
            </w:r>
          </w:p>
        </w:tc>
        <w:tc>
          <w:tcPr>
            <w:tcW w:w="1025" w:type="dxa"/>
            <w:tcBorders>
              <w:top w:val="single" w:sz="4" w:space="0" w:color="A6A6A6" w:themeColor="background1" w:themeShade="A6"/>
              <w:left w:val="nil"/>
              <w:bottom w:val="nil"/>
              <w:right w:val="nil"/>
            </w:tcBorders>
          </w:tcPr>
          <w:p w14:paraId="444618CD" w14:textId="6A0B561A" w:rsidR="007D1E25" w:rsidRDefault="007D1E25" w:rsidP="008F7455">
            <w:pPr>
              <w:pStyle w:val="TableParagraph"/>
              <w:spacing w:before="40" w:after="40"/>
              <w:ind w:left="-42" w:right="170" w:firstLine="99"/>
              <w:jc w:val="right"/>
              <w:rPr>
                <w:rFonts w:ascii="Segoe UI" w:hAnsi="Segoe UI" w:cs="Segoe UI"/>
                <w:sz w:val="16"/>
                <w:szCs w:val="16"/>
              </w:rPr>
            </w:pPr>
            <w:r w:rsidRPr="007D1E25">
              <w:rPr>
                <w:rFonts w:ascii="Segoe UI" w:hAnsi="Segoe UI" w:cs="Segoe UI"/>
                <w:sz w:val="16"/>
                <w:szCs w:val="16"/>
              </w:rPr>
              <w:t>6,315</w:t>
            </w:r>
          </w:p>
        </w:tc>
        <w:tc>
          <w:tcPr>
            <w:tcW w:w="1024" w:type="dxa"/>
            <w:tcBorders>
              <w:top w:val="single" w:sz="4" w:space="0" w:color="A6A6A6" w:themeColor="background1" w:themeShade="A6"/>
              <w:left w:val="nil"/>
              <w:bottom w:val="nil"/>
              <w:right w:val="nil"/>
            </w:tcBorders>
          </w:tcPr>
          <w:p w14:paraId="50323A9D" w14:textId="4FF31EA0" w:rsidR="007D1E25" w:rsidRDefault="007D1E25" w:rsidP="008F7455">
            <w:pPr>
              <w:pStyle w:val="TableParagraph"/>
              <w:spacing w:before="40" w:after="40"/>
              <w:ind w:left="-42" w:right="170" w:firstLine="99"/>
              <w:jc w:val="right"/>
              <w:rPr>
                <w:rFonts w:ascii="Segoe UI" w:hAnsi="Segoe UI" w:cs="Segoe UI"/>
                <w:sz w:val="16"/>
                <w:szCs w:val="16"/>
              </w:rPr>
            </w:pPr>
            <w:r w:rsidRPr="007D1E25">
              <w:rPr>
                <w:rFonts w:ascii="Segoe UI" w:hAnsi="Segoe UI" w:cs="Segoe UI"/>
                <w:sz w:val="16"/>
                <w:szCs w:val="16"/>
              </w:rPr>
              <w:t>6,217</w:t>
            </w:r>
          </w:p>
        </w:tc>
        <w:tc>
          <w:tcPr>
            <w:tcW w:w="1025" w:type="dxa"/>
            <w:tcBorders>
              <w:top w:val="single" w:sz="4" w:space="0" w:color="A6A6A6" w:themeColor="background1" w:themeShade="A6"/>
              <w:left w:val="nil"/>
              <w:bottom w:val="nil"/>
              <w:right w:val="nil"/>
            </w:tcBorders>
          </w:tcPr>
          <w:p w14:paraId="31FF7BCB" w14:textId="3CEAD1A4" w:rsidR="007D1E25" w:rsidRDefault="007D1E25" w:rsidP="008F7455">
            <w:pPr>
              <w:pStyle w:val="TableParagraph"/>
              <w:spacing w:before="40" w:after="40"/>
              <w:ind w:left="-42" w:right="170" w:firstLine="99"/>
              <w:jc w:val="right"/>
              <w:rPr>
                <w:rFonts w:ascii="Segoe UI" w:hAnsi="Segoe UI" w:cs="Segoe UI"/>
                <w:sz w:val="16"/>
                <w:szCs w:val="16"/>
              </w:rPr>
            </w:pPr>
            <w:r w:rsidRPr="007D1E25">
              <w:rPr>
                <w:rFonts w:ascii="Segoe UI" w:hAnsi="Segoe UI" w:cs="Segoe UI"/>
                <w:sz w:val="16"/>
                <w:szCs w:val="16"/>
              </w:rPr>
              <w:t>781</w:t>
            </w:r>
          </w:p>
        </w:tc>
        <w:tc>
          <w:tcPr>
            <w:tcW w:w="1024" w:type="dxa"/>
            <w:tcBorders>
              <w:top w:val="single" w:sz="4" w:space="0" w:color="A6A6A6" w:themeColor="background1" w:themeShade="A6"/>
              <w:left w:val="nil"/>
              <w:bottom w:val="nil"/>
              <w:right w:val="nil"/>
            </w:tcBorders>
          </w:tcPr>
          <w:p w14:paraId="313CDDA9" w14:textId="1779618A" w:rsidR="007D1E25" w:rsidRDefault="007D1E25" w:rsidP="008F7455">
            <w:pPr>
              <w:pStyle w:val="TableParagraph"/>
              <w:spacing w:before="40" w:after="40"/>
              <w:ind w:left="-42" w:right="170" w:firstLine="99"/>
              <w:jc w:val="right"/>
              <w:rPr>
                <w:rFonts w:ascii="Segoe UI" w:hAnsi="Segoe UI" w:cs="Segoe UI"/>
                <w:sz w:val="16"/>
                <w:szCs w:val="16"/>
              </w:rPr>
            </w:pPr>
            <w:r w:rsidRPr="007D1E25">
              <w:rPr>
                <w:rFonts w:ascii="Segoe UI" w:hAnsi="Segoe UI" w:cs="Segoe UI"/>
                <w:sz w:val="16"/>
                <w:szCs w:val="16"/>
              </w:rPr>
              <w:t>171</w:t>
            </w:r>
          </w:p>
        </w:tc>
        <w:tc>
          <w:tcPr>
            <w:tcW w:w="1024" w:type="dxa"/>
            <w:tcBorders>
              <w:top w:val="single" w:sz="4" w:space="0" w:color="A6A6A6" w:themeColor="background1" w:themeShade="A6"/>
              <w:left w:val="nil"/>
              <w:bottom w:val="nil"/>
              <w:right w:val="nil"/>
            </w:tcBorders>
          </w:tcPr>
          <w:p w14:paraId="071057BE" w14:textId="269FA042" w:rsidR="007D1E25" w:rsidRDefault="007D1E25" w:rsidP="008F7455">
            <w:pPr>
              <w:pStyle w:val="TableParagraph"/>
              <w:spacing w:before="40" w:after="40"/>
              <w:ind w:left="-42" w:right="170" w:firstLine="99"/>
              <w:jc w:val="right"/>
              <w:rPr>
                <w:rFonts w:ascii="Segoe UI" w:hAnsi="Segoe UI" w:cs="Segoe UI"/>
                <w:sz w:val="16"/>
                <w:szCs w:val="16"/>
              </w:rPr>
            </w:pPr>
            <w:r w:rsidRPr="007D1E25">
              <w:rPr>
                <w:rFonts w:ascii="Segoe UI" w:hAnsi="Segoe UI" w:cs="Segoe UI"/>
                <w:sz w:val="16"/>
                <w:szCs w:val="16"/>
              </w:rPr>
              <w:t>780</w:t>
            </w:r>
          </w:p>
        </w:tc>
        <w:tc>
          <w:tcPr>
            <w:tcW w:w="1025" w:type="dxa"/>
            <w:tcBorders>
              <w:top w:val="single" w:sz="4" w:space="0" w:color="A6A6A6" w:themeColor="background1" w:themeShade="A6"/>
              <w:left w:val="nil"/>
              <w:bottom w:val="nil"/>
              <w:right w:val="nil"/>
            </w:tcBorders>
          </w:tcPr>
          <w:p w14:paraId="1902C21B" w14:textId="54D3D57F" w:rsidR="007D1E25" w:rsidRDefault="007D1E25" w:rsidP="008F7455">
            <w:pPr>
              <w:pStyle w:val="TableParagraph"/>
              <w:spacing w:before="40" w:after="40"/>
              <w:ind w:left="-42" w:right="170" w:firstLine="99"/>
              <w:jc w:val="right"/>
              <w:rPr>
                <w:rFonts w:ascii="Segoe UI" w:hAnsi="Segoe UI" w:cs="Segoe UI"/>
                <w:sz w:val="16"/>
                <w:szCs w:val="16"/>
              </w:rPr>
            </w:pPr>
            <w:r w:rsidRPr="007D1E25">
              <w:rPr>
                <w:rFonts w:ascii="Segoe UI" w:hAnsi="Segoe UI" w:cs="Segoe UI"/>
                <w:sz w:val="16"/>
                <w:szCs w:val="16"/>
              </w:rPr>
              <w:t>14,264</w:t>
            </w:r>
          </w:p>
        </w:tc>
      </w:tr>
      <w:tr w:rsidR="007D1E25" w:rsidRPr="002404CD" w14:paraId="20D862E1" w14:textId="77777777" w:rsidTr="002404CD">
        <w:trPr>
          <w:trHeight w:val="359"/>
        </w:trPr>
        <w:tc>
          <w:tcPr>
            <w:tcW w:w="2268" w:type="dxa"/>
          </w:tcPr>
          <w:p w14:paraId="5AFEE83F" w14:textId="253F1874" w:rsidR="007D1E25" w:rsidRDefault="007D1E25" w:rsidP="008F7455">
            <w:pPr>
              <w:pStyle w:val="TableParagraph"/>
              <w:spacing w:before="40" w:after="40"/>
              <w:ind w:left="-42" w:right="170" w:firstLine="99"/>
              <w:rPr>
                <w:rFonts w:ascii="Segoe UI" w:hAnsi="Segoe UI" w:cs="Segoe UI"/>
                <w:sz w:val="16"/>
                <w:szCs w:val="16"/>
              </w:rPr>
            </w:pPr>
            <w:r w:rsidRPr="002404CD">
              <w:rPr>
                <w:rFonts w:ascii="Segoe UI" w:hAnsi="Segoe UI" w:cs="Segoe UI"/>
                <w:sz w:val="16"/>
                <w:szCs w:val="16"/>
              </w:rPr>
              <w:t>Additions</w:t>
            </w:r>
          </w:p>
        </w:tc>
        <w:tc>
          <w:tcPr>
            <w:tcW w:w="1025" w:type="dxa"/>
          </w:tcPr>
          <w:p w14:paraId="00209281" w14:textId="5DB25AF4" w:rsidR="007D1E25" w:rsidRDefault="007D1E25" w:rsidP="008F7455">
            <w:pPr>
              <w:pStyle w:val="TableParagraph"/>
              <w:spacing w:before="40" w:after="40"/>
              <w:ind w:left="-42" w:right="170" w:firstLine="99"/>
              <w:jc w:val="right"/>
              <w:rPr>
                <w:rFonts w:ascii="Segoe UI" w:hAnsi="Segoe UI" w:cs="Segoe UI"/>
                <w:sz w:val="16"/>
                <w:szCs w:val="16"/>
              </w:rPr>
            </w:pPr>
            <w:r w:rsidRPr="007D1E25">
              <w:rPr>
                <w:rFonts w:ascii="Segoe UI" w:hAnsi="Segoe UI" w:cs="Segoe UI"/>
                <w:sz w:val="16"/>
                <w:szCs w:val="16"/>
              </w:rPr>
              <w:t>–</w:t>
            </w:r>
          </w:p>
        </w:tc>
        <w:tc>
          <w:tcPr>
            <w:tcW w:w="1024" w:type="dxa"/>
          </w:tcPr>
          <w:p w14:paraId="7CA11BA0" w14:textId="1E58191C" w:rsidR="007D1E25" w:rsidRDefault="007D1E25" w:rsidP="008F7455">
            <w:pPr>
              <w:pStyle w:val="TableParagraph"/>
              <w:spacing w:before="40" w:after="40"/>
              <w:ind w:left="-42" w:right="170" w:firstLine="99"/>
              <w:jc w:val="right"/>
              <w:rPr>
                <w:rFonts w:ascii="Segoe UI" w:hAnsi="Segoe UI" w:cs="Segoe UI"/>
                <w:sz w:val="16"/>
                <w:szCs w:val="16"/>
              </w:rPr>
            </w:pPr>
            <w:r w:rsidRPr="007D1E25">
              <w:rPr>
                <w:rFonts w:ascii="Segoe UI" w:hAnsi="Segoe UI" w:cs="Segoe UI"/>
                <w:sz w:val="16"/>
                <w:szCs w:val="16"/>
              </w:rPr>
              <w:t>2,082</w:t>
            </w:r>
          </w:p>
        </w:tc>
        <w:tc>
          <w:tcPr>
            <w:tcW w:w="1025" w:type="dxa"/>
          </w:tcPr>
          <w:p w14:paraId="4BADD53E" w14:textId="34C8122D" w:rsidR="007D1E25" w:rsidRDefault="007D1E25" w:rsidP="008F7455">
            <w:pPr>
              <w:pStyle w:val="TableParagraph"/>
              <w:spacing w:before="40" w:after="40"/>
              <w:ind w:left="-42" w:right="170" w:firstLine="99"/>
              <w:jc w:val="right"/>
              <w:rPr>
                <w:rFonts w:ascii="Segoe UI" w:hAnsi="Segoe UI" w:cs="Segoe UI"/>
                <w:sz w:val="16"/>
                <w:szCs w:val="16"/>
              </w:rPr>
            </w:pPr>
            <w:r w:rsidRPr="007D1E25">
              <w:rPr>
                <w:rFonts w:ascii="Segoe UI" w:hAnsi="Segoe UI" w:cs="Segoe UI"/>
                <w:sz w:val="16"/>
                <w:szCs w:val="16"/>
              </w:rPr>
              <w:t>–</w:t>
            </w:r>
          </w:p>
        </w:tc>
        <w:tc>
          <w:tcPr>
            <w:tcW w:w="1024" w:type="dxa"/>
          </w:tcPr>
          <w:p w14:paraId="66DA8702" w14:textId="7A6E1B5D" w:rsidR="007D1E25" w:rsidRDefault="007D1E25" w:rsidP="008F7455">
            <w:pPr>
              <w:pStyle w:val="TableParagraph"/>
              <w:spacing w:before="40" w:after="40"/>
              <w:ind w:left="-42" w:right="170" w:firstLine="99"/>
              <w:jc w:val="right"/>
              <w:rPr>
                <w:rFonts w:ascii="Segoe UI" w:hAnsi="Segoe UI" w:cs="Segoe UI"/>
                <w:sz w:val="16"/>
                <w:szCs w:val="16"/>
              </w:rPr>
            </w:pPr>
            <w:r w:rsidRPr="007D1E25">
              <w:rPr>
                <w:rFonts w:ascii="Segoe UI" w:hAnsi="Segoe UI" w:cs="Segoe UI"/>
                <w:sz w:val="16"/>
                <w:szCs w:val="16"/>
              </w:rPr>
              <w:t>–</w:t>
            </w:r>
          </w:p>
        </w:tc>
        <w:tc>
          <w:tcPr>
            <w:tcW w:w="1024" w:type="dxa"/>
          </w:tcPr>
          <w:p w14:paraId="687A4F9C" w14:textId="6D1CC8E0" w:rsidR="007D1E25" w:rsidRDefault="007D1E25" w:rsidP="008F7455">
            <w:pPr>
              <w:pStyle w:val="TableParagraph"/>
              <w:spacing w:before="40" w:after="40"/>
              <w:ind w:left="-42" w:right="170" w:firstLine="99"/>
              <w:jc w:val="right"/>
              <w:rPr>
                <w:rFonts w:ascii="Segoe UI" w:hAnsi="Segoe UI" w:cs="Segoe UI"/>
                <w:sz w:val="16"/>
                <w:szCs w:val="16"/>
              </w:rPr>
            </w:pPr>
            <w:r w:rsidRPr="007D1E25">
              <w:rPr>
                <w:rFonts w:ascii="Segoe UI" w:hAnsi="Segoe UI" w:cs="Segoe UI"/>
                <w:sz w:val="16"/>
                <w:szCs w:val="16"/>
              </w:rPr>
              <w:t>–</w:t>
            </w:r>
          </w:p>
        </w:tc>
        <w:tc>
          <w:tcPr>
            <w:tcW w:w="1025" w:type="dxa"/>
          </w:tcPr>
          <w:p w14:paraId="374D057D" w14:textId="04533097" w:rsidR="007D1E25" w:rsidRDefault="007D1E25" w:rsidP="008F7455">
            <w:pPr>
              <w:pStyle w:val="TableParagraph"/>
              <w:spacing w:before="40" w:after="40"/>
              <w:ind w:left="-42" w:right="170" w:firstLine="99"/>
              <w:jc w:val="right"/>
              <w:rPr>
                <w:rFonts w:ascii="Segoe UI" w:hAnsi="Segoe UI" w:cs="Segoe UI"/>
                <w:sz w:val="16"/>
                <w:szCs w:val="16"/>
              </w:rPr>
            </w:pPr>
            <w:r w:rsidRPr="007D1E25">
              <w:rPr>
                <w:rFonts w:ascii="Segoe UI" w:hAnsi="Segoe UI" w:cs="Segoe UI"/>
                <w:sz w:val="16"/>
                <w:szCs w:val="16"/>
              </w:rPr>
              <w:t>2,082</w:t>
            </w:r>
          </w:p>
        </w:tc>
      </w:tr>
      <w:tr w:rsidR="007D1E25" w:rsidRPr="002404CD" w14:paraId="3054ADC6" w14:textId="77777777" w:rsidTr="002404CD">
        <w:trPr>
          <w:trHeight w:val="348"/>
        </w:trPr>
        <w:tc>
          <w:tcPr>
            <w:tcW w:w="2268" w:type="dxa"/>
            <w:tcBorders>
              <w:top w:val="nil"/>
              <w:left w:val="nil"/>
              <w:right w:val="nil"/>
            </w:tcBorders>
          </w:tcPr>
          <w:p w14:paraId="28561CBE" w14:textId="0099E4A0" w:rsidR="007D1E25" w:rsidRDefault="007D1E25" w:rsidP="008F7455">
            <w:pPr>
              <w:pStyle w:val="TableParagraph"/>
              <w:spacing w:before="40" w:after="40"/>
              <w:ind w:left="-42" w:right="170" w:firstLine="99"/>
              <w:rPr>
                <w:rFonts w:ascii="Segoe UI" w:hAnsi="Segoe UI" w:cs="Segoe UI"/>
                <w:sz w:val="16"/>
                <w:szCs w:val="16"/>
              </w:rPr>
            </w:pPr>
            <w:r w:rsidRPr="002404CD">
              <w:rPr>
                <w:rFonts w:ascii="Segoe UI" w:hAnsi="Segoe UI" w:cs="Segoe UI"/>
                <w:sz w:val="16"/>
                <w:szCs w:val="16"/>
              </w:rPr>
              <w:t>Revaluation</w:t>
            </w:r>
          </w:p>
        </w:tc>
        <w:tc>
          <w:tcPr>
            <w:tcW w:w="1025" w:type="dxa"/>
            <w:tcBorders>
              <w:top w:val="nil"/>
              <w:left w:val="nil"/>
              <w:right w:val="nil"/>
            </w:tcBorders>
          </w:tcPr>
          <w:p w14:paraId="0A99780C" w14:textId="067BC409" w:rsidR="007D1E25" w:rsidRDefault="007D1E25" w:rsidP="008F7455">
            <w:pPr>
              <w:pStyle w:val="TableParagraph"/>
              <w:spacing w:before="40" w:after="40"/>
              <w:ind w:left="-42" w:right="170" w:firstLine="99"/>
              <w:jc w:val="right"/>
              <w:rPr>
                <w:rFonts w:ascii="Segoe UI" w:hAnsi="Segoe UI" w:cs="Segoe UI"/>
                <w:sz w:val="16"/>
                <w:szCs w:val="16"/>
              </w:rPr>
            </w:pPr>
            <w:r w:rsidRPr="007D1E25">
              <w:rPr>
                <w:rFonts w:ascii="Segoe UI" w:hAnsi="Segoe UI" w:cs="Segoe UI"/>
                <w:sz w:val="16"/>
                <w:szCs w:val="16"/>
              </w:rPr>
              <w:t>(565)</w:t>
            </w:r>
          </w:p>
        </w:tc>
        <w:tc>
          <w:tcPr>
            <w:tcW w:w="1024" w:type="dxa"/>
            <w:tcBorders>
              <w:top w:val="nil"/>
              <w:left w:val="nil"/>
              <w:right w:val="nil"/>
            </w:tcBorders>
          </w:tcPr>
          <w:p w14:paraId="3C9F21BA" w14:textId="551C4311" w:rsidR="007D1E25" w:rsidRDefault="007D1E25" w:rsidP="008F7455">
            <w:pPr>
              <w:pStyle w:val="TableParagraph"/>
              <w:spacing w:before="40" w:after="40"/>
              <w:ind w:left="-42" w:right="170" w:firstLine="99"/>
              <w:jc w:val="right"/>
              <w:rPr>
                <w:rFonts w:ascii="Segoe UI" w:hAnsi="Segoe UI" w:cs="Segoe UI"/>
                <w:sz w:val="16"/>
                <w:szCs w:val="16"/>
              </w:rPr>
            </w:pPr>
            <w:r w:rsidRPr="007D1E25">
              <w:rPr>
                <w:rFonts w:ascii="Segoe UI" w:hAnsi="Segoe UI" w:cs="Segoe UI"/>
                <w:sz w:val="16"/>
                <w:szCs w:val="16"/>
              </w:rPr>
              <w:t>–</w:t>
            </w:r>
          </w:p>
        </w:tc>
        <w:tc>
          <w:tcPr>
            <w:tcW w:w="1025" w:type="dxa"/>
            <w:tcBorders>
              <w:top w:val="nil"/>
              <w:left w:val="nil"/>
              <w:right w:val="nil"/>
            </w:tcBorders>
          </w:tcPr>
          <w:p w14:paraId="3FDDAD58" w14:textId="3845CD0D" w:rsidR="007D1E25" w:rsidRDefault="007D1E25" w:rsidP="008F7455">
            <w:pPr>
              <w:pStyle w:val="TableParagraph"/>
              <w:spacing w:before="40" w:after="40"/>
              <w:ind w:left="-42" w:right="170" w:firstLine="99"/>
              <w:jc w:val="right"/>
              <w:rPr>
                <w:rFonts w:ascii="Segoe UI" w:hAnsi="Segoe UI" w:cs="Segoe UI"/>
                <w:sz w:val="16"/>
                <w:szCs w:val="16"/>
              </w:rPr>
            </w:pPr>
            <w:r w:rsidRPr="007D1E25">
              <w:rPr>
                <w:rFonts w:ascii="Segoe UI" w:hAnsi="Segoe UI" w:cs="Segoe UI"/>
                <w:sz w:val="16"/>
                <w:szCs w:val="16"/>
              </w:rPr>
              <w:t>–</w:t>
            </w:r>
          </w:p>
        </w:tc>
        <w:tc>
          <w:tcPr>
            <w:tcW w:w="1024" w:type="dxa"/>
            <w:tcBorders>
              <w:top w:val="nil"/>
              <w:left w:val="nil"/>
              <w:right w:val="nil"/>
            </w:tcBorders>
          </w:tcPr>
          <w:p w14:paraId="364FDB77" w14:textId="68D83872" w:rsidR="007D1E25" w:rsidRDefault="007D1E25" w:rsidP="008F7455">
            <w:pPr>
              <w:pStyle w:val="TableParagraph"/>
              <w:spacing w:before="40" w:after="40"/>
              <w:ind w:left="-42" w:right="170" w:firstLine="99"/>
              <w:jc w:val="right"/>
              <w:rPr>
                <w:rFonts w:ascii="Segoe UI" w:hAnsi="Segoe UI" w:cs="Segoe UI"/>
                <w:sz w:val="16"/>
                <w:szCs w:val="16"/>
              </w:rPr>
            </w:pPr>
            <w:r w:rsidRPr="007D1E25">
              <w:rPr>
                <w:rFonts w:ascii="Segoe UI" w:hAnsi="Segoe UI" w:cs="Segoe UI"/>
                <w:sz w:val="16"/>
                <w:szCs w:val="16"/>
              </w:rPr>
              <w:t>–</w:t>
            </w:r>
          </w:p>
        </w:tc>
        <w:tc>
          <w:tcPr>
            <w:tcW w:w="1024" w:type="dxa"/>
            <w:tcBorders>
              <w:top w:val="nil"/>
              <w:left w:val="nil"/>
              <w:right w:val="nil"/>
            </w:tcBorders>
          </w:tcPr>
          <w:p w14:paraId="30A33D8C" w14:textId="49FA6D9E" w:rsidR="007D1E25" w:rsidRDefault="007D1E25" w:rsidP="008F7455">
            <w:pPr>
              <w:pStyle w:val="TableParagraph"/>
              <w:spacing w:before="40" w:after="40"/>
              <w:ind w:left="-42" w:right="170" w:firstLine="99"/>
              <w:jc w:val="right"/>
              <w:rPr>
                <w:rFonts w:ascii="Segoe UI" w:hAnsi="Segoe UI" w:cs="Segoe UI"/>
                <w:sz w:val="16"/>
                <w:szCs w:val="16"/>
              </w:rPr>
            </w:pPr>
            <w:r w:rsidRPr="007D1E25">
              <w:rPr>
                <w:rFonts w:ascii="Segoe UI" w:hAnsi="Segoe UI" w:cs="Segoe UI"/>
                <w:sz w:val="16"/>
                <w:szCs w:val="16"/>
              </w:rPr>
              <w:t>–</w:t>
            </w:r>
          </w:p>
        </w:tc>
        <w:tc>
          <w:tcPr>
            <w:tcW w:w="1025" w:type="dxa"/>
            <w:tcBorders>
              <w:top w:val="nil"/>
              <w:left w:val="nil"/>
              <w:right w:val="nil"/>
            </w:tcBorders>
          </w:tcPr>
          <w:p w14:paraId="017CEB1F" w14:textId="274C1812" w:rsidR="007D1E25" w:rsidRDefault="007D1E25" w:rsidP="008F7455">
            <w:pPr>
              <w:pStyle w:val="TableParagraph"/>
              <w:spacing w:before="40" w:after="40"/>
              <w:ind w:left="-42" w:right="170" w:firstLine="99"/>
              <w:jc w:val="right"/>
              <w:rPr>
                <w:rFonts w:ascii="Segoe UI" w:hAnsi="Segoe UI" w:cs="Segoe UI"/>
                <w:sz w:val="16"/>
                <w:szCs w:val="16"/>
              </w:rPr>
            </w:pPr>
            <w:r w:rsidRPr="007D1E25">
              <w:rPr>
                <w:rFonts w:ascii="Segoe UI" w:hAnsi="Segoe UI" w:cs="Segoe UI"/>
                <w:sz w:val="16"/>
                <w:szCs w:val="16"/>
              </w:rPr>
              <w:t>(565)</w:t>
            </w:r>
          </w:p>
        </w:tc>
      </w:tr>
      <w:tr w:rsidR="007D1E25" w:rsidRPr="002404CD" w14:paraId="17FF93C7" w14:textId="77777777" w:rsidTr="002404CD">
        <w:trPr>
          <w:trHeight w:val="348"/>
        </w:trPr>
        <w:tc>
          <w:tcPr>
            <w:tcW w:w="2268" w:type="dxa"/>
            <w:tcBorders>
              <w:left w:val="nil"/>
              <w:bottom w:val="single" w:sz="4" w:space="0" w:color="A6A6A6" w:themeColor="background1" w:themeShade="A6"/>
              <w:right w:val="nil"/>
            </w:tcBorders>
          </w:tcPr>
          <w:p w14:paraId="5BE00998" w14:textId="646CBF9B" w:rsidR="007D1E25" w:rsidRPr="002404CD" w:rsidRDefault="007D1E25" w:rsidP="008F7455">
            <w:pPr>
              <w:pStyle w:val="TableParagraph"/>
              <w:spacing w:before="40" w:after="40"/>
              <w:ind w:left="-42" w:right="170" w:firstLine="99"/>
              <w:rPr>
                <w:rFonts w:ascii="Segoe UI" w:hAnsi="Segoe UI" w:cs="Segoe UI"/>
                <w:sz w:val="16"/>
                <w:szCs w:val="16"/>
              </w:rPr>
            </w:pPr>
            <w:r w:rsidRPr="002404CD">
              <w:rPr>
                <w:rFonts w:ascii="Segoe UI" w:hAnsi="Segoe UI" w:cs="Segoe UI"/>
                <w:sz w:val="16"/>
                <w:szCs w:val="16"/>
              </w:rPr>
              <w:t>Disposals</w:t>
            </w:r>
          </w:p>
        </w:tc>
        <w:tc>
          <w:tcPr>
            <w:tcW w:w="1025" w:type="dxa"/>
            <w:tcBorders>
              <w:left w:val="nil"/>
              <w:bottom w:val="single" w:sz="4" w:space="0" w:color="A6A6A6" w:themeColor="background1" w:themeShade="A6"/>
              <w:right w:val="nil"/>
            </w:tcBorders>
          </w:tcPr>
          <w:p w14:paraId="3CDCF784" w14:textId="2D4443EE" w:rsidR="007D1E25" w:rsidRDefault="007D1E25" w:rsidP="008F7455">
            <w:pPr>
              <w:pStyle w:val="TableParagraph"/>
              <w:spacing w:before="40" w:after="40"/>
              <w:ind w:left="-42" w:right="170" w:firstLine="99"/>
              <w:jc w:val="right"/>
              <w:rPr>
                <w:rFonts w:ascii="Segoe UI" w:hAnsi="Segoe UI" w:cs="Segoe UI"/>
                <w:sz w:val="16"/>
                <w:szCs w:val="16"/>
              </w:rPr>
            </w:pPr>
            <w:r w:rsidRPr="007D1E25">
              <w:rPr>
                <w:rFonts w:ascii="Segoe UI" w:hAnsi="Segoe UI" w:cs="Segoe UI"/>
                <w:sz w:val="16"/>
                <w:szCs w:val="16"/>
              </w:rPr>
              <w:t>–</w:t>
            </w:r>
          </w:p>
        </w:tc>
        <w:tc>
          <w:tcPr>
            <w:tcW w:w="1024" w:type="dxa"/>
            <w:tcBorders>
              <w:left w:val="nil"/>
              <w:bottom w:val="single" w:sz="4" w:space="0" w:color="A6A6A6" w:themeColor="background1" w:themeShade="A6"/>
              <w:right w:val="nil"/>
            </w:tcBorders>
          </w:tcPr>
          <w:p w14:paraId="041060FE" w14:textId="2EEECFB0" w:rsidR="007D1E25" w:rsidRDefault="007D1E25" w:rsidP="008F7455">
            <w:pPr>
              <w:pStyle w:val="TableParagraph"/>
              <w:spacing w:before="40" w:after="40"/>
              <w:ind w:left="-42" w:right="170" w:firstLine="99"/>
              <w:jc w:val="right"/>
              <w:rPr>
                <w:rFonts w:ascii="Segoe UI" w:hAnsi="Segoe UI" w:cs="Segoe UI"/>
                <w:sz w:val="16"/>
                <w:szCs w:val="16"/>
              </w:rPr>
            </w:pPr>
            <w:r w:rsidRPr="007D1E25">
              <w:rPr>
                <w:rFonts w:ascii="Segoe UI" w:hAnsi="Segoe UI" w:cs="Segoe UI"/>
                <w:sz w:val="16"/>
                <w:szCs w:val="16"/>
              </w:rPr>
              <w:t>–</w:t>
            </w:r>
          </w:p>
        </w:tc>
        <w:tc>
          <w:tcPr>
            <w:tcW w:w="1025" w:type="dxa"/>
            <w:tcBorders>
              <w:left w:val="nil"/>
              <w:bottom w:val="single" w:sz="4" w:space="0" w:color="A6A6A6" w:themeColor="background1" w:themeShade="A6"/>
              <w:right w:val="nil"/>
            </w:tcBorders>
          </w:tcPr>
          <w:p w14:paraId="0365A22E" w14:textId="1AA25EB1" w:rsidR="007D1E25" w:rsidRDefault="007D1E25" w:rsidP="008F7455">
            <w:pPr>
              <w:pStyle w:val="TableParagraph"/>
              <w:spacing w:before="40" w:after="40"/>
              <w:ind w:left="-42" w:right="170" w:firstLine="99"/>
              <w:jc w:val="right"/>
              <w:rPr>
                <w:rFonts w:ascii="Segoe UI" w:hAnsi="Segoe UI" w:cs="Segoe UI"/>
                <w:sz w:val="16"/>
                <w:szCs w:val="16"/>
              </w:rPr>
            </w:pPr>
            <w:r w:rsidRPr="007D1E25">
              <w:rPr>
                <w:rFonts w:ascii="Segoe UI" w:hAnsi="Segoe UI" w:cs="Segoe UI"/>
                <w:sz w:val="16"/>
                <w:szCs w:val="16"/>
              </w:rPr>
              <w:t>(11)</w:t>
            </w:r>
          </w:p>
        </w:tc>
        <w:tc>
          <w:tcPr>
            <w:tcW w:w="1024" w:type="dxa"/>
            <w:tcBorders>
              <w:left w:val="nil"/>
              <w:bottom w:val="single" w:sz="4" w:space="0" w:color="A6A6A6" w:themeColor="background1" w:themeShade="A6"/>
              <w:right w:val="nil"/>
            </w:tcBorders>
          </w:tcPr>
          <w:p w14:paraId="6D0B7123" w14:textId="62177847" w:rsidR="007D1E25" w:rsidRDefault="007D1E25" w:rsidP="008F7455">
            <w:pPr>
              <w:pStyle w:val="TableParagraph"/>
              <w:spacing w:before="40" w:after="40"/>
              <w:ind w:left="-42" w:right="170" w:firstLine="99"/>
              <w:jc w:val="right"/>
              <w:rPr>
                <w:rFonts w:ascii="Segoe UI" w:hAnsi="Segoe UI" w:cs="Segoe UI"/>
                <w:sz w:val="16"/>
                <w:szCs w:val="16"/>
              </w:rPr>
            </w:pPr>
            <w:r w:rsidRPr="007D1E25">
              <w:rPr>
                <w:rFonts w:ascii="Segoe UI" w:hAnsi="Segoe UI" w:cs="Segoe UI"/>
                <w:sz w:val="16"/>
                <w:szCs w:val="16"/>
              </w:rPr>
              <w:t>–</w:t>
            </w:r>
          </w:p>
        </w:tc>
        <w:tc>
          <w:tcPr>
            <w:tcW w:w="1024" w:type="dxa"/>
            <w:tcBorders>
              <w:left w:val="nil"/>
              <w:bottom w:val="single" w:sz="4" w:space="0" w:color="A6A6A6" w:themeColor="background1" w:themeShade="A6"/>
              <w:right w:val="nil"/>
            </w:tcBorders>
          </w:tcPr>
          <w:p w14:paraId="6B002EEB" w14:textId="396E1CAD" w:rsidR="007D1E25" w:rsidRDefault="007D1E25" w:rsidP="008F7455">
            <w:pPr>
              <w:pStyle w:val="TableParagraph"/>
              <w:spacing w:before="40" w:after="40"/>
              <w:ind w:left="-42" w:right="170" w:firstLine="99"/>
              <w:jc w:val="right"/>
              <w:rPr>
                <w:rFonts w:ascii="Segoe UI" w:hAnsi="Segoe UI" w:cs="Segoe UI"/>
                <w:sz w:val="16"/>
                <w:szCs w:val="16"/>
              </w:rPr>
            </w:pPr>
            <w:r w:rsidRPr="007D1E25">
              <w:rPr>
                <w:rFonts w:ascii="Segoe UI" w:hAnsi="Segoe UI" w:cs="Segoe UI"/>
                <w:sz w:val="16"/>
                <w:szCs w:val="16"/>
              </w:rPr>
              <w:t>–</w:t>
            </w:r>
          </w:p>
        </w:tc>
        <w:tc>
          <w:tcPr>
            <w:tcW w:w="1025" w:type="dxa"/>
            <w:tcBorders>
              <w:left w:val="nil"/>
              <w:bottom w:val="single" w:sz="4" w:space="0" w:color="A6A6A6" w:themeColor="background1" w:themeShade="A6"/>
              <w:right w:val="nil"/>
            </w:tcBorders>
          </w:tcPr>
          <w:p w14:paraId="0114DA19" w14:textId="504EED5E" w:rsidR="007D1E25" w:rsidRDefault="007D1E25" w:rsidP="008F7455">
            <w:pPr>
              <w:pStyle w:val="TableParagraph"/>
              <w:spacing w:before="40" w:after="40"/>
              <w:ind w:left="-42" w:right="170" w:firstLine="99"/>
              <w:jc w:val="right"/>
              <w:rPr>
                <w:rFonts w:ascii="Segoe UI" w:hAnsi="Segoe UI" w:cs="Segoe UI"/>
                <w:sz w:val="16"/>
                <w:szCs w:val="16"/>
              </w:rPr>
            </w:pPr>
            <w:r w:rsidRPr="007D1E25">
              <w:rPr>
                <w:rFonts w:ascii="Segoe UI" w:hAnsi="Segoe UI" w:cs="Segoe UI"/>
                <w:sz w:val="16"/>
                <w:szCs w:val="16"/>
              </w:rPr>
              <w:t>(11)</w:t>
            </w:r>
          </w:p>
        </w:tc>
      </w:tr>
      <w:tr w:rsidR="007D1E25" w:rsidRPr="002404CD" w14:paraId="12897D6F" w14:textId="77777777" w:rsidTr="002404CD">
        <w:trPr>
          <w:trHeight w:val="344"/>
        </w:trPr>
        <w:tc>
          <w:tcPr>
            <w:tcW w:w="2268" w:type="dxa"/>
            <w:tcBorders>
              <w:top w:val="single" w:sz="4" w:space="0" w:color="A6A6A6" w:themeColor="background1" w:themeShade="A6"/>
              <w:left w:val="nil"/>
              <w:bottom w:val="single" w:sz="4" w:space="0" w:color="A6A6A6" w:themeColor="background1" w:themeShade="A6"/>
              <w:right w:val="nil"/>
            </w:tcBorders>
          </w:tcPr>
          <w:p w14:paraId="3B9B5089" w14:textId="2330F3AC" w:rsidR="007D1E25" w:rsidRPr="002404CD" w:rsidRDefault="007D1E25" w:rsidP="008F7455">
            <w:pPr>
              <w:pStyle w:val="TableParagraph"/>
              <w:spacing w:before="40" w:after="40"/>
              <w:ind w:left="-42" w:right="170" w:firstLine="99"/>
              <w:rPr>
                <w:rFonts w:ascii="Segoe UI" w:hAnsi="Segoe UI" w:cs="Segoe UI"/>
                <w:b/>
                <w:bCs/>
                <w:sz w:val="16"/>
                <w:szCs w:val="16"/>
              </w:rPr>
            </w:pPr>
            <w:r w:rsidRPr="002404CD">
              <w:rPr>
                <w:rFonts w:ascii="Segoe UI" w:hAnsi="Segoe UI" w:cs="Segoe UI"/>
                <w:b/>
                <w:bCs/>
                <w:sz w:val="16"/>
                <w:szCs w:val="16"/>
              </w:rPr>
              <w:t xml:space="preserve">Balance as </w:t>
            </w:r>
            <w:proofErr w:type="gramStart"/>
            <w:r w:rsidRPr="002404CD">
              <w:rPr>
                <w:rFonts w:ascii="Segoe UI" w:hAnsi="Segoe UI" w:cs="Segoe UI"/>
                <w:b/>
                <w:bCs/>
                <w:sz w:val="16"/>
                <w:szCs w:val="16"/>
              </w:rPr>
              <w:t>at</w:t>
            </w:r>
            <w:proofErr w:type="gramEnd"/>
            <w:r w:rsidRPr="002404CD">
              <w:rPr>
                <w:rFonts w:ascii="Segoe UI" w:hAnsi="Segoe UI" w:cs="Segoe UI"/>
                <w:b/>
                <w:bCs/>
                <w:sz w:val="16"/>
                <w:szCs w:val="16"/>
              </w:rPr>
              <w:t xml:space="preserve"> 30 June 2024</w:t>
            </w:r>
          </w:p>
        </w:tc>
        <w:tc>
          <w:tcPr>
            <w:tcW w:w="1025" w:type="dxa"/>
            <w:tcBorders>
              <w:top w:val="single" w:sz="4" w:space="0" w:color="A6A6A6" w:themeColor="background1" w:themeShade="A6"/>
              <w:left w:val="nil"/>
              <w:bottom w:val="single" w:sz="4" w:space="0" w:color="A6A6A6" w:themeColor="background1" w:themeShade="A6"/>
              <w:right w:val="nil"/>
            </w:tcBorders>
          </w:tcPr>
          <w:p w14:paraId="506D6150" w14:textId="7EF504CA" w:rsidR="007D1E25" w:rsidRPr="007D1E25" w:rsidRDefault="007D1E25" w:rsidP="008F7455">
            <w:pPr>
              <w:pStyle w:val="TableParagraph"/>
              <w:spacing w:before="40" w:after="40"/>
              <w:ind w:left="-42" w:right="170" w:firstLine="99"/>
              <w:jc w:val="right"/>
              <w:rPr>
                <w:rFonts w:ascii="Segoe UI" w:hAnsi="Segoe UI" w:cs="Segoe UI"/>
                <w:b/>
                <w:bCs/>
                <w:sz w:val="16"/>
                <w:szCs w:val="16"/>
              </w:rPr>
            </w:pPr>
            <w:r w:rsidRPr="007D1E25">
              <w:rPr>
                <w:rFonts w:ascii="Segoe UI" w:hAnsi="Segoe UI" w:cs="Segoe UI"/>
                <w:b/>
                <w:bCs/>
                <w:sz w:val="16"/>
                <w:szCs w:val="16"/>
              </w:rPr>
              <w:t>5,750</w:t>
            </w:r>
          </w:p>
        </w:tc>
        <w:tc>
          <w:tcPr>
            <w:tcW w:w="1024" w:type="dxa"/>
            <w:tcBorders>
              <w:top w:val="single" w:sz="4" w:space="0" w:color="A6A6A6" w:themeColor="background1" w:themeShade="A6"/>
              <w:left w:val="nil"/>
              <w:bottom w:val="single" w:sz="4" w:space="0" w:color="A6A6A6" w:themeColor="background1" w:themeShade="A6"/>
              <w:right w:val="nil"/>
            </w:tcBorders>
          </w:tcPr>
          <w:p w14:paraId="0F3B0B70" w14:textId="18C5AAD4" w:rsidR="007D1E25" w:rsidRPr="007D1E25" w:rsidRDefault="007D1E25" w:rsidP="008F7455">
            <w:pPr>
              <w:pStyle w:val="TableParagraph"/>
              <w:spacing w:before="40" w:after="40"/>
              <w:ind w:left="-42" w:right="170" w:firstLine="99"/>
              <w:jc w:val="right"/>
              <w:rPr>
                <w:rFonts w:ascii="Segoe UI" w:hAnsi="Segoe UI" w:cs="Segoe UI"/>
                <w:b/>
                <w:bCs/>
                <w:sz w:val="16"/>
                <w:szCs w:val="16"/>
              </w:rPr>
            </w:pPr>
            <w:r w:rsidRPr="007D1E25">
              <w:rPr>
                <w:rFonts w:ascii="Segoe UI" w:hAnsi="Segoe UI" w:cs="Segoe UI"/>
                <w:b/>
                <w:bCs/>
                <w:sz w:val="16"/>
                <w:szCs w:val="16"/>
              </w:rPr>
              <w:t>8,299</w:t>
            </w:r>
          </w:p>
        </w:tc>
        <w:tc>
          <w:tcPr>
            <w:tcW w:w="1025" w:type="dxa"/>
            <w:tcBorders>
              <w:top w:val="single" w:sz="4" w:space="0" w:color="A6A6A6" w:themeColor="background1" w:themeShade="A6"/>
              <w:left w:val="nil"/>
              <w:bottom w:val="single" w:sz="4" w:space="0" w:color="A6A6A6" w:themeColor="background1" w:themeShade="A6"/>
              <w:right w:val="nil"/>
            </w:tcBorders>
          </w:tcPr>
          <w:p w14:paraId="67328534" w14:textId="72373ACA" w:rsidR="007D1E25" w:rsidRPr="007D1E25" w:rsidRDefault="007D1E25" w:rsidP="008F7455">
            <w:pPr>
              <w:pStyle w:val="TableParagraph"/>
              <w:spacing w:before="40" w:after="40"/>
              <w:ind w:left="-42" w:right="170" w:firstLine="99"/>
              <w:jc w:val="right"/>
              <w:rPr>
                <w:rFonts w:ascii="Segoe UI" w:hAnsi="Segoe UI" w:cs="Segoe UI"/>
                <w:b/>
                <w:bCs/>
                <w:sz w:val="16"/>
                <w:szCs w:val="16"/>
              </w:rPr>
            </w:pPr>
            <w:r w:rsidRPr="007D1E25">
              <w:rPr>
                <w:rFonts w:ascii="Segoe UI" w:hAnsi="Segoe UI" w:cs="Segoe UI"/>
                <w:b/>
                <w:bCs/>
                <w:sz w:val="16"/>
                <w:szCs w:val="16"/>
              </w:rPr>
              <w:t>770</w:t>
            </w:r>
          </w:p>
        </w:tc>
        <w:tc>
          <w:tcPr>
            <w:tcW w:w="1024" w:type="dxa"/>
            <w:tcBorders>
              <w:top w:val="single" w:sz="4" w:space="0" w:color="A6A6A6" w:themeColor="background1" w:themeShade="A6"/>
              <w:left w:val="nil"/>
              <w:bottom w:val="single" w:sz="4" w:space="0" w:color="A6A6A6" w:themeColor="background1" w:themeShade="A6"/>
              <w:right w:val="nil"/>
            </w:tcBorders>
          </w:tcPr>
          <w:p w14:paraId="182CFA9A" w14:textId="4BD744ED" w:rsidR="007D1E25" w:rsidRPr="007D1E25" w:rsidRDefault="007D1E25" w:rsidP="008F7455">
            <w:pPr>
              <w:pStyle w:val="TableParagraph"/>
              <w:spacing w:before="40" w:after="40"/>
              <w:ind w:left="-42" w:right="170" w:firstLine="99"/>
              <w:jc w:val="right"/>
              <w:rPr>
                <w:rFonts w:ascii="Segoe UI" w:hAnsi="Segoe UI" w:cs="Segoe UI"/>
                <w:b/>
                <w:bCs/>
                <w:sz w:val="16"/>
                <w:szCs w:val="16"/>
              </w:rPr>
            </w:pPr>
            <w:r w:rsidRPr="007D1E25">
              <w:rPr>
                <w:rFonts w:ascii="Segoe UI" w:hAnsi="Segoe UI" w:cs="Segoe UI"/>
                <w:b/>
                <w:bCs/>
                <w:sz w:val="16"/>
                <w:szCs w:val="16"/>
              </w:rPr>
              <w:t>171</w:t>
            </w:r>
          </w:p>
        </w:tc>
        <w:tc>
          <w:tcPr>
            <w:tcW w:w="1024" w:type="dxa"/>
            <w:tcBorders>
              <w:top w:val="single" w:sz="4" w:space="0" w:color="A6A6A6" w:themeColor="background1" w:themeShade="A6"/>
              <w:left w:val="nil"/>
              <w:bottom w:val="single" w:sz="4" w:space="0" w:color="A6A6A6" w:themeColor="background1" w:themeShade="A6"/>
              <w:right w:val="nil"/>
            </w:tcBorders>
          </w:tcPr>
          <w:p w14:paraId="1096B034" w14:textId="1C7C2785" w:rsidR="007D1E25" w:rsidRPr="007D1E25" w:rsidRDefault="007D1E25" w:rsidP="008F7455">
            <w:pPr>
              <w:pStyle w:val="TableParagraph"/>
              <w:spacing w:before="40" w:after="40"/>
              <w:ind w:left="-42" w:right="170" w:firstLine="99"/>
              <w:jc w:val="right"/>
              <w:rPr>
                <w:rFonts w:ascii="Segoe UI" w:hAnsi="Segoe UI" w:cs="Segoe UI"/>
                <w:b/>
                <w:bCs/>
                <w:sz w:val="16"/>
                <w:szCs w:val="16"/>
              </w:rPr>
            </w:pPr>
            <w:r w:rsidRPr="007D1E25">
              <w:rPr>
                <w:rFonts w:ascii="Segoe UI" w:hAnsi="Segoe UI" w:cs="Segoe UI"/>
                <w:b/>
                <w:bCs/>
                <w:sz w:val="16"/>
                <w:szCs w:val="16"/>
              </w:rPr>
              <w:t>780</w:t>
            </w:r>
          </w:p>
        </w:tc>
        <w:tc>
          <w:tcPr>
            <w:tcW w:w="1025" w:type="dxa"/>
            <w:tcBorders>
              <w:top w:val="single" w:sz="4" w:space="0" w:color="A6A6A6" w:themeColor="background1" w:themeShade="A6"/>
              <w:left w:val="nil"/>
              <w:bottom w:val="single" w:sz="4" w:space="0" w:color="A6A6A6" w:themeColor="background1" w:themeShade="A6"/>
              <w:right w:val="nil"/>
            </w:tcBorders>
          </w:tcPr>
          <w:p w14:paraId="7FF26E96" w14:textId="6204D09D" w:rsidR="007D1E25" w:rsidRPr="007D1E25" w:rsidRDefault="007D1E25" w:rsidP="008F7455">
            <w:pPr>
              <w:pStyle w:val="TableParagraph"/>
              <w:spacing w:before="40" w:after="40"/>
              <w:ind w:left="-42" w:right="170" w:firstLine="99"/>
              <w:jc w:val="right"/>
              <w:rPr>
                <w:rFonts w:ascii="Segoe UI" w:hAnsi="Segoe UI" w:cs="Segoe UI"/>
                <w:b/>
                <w:bCs/>
                <w:sz w:val="16"/>
                <w:szCs w:val="16"/>
              </w:rPr>
            </w:pPr>
            <w:r w:rsidRPr="007D1E25">
              <w:rPr>
                <w:rFonts w:ascii="Segoe UI" w:hAnsi="Segoe UI" w:cs="Segoe UI"/>
                <w:b/>
                <w:bCs/>
                <w:sz w:val="16"/>
                <w:szCs w:val="16"/>
              </w:rPr>
              <w:t>15,770</w:t>
            </w:r>
          </w:p>
        </w:tc>
      </w:tr>
      <w:tr w:rsidR="007D1E25" w:rsidRPr="002404CD" w14:paraId="2584A3EB" w14:textId="77777777" w:rsidTr="002404CD">
        <w:trPr>
          <w:trHeight w:val="354"/>
        </w:trPr>
        <w:tc>
          <w:tcPr>
            <w:tcW w:w="8415" w:type="dxa"/>
            <w:gridSpan w:val="7"/>
            <w:tcBorders>
              <w:top w:val="dotted" w:sz="6" w:space="0" w:color="002E6E"/>
              <w:left w:val="nil"/>
              <w:bottom w:val="nil"/>
              <w:right w:val="nil"/>
            </w:tcBorders>
          </w:tcPr>
          <w:p w14:paraId="3F9DD86D" w14:textId="32A266D5" w:rsidR="007D1E25" w:rsidRPr="002404CD" w:rsidRDefault="007D1E25" w:rsidP="008F7455">
            <w:pPr>
              <w:pStyle w:val="TableParagraph"/>
              <w:spacing w:before="40" w:after="40"/>
              <w:ind w:left="-42" w:right="170" w:firstLine="99"/>
              <w:rPr>
                <w:rFonts w:ascii="Segoe UI" w:hAnsi="Segoe UI" w:cs="Segoe UI"/>
                <w:b/>
                <w:bCs/>
                <w:sz w:val="16"/>
                <w:szCs w:val="16"/>
              </w:rPr>
            </w:pPr>
            <w:r w:rsidRPr="002404CD">
              <w:rPr>
                <w:rFonts w:ascii="Segoe UI" w:hAnsi="Segoe UI" w:cs="Segoe UI"/>
                <w:b/>
                <w:bCs/>
                <w:sz w:val="16"/>
                <w:szCs w:val="16"/>
              </w:rPr>
              <w:t>Accumulated depreciation and impairment losses</w:t>
            </w:r>
          </w:p>
        </w:tc>
      </w:tr>
      <w:tr w:rsidR="007D1E25" w14:paraId="516CE72D" w14:textId="77777777" w:rsidTr="002404CD">
        <w:trPr>
          <w:trHeight w:val="359"/>
        </w:trPr>
        <w:tc>
          <w:tcPr>
            <w:tcW w:w="2268" w:type="dxa"/>
          </w:tcPr>
          <w:p w14:paraId="6C912B6F" w14:textId="1B4FC8CE" w:rsidR="007D1E25" w:rsidRDefault="007D1E25" w:rsidP="008F7455">
            <w:pPr>
              <w:pStyle w:val="TableParagraph"/>
              <w:spacing w:before="40" w:after="40"/>
              <w:ind w:left="-42" w:right="170" w:firstLine="99"/>
              <w:rPr>
                <w:rFonts w:ascii="Segoe UI" w:hAnsi="Segoe UI" w:cs="Segoe UI"/>
                <w:sz w:val="16"/>
                <w:szCs w:val="16"/>
              </w:rPr>
            </w:pPr>
            <w:r w:rsidRPr="002404CD">
              <w:rPr>
                <w:rFonts w:ascii="Segoe UI" w:hAnsi="Segoe UI" w:cs="Segoe UI"/>
                <w:sz w:val="16"/>
                <w:szCs w:val="16"/>
              </w:rPr>
              <w:t xml:space="preserve">Balance as </w:t>
            </w:r>
            <w:proofErr w:type="gramStart"/>
            <w:r w:rsidRPr="002404CD">
              <w:rPr>
                <w:rFonts w:ascii="Segoe UI" w:hAnsi="Segoe UI" w:cs="Segoe UI"/>
                <w:sz w:val="16"/>
                <w:szCs w:val="16"/>
              </w:rPr>
              <w:t>at</w:t>
            </w:r>
            <w:proofErr w:type="gramEnd"/>
            <w:r w:rsidRPr="002404CD">
              <w:rPr>
                <w:rFonts w:ascii="Segoe UI" w:hAnsi="Segoe UI" w:cs="Segoe UI"/>
                <w:sz w:val="16"/>
                <w:szCs w:val="16"/>
              </w:rPr>
              <w:t xml:space="preserve"> 1 July 2022</w:t>
            </w:r>
          </w:p>
        </w:tc>
        <w:tc>
          <w:tcPr>
            <w:tcW w:w="1025" w:type="dxa"/>
          </w:tcPr>
          <w:p w14:paraId="183C42F4" w14:textId="39CEC86D"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w:t>
            </w:r>
          </w:p>
        </w:tc>
        <w:tc>
          <w:tcPr>
            <w:tcW w:w="1024" w:type="dxa"/>
          </w:tcPr>
          <w:p w14:paraId="5AE14768" w14:textId="4CEBDB7B"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3,448</w:t>
            </w:r>
          </w:p>
        </w:tc>
        <w:tc>
          <w:tcPr>
            <w:tcW w:w="1025" w:type="dxa"/>
          </w:tcPr>
          <w:p w14:paraId="0F7D468A" w14:textId="0F4FEE61"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1,343</w:t>
            </w:r>
          </w:p>
        </w:tc>
        <w:tc>
          <w:tcPr>
            <w:tcW w:w="1024" w:type="dxa"/>
          </w:tcPr>
          <w:p w14:paraId="5407C2DF" w14:textId="0878B9E9"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197</w:t>
            </w:r>
          </w:p>
        </w:tc>
        <w:tc>
          <w:tcPr>
            <w:tcW w:w="1024" w:type="dxa"/>
          </w:tcPr>
          <w:p w14:paraId="48CBBB54" w14:textId="1A80DBBD"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1,204</w:t>
            </w:r>
          </w:p>
        </w:tc>
        <w:tc>
          <w:tcPr>
            <w:tcW w:w="1025" w:type="dxa"/>
          </w:tcPr>
          <w:p w14:paraId="4ADE68F2" w14:textId="5C7AAF0F"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6,192</w:t>
            </w:r>
          </w:p>
        </w:tc>
      </w:tr>
      <w:tr w:rsidR="007D1E25" w14:paraId="136028F7" w14:textId="77777777" w:rsidTr="002404CD">
        <w:trPr>
          <w:trHeight w:val="359"/>
        </w:trPr>
        <w:tc>
          <w:tcPr>
            <w:tcW w:w="2268" w:type="dxa"/>
          </w:tcPr>
          <w:p w14:paraId="59ED8C54" w14:textId="5ED74EFE" w:rsidR="007D1E25" w:rsidRDefault="007D1E25" w:rsidP="008F7455">
            <w:pPr>
              <w:pStyle w:val="TableParagraph"/>
              <w:spacing w:before="40" w:after="40"/>
              <w:ind w:left="-42" w:right="170" w:firstLine="99"/>
              <w:rPr>
                <w:rFonts w:ascii="Segoe UI" w:hAnsi="Segoe UI" w:cs="Segoe UI"/>
                <w:sz w:val="16"/>
                <w:szCs w:val="16"/>
              </w:rPr>
            </w:pPr>
            <w:r w:rsidRPr="002404CD">
              <w:rPr>
                <w:rFonts w:ascii="Segoe UI" w:hAnsi="Segoe UI" w:cs="Segoe UI"/>
                <w:sz w:val="16"/>
                <w:szCs w:val="16"/>
              </w:rPr>
              <w:t>Depreciation expense</w:t>
            </w:r>
          </w:p>
        </w:tc>
        <w:tc>
          <w:tcPr>
            <w:tcW w:w="1025" w:type="dxa"/>
          </w:tcPr>
          <w:p w14:paraId="092D4A56" w14:textId="699AC4A3"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w:t>
            </w:r>
          </w:p>
        </w:tc>
        <w:tc>
          <w:tcPr>
            <w:tcW w:w="1024" w:type="dxa"/>
          </w:tcPr>
          <w:p w14:paraId="29897439" w14:textId="71769A85"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459</w:t>
            </w:r>
          </w:p>
        </w:tc>
        <w:tc>
          <w:tcPr>
            <w:tcW w:w="1025" w:type="dxa"/>
          </w:tcPr>
          <w:p w14:paraId="193C8447" w14:textId="6E12E370"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70</w:t>
            </w:r>
          </w:p>
        </w:tc>
        <w:tc>
          <w:tcPr>
            <w:tcW w:w="1024" w:type="dxa"/>
          </w:tcPr>
          <w:p w14:paraId="41AB5BE7" w14:textId="65AC3B18"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27</w:t>
            </w:r>
          </w:p>
        </w:tc>
        <w:tc>
          <w:tcPr>
            <w:tcW w:w="1024" w:type="dxa"/>
          </w:tcPr>
          <w:p w14:paraId="65F18B07" w14:textId="1B63E7DB"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8</w:t>
            </w:r>
          </w:p>
        </w:tc>
        <w:tc>
          <w:tcPr>
            <w:tcW w:w="1025" w:type="dxa"/>
          </w:tcPr>
          <w:p w14:paraId="7E6F6AC6" w14:textId="62C271C2"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564</w:t>
            </w:r>
          </w:p>
        </w:tc>
      </w:tr>
      <w:tr w:rsidR="007D1E25" w14:paraId="0C158EFE" w14:textId="77777777" w:rsidTr="002404CD">
        <w:trPr>
          <w:trHeight w:val="348"/>
        </w:trPr>
        <w:tc>
          <w:tcPr>
            <w:tcW w:w="2268" w:type="dxa"/>
            <w:tcBorders>
              <w:top w:val="nil"/>
              <w:left w:val="nil"/>
              <w:bottom w:val="single" w:sz="4" w:space="0" w:color="A6A6A6" w:themeColor="background1" w:themeShade="A6"/>
              <w:right w:val="nil"/>
            </w:tcBorders>
          </w:tcPr>
          <w:p w14:paraId="6B104918" w14:textId="04FE3D0B" w:rsidR="007D1E25" w:rsidRDefault="007D1E25" w:rsidP="008F7455">
            <w:pPr>
              <w:pStyle w:val="TableParagraph"/>
              <w:spacing w:before="40" w:after="40"/>
              <w:ind w:left="-42" w:right="170" w:firstLine="99"/>
              <w:rPr>
                <w:rFonts w:ascii="Segoe UI" w:hAnsi="Segoe UI" w:cs="Segoe UI"/>
                <w:sz w:val="16"/>
                <w:szCs w:val="16"/>
              </w:rPr>
            </w:pPr>
            <w:r w:rsidRPr="002404CD">
              <w:rPr>
                <w:rFonts w:ascii="Segoe UI" w:hAnsi="Segoe UI" w:cs="Segoe UI"/>
                <w:sz w:val="16"/>
                <w:szCs w:val="16"/>
              </w:rPr>
              <w:t>Eliminate on disposal*</w:t>
            </w:r>
          </w:p>
        </w:tc>
        <w:tc>
          <w:tcPr>
            <w:tcW w:w="1025" w:type="dxa"/>
            <w:tcBorders>
              <w:top w:val="nil"/>
              <w:left w:val="nil"/>
              <w:bottom w:val="single" w:sz="4" w:space="0" w:color="A6A6A6" w:themeColor="background1" w:themeShade="A6"/>
              <w:right w:val="nil"/>
            </w:tcBorders>
          </w:tcPr>
          <w:p w14:paraId="6AD114DA" w14:textId="5892F7F7"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w:t>
            </w:r>
          </w:p>
        </w:tc>
        <w:tc>
          <w:tcPr>
            <w:tcW w:w="1024" w:type="dxa"/>
            <w:tcBorders>
              <w:top w:val="nil"/>
              <w:left w:val="nil"/>
              <w:bottom w:val="single" w:sz="4" w:space="0" w:color="A6A6A6" w:themeColor="background1" w:themeShade="A6"/>
              <w:right w:val="nil"/>
            </w:tcBorders>
          </w:tcPr>
          <w:p w14:paraId="7219E834" w14:textId="193FAC6E"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(674)</w:t>
            </w:r>
          </w:p>
        </w:tc>
        <w:tc>
          <w:tcPr>
            <w:tcW w:w="1025" w:type="dxa"/>
            <w:tcBorders>
              <w:top w:val="nil"/>
              <w:left w:val="nil"/>
              <w:bottom w:val="single" w:sz="4" w:space="0" w:color="A6A6A6" w:themeColor="background1" w:themeShade="A6"/>
              <w:right w:val="nil"/>
            </w:tcBorders>
          </w:tcPr>
          <w:p w14:paraId="66EDFA37" w14:textId="3AC6A871"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(769)</w:t>
            </w:r>
          </w:p>
        </w:tc>
        <w:tc>
          <w:tcPr>
            <w:tcW w:w="1024" w:type="dxa"/>
            <w:tcBorders>
              <w:top w:val="nil"/>
              <w:left w:val="nil"/>
              <w:bottom w:val="single" w:sz="4" w:space="0" w:color="A6A6A6" w:themeColor="background1" w:themeShade="A6"/>
              <w:right w:val="nil"/>
            </w:tcBorders>
          </w:tcPr>
          <w:p w14:paraId="52A4FC67" w14:textId="7238BE88"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(175)</w:t>
            </w:r>
          </w:p>
        </w:tc>
        <w:tc>
          <w:tcPr>
            <w:tcW w:w="1024" w:type="dxa"/>
            <w:tcBorders>
              <w:top w:val="nil"/>
              <w:left w:val="nil"/>
              <w:bottom w:val="single" w:sz="4" w:space="0" w:color="A6A6A6" w:themeColor="background1" w:themeShade="A6"/>
              <w:right w:val="nil"/>
            </w:tcBorders>
          </w:tcPr>
          <w:p w14:paraId="1E73CEE4" w14:textId="05F24C30"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(438)</w:t>
            </w:r>
          </w:p>
        </w:tc>
        <w:tc>
          <w:tcPr>
            <w:tcW w:w="1025" w:type="dxa"/>
            <w:tcBorders>
              <w:top w:val="nil"/>
              <w:left w:val="nil"/>
              <w:bottom w:val="single" w:sz="4" w:space="0" w:color="A6A6A6" w:themeColor="background1" w:themeShade="A6"/>
              <w:right w:val="nil"/>
            </w:tcBorders>
          </w:tcPr>
          <w:p w14:paraId="5BD4C1A4" w14:textId="3B618CC1"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(2,056)</w:t>
            </w:r>
          </w:p>
        </w:tc>
      </w:tr>
      <w:tr w:rsidR="007D1E25" w:rsidRPr="002404CD" w14:paraId="16B6DB63" w14:textId="77777777" w:rsidTr="002404CD">
        <w:trPr>
          <w:trHeight w:val="344"/>
        </w:trPr>
        <w:tc>
          <w:tcPr>
            <w:tcW w:w="2268" w:type="dxa"/>
            <w:tcBorders>
              <w:top w:val="single" w:sz="4" w:space="0" w:color="A6A6A6" w:themeColor="background1" w:themeShade="A6"/>
              <w:left w:val="nil"/>
              <w:bottom w:val="single" w:sz="4" w:space="0" w:color="A6A6A6" w:themeColor="background1" w:themeShade="A6"/>
              <w:right w:val="nil"/>
            </w:tcBorders>
          </w:tcPr>
          <w:p w14:paraId="321B54A8" w14:textId="28788F83" w:rsidR="007D1E25" w:rsidRPr="002404CD" w:rsidRDefault="007D1E25" w:rsidP="008F7455">
            <w:pPr>
              <w:pStyle w:val="TableParagraph"/>
              <w:spacing w:before="40" w:after="40"/>
              <w:ind w:left="-42" w:right="170" w:firstLine="99"/>
              <w:rPr>
                <w:rFonts w:ascii="Segoe UI" w:hAnsi="Segoe UI" w:cs="Segoe UI"/>
                <w:b/>
                <w:bCs/>
                <w:sz w:val="16"/>
                <w:szCs w:val="16"/>
              </w:rPr>
            </w:pPr>
            <w:r w:rsidRPr="002404CD">
              <w:rPr>
                <w:rFonts w:ascii="Segoe UI" w:hAnsi="Segoe UI" w:cs="Segoe UI"/>
                <w:b/>
                <w:bCs/>
                <w:sz w:val="16"/>
                <w:szCs w:val="16"/>
              </w:rPr>
              <w:t xml:space="preserve">Balance as </w:t>
            </w:r>
            <w:proofErr w:type="gramStart"/>
            <w:r w:rsidRPr="002404CD">
              <w:rPr>
                <w:rFonts w:ascii="Segoe UI" w:hAnsi="Segoe UI" w:cs="Segoe UI"/>
                <w:b/>
                <w:bCs/>
                <w:sz w:val="16"/>
                <w:szCs w:val="16"/>
              </w:rPr>
              <w:t>at</w:t>
            </w:r>
            <w:proofErr w:type="gramEnd"/>
            <w:r w:rsidRPr="002404CD">
              <w:rPr>
                <w:rFonts w:ascii="Segoe UI" w:hAnsi="Segoe UI" w:cs="Segoe UI"/>
                <w:b/>
                <w:bCs/>
                <w:sz w:val="16"/>
                <w:szCs w:val="16"/>
              </w:rPr>
              <w:t xml:space="preserve"> 30 June 2023</w:t>
            </w:r>
          </w:p>
        </w:tc>
        <w:tc>
          <w:tcPr>
            <w:tcW w:w="1025" w:type="dxa"/>
            <w:tcBorders>
              <w:top w:val="single" w:sz="4" w:space="0" w:color="A6A6A6" w:themeColor="background1" w:themeShade="A6"/>
              <w:left w:val="nil"/>
              <w:bottom w:val="single" w:sz="4" w:space="0" w:color="A6A6A6" w:themeColor="background1" w:themeShade="A6"/>
              <w:right w:val="nil"/>
            </w:tcBorders>
          </w:tcPr>
          <w:p w14:paraId="5D8B7537" w14:textId="28618E3F" w:rsidR="007D1E25" w:rsidRPr="002404CD" w:rsidRDefault="007D1E25" w:rsidP="008F7455">
            <w:pPr>
              <w:pStyle w:val="TableParagraph"/>
              <w:spacing w:before="40" w:after="40"/>
              <w:ind w:left="-42" w:right="170" w:firstLine="99"/>
              <w:jc w:val="right"/>
              <w:rPr>
                <w:rFonts w:ascii="Segoe UI" w:hAnsi="Segoe UI" w:cs="Segoe UI"/>
                <w:b/>
                <w:bCs/>
                <w:sz w:val="16"/>
                <w:szCs w:val="16"/>
              </w:rPr>
            </w:pPr>
            <w:r w:rsidRPr="002404CD">
              <w:rPr>
                <w:rFonts w:ascii="Segoe UI" w:hAnsi="Segoe UI" w:cs="Segoe UI"/>
                <w:b/>
                <w:bCs/>
                <w:sz w:val="16"/>
                <w:szCs w:val="16"/>
              </w:rPr>
              <w:t>–</w:t>
            </w:r>
          </w:p>
        </w:tc>
        <w:tc>
          <w:tcPr>
            <w:tcW w:w="1024" w:type="dxa"/>
            <w:tcBorders>
              <w:top w:val="single" w:sz="4" w:space="0" w:color="A6A6A6" w:themeColor="background1" w:themeShade="A6"/>
              <w:left w:val="nil"/>
              <w:bottom w:val="single" w:sz="4" w:space="0" w:color="A6A6A6" w:themeColor="background1" w:themeShade="A6"/>
              <w:right w:val="nil"/>
            </w:tcBorders>
          </w:tcPr>
          <w:p w14:paraId="4A1CA40F" w14:textId="419AE153" w:rsidR="007D1E25" w:rsidRPr="002404CD" w:rsidRDefault="007D1E25" w:rsidP="008F7455">
            <w:pPr>
              <w:pStyle w:val="TableParagraph"/>
              <w:spacing w:before="40" w:after="40"/>
              <w:ind w:left="-42" w:right="170" w:firstLine="99"/>
              <w:jc w:val="right"/>
              <w:rPr>
                <w:rFonts w:ascii="Segoe UI" w:hAnsi="Segoe UI" w:cs="Segoe UI"/>
                <w:b/>
                <w:bCs/>
                <w:sz w:val="16"/>
                <w:szCs w:val="16"/>
              </w:rPr>
            </w:pPr>
            <w:r w:rsidRPr="002404CD">
              <w:rPr>
                <w:rFonts w:ascii="Segoe UI" w:hAnsi="Segoe UI" w:cs="Segoe UI"/>
                <w:b/>
                <w:bCs/>
                <w:sz w:val="16"/>
                <w:szCs w:val="16"/>
              </w:rPr>
              <w:t>3,233</w:t>
            </w:r>
          </w:p>
        </w:tc>
        <w:tc>
          <w:tcPr>
            <w:tcW w:w="1025" w:type="dxa"/>
            <w:tcBorders>
              <w:top w:val="single" w:sz="4" w:space="0" w:color="A6A6A6" w:themeColor="background1" w:themeShade="A6"/>
              <w:left w:val="nil"/>
              <w:bottom w:val="single" w:sz="4" w:space="0" w:color="A6A6A6" w:themeColor="background1" w:themeShade="A6"/>
              <w:right w:val="nil"/>
            </w:tcBorders>
          </w:tcPr>
          <w:p w14:paraId="47CEAE90" w14:textId="6DC31034" w:rsidR="007D1E25" w:rsidRPr="002404CD" w:rsidRDefault="007D1E25" w:rsidP="008F7455">
            <w:pPr>
              <w:pStyle w:val="TableParagraph"/>
              <w:spacing w:before="40" w:after="40"/>
              <w:ind w:left="-42" w:right="170" w:firstLine="99"/>
              <w:jc w:val="right"/>
              <w:rPr>
                <w:rFonts w:ascii="Segoe UI" w:hAnsi="Segoe UI" w:cs="Segoe UI"/>
                <w:b/>
                <w:bCs/>
                <w:sz w:val="16"/>
                <w:szCs w:val="16"/>
              </w:rPr>
            </w:pPr>
            <w:r w:rsidRPr="002404CD">
              <w:rPr>
                <w:rFonts w:ascii="Segoe UI" w:hAnsi="Segoe UI" w:cs="Segoe UI"/>
                <w:b/>
                <w:bCs/>
                <w:sz w:val="16"/>
                <w:szCs w:val="16"/>
              </w:rPr>
              <w:t>644</w:t>
            </w:r>
          </w:p>
        </w:tc>
        <w:tc>
          <w:tcPr>
            <w:tcW w:w="1024" w:type="dxa"/>
            <w:tcBorders>
              <w:top w:val="single" w:sz="4" w:space="0" w:color="A6A6A6" w:themeColor="background1" w:themeShade="A6"/>
              <w:left w:val="nil"/>
              <w:bottom w:val="single" w:sz="4" w:space="0" w:color="A6A6A6" w:themeColor="background1" w:themeShade="A6"/>
              <w:right w:val="nil"/>
            </w:tcBorders>
          </w:tcPr>
          <w:p w14:paraId="5F0B9F5B" w14:textId="6F51A009" w:rsidR="007D1E25" w:rsidRPr="002404CD" w:rsidRDefault="007D1E25" w:rsidP="008F7455">
            <w:pPr>
              <w:pStyle w:val="TableParagraph"/>
              <w:spacing w:before="40" w:after="40"/>
              <w:ind w:left="-42" w:right="170" w:firstLine="99"/>
              <w:jc w:val="right"/>
              <w:rPr>
                <w:rFonts w:ascii="Segoe UI" w:hAnsi="Segoe UI" w:cs="Segoe UI"/>
                <w:b/>
                <w:bCs/>
                <w:sz w:val="16"/>
                <w:szCs w:val="16"/>
              </w:rPr>
            </w:pPr>
            <w:r w:rsidRPr="002404CD">
              <w:rPr>
                <w:rFonts w:ascii="Segoe UI" w:hAnsi="Segoe UI" w:cs="Segoe UI"/>
                <w:b/>
                <w:bCs/>
                <w:sz w:val="16"/>
                <w:szCs w:val="16"/>
              </w:rPr>
              <w:t>49</w:t>
            </w:r>
          </w:p>
        </w:tc>
        <w:tc>
          <w:tcPr>
            <w:tcW w:w="1024" w:type="dxa"/>
            <w:tcBorders>
              <w:top w:val="single" w:sz="4" w:space="0" w:color="A6A6A6" w:themeColor="background1" w:themeShade="A6"/>
              <w:left w:val="nil"/>
              <w:bottom w:val="single" w:sz="4" w:space="0" w:color="A6A6A6" w:themeColor="background1" w:themeShade="A6"/>
              <w:right w:val="nil"/>
            </w:tcBorders>
          </w:tcPr>
          <w:p w14:paraId="5BED461E" w14:textId="297570EF" w:rsidR="007D1E25" w:rsidRPr="002404CD" w:rsidRDefault="007D1E25" w:rsidP="008F7455">
            <w:pPr>
              <w:pStyle w:val="TableParagraph"/>
              <w:spacing w:before="40" w:after="40"/>
              <w:ind w:left="-42" w:right="170" w:firstLine="99"/>
              <w:jc w:val="right"/>
              <w:rPr>
                <w:rFonts w:ascii="Segoe UI" w:hAnsi="Segoe UI" w:cs="Segoe UI"/>
                <w:b/>
                <w:bCs/>
                <w:sz w:val="16"/>
                <w:szCs w:val="16"/>
              </w:rPr>
            </w:pPr>
            <w:r w:rsidRPr="002404CD">
              <w:rPr>
                <w:rFonts w:ascii="Segoe UI" w:hAnsi="Segoe UI" w:cs="Segoe UI"/>
                <w:b/>
                <w:bCs/>
                <w:sz w:val="16"/>
                <w:szCs w:val="16"/>
              </w:rPr>
              <w:t>774</w:t>
            </w:r>
          </w:p>
        </w:tc>
        <w:tc>
          <w:tcPr>
            <w:tcW w:w="1025" w:type="dxa"/>
            <w:tcBorders>
              <w:top w:val="single" w:sz="4" w:space="0" w:color="A6A6A6" w:themeColor="background1" w:themeShade="A6"/>
              <w:left w:val="nil"/>
              <w:bottom w:val="single" w:sz="4" w:space="0" w:color="A6A6A6" w:themeColor="background1" w:themeShade="A6"/>
              <w:right w:val="nil"/>
            </w:tcBorders>
          </w:tcPr>
          <w:p w14:paraId="38A7C17E" w14:textId="197A3773" w:rsidR="007D1E25" w:rsidRPr="002404CD" w:rsidRDefault="007D1E25" w:rsidP="008F7455">
            <w:pPr>
              <w:pStyle w:val="TableParagraph"/>
              <w:spacing w:before="40" w:after="40"/>
              <w:ind w:left="-42" w:right="170" w:firstLine="99"/>
              <w:jc w:val="right"/>
              <w:rPr>
                <w:rFonts w:ascii="Segoe UI" w:hAnsi="Segoe UI" w:cs="Segoe UI"/>
                <w:b/>
                <w:bCs/>
                <w:sz w:val="16"/>
                <w:szCs w:val="16"/>
              </w:rPr>
            </w:pPr>
            <w:r w:rsidRPr="002404CD">
              <w:rPr>
                <w:rFonts w:ascii="Segoe UI" w:hAnsi="Segoe UI" w:cs="Segoe UI"/>
                <w:b/>
                <w:bCs/>
                <w:sz w:val="16"/>
                <w:szCs w:val="16"/>
              </w:rPr>
              <w:t>4,700</w:t>
            </w:r>
          </w:p>
        </w:tc>
      </w:tr>
      <w:tr w:rsidR="007D1E25" w14:paraId="3FF835D9" w14:textId="77777777" w:rsidTr="002404CD">
        <w:trPr>
          <w:trHeight w:val="354"/>
        </w:trPr>
        <w:tc>
          <w:tcPr>
            <w:tcW w:w="2268" w:type="dxa"/>
            <w:tcBorders>
              <w:top w:val="single" w:sz="4" w:space="0" w:color="A6A6A6" w:themeColor="background1" w:themeShade="A6"/>
              <w:left w:val="nil"/>
              <w:bottom w:val="nil"/>
              <w:right w:val="nil"/>
            </w:tcBorders>
          </w:tcPr>
          <w:p w14:paraId="000B2BED" w14:textId="2D689C48" w:rsidR="007D1E25" w:rsidRDefault="007D1E25" w:rsidP="008F7455">
            <w:pPr>
              <w:pStyle w:val="TableParagraph"/>
              <w:spacing w:before="40" w:after="40"/>
              <w:ind w:left="-42" w:right="170" w:firstLine="99"/>
              <w:rPr>
                <w:rFonts w:ascii="Segoe UI" w:hAnsi="Segoe UI" w:cs="Segoe UI"/>
                <w:sz w:val="16"/>
                <w:szCs w:val="16"/>
              </w:rPr>
            </w:pPr>
            <w:r w:rsidRPr="002404CD">
              <w:rPr>
                <w:rFonts w:ascii="Segoe UI" w:hAnsi="Segoe UI" w:cs="Segoe UI"/>
                <w:sz w:val="16"/>
                <w:szCs w:val="16"/>
              </w:rPr>
              <w:t xml:space="preserve">Balance as </w:t>
            </w:r>
            <w:proofErr w:type="gramStart"/>
            <w:r w:rsidRPr="002404CD">
              <w:rPr>
                <w:rFonts w:ascii="Segoe UI" w:hAnsi="Segoe UI" w:cs="Segoe UI"/>
                <w:sz w:val="16"/>
                <w:szCs w:val="16"/>
              </w:rPr>
              <w:t>at</w:t>
            </w:r>
            <w:proofErr w:type="gramEnd"/>
            <w:r w:rsidRPr="002404CD">
              <w:rPr>
                <w:rFonts w:ascii="Segoe UI" w:hAnsi="Segoe UI" w:cs="Segoe UI"/>
                <w:sz w:val="16"/>
                <w:szCs w:val="16"/>
              </w:rPr>
              <w:t xml:space="preserve"> 1 July 2023</w:t>
            </w:r>
          </w:p>
        </w:tc>
        <w:tc>
          <w:tcPr>
            <w:tcW w:w="1025" w:type="dxa"/>
            <w:tcBorders>
              <w:top w:val="single" w:sz="4" w:space="0" w:color="A6A6A6" w:themeColor="background1" w:themeShade="A6"/>
              <w:left w:val="nil"/>
              <w:bottom w:val="nil"/>
              <w:right w:val="nil"/>
            </w:tcBorders>
          </w:tcPr>
          <w:p w14:paraId="47A0D719" w14:textId="00ADFA38"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w:t>
            </w:r>
          </w:p>
        </w:tc>
        <w:tc>
          <w:tcPr>
            <w:tcW w:w="1024" w:type="dxa"/>
            <w:tcBorders>
              <w:top w:val="single" w:sz="4" w:space="0" w:color="A6A6A6" w:themeColor="background1" w:themeShade="A6"/>
              <w:left w:val="nil"/>
              <w:bottom w:val="nil"/>
              <w:right w:val="nil"/>
            </w:tcBorders>
          </w:tcPr>
          <w:p w14:paraId="0068B62D" w14:textId="2D64D5BD"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3,233</w:t>
            </w:r>
          </w:p>
        </w:tc>
        <w:tc>
          <w:tcPr>
            <w:tcW w:w="1025" w:type="dxa"/>
            <w:tcBorders>
              <w:top w:val="single" w:sz="4" w:space="0" w:color="A6A6A6" w:themeColor="background1" w:themeShade="A6"/>
              <w:left w:val="nil"/>
              <w:bottom w:val="nil"/>
              <w:right w:val="nil"/>
            </w:tcBorders>
          </w:tcPr>
          <w:p w14:paraId="4C21802A" w14:textId="106891A0"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644</w:t>
            </w:r>
          </w:p>
        </w:tc>
        <w:tc>
          <w:tcPr>
            <w:tcW w:w="1024" w:type="dxa"/>
            <w:tcBorders>
              <w:top w:val="single" w:sz="4" w:space="0" w:color="A6A6A6" w:themeColor="background1" w:themeShade="A6"/>
              <w:left w:val="nil"/>
              <w:bottom w:val="nil"/>
              <w:right w:val="nil"/>
            </w:tcBorders>
          </w:tcPr>
          <w:p w14:paraId="3C3E9E5B" w14:textId="16A75D90"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49</w:t>
            </w:r>
          </w:p>
        </w:tc>
        <w:tc>
          <w:tcPr>
            <w:tcW w:w="1024" w:type="dxa"/>
            <w:tcBorders>
              <w:top w:val="single" w:sz="4" w:space="0" w:color="A6A6A6" w:themeColor="background1" w:themeShade="A6"/>
              <w:left w:val="nil"/>
              <w:bottom w:val="nil"/>
              <w:right w:val="nil"/>
            </w:tcBorders>
          </w:tcPr>
          <w:p w14:paraId="494DDBC7" w14:textId="2DBD2283"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774</w:t>
            </w:r>
          </w:p>
        </w:tc>
        <w:tc>
          <w:tcPr>
            <w:tcW w:w="1025" w:type="dxa"/>
            <w:tcBorders>
              <w:top w:val="single" w:sz="4" w:space="0" w:color="A6A6A6" w:themeColor="background1" w:themeShade="A6"/>
              <w:left w:val="nil"/>
              <w:bottom w:val="nil"/>
              <w:right w:val="nil"/>
            </w:tcBorders>
          </w:tcPr>
          <w:p w14:paraId="4AF54F83" w14:textId="4BE1B878"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4,700</w:t>
            </w:r>
          </w:p>
        </w:tc>
      </w:tr>
      <w:tr w:rsidR="007D1E25" w14:paraId="7277A5A9" w14:textId="77777777" w:rsidTr="002404CD">
        <w:trPr>
          <w:trHeight w:val="359"/>
        </w:trPr>
        <w:tc>
          <w:tcPr>
            <w:tcW w:w="2268" w:type="dxa"/>
          </w:tcPr>
          <w:p w14:paraId="303696D5" w14:textId="21404D3A" w:rsidR="007D1E25" w:rsidRDefault="007D1E25" w:rsidP="008F7455">
            <w:pPr>
              <w:pStyle w:val="TableParagraph"/>
              <w:spacing w:before="40" w:after="40"/>
              <w:ind w:left="-42" w:right="170" w:firstLine="99"/>
              <w:rPr>
                <w:rFonts w:ascii="Segoe UI" w:hAnsi="Segoe UI" w:cs="Segoe UI"/>
                <w:sz w:val="16"/>
                <w:szCs w:val="16"/>
              </w:rPr>
            </w:pPr>
            <w:r w:rsidRPr="002404CD">
              <w:rPr>
                <w:rFonts w:ascii="Segoe UI" w:hAnsi="Segoe UI" w:cs="Segoe UI"/>
                <w:sz w:val="16"/>
                <w:szCs w:val="16"/>
              </w:rPr>
              <w:t>Depreciation expense</w:t>
            </w:r>
          </w:p>
        </w:tc>
        <w:tc>
          <w:tcPr>
            <w:tcW w:w="1025" w:type="dxa"/>
          </w:tcPr>
          <w:p w14:paraId="39452A6B" w14:textId="2D6EB09E"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w:t>
            </w:r>
          </w:p>
        </w:tc>
        <w:tc>
          <w:tcPr>
            <w:tcW w:w="1024" w:type="dxa"/>
          </w:tcPr>
          <w:p w14:paraId="2D7917D3" w14:textId="0A7A7777"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442</w:t>
            </w:r>
          </w:p>
        </w:tc>
        <w:tc>
          <w:tcPr>
            <w:tcW w:w="1025" w:type="dxa"/>
          </w:tcPr>
          <w:p w14:paraId="1993C209" w14:textId="1745D072"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50</w:t>
            </w:r>
          </w:p>
        </w:tc>
        <w:tc>
          <w:tcPr>
            <w:tcW w:w="1024" w:type="dxa"/>
          </w:tcPr>
          <w:p w14:paraId="54879894" w14:textId="6C5A7270"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27</w:t>
            </w:r>
          </w:p>
        </w:tc>
        <w:tc>
          <w:tcPr>
            <w:tcW w:w="1024" w:type="dxa"/>
          </w:tcPr>
          <w:p w14:paraId="70F54047" w14:textId="64E52866"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6</w:t>
            </w:r>
          </w:p>
        </w:tc>
        <w:tc>
          <w:tcPr>
            <w:tcW w:w="1025" w:type="dxa"/>
          </w:tcPr>
          <w:p w14:paraId="0BAFCDD2" w14:textId="464BB8AE"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525</w:t>
            </w:r>
          </w:p>
        </w:tc>
      </w:tr>
      <w:tr w:rsidR="007D1E25" w14:paraId="4BFE23D9" w14:textId="77777777" w:rsidTr="002404CD">
        <w:trPr>
          <w:trHeight w:val="348"/>
        </w:trPr>
        <w:tc>
          <w:tcPr>
            <w:tcW w:w="2268" w:type="dxa"/>
            <w:tcBorders>
              <w:top w:val="nil"/>
              <w:left w:val="nil"/>
              <w:bottom w:val="single" w:sz="4" w:space="0" w:color="A6A6A6" w:themeColor="background1" w:themeShade="A6"/>
              <w:right w:val="nil"/>
            </w:tcBorders>
          </w:tcPr>
          <w:p w14:paraId="731B4352" w14:textId="3ADF6018" w:rsidR="007D1E25" w:rsidRDefault="007D1E25" w:rsidP="008F7455">
            <w:pPr>
              <w:pStyle w:val="TableParagraph"/>
              <w:spacing w:before="40" w:after="40"/>
              <w:ind w:left="-42" w:right="170" w:firstLine="99"/>
              <w:rPr>
                <w:rFonts w:ascii="Segoe UI" w:hAnsi="Segoe UI" w:cs="Segoe UI"/>
                <w:sz w:val="16"/>
                <w:szCs w:val="16"/>
              </w:rPr>
            </w:pPr>
            <w:r w:rsidRPr="002404CD">
              <w:rPr>
                <w:rFonts w:ascii="Segoe UI" w:hAnsi="Segoe UI" w:cs="Segoe UI"/>
                <w:sz w:val="16"/>
                <w:szCs w:val="16"/>
              </w:rPr>
              <w:t>Eliminate on disposal</w:t>
            </w:r>
          </w:p>
        </w:tc>
        <w:tc>
          <w:tcPr>
            <w:tcW w:w="1025" w:type="dxa"/>
            <w:tcBorders>
              <w:top w:val="nil"/>
              <w:left w:val="nil"/>
              <w:bottom w:val="single" w:sz="4" w:space="0" w:color="A6A6A6" w:themeColor="background1" w:themeShade="A6"/>
              <w:right w:val="nil"/>
            </w:tcBorders>
          </w:tcPr>
          <w:p w14:paraId="77F29599" w14:textId="61F8CD11"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w:t>
            </w:r>
          </w:p>
        </w:tc>
        <w:tc>
          <w:tcPr>
            <w:tcW w:w="1024" w:type="dxa"/>
            <w:tcBorders>
              <w:top w:val="nil"/>
              <w:left w:val="nil"/>
              <w:bottom w:val="single" w:sz="4" w:space="0" w:color="A6A6A6" w:themeColor="background1" w:themeShade="A6"/>
              <w:right w:val="nil"/>
            </w:tcBorders>
          </w:tcPr>
          <w:p w14:paraId="306215AE" w14:textId="20DFE78F"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w:t>
            </w:r>
          </w:p>
        </w:tc>
        <w:tc>
          <w:tcPr>
            <w:tcW w:w="1025" w:type="dxa"/>
            <w:tcBorders>
              <w:top w:val="nil"/>
              <w:left w:val="nil"/>
              <w:bottom w:val="single" w:sz="4" w:space="0" w:color="A6A6A6" w:themeColor="background1" w:themeShade="A6"/>
              <w:right w:val="nil"/>
            </w:tcBorders>
          </w:tcPr>
          <w:p w14:paraId="3DE67ADE" w14:textId="48C31F62"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(11)</w:t>
            </w:r>
          </w:p>
        </w:tc>
        <w:tc>
          <w:tcPr>
            <w:tcW w:w="1024" w:type="dxa"/>
            <w:tcBorders>
              <w:top w:val="nil"/>
              <w:left w:val="nil"/>
              <w:bottom w:val="single" w:sz="4" w:space="0" w:color="A6A6A6" w:themeColor="background1" w:themeShade="A6"/>
              <w:right w:val="nil"/>
            </w:tcBorders>
          </w:tcPr>
          <w:p w14:paraId="4E047B80" w14:textId="0097C28E"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w:t>
            </w:r>
          </w:p>
        </w:tc>
        <w:tc>
          <w:tcPr>
            <w:tcW w:w="1024" w:type="dxa"/>
            <w:tcBorders>
              <w:top w:val="nil"/>
              <w:left w:val="nil"/>
              <w:bottom w:val="single" w:sz="4" w:space="0" w:color="A6A6A6" w:themeColor="background1" w:themeShade="A6"/>
              <w:right w:val="nil"/>
            </w:tcBorders>
          </w:tcPr>
          <w:p w14:paraId="1D02CA13" w14:textId="590F6DCB"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w:t>
            </w:r>
          </w:p>
        </w:tc>
        <w:tc>
          <w:tcPr>
            <w:tcW w:w="1025" w:type="dxa"/>
            <w:tcBorders>
              <w:top w:val="nil"/>
              <w:left w:val="nil"/>
              <w:bottom w:val="single" w:sz="4" w:space="0" w:color="A6A6A6" w:themeColor="background1" w:themeShade="A6"/>
              <w:right w:val="nil"/>
            </w:tcBorders>
          </w:tcPr>
          <w:p w14:paraId="0F0EF5F3" w14:textId="3FF3E508"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(11)</w:t>
            </w:r>
          </w:p>
        </w:tc>
      </w:tr>
      <w:tr w:rsidR="007D1E25" w:rsidRPr="002404CD" w14:paraId="6241AADA" w14:textId="77777777" w:rsidTr="002404CD">
        <w:trPr>
          <w:trHeight w:val="344"/>
        </w:trPr>
        <w:tc>
          <w:tcPr>
            <w:tcW w:w="2268" w:type="dxa"/>
            <w:tcBorders>
              <w:top w:val="single" w:sz="4" w:space="0" w:color="A6A6A6" w:themeColor="background1" w:themeShade="A6"/>
              <w:left w:val="nil"/>
              <w:bottom w:val="single" w:sz="4" w:space="0" w:color="A6A6A6" w:themeColor="background1" w:themeShade="A6"/>
              <w:right w:val="nil"/>
            </w:tcBorders>
          </w:tcPr>
          <w:p w14:paraId="6FB21AFD" w14:textId="26765123" w:rsidR="007D1E25" w:rsidRPr="002404CD" w:rsidRDefault="007D1E25" w:rsidP="008F7455">
            <w:pPr>
              <w:pStyle w:val="TableParagraph"/>
              <w:spacing w:before="40" w:after="40"/>
              <w:ind w:left="-42" w:right="170" w:firstLine="99"/>
              <w:rPr>
                <w:rFonts w:ascii="Segoe UI" w:hAnsi="Segoe UI" w:cs="Segoe UI"/>
                <w:b/>
                <w:bCs/>
                <w:sz w:val="16"/>
                <w:szCs w:val="16"/>
              </w:rPr>
            </w:pPr>
            <w:r w:rsidRPr="002404CD">
              <w:rPr>
                <w:rFonts w:ascii="Segoe UI" w:hAnsi="Segoe UI" w:cs="Segoe UI"/>
                <w:b/>
                <w:bCs/>
                <w:sz w:val="16"/>
                <w:szCs w:val="16"/>
              </w:rPr>
              <w:t xml:space="preserve">Balance as </w:t>
            </w:r>
            <w:proofErr w:type="gramStart"/>
            <w:r w:rsidRPr="002404CD">
              <w:rPr>
                <w:rFonts w:ascii="Segoe UI" w:hAnsi="Segoe UI" w:cs="Segoe UI"/>
                <w:b/>
                <w:bCs/>
                <w:sz w:val="16"/>
                <w:szCs w:val="16"/>
              </w:rPr>
              <w:t>at</w:t>
            </w:r>
            <w:proofErr w:type="gramEnd"/>
            <w:r w:rsidRPr="002404CD">
              <w:rPr>
                <w:rFonts w:ascii="Segoe UI" w:hAnsi="Segoe UI" w:cs="Segoe UI"/>
                <w:b/>
                <w:bCs/>
                <w:sz w:val="16"/>
                <w:szCs w:val="16"/>
              </w:rPr>
              <w:t xml:space="preserve"> 30 June 2024</w:t>
            </w:r>
          </w:p>
        </w:tc>
        <w:tc>
          <w:tcPr>
            <w:tcW w:w="1025" w:type="dxa"/>
            <w:tcBorders>
              <w:top w:val="single" w:sz="4" w:space="0" w:color="A6A6A6" w:themeColor="background1" w:themeShade="A6"/>
              <w:left w:val="nil"/>
              <w:bottom w:val="single" w:sz="4" w:space="0" w:color="A6A6A6" w:themeColor="background1" w:themeShade="A6"/>
              <w:right w:val="nil"/>
            </w:tcBorders>
          </w:tcPr>
          <w:p w14:paraId="1EC24FFA" w14:textId="0AA63282" w:rsidR="007D1E25" w:rsidRPr="002404CD" w:rsidRDefault="007D1E25" w:rsidP="008F7455">
            <w:pPr>
              <w:pStyle w:val="TableParagraph"/>
              <w:spacing w:before="40" w:after="40"/>
              <w:ind w:left="-42" w:right="170" w:firstLine="99"/>
              <w:jc w:val="right"/>
              <w:rPr>
                <w:rFonts w:ascii="Segoe UI" w:hAnsi="Segoe UI" w:cs="Segoe UI"/>
                <w:b/>
                <w:bCs/>
                <w:sz w:val="16"/>
                <w:szCs w:val="16"/>
              </w:rPr>
            </w:pPr>
            <w:r w:rsidRPr="002404CD">
              <w:rPr>
                <w:rFonts w:ascii="Segoe UI" w:hAnsi="Segoe UI" w:cs="Segoe UI"/>
                <w:b/>
                <w:bCs/>
                <w:sz w:val="16"/>
                <w:szCs w:val="16"/>
              </w:rPr>
              <w:t>–</w:t>
            </w:r>
          </w:p>
        </w:tc>
        <w:tc>
          <w:tcPr>
            <w:tcW w:w="1024" w:type="dxa"/>
            <w:tcBorders>
              <w:top w:val="single" w:sz="4" w:space="0" w:color="A6A6A6" w:themeColor="background1" w:themeShade="A6"/>
              <w:left w:val="nil"/>
              <w:bottom w:val="single" w:sz="4" w:space="0" w:color="A6A6A6" w:themeColor="background1" w:themeShade="A6"/>
              <w:right w:val="nil"/>
            </w:tcBorders>
          </w:tcPr>
          <w:p w14:paraId="1F82EB3C" w14:textId="24EC6D76" w:rsidR="007D1E25" w:rsidRPr="002404CD" w:rsidRDefault="007D1E25" w:rsidP="008F7455">
            <w:pPr>
              <w:pStyle w:val="TableParagraph"/>
              <w:spacing w:before="40" w:after="40"/>
              <w:ind w:left="-42" w:right="170" w:firstLine="99"/>
              <w:jc w:val="right"/>
              <w:rPr>
                <w:rFonts w:ascii="Segoe UI" w:hAnsi="Segoe UI" w:cs="Segoe UI"/>
                <w:b/>
                <w:bCs/>
                <w:sz w:val="16"/>
                <w:szCs w:val="16"/>
              </w:rPr>
            </w:pPr>
            <w:r w:rsidRPr="002404CD">
              <w:rPr>
                <w:rFonts w:ascii="Segoe UI" w:hAnsi="Segoe UI" w:cs="Segoe UI"/>
                <w:b/>
                <w:bCs/>
                <w:sz w:val="16"/>
                <w:szCs w:val="16"/>
              </w:rPr>
              <w:t>3,675</w:t>
            </w:r>
          </w:p>
        </w:tc>
        <w:tc>
          <w:tcPr>
            <w:tcW w:w="1025" w:type="dxa"/>
            <w:tcBorders>
              <w:top w:val="single" w:sz="4" w:space="0" w:color="A6A6A6" w:themeColor="background1" w:themeShade="A6"/>
              <w:left w:val="nil"/>
              <w:bottom w:val="single" w:sz="4" w:space="0" w:color="A6A6A6" w:themeColor="background1" w:themeShade="A6"/>
              <w:right w:val="nil"/>
            </w:tcBorders>
          </w:tcPr>
          <w:p w14:paraId="7C872639" w14:textId="1D2FFF3E" w:rsidR="007D1E25" w:rsidRPr="002404CD" w:rsidRDefault="007D1E25" w:rsidP="008F7455">
            <w:pPr>
              <w:pStyle w:val="TableParagraph"/>
              <w:spacing w:before="40" w:after="40"/>
              <w:ind w:left="-42" w:right="170" w:firstLine="99"/>
              <w:jc w:val="right"/>
              <w:rPr>
                <w:rFonts w:ascii="Segoe UI" w:hAnsi="Segoe UI" w:cs="Segoe UI"/>
                <w:b/>
                <w:bCs/>
                <w:sz w:val="16"/>
                <w:szCs w:val="16"/>
              </w:rPr>
            </w:pPr>
            <w:r w:rsidRPr="002404CD">
              <w:rPr>
                <w:rFonts w:ascii="Segoe UI" w:hAnsi="Segoe UI" w:cs="Segoe UI"/>
                <w:b/>
                <w:bCs/>
                <w:sz w:val="16"/>
                <w:szCs w:val="16"/>
              </w:rPr>
              <w:t>683</w:t>
            </w:r>
          </w:p>
        </w:tc>
        <w:tc>
          <w:tcPr>
            <w:tcW w:w="1024" w:type="dxa"/>
            <w:tcBorders>
              <w:top w:val="single" w:sz="4" w:space="0" w:color="A6A6A6" w:themeColor="background1" w:themeShade="A6"/>
              <w:left w:val="nil"/>
              <w:bottom w:val="single" w:sz="4" w:space="0" w:color="A6A6A6" w:themeColor="background1" w:themeShade="A6"/>
              <w:right w:val="nil"/>
            </w:tcBorders>
          </w:tcPr>
          <w:p w14:paraId="67D25935" w14:textId="555FA9EA" w:rsidR="007D1E25" w:rsidRPr="002404CD" w:rsidRDefault="007D1E25" w:rsidP="008F7455">
            <w:pPr>
              <w:pStyle w:val="TableParagraph"/>
              <w:spacing w:before="40" w:after="40"/>
              <w:ind w:left="-42" w:right="170" w:firstLine="99"/>
              <w:jc w:val="right"/>
              <w:rPr>
                <w:rFonts w:ascii="Segoe UI" w:hAnsi="Segoe UI" w:cs="Segoe UI"/>
                <w:b/>
                <w:bCs/>
                <w:sz w:val="16"/>
                <w:szCs w:val="16"/>
              </w:rPr>
            </w:pPr>
            <w:r w:rsidRPr="002404CD">
              <w:rPr>
                <w:rFonts w:ascii="Segoe UI" w:hAnsi="Segoe UI" w:cs="Segoe UI"/>
                <w:b/>
                <w:bCs/>
                <w:sz w:val="16"/>
                <w:szCs w:val="16"/>
              </w:rPr>
              <w:t>76</w:t>
            </w:r>
          </w:p>
        </w:tc>
        <w:tc>
          <w:tcPr>
            <w:tcW w:w="1024" w:type="dxa"/>
            <w:tcBorders>
              <w:top w:val="single" w:sz="4" w:space="0" w:color="A6A6A6" w:themeColor="background1" w:themeShade="A6"/>
              <w:left w:val="nil"/>
              <w:bottom w:val="single" w:sz="4" w:space="0" w:color="A6A6A6" w:themeColor="background1" w:themeShade="A6"/>
              <w:right w:val="nil"/>
            </w:tcBorders>
          </w:tcPr>
          <w:p w14:paraId="0BB533E1" w14:textId="52065F48" w:rsidR="007D1E25" w:rsidRPr="002404CD" w:rsidRDefault="007D1E25" w:rsidP="008F7455">
            <w:pPr>
              <w:pStyle w:val="TableParagraph"/>
              <w:spacing w:before="40" w:after="40"/>
              <w:ind w:left="-42" w:right="170" w:firstLine="99"/>
              <w:jc w:val="right"/>
              <w:rPr>
                <w:rFonts w:ascii="Segoe UI" w:hAnsi="Segoe UI" w:cs="Segoe UI"/>
                <w:b/>
                <w:bCs/>
                <w:sz w:val="16"/>
                <w:szCs w:val="16"/>
              </w:rPr>
            </w:pPr>
            <w:r w:rsidRPr="002404CD">
              <w:rPr>
                <w:rFonts w:ascii="Segoe UI" w:hAnsi="Segoe UI" w:cs="Segoe UI"/>
                <w:b/>
                <w:bCs/>
                <w:sz w:val="16"/>
                <w:szCs w:val="16"/>
              </w:rPr>
              <w:t>780</w:t>
            </w:r>
          </w:p>
        </w:tc>
        <w:tc>
          <w:tcPr>
            <w:tcW w:w="1025" w:type="dxa"/>
            <w:tcBorders>
              <w:top w:val="single" w:sz="4" w:space="0" w:color="A6A6A6" w:themeColor="background1" w:themeShade="A6"/>
              <w:left w:val="nil"/>
              <w:bottom w:val="single" w:sz="4" w:space="0" w:color="A6A6A6" w:themeColor="background1" w:themeShade="A6"/>
              <w:right w:val="nil"/>
            </w:tcBorders>
          </w:tcPr>
          <w:p w14:paraId="4193E840" w14:textId="59822EDD" w:rsidR="007D1E25" w:rsidRPr="002404CD" w:rsidRDefault="007D1E25" w:rsidP="008F7455">
            <w:pPr>
              <w:pStyle w:val="TableParagraph"/>
              <w:spacing w:before="40" w:after="40"/>
              <w:ind w:left="-42" w:right="170" w:firstLine="99"/>
              <w:jc w:val="right"/>
              <w:rPr>
                <w:rFonts w:ascii="Segoe UI" w:hAnsi="Segoe UI" w:cs="Segoe UI"/>
                <w:b/>
                <w:bCs/>
                <w:sz w:val="16"/>
                <w:szCs w:val="16"/>
              </w:rPr>
            </w:pPr>
            <w:r w:rsidRPr="002404CD">
              <w:rPr>
                <w:rFonts w:ascii="Segoe UI" w:hAnsi="Segoe UI" w:cs="Segoe UI"/>
                <w:b/>
                <w:bCs/>
                <w:sz w:val="16"/>
                <w:szCs w:val="16"/>
              </w:rPr>
              <w:t>5,214</w:t>
            </w:r>
          </w:p>
        </w:tc>
      </w:tr>
      <w:tr w:rsidR="007D1E25" w14:paraId="33FB43B5" w14:textId="77777777" w:rsidTr="002404CD">
        <w:trPr>
          <w:trHeight w:val="354"/>
        </w:trPr>
        <w:tc>
          <w:tcPr>
            <w:tcW w:w="8415" w:type="dxa"/>
            <w:gridSpan w:val="7"/>
            <w:tcBorders>
              <w:top w:val="dotted" w:sz="6" w:space="0" w:color="002E6E"/>
              <w:left w:val="nil"/>
              <w:bottom w:val="nil"/>
              <w:right w:val="nil"/>
            </w:tcBorders>
          </w:tcPr>
          <w:p w14:paraId="0C44519A" w14:textId="795D60BE" w:rsidR="007D1E25" w:rsidRDefault="007D1E25" w:rsidP="008F7455">
            <w:pPr>
              <w:pStyle w:val="TableParagraph"/>
              <w:spacing w:before="40" w:after="40"/>
              <w:ind w:left="-42" w:right="170" w:firstLine="99"/>
              <w:rPr>
                <w:rFonts w:ascii="Segoe UI" w:hAnsi="Segoe UI" w:cs="Segoe UI"/>
                <w:b/>
                <w:bCs/>
                <w:sz w:val="16"/>
                <w:szCs w:val="16"/>
              </w:rPr>
            </w:pPr>
            <w:r w:rsidRPr="002404CD">
              <w:rPr>
                <w:rFonts w:ascii="Segoe UI" w:hAnsi="Segoe UI" w:cs="Segoe UI"/>
                <w:b/>
                <w:bCs/>
                <w:sz w:val="16"/>
                <w:szCs w:val="16"/>
              </w:rPr>
              <w:t>Total property, plant and equipment including work in progress</w:t>
            </w:r>
          </w:p>
        </w:tc>
      </w:tr>
      <w:tr w:rsidR="007D1E25" w14:paraId="32EA4460" w14:textId="77777777" w:rsidTr="002404CD">
        <w:trPr>
          <w:trHeight w:val="348"/>
        </w:trPr>
        <w:tc>
          <w:tcPr>
            <w:tcW w:w="2268" w:type="dxa"/>
            <w:tcBorders>
              <w:top w:val="nil"/>
              <w:left w:val="nil"/>
              <w:bottom w:val="single" w:sz="4" w:space="0" w:color="A6A6A6" w:themeColor="background1" w:themeShade="A6"/>
              <w:right w:val="nil"/>
            </w:tcBorders>
          </w:tcPr>
          <w:p w14:paraId="49614A86" w14:textId="15736677" w:rsidR="007D1E25" w:rsidRDefault="007D1E25" w:rsidP="008F7455">
            <w:pPr>
              <w:pStyle w:val="TableParagraph"/>
              <w:spacing w:before="40" w:after="40"/>
              <w:ind w:left="-42" w:right="170" w:firstLine="99"/>
              <w:rPr>
                <w:rFonts w:ascii="Segoe UI" w:hAnsi="Segoe UI" w:cs="Segoe UI"/>
                <w:sz w:val="16"/>
                <w:szCs w:val="16"/>
              </w:rPr>
            </w:pPr>
            <w:proofErr w:type="gramStart"/>
            <w:r w:rsidRPr="002404CD">
              <w:rPr>
                <w:rFonts w:ascii="Segoe UI" w:hAnsi="Segoe UI" w:cs="Segoe UI"/>
                <w:sz w:val="16"/>
                <w:szCs w:val="16"/>
              </w:rPr>
              <w:t>At</w:t>
            </w:r>
            <w:proofErr w:type="gramEnd"/>
            <w:r w:rsidRPr="002404CD">
              <w:rPr>
                <w:rFonts w:ascii="Segoe UI" w:hAnsi="Segoe UI" w:cs="Segoe UI"/>
                <w:sz w:val="16"/>
                <w:szCs w:val="16"/>
              </w:rPr>
              <w:t xml:space="preserve"> 30 June 2022</w:t>
            </w:r>
          </w:p>
        </w:tc>
        <w:tc>
          <w:tcPr>
            <w:tcW w:w="1025" w:type="dxa"/>
            <w:tcBorders>
              <w:top w:val="nil"/>
              <w:left w:val="nil"/>
              <w:bottom w:val="single" w:sz="4" w:space="0" w:color="A6A6A6" w:themeColor="background1" w:themeShade="A6"/>
              <w:right w:val="nil"/>
            </w:tcBorders>
          </w:tcPr>
          <w:p w14:paraId="3474D35E" w14:textId="55B46A83"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6,315</w:t>
            </w:r>
          </w:p>
        </w:tc>
        <w:tc>
          <w:tcPr>
            <w:tcW w:w="1024" w:type="dxa"/>
            <w:tcBorders>
              <w:top w:val="nil"/>
              <w:left w:val="nil"/>
              <w:bottom w:val="single" w:sz="4" w:space="0" w:color="A6A6A6" w:themeColor="background1" w:themeShade="A6"/>
              <w:right w:val="nil"/>
            </w:tcBorders>
          </w:tcPr>
          <w:p w14:paraId="00DD8B14" w14:textId="0566F9D6"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2,140</w:t>
            </w:r>
          </w:p>
        </w:tc>
        <w:tc>
          <w:tcPr>
            <w:tcW w:w="1025" w:type="dxa"/>
            <w:tcBorders>
              <w:top w:val="nil"/>
              <w:left w:val="nil"/>
              <w:bottom w:val="single" w:sz="4" w:space="0" w:color="A6A6A6" w:themeColor="background1" w:themeShade="A6"/>
              <w:right w:val="nil"/>
            </w:tcBorders>
          </w:tcPr>
          <w:p w14:paraId="4E2D2E25" w14:textId="5A8B3CD7"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643</w:t>
            </w:r>
          </w:p>
        </w:tc>
        <w:tc>
          <w:tcPr>
            <w:tcW w:w="1024" w:type="dxa"/>
            <w:tcBorders>
              <w:top w:val="nil"/>
              <w:left w:val="nil"/>
              <w:bottom w:val="single" w:sz="4" w:space="0" w:color="A6A6A6" w:themeColor="background1" w:themeShade="A6"/>
              <w:right w:val="nil"/>
            </w:tcBorders>
          </w:tcPr>
          <w:p w14:paraId="36501DE8" w14:textId="2AA9E37E"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255</w:t>
            </w:r>
          </w:p>
        </w:tc>
        <w:tc>
          <w:tcPr>
            <w:tcW w:w="1024" w:type="dxa"/>
            <w:tcBorders>
              <w:top w:val="nil"/>
              <w:left w:val="nil"/>
              <w:bottom w:val="single" w:sz="4" w:space="0" w:color="A6A6A6" w:themeColor="background1" w:themeShade="A6"/>
              <w:right w:val="nil"/>
            </w:tcBorders>
          </w:tcPr>
          <w:p w14:paraId="3A9811C4" w14:textId="52891504"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68</w:t>
            </w:r>
          </w:p>
        </w:tc>
        <w:tc>
          <w:tcPr>
            <w:tcW w:w="1025" w:type="dxa"/>
            <w:tcBorders>
              <w:top w:val="nil"/>
              <w:left w:val="nil"/>
              <w:bottom w:val="single" w:sz="4" w:space="0" w:color="A6A6A6" w:themeColor="background1" w:themeShade="A6"/>
              <w:right w:val="nil"/>
            </w:tcBorders>
          </w:tcPr>
          <w:p w14:paraId="76EE66CA" w14:textId="6FF815CA"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9,421</w:t>
            </w:r>
          </w:p>
        </w:tc>
      </w:tr>
      <w:tr w:rsidR="007D1E25" w14:paraId="116BACCE" w14:textId="77777777" w:rsidTr="002404CD">
        <w:trPr>
          <w:trHeight w:val="344"/>
        </w:trPr>
        <w:tc>
          <w:tcPr>
            <w:tcW w:w="2268" w:type="dxa"/>
            <w:tcBorders>
              <w:top w:val="single" w:sz="4" w:space="0" w:color="A6A6A6" w:themeColor="background1" w:themeShade="A6"/>
              <w:left w:val="nil"/>
              <w:bottom w:val="single" w:sz="4" w:space="0" w:color="A6A6A6" w:themeColor="background1" w:themeShade="A6"/>
              <w:right w:val="nil"/>
            </w:tcBorders>
          </w:tcPr>
          <w:p w14:paraId="604DED6A" w14:textId="072E9D74" w:rsidR="007D1E25" w:rsidRDefault="007D1E25" w:rsidP="008F7455">
            <w:pPr>
              <w:pStyle w:val="TableParagraph"/>
              <w:spacing w:before="40" w:after="40"/>
              <w:ind w:left="-42" w:right="170" w:firstLine="99"/>
              <w:rPr>
                <w:rFonts w:ascii="Segoe UI" w:hAnsi="Segoe UI" w:cs="Segoe UI"/>
                <w:sz w:val="16"/>
                <w:szCs w:val="16"/>
              </w:rPr>
            </w:pPr>
            <w:proofErr w:type="gramStart"/>
            <w:r w:rsidRPr="002404CD">
              <w:rPr>
                <w:rFonts w:ascii="Segoe UI" w:hAnsi="Segoe UI" w:cs="Segoe UI"/>
                <w:sz w:val="16"/>
                <w:szCs w:val="16"/>
              </w:rPr>
              <w:t>At</w:t>
            </w:r>
            <w:proofErr w:type="gramEnd"/>
            <w:r w:rsidRPr="002404CD">
              <w:rPr>
                <w:rFonts w:ascii="Segoe UI" w:hAnsi="Segoe UI" w:cs="Segoe UI"/>
                <w:sz w:val="16"/>
                <w:szCs w:val="16"/>
              </w:rPr>
              <w:t xml:space="preserve"> 30 June 2023</w:t>
            </w:r>
          </w:p>
        </w:tc>
        <w:tc>
          <w:tcPr>
            <w:tcW w:w="1025" w:type="dxa"/>
            <w:tcBorders>
              <w:top w:val="single" w:sz="4" w:space="0" w:color="A6A6A6" w:themeColor="background1" w:themeShade="A6"/>
              <w:left w:val="nil"/>
              <w:bottom w:val="single" w:sz="4" w:space="0" w:color="A6A6A6" w:themeColor="background1" w:themeShade="A6"/>
              <w:right w:val="nil"/>
            </w:tcBorders>
          </w:tcPr>
          <w:p w14:paraId="2899F3D8" w14:textId="1B68D056"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6,315</w:t>
            </w:r>
          </w:p>
        </w:tc>
        <w:tc>
          <w:tcPr>
            <w:tcW w:w="1024" w:type="dxa"/>
            <w:tcBorders>
              <w:top w:val="single" w:sz="4" w:space="0" w:color="A6A6A6" w:themeColor="background1" w:themeShade="A6"/>
              <w:left w:val="nil"/>
              <w:bottom w:val="single" w:sz="4" w:space="0" w:color="A6A6A6" w:themeColor="background1" w:themeShade="A6"/>
              <w:right w:val="nil"/>
            </w:tcBorders>
          </w:tcPr>
          <w:p w14:paraId="352C745F" w14:textId="1F0D20BA"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2,984</w:t>
            </w:r>
          </w:p>
        </w:tc>
        <w:tc>
          <w:tcPr>
            <w:tcW w:w="1025" w:type="dxa"/>
            <w:tcBorders>
              <w:top w:val="single" w:sz="4" w:space="0" w:color="A6A6A6" w:themeColor="background1" w:themeShade="A6"/>
              <w:left w:val="nil"/>
              <w:bottom w:val="single" w:sz="4" w:space="0" w:color="A6A6A6" w:themeColor="background1" w:themeShade="A6"/>
              <w:right w:val="nil"/>
            </w:tcBorders>
          </w:tcPr>
          <w:p w14:paraId="05791E42" w14:textId="55AD3CDC"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137</w:t>
            </w:r>
          </w:p>
        </w:tc>
        <w:tc>
          <w:tcPr>
            <w:tcW w:w="1024" w:type="dxa"/>
            <w:tcBorders>
              <w:top w:val="single" w:sz="4" w:space="0" w:color="A6A6A6" w:themeColor="background1" w:themeShade="A6"/>
              <w:left w:val="nil"/>
              <w:bottom w:val="single" w:sz="4" w:space="0" w:color="A6A6A6" w:themeColor="background1" w:themeShade="A6"/>
              <w:right w:val="nil"/>
            </w:tcBorders>
          </w:tcPr>
          <w:p w14:paraId="128A70DE" w14:textId="7204B416"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122</w:t>
            </w:r>
          </w:p>
        </w:tc>
        <w:tc>
          <w:tcPr>
            <w:tcW w:w="1024" w:type="dxa"/>
            <w:tcBorders>
              <w:top w:val="single" w:sz="4" w:space="0" w:color="A6A6A6" w:themeColor="background1" w:themeShade="A6"/>
              <w:left w:val="nil"/>
              <w:bottom w:val="single" w:sz="4" w:space="0" w:color="A6A6A6" w:themeColor="background1" w:themeShade="A6"/>
              <w:right w:val="nil"/>
            </w:tcBorders>
          </w:tcPr>
          <w:p w14:paraId="6418B28A" w14:textId="397DACF9"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6</w:t>
            </w:r>
          </w:p>
        </w:tc>
        <w:tc>
          <w:tcPr>
            <w:tcW w:w="1025" w:type="dxa"/>
            <w:tcBorders>
              <w:top w:val="single" w:sz="4" w:space="0" w:color="A6A6A6" w:themeColor="background1" w:themeShade="A6"/>
              <w:left w:val="nil"/>
              <w:bottom w:val="single" w:sz="4" w:space="0" w:color="A6A6A6" w:themeColor="background1" w:themeShade="A6"/>
              <w:right w:val="nil"/>
            </w:tcBorders>
          </w:tcPr>
          <w:p w14:paraId="22863353" w14:textId="2561A566" w:rsidR="007D1E25" w:rsidRDefault="007D1E25" w:rsidP="008F7455">
            <w:pPr>
              <w:pStyle w:val="TableParagraph"/>
              <w:spacing w:before="40" w:after="40"/>
              <w:ind w:left="-42" w:right="170" w:firstLine="99"/>
              <w:jc w:val="right"/>
              <w:rPr>
                <w:rFonts w:ascii="Segoe UI" w:hAnsi="Segoe UI" w:cs="Segoe UI"/>
                <w:sz w:val="16"/>
                <w:szCs w:val="16"/>
              </w:rPr>
            </w:pPr>
            <w:r w:rsidRPr="002404CD">
              <w:rPr>
                <w:rFonts w:ascii="Segoe UI" w:hAnsi="Segoe UI" w:cs="Segoe UI"/>
                <w:sz w:val="16"/>
                <w:szCs w:val="16"/>
              </w:rPr>
              <w:t>9,564</w:t>
            </w:r>
          </w:p>
        </w:tc>
      </w:tr>
      <w:tr w:rsidR="007D1E25" w:rsidRPr="002404CD" w14:paraId="65A830DE" w14:textId="77777777" w:rsidTr="002404CD">
        <w:trPr>
          <w:trHeight w:val="344"/>
        </w:trPr>
        <w:tc>
          <w:tcPr>
            <w:tcW w:w="2268" w:type="dxa"/>
            <w:tcBorders>
              <w:top w:val="single" w:sz="4" w:space="0" w:color="A6A6A6" w:themeColor="background1" w:themeShade="A6"/>
              <w:left w:val="nil"/>
              <w:bottom w:val="single" w:sz="4" w:space="0" w:color="A6A6A6" w:themeColor="background1" w:themeShade="A6"/>
              <w:right w:val="nil"/>
            </w:tcBorders>
          </w:tcPr>
          <w:p w14:paraId="6AD11068" w14:textId="225B23CA" w:rsidR="007D1E25" w:rsidRPr="002404CD" w:rsidRDefault="007D1E25" w:rsidP="008F7455">
            <w:pPr>
              <w:pStyle w:val="TableParagraph"/>
              <w:spacing w:before="40" w:after="40"/>
              <w:ind w:left="-42" w:right="170" w:firstLine="99"/>
              <w:rPr>
                <w:rFonts w:ascii="Segoe UI" w:hAnsi="Segoe UI" w:cs="Segoe UI"/>
                <w:b/>
                <w:bCs/>
                <w:sz w:val="16"/>
                <w:szCs w:val="16"/>
              </w:rPr>
            </w:pPr>
            <w:proofErr w:type="gramStart"/>
            <w:r w:rsidRPr="002404CD">
              <w:rPr>
                <w:rFonts w:ascii="Segoe UI" w:hAnsi="Segoe UI" w:cs="Segoe UI"/>
                <w:b/>
                <w:bCs/>
                <w:sz w:val="16"/>
                <w:szCs w:val="16"/>
              </w:rPr>
              <w:t>At</w:t>
            </w:r>
            <w:proofErr w:type="gramEnd"/>
            <w:r w:rsidRPr="002404CD">
              <w:rPr>
                <w:rFonts w:ascii="Segoe UI" w:hAnsi="Segoe UI" w:cs="Segoe UI"/>
                <w:b/>
                <w:bCs/>
                <w:sz w:val="16"/>
                <w:szCs w:val="16"/>
              </w:rPr>
              <w:t xml:space="preserve"> 30 June 2024</w:t>
            </w:r>
          </w:p>
        </w:tc>
        <w:tc>
          <w:tcPr>
            <w:tcW w:w="1025" w:type="dxa"/>
            <w:tcBorders>
              <w:top w:val="single" w:sz="4" w:space="0" w:color="A6A6A6" w:themeColor="background1" w:themeShade="A6"/>
              <w:left w:val="nil"/>
              <w:bottom w:val="single" w:sz="4" w:space="0" w:color="A6A6A6" w:themeColor="background1" w:themeShade="A6"/>
              <w:right w:val="nil"/>
            </w:tcBorders>
          </w:tcPr>
          <w:p w14:paraId="716F611C" w14:textId="2E1304D6" w:rsidR="007D1E25" w:rsidRPr="002404CD" w:rsidRDefault="007D1E25" w:rsidP="008F7455">
            <w:pPr>
              <w:pStyle w:val="TableParagraph"/>
              <w:spacing w:before="40" w:after="40"/>
              <w:ind w:left="-42" w:right="170" w:firstLine="99"/>
              <w:jc w:val="right"/>
              <w:rPr>
                <w:rFonts w:ascii="Segoe UI" w:hAnsi="Segoe UI" w:cs="Segoe UI"/>
                <w:b/>
                <w:bCs/>
                <w:sz w:val="16"/>
                <w:szCs w:val="16"/>
              </w:rPr>
            </w:pPr>
            <w:r w:rsidRPr="002404CD">
              <w:rPr>
                <w:rFonts w:ascii="Segoe UI" w:hAnsi="Segoe UI" w:cs="Segoe UI"/>
                <w:b/>
                <w:bCs/>
                <w:sz w:val="16"/>
                <w:szCs w:val="16"/>
              </w:rPr>
              <w:t>5,750</w:t>
            </w:r>
          </w:p>
        </w:tc>
        <w:tc>
          <w:tcPr>
            <w:tcW w:w="1024" w:type="dxa"/>
            <w:tcBorders>
              <w:top w:val="single" w:sz="4" w:space="0" w:color="A6A6A6" w:themeColor="background1" w:themeShade="A6"/>
              <w:left w:val="nil"/>
              <w:bottom w:val="single" w:sz="4" w:space="0" w:color="A6A6A6" w:themeColor="background1" w:themeShade="A6"/>
              <w:right w:val="nil"/>
            </w:tcBorders>
          </w:tcPr>
          <w:p w14:paraId="58ED6EC6" w14:textId="2AAD43DC" w:rsidR="007D1E25" w:rsidRPr="002404CD" w:rsidRDefault="007D1E25" w:rsidP="008F7455">
            <w:pPr>
              <w:pStyle w:val="TableParagraph"/>
              <w:spacing w:before="40" w:after="40"/>
              <w:ind w:left="-42" w:right="170" w:firstLine="99"/>
              <w:jc w:val="right"/>
              <w:rPr>
                <w:rFonts w:ascii="Segoe UI" w:hAnsi="Segoe UI" w:cs="Segoe UI"/>
                <w:b/>
                <w:bCs/>
                <w:sz w:val="16"/>
                <w:szCs w:val="16"/>
              </w:rPr>
            </w:pPr>
            <w:r w:rsidRPr="002404CD">
              <w:rPr>
                <w:rFonts w:ascii="Segoe UI" w:hAnsi="Segoe UI" w:cs="Segoe UI"/>
                <w:b/>
                <w:bCs/>
                <w:sz w:val="16"/>
                <w:szCs w:val="16"/>
              </w:rPr>
              <w:t>4,624</w:t>
            </w:r>
          </w:p>
        </w:tc>
        <w:tc>
          <w:tcPr>
            <w:tcW w:w="1025" w:type="dxa"/>
            <w:tcBorders>
              <w:top w:val="single" w:sz="4" w:space="0" w:color="A6A6A6" w:themeColor="background1" w:themeShade="A6"/>
              <w:left w:val="nil"/>
              <w:bottom w:val="single" w:sz="4" w:space="0" w:color="A6A6A6" w:themeColor="background1" w:themeShade="A6"/>
              <w:right w:val="nil"/>
            </w:tcBorders>
          </w:tcPr>
          <w:p w14:paraId="27BF88A8" w14:textId="541118A7" w:rsidR="007D1E25" w:rsidRPr="002404CD" w:rsidRDefault="007D1E25" w:rsidP="008F7455">
            <w:pPr>
              <w:pStyle w:val="TableParagraph"/>
              <w:spacing w:before="40" w:after="40"/>
              <w:ind w:left="-42" w:right="170" w:firstLine="99"/>
              <w:jc w:val="right"/>
              <w:rPr>
                <w:rFonts w:ascii="Segoe UI" w:hAnsi="Segoe UI" w:cs="Segoe UI"/>
                <w:b/>
                <w:bCs/>
                <w:sz w:val="16"/>
                <w:szCs w:val="16"/>
              </w:rPr>
            </w:pPr>
            <w:r w:rsidRPr="002404CD">
              <w:rPr>
                <w:rFonts w:ascii="Segoe UI" w:hAnsi="Segoe UI" w:cs="Segoe UI"/>
                <w:b/>
                <w:bCs/>
                <w:sz w:val="16"/>
                <w:szCs w:val="16"/>
              </w:rPr>
              <w:t>89</w:t>
            </w:r>
          </w:p>
        </w:tc>
        <w:tc>
          <w:tcPr>
            <w:tcW w:w="1024" w:type="dxa"/>
            <w:tcBorders>
              <w:top w:val="single" w:sz="4" w:space="0" w:color="A6A6A6" w:themeColor="background1" w:themeShade="A6"/>
              <w:left w:val="nil"/>
              <w:bottom w:val="single" w:sz="4" w:space="0" w:color="A6A6A6" w:themeColor="background1" w:themeShade="A6"/>
              <w:right w:val="nil"/>
            </w:tcBorders>
          </w:tcPr>
          <w:p w14:paraId="79EA6FFE" w14:textId="2EEB8E51" w:rsidR="007D1E25" w:rsidRPr="002404CD" w:rsidRDefault="007D1E25" w:rsidP="008F7455">
            <w:pPr>
              <w:pStyle w:val="TableParagraph"/>
              <w:spacing w:before="40" w:after="40"/>
              <w:ind w:left="-42" w:right="170" w:firstLine="99"/>
              <w:jc w:val="right"/>
              <w:rPr>
                <w:rFonts w:ascii="Segoe UI" w:hAnsi="Segoe UI" w:cs="Segoe UI"/>
                <w:b/>
                <w:bCs/>
                <w:sz w:val="16"/>
                <w:szCs w:val="16"/>
              </w:rPr>
            </w:pPr>
            <w:r w:rsidRPr="002404CD">
              <w:rPr>
                <w:rFonts w:ascii="Segoe UI" w:hAnsi="Segoe UI" w:cs="Segoe UI"/>
                <w:b/>
                <w:bCs/>
                <w:sz w:val="16"/>
                <w:szCs w:val="16"/>
              </w:rPr>
              <w:t>93</w:t>
            </w:r>
          </w:p>
        </w:tc>
        <w:tc>
          <w:tcPr>
            <w:tcW w:w="1024" w:type="dxa"/>
            <w:tcBorders>
              <w:top w:val="single" w:sz="4" w:space="0" w:color="A6A6A6" w:themeColor="background1" w:themeShade="A6"/>
              <w:left w:val="nil"/>
              <w:bottom w:val="single" w:sz="4" w:space="0" w:color="A6A6A6" w:themeColor="background1" w:themeShade="A6"/>
              <w:right w:val="nil"/>
            </w:tcBorders>
          </w:tcPr>
          <w:p w14:paraId="31D750BF" w14:textId="1DBF967D" w:rsidR="007D1E25" w:rsidRPr="002404CD" w:rsidRDefault="007D1E25" w:rsidP="008F7455">
            <w:pPr>
              <w:pStyle w:val="TableParagraph"/>
              <w:spacing w:before="40" w:after="40"/>
              <w:ind w:left="-42" w:right="170" w:firstLine="99"/>
              <w:jc w:val="right"/>
              <w:rPr>
                <w:rFonts w:ascii="Segoe UI" w:hAnsi="Segoe UI" w:cs="Segoe UI"/>
                <w:b/>
                <w:bCs/>
                <w:sz w:val="16"/>
                <w:szCs w:val="16"/>
              </w:rPr>
            </w:pPr>
            <w:r w:rsidRPr="002404CD">
              <w:rPr>
                <w:rFonts w:ascii="Segoe UI" w:hAnsi="Segoe UI" w:cs="Segoe UI"/>
                <w:b/>
                <w:bCs/>
                <w:sz w:val="16"/>
                <w:szCs w:val="16"/>
              </w:rPr>
              <w:t>–</w:t>
            </w:r>
          </w:p>
        </w:tc>
        <w:tc>
          <w:tcPr>
            <w:tcW w:w="1025" w:type="dxa"/>
            <w:tcBorders>
              <w:top w:val="single" w:sz="4" w:space="0" w:color="A6A6A6" w:themeColor="background1" w:themeShade="A6"/>
              <w:left w:val="nil"/>
              <w:bottom w:val="single" w:sz="4" w:space="0" w:color="A6A6A6" w:themeColor="background1" w:themeShade="A6"/>
              <w:right w:val="nil"/>
            </w:tcBorders>
          </w:tcPr>
          <w:p w14:paraId="2C417166" w14:textId="59FD03D0" w:rsidR="007D1E25" w:rsidRPr="002404CD" w:rsidRDefault="007D1E25" w:rsidP="008F7455">
            <w:pPr>
              <w:pStyle w:val="TableParagraph"/>
              <w:spacing w:before="40" w:after="40"/>
              <w:ind w:left="-42" w:right="170" w:firstLine="99"/>
              <w:jc w:val="right"/>
              <w:rPr>
                <w:rFonts w:ascii="Segoe UI" w:hAnsi="Segoe UI" w:cs="Segoe UI"/>
                <w:b/>
                <w:bCs/>
                <w:sz w:val="16"/>
                <w:szCs w:val="16"/>
              </w:rPr>
            </w:pPr>
            <w:r w:rsidRPr="002404CD">
              <w:rPr>
                <w:rFonts w:ascii="Segoe UI" w:hAnsi="Segoe UI" w:cs="Segoe UI"/>
                <w:b/>
                <w:bCs/>
                <w:sz w:val="16"/>
                <w:szCs w:val="16"/>
              </w:rPr>
              <w:t>10,556</w:t>
            </w:r>
          </w:p>
        </w:tc>
      </w:tr>
    </w:tbl>
    <w:p w14:paraId="0EAA5537" w14:textId="56B8FCF4" w:rsidR="002404CD" w:rsidRDefault="007D1E25" w:rsidP="007D1E25">
      <w:pPr>
        <w:pStyle w:val="Note"/>
        <w:ind w:left="210" w:hanging="210"/>
      </w:pPr>
      <w:r>
        <w:t>*  Included in the disposal is the transfer of assets to Health New Zealand (net book value of $0.579 million) on 1 July 2022.</w:t>
      </w:r>
    </w:p>
    <w:p w14:paraId="77283836" w14:textId="77777777" w:rsidR="007D1E25" w:rsidRDefault="007D1E25" w:rsidP="007D1E25">
      <w:pPr>
        <w:pStyle w:val="Heading4"/>
      </w:pPr>
      <w:r>
        <w:t xml:space="preserve">Work in </w:t>
      </w:r>
      <w:proofErr w:type="gramStart"/>
      <w:r>
        <w:t>progress</w:t>
      </w:r>
      <w:proofErr w:type="gramEnd"/>
      <w:r>
        <w:tab/>
      </w:r>
    </w:p>
    <w:p w14:paraId="2ED25F22" w14:textId="362AD5F6" w:rsidR="007D1E25" w:rsidRDefault="007D1E25" w:rsidP="007D1E25">
      <w:r>
        <w:t xml:space="preserve">As </w:t>
      </w:r>
      <w:proofErr w:type="gramStart"/>
      <w:r>
        <w:t>at</w:t>
      </w:r>
      <w:proofErr w:type="gramEnd"/>
      <w:r>
        <w:t xml:space="preserve"> 30 June 2024, work in progress was nil.</w:t>
      </w:r>
    </w:p>
    <w:p w14:paraId="245F0879" w14:textId="77777777" w:rsidR="007D1E25" w:rsidRDefault="007D1E25" w:rsidP="007D1E25"/>
    <w:p w14:paraId="50ED86B3" w14:textId="77777777" w:rsidR="002404CD" w:rsidRDefault="007D1E25" w:rsidP="007D1E25">
      <w:r>
        <w:t xml:space="preserve">As </w:t>
      </w:r>
      <w:proofErr w:type="gramStart"/>
      <w:r>
        <w:t>at</w:t>
      </w:r>
      <w:proofErr w:type="gramEnd"/>
      <w:r>
        <w:t xml:space="preserve"> 30 June 2023 work-in-progress costs incurred were $1.621 million, related to compliance for a storage facility. This project was completed and capitalised during 2023/24.</w:t>
      </w:r>
    </w:p>
    <w:p w14:paraId="1B0BFE63" w14:textId="77777777" w:rsidR="007D1E25" w:rsidRDefault="007D1E25" w:rsidP="007D1E25">
      <w:pPr>
        <w:pStyle w:val="Heading4"/>
      </w:pPr>
      <w:r>
        <w:lastRenderedPageBreak/>
        <w:t>Restrictions</w:t>
      </w:r>
      <w:r>
        <w:tab/>
      </w:r>
    </w:p>
    <w:p w14:paraId="0812DE96" w14:textId="77777777" w:rsidR="007D1E25" w:rsidRDefault="007D1E25" w:rsidP="007D1E25">
      <w:r>
        <w:t>There are no restrictions over the title of the Ministry’s property, plant and equipment.</w:t>
      </w:r>
    </w:p>
    <w:p w14:paraId="6B90DBD6" w14:textId="119F75A4" w:rsidR="008F7455" w:rsidRDefault="008F7455" w:rsidP="007123AC">
      <w:pPr>
        <w:pStyle w:val="Heading3"/>
        <w:numPr>
          <w:ilvl w:val="6"/>
          <w:numId w:val="5"/>
        </w:numPr>
        <w:tabs>
          <w:tab w:val="num" w:pos="5040"/>
        </w:tabs>
        <w:ind w:left="709" w:hanging="709"/>
      </w:pPr>
      <w:r w:rsidRPr="008F7455">
        <w:t>Intangible assets</w:t>
      </w:r>
    </w:p>
    <w:p w14:paraId="72533F41" w14:textId="77777777" w:rsidR="008F7455" w:rsidRDefault="008F7455" w:rsidP="008F7455">
      <w:pPr>
        <w:tabs>
          <w:tab w:val="left" w:pos="452"/>
        </w:tabs>
      </w:pPr>
      <w:r>
        <w:t>Intangible assets are initially recorded at cost. The cost of an</w:t>
      </w:r>
    </w:p>
    <w:p w14:paraId="7EAEA2AF" w14:textId="77777777" w:rsidR="008F7455" w:rsidRDefault="008F7455" w:rsidP="008F7455">
      <w:pPr>
        <w:tabs>
          <w:tab w:val="left" w:pos="452"/>
        </w:tabs>
      </w:pPr>
      <w:r>
        <w:t>internally generated intangible asset represents expenditure incurred in the development phase of the asset only. The development phase occurs after the following can be demonstrated:</w:t>
      </w:r>
    </w:p>
    <w:p w14:paraId="0CA4205E" w14:textId="20520389" w:rsidR="008F7455" w:rsidRDefault="008F7455" w:rsidP="008F7455">
      <w:pPr>
        <w:pStyle w:val="Bullet"/>
      </w:pPr>
      <w:r>
        <w:t>technical feasibility</w:t>
      </w:r>
    </w:p>
    <w:p w14:paraId="0F7A7551" w14:textId="1320978A" w:rsidR="008F7455" w:rsidRDefault="008F7455" w:rsidP="008F7455">
      <w:pPr>
        <w:pStyle w:val="Bullet"/>
      </w:pPr>
      <w:r>
        <w:t xml:space="preserve">ability to complete the </w:t>
      </w:r>
      <w:proofErr w:type="gramStart"/>
      <w:r>
        <w:t>asset</w:t>
      </w:r>
      <w:proofErr w:type="gramEnd"/>
    </w:p>
    <w:p w14:paraId="67F35C9F" w14:textId="276B81F7" w:rsidR="008F7455" w:rsidRDefault="008F7455" w:rsidP="008F7455">
      <w:pPr>
        <w:pStyle w:val="Bullet"/>
      </w:pPr>
      <w:r>
        <w:t xml:space="preserve">intention and ability to sell or use the </w:t>
      </w:r>
      <w:proofErr w:type="gramStart"/>
      <w:r>
        <w:t>asset</w:t>
      </w:r>
      <w:proofErr w:type="gramEnd"/>
    </w:p>
    <w:p w14:paraId="7E352270" w14:textId="73AD84F7" w:rsidR="008F7455" w:rsidRDefault="008F7455" w:rsidP="008F7455">
      <w:pPr>
        <w:pStyle w:val="Bullet"/>
      </w:pPr>
      <w:r>
        <w:t>where development expenditure can be reliably measured.</w:t>
      </w:r>
    </w:p>
    <w:p w14:paraId="53A9501F" w14:textId="77777777" w:rsidR="008F7455" w:rsidRDefault="008F7455" w:rsidP="008F7455">
      <w:pPr>
        <w:tabs>
          <w:tab w:val="left" w:pos="452"/>
        </w:tabs>
      </w:pPr>
    </w:p>
    <w:p w14:paraId="72486649" w14:textId="6942CA3F" w:rsidR="008F7455" w:rsidRDefault="008F7455" w:rsidP="008F7455">
      <w:pPr>
        <w:tabs>
          <w:tab w:val="left" w:pos="452"/>
        </w:tabs>
      </w:pPr>
      <w:r>
        <w:t>Expenditure incurred on research related to an internally generated intangible asset is expensed when it is incurred. Where the research phase cannot be distinguished from the development phase, the expenditure is expensed when it is incurred.</w:t>
      </w:r>
    </w:p>
    <w:p w14:paraId="07B97B6D" w14:textId="77777777" w:rsidR="008F7455" w:rsidRDefault="008F7455" w:rsidP="008F7455">
      <w:pPr>
        <w:pStyle w:val="Heading4"/>
      </w:pPr>
      <w:r>
        <w:t>Software acquisition and development</w:t>
      </w:r>
    </w:p>
    <w:p w14:paraId="09C44BD6" w14:textId="51FA28EA" w:rsidR="008F7455" w:rsidRDefault="008F7455" w:rsidP="008F7455">
      <w:pPr>
        <w:tabs>
          <w:tab w:val="left" w:pos="452"/>
        </w:tabs>
      </w:pPr>
      <w:r>
        <w:t>Acquired computer software licences are capitalised on the basis of the costs incurred to acquire and bring to use the specific software.</w:t>
      </w:r>
    </w:p>
    <w:p w14:paraId="49F499AE" w14:textId="77777777" w:rsidR="008F7455" w:rsidRDefault="008F7455" w:rsidP="008F7455">
      <w:pPr>
        <w:tabs>
          <w:tab w:val="left" w:pos="452"/>
        </w:tabs>
      </w:pPr>
    </w:p>
    <w:p w14:paraId="4A9E0B90" w14:textId="47B880DA" w:rsidR="008F7455" w:rsidRDefault="008F7455" w:rsidP="008F7455">
      <w:pPr>
        <w:tabs>
          <w:tab w:val="left" w:pos="452"/>
        </w:tabs>
      </w:pPr>
      <w:r>
        <w:t>Costs that are directly associated with the development of software for internal use are recognised as an intangible asset. Direct costs include the costs of services, software development, employee costs and an appropriate portion of relevant overheads.</w:t>
      </w:r>
    </w:p>
    <w:p w14:paraId="0C340078" w14:textId="77777777" w:rsidR="008F7455" w:rsidRDefault="008F7455" w:rsidP="008F7455">
      <w:pPr>
        <w:tabs>
          <w:tab w:val="left" w:pos="452"/>
        </w:tabs>
      </w:pPr>
    </w:p>
    <w:p w14:paraId="2C2E5D58" w14:textId="4202A3D5" w:rsidR="008F7455" w:rsidRDefault="008F7455" w:rsidP="008F7455">
      <w:pPr>
        <w:tabs>
          <w:tab w:val="left" w:pos="452"/>
        </w:tabs>
      </w:pPr>
      <w:r>
        <w:t>Costs of software updates or upgrades are capitalised only when they increase the usefulness or value of the software.</w:t>
      </w:r>
    </w:p>
    <w:p w14:paraId="7A53EA9B" w14:textId="77777777" w:rsidR="008F7455" w:rsidRDefault="008F7455" w:rsidP="008F7455">
      <w:pPr>
        <w:tabs>
          <w:tab w:val="left" w:pos="452"/>
        </w:tabs>
      </w:pPr>
    </w:p>
    <w:p w14:paraId="47DEC18E" w14:textId="050084FC" w:rsidR="008F7455" w:rsidRDefault="008F7455" w:rsidP="008F7455">
      <w:pPr>
        <w:tabs>
          <w:tab w:val="left" w:pos="452"/>
        </w:tabs>
      </w:pPr>
      <w:r>
        <w:t>Staff training costs, costs associated with maintaining software, and costs associated with the development and maintenance of the Ministry’s website are recognised as an expense when incurred.</w:t>
      </w:r>
    </w:p>
    <w:p w14:paraId="1A2C7398" w14:textId="77777777" w:rsidR="008F7455" w:rsidRDefault="008F7455" w:rsidP="008F7455">
      <w:pPr>
        <w:pStyle w:val="Heading4"/>
      </w:pPr>
      <w:r>
        <w:t>Amortisation</w:t>
      </w:r>
      <w:r>
        <w:tab/>
      </w:r>
    </w:p>
    <w:p w14:paraId="7FFA6134" w14:textId="513A25EB" w:rsidR="008F7455" w:rsidRDefault="008F7455" w:rsidP="008F7455">
      <w:pPr>
        <w:tabs>
          <w:tab w:val="left" w:pos="452"/>
        </w:tabs>
      </w:pPr>
      <w:r>
        <w:t>The carrying value of an intangible asset with a finite life is amortised on a straight-line basis over its useful life. Amortisation begins when the asset is available for use and ceases at the date that the asset is derecognised. The amortisation charge for each financial year is recognised in surplus or deficit. The useful lives and associated rates of major classes of intangible assets have been estimated as follows.</w:t>
      </w:r>
    </w:p>
    <w:p w14:paraId="6E1FB89C" w14:textId="77777777" w:rsidR="008F7455" w:rsidRDefault="008F7455" w:rsidP="008F7455">
      <w:pPr>
        <w:tabs>
          <w:tab w:val="left" w:pos="452"/>
        </w:tabs>
      </w:pPr>
    </w:p>
    <w:tbl>
      <w:tblPr>
        <w:tblW w:w="8085" w:type="dxa"/>
        <w:tblLayout w:type="fixed"/>
        <w:tblCellMar>
          <w:left w:w="0" w:type="dxa"/>
          <w:right w:w="0" w:type="dxa"/>
        </w:tblCellMar>
        <w:tblLook w:val="01E0" w:firstRow="1" w:lastRow="1" w:firstColumn="1" w:lastColumn="1" w:noHBand="0" w:noVBand="0"/>
      </w:tblPr>
      <w:tblGrid>
        <w:gridCol w:w="4965"/>
        <w:gridCol w:w="1277"/>
        <w:gridCol w:w="1843"/>
      </w:tblGrid>
      <w:tr w:rsidR="008F7455" w14:paraId="5B39C646" w14:textId="77777777" w:rsidTr="008F7455">
        <w:trPr>
          <w:trHeight w:val="564"/>
        </w:trPr>
        <w:tc>
          <w:tcPr>
            <w:tcW w:w="4965" w:type="dxa"/>
            <w:shd w:val="clear" w:color="auto" w:fill="D9D9D9" w:themeFill="background1" w:themeFillShade="D9"/>
          </w:tcPr>
          <w:p w14:paraId="5AC8892D" w14:textId="77777777" w:rsidR="008F7455" w:rsidRDefault="008F7455">
            <w:pPr>
              <w:pStyle w:val="TableParagraph"/>
              <w:spacing w:before="60" w:after="60"/>
              <w:ind w:left="66" w:hanging="5"/>
              <w:rPr>
                <w:rFonts w:ascii="Segoe UI" w:hAnsi="Segoe UI" w:cs="Segoe UI"/>
                <w:b/>
                <w:bCs/>
                <w:w w:val="105"/>
                <w:sz w:val="16"/>
                <w:szCs w:val="16"/>
              </w:rPr>
            </w:pPr>
          </w:p>
        </w:tc>
        <w:tc>
          <w:tcPr>
            <w:tcW w:w="1277" w:type="dxa"/>
            <w:shd w:val="clear" w:color="auto" w:fill="D9D9D9" w:themeFill="background1" w:themeFillShade="D9"/>
            <w:hideMark/>
          </w:tcPr>
          <w:p w14:paraId="5A436654" w14:textId="77777777" w:rsidR="008F7455" w:rsidRDefault="008F7455">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Useful life</w:t>
            </w:r>
          </w:p>
        </w:tc>
        <w:tc>
          <w:tcPr>
            <w:tcW w:w="1843" w:type="dxa"/>
            <w:shd w:val="clear" w:color="auto" w:fill="D9D9D9" w:themeFill="background1" w:themeFillShade="D9"/>
            <w:hideMark/>
          </w:tcPr>
          <w:p w14:paraId="66B97C54" w14:textId="77777777" w:rsidR="008F7455" w:rsidRDefault="008F7455">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Amortisation</w:t>
            </w:r>
          </w:p>
          <w:p w14:paraId="74E39E38" w14:textId="77777777" w:rsidR="008F7455" w:rsidRDefault="008F7455">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rate</w:t>
            </w:r>
          </w:p>
        </w:tc>
      </w:tr>
      <w:tr w:rsidR="008F7455" w14:paraId="1F49AB72" w14:textId="77777777" w:rsidTr="008F7455">
        <w:trPr>
          <w:trHeight w:val="344"/>
        </w:trPr>
        <w:tc>
          <w:tcPr>
            <w:tcW w:w="4965" w:type="dxa"/>
            <w:tcBorders>
              <w:top w:val="nil"/>
              <w:left w:val="nil"/>
              <w:bottom w:val="single" w:sz="4" w:space="0" w:color="A6A6A6" w:themeColor="background1" w:themeShade="A6"/>
              <w:right w:val="nil"/>
            </w:tcBorders>
            <w:hideMark/>
          </w:tcPr>
          <w:p w14:paraId="5278560D" w14:textId="77777777" w:rsidR="008F7455" w:rsidRDefault="008F7455">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Software — internally generated</w:t>
            </w:r>
          </w:p>
        </w:tc>
        <w:tc>
          <w:tcPr>
            <w:tcW w:w="1277" w:type="dxa"/>
            <w:tcBorders>
              <w:top w:val="nil"/>
              <w:left w:val="nil"/>
              <w:bottom w:val="single" w:sz="4" w:space="0" w:color="A6A6A6" w:themeColor="background1" w:themeShade="A6"/>
              <w:right w:val="nil"/>
            </w:tcBorders>
            <w:hideMark/>
          </w:tcPr>
          <w:p w14:paraId="6D8A1CC4" w14:textId="77777777" w:rsidR="008F7455" w:rsidRDefault="008F7455">
            <w:pPr>
              <w:pStyle w:val="TableParagraph"/>
              <w:spacing w:before="60" w:after="60"/>
              <w:ind w:left="-42" w:right="152" w:firstLine="99"/>
              <w:jc w:val="right"/>
              <w:rPr>
                <w:rFonts w:ascii="Segoe UI" w:hAnsi="Segoe UI" w:cs="Segoe UI"/>
                <w:w w:val="110"/>
                <w:sz w:val="16"/>
                <w:szCs w:val="16"/>
              </w:rPr>
            </w:pPr>
            <w:r>
              <w:rPr>
                <w:rFonts w:ascii="Segoe UI" w:hAnsi="Segoe UI" w:cs="Segoe UI"/>
                <w:w w:val="110"/>
                <w:sz w:val="16"/>
                <w:szCs w:val="16"/>
              </w:rPr>
              <w:t>3–7 years</w:t>
            </w:r>
          </w:p>
        </w:tc>
        <w:tc>
          <w:tcPr>
            <w:tcW w:w="1843" w:type="dxa"/>
            <w:tcBorders>
              <w:top w:val="nil"/>
              <w:left w:val="nil"/>
              <w:bottom w:val="single" w:sz="4" w:space="0" w:color="A6A6A6" w:themeColor="background1" w:themeShade="A6"/>
              <w:right w:val="nil"/>
            </w:tcBorders>
            <w:hideMark/>
          </w:tcPr>
          <w:p w14:paraId="667E888E" w14:textId="77777777" w:rsidR="008F7455" w:rsidRDefault="008F7455">
            <w:pPr>
              <w:pStyle w:val="TableParagraph"/>
              <w:spacing w:before="60" w:after="60"/>
              <w:ind w:left="-42" w:right="152" w:firstLine="99"/>
              <w:jc w:val="right"/>
              <w:rPr>
                <w:rFonts w:ascii="Segoe UI" w:hAnsi="Segoe UI" w:cs="Segoe UI"/>
                <w:w w:val="110"/>
                <w:sz w:val="16"/>
                <w:szCs w:val="16"/>
              </w:rPr>
            </w:pPr>
            <w:r>
              <w:rPr>
                <w:rFonts w:ascii="Segoe UI" w:hAnsi="Segoe UI" w:cs="Segoe UI"/>
                <w:w w:val="110"/>
                <w:sz w:val="16"/>
                <w:szCs w:val="16"/>
              </w:rPr>
              <w:t>14.3–33.3%</w:t>
            </w:r>
          </w:p>
        </w:tc>
      </w:tr>
      <w:tr w:rsidR="008F7455" w14:paraId="1F064D5D" w14:textId="77777777" w:rsidTr="008F7455">
        <w:trPr>
          <w:trHeight w:val="344"/>
        </w:trPr>
        <w:tc>
          <w:tcPr>
            <w:tcW w:w="4965" w:type="dxa"/>
            <w:tcBorders>
              <w:top w:val="single" w:sz="4" w:space="0" w:color="A6A6A6" w:themeColor="background1" w:themeShade="A6"/>
              <w:left w:val="nil"/>
              <w:bottom w:val="single" w:sz="4" w:space="0" w:color="A6A6A6" w:themeColor="background1" w:themeShade="A6"/>
              <w:right w:val="nil"/>
            </w:tcBorders>
            <w:hideMark/>
          </w:tcPr>
          <w:p w14:paraId="6842F18E" w14:textId="77777777" w:rsidR="008F7455" w:rsidRDefault="008F7455">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Software — other</w:t>
            </w:r>
          </w:p>
        </w:tc>
        <w:tc>
          <w:tcPr>
            <w:tcW w:w="1277" w:type="dxa"/>
            <w:tcBorders>
              <w:top w:val="single" w:sz="4" w:space="0" w:color="A6A6A6" w:themeColor="background1" w:themeShade="A6"/>
              <w:left w:val="nil"/>
              <w:bottom w:val="single" w:sz="4" w:space="0" w:color="A6A6A6" w:themeColor="background1" w:themeShade="A6"/>
              <w:right w:val="nil"/>
            </w:tcBorders>
            <w:hideMark/>
          </w:tcPr>
          <w:p w14:paraId="6B39B6D1" w14:textId="77777777" w:rsidR="008F7455" w:rsidRDefault="008F7455">
            <w:pPr>
              <w:pStyle w:val="TableParagraph"/>
              <w:spacing w:before="60" w:after="60"/>
              <w:ind w:left="-42" w:right="152" w:firstLine="99"/>
              <w:jc w:val="right"/>
              <w:rPr>
                <w:rFonts w:ascii="Segoe UI" w:hAnsi="Segoe UI" w:cs="Segoe UI"/>
                <w:w w:val="110"/>
                <w:sz w:val="16"/>
                <w:szCs w:val="16"/>
              </w:rPr>
            </w:pPr>
            <w:r>
              <w:rPr>
                <w:rFonts w:ascii="Segoe UI" w:hAnsi="Segoe UI" w:cs="Segoe UI"/>
                <w:w w:val="110"/>
                <w:sz w:val="16"/>
                <w:szCs w:val="16"/>
              </w:rPr>
              <w:t>3–7 years</w:t>
            </w:r>
          </w:p>
        </w:tc>
        <w:tc>
          <w:tcPr>
            <w:tcW w:w="1843" w:type="dxa"/>
            <w:tcBorders>
              <w:top w:val="single" w:sz="4" w:space="0" w:color="A6A6A6" w:themeColor="background1" w:themeShade="A6"/>
              <w:left w:val="nil"/>
              <w:bottom w:val="single" w:sz="4" w:space="0" w:color="A6A6A6" w:themeColor="background1" w:themeShade="A6"/>
              <w:right w:val="nil"/>
            </w:tcBorders>
            <w:hideMark/>
          </w:tcPr>
          <w:p w14:paraId="20274ECA" w14:textId="77777777" w:rsidR="008F7455" w:rsidRDefault="008F7455">
            <w:pPr>
              <w:pStyle w:val="TableParagraph"/>
              <w:spacing w:before="60" w:after="60"/>
              <w:ind w:left="-42" w:right="152" w:firstLine="99"/>
              <w:jc w:val="right"/>
              <w:rPr>
                <w:rFonts w:ascii="Segoe UI" w:hAnsi="Segoe UI" w:cs="Segoe UI"/>
                <w:w w:val="110"/>
                <w:sz w:val="16"/>
                <w:szCs w:val="16"/>
              </w:rPr>
            </w:pPr>
            <w:r>
              <w:rPr>
                <w:rFonts w:ascii="Segoe UI" w:hAnsi="Segoe UI" w:cs="Segoe UI"/>
                <w:w w:val="110"/>
                <w:sz w:val="16"/>
                <w:szCs w:val="16"/>
              </w:rPr>
              <w:t>14.3–33.3%</w:t>
            </w:r>
          </w:p>
        </w:tc>
      </w:tr>
    </w:tbl>
    <w:p w14:paraId="15EB275C" w14:textId="56F1E7AC" w:rsidR="008F7455" w:rsidRPr="002404CD" w:rsidRDefault="008F7455" w:rsidP="007D1E25">
      <w:pPr>
        <w:sectPr w:rsidR="008F7455" w:rsidRPr="002404CD" w:rsidSect="000A3324">
          <w:pgSz w:w="11907" w:h="16840" w:code="9"/>
          <w:pgMar w:top="1418" w:right="1701" w:bottom="1134" w:left="1843" w:header="284" w:footer="425" w:gutter="284"/>
          <w:cols w:space="720"/>
        </w:sectPr>
      </w:pPr>
    </w:p>
    <w:p w14:paraId="7144CE56" w14:textId="77777777" w:rsidR="008F7455" w:rsidRDefault="008F7455" w:rsidP="008F7455">
      <w:pPr>
        <w:pStyle w:val="Heading4"/>
        <w:spacing w:before="0"/>
      </w:pPr>
      <w:r>
        <w:lastRenderedPageBreak/>
        <w:t>Impairment</w:t>
      </w:r>
      <w:r>
        <w:tab/>
      </w:r>
    </w:p>
    <w:p w14:paraId="0C2F9581" w14:textId="77777777" w:rsidR="00732F44" w:rsidRDefault="008F7455" w:rsidP="008F7455">
      <w:r>
        <w:t>Intangible assets subsequently measured at cost that have an indefinite useful life or are not yet available for use are not subject to amortisation and are tested annually for impairment. For further details, refer to the policy for impairment of property, plant and equipment in note 7, as the same approach applies to the impairment of intangible assets.</w:t>
      </w:r>
    </w:p>
    <w:p w14:paraId="5E48F9AC" w14:textId="77777777" w:rsidR="008F7455" w:rsidRDefault="008F7455" w:rsidP="008F7455">
      <w:pPr>
        <w:pStyle w:val="Heading4"/>
      </w:pPr>
      <w:r>
        <w:t>Critical accounting estimates and assumptions</w:t>
      </w:r>
    </w:p>
    <w:p w14:paraId="6482E5FC" w14:textId="6BDC6289" w:rsidR="008F7455" w:rsidRDefault="008F7455" w:rsidP="008F7455">
      <w:pPr>
        <w:pStyle w:val="Heading5"/>
      </w:pPr>
      <w:r>
        <w:t>Useful lives of software</w:t>
      </w:r>
    </w:p>
    <w:p w14:paraId="68D45B70" w14:textId="73235B52" w:rsidR="008F7455" w:rsidRDefault="008F7455" w:rsidP="008F7455">
      <w:r>
        <w:t>The useful life of software is determined at the time the software is acquired and brought into use and is reviewed at each reporting date for appropriateness. For computer software licences, the useful life represents management’s view of the expected period over which the Ministry will receive benefits from the software but not exceeding the licence term. For internally generated software developed by the Ministry, the useful life is based on historical experience with similar systems as well as on anticipation of future events that may impact the useful life, such as changes in technology.</w:t>
      </w:r>
    </w:p>
    <w:p w14:paraId="35C4B7BF" w14:textId="77777777" w:rsidR="008F7455" w:rsidRDefault="008F7455" w:rsidP="008F7455">
      <w:pPr>
        <w:pStyle w:val="Heading5"/>
      </w:pPr>
      <w:r>
        <w:t>Software as a service</w:t>
      </w:r>
    </w:p>
    <w:p w14:paraId="56C9EEFB" w14:textId="2E7356F9" w:rsidR="008F7455" w:rsidRDefault="008F7455" w:rsidP="008F7455">
      <w:r>
        <w:t>The Ministry exercises judgement in capitalising costs incurred in implementing software as a service. Generally, the costs incurred in configuring and customising software under a software as a service arrangement are expensed in the period when they are incurred. Software as a service costs that are identifiable, and that generate future economic benefits, and where the Ministry can demonstrate control over the asset, are capitalised when incurred.</w:t>
      </w:r>
    </w:p>
    <w:p w14:paraId="19DC48FB" w14:textId="77777777" w:rsidR="008F7455" w:rsidRDefault="008F7455" w:rsidP="008F7455"/>
    <w:p w14:paraId="1A9DA640" w14:textId="77777777" w:rsidR="008F7455" w:rsidRDefault="008F7455" w:rsidP="008F7455">
      <w:r>
        <w:t>Costs of configuring and customising commercial off-the-shelf software are capitalised.</w:t>
      </w:r>
    </w:p>
    <w:p w14:paraId="681C6081" w14:textId="77777777" w:rsidR="008F7455" w:rsidRDefault="008F7455" w:rsidP="008F7455"/>
    <w:p w14:paraId="0EB1371C" w14:textId="77777777" w:rsidR="008F7455" w:rsidRDefault="008F7455" w:rsidP="008F7455">
      <w:pPr>
        <w:rPr>
          <w:highlight w:val="yellow"/>
        </w:rPr>
        <w:sectPr w:rsidR="008F7455" w:rsidSect="000A3324">
          <w:pgSz w:w="11907" w:h="16840" w:code="9"/>
          <w:pgMar w:top="1418" w:right="1701" w:bottom="1134" w:left="1843" w:header="284" w:footer="425" w:gutter="284"/>
          <w:cols w:space="720"/>
        </w:sectPr>
      </w:pPr>
    </w:p>
    <w:p w14:paraId="254EC3D0" w14:textId="77777777" w:rsidR="008F7455" w:rsidRDefault="008F7455" w:rsidP="008F7455">
      <w:pPr>
        <w:pStyle w:val="Heading4"/>
        <w:spacing w:before="0"/>
      </w:pPr>
      <w:r w:rsidRPr="008F7455">
        <w:lastRenderedPageBreak/>
        <w:t>Movement of intangible assets</w:t>
      </w:r>
    </w:p>
    <w:tbl>
      <w:tblPr>
        <w:tblW w:w="8280" w:type="dxa"/>
        <w:tblLayout w:type="fixed"/>
        <w:tblCellMar>
          <w:left w:w="0" w:type="dxa"/>
          <w:right w:w="0" w:type="dxa"/>
        </w:tblCellMar>
        <w:tblLook w:val="01E0" w:firstRow="1" w:lastRow="1" w:firstColumn="1" w:lastColumn="1" w:noHBand="0" w:noVBand="0"/>
      </w:tblPr>
      <w:tblGrid>
        <w:gridCol w:w="3118"/>
        <w:gridCol w:w="2264"/>
        <w:gridCol w:w="1617"/>
        <w:gridCol w:w="1270"/>
        <w:gridCol w:w="11"/>
      </w:tblGrid>
      <w:tr w:rsidR="008F7455" w14:paraId="6DA15F37" w14:textId="77777777" w:rsidTr="008F7455">
        <w:trPr>
          <w:trHeight w:val="1004"/>
        </w:trPr>
        <w:tc>
          <w:tcPr>
            <w:tcW w:w="3118" w:type="dxa"/>
            <w:shd w:val="clear" w:color="auto" w:fill="D9D9D9" w:themeFill="background1" w:themeFillShade="D9"/>
          </w:tcPr>
          <w:p w14:paraId="56E30657" w14:textId="77777777" w:rsidR="008F7455" w:rsidRDefault="008F7455">
            <w:pPr>
              <w:pStyle w:val="TableParagraph"/>
              <w:spacing w:line="20" w:lineRule="exact"/>
              <w:rPr>
                <w:rFonts w:ascii="Arial"/>
                <w:b/>
                <w:bCs/>
                <w:sz w:val="2"/>
              </w:rPr>
            </w:pPr>
          </w:p>
          <w:p w14:paraId="5E771B2F" w14:textId="77777777" w:rsidR="008F7455" w:rsidRDefault="008F7455">
            <w:pPr>
              <w:pStyle w:val="TableParagraph"/>
              <w:rPr>
                <w:rFonts w:ascii="Arial"/>
                <w:b/>
                <w:bCs/>
                <w:sz w:val="20"/>
              </w:rPr>
            </w:pPr>
          </w:p>
          <w:p w14:paraId="1A5AC347" w14:textId="77777777" w:rsidR="008F7455" w:rsidRDefault="008F7455">
            <w:pPr>
              <w:pStyle w:val="TableParagraph"/>
              <w:rPr>
                <w:rFonts w:ascii="Arial"/>
                <w:b/>
                <w:bCs/>
                <w:sz w:val="20"/>
              </w:rPr>
            </w:pPr>
          </w:p>
          <w:p w14:paraId="27022F2B" w14:textId="77777777" w:rsidR="008F7455" w:rsidRDefault="008F7455">
            <w:pPr>
              <w:pStyle w:val="TableParagraph"/>
              <w:spacing w:line="20" w:lineRule="exact"/>
              <w:rPr>
                <w:rFonts w:ascii="Arial"/>
                <w:b/>
                <w:bCs/>
                <w:sz w:val="2"/>
              </w:rPr>
            </w:pPr>
          </w:p>
        </w:tc>
        <w:tc>
          <w:tcPr>
            <w:tcW w:w="2264" w:type="dxa"/>
            <w:shd w:val="clear" w:color="auto" w:fill="D9D9D9" w:themeFill="background1" w:themeFillShade="D9"/>
            <w:hideMark/>
          </w:tcPr>
          <w:p w14:paraId="19D85D30" w14:textId="77777777" w:rsidR="008F7455" w:rsidRDefault="008F7455">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 xml:space="preserve">Acquired </w:t>
            </w:r>
            <w:r>
              <w:rPr>
                <w:rFonts w:ascii="Segoe UI" w:hAnsi="Segoe UI" w:cs="Segoe UI"/>
                <w:b/>
                <w:bCs/>
                <w:w w:val="110"/>
                <w:sz w:val="16"/>
                <w:szCs w:val="16"/>
              </w:rPr>
              <w:br/>
              <w:t>software</w:t>
            </w:r>
            <w:r>
              <w:rPr>
                <w:rFonts w:ascii="Segoe UI" w:hAnsi="Segoe UI" w:cs="Segoe UI"/>
                <w:b/>
                <w:bCs/>
                <w:w w:val="110"/>
                <w:sz w:val="16"/>
                <w:szCs w:val="16"/>
              </w:rPr>
              <w:br/>
            </w:r>
          </w:p>
          <w:p w14:paraId="1C7BC8BD" w14:textId="77777777" w:rsidR="008F7455" w:rsidRDefault="008F7455">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617" w:type="dxa"/>
            <w:shd w:val="clear" w:color="auto" w:fill="D9D9D9" w:themeFill="background1" w:themeFillShade="D9"/>
            <w:hideMark/>
          </w:tcPr>
          <w:p w14:paraId="53D0CD61" w14:textId="77777777" w:rsidR="008F7455" w:rsidRDefault="008F7455">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Internally</w:t>
            </w:r>
            <w:r>
              <w:rPr>
                <w:rFonts w:ascii="Segoe UI" w:hAnsi="Segoe UI" w:cs="Segoe UI"/>
                <w:b/>
                <w:bCs/>
                <w:w w:val="110"/>
                <w:sz w:val="16"/>
                <w:szCs w:val="16"/>
              </w:rPr>
              <w:br/>
              <w:t xml:space="preserve"> generated software</w:t>
            </w:r>
          </w:p>
          <w:p w14:paraId="0C63F076" w14:textId="77777777" w:rsidR="008F7455" w:rsidRDefault="008F7455">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281" w:type="dxa"/>
            <w:gridSpan w:val="2"/>
            <w:shd w:val="clear" w:color="auto" w:fill="D9D9D9" w:themeFill="background1" w:themeFillShade="D9"/>
            <w:hideMark/>
          </w:tcPr>
          <w:p w14:paraId="710C99C2" w14:textId="77777777" w:rsidR="008F7455" w:rsidRDefault="008F7455">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Total</w:t>
            </w:r>
            <w:r>
              <w:rPr>
                <w:rFonts w:ascii="Segoe UI" w:hAnsi="Segoe UI" w:cs="Segoe UI"/>
                <w:b/>
                <w:bCs/>
                <w:w w:val="110"/>
                <w:sz w:val="16"/>
                <w:szCs w:val="16"/>
              </w:rPr>
              <w:br/>
            </w:r>
            <w:r>
              <w:rPr>
                <w:rFonts w:ascii="Segoe UI" w:hAnsi="Segoe UI" w:cs="Segoe UI"/>
                <w:b/>
                <w:bCs/>
                <w:w w:val="110"/>
                <w:sz w:val="16"/>
                <w:szCs w:val="16"/>
              </w:rPr>
              <w:br/>
            </w:r>
          </w:p>
          <w:p w14:paraId="0B739ED7" w14:textId="77777777" w:rsidR="008F7455" w:rsidRDefault="008F7455">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r>
      <w:tr w:rsidR="008F7455" w14:paraId="149778EC" w14:textId="77777777" w:rsidTr="008F7455">
        <w:trPr>
          <w:trHeight w:val="324"/>
        </w:trPr>
        <w:tc>
          <w:tcPr>
            <w:tcW w:w="3118" w:type="dxa"/>
            <w:tcBorders>
              <w:top w:val="nil"/>
              <w:left w:val="nil"/>
              <w:bottom w:val="single" w:sz="4" w:space="0" w:color="A6A6A6" w:themeColor="background1" w:themeShade="A6"/>
              <w:right w:val="nil"/>
            </w:tcBorders>
            <w:hideMark/>
          </w:tcPr>
          <w:p w14:paraId="62CEBB43" w14:textId="77777777" w:rsidR="008F7455" w:rsidRDefault="008F7455" w:rsidP="008F7455">
            <w:pPr>
              <w:pStyle w:val="TableParagraph"/>
              <w:spacing w:before="60" w:after="60"/>
              <w:ind w:left="66" w:hanging="5"/>
              <w:rPr>
                <w:rFonts w:ascii="Segoe UI" w:hAnsi="Segoe UI" w:cs="Segoe UI"/>
                <w:b/>
                <w:bCs/>
                <w:w w:val="105"/>
                <w:sz w:val="16"/>
                <w:szCs w:val="16"/>
              </w:rPr>
            </w:pPr>
            <w:r>
              <w:rPr>
                <w:rFonts w:ascii="Segoe UI" w:hAnsi="Segoe UI" w:cs="Segoe UI"/>
                <w:b/>
                <w:bCs/>
                <w:w w:val="105"/>
                <w:sz w:val="16"/>
                <w:szCs w:val="16"/>
              </w:rPr>
              <w:t>Cost</w:t>
            </w:r>
          </w:p>
        </w:tc>
        <w:tc>
          <w:tcPr>
            <w:tcW w:w="2264" w:type="dxa"/>
            <w:tcBorders>
              <w:top w:val="nil"/>
              <w:left w:val="nil"/>
              <w:bottom w:val="single" w:sz="4" w:space="0" w:color="A6A6A6" w:themeColor="background1" w:themeShade="A6"/>
              <w:right w:val="nil"/>
            </w:tcBorders>
          </w:tcPr>
          <w:p w14:paraId="2FF2E3F7" w14:textId="18540C5A" w:rsidR="008F7455" w:rsidRPr="008F7455" w:rsidRDefault="008F7455" w:rsidP="008F7455">
            <w:pPr>
              <w:pStyle w:val="TableParagraph"/>
              <w:spacing w:before="60" w:after="60"/>
              <w:ind w:left="-42" w:right="152" w:firstLine="99"/>
              <w:jc w:val="right"/>
              <w:rPr>
                <w:rFonts w:ascii="Segoe UI" w:hAnsi="Segoe UI" w:cs="Segoe UI"/>
                <w:w w:val="110"/>
                <w:sz w:val="16"/>
                <w:szCs w:val="16"/>
              </w:rPr>
            </w:pPr>
          </w:p>
        </w:tc>
        <w:tc>
          <w:tcPr>
            <w:tcW w:w="1617" w:type="dxa"/>
            <w:tcBorders>
              <w:top w:val="nil"/>
              <w:left w:val="nil"/>
              <w:bottom w:val="single" w:sz="4" w:space="0" w:color="A6A6A6" w:themeColor="background1" w:themeShade="A6"/>
              <w:right w:val="nil"/>
            </w:tcBorders>
          </w:tcPr>
          <w:p w14:paraId="1420406B" w14:textId="672BD9EB" w:rsidR="008F7455" w:rsidRPr="008F7455" w:rsidRDefault="008F7455" w:rsidP="008F7455">
            <w:pPr>
              <w:pStyle w:val="TableParagraph"/>
              <w:spacing w:before="60" w:after="60"/>
              <w:ind w:left="-42" w:right="152" w:firstLine="99"/>
              <w:jc w:val="right"/>
              <w:rPr>
                <w:rFonts w:ascii="Segoe UI" w:hAnsi="Segoe UI" w:cs="Segoe UI"/>
                <w:w w:val="110"/>
                <w:sz w:val="16"/>
                <w:szCs w:val="16"/>
              </w:rPr>
            </w:pPr>
          </w:p>
        </w:tc>
        <w:tc>
          <w:tcPr>
            <w:tcW w:w="1281" w:type="dxa"/>
            <w:gridSpan w:val="2"/>
            <w:tcBorders>
              <w:top w:val="nil"/>
              <w:left w:val="nil"/>
              <w:bottom w:val="single" w:sz="4" w:space="0" w:color="A6A6A6" w:themeColor="background1" w:themeShade="A6"/>
              <w:right w:val="nil"/>
            </w:tcBorders>
          </w:tcPr>
          <w:p w14:paraId="3453F980" w14:textId="0D8FF80E" w:rsidR="008F7455" w:rsidRPr="008F7455" w:rsidRDefault="008F7455" w:rsidP="008F7455">
            <w:pPr>
              <w:pStyle w:val="TableParagraph"/>
              <w:spacing w:before="60" w:after="60"/>
              <w:ind w:left="-42" w:right="152" w:firstLine="99"/>
              <w:jc w:val="right"/>
              <w:rPr>
                <w:rFonts w:ascii="Segoe UI" w:hAnsi="Segoe UI" w:cs="Segoe UI"/>
                <w:w w:val="110"/>
                <w:sz w:val="16"/>
                <w:szCs w:val="16"/>
              </w:rPr>
            </w:pPr>
          </w:p>
        </w:tc>
      </w:tr>
      <w:tr w:rsidR="008F7455" w14:paraId="46377711" w14:textId="77777777" w:rsidTr="008F7455">
        <w:trPr>
          <w:trHeight w:val="354"/>
        </w:trPr>
        <w:tc>
          <w:tcPr>
            <w:tcW w:w="3118" w:type="dxa"/>
            <w:tcBorders>
              <w:top w:val="single" w:sz="4" w:space="0" w:color="A6A6A6" w:themeColor="background1" w:themeShade="A6"/>
              <w:left w:val="nil"/>
              <w:bottom w:val="nil"/>
              <w:right w:val="nil"/>
            </w:tcBorders>
            <w:hideMark/>
          </w:tcPr>
          <w:p w14:paraId="1206ABE9" w14:textId="1197C1F6" w:rsidR="008F7455" w:rsidRDefault="008F7455" w:rsidP="008F7455">
            <w:pPr>
              <w:pStyle w:val="TableParagraph"/>
              <w:spacing w:before="60" w:after="60"/>
              <w:ind w:left="66" w:hanging="5"/>
              <w:rPr>
                <w:rFonts w:ascii="Segoe UI" w:hAnsi="Segoe UI" w:cs="Segoe UI"/>
                <w:w w:val="105"/>
                <w:sz w:val="16"/>
                <w:szCs w:val="16"/>
              </w:rPr>
            </w:pPr>
            <w:r w:rsidRPr="008F7455">
              <w:rPr>
                <w:rFonts w:ascii="Segoe UI" w:hAnsi="Segoe UI" w:cs="Segoe UI"/>
                <w:w w:val="105"/>
                <w:sz w:val="16"/>
                <w:szCs w:val="16"/>
              </w:rPr>
              <w:t xml:space="preserve">Balance as </w:t>
            </w:r>
            <w:proofErr w:type="gramStart"/>
            <w:r w:rsidRPr="008F7455">
              <w:rPr>
                <w:rFonts w:ascii="Segoe UI" w:hAnsi="Segoe UI" w:cs="Segoe UI"/>
                <w:w w:val="105"/>
                <w:sz w:val="16"/>
                <w:szCs w:val="16"/>
              </w:rPr>
              <w:t>at</w:t>
            </w:r>
            <w:proofErr w:type="gramEnd"/>
            <w:r w:rsidRPr="008F7455">
              <w:rPr>
                <w:rFonts w:ascii="Segoe UI" w:hAnsi="Segoe UI" w:cs="Segoe UI"/>
                <w:w w:val="105"/>
                <w:sz w:val="16"/>
                <w:szCs w:val="16"/>
              </w:rPr>
              <w:t xml:space="preserve"> 1 July 2022</w:t>
            </w:r>
          </w:p>
        </w:tc>
        <w:tc>
          <w:tcPr>
            <w:tcW w:w="2264" w:type="dxa"/>
            <w:tcBorders>
              <w:top w:val="single" w:sz="4" w:space="0" w:color="A6A6A6" w:themeColor="background1" w:themeShade="A6"/>
              <w:left w:val="nil"/>
              <w:bottom w:val="nil"/>
              <w:right w:val="nil"/>
            </w:tcBorders>
          </w:tcPr>
          <w:p w14:paraId="24FDC9A3" w14:textId="10D16832" w:rsidR="008F7455" w:rsidRP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18,681</w:t>
            </w:r>
          </w:p>
        </w:tc>
        <w:tc>
          <w:tcPr>
            <w:tcW w:w="1617" w:type="dxa"/>
            <w:tcBorders>
              <w:top w:val="single" w:sz="4" w:space="0" w:color="A6A6A6" w:themeColor="background1" w:themeShade="A6"/>
              <w:left w:val="nil"/>
              <w:bottom w:val="nil"/>
              <w:right w:val="nil"/>
            </w:tcBorders>
          </w:tcPr>
          <w:p w14:paraId="372D2A56" w14:textId="4C96F00C" w:rsidR="008F7455" w:rsidRP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80,643</w:t>
            </w:r>
          </w:p>
        </w:tc>
        <w:tc>
          <w:tcPr>
            <w:tcW w:w="1281" w:type="dxa"/>
            <w:gridSpan w:val="2"/>
            <w:tcBorders>
              <w:top w:val="single" w:sz="4" w:space="0" w:color="A6A6A6" w:themeColor="background1" w:themeShade="A6"/>
              <w:left w:val="nil"/>
              <w:bottom w:val="nil"/>
              <w:right w:val="nil"/>
            </w:tcBorders>
          </w:tcPr>
          <w:p w14:paraId="5ABE00F4" w14:textId="5583EACD" w:rsidR="008F7455" w:rsidRP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99,324</w:t>
            </w:r>
          </w:p>
        </w:tc>
      </w:tr>
      <w:tr w:rsidR="008F7455" w14:paraId="2E91C529" w14:textId="77777777" w:rsidTr="008F7455">
        <w:trPr>
          <w:trHeight w:val="359"/>
        </w:trPr>
        <w:tc>
          <w:tcPr>
            <w:tcW w:w="3118" w:type="dxa"/>
            <w:hideMark/>
          </w:tcPr>
          <w:p w14:paraId="58DFACA1" w14:textId="34201BE1" w:rsidR="008F7455" w:rsidRDefault="008F7455" w:rsidP="008F7455">
            <w:pPr>
              <w:pStyle w:val="TableParagraph"/>
              <w:spacing w:before="60" w:after="60"/>
              <w:ind w:left="66" w:hanging="5"/>
              <w:rPr>
                <w:rFonts w:ascii="Segoe UI" w:hAnsi="Segoe UI" w:cs="Segoe UI"/>
                <w:w w:val="105"/>
                <w:sz w:val="16"/>
                <w:szCs w:val="16"/>
              </w:rPr>
            </w:pPr>
            <w:r w:rsidRPr="008F7455">
              <w:rPr>
                <w:rFonts w:ascii="Segoe UI" w:hAnsi="Segoe UI" w:cs="Segoe UI"/>
                <w:w w:val="105"/>
                <w:sz w:val="16"/>
                <w:szCs w:val="16"/>
              </w:rPr>
              <w:t>Additions</w:t>
            </w:r>
          </w:p>
        </w:tc>
        <w:tc>
          <w:tcPr>
            <w:tcW w:w="2264" w:type="dxa"/>
          </w:tcPr>
          <w:p w14:paraId="17EE7415" w14:textId="40D3B0A3" w:rsidR="008F7455" w:rsidRP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w:t>
            </w:r>
          </w:p>
        </w:tc>
        <w:tc>
          <w:tcPr>
            <w:tcW w:w="1617" w:type="dxa"/>
          </w:tcPr>
          <w:p w14:paraId="31E80A12" w14:textId="142C21DA" w:rsidR="008F7455" w:rsidRP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w:t>
            </w:r>
          </w:p>
        </w:tc>
        <w:tc>
          <w:tcPr>
            <w:tcW w:w="1281" w:type="dxa"/>
            <w:gridSpan w:val="2"/>
          </w:tcPr>
          <w:p w14:paraId="2DD7101C" w14:textId="7C1B6A5B" w:rsidR="008F7455" w:rsidRP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w:t>
            </w:r>
          </w:p>
        </w:tc>
      </w:tr>
      <w:tr w:rsidR="008F7455" w14:paraId="232B2152" w14:textId="77777777" w:rsidTr="008F7455">
        <w:trPr>
          <w:trHeight w:val="348"/>
        </w:trPr>
        <w:tc>
          <w:tcPr>
            <w:tcW w:w="3118" w:type="dxa"/>
            <w:tcBorders>
              <w:top w:val="nil"/>
              <w:left w:val="nil"/>
              <w:bottom w:val="single" w:sz="4" w:space="0" w:color="A6A6A6" w:themeColor="background1" w:themeShade="A6"/>
              <w:right w:val="nil"/>
            </w:tcBorders>
            <w:hideMark/>
          </w:tcPr>
          <w:p w14:paraId="29457835" w14:textId="273707CA" w:rsidR="008F7455" w:rsidRDefault="008F7455" w:rsidP="008F7455">
            <w:pPr>
              <w:pStyle w:val="TableParagraph"/>
              <w:spacing w:before="60" w:after="60"/>
              <w:ind w:left="66" w:hanging="5"/>
              <w:rPr>
                <w:rFonts w:ascii="Segoe UI" w:hAnsi="Segoe UI" w:cs="Segoe UI"/>
                <w:w w:val="105"/>
                <w:sz w:val="16"/>
                <w:szCs w:val="16"/>
              </w:rPr>
            </w:pPr>
            <w:r w:rsidRPr="008F7455">
              <w:rPr>
                <w:rFonts w:ascii="Segoe UI" w:hAnsi="Segoe UI" w:cs="Segoe UI"/>
                <w:w w:val="105"/>
                <w:sz w:val="16"/>
                <w:szCs w:val="16"/>
              </w:rPr>
              <w:t>Disposals*</w:t>
            </w:r>
          </w:p>
        </w:tc>
        <w:tc>
          <w:tcPr>
            <w:tcW w:w="2264" w:type="dxa"/>
            <w:tcBorders>
              <w:top w:val="nil"/>
              <w:left w:val="nil"/>
              <w:bottom w:val="single" w:sz="4" w:space="0" w:color="A6A6A6" w:themeColor="background1" w:themeShade="A6"/>
              <w:right w:val="nil"/>
            </w:tcBorders>
          </w:tcPr>
          <w:p w14:paraId="69215993" w14:textId="42CC0DCF" w:rsidR="008F7455" w:rsidRP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(17,162)</w:t>
            </w:r>
          </w:p>
        </w:tc>
        <w:tc>
          <w:tcPr>
            <w:tcW w:w="1617" w:type="dxa"/>
            <w:tcBorders>
              <w:top w:val="nil"/>
              <w:left w:val="nil"/>
              <w:bottom w:val="single" w:sz="4" w:space="0" w:color="A6A6A6" w:themeColor="background1" w:themeShade="A6"/>
              <w:right w:val="nil"/>
            </w:tcBorders>
          </w:tcPr>
          <w:p w14:paraId="3F7651D1" w14:textId="293A95A4" w:rsidR="008F7455" w:rsidRP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(68,177)</w:t>
            </w:r>
          </w:p>
        </w:tc>
        <w:tc>
          <w:tcPr>
            <w:tcW w:w="1281" w:type="dxa"/>
            <w:gridSpan w:val="2"/>
            <w:tcBorders>
              <w:top w:val="nil"/>
              <w:left w:val="nil"/>
              <w:bottom w:val="single" w:sz="4" w:space="0" w:color="A6A6A6" w:themeColor="background1" w:themeShade="A6"/>
              <w:right w:val="nil"/>
            </w:tcBorders>
          </w:tcPr>
          <w:p w14:paraId="392D8A9B" w14:textId="478B8D71" w:rsidR="008F7455" w:rsidRP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(85,339)</w:t>
            </w:r>
          </w:p>
        </w:tc>
      </w:tr>
      <w:tr w:rsidR="008F7455" w:rsidRPr="008F7455" w14:paraId="7CE85631" w14:textId="77777777" w:rsidTr="008F7455">
        <w:trPr>
          <w:trHeight w:val="344"/>
        </w:trPr>
        <w:tc>
          <w:tcPr>
            <w:tcW w:w="3118" w:type="dxa"/>
            <w:tcBorders>
              <w:top w:val="single" w:sz="4" w:space="0" w:color="A6A6A6" w:themeColor="background1" w:themeShade="A6"/>
              <w:left w:val="nil"/>
              <w:bottom w:val="single" w:sz="4" w:space="0" w:color="A6A6A6" w:themeColor="background1" w:themeShade="A6"/>
              <w:right w:val="nil"/>
            </w:tcBorders>
            <w:hideMark/>
          </w:tcPr>
          <w:p w14:paraId="48AA056E" w14:textId="00DEFF3B" w:rsidR="008F7455" w:rsidRPr="008F7455" w:rsidRDefault="008F7455" w:rsidP="008F7455">
            <w:pPr>
              <w:pStyle w:val="TableParagraph"/>
              <w:spacing w:before="60" w:after="60"/>
              <w:ind w:left="66" w:hanging="5"/>
              <w:rPr>
                <w:rFonts w:ascii="Segoe UI" w:hAnsi="Segoe UI" w:cs="Segoe UI"/>
                <w:b/>
                <w:bCs/>
                <w:w w:val="105"/>
                <w:sz w:val="16"/>
                <w:szCs w:val="16"/>
              </w:rPr>
            </w:pPr>
            <w:r w:rsidRPr="008F7455">
              <w:rPr>
                <w:rFonts w:ascii="Segoe UI" w:hAnsi="Segoe UI" w:cs="Segoe UI"/>
                <w:b/>
                <w:bCs/>
                <w:w w:val="105"/>
                <w:sz w:val="16"/>
                <w:szCs w:val="16"/>
              </w:rPr>
              <w:t xml:space="preserve">Balance as </w:t>
            </w:r>
            <w:proofErr w:type="gramStart"/>
            <w:r w:rsidRPr="008F7455">
              <w:rPr>
                <w:rFonts w:ascii="Segoe UI" w:hAnsi="Segoe UI" w:cs="Segoe UI"/>
                <w:b/>
                <w:bCs/>
                <w:w w:val="105"/>
                <w:sz w:val="16"/>
                <w:szCs w:val="16"/>
              </w:rPr>
              <w:t>at</w:t>
            </w:r>
            <w:proofErr w:type="gramEnd"/>
            <w:r w:rsidRPr="008F7455">
              <w:rPr>
                <w:rFonts w:ascii="Segoe UI" w:hAnsi="Segoe UI" w:cs="Segoe UI"/>
                <w:b/>
                <w:bCs/>
                <w:w w:val="105"/>
                <w:sz w:val="16"/>
                <w:szCs w:val="16"/>
              </w:rPr>
              <w:t xml:space="preserve"> 30 June 2023</w:t>
            </w:r>
          </w:p>
        </w:tc>
        <w:tc>
          <w:tcPr>
            <w:tcW w:w="2264" w:type="dxa"/>
            <w:tcBorders>
              <w:top w:val="single" w:sz="4" w:space="0" w:color="A6A6A6" w:themeColor="background1" w:themeShade="A6"/>
              <w:left w:val="nil"/>
              <w:bottom w:val="single" w:sz="4" w:space="0" w:color="A6A6A6" w:themeColor="background1" w:themeShade="A6"/>
              <w:right w:val="nil"/>
            </w:tcBorders>
          </w:tcPr>
          <w:p w14:paraId="3D9F211B" w14:textId="4FBE1239" w:rsidR="008F7455" w:rsidRPr="008F7455" w:rsidRDefault="008F7455" w:rsidP="008F7455">
            <w:pPr>
              <w:pStyle w:val="TableParagraph"/>
              <w:spacing w:before="60" w:after="60"/>
              <w:ind w:left="-42" w:right="152" w:firstLine="99"/>
              <w:jc w:val="right"/>
              <w:rPr>
                <w:rFonts w:ascii="Segoe UI" w:hAnsi="Segoe UI" w:cs="Segoe UI"/>
                <w:b/>
                <w:bCs/>
                <w:w w:val="110"/>
                <w:sz w:val="16"/>
                <w:szCs w:val="16"/>
              </w:rPr>
            </w:pPr>
            <w:r w:rsidRPr="008F7455">
              <w:rPr>
                <w:rFonts w:ascii="Segoe UI" w:hAnsi="Segoe UI" w:cs="Segoe UI"/>
                <w:b/>
                <w:bCs/>
                <w:w w:val="110"/>
                <w:sz w:val="16"/>
                <w:szCs w:val="16"/>
              </w:rPr>
              <w:t>1,519</w:t>
            </w:r>
          </w:p>
        </w:tc>
        <w:tc>
          <w:tcPr>
            <w:tcW w:w="1617" w:type="dxa"/>
            <w:tcBorders>
              <w:top w:val="single" w:sz="4" w:space="0" w:color="A6A6A6" w:themeColor="background1" w:themeShade="A6"/>
              <w:left w:val="nil"/>
              <w:bottom w:val="single" w:sz="4" w:space="0" w:color="A6A6A6" w:themeColor="background1" w:themeShade="A6"/>
              <w:right w:val="nil"/>
            </w:tcBorders>
          </w:tcPr>
          <w:p w14:paraId="1CC5E1FA" w14:textId="49CDFD4F" w:rsidR="008F7455" w:rsidRPr="008F7455" w:rsidRDefault="008F7455" w:rsidP="008F7455">
            <w:pPr>
              <w:pStyle w:val="TableParagraph"/>
              <w:spacing w:before="60" w:after="60"/>
              <w:ind w:left="-42" w:right="152" w:firstLine="99"/>
              <w:jc w:val="right"/>
              <w:rPr>
                <w:rFonts w:ascii="Segoe UI" w:hAnsi="Segoe UI" w:cs="Segoe UI"/>
                <w:b/>
                <w:bCs/>
                <w:w w:val="110"/>
                <w:sz w:val="16"/>
                <w:szCs w:val="16"/>
              </w:rPr>
            </w:pPr>
            <w:r w:rsidRPr="008F7455">
              <w:rPr>
                <w:rFonts w:ascii="Segoe UI" w:hAnsi="Segoe UI" w:cs="Segoe UI"/>
                <w:b/>
                <w:bCs/>
                <w:w w:val="110"/>
                <w:sz w:val="16"/>
                <w:szCs w:val="16"/>
              </w:rPr>
              <w:t>12,466</w:t>
            </w:r>
          </w:p>
        </w:tc>
        <w:tc>
          <w:tcPr>
            <w:tcW w:w="1281" w:type="dxa"/>
            <w:gridSpan w:val="2"/>
            <w:tcBorders>
              <w:top w:val="single" w:sz="4" w:space="0" w:color="A6A6A6" w:themeColor="background1" w:themeShade="A6"/>
              <w:left w:val="nil"/>
              <w:bottom w:val="single" w:sz="4" w:space="0" w:color="A6A6A6" w:themeColor="background1" w:themeShade="A6"/>
              <w:right w:val="nil"/>
            </w:tcBorders>
          </w:tcPr>
          <w:p w14:paraId="6E7AED23" w14:textId="7E7B890D" w:rsidR="008F7455" w:rsidRPr="008F7455" w:rsidRDefault="008F7455" w:rsidP="008F7455">
            <w:pPr>
              <w:pStyle w:val="TableParagraph"/>
              <w:spacing w:before="60" w:after="60"/>
              <w:ind w:left="-42" w:right="152" w:firstLine="99"/>
              <w:jc w:val="right"/>
              <w:rPr>
                <w:rFonts w:ascii="Segoe UI" w:hAnsi="Segoe UI" w:cs="Segoe UI"/>
                <w:b/>
                <w:bCs/>
                <w:w w:val="110"/>
                <w:sz w:val="16"/>
                <w:szCs w:val="16"/>
              </w:rPr>
            </w:pPr>
            <w:r w:rsidRPr="008F7455">
              <w:rPr>
                <w:rFonts w:ascii="Segoe UI" w:hAnsi="Segoe UI" w:cs="Segoe UI"/>
                <w:b/>
                <w:bCs/>
                <w:w w:val="110"/>
                <w:sz w:val="16"/>
                <w:szCs w:val="16"/>
              </w:rPr>
              <w:t>13,985</w:t>
            </w:r>
          </w:p>
        </w:tc>
      </w:tr>
      <w:tr w:rsidR="008F7455" w14:paraId="7E22A4F4" w14:textId="77777777" w:rsidTr="008F7455">
        <w:trPr>
          <w:trHeight w:val="354"/>
        </w:trPr>
        <w:tc>
          <w:tcPr>
            <w:tcW w:w="3118" w:type="dxa"/>
            <w:tcBorders>
              <w:top w:val="single" w:sz="4" w:space="0" w:color="A6A6A6" w:themeColor="background1" w:themeShade="A6"/>
              <w:left w:val="nil"/>
              <w:bottom w:val="nil"/>
              <w:right w:val="nil"/>
            </w:tcBorders>
            <w:hideMark/>
          </w:tcPr>
          <w:p w14:paraId="783F8704" w14:textId="386A8336" w:rsidR="008F7455" w:rsidRDefault="008F7455" w:rsidP="008F7455">
            <w:pPr>
              <w:pStyle w:val="TableParagraph"/>
              <w:spacing w:before="60" w:after="60"/>
              <w:ind w:left="66" w:hanging="5"/>
              <w:rPr>
                <w:rFonts w:ascii="Segoe UI" w:hAnsi="Segoe UI" w:cs="Segoe UI"/>
                <w:w w:val="105"/>
                <w:sz w:val="16"/>
                <w:szCs w:val="16"/>
              </w:rPr>
            </w:pPr>
            <w:r w:rsidRPr="008F7455">
              <w:rPr>
                <w:rFonts w:ascii="Segoe UI" w:hAnsi="Segoe UI" w:cs="Segoe UI"/>
                <w:w w:val="105"/>
                <w:sz w:val="16"/>
                <w:szCs w:val="16"/>
              </w:rPr>
              <w:t xml:space="preserve">Balance as </w:t>
            </w:r>
            <w:proofErr w:type="gramStart"/>
            <w:r w:rsidRPr="008F7455">
              <w:rPr>
                <w:rFonts w:ascii="Segoe UI" w:hAnsi="Segoe UI" w:cs="Segoe UI"/>
                <w:w w:val="105"/>
                <w:sz w:val="16"/>
                <w:szCs w:val="16"/>
              </w:rPr>
              <w:t>at</w:t>
            </w:r>
            <w:proofErr w:type="gramEnd"/>
            <w:r w:rsidRPr="008F7455">
              <w:rPr>
                <w:rFonts w:ascii="Segoe UI" w:hAnsi="Segoe UI" w:cs="Segoe UI"/>
                <w:w w:val="105"/>
                <w:sz w:val="16"/>
                <w:szCs w:val="16"/>
              </w:rPr>
              <w:t xml:space="preserve"> 1 July 2023</w:t>
            </w:r>
          </w:p>
        </w:tc>
        <w:tc>
          <w:tcPr>
            <w:tcW w:w="2264" w:type="dxa"/>
            <w:tcBorders>
              <w:top w:val="single" w:sz="4" w:space="0" w:color="A6A6A6" w:themeColor="background1" w:themeShade="A6"/>
              <w:left w:val="nil"/>
              <w:bottom w:val="nil"/>
              <w:right w:val="nil"/>
            </w:tcBorders>
          </w:tcPr>
          <w:p w14:paraId="382B8FFA" w14:textId="6445B141" w:rsidR="008F7455" w:rsidRP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1,519</w:t>
            </w:r>
          </w:p>
        </w:tc>
        <w:tc>
          <w:tcPr>
            <w:tcW w:w="1617" w:type="dxa"/>
            <w:tcBorders>
              <w:top w:val="single" w:sz="4" w:space="0" w:color="A6A6A6" w:themeColor="background1" w:themeShade="A6"/>
              <w:left w:val="nil"/>
              <w:bottom w:val="nil"/>
              <w:right w:val="nil"/>
            </w:tcBorders>
          </w:tcPr>
          <w:p w14:paraId="7A3F3678" w14:textId="60ADFC6D" w:rsidR="008F7455" w:rsidRP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12,466</w:t>
            </w:r>
          </w:p>
        </w:tc>
        <w:tc>
          <w:tcPr>
            <w:tcW w:w="1281" w:type="dxa"/>
            <w:gridSpan w:val="2"/>
            <w:tcBorders>
              <w:top w:val="single" w:sz="4" w:space="0" w:color="A6A6A6" w:themeColor="background1" w:themeShade="A6"/>
              <w:left w:val="nil"/>
              <w:bottom w:val="nil"/>
              <w:right w:val="nil"/>
            </w:tcBorders>
          </w:tcPr>
          <w:p w14:paraId="661992D3" w14:textId="0DB9DE6E" w:rsidR="008F7455" w:rsidRP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13,985</w:t>
            </w:r>
          </w:p>
        </w:tc>
      </w:tr>
      <w:tr w:rsidR="008F7455" w14:paraId="49202505" w14:textId="77777777" w:rsidTr="008F7455">
        <w:trPr>
          <w:trHeight w:val="359"/>
        </w:trPr>
        <w:tc>
          <w:tcPr>
            <w:tcW w:w="3118" w:type="dxa"/>
            <w:hideMark/>
          </w:tcPr>
          <w:p w14:paraId="121F31F5" w14:textId="3A4613B8" w:rsidR="008F7455" w:rsidRDefault="008F7455" w:rsidP="008F7455">
            <w:pPr>
              <w:pStyle w:val="TableParagraph"/>
              <w:spacing w:before="60" w:after="60"/>
              <w:ind w:left="66" w:hanging="5"/>
              <w:rPr>
                <w:rFonts w:ascii="Segoe UI" w:hAnsi="Segoe UI" w:cs="Segoe UI"/>
                <w:w w:val="105"/>
                <w:sz w:val="16"/>
                <w:szCs w:val="16"/>
              </w:rPr>
            </w:pPr>
            <w:r w:rsidRPr="008F7455">
              <w:rPr>
                <w:rFonts w:ascii="Segoe UI" w:hAnsi="Segoe UI" w:cs="Segoe UI"/>
                <w:w w:val="105"/>
                <w:sz w:val="16"/>
                <w:szCs w:val="16"/>
              </w:rPr>
              <w:t>Additions</w:t>
            </w:r>
          </w:p>
        </w:tc>
        <w:tc>
          <w:tcPr>
            <w:tcW w:w="2264" w:type="dxa"/>
          </w:tcPr>
          <w:p w14:paraId="51CC4DA8" w14:textId="2E96ECF7" w:rsidR="008F7455" w:rsidRP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w:t>
            </w:r>
          </w:p>
        </w:tc>
        <w:tc>
          <w:tcPr>
            <w:tcW w:w="1617" w:type="dxa"/>
          </w:tcPr>
          <w:p w14:paraId="25CC1514" w14:textId="6F0D92C0" w:rsidR="008F7455" w:rsidRP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w:t>
            </w:r>
          </w:p>
        </w:tc>
        <w:tc>
          <w:tcPr>
            <w:tcW w:w="1281" w:type="dxa"/>
            <w:gridSpan w:val="2"/>
          </w:tcPr>
          <w:p w14:paraId="21515B16" w14:textId="76C3B37A" w:rsidR="008F7455" w:rsidRP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w:t>
            </w:r>
          </w:p>
        </w:tc>
      </w:tr>
      <w:tr w:rsidR="008F7455" w14:paraId="6502F8B7" w14:textId="77777777" w:rsidTr="008F7455">
        <w:trPr>
          <w:trHeight w:val="348"/>
        </w:trPr>
        <w:tc>
          <w:tcPr>
            <w:tcW w:w="3118" w:type="dxa"/>
            <w:tcBorders>
              <w:top w:val="nil"/>
              <w:left w:val="nil"/>
              <w:bottom w:val="single" w:sz="4" w:space="0" w:color="A6A6A6" w:themeColor="background1" w:themeShade="A6"/>
              <w:right w:val="nil"/>
            </w:tcBorders>
            <w:hideMark/>
          </w:tcPr>
          <w:p w14:paraId="71391C56" w14:textId="22157BD1" w:rsidR="008F7455" w:rsidRDefault="008F7455" w:rsidP="008F7455">
            <w:pPr>
              <w:pStyle w:val="TableParagraph"/>
              <w:spacing w:before="60" w:after="60"/>
              <w:ind w:left="66" w:hanging="5"/>
              <w:rPr>
                <w:rFonts w:ascii="Segoe UI" w:hAnsi="Segoe UI" w:cs="Segoe UI"/>
                <w:w w:val="105"/>
                <w:sz w:val="16"/>
                <w:szCs w:val="16"/>
              </w:rPr>
            </w:pPr>
            <w:r w:rsidRPr="008F7455">
              <w:rPr>
                <w:rFonts w:ascii="Segoe UI" w:hAnsi="Segoe UI" w:cs="Segoe UI"/>
                <w:w w:val="105"/>
                <w:sz w:val="16"/>
                <w:szCs w:val="16"/>
              </w:rPr>
              <w:t>Disposals</w:t>
            </w:r>
          </w:p>
        </w:tc>
        <w:tc>
          <w:tcPr>
            <w:tcW w:w="2264" w:type="dxa"/>
            <w:tcBorders>
              <w:top w:val="nil"/>
              <w:left w:val="nil"/>
              <w:bottom w:val="single" w:sz="4" w:space="0" w:color="A6A6A6" w:themeColor="background1" w:themeShade="A6"/>
              <w:right w:val="nil"/>
            </w:tcBorders>
          </w:tcPr>
          <w:p w14:paraId="3701022F" w14:textId="4CC94688" w:rsidR="008F7455" w:rsidRP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(1,509)</w:t>
            </w:r>
          </w:p>
        </w:tc>
        <w:tc>
          <w:tcPr>
            <w:tcW w:w="1617" w:type="dxa"/>
            <w:tcBorders>
              <w:top w:val="nil"/>
              <w:left w:val="nil"/>
              <w:bottom w:val="single" w:sz="4" w:space="0" w:color="A6A6A6" w:themeColor="background1" w:themeShade="A6"/>
              <w:right w:val="nil"/>
            </w:tcBorders>
          </w:tcPr>
          <w:p w14:paraId="3CBD9121" w14:textId="60A3A8F2" w:rsidR="008F7455" w:rsidRP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(1,544)</w:t>
            </w:r>
          </w:p>
        </w:tc>
        <w:tc>
          <w:tcPr>
            <w:tcW w:w="1281" w:type="dxa"/>
            <w:gridSpan w:val="2"/>
            <w:tcBorders>
              <w:top w:val="nil"/>
              <w:left w:val="nil"/>
              <w:bottom w:val="single" w:sz="4" w:space="0" w:color="A6A6A6" w:themeColor="background1" w:themeShade="A6"/>
              <w:right w:val="nil"/>
            </w:tcBorders>
          </w:tcPr>
          <w:p w14:paraId="4F75607A" w14:textId="01952814" w:rsidR="008F7455" w:rsidRP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(3,053)</w:t>
            </w:r>
          </w:p>
        </w:tc>
      </w:tr>
      <w:tr w:rsidR="008F7455" w:rsidRPr="008F7455" w14:paraId="55442E37" w14:textId="77777777" w:rsidTr="008F7455">
        <w:trPr>
          <w:trHeight w:val="344"/>
        </w:trPr>
        <w:tc>
          <w:tcPr>
            <w:tcW w:w="3118" w:type="dxa"/>
            <w:tcBorders>
              <w:top w:val="single" w:sz="4" w:space="0" w:color="A6A6A6" w:themeColor="background1" w:themeShade="A6"/>
              <w:left w:val="nil"/>
              <w:bottom w:val="single" w:sz="4" w:space="0" w:color="A6A6A6" w:themeColor="background1" w:themeShade="A6"/>
              <w:right w:val="nil"/>
            </w:tcBorders>
            <w:hideMark/>
          </w:tcPr>
          <w:p w14:paraId="3E0C80DD" w14:textId="6BE86703" w:rsidR="008F7455" w:rsidRPr="008F7455" w:rsidRDefault="008F7455" w:rsidP="008F7455">
            <w:pPr>
              <w:pStyle w:val="TableParagraph"/>
              <w:spacing w:before="60" w:after="60"/>
              <w:ind w:left="66" w:hanging="5"/>
              <w:rPr>
                <w:rFonts w:ascii="Segoe UI" w:hAnsi="Segoe UI" w:cs="Segoe UI"/>
                <w:b/>
                <w:bCs/>
                <w:w w:val="105"/>
                <w:sz w:val="16"/>
                <w:szCs w:val="16"/>
              </w:rPr>
            </w:pPr>
            <w:r w:rsidRPr="008F7455">
              <w:rPr>
                <w:rFonts w:ascii="Segoe UI" w:hAnsi="Segoe UI" w:cs="Segoe UI"/>
                <w:b/>
                <w:bCs/>
                <w:w w:val="105"/>
                <w:sz w:val="16"/>
                <w:szCs w:val="16"/>
              </w:rPr>
              <w:t xml:space="preserve">Balance as </w:t>
            </w:r>
            <w:proofErr w:type="gramStart"/>
            <w:r w:rsidRPr="008F7455">
              <w:rPr>
                <w:rFonts w:ascii="Segoe UI" w:hAnsi="Segoe UI" w:cs="Segoe UI"/>
                <w:b/>
                <w:bCs/>
                <w:w w:val="105"/>
                <w:sz w:val="16"/>
                <w:szCs w:val="16"/>
              </w:rPr>
              <w:t>at</w:t>
            </w:r>
            <w:proofErr w:type="gramEnd"/>
            <w:r w:rsidRPr="008F7455">
              <w:rPr>
                <w:rFonts w:ascii="Segoe UI" w:hAnsi="Segoe UI" w:cs="Segoe UI"/>
                <w:b/>
                <w:bCs/>
                <w:w w:val="105"/>
                <w:sz w:val="16"/>
                <w:szCs w:val="16"/>
              </w:rPr>
              <w:t xml:space="preserve"> 30 June 2024</w:t>
            </w:r>
          </w:p>
        </w:tc>
        <w:tc>
          <w:tcPr>
            <w:tcW w:w="2264" w:type="dxa"/>
            <w:tcBorders>
              <w:top w:val="single" w:sz="4" w:space="0" w:color="A6A6A6" w:themeColor="background1" w:themeShade="A6"/>
              <w:left w:val="nil"/>
              <w:bottom w:val="single" w:sz="4" w:space="0" w:color="A6A6A6" w:themeColor="background1" w:themeShade="A6"/>
              <w:right w:val="nil"/>
            </w:tcBorders>
          </w:tcPr>
          <w:p w14:paraId="00B865D9" w14:textId="522F4AC6" w:rsidR="008F7455" w:rsidRPr="008F7455" w:rsidRDefault="008F7455" w:rsidP="008F7455">
            <w:pPr>
              <w:pStyle w:val="TableParagraph"/>
              <w:spacing w:before="60" w:after="60"/>
              <w:ind w:left="-42" w:right="152" w:firstLine="99"/>
              <w:jc w:val="right"/>
              <w:rPr>
                <w:rFonts w:ascii="Segoe UI" w:hAnsi="Segoe UI" w:cs="Segoe UI"/>
                <w:b/>
                <w:bCs/>
                <w:w w:val="110"/>
                <w:sz w:val="16"/>
                <w:szCs w:val="16"/>
              </w:rPr>
            </w:pPr>
            <w:r w:rsidRPr="008F7455">
              <w:rPr>
                <w:rFonts w:ascii="Segoe UI" w:hAnsi="Segoe UI" w:cs="Segoe UI"/>
                <w:b/>
                <w:bCs/>
                <w:w w:val="110"/>
                <w:sz w:val="16"/>
                <w:szCs w:val="16"/>
              </w:rPr>
              <w:t>10</w:t>
            </w:r>
          </w:p>
        </w:tc>
        <w:tc>
          <w:tcPr>
            <w:tcW w:w="1617" w:type="dxa"/>
            <w:tcBorders>
              <w:top w:val="single" w:sz="4" w:space="0" w:color="A6A6A6" w:themeColor="background1" w:themeShade="A6"/>
              <w:left w:val="nil"/>
              <w:bottom w:val="single" w:sz="4" w:space="0" w:color="A6A6A6" w:themeColor="background1" w:themeShade="A6"/>
              <w:right w:val="nil"/>
            </w:tcBorders>
          </w:tcPr>
          <w:p w14:paraId="3D27D4DA" w14:textId="7B548104" w:rsidR="008F7455" w:rsidRPr="008F7455" w:rsidRDefault="008F7455" w:rsidP="008F7455">
            <w:pPr>
              <w:pStyle w:val="TableParagraph"/>
              <w:spacing w:before="60" w:after="60"/>
              <w:ind w:left="-42" w:right="152" w:firstLine="99"/>
              <w:jc w:val="right"/>
              <w:rPr>
                <w:rFonts w:ascii="Segoe UI" w:hAnsi="Segoe UI" w:cs="Segoe UI"/>
                <w:b/>
                <w:bCs/>
                <w:w w:val="110"/>
                <w:sz w:val="16"/>
                <w:szCs w:val="16"/>
              </w:rPr>
            </w:pPr>
            <w:r w:rsidRPr="008F7455">
              <w:rPr>
                <w:rFonts w:ascii="Segoe UI" w:hAnsi="Segoe UI" w:cs="Segoe UI"/>
                <w:b/>
                <w:bCs/>
                <w:w w:val="110"/>
                <w:sz w:val="16"/>
                <w:szCs w:val="16"/>
              </w:rPr>
              <w:t>10,922</w:t>
            </w:r>
          </w:p>
        </w:tc>
        <w:tc>
          <w:tcPr>
            <w:tcW w:w="1281" w:type="dxa"/>
            <w:gridSpan w:val="2"/>
            <w:tcBorders>
              <w:top w:val="single" w:sz="4" w:space="0" w:color="A6A6A6" w:themeColor="background1" w:themeShade="A6"/>
              <w:left w:val="nil"/>
              <w:bottom w:val="single" w:sz="4" w:space="0" w:color="A6A6A6" w:themeColor="background1" w:themeShade="A6"/>
              <w:right w:val="nil"/>
            </w:tcBorders>
          </w:tcPr>
          <w:p w14:paraId="3C1D90AE" w14:textId="73E6821E" w:rsidR="008F7455" w:rsidRPr="008F7455" w:rsidRDefault="008F7455" w:rsidP="008F7455">
            <w:pPr>
              <w:pStyle w:val="TableParagraph"/>
              <w:spacing w:before="60" w:after="60"/>
              <w:ind w:left="-42" w:right="152" w:firstLine="99"/>
              <w:jc w:val="right"/>
              <w:rPr>
                <w:rFonts w:ascii="Segoe UI" w:hAnsi="Segoe UI" w:cs="Segoe UI"/>
                <w:b/>
                <w:bCs/>
                <w:w w:val="110"/>
                <w:sz w:val="16"/>
                <w:szCs w:val="16"/>
              </w:rPr>
            </w:pPr>
            <w:r w:rsidRPr="008F7455">
              <w:rPr>
                <w:rFonts w:ascii="Segoe UI" w:hAnsi="Segoe UI" w:cs="Segoe UI"/>
                <w:b/>
                <w:bCs/>
                <w:w w:val="110"/>
                <w:sz w:val="16"/>
                <w:szCs w:val="16"/>
              </w:rPr>
              <w:t>10,932</w:t>
            </w:r>
          </w:p>
        </w:tc>
      </w:tr>
      <w:tr w:rsidR="008F7455" w14:paraId="2CB82EBB" w14:textId="77777777" w:rsidTr="008F7455">
        <w:trPr>
          <w:gridAfter w:val="1"/>
          <w:wAfter w:w="11" w:type="dxa"/>
          <w:trHeight w:val="354"/>
        </w:trPr>
        <w:tc>
          <w:tcPr>
            <w:tcW w:w="8269" w:type="dxa"/>
            <w:gridSpan w:val="4"/>
            <w:tcBorders>
              <w:top w:val="dotted" w:sz="6" w:space="0" w:color="002E6E"/>
              <w:left w:val="nil"/>
              <w:bottom w:val="nil"/>
              <w:right w:val="nil"/>
            </w:tcBorders>
            <w:hideMark/>
          </w:tcPr>
          <w:p w14:paraId="33ADC701" w14:textId="77777777" w:rsidR="008F7455" w:rsidRDefault="008F7455">
            <w:pPr>
              <w:pStyle w:val="TableParagraph"/>
              <w:spacing w:before="60" w:after="60"/>
              <w:ind w:left="66" w:hanging="5"/>
              <w:rPr>
                <w:rFonts w:ascii="Segoe UI" w:hAnsi="Segoe UI" w:cs="Segoe UI"/>
                <w:b/>
                <w:bCs/>
                <w:w w:val="105"/>
                <w:sz w:val="16"/>
                <w:szCs w:val="16"/>
              </w:rPr>
            </w:pPr>
            <w:r>
              <w:rPr>
                <w:rFonts w:ascii="Segoe UI" w:hAnsi="Segoe UI" w:cs="Segoe UI"/>
                <w:b/>
                <w:bCs/>
                <w:w w:val="105"/>
                <w:sz w:val="16"/>
                <w:szCs w:val="16"/>
              </w:rPr>
              <w:t>Accumulated amortisation and impairment losses</w:t>
            </w:r>
          </w:p>
        </w:tc>
      </w:tr>
      <w:tr w:rsidR="008F7455" w14:paraId="74C073B2" w14:textId="77777777" w:rsidTr="008F7455">
        <w:trPr>
          <w:trHeight w:val="359"/>
        </w:trPr>
        <w:tc>
          <w:tcPr>
            <w:tcW w:w="3118" w:type="dxa"/>
            <w:hideMark/>
          </w:tcPr>
          <w:p w14:paraId="30E58CB5" w14:textId="7112464C" w:rsidR="008F7455" w:rsidRDefault="008F7455" w:rsidP="008F7455">
            <w:pPr>
              <w:pStyle w:val="TableParagraph"/>
              <w:spacing w:before="60" w:after="60"/>
              <w:ind w:left="66" w:hanging="5"/>
              <w:rPr>
                <w:rFonts w:ascii="Segoe UI" w:hAnsi="Segoe UI" w:cs="Segoe UI"/>
                <w:w w:val="105"/>
                <w:sz w:val="16"/>
                <w:szCs w:val="16"/>
              </w:rPr>
            </w:pPr>
            <w:r w:rsidRPr="008F7455">
              <w:rPr>
                <w:rFonts w:ascii="Segoe UI" w:hAnsi="Segoe UI" w:cs="Segoe UI"/>
                <w:w w:val="105"/>
                <w:sz w:val="16"/>
                <w:szCs w:val="16"/>
              </w:rPr>
              <w:t xml:space="preserve">Balance as </w:t>
            </w:r>
            <w:proofErr w:type="gramStart"/>
            <w:r w:rsidRPr="008F7455">
              <w:rPr>
                <w:rFonts w:ascii="Segoe UI" w:hAnsi="Segoe UI" w:cs="Segoe UI"/>
                <w:w w:val="105"/>
                <w:sz w:val="16"/>
                <w:szCs w:val="16"/>
              </w:rPr>
              <w:t>at</w:t>
            </w:r>
            <w:proofErr w:type="gramEnd"/>
            <w:r w:rsidRPr="008F7455">
              <w:rPr>
                <w:rFonts w:ascii="Segoe UI" w:hAnsi="Segoe UI" w:cs="Segoe UI"/>
                <w:w w:val="105"/>
                <w:sz w:val="16"/>
                <w:szCs w:val="16"/>
              </w:rPr>
              <w:t xml:space="preserve"> 1 July 2022</w:t>
            </w:r>
          </w:p>
        </w:tc>
        <w:tc>
          <w:tcPr>
            <w:tcW w:w="2264" w:type="dxa"/>
          </w:tcPr>
          <w:p w14:paraId="7153CE3F" w14:textId="7054F13F" w:rsid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18,303</w:t>
            </w:r>
          </w:p>
        </w:tc>
        <w:tc>
          <w:tcPr>
            <w:tcW w:w="1617" w:type="dxa"/>
          </w:tcPr>
          <w:p w14:paraId="371C4691" w14:textId="05B7EF08" w:rsid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66,614</w:t>
            </w:r>
          </w:p>
        </w:tc>
        <w:tc>
          <w:tcPr>
            <w:tcW w:w="1281" w:type="dxa"/>
            <w:gridSpan w:val="2"/>
          </w:tcPr>
          <w:p w14:paraId="52CBEFEF" w14:textId="7C59C42B" w:rsid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84,917</w:t>
            </w:r>
          </w:p>
        </w:tc>
      </w:tr>
      <w:tr w:rsidR="008F7455" w14:paraId="4990B109" w14:textId="77777777" w:rsidTr="008F7455">
        <w:trPr>
          <w:trHeight w:val="359"/>
        </w:trPr>
        <w:tc>
          <w:tcPr>
            <w:tcW w:w="3118" w:type="dxa"/>
            <w:hideMark/>
          </w:tcPr>
          <w:p w14:paraId="162365A2" w14:textId="10A14BA9" w:rsidR="008F7455" w:rsidRDefault="008F7455" w:rsidP="008F7455">
            <w:pPr>
              <w:pStyle w:val="TableParagraph"/>
              <w:spacing w:before="60" w:after="60"/>
              <w:ind w:left="66" w:hanging="5"/>
              <w:rPr>
                <w:rFonts w:ascii="Segoe UI" w:hAnsi="Segoe UI" w:cs="Segoe UI"/>
                <w:w w:val="105"/>
                <w:sz w:val="16"/>
                <w:szCs w:val="16"/>
              </w:rPr>
            </w:pPr>
            <w:r w:rsidRPr="008F7455">
              <w:rPr>
                <w:rFonts w:ascii="Segoe UI" w:hAnsi="Segoe UI" w:cs="Segoe UI"/>
                <w:w w:val="105"/>
                <w:sz w:val="16"/>
                <w:szCs w:val="16"/>
              </w:rPr>
              <w:t>Amortisation expense</w:t>
            </w:r>
          </w:p>
        </w:tc>
        <w:tc>
          <w:tcPr>
            <w:tcW w:w="2264" w:type="dxa"/>
          </w:tcPr>
          <w:p w14:paraId="66FEB5F7" w14:textId="1AC7A3A7" w:rsid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17</w:t>
            </w:r>
          </w:p>
        </w:tc>
        <w:tc>
          <w:tcPr>
            <w:tcW w:w="1617" w:type="dxa"/>
          </w:tcPr>
          <w:p w14:paraId="5497B4D2" w14:textId="77DE0539" w:rsid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1,679</w:t>
            </w:r>
          </w:p>
        </w:tc>
        <w:tc>
          <w:tcPr>
            <w:tcW w:w="1281" w:type="dxa"/>
            <w:gridSpan w:val="2"/>
          </w:tcPr>
          <w:p w14:paraId="5B00D24D" w14:textId="1B7B4775" w:rsid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1,696</w:t>
            </w:r>
          </w:p>
        </w:tc>
      </w:tr>
      <w:tr w:rsidR="008F7455" w14:paraId="547EDB8B" w14:textId="77777777" w:rsidTr="008F7455">
        <w:trPr>
          <w:trHeight w:val="348"/>
        </w:trPr>
        <w:tc>
          <w:tcPr>
            <w:tcW w:w="3118" w:type="dxa"/>
            <w:tcBorders>
              <w:top w:val="nil"/>
              <w:left w:val="nil"/>
              <w:bottom w:val="single" w:sz="4" w:space="0" w:color="A6A6A6" w:themeColor="background1" w:themeShade="A6"/>
              <w:right w:val="nil"/>
            </w:tcBorders>
            <w:hideMark/>
          </w:tcPr>
          <w:p w14:paraId="4EE470AC" w14:textId="35DF626F" w:rsidR="008F7455" w:rsidRDefault="008F7455" w:rsidP="008F7455">
            <w:pPr>
              <w:pStyle w:val="TableParagraph"/>
              <w:spacing w:before="60" w:after="60"/>
              <w:ind w:left="66" w:hanging="5"/>
              <w:rPr>
                <w:rFonts w:ascii="Segoe UI" w:hAnsi="Segoe UI" w:cs="Segoe UI"/>
                <w:w w:val="105"/>
                <w:sz w:val="16"/>
                <w:szCs w:val="16"/>
              </w:rPr>
            </w:pPr>
            <w:r w:rsidRPr="008F7455">
              <w:rPr>
                <w:rFonts w:ascii="Segoe UI" w:hAnsi="Segoe UI" w:cs="Segoe UI"/>
                <w:w w:val="105"/>
                <w:sz w:val="16"/>
                <w:szCs w:val="16"/>
              </w:rPr>
              <w:t>Eliminate on disposal*</w:t>
            </w:r>
          </w:p>
        </w:tc>
        <w:tc>
          <w:tcPr>
            <w:tcW w:w="2264" w:type="dxa"/>
            <w:tcBorders>
              <w:top w:val="nil"/>
              <w:left w:val="nil"/>
              <w:bottom w:val="single" w:sz="4" w:space="0" w:color="A6A6A6" w:themeColor="background1" w:themeShade="A6"/>
              <w:right w:val="nil"/>
            </w:tcBorders>
          </w:tcPr>
          <w:p w14:paraId="2CC35E7D" w14:textId="63710EC5" w:rsid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(16,801)</w:t>
            </w:r>
          </w:p>
        </w:tc>
        <w:tc>
          <w:tcPr>
            <w:tcW w:w="1617" w:type="dxa"/>
            <w:tcBorders>
              <w:top w:val="nil"/>
              <w:left w:val="nil"/>
              <w:bottom w:val="single" w:sz="4" w:space="0" w:color="A6A6A6" w:themeColor="background1" w:themeShade="A6"/>
              <w:right w:val="nil"/>
            </w:tcBorders>
          </w:tcPr>
          <w:p w14:paraId="5E0C9961" w14:textId="03508F69" w:rsid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(56,762)</w:t>
            </w:r>
          </w:p>
        </w:tc>
        <w:tc>
          <w:tcPr>
            <w:tcW w:w="1281" w:type="dxa"/>
            <w:gridSpan w:val="2"/>
            <w:tcBorders>
              <w:top w:val="nil"/>
              <w:left w:val="nil"/>
              <w:bottom w:val="single" w:sz="4" w:space="0" w:color="A6A6A6" w:themeColor="background1" w:themeShade="A6"/>
              <w:right w:val="nil"/>
            </w:tcBorders>
          </w:tcPr>
          <w:p w14:paraId="24651261" w14:textId="449A5B94" w:rsid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(73,563)</w:t>
            </w:r>
          </w:p>
        </w:tc>
      </w:tr>
      <w:tr w:rsidR="008F7455" w:rsidRPr="008F7455" w14:paraId="5716F87D" w14:textId="77777777" w:rsidTr="008F7455">
        <w:trPr>
          <w:trHeight w:val="344"/>
        </w:trPr>
        <w:tc>
          <w:tcPr>
            <w:tcW w:w="3118" w:type="dxa"/>
            <w:tcBorders>
              <w:top w:val="single" w:sz="4" w:space="0" w:color="A6A6A6" w:themeColor="background1" w:themeShade="A6"/>
              <w:left w:val="nil"/>
              <w:bottom w:val="single" w:sz="4" w:space="0" w:color="A6A6A6" w:themeColor="background1" w:themeShade="A6"/>
              <w:right w:val="nil"/>
            </w:tcBorders>
            <w:hideMark/>
          </w:tcPr>
          <w:p w14:paraId="21B94834" w14:textId="28E11299" w:rsidR="008F7455" w:rsidRPr="008F7455" w:rsidRDefault="008F7455" w:rsidP="008F7455">
            <w:pPr>
              <w:pStyle w:val="TableParagraph"/>
              <w:spacing w:before="60" w:after="60"/>
              <w:ind w:left="66" w:hanging="5"/>
              <w:rPr>
                <w:rFonts w:ascii="Segoe UI" w:hAnsi="Segoe UI" w:cs="Segoe UI"/>
                <w:b/>
                <w:bCs/>
                <w:w w:val="105"/>
                <w:sz w:val="16"/>
                <w:szCs w:val="16"/>
              </w:rPr>
            </w:pPr>
            <w:r w:rsidRPr="008F7455">
              <w:rPr>
                <w:rFonts w:ascii="Segoe UI" w:hAnsi="Segoe UI" w:cs="Segoe UI"/>
                <w:b/>
                <w:bCs/>
                <w:w w:val="105"/>
                <w:sz w:val="16"/>
                <w:szCs w:val="16"/>
              </w:rPr>
              <w:t xml:space="preserve">Balance as </w:t>
            </w:r>
            <w:proofErr w:type="gramStart"/>
            <w:r w:rsidRPr="008F7455">
              <w:rPr>
                <w:rFonts w:ascii="Segoe UI" w:hAnsi="Segoe UI" w:cs="Segoe UI"/>
                <w:b/>
                <w:bCs/>
                <w:w w:val="105"/>
                <w:sz w:val="16"/>
                <w:szCs w:val="16"/>
              </w:rPr>
              <w:t>at</w:t>
            </w:r>
            <w:proofErr w:type="gramEnd"/>
            <w:r w:rsidRPr="008F7455">
              <w:rPr>
                <w:rFonts w:ascii="Segoe UI" w:hAnsi="Segoe UI" w:cs="Segoe UI"/>
                <w:b/>
                <w:bCs/>
                <w:w w:val="105"/>
                <w:sz w:val="16"/>
                <w:szCs w:val="16"/>
              </w:rPr>
              <w:t xml:space="preserve"> 30 June 2023</w:t>
            </w:r>
          </w:p>
        </w:tc>
        <w:tc>
          <w:tcPr>
            <w:tcW w:w="2264" w:type="dxa"/>
            <w:tcBorders>
              <w:top w:val="single" w:sz="4" w:space="0" w:color="A6A6A6" w:themeColor="background1" w:themeShade="A6"/>
              <w:left w:val="nil"/>
              <w:bottom w:val="single" w:sz="4" w:space="0" w:color="A6A6A6" w:themeColor="background1" w:themeShade="A6"/>
              <w:right w:val="nil"/>
            </w:tcBorders>
          </w:tcPr>
          <w:p w14:paraId="5C13AB29" w14:textId="70B80B97" w:rsidR="008F7455" w:rsidRPr="008F7455" w:rsidRDefault="008F7455" w:rsidP="008F7455">
            <w:pPr>
              <w:pStyle w:val="TableParagraph"/>
              <w:spacing w:before="60" w:after="60"/>
              <w:ind w:left="-42" w:right="152" w:firstLine="99"/>
              <w:jc w:val="right"/>
              <w:rPr>
                <w:rFonts w:ascii="Segoe UI" w:hAnsi="Segoe UI" w:cs="Segoe UI"/>
                <w:b/>
                <w:bCs/>
                <w:w w:val="110"/>
                <w:sz w:val="16"/>
                <w:szCs w:val="16"/>
              </w:rPr>
            </w:pPr>
            <w:r w:rsidRPr="008F7455">
              <w:rPr>
                <w:rFonts w:ascii="Segoe UI" w:hAnsi="Segoe UI" w:cs="Segoe UI"/>
                <w:b/>
                <w:bCs/>
                <w:w w:val="110"/>
                <w:sz w:val="16"/>
                <w:szCs w:val="16"/>
              </w:rPr>
              <w:t>1,519</w:t>
            </w:r>
          </w:p>
        </w:tc>
        <w:tc>
          <w:tcPr>
            <w:tcW w:w="1617" w:type="dxa"/>
            <w:tcBorders>
              <w:top w:val="single" w:sz="4" w:space="0" w:color="A6A6A6" w:themeColor="background1" w:themeShade="A6"/>
              <w:left w:val="nil"/>
              <w:bottom w:val="single" w:sz="4" w:space="0" w:color="A6A6A6" w:themeColor="background1" w:themeShade="A6"/>
              <w:right w:val="nil"/>
            </w:tcBorders>
          </w:tcPr>
          <w:p w14:paraId="799A2D8A" w14:textId="5FA193FE" w:rsidR="008F7455" w:rsidRPr="008F7455" w:rsidRDefault="008F7455" w:rsidP="008F7455">
            <w:pPr>
              <w:pStyle w:val="TableParagraph"/>
              <w:spacing w:before="60" w:after="60"/>
              <w:ind w:left="-42" w:right="152" w:firstLine="99"/>
              <w:jc w:val="right"/>
              <w:rPr>
                <w:rFonts w:ascii="Segoe UI" w:hAnsi="Segoe UI" w:cs="Segoe UI"/>
                <w:b/>
                <w:bCs/>
                <w:w w:val="110"/>
                <w:sz w:val="16"/>
                <w:szCs w:val="16"/>
              </w:rPr>
            </w:pPr>
            <w:r w:rsidRPr="008F7455">
              <w:rPr>
                <w:rFonts w:ascii="Segoe UI" w:hAnsi="Segoe UI" w:cs="Segoe UI"/>
                <w:b/>
                <w:bCs/>
                <w:w w:val="110"/>
                <w:sz w:val="16"/>
                <w:szCs w:val="16"/>
              </w:rPr>
              <w:t>11,531</w:t>
            </w:r>
          </w:p>
        </w:tc>
        <w:tc>
          <w:tcPr>
            <w:tcW w:w="1281" w:type="dxa"/>
            <w:gridSpan w:val="2"/>
            <w:tcBorders>
              <w:top w:val="single" w:sz="4" w:space="0" w:color="A6A6A6" w:themeColor="background1" w:themeShade="A6"/>
              <w:left w:val="nil"/>
              <w:bottom w:val="single" w:sz="4" w:space="0" w:color="A6A6A6" w:themeColor="background1" w:themeShade="A6"/>
              <w:right w:val="nil"/>
            </w:tcBorders>
          </w:tcPr>
          <w:p w14:paraId="2AD20BAF" w14:textId="54B76617" w:rsidR="008F7455" w:rsidRPr="008F7455" w:rsidRDefault="008F7455" w:rsidP="008F7455">
            <w:pPr>
              <w:pStyle w:val="TableParagraph"/>
              <w:spacing w:before="60" w:after="60"/>
              <w:ind w:left="-42" w:right="152" w:firstLine="99"/>
              <w:jc w:val="right"/>
              <w:rPr>
                <w:rFonts w:ascii="Segoe UI" w:hAnsi="Segoe UI" w:cs="Segoe UI"/>
                <w:b/>
                <w:bCs/>
                <w:w w:val="110"/>
                <w:sz w:val="16"/>
                <w:szCs w:val="16"/>
              </w:rPr>
            </w:pPr>
            <w:r w:rsidRPr="008F7455">
              <w:rPr>
                <w:rFonts w:ascii="Segoe UI" w:hAnsi="Segoe UI" w:cs="Segoe UI"/>
                <w:b/>
                <w:bCs/>
                <w:w w:val="110"/>
                <w:sz w:val="16"/>
                <w:szCs w:val="16"/>
              </w:rPr>
              <w:t>13,050</w:t>
            </w:r>
          </w:p>
        </w:tc>
      </w:tr>
      <w:tr w:rsidR="008F7455" w14:paraId="03136B83" w14:textId="77777777" w:rsidTr="008F7455">
        <w:trPr>
          <w:trHeight w:val="354"/>
        </w:trPr>
        <w:tc>
          <w:tcPr>
            <w:tcW w:w="3118" w:type="dxa"/>
            <w:tcBorders>
              <w:top w:val="single" w:sz="4" w:space="0" w:color="A6A6A6" w:themeColor="background1" w:themeShade="A6"/>
              <w:left w:val="nil"/>
              <w:bottom w:val="nil"/>
              <w:right w:val="nil"/>
            </w:tcBorders>
            <w:hideMark/>
          </w:tcPr>
          <w:p w14:paraId="2747AAEE" w14:textId="759F2550" w:rsidR="008F7455" w:rsidRDefault="008F7455" w:rsidP="008F7455">
            <w:pPr>
              <w:pStyle w:val="TableParagraph"/>
              <w:spacing w:before="60" w:after="60"/>
              <w:ind w:left="66" w:hanging="5"/>
              <w:rPr>
                <w:rFonts w:ascii="Segoe UI" w:hAnsi="Segoe UI" w:cs="Segoe UI"/>
                <w:w w:val="105"/>
                <w:sz w:val="16"/>
                <w:szCs w:val="16"/>
              </w:rPr>
            </w:pPr>
            <w:r w:rsidRPr="008F7455">
              <w:rPr>
                <w:rFonts w:ascii="Segoe UI" w:hAnsi="Segoe UI" w:cs="Segoe UI"/>
                <w:w w:val="105"/>
                <w:sz w:val="16"/>
                <w:szCs w:val="16"/>
              </w:rPr>
              <w:t xml:space="preserve">Balance as </w:t>
            </w:r>
            <w:proofErr w:type="gramStart"/>
            <w:r w:rsidRPr="008F7455">
              <w:rPr>
                <w:rFonts w:ascii="Segoe UI" w:hAnsi="Segoe UI" w:cs="Segoe UI"/>
                <w:w w:val="105"/>
                <w:sz w:val="16"/>
                <w:szCs w:val="16"/>
              </w:rPr>
              <w:t>at</w:t>
            </w:r>
            <w:proofErr w:type="gramEnd"/>
            <w:r w:rsidRPr="008F7455">
              <w:rPr>
                <w:rFonts w:ascii="Segoe UI" w:hAnsi="Segoe UI" w:cs="Segoe UI"/>
                <w:w w:val="105"/>
                <w:sz w:val="16"/>
                <w:szCs w:val="16"/>
              </w:rPr>
              <w:t xml:space="preserve"> 1 July 2023</w:t>
            </w:r>
          </w:p>
        </w:tc>
        <w:tc>
          <w:tcPr>
            <w:tcW w:w="2264" w:type="dxa"/>
            <w:tcBorders>
              <w:top w:val="single" w:sz="4" w:space="0" w:color="A6A6A6" w:themeColor="background1" w:themeShade="A6"/>
              <w:left w:val="nil"/>
              <w:bottom w:val="nil"/>
              <w:right w:val="nil"/>
            </w:tcBorders>
          </w:tcPr>
          <w:p w14:paraId="037525EF" w14:textId="1AD47300" w:rsid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1,519</w:t>
            </w:r>
          </w:p>
        </w:tc>
        <w:tc>
          <w:tcPr>
            <w:tcW w:w="1617" w:type="dxa"/>
            <w:tcBorders>
              <w:top w:val="single" w:sz="4" w:space="0" w:color="A6A6A6" w:themeColor="background1" w:themeShade="A6"/>
              <w:left w:val="nil"/>
              <w:bottom w:val="nil"/>
              <w:right w:val="nil"/>
            </w:tcBorders>
          </w:tcPr>
          <w:p w14:paraId="403D0183" w14:textId="634C7707" w:rsid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11,531</w:t>
            </w:r>
          </w:p>
        </w:tc>
        <w:tc>
          <w:tcPr>
            <w:tcW w:w="1281" w:type="dxa"/>
            <w:gridSpan w:val="2"/>
            <w:tcBorders>
              <w:top w:val="single" w:sz="4" w:space="0" w:color="A6A6A6" w:themeColor="background1" w:themeShade="A6"/>
              <w:left w:val="nil"/>
              <w:bottom w:val="nil"/>
              <w:right w:val="nil"/>
            </w:tcBorders>
          </w:tcPr>
          <w:p w14:paraId="7F6FE790" w14:textId="077F31F2" w:rsid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13,050</w:t>
            </w:r>
          </w:p>
        </w:tc>
      </w:tr>
      <w:tr w:rsidR="008F7455" w14:paraId="738F26B2" w14:textId="77777777" w:rsidTr="008F7455">
        <w:trPr>
          <w:trHeight w:val="359"/>
        </w:trPr>
        <w:tc>
          <w:tcPr>
            <w:tcW w:w="3118" w:type="dxa"/>
            <w:hideMark/>
          </w:tcPr>
          <w:p w14:paraId="1B103F28" w14:textId="18B97E03" w:rsidR="008F7455" w:rsidRDefault="008F7455" w:rsidP="008F7455">
            <w:pPr>
              <w:pStyle w:val="TableParagraph"/>
              <w:spacing w:before="60" w:after="60"/>
              <w:ind w:left="66" w:hanging="5"/>
              <w:rPr>
                <w:rFonts w:ascii="Segoe UI" w:hAnsi="Segoe UI" w:cs="Segoe UI"/>
                <w:w w:val="105"/>
                <w:sz w:val="16"/>
                <w:szCs w:val="16"/>
              </w:rPr>
            </w:pPr>
            <w:r w:rsidRPr="008F7455">
              <w:rPr>
                <w:rFonts w:ascii="Segoe UI" w:hAnsi="Segoe UI" w:cs="Segoe UI"/>
                <w:w w:val="105"/>
                <w:sz w:val="16"/>
                <w:szCs w:val="16"/>
              </w:rPr>
              <w:t>Amortisation expense</w:t>
            </w:r>
          </w:p>
        </w:tc>
        <w:tc>
          <w:tcPr>
            <w:tcW w:w="2264" w:type="dxa"/>
          </w:tcPr>
          <w:p w14:paraId="5953AEB5" w14:textId="35ABC1B1" w:rsid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w:t>
            </w:r>
          </w:p>
        </w:tc>
        <w:tc>
          <w:tcPr>
            <w:tcW w:w="1617" w:type="dxa"/>
          </w:tcPr>
          <w:p w14:paraId="7A624A0A" w14:textId="193286A9" w:rsid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516</w:t>
            </w:r>
          </w:p>
        </w:tc>
        <w:tc>
          <w:tcPr>
            <w:tcW w:w="1281" w:type="dxa"/>
            <w:gridSpan w:val="2"/>
          </w:tcPr>
          <w:p w14:paraId="27BF5E3E" w14:textId="4264AF53" w:rsid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516</w:t>
            </w:r>
          </w:p>
        </w:tc>
      </w:tr>
      <w:tr w:rsidR="008F7455" w14:paraId="244A520B" w14:textId="77777777" w:rsidTr="008F7455">
        <w:trPr>
          <w:trHeight w:val="348"/>
        </w:trPr>
        <w:tc>
          <w:tcPr>
            <w:tcW w:w="3118" w:type="dxa"/>
            <w:tcBorders>
              <w:top w:val="nil"/>
              <w:left w:val="nil"/>
              <w:bottom w:val="single" w:sz="4" w:space="0" w:color="A6A6A6" w:themeColor="background1" w:themeShade="A6"/>
              <w:right w:val="nil"/>
            </w:tcBorders>
            <w:hideMark/>
          </w:tcPr>
          <w:p w14:paraId="55CC6104" w14:textId="41A737CB" w:rsidR="008F7455" w:rsidRDefault="008F7455" w:rsidP="008F7455">
            <w:pPr>
              <w:pStyle w:val="TableParagraph"/>
              <w:spacing w:before="60" w:after="60"/>
              <w:ind w:left="66" w:hanging="5"/>
              <w:rPr>
                <w:rFonts w:ascii="Segoe UI" w:hAnsi="Segoe UI" w:cs="Segoe UI"/>
                <w:w w:val="105"/>
                <w:sz w:val="16"/>
                <w:szCs w:val="16"/>
              </w:rPr>
            </w:pPr>
            <w:r w:rsidRPr="008F7455">
              <w:rPr>
                <w:rFonts w:ascii="Segoe UI" w:hAnsi="Segoe UI" w:cs="Segoe UI"/>
                <w:w w:val="105"/>
                <w:sz w:val="16"/>
                <w:szCs w:val="16"/>
              </w:rPr>
              <w:t>Eliminate on disposal</w:t>
            </w:r>
          </w:p>
        </w:tc>
        <w:tc>
          <w:tcPr>
            <w:tcW w:w="2264" w:type="dxa"/>
            <w:tcBorders>
              <w:top w:val="nil"/>
              <w:left w:val="nil"/>
              <w:bottom w:val="single" w:sz="4" w:space="0" w:color="A6A6A6" w:themeColor="background1" w:themeShade="A6"/>
              <w:right w:val="nil"/>
            </w:tcBorders>
          </w:tcPr>
          <w:p w14:paraId="1CB2B517" w14:textId="2BA6EA41" w:rsid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(1,509)</w:t>
            </w:r>
          </w:p>
        </w:tc>
        <w:tc>
          <w:tcPr>
            <w:tcW w:w="1617" w:type="dxa"/>
            <w:tcBorders>
              <w:top w:val="nil"/>
              <w:left w:val="nil"/>
              <w:bottom w:val="single" w:sz="4" w:space="0" w:color="A6A6A6" w:themeColor="background1" w:themeShade="A6"/>
              <w:right w:val="nil"/>
            </w:tcBorders>
          </w:tcPr>
          <w:p w14:paraId="0ED9F6A5" w14:textId="3D75970E" w:rsid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(1,544)</w:t>
            </w:r>
          </w:p>
        </w:tc>
        <w:tc>
          <w:tcPr>
            <w:tcW w:w="1281" w:type="dxa"/>
            <w:gridSpan w:val="2"/>
            <w:tcBorders>
              <w:top w:val="nil"/>
              <w:left w:val="nil"/>
              <w:bottom w:val="single" w:sz="4" w:space="0" w:color="A6A6A6" w:themeColor="background1" w:themeShade="A6"/>
              <w:right w:val="nil"/>
            </w:tcBorders>
          </w:tcPr>
          <w:p w14:paraId="5AD7CFC3" w14:textId="6330CCF3" w:rsid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(3,053)</w:t>
            </w:r>
          </w:p>
        </w:tc>
      </w:tr>
      <w:tr w:rsidR="008F7455" w:rsidRPr="008F7455" w14:paraId="35775EA7" w14:textId="77777777" w:rsidTr="008F7455">
        <w:trPr>
          <w:trHeight w:val="344"/>
        </w:trPr>
        <w:tc>
          <w:tcPr>
            <w:tcW w:w="3118" w:type="dxa"/>
            <w:tcBorders>
              <w:top w:val="single" w:sz="4" w:space="0" w:color="A6A6A6" w:themeColor="background1" w:themeShade="A6"/>
              <w:left w:val="nil"/>
              <w:bottom w:val="single" w:sz="4" w:space="0" w:color="A6A6A6" w:themeColor="background1" w:themeShade="A6"/>
              <w:right w:val="nil"/>
            </w:tcBorders>
            <w:hideMark/>
          </w:tcPr>
          <w:p w14:paraId="523A408B" w14:textId="705D3C62" w:rsidR="008F7455" w:rsidRPr="008F7455" w:rsidRDefault="008F7455" w:rsidP="008F7455">
            <w:pPr>
              <w:pStyle w:val="TableParagraph"/>
              <w:spacing w:before="60" w:after="60"/>
              <w:ind w:left="66" w:hanging="5"/>
              <w:rPr>
                <w:rFonts w:ascii="Segoe UI" w:hAnsi="Segoe UI" w:cs="Segoe UI"/>
                <w:b/>
                <w:bCs/>
                <w:w w:val="105"/>
                <w:sz w:val="16"/>
                <w:szCs w:val="16"/>
              </w:rPr>
            </w:pPr>
            <w:r w:rsidRPr="008F7455">
              <w:rPr>
                <w:rFonts w:ascii="Segoe UI" w:hAnsi="Segoe UI" w:cs="Segoe UI"/>
                <w:b/>
                <w:bCs/>
                <w:w w:val="105"/>
                <w:sz w:val="16"/>
                <w:szCs w:val="16"/>
              </w:rPr>
              <w:t xml:space="preserve">Balance as </w:t>
            </w:r>
            <w:proofErr w:type="gramStart"/>
            <w:r w:rsidRPr="008F7455">
              <w:rPr>
                <w:rFonts w:ascii="Segoe UI" w:hAnsi="Segoe UI" w:cs="Segoe UI"/>
                <w:b/>
                <w:bCs/>
                <w:w w:val="105"/>
                <w:sz w:val="16"/>
                <w:szCs w:val="16"/>
              </w:rPr>
              <w:t>at</w:t>
            </w:r>
            <w:proofErr w:type="gramEnd"/>
            <w:r w:rsidRPr="008F7455">
              <w:rPr>
                <w:rFonts w:ascii="Segoe UI" w:hAnsi="Segoe UI" w:cs="Segoe UI"/>
                <w:b/>
                <w:bCs/>
                <w:w w:val="105"/>
                <w:sz w:val="16"/>
                <w:szCs w:val="16"/>
              </w:rPr>
              <w:t xml:space="preserve"> 30 June 2024</w:t>
            </w:r>
          </w:p>
        </w:tc>
        <w:tc>
          <w:tcPr>
            <w:tcW w:w="2264" w:type="dxa"/>
            <w:tcBorders>
              <w:top w:val="single" w:sz="4" w:space="0" w:color="A6A6A6" w:themeColor="background1" w:themeShade="A6"/>
              <w:left w:val="nil"/>
              <w:bottom w:val="single" w:sz="4" w:space="0" w:color="A6A6A6" w:themeColor="background1" w:themeShade="A6"/>
              <w:right w:val="nil"/>
            </w:tcBorders>
          </w:tcPr>
          <w:p w14:paraId="1FCAF874" w14:textId="62337073" w:rsidR="008F7455" w:rsidRPr="008F7455" w:rsidRDefault="008F7455" w:rsidP="008F7455">
            <w:pPr>
              <w:pStyle w:val="TableParagraph"/>
              <w:spacing w:before="60" w:after="60"/>
              <w:ind w:left="-42" w:right="152" w:firstLine="99"/>
              <w:jc w:val="right"/>
              <w:rPr>
                <w:rFonts w:ascii="Segoe UI" w:hAnsi="Segoe UI" w:cs="Segoe UI"/>
                <w:b/>
                <w:bCs/>
                <w:w w:val="110"/>
                <w:sz w:val="16"/>
                <w:szCs w:val="16"/>
              </w:rPr>
            </w:pPr>
            <w:r w:rsidRPr="008F7455">
              <w:rPr>
                <w:rFonts w:ascii="Segoe UI" w:hAnsi="Segoe UI" w:cs="Segoe UI"/>
                <w:b/>
                <w:bCs/>
                <w:w w:val="110"/>
                <w:sz w:val="16"/>
                <w:szCs w:val="16"/>
              </w:rPr>
              <w:t>10</w:t>
            </w:r>
          </w:p>
        </w:tc>
        <w:tc>
          <w:tcPr>
            <w:tcW w:w="1617" w:type="dxa"/>
            <w:tcBorders>
              <w:top w:val="single" w:sz="4" w:space="0" w:color="A6A6A6" w:themeColor="background1" w:themeShade="A6"/>
              <w:left w:val="nil"/>
              <w:bottom w:val="single" w:sz="4" w:space="0" w:color="A6A6A6" w:themeColor="background1" w:themeShade="A6"/>
              <w:right w:val="nil"/>
            </w:tcBorders>
          </w:tcPr>
          <w:p w14:paraId="48AA3974" w14:textId="6A6DD460" w:rsidR="008F7455" w:rsidRPr="008F7455" w:rsidRDefault="008F7455" w:rsidP="008F7455">
            <w:pPr>
              <w:pStyle w:val="TableParagraph"/>
              <w:spacing w:before="60" w:after="60"/>
              <w:ind w:left="-42" w:right="152" w:firstLine="99"/>
              <w:jc w:val="right"/>
              <w:rPr>
                <w:rFonts w:ascii="Segoe UI" w:hAnsi="Segoe UI" w:cs="Segoe UI"/>
                <w:b/>
                <w:bCs/>
                <w:w w:val="110"/>
                <w:sz w:val="16"/>
                <w:szCs w:val="16"/>
              </w:rPr>
            </w:pPr>
            <w:r w:rsidRPr="008F7455">
              <w:rPr>
                <w:rFonts w:ascii="Segoe UI" w:hAnsi="Segoe UI" w:cs="Segoe UI"/>
                <w:b/>
                <w:bCs/>
                <w:w w:val="110"/>
                <w:sz w:val="16"/>
                <w:szCs w:val="16"/>
              </w:rPr>
              <w:t>10,503</w:t>
            </w:r>
          </w:p>
        </w:tc>
        <w:tc>
          <w:tcPr>
            <w:tcW w:w="1281" w:type="dxa"/>
            <w:gridSpan w:val="2"/>
            <w:tcBorders>
              <w:top w:val="single" w:sz="4" w:space="0" w:color="A6A6A6" w:themeColor="background1" w:themeShade="A6"/>
              <w:left w:val="nil"/>
              <w:bottom w:val="single" w:sz="4" w:space="0" w:color="A6A6A6" w:themeColor="background1" w:themeShade="A6"/>
              <w:right w:val="nil"/>
            </w:tcBorders>
          </w:tcPr>
          <w:p w14:paraId="456B03A3" w14:textId="12795699" w:rsidR="008F7455" w:rsidRPr="008F7455" w:rsidRDefault="008F7455" w:rsidP="008F7455">
            <w:pPr>
              <w:pStyle w:val="TableParagraph"/>
              <w:spacing w:before="60" w:after="60"/>
              <w:ind w:left="-42" w:right="152" w:firstLine="99"/>
              <w:jc w:val="right"/>
              <w:rPr>
                <w:rFonts w:ascii="Segoe UI" w:hAnsi="Segoe UI" w:cs="Segoe UI"/>
                <w:b/>
                <w:bCs/>
                <w:w w:val="110"/>
                <w:sz w:val="16"/>
                <w:szCs w:val="16"/>
              </w:rPr>
            </w:pPr>
            <w:r w:rsidRPr="008F7455">
              <w:rPr>
                <w:rFonts w:ascii="Segoe UI" w:hAnsi="Segoe UI" w:cs="Segoe UI"/>
                <w:b/>
                <w:bCs/>
                <w:w w:val="110"/>
                <w:sz w:val="16"/>
                <w:szCs w:val="16"/>
              </w:rPr>
              <w:t>10,513</w:t>
            </w:r>
          </w:p>
        </w:tc>
      </w:tr>
      <w:tr w:rsidR="008F7455" w14:paraId="55A30AFE" w14:textId="77777777" w:rsidTr="008F7455">
        <w:trPr>
          <w:gridAfter w:val="1"/>
          <w:wAfter w:w="11" w:type="dxa"/>
          <w:trHeight w:val="354"/>
        </w:trPr>
        <w:tc>
          <w:tcPr>
            <w:tcW w:w="8269" w:type="dxa"/>
            <w:gridSpan w:val="4"/>
            <w:tcBorders>
              <w:top w:val="dotted" w:sz="6" w:space="0" w:color="002E6E"/>
              <w:left w:val="nil"/>
              <w:bottom w:val="nil"/>
              <w:right w:val="nil"/>
            </w:tcBorders>
            <w:hideMark/>
          </w:tcPr>
          <w:p w14:paraId="3F770FB9" w14:textId="77777777" w:rsidR="008F7455" w:rsidRDefault="008F7455">
            <w:pPr>
              <w:pStyle w:val="TableParagraph"/>
              <w:spacing w:before="60" w:after="60"/>
              <w:ind w:left="66" w:hanging="5"/>
              <w:rPr>
                <w:rFonts w:ascii="Segoe UI" w:hAnsi="Segoe UI" w:cs="Segoe UI"/>
                <w:b/>
                <w:bCs/>
                <w:w w:val="105"/>
                <w:sz w:val="16"/>
                <w:szCs w:val="16"/>
              </w:rPr>
            </w:pPr>
            <w:r>
              <w:rPr>
                <w:rFonts w:ascii="Segoe UI" w:hAnsi="Segoe UI" w:cs="Segoe UI"/>
                <w:b/>
                <w:bCs/>
                <w:w w:val="105"/>
                <w:sz w:val="16"/>
                <w:szCs w:val="16"/>
              </w:rPr>
              <w:t>Total intangible assets including work in progress</w:t>
            </w:r>
          </w:p>
        </w:tc>
      </w:tr>
      <w:tr w:rsidR="008F7455" w14:paraId="1E8507D5" w14:textId="77777777" w:rsidTr="008F7455">
        <w:trPr>
          <w:trHeight w:val="348"/>
        </w:trPr>
        <w:tc>
          <w:tcPr>
            <w:tcW w:w="3118" w:type="dxa"/>
            <w:tcBorders>
              <w:top w:val="nil"/>
              <w:left w:val="nil"/>
              <w:bottom w:val="single" w:sz="4" w:space="0" w:color="A6A6A6" w:themeColor="background1" w:themeShade="A6"/>
              <w:right w:val="nil"/>
            </w:tcBorders>
            <w:hideMark/>
          </w:tcPr>
          <w:p w14:paraId="6AE9837E" w14:textId="091C3C68" w:rsidR="008F7455" w:rsidRDefault="008F7455" w:rsidP="008F7455">
            <w:pPr>
              <w:pStyle w:val="TableParagraph"/>
              <w:spacing w:before="60" w:after="60"/>
              <w:ind w:left="66" w:hanging="5"/>
              <w:rPr>
                <w:rFonts w:ascii="Segoe UI" w:hAnsi="Segoe UI" w:cs="Segoe UI"/>
                <w:w w:val="105"/>
                <w:sz w:val="16"/>
                <w:szCs w:val="16"/>
              </w:rPr>
            </w:pPr>
            <w:proofErr w:type="gramStart"/>
            <w:r w:rsidRPr="008F7455">
              <w:rPr>
                <w:rFonts w:ascii="Segoe UI" w:hAnsi="Segoe UI" w:cs="Segoe UI"/>
                <w:w w:val="105"/>
                <w:sz w:val="16"/>
                <w:szCs w:val="16"/>
              </w:rPr>
              <w:t>At</w:t>
            </w:r>
            <w:proofErr w:type="gramEnd"/>
            <w:r w:rsidRPr="008F7455">
              <w:rPr>
                <w:rFonts w:ascii="Segoe UI" w:hAnsi="Segoe UI" w:cs="Segoe UI"/>
                <w:w w:val="105"/>
                <w:sz w:val="16"/>
                <w:szCs w:val="16"/>
              </w:rPr>
              <w:t xml:space="preserve"> 30 June 2022</w:t>
            </w:r>
          </w:p>
        </w:tc>
        <w:tc>
          <w:tcPr>
            <w:tcW w:w="2264" w:type="dxa"/>
            <w:tcBorders>
              <w:top w:val="nil"/>
              <w:left w:val="nil"/>
              <w:bottom w:val="single" w:sz="4" w:space="0" w:color="A6A6A6" w:themeColor="background1" w:themeShade="A6"/>
              <w:right w:val="nil"/>
            </w:tcBorders>
          </w:tcPr>
          <w:p w14:paraId="1B667515" w14:textId="62883111" w:rsid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378</w:t>
            </w:r>
          </w:p>
        </w:tc>
        <w:tc>
          <w:tcPr>
            <w:tcW w:w="1617" w:type="dxa"/>
            <w:tcBorders>
              <w:top w:val="nil"/>
              <w:left w:val="nil"/>
              <w:bottom w:val="single" w:sz="4" w:space="0" w:color="A6A6A6" w:themeColor="background1" w:themeShade="A6"/>
              <w:right w:val="nil"/>
            </w:tcBorders>
          </w:tcPr>
          <w:p w14:paraId="44A6674B" w14:textId="1DCF47C6" w:rsid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14,029</w:t>
            </w:r>
          </w:p>
        </w:tc>
        <w:tc>
          <w:tcPr>
            <w:tcW w:w="1281" w:type="dxa"/>
            <w:gridSpan w:val="2"/>
            <w:tcBorders>
              <w:top w:val="nil"/>
              <w:left w:val="nil"/>
              <w:bottom w:val="single" w:sz="4" w:space="0" w:color="A6A6A6" w:themeColor="background1" w:themeShade="A6"/>
              <w:right w:val="nil"/>
            </w:tcBorders>
          </w:tcPr>
          <w:p w14:paraId="3ED578B8" w14:textId="34012E4E" w:rsid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14,407</w:t>
            </w:r>
          </w:p>
        </w:tc>
      </w:tr>
      <w:tr w:rsidR="008F7455" w14:paraId="3AF14A0E" w14:textId="77777777" w:rsidTr="008F7455">
        <w:trPr>
          <w:trHeight w:val="344"/>
        </w:trPr>
        <w:tc>
          <w:tcPr>
            <w:tcW w:w="3118" w:type="dxa"/>
            <w:tcBorders>
              <w:top w:val="single" w:sz="4" w:space="0" w:color="A6A6A6" w:themeColor="background1" w:themeShade="A6"/>
              <w:left w:val="nil"/>
              <w:bottom w:val="single" w:sz="4" w:space="0" w:color="A6A6A6" w:themeColor="background1" w:themeShade="A6"/>
              <w:right w:val="nil"/>
            </w:tcBorders>
            <w:hideMark/>
          </w:tcPr>
          <w:p w14:paraId="708A39D0" w14:textId="6D173AB6" w:rsidR="008F7455" w:rsidRDefault="008F7455" w:rsidP="008F7455">
            <w:pPr>
              <w:pStyle w:val="TableParagraph"/>
              <w:spacing w:before="60" w:after="60"/>
              <w:ind w:left="66" w:hanging="5"/>
              <w:rPr>
                <w:rFonts w:ascii="Segoe UI" w:hAnsi="Segoe UI" w:cs="Segoe UI"/>
                <w:w w:val="105"/>
                <w:sz w:val="16"/>
                <w:szCs w:val="16"/>
              </w:rPr>
            </w:pPr>
            <w:proofErr w:type="gramStart"/>
            <w:r w:rsidRPr="008F7455">
              <w:rPr>
                <w:rFonts w:ascii="Segoe UI" w:hAnsi="Segoe UI" w:cs="Segoe UI"/>
                <w:w w:val="105"/>
                <w:sz w:val="16"/>
                <w:szCs w:val="16"/>
              </w:rPr>
              <w:t>At</w:t>
            </w:r>
            <w:proofErr w:type="gramEnd"/>
            <w:r w:rsidRPr="008F7455">
              <w:rPr>
                <w:rFonts w:ascii="Segoe UI" w:hAnsi="Segoe UI" w:cs="Segoe UI"/>
                <w:w w:val="105"/>
                <w:sz w:val="16"/>
                <w:szCs w:val="16"/>
              </w:rPr>
              <w:t xml:space="preserve"> 30 June 2023</w:t>
            </w:r>
          </w:p>
        </w:tc>
        <w:tc>
          <w:tcPr>
            <w:tcW w:w="2264" w:type="dxa"/>
            <w:tcBorders>
              <w:top w:val="single" w:sz="4" w:space="0" w:color="A6A6A6" w:themeColor="background1" w:themeShade="A6"/>
              <w:left w:val="nil"/>
              <w:bottom w:val="single" w:sz="4" w:space="0" w:color="A6A6A6" w:themeColor="background1" w:themeShade="A6"/>
              <w:right w:val="nil"/>
            </w:tcBorders>
          </w:tcPr>
          <w:p w14:paraId="01D8CCB0" w14:textId="2C5A22BB" w:rsid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w:t>
            </w:r>
          </w:p>
        </w:tc>
        <w:tc>
          <w:tcPr>
            <w:tcW w:w="1617" w:type="dxa"/>
            <w:tcBorders>
              <w:top w:val="single" w:sz="4" w:space="0" w:color="A6A6A6" w:themeColor="background1" w:themeShade="A6"/>
              <w:left w:val="nil"/>
              <w:bottom w:val="single" w:sz="4" w:space="0" w:color="A6A6A6" w:themeColor="background1" w:themeShade="A6"/>
              <w:right w:val="nil"/>
            </w:tcBorders>
          </w:tcPr>
          <w:p w14:paraId="7531339B" w14:textId="18F322D9" w:rsid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935</w:t>
            </w:r>
          </w:p>
        </w:tc>
        <w:tc>
          <w:tcPr>
            <w:tcW w:w="1281" w:type="dxa"/>
            <w:gridSpan w:val="2"/>
            <w:tcBorders>
              <w:top w:val="single" w:sz="4" w:space="0" w:color="A6A6A6" w:themeColor="background1" w:themeShade="A6"/>
              <w:left w:val="nil"/>
              <w:bottom w:val="single" w:sz="4" w:space="0" w:color="A6A6A6" w:themeColor="background1" w:themeShade="A6"/>
              <w:right w:val="nil"/>
            </w:tcBorders>
          </w:tcPr>
          <w:p w14:paraId="7B95BFF0" w14:textId="428C9A2D" w:rsidR="008F7455" w:rsidRDefault="008F7455" w:rsidP="008F7455">
            <w:pPr>
              <w:pStyle w:val="TableParagraph"/>
              <w:spacing w:before="60" w:after="60"/>
              <w:ind w:left="-42" w:right="152" w:firstLine="99"/>
              <w:jc w:val="right"/>
              <w:rPr>
                <w:rFonts w:ascii="Segoe UI" w:hAnsi="Segoe UI" w:cs="Segoe UI"/>
                <w:w w:val="110"/>
                <w:sz w:val="16"/>
                <w:szCs w:val="16"/>
              </w:rPr>
            </w:pPr>
            <w:r w:rsidRPr="008F7455">
              <w:rPr>
                <w:rFonts w:ascii="Segoe UI" w:hAnsi="Segoe UI" w:cs="Segoe UI"/>
                <w:w w:val="110"/>
                <w:sz w:val="16"/>
                <w:szCs w:val="16"/>
              </w:rPr>
              <w:t>935</w:t>
            </w:r>
          </w:p>
        </w:tc>
      </w:tr>
      <w:tr w:rsidR="008F7455" w:rsidRPr="008F7455" w14:paraId="60B1F159" w14:textId="77777777" w:rsidTr="008F7455">
        <w:trPr>
          <w:trHeight w:val="344"/>
        </w:trPr>
        <w:tc>
          <w:tcPr>
            <w:tcW w:w="3118" w:type="dxa"/>
            <w:tcBorders>
              <w:top w:val="single" w:sz="4" w:space="0" w:color="A6A6A6" w:themeColor="background1" w:themeShade="A6"/>
              <w:left w:val="nil"/>
              <w:bottom w:val="single" w:sz="4" w:space="0" w:color="A6A6A6" w:themeColor="background1" w:themeShade="A6"/>
              <w:right w:val="nil"/>
            </w:tcBorders>
            <w:hideMark/>
          </w:tcPr>
          <w:p w14:paraId="55B2DC44" w14:textId="04F0E1C4" w:rsidR="008F7455" w:rsidRPr="008F7455" w:rsidRDefault="008F7455" w:rsidP="008F7455">
            <w:pPr>
              <w:pStyle w:val="TableParagraph"/>
              <w:spacing w:before="60" w:after="60"/>
              <w:ind w:left="66" w:hanging="5"/>
              <w:rPr>
                <w:rFonts w:ascii="Segoe UI" w:hAnsi="Segoe UI" w:cs="Segoe UI"/>
                <w:b/>
                <w:bCs/>
                <w:w w:val="105"/>
                <w:sz w:val="16"/>
                <w:szCs w:val="16"/>
              </w:rPr>
            </w:pPr>
            <w:proofErr w:type="gramStart"/>
            <w:r w:rsidRPr="008F7455">
              <w:rPr>
                <w:rFonts w:ascii="Segoe UI" w:hAnsi="Segoe UI" w:cs="Segoe UI"/>
                <w:b/>
                <w:bCs/>
                <w:w w:val="105"/>
                <w:sz w:val="16"/>
                <w:szCs w:val="16"/>
              </w:rPr>
              <w:t>At</w:t>
            </w:r>
            <w:proofErr w:type="gramEnd"/>
            <w:r w:rsidRPr="008F7455">
              <w:rPr>
                <w:rFonts w:ascii="Segoe UI" w:hAnsi="Segoe UI" w:cs="Segoe UI"/>
                <w:b/>
                <w:bCs/>
                <w:w w:val="105"/>
                <w:sz w:val="16"/>
                <w:szCs w:val="16"/>
              </w:rPr>
              <w:t xml:space="preserve"> 30 June 2024</w:t>
            </w:r>
          </w:p>
        </w:tc>
        <w:tc>
          <w:tcPr>
            <w:tcW w:w="2264" w:type="dxa"/>
            <w:tcBorders>
              <w:top w:val="single" w:sz="4" w:space="0" w:color="A6A6A6" w:themeColor="background1" w:themeShade="A6"/>
              <w:left w:val="nil"/>
              <w:bottom w:val="single" w:sz="4" w:space="0" w:color="A6A6A6" w:themeColor="background1" w:themeShade="A6"/>
              <w:right w:val="nil"/>
            </w:tcBorders>
          </w:tcPr>
          <w:p w14:paraId="49B90D18" w14:textId="270384CB" w:rsidR="008F7455" w:rsidRPr="008F7455" w:rsidRDefault="008F7455" w:rsidP="008F7455">
            <w:pPr>
              <w:pStyle w:val="TableParagraph"/>
              <w:spacing w:before="60" w:after="60"/>
              <w:ind w:left="-42" w:right="152" w:firstLine="99"/>
              <w:jc w:val="right"/>
              <w:rPr>
                <w:rFonts w:ascii="Segoe UI" w:hAnsi="Segoe UI" w:cs="Segoe UI"/>
                <w:b/>
                <w:bCs/>
                <w:w w:val="110"/>
                <w:sz w:val="16"/>
                <w:szCs w:val="16"/>
              </w:rPr>
            </w:pPr>
            <w:r w:rsidRPr="008F7455">
              <w:rPr>
                <w:rFonts w:ascii="Segoe UI" w:hAnsi="Segoe UI" w:cs="Segoe UI"/>
                <w:b/>
                <w:bCs/>
                <w:w w:val="110"/>
                <w:sz w:val="16"/>
                <w:szCs w:val="16"/>
              </w:rPr>
              <w:t>–</w:t>
            </w:r>
          </w:p>
        </w:tc>
        <w:tc>
          <w:tcPr>
            <w:tcW w:w="1617" w:type="dxa"/>
            <w:tcBorders>
              <w:top w:val="single" w:sz="4" w:space="0" w:color="A6A6A6" w:themeColor="background1" w:themeShade="A6"/>
              <w:left w:val="nil"/>
              <w:bottom w:val="single" w:sz="4" w:space="0" w:color="A6A6A6" w:themeColor="background1" w:themeShade="A6"/>
              <w:right w:val="nil"/>
            </w:tcBorders>
          </w:tcPr>
          <w:p w14:paraId="5B383D3D" w14:textId="4D0A2E6C" w:rsidR="008F7455" w:rsidRPr="008F7455" w:rsidRDefault="008F7455" w:rsidP="008F7455">
            <w:pPr>
              <w:pStyle w:val="TableParagraph"/>
              <w:spacing w:before="60" w:after="60"/>
              <w:ind w:left="-42" w:right="152" w:firstLine="99"/>
              <w:jc w:val="right"/>
              <w:rPr>
                <w:rFonts w:ascii="Segoe UI" w:hAnsi="Segoe UI" w:cs="Segoe UI"/>
                <w:b/>
                <w:bCs/>
                <w:w w:val="110"/>
                <w:sz w:val="16"/>
                <w:szCs w:val="16"/>
              </w:rPr>
            </w:pPr>
            <w:r w:rsidRPr="008F7455">
              <w:rPr>
                <w:rFonts w:ascii="Segoe UI" w:hAnsi="Segoe UI" w:cs="Segoe UI"/>
                <w:b/>
                <w:bCs/>
                <w:w w:val="110"/>
                <w:sz w:val="16"/>
                <w:szCs w:val="16"/>
              </w:rPr>
              <w:t>419</w:t>
            </w:r>
          </w:p>
        </w:tc>
        <w:tc>
          <w:tcPr>
            <w:tcW w:w="1281" w:type="dxa"/>
            <w:gridSpan w:val="2"/>
            <w:tcBorders>
              <w:top w:val="single" w:sz="4" w:space="0" w:color="A6A6A6" w:themeColor="background1" w:themeShade="A6"/>
              <w:left w:val="nil"/>
              <w:bottom w:val="single" w:sz="4" w:space="0" w:color="A6A6A6" w:themeColor="background1" w:themeShade="A6"/>
              <w:right w:val="nil"/>
            </w:tcBorders>
          </w:tcPr>
          <w:p w14:paraId="1792401A" w14:textId="1AA3B470" w:rsidR="008F7455" w:rsidRPr="008F7455" w:rsidRDefault="008F7455" w:rsidP="008F7455">
            <w:pPr>
              <w:pStyle w:val="TableParagraph"/>
              <w:spacing w:before="60" w:after="60"/>
              <w:ind w:left="-42" w:right="152" w:firstLine="99"/>
              <w:jc w:val="right"/>
              <w:rPr>
                <w:rFonts w:ascii="Segoe UI" w:hAnsi="Segoe UI" w:cs="Segoe UI"/>
                <w:b/>
                <w:bCs/>
                <w:w w:val="110"/>
                <w:sz w:val="16"/>
                <w:szCs w:val="16"/>
              </w:rPr>
            </w:pPr>
            <w:r w:rsidRPr="008F7455">
              <w:rPr>
                <w:rFonts w:ascii="Segoe UI" w:hAnsi="Segoe UI" w:cs="Segoe UI"/>
                <w:b/>
                <w:bCs/>
                <w:w w:val="110"/>
                <w:sz w:val="16"/>
                <w:szCs w:val="16"/>
              </w:rPr>
              <w:t>419</w:t>
            </w:r>
          </w:p>
        </w:tc>
      </w:tr>
    </w:tbl>
    <w:p w14:paraId="6AAFD0D7" w14:textId="77777777" w:rsidR="008F7455" w:rsidRDefault="008F7455" w:rsidP="008F7455">
      <w:pPr>
        <w:pStyle w:val="Note"/>
        <w:ind w:left="126" w:hanging="126"/>
      </w:pPr>
      <w:r w:rsidRPr="008F7455">
        <w:t>* The total disposal of intangible assets relates to the transfer of assets to Health New Zealand on 1 July 2022.</w:t>
      </w:r>
    </w:p>
    <w:p w14:paraId="57257A5C" w14:textId="77777777" w:rsidR="008F7455" w:rsidRDefault="008F7455" w:rsidP="008F7455">
      <w:pPr>
        <w:pStyle w:val="Heading4"/>
      </w:pPr>
      <w:r>
        <w:t xml:space="preserve">Work in </w:t>
      </w:r>
      <w:proofErr w:type="gramStart"/>
      <w:r>
        <w:t>progress</w:t>
      </w:r>
      <w:proofErr w:type="gramEnd"/>
      <w:r>
        <w:tab/>
      </w:r>
    </w:p>
    <w:p w14:paraId="43C7ABC5" w14:textId="77777777" w:rsidR="008F7455" w:rsidRDefault="008F7455" w:rsidP="008F7455">
      <w:r>
        <w:t xml:space="preserve">As </w:t>
      </w:r>
      <w:proofErr w:type="gramStart"/>
      <w:r>
        <w:t>at</w:t>
      </w:r>
      <w:proofErr w:type="gramEnd"/>
      <w:r>
        <w:t xml:space="preserve"> June 2024, the Ministry has no IT projects in progress (2023: $nil). </w:t>
      </w:r>
    </w:p>
    <w:p w14:paraId="4670036C" w14:textId="77777777" w:rsidR="008F7455" w:rsidRDefault="008F7455" w:rsidP="008F7455">
      <w:pPr>
        <w:pStyle w:val="Heading4"/>
      </w:pPr>
      <w:r>
        <w:t>Restrictions</w:t>
      </w:r>
      <w:r>
        <w:tab/>
      </w:r>
    </w:p>
    <w:p w14:paraId="27F50841" w14:textId="77777777" w:rsidR="008F7455" w:rsidRDefault="008F7455" w:rsidP="008F7455">
      <w:pPr>
        <w:sectPr w:rsidR="008F7455" w:rsidSect="000A3324">
          <w:pgSz w:w="11907" w:h="16840" w:code="9"/>
          <w:pgMar w:top="1418" w:right="1701" w:bottom="1134" w:left="1843" w:header="284" w:footer="425" w:gutter="284"/>
          <w:cols w:space="720"/>
        </w:sectPr>
      </w:pPr>
      <w:r>
        <w:t>There are no restrictions over the title of the Ministry’s intangible assets.</w:t>
      </w:r>
    </w:p>
    <w:p w14:paraId="506E4370" w14:textId="615EEC7F" w:rsidR="008F7455" w:rsidRDefault="008F7455" w:rsidP="007123AC">
      <w:pPr>
        <w:pStyle w:val="Heading3"/>
        <w:numPr>
          <w:ilvl w:val="6"/>
          <w:numId w:val="5"/>
        </w:numPr>
        <w:tabs>
          <w:tab w:val="num" w:pos="5040"/>
        </w:tabs>
        <w:spacing w:before="0"/>
        <w:ind w:left="709" w:hanging="709"/>
      </w:pPr>
      <w:r>
        <w:lastRenderedPageBreak/>
        <w:t>Payables</w:t>
      </w:r>
    </w:p>
    <w:p w14:paraId="156A19B1" w14:textId="77777777" w:rsidR="008F7455" w:rsidRDefault="008F7455" w:rsidP="008F7455">
      <w:pPr>
        <w:pStyle w:val="Heading4"/>
      </w:pPr>
      <w:r>
        <w:t>Accounting policy</w:t>
      </w:r>
      <w:r>
        <w:tab/>
      </w:r>
    </w:p>
    <w:p w14:paraId="311DF016" w14:textId="11A3BF66" w:rsidR="008F7455" w:rsidRDefault="008F7455" w:rsidP="008F7455">
      <w:r>
        <w:t>Short-term payables are measured at the amount payable.</w:t>
      </w:r>
    </w:p>
    <w:p w14:paraId="51F257D0" w14:textId="77777777" w:rsidR="008F7455" w:rsidRDefault="008F7455" w:rsidP="008F7455"/>
    <w:p w14:paraId="2DCC5BEB" w14:textId="77777777" w:rsidR="008F7455" w:rsidRDefault="008F7455" w:rsidP="008F7455">
      <w:r>
        <w:t>Revenue in advance refers to fees received in advance in relation to new medicine applications.</w:t>
      </w:r>
    </w:p>
    <w:p w14:paraId="55ED5DB9" w14:textId="77777777" w:rsidR="008F7455" w:rsidRDefault="008F7455" w:rsidP="008F7455"/>
    <w:tbl>
      <w:tblPr>
        <w:tblW w:w="8130" w:type="dxa"/>
        <w:tblLayout w:type="fixed"/>
        <w:tblCellMar>
          <w:left w:w="0" w:type="dxa"/>
          <w:right w:w="0" w:type="dxa"/>
        </w:tblCellMar>
        <w:tblLook w:val="01E0" w:firstRow="1" w:lastRow="1" w:firstColumn="1" w:lastColumn="1" w:noHBand="0" w:noVBand="0"/>
      </w:tblPr>
      <w:tblGrid>
        <w:gridCol w:w="1276"/>
        <w:gridCol w:w="3546"/>
        <w:gridCol w:w="3308"/>
      </w:tblGrid>
      <w:tr w:rsidR="009834D1" w14:paraId="5100FD79" w14:textId="77777777" w:rsidTr="009834D1">
        <w:trPr>
          <w:trHeight w:val="784"/>
        </w:trPr>
        <w:tc>
          <w:tcPr>
            <w:tcW w:w="1276" w:type="dxa"/>
            <w:shd w:val="clear" w:color="auto" w:fill="D9D9D9" w:themeFill="background1" w:themeFillShade="D9"/>
            <w:hideMark/>
          </w:tcPr>
          <w:p w14:paraId="5FD813C0" w14:textId="77777777" w:rsidR="009834D1" w:rsidRDefault="009834D1">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 xml:space="preserve">Actual </w:t>
            </w:r>
          </w:p>
          <w:p w14:paraId="7F7A8B02" w14:textId="49E4C125" w:rsidR="009834D1" w:rsidRDefault="009834D1">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2023</w:t>
            </w:r>
          </w:p>
          <w:p w14:paraId="1B33B8E6" w14:textId="77777777" w:rsidR="009834D1" w:rsidRDefault="009834D1">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3546" w:type="dxa"/>
            <w:shd w:val="clear" w:color="auto" w:fill="D9D9D9" w:themeFill="background1" w:themeFillShade="D9"/>
          </w:tcPr>
          <w:p w14:paraId="2A491C0F" w14:textId="77777777" w:rsidR="009834D1" w:rsidRDefault="009834D1">
            <w:pPr>
              <w:pStyle w:val="TableParagraph"/>
              <w:rPr>
                <w:rFonts w:ascii="Times New Roman"/>
                <w:b/>
                <w:bCs/>
                <w:sz w:val="18"/>
              </w:rPr>
            </w:pPr>
          </w:p>
        </w:tc>
        <w:tc>
          <w:tcPr>
            <w:tcW w:w="3308" w:type="dxa"/>
            <w:shd w:val="clear" w:color="auto" w:fill="D9D9D9" w:themeFill="background1" w:themeFillShade="D9"/>
            <w:hideMark/>
          </w:tcPr>
          <w:p w14:paraId="51C63062" w14:textId="77777777" w:rsidR="009834D1" w:rsidRDefault="009834D1">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 xml:space="preserve">Actual </w:t>
            </w:r>
          </w:p>
          <w:p w14:paraId="3B3AFDA3" w14:textId="12A32CE8" w:rsidR="009834D1" w:rsidRDefault="009834D1">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61212E7B" w14:textId="77777777" w:rsidR="009834D1" w:rsidRDefault="009834D1">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r>
      <w:tr w:rsidR="009834D1" w14:paraId="6F803CEE" w14:textId="77777777" w:rsidTr="009834D1">
        <w:trPr>
          <w:trHeight w:val="354"/>
        </w:trPr>
        <w:tc>
          <w:tcPr>
            <w:tcW w:w="1276" w:type="dxa"/>
            <w:hideMark/>
          </w:tcPr>
          <w:p w14:paraId="2E08EE2A" w14:textId="24A5D0F0" w:rsidR="009834D1" w:rsidRDefault="009834D1" w:rsidP="009834D1">
            <w:pPr>
              <w:pStyle w:val="TableParagraph"/>
              <w:spacing w:before="60" w:after="60"/>
              <w:ind w:left="-42" w:right="170" w:firstLine="99"/>
              <w:jc w:val="right"/>
              <w:rPr>
                <w:rFonts w:ascii="Segoe UI" w:hAnsi="Segoe UI" w:cs="Segoe UI"/>
                <w:sz w:val="16"/>
                <w:szCs w:val="16"/>
              </w:rPr>
            </w:pPr>
            <w:r w:rsidRPr="009834D1">
              <w:rPr>
                <w:rFonts w:ascii="Segoe UI" w:hAnsi="Segoe UI" w:cs="Segoe UI"/>
                <w:sz w:val="16"/>
                <w:szCs w:val="16"/>
              </w:rPr>
              <w:t>2,193</w:t>
            </w:r>
          </w:p>
        </w:tc>
        <w:tc>
          <w:tcPr>
            <w:tcW w:w="3546" w:type="dxa"/>
            <w:hideMark/>
          </w:tcPr>
          <w:p w14:paraId="27A5879E" w14:textId="77777777" w:rsidR="009834D1" w:rsidRDefault="009834D1" w:rsidP="009834D1">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Creditors</w:t>
            </w:r>
          </w:p>
        </w:tc>
        <w:tc>
          <w:tcPr>
            <w:tcW w:w="3308" w:type="dxa"/>
            <w:hideMark/>
          </w:tcPr>
          <w:p w14:paraId="14508162" w14:textId="13962227" w:rsidR="009834D1" w:rsidRPr="009834D1" w:rsidRDefault="009834D1" w:rsidP="009834D1">
            <w:pPr>
              <w:pStyle w:val="TableParagraph"/>
              <w:spacing w:before="60" w:after="60"/>
              <w:ind w:left="-42" w:right="170" w:firstLine="99"/>
              <w:jc w:val="right"/>
              <w:rPr>
                <w:rFonts w:ascii="Segoe UI" w:hAnsi="Segoe UI" w:cs="Segoe UI"/>
                <w:sz w:val="16"/>
                <w:szCs w:val="16"/>
              </w:rPr>
            </w:pPr>
            <w:r w:rsidRPr="009834D1">
              <w:rPr>
                <w:rFonts w:ascii="Segoe UI" w:hAnsi="Segoe UI" w:cs="Segoe UI"/>
                <w:sz w:val="16"/>
                <w:szCs w:val="16"/>
              </w:rPr>
              <w:t>1,527</w:t>
            </w:r>
          </w:p>
        </w:tc>
      </w:tr>
      <w:tr w:rsidR="009834D1" w14:paraId="17ED5588" w14:textId="77777777" w:rsidTr="009834D1">
        <w:trPr>
          <w:trHeight w:val="359"/>
        </w:trPr>
        <w:tc>
          <w:tcPr>
            <w:tcW w:w="1276" w:type="dxa"/>
            <w:hideMark/>
          </w:tcPr>
          <w:p w14:paraId="25AE565F" w14:textId="1B25C001" w:rsidR="009834D1" w:rsidRDefault="009834D1" w:rsidP="009834D1">
            <w:pPr>
              <w:pStyle w:val="TableParagraph"/>
              <w:spacing w:before="60" w:after="60"/>
              <w:ind w:left="-42" w:right="170" w:firstLine="99"/>
              <w:jc w:val="right"/>
              <w:rPr>
                <w:rFonts w:ascii="Segoe UI" w:hAnsi="Segoe UI" w:cs="Segoe UI"/>
                <w:sz w:val="16"/>
                <w:szCs w:val="16"/>
              </w:rPr>
            </w:pPr>
            <w:r w:rsidRPr="009834D1">
              <w:rPr>
                <w:rFonts w:ascii="Segoe UI" w:hAnsi="Segoe UI" w:cs="Segoe UI"/>
                <w:sz w:val="16"/>
                <w:szCs w:val="16"/>
              </w:rPr>
              <w:t>5,898</w:t>
            </w:r>
          </w:p>
        </w:tc>
        <w:tc>
          <w:tcPr>
            <w:tcW w:w="3546" w:type="dxa"/>
            <w:hideMark/>
          </w:tcPr>
          <w:p w14:paraId="2C34412C" w14:textId="77777777" w:rsidR="009834D1" w:rsidRDefault="009834D1" w:rsidP="009834D1">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Revenue in advance</w:t>
            </w:r>
          </w:p>
        </w:tc>
        <w:tc>
          <w:tcPr>
            <w:tcW w:w="3308" w:type="dxa"/>
            <w:hideMark/>
          </w:tcPr>
          <w:p w14:paraId="6BB4F379" w14:textId="471D0103" w:rsidR="009834D1" w:rsidRPr="009834D1" w:rsidRDefault="009834D1" w:rsidP="009834D1">
            <w:pPr>
              <w:pStyle w:val="TableParagraph"/>
              <w:spacing w:before="60" w:after="60"/>
              <w:ind w:left="-42" w:right="170" w:firstLine="99"/>
              <w:jc w:val="right"/>
              <w:rPr>
                <w:rFonts w:ascii="Segoe UI" w:hAnsi="Segoe UI" w:cs="Segoe UI"/>
                <w:sz w:val="16"/>
                <w:szCs w:val="16"/>
              </w:rPr>
            </w:pPr>
            <w:r w:rsidRPr="009834D1">
              <w:rPr>
                <w:rFonts w:ascii="Segoe UI" w:hAnsi="Segoe UI" w:cs="Segoe UI"/>
                <w:sz w:val="16"/>
                <w:szCs w:val="16"/>
              </w:rPr>
              <w:t>5,018</w:t>
            </w:r>
          </w:p>
        </w:tc>
      </w:tr>
      <w:tr w:rsidR="009834D1" w14:paraId="7AC68DB1" w14:textId="77777777" w:rsidTr="009834D1">
        <w:trPr>
          <w:trHeight w:val="359"/>
        </w:trPr>
        <w:tc>
          <w:tcPr>
            <w:tcW w:w="1276" w:type="dxa"/>
            <w:hideMark/>
          </w:tcPr>
          <w:p w14:paraId="06F6FD87" w14:textId="463B013C" w:rsidR="009834D1" w:rsidRDefault="009834D1" w:rsidP="009834D1">
            <w:pPr>
              <w:pStyle w:val="TableParagraph"/>
              <w:spacing w:before="60" w:after="60"/>
              <w:ind w:left="-42" w:right="170" w:firstLine="99"/>
              <w:jc w:val="right"/>
              <w:rPr>
                <w:rFonts w:ascii="Segoe UI" w:hAnsi="Segoe UI" w:cs="Segoe UI"/>
                <w:sz w:val="16"/>
                <w:szCs w:val="16"/>
              </w:rPr>
            </w:pPr>
            <w:r w:rsidRPr="009834D1">
              <w:rPr>
                <w:rFonts w:ascii="Segoe UI" w:hAnsi="Segoe UI" w:cs="Segoe UI"/>
                <w:sz w:val="16"/>
                <w:szCs w:val="16"/>
              </w:rPr>
              <w:t>20,479</w:t>
            </w:r>
          </w:p>
        </w:tc>
        <w:tc>
          <w:tcPr>
            <w:tcW w:w="3546" w:type="dxa"/>
            <w:hideMark/>
          </w:tcPr>
          <w:p w14:paraId="4C68E395" w14:textId="77777777" w:rsidR="009834D1" w:rsidRDefault="009834D1" w:rsidP="009834D1">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Accrued expenses</w:t>
            </w:r>
          </w:p>
        </w:tc>
        <w:tc>
          <w:tcPr>
            <w:tcW w:w="3308" w:type="dxa"/>
            <w:hideMark/>
          </w:tcPr>
          <w:p w14:paraId="6EEFA62A" w14:textId="64BF0464" w:rsidR="009834D1" w:rsidRPr="009834D1" w:rsidRDefault="009834D1" w:rsidP="009834D1">
            <w:pPr>
              <w:pStyle w:val="TableParagraph"/>
              <w:spacing w:before="60" w:after="60"/>
              <w:ind w:left="-42" w:right="170" w:firstLine="99"/>
              <w:jc w:val="right"/>
              <w:rPr>
                <w:rFonts w:ascii="Segoe UI" w:hAnsi="Segoe UI" w:cs="Segoe UI"/>
                <w:sz w:val="16"/>
                <w:szCs w:val="16"/>
              </w:rPr>
            </w:pPr>
            <w:r w:rsidRPr="009834D1">
              <w:rPr>
                <w:rFonts w:ascii="Segoe UI" w:hAnsi="Segoe UI" w:cs="Segoe UI"/>
                <w:sz w:val="16"/>
                <w:szCs w:val="16"/>
              </w:rPr>
              <w:t>26,242</w:t>
            </w:r>
          </w:p>
        </w:tc>
      </w:tr>
      <w:tr w:rsidR="009834D1" w14:paraId="22310766" w14:textId="77777777" w:rsidTr="009834D1">
        <w:trPr>
          <w:trHeight w:val="348"/>
        </w:trPr>
        <w:tc>
          <w:tcPr>
            <w:tcW w:w="1276" w:type="dxa"/>
            <w:tcBorders>
              <w:top w:val="nil"/>
              <w:left w:val="nil"/>
              <w:bottom w:val="single" w:sz="4" w:space="0" w:color="A6A6A6" w:themeColor="background1" w:themeShade="A6"/>
              <w:right w:val="nil"/>
            </w:tcBorders>
            <w:hideMark/>
          </w:tcPr>
          <w:p w14:paraId="2E36C9FF" w14:textId="233A40F3" w:rsidR="009834D1" w:rsidRDefault="009834D1" w:rsidP="009834D1">
            <w:pPr>
              <w:pStyle w:val="TableParagraph"/>
              <w:spacing w:before="60" w:after="60"/>
              <w:ind w:left="-42" w:right="170" w:firstLine="99"/>
              <w:jc w:val="right"/>
              <w:rPr>
                <w:rFonts w:ascii="Segoe UI" w:hAnsi="Segoe UI" w:cs="Segoe UI"/>
                <w:sz w:val="16"/>
                <w:szCs w:val="16"/>
              </w:rPr>
            </w:pPr>
            <w:r w:rsidRPr="009834D1">
              <w:rPr>
                <w:rFonts w:ascii="Segoe UI" w:hAnsi="Segoe UI" w:cs="Segoe UI"/>
                <w:sz w:val="16"/>
                <w:szCs w:val="16"/>
              </w:rPr>
              <w:t>1,404</w:t>
            </w:r>
          </w:p>
        </w:tc>
        <w:tc>
          <w:tcPr>
            <w:tcW w:w="3546" w:type="dxa"/>
            <w:tcBorders>
              <w:top w:val="nil"/>
              <w:left w:val="nil"/>
              <w:bottom w:val="single" w:sz="4" w:space="0" w:color="A6A6A6" w:themeColor="background1" w:themeShade="A6"/>
              <w:right w:val="nil"/>
            </w:tcBorders>
            <w:hideMark/>
          </w:tcPr>
          <w:p w14:paraId="06EFF782" w14:textId="77777777" w:rsidR="009834D1" w:rsidRDefault="009834D1" w:rsidP="009834D1">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GST payable</w:t>
            </w:r>
          </w:p>
        </w:tc>
        <w:tc>
          <w:tcPr>
            <w:tcW w:w="3308" w:type="dxa"/>
            <w:tcBorders>
              <w:top w:val="nil"/>
              <w:left w:val="nil"/>
              <w:bottom w:val="single" w:sz="4" w:space="0" w:color="A6A6A6" w:themeColor="background1" w:themeShade="A6"/>
              <w:right w:val="nil"/>
            </w:tcBorders>
            <w:hideMark/>
          </w:tcPr>
          <w:p w14:paraId="3EF6EEB9" w14:textId="35042136" w:rsidR="009834D1" w:rsidRPr="009834D1" w:rsidRDefault="009834D1" w:rsidP="009834D1">
            <w:pPr>
              <w:pStyle w:val="TableParagraph"/>
              <w:spacing w:before="60" w:after="60"/>
              <w:ind w:left="-42" w:right="170" w:firstLine="99"/>
              <w:jc w:val="right"/>
              <w:rPr>
                <w:rFonts w:ascii="Segoe UI" w:hAnsi="Segoe UI" w:cs="Segoe UI"/>
                <w:sz w:val="16"/>
                <w:szCs w:val="16"/>
              </w:rPr>
            </w:pPr>
            <w:r w:rsidRPr="009834D1">
              <w:rPr>
                <w:rFonts w:ascii="Segoe UI" w:hAnsi="Segoe UI" w:cs="Segoe UI"/>
                <w:sz w:val="16"/>
                <w:szCs w:val="16"/>
              </w:rPr>
              <w:t>6,979</w:t>
            </w:r>
          </w:p>
        </w:tc>
      </w:tr>
      <w:tr w:rsidR="009834D1" w:rsidRPr="009834D1" w14:paraId="7AAE0360" w14:textId="77777777" w:rsidTr="009834D1">
        <w:trPr>
          <w:trHeight w:val="344"/>
        </w:trPr>
        <w:tc>
          <w:tcPr>
            <w:tcW w:w="1276" w:type="dxa"/>
            <w:tcBorders>
              <w:top w:val="single" w:sz="4" w:space="0" w:color="A6A6A6" w:themeColor="background1" w:themeShade="A6"/>
              <w:left w:val="nil"/>
              <w:bottom w:val="single" w:sz="4" w:space="0" w:color="A6A6A6" w:themeColor="background1" w:themeShade="A6"/>
              <w:right w:val="nil"/>
            </w:tcBorders>
            <w:hideMark/>
          </w:tcPr>
          <w:p w14:paraId="4DF5A5E0" w14:textId="32764DD4" w:rsidR="009834D1" w:rsidRPr="009834D1" w:rsidRDefault="009834D1" w:rsidP="009834D1">
            <w:pPr>
              <w:pStyle w:val="TableParagraph"/>
              <w:spacing w:before="60" w:after="60"/>
              <w:ind w:left="-42" w:right="170" w:firstLine="99"/>
              <w:jc w:val="right"/>
              <w:rPr>
                <w:rFonts w:ascii="Segoe UI" w:hAnsi="Segoe UI" w:cs="Segoe UI"/>
                <w:b/>
                <w:bCs/>
                <w:sz w:val="16"/>
                <w:szCs w:val="16"/>
              </w:rPr>
            </w:pPr>
            <w:r w:rsidRPr="009834D1">
              <w:rPr>
                <w:rFonts w:ascii="Segoe UI" w:hAnsi="Segoe UI" w:cs="Segoe UI"/>
                <w:b/>
                <w:bCs/>
                <w:sz w:val="16"/>
                <w:szCs w:val="16"/>
              </w:rPr>
              <w:t>29,974</w:t>
            </w:r>
          </w:p>
        </w:tc>
        <w:tc>
          <w:tcPr>
            <w:tcW w:w="3546" w:type="dxa"/>
            <w:tcBorders>
              <w:top w:val="single" w:sz="4" w:space="0" w:color="A6A6A6" w:themeColor="background1" w:themeShade="A6"/>
              <w:left w:val="nil"/>
              <w:bottom w:val="single" w:sz="4" w:space="0" w:color="A6A6A6" w:themeColor="background1" w:themeShade="A6"/>
              <w:right w:val="nil"/>
            </w:tcBorders>
            <w:hideMark/>
          </w:tcPr>
          <w:p w14:paraId="63E969B3" w14:textId="77777777" w:rsidR="009834D1" w:rsidRPr="009834D1" w:rsidRDefault="009834D1" w:rsidP="009834D1">
            <w:pPr>
              <w:pStyle w:val="TableParagraph"/>
              <w:spacing w:before="60" w:after="60"/>
              <w:ind w:left="66" w:hanging="5"/>
              <w:rPr>
                <w:rFonts w:ascii="Segoe UI" w:hAnsi="Segoe UI" w:cs="Segoe UI"/>
                <w:b/>
                <w:bCs/>
                <w:w w:val="105"/>
                <w:sz w:val="16"/>
                <w:szCs w:val="16"/>
              </w:rPr>
            </w:pPr>
            <w:r w:rsidRPr="009834D1">
              <w:rPr>
                <w:rFonts w:ascii="Segoe UI" w:hAnsi="Segoe UI" w:cs="Segoe UI"/>
                <w:b/>
                <w:bCs/>
                <w:w w:val="105"/>
                <w:sz w:val="16"/>
                <w:szCs w:val="16"/>
              </w:rPr>
              <w:t>Total payables</w:t>
            </w:r>
          </w:p>
        </w:tc>
        <w:tc>
          <w:tcPr>
            <w:tcW w:w="3308" w:type="dxa"/>
            <w:tcBorders>
              <w:top w:val="single" w:sz="4" w:space="0" w:color="A6A6A6" w:themeColor="background1" w:themeShade="A6"/>
              <w:left w:val="nil"/>
              <w:bottom w:val="single" w:sz="4" w:space="0" w:color="A6A6A6" w:themeColor="background1" w:themeShade="A6"/>
              <w:right w:val="nil"/>
            </w:tcBorders>
            <w:hideMark/>
          </w:tcPr>
          <w:p w14:paraId="0C88E461" w14:textId="5934AF03" w:rsidR="009834D1" w:rsidRPr="009834D1" w:rsidRDefault="009834D1" w:rsidP="009834D1">
            <w:pPr>
              <w:pStyle w:val="TableParagraph"/>
              <w:spacing w:before="60" w:after="60"/>
              <w:ind w:left="-42" w:right="170" w:firstLine="99"/>
              <w:jc w:val="right"/>
              <w:rPr>
                <w:rFonts w:ascii="Segoe UI" w:hAnsi="Segoe UI" w:cs="Segoe UI"/>
                <w:b/>
                <w:bCs/>
                <w:sz w:val="16"/>
                <w:szCs w:val="16"/>
              </w:rPr>
            </w:pPr>
            <w:r w:rsidRPr="009834D1">
              <w:rPr>
                <w:rFonts w:ascii="Segoe UI" w:hAnsi="Segoe UI" w:cs="Segoe UI"/>
                <w:b/>
                <w:bCs/>
                <w:sz w:val="16"/>
                <w:szCs w:val="16"/>
              </w:rPr>
              <w:t>39,766</w:t>
            </w:r>
          </w:p>
        </w:tc>
      </w:tr>
    </w:tbl>
    <w:p w14:paraId="3F15BA51" w14:textId="01A39306" w:rsidR="009834D1" w:rsidRDefault="009834D1" w:rsidP="007123AC">
      <w:pPr>
        <w:pStyle w:val="Heading3"/>
        <w:numPr>
          <w:ilvl w:val="6"/>
          <w:numId w:val="5"/>
        </w:numPr>
        <w:tabs>
          <w:tab w:val="num" w:pos="5040"/>
        </w:tabs>
        <w:ind w:left="709" w:hanging="709"/>
      </w:pPr>
      <w:r w:rsidRPr="009834D1">
        <w:t>Return of operating surplus</w:t>
      </w:r>
    </w:p>
    <w:tbl>
      <w:tblPr>
        <w:tblW w:w="8040" w:type="dxa"/>
        <w:tblLayout w:type="fixed"/>
        <w:tblCellMar>
          <w:left w:w="0" w:type="dxa"/>
          <w:right w:w="0" w:type="dxa"/>
        </w:tblCellMar>
        <w:tblLook w:val="01E0" w:firstRow="1" w:lastRow="1" w:firstColumn="1" w:lastColumn="1" w:noHBand="0" w:noVBand="0"/>
      </w:tblPr>
      <w:tblGrid>
        <w:gridCol w:w="1275"/>
        <w:gridCol w:w="4535"/>
        <w:gridCol w:w="2230"/>
      </w:tblGrid>
      <w:tr w:rsidR="009834D1" w14:paraId="0EC68345" w14:textId="77777777" w:rsidTr="009834D1">
        <w:trPr>
          <w:trHeight w:val="784"/>
        </w:trPr>
        <w:tc>
          <w:tcPr>
            <w:tcW w:w="1275" w:type="dxa"/>
            <w:shd w:val="clear" w:color="auto" w:fill="D9D9D9" w:themeFill="background1" w:themeFillShade="D9"/>
            <w:hideMark/>
          </w:tcPr>
          <w:p w14:paraId="71187033" w14:textId="77777777" w:rsidR="009834D1" w:rsidRDefault="009834D1">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 xml:space="preserve">Actual </w:t>
            </w:r>
          </w:p>
          <w:p w14:paraId="519555A1" w14:textId="2B4225F7" w:rsidR="009834D1" w:rsidRDefault="009834D1">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2023</w:t>
            </w:r>
          </w:p>
          <w:p w14:paraId="6902DA20" w14:textId="77777777" w:rsidR="009834D1" w:rsidRDefault="009834D1">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4535" w:type="dxa"/>
            <w:shd w:val="clear" w:color="auto" w:fill="D9D9D9" w:themeFill="background1" w:themeFillShade="D9"/>
          </w:tcPr>
          <w:p w14:paraId="2D76F942" w14:textId="77777777" w:rsidR="009834D1" w:rsidRDefault="009834D1">
            <w:pPr>
              <w:pStyle w:val="TableParagraph"/>
              <w:rPr>
                <w:rFonts w:ascii="Times New Roman"/>
                <w:b/>
                <w:bCs/>
                <w:sz w:val="18"/>
              </w:rPr>
            </w:pPr>
          </w:p>
        </w:tc>
        <w:tc>
          <w:tcPr>
            <w:tcW w:w="2230" w:type="dxa"/>
            <w:shd w:val="clear" w:color="auto" w:fill="D9D9D9" w:themeFill="background1" w:themeFillShade="D9"/>
            <w:hideMark/>
          </w:tcPr>
          <w:p w14:paraId="48452793" w14:textId="77777777" w:rsidR="009834D1" w:rsidRDefault="009834D1">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 xml:space="preserve">Actual </w:t>
            </w:r>
          </w:p>
          <w:p w14:paraId="200C2100" w14:textId="498A9181" w:rsidR="009834D1" w:rsidRDefault="009834D1">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0C5AB460" w14:textId="77777777" w:rsidR="009834D1" w:rsidRDefault="009834D1">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r>
      <w:tr w:rsidR="009834D1" w14:paraId="089C8517" w14:textId="77777777" w:rsidTr="009834D1">
        <w:trPr>
          <w:trHeight w:val="354"/>
        </w:trPr>
        <w:tc>
          <w:tcPr>
            <w:tcW w:w="1275" w:type="dxa"/>
            <w:hideMark/>
          </w:tcPr>
          <w:p w14:paraId="70A6B0FA" w14:textId="0EE680B4" w:rsidR="009834D1" w:rsidRDefault="009834D1" w:rsidP="009834D1">
            <w:pPr>
              <w:pStyle w:val="TableParagraph"/>
              <w:spacing w:before="60" w:after="60"/>
              <w:ind w:left="-42" w:right="170" w:firstLine="99"/>
              <w:jc w:val="right"/>
              <w:rPr>
                <w:rFonts w:ascii="Segoe UI" w:hAnsi="Segoe UI" w:cs="Segoe UI"/>
                <w:sz w:val="16"/>
                <w:szCs w:val="16"/>
              </w:rPr>
            </w:pPr>
            <w:r w:rsidRPr="009834D1">
              <w:rPr>
                <w:rFonts w:ascii="Segoe UI" w:hAnsi="Segoe UI" w:cs="Segoe UI"/>
                <w:sz w:val="16"/>
                <w:szCs w:val="16"/>
              </w:rPr>
              <w:t>33,155</w:t>
            </w:r>
          </w:p>
        </w:tc>
        <w:tc>
          <w:tcPr>
            <w:tcW w:w="4535" w:type="dxa"/>
            <w:hideMark/>
          </w:tcPr>
          <w:p w14:paraId="45E04887" w14:textId="77777777" w:rsidR="009834D1" w:rsidRDefault="009834D1" w:rsidP="009834D1">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Net surplus/(deficit)</w:t>
            </w:r>
          </w:p>
        </w:tc>
        <w:tc>
          <w:tcPr>
            <w:tcW w:w="2230" w:type="dxa"/>
            <w:hideMark/>
          </w:tcPr>
          <w:p w14:paraId="484B377D" w14:textId="15A02201" w:rsidR="009834D1" w:rsidRPr="009834D1" w:rsidRDefault="009834D1" w:rsidP="009834D1">
            <w:pPr>
              <w:pStyle w:val="TableParagraph"/>
              <w:spacing w:before="60" w:after="60"/>
              <w:ind w:left="-42" w:right="170" w:firstLine="99"/>
              <w:jc w:val="right"/>
              <w:rPr>
                <w:rFonts w:ascii="Segoe UI" w:hAnsi="Segoe UI" w:cs="Segoe UI"/>
                <w:sz w:val="16"/>
                <w:szCs w:val="16"/>
              </w:rPr>
            </w:pPr>
            <w:r w:rsidRPr="009834D1">
              <w:rPr>
                <w:rFonts w:ascii="Segoe UI" w:hAnsi="Segoe UI" w:cs="Segoe UI"/>
                <w:sz w:val="16"/>
                <w:szCs w:val="16"/>
              </w:rPr>
              <w:t>14,862</w:t>
            </w:r>
          </w:p>
        </w:tc>
      </w:tr>
      <w:tr w:rsidR="009834D1" w14:paraId="729278F7" w14:textId="77777777" w:rsidTr="009834D1">
        <w:trPr>
          <w:trHeight w:val="359"/>
        </w:trPr>
        <w:tc>
          <w:tcPr>
            <w:tcW w:w="1275" w:type="dxa"/>
          </w:tcPr>
          <w:p w14:paraId="77AA6C30" w14:textId="77777777" w:rsidR="009834D1" w:rsidRDefault="009834D1" w:rsidP="009834D1">
            <w:pPr>
              <w:pStyle w:val="TableParagraph"/>
              <w:spacing w:before="60" w:after="60"/>
              <w:ind w:left="-42" w:right="170" w:firstLine="99"/>
              <w:jc w:val="right"/>
              <w:rPr>
                <w:rFonts w:ascii="Segoe UI" w:hAnsi="Segoe UI" w:cs="Segoe UI"/>
                <w:sz w:val="16"/>
                <w:szCs w:val="16"/>
              </w:rPr>
            </w:pPr>
          </w:p>
        </w:tc>
        <w:tc>
          <w:tcPr>
            <w:tcW w:w="4535" w:type="dxa"/>
            <w:hideMark/>
          </w:tcPr>
          <w:p w14:paraId="60056D6A" w14:textId="77777777" w:rsidR="009834D1" w:rsidRDefault="009834D1" w:rsidP="009834D1">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Add:</w:t>
            </w:r>
          </w:p>
        </w:tc>
        <w:tc>
          <w:tcPr>
            <w:tcW w:w="2230" w:type="dxa"/>
          </w:tcPr>
          <w:p w14:paraId="4B435EA3" w14:textId="77777777" w:rsidR="009834D1" w:rsidRPr="009834D1" w:rsidRDefault="009834D1" w:rsidP="009834D1">
            <w:pPr>
              <w:pStyle w:val="TableParagraph"/>
              <w:spacing w:before="60" w:after="60"/>
              <w:ind w:left="-42" w:right="170" w:firstLine="99"/>
              <w:jc w:val="right"/>
              <w:rPr>
                <w:rFonts w:ascii="Segoe UI" w:hAnsi="Segoe UI" w:cs="Segoe UI"/>
                <w:sz w:val="16"/>
                <w:szCs w:val="16"/>
              </w:rPr>
            </w:pPr>
          </w:p>
        </w:tc>
      </w:tr>
      <w:tr w:rsidR="009834D1" w14:paraId="18AF0690" w14:textId="77777777" w:rsidTr="009834D1">
        <w:trPr>
          <w:trHeight w:val="359"/>
        </w:trPr>
        <w:tc>
          <w:tcPr>
            <w:tcW w:w="1275" w:type="dxa"/>
            <w:hideMark/>
          </w:tcPr>
          <w:p w14:paraId="78378F31" w14:textId="3BD66F9B" w:rsidR="009834D1" w:rsidRDefault="009834D1" w:rsidP="009834D1">
            <w:pPr>
              <w:pStyle w:val="TableParagraph"/>
              <w:spacing w:before="60" w:after="60"/>
              <w:ind w:left="-42" w:right="170" w:firstLine="99"/>
              <w:jc w:val="right"/>
              <w:rPr>
                <w:rFonts w:ascii="Segoe UI" w:hAnsi="Segoe UI" w:cs="Segoe UI"/>
                <w:sz w:val="16"/>
                <w:szCs w:val="16"/>
              </w:rPr>
            </w:pPr>
            <w:r w:rsidRPr="009834D1">
              <w:rPr>
                <w:rFonts w:ascii="Segoe UI" w:hAnsi="Segoe UI" w:cs="Segoe UI"/>
                <w:sz w:val="16"/>
                <w:szCs w:val="16"/>
              </w:rPr>
              <w:t>974</w:t>
            </w:r>
          </w:p>
        </w:tc>
        <w:tc>
          <w:tcPr>
            <w:tcW w:w="4535" w:type="dxa"/>
            <w:hideMark/>
          </w:tcPr>
          <w:p w14:paraId="067D478F" w14:textId="77777777" w:rsidR="009834D1" w:rsidRDefault="009834D1" w:rsidP="009834D1">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(Surplus)/deficit of memorandum accounts</w:t>
            </w:r>
          </w:p>
        </w:tc>
        <w:tc>
          <w:tcPr>
            <w:tcW w:w="2230" w:type="dxa"/>
            <w:hideMark/>
          </w:tcPr>
          <w:p w14:paraId="0F2EFD10" w14:textId="67D45CEF" w:rsidR="009834D1" w:rsidRPr="009834D1" w:rsidRDefault="009834D1" w:rsidP="009834D1">
            <w:pPr>
              <w:pStyle w:val="TableParagraph"/>
              <w:spacing w:before="60" w:after="60"/>
              <w:ind w:left="-42" w:right="170" w:firstLine="99"/>
              <w:jc w:val="right"/>
              <w:rPr>
                <w:rFonts w:ascii="Segoe UI" w:hAnsi="Segoe UI" w:cs="Segoe UI"/>
                <w:sz w:val="16"/>
                <w:szCs w:val="16"/>
              </w:rPr>
            </w:pPr>
            <w:r w:rsidRPr="009834D1">
              <w:rPr>
                <w:rFonts w:ascii="Segoe UI" w:hAnsi="Segoe UI" w:cs="Segoe UI"/>
                <w:sz w:val="16"/>
                <w:szCs w:val="16"/>
              </w:rPr>
              <w:t>481</w:t>
            </w:r>
          </w:p>
        </w:tc>
      </w:tr>
      <w:tr w:rsidR="009834D1" w14:paraId="0930E726" w14:textId="77777777" w:rsidTr="009834D1">
        <w:trPr>
          <w:trHeight w:val="348"/>
        </w:trPr>
        <w:tc>
          <w:tcPr>
            <w:tcW w:w="1275" w:type="dxa"/>
            <w:tcBorders>
              <w:top w:val="nil"/>
              <w:left w:val="nil"/>
              <w:bottom w:val="single" w:sz="4" w:space="0" w:color="A6A6A6" w:themeColor="background1" w:themeShade="A6"/>
              <w:right w:val="nil"/>
            </w:tcBorders>
            <w:hideMark/>
          </w:tcPr>
          <w:p w14:paraId="0D9B7B30" w14:textId="6CEC2031" w:rsidR="009834D1" w:rsidRDefault="009834D1" w:rsidP="009834D1">
            <w:pPr>
              <w:pStyle w:val="TableParagraph"/>
              <w:spacing w:before="60" w:after="60"/>
              <w:ind w:left="-42" w:right="170" w:firstLine="99"/>
              <w:jc w:val="right"/>
              <w:rPr>
                <w:rFonts w:ascii="Segoe UI" w:hAnsi="Segoe UI" w:cs="Segoe UI"/>
                <w:sz w:val="16"/>
                <w:szCs w:val="16"/>
              </w:rPr>
            </w:pPr>
            <w:r w:rsidRPr="009834D1">
              <w:rPr>
                <w:rFonts w:ascii="Segoe UI" w:hAnsi="Segoe UI" w:cs="Segoe UI"/>
                <w:sz w:val="16"/>
                <w:szCs w:val="16"/>
              </w:rPr>
              <w:t>34,129</w:t>
            </w:r>
          </w:p>
        </w:tc>
        <w:tc>
          <w:tcPr>
            <w:tcW w:w="4535" w:type="dxa"/>
            <w:tcBorders>
              <w:top w:val="nil"/>
              <w:left w:val="nil"/>
              <w:bottom w:val="single" w:sz="4" w:space="0" w:color="A6A6A6" w:themeColor="background1" w:themeShade="A6"/>
              <w:right w:val="nil"/>
            </w:tcBorders>
            <w:hideMark/>
          </w:tcPr>
          <w:p w14:paraId="20D18EBF" w14:textId="77777777" w:rsidR="009834D1" w:rsidRDefault="009834D1" w:rsidP="009834D1">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Total operating surplus/(deficit)</w:t>
            </w:r>
          </w:p>
        </w:tc>
        <w:tc>
          <w:tcPr>
            <w:tcW w:w="2230" w:type="dxa"/>
            <w:tcBorders>
              <w:top w:val="nil"/>
              <w:left w:val="nil"/>
              <w:bottom w:val="single" w:sz="4" w:space="0" w:color="A6A6A6" w:themeColor="background1" w:themeShade="A6"/>
              <w:right w:val="nil"/>
            </w:tcBorders>
            <w:hideMark/>
          </w:tcPr>
          <w:p w14:paraId="225DF29B" w14:textId="2736C3BE" w:rsidR="009834D1" w:rsidRPr="009834D1" w:rsidRDefault="009834D1" w:rsidP="009834D1">
            <w:pPr>
              <w:pStyle w:val="TableParagraph"/>
              <w:spacing w:before="60" w:after="60"/>
              <w:ind w:left="-42" w:right="170" w:firstLine="99"/>
              <w:jc w:val="right"/>
              <w:rPr>
                <w:rFonts w:ascii="Segoe UI" w:hAnsi="Segoe UI" w:cs="Segoe UI"/>
                <w:sz w:val="16"/>
                <w:szCs w:val="16"/>
              </w:rPr>
            </w:pPr>
            <w:r w:rsidRPr="009834D1">
              <w:rPr>
                <w:rFonts w:ascii="Segoe UI" w:hAnsi="Segoe UI" w:cs="Segoe UI"/>
                <w:sz w:val="16"/>
                <w:szCs w:val="16"/>
              </w:rPr>
              <w:t>15,343</w:t>
            </w:r>
          </w:p>
        </w:tc>
      </w:tr>
      <w:tr w:rsidR="009834D1" w:rsidRPr="009834D1" w14:paraId="4C72CF70" w14:textId="77777777" w:rsidTr="009834D1">
        <w:trPr>
          <w:trHeight w:val="344"/>
        </w:trPr>
        <w:tc>
          <w:tcPr>
            <w:tcW w:w="1275" w:type="dxa"/>
            <w:tcBorders>
              <w:top w:val="single" w:sz="4" w:space="0" w:color="A6A6A6" w:themeColor="background1" w:themeShade="A6"/>
              <w:left w:val="nil"/>
              <w:bottom w:val="single" w:sz="4" w:space="0" w:color="A6A6A6" w:themeColor="background1" w:themeShade="A6"/>
              <w:right w:val="nil"/>
            </w:tcBorders>
            <w:hideMark/>
          </w:tcPr>
          <w:p w14:paraId="3420512E" w14:textId="2DD40391" w:rsidR="009834D1" w:rsidRPr="009834D1" w:rsidRDefault="009834D1" w:rsidP="009834D1">
            <w:pPr>
              <w:pStyle w:val="TableParagraph"/>
              <w:spacing w:before="60" w:after="60"/>
              <w:ind w:left="-42" w:right="170" w:firstLine="99"/>
              <w:jc w:val="right"/>
              <w:rPr>
                <w:rFonts w:ascii="Segoe UI" w:hAnsi="Segoe UI" w:cs="Segoe UI"/>
                <w:b/>
                <w:bCs/>
                <w:sz w:val="16"/>
                <w:szCs w:val="16"/>
              </w:rPr>
            </w:pPr>
            <w:r w:rsidRPr="009834D1">
              <w:rPr>
                <w:rFonts w:ascii="Segoe UI" w:hAnsi="Segoe UI" w:cs="Segoe UI"/>
                <w:b/>
                <w:bCs/>
                <w:sz w:val="16"/>
                <w:szCs w:val="16"/>
              </w:rPr>
              <w:t>34,129</w:t>
            </w:r>
          </w:p>
        </w:tc>
        <w:tc>
          <w:tcPr>
            <w:tcW w:w="4535" w:type="dxa"/>
            <w:tcBorders>
              <w:top w:val="single" w:sz="4" w:space="0" w:color="A6A6A6" w:themeColor="background1" w:themeShade="A6"/>
              <w:left w:val="nil"/>
              <w:bottom w:val="single" w:sz="4" w:space="0" w:color="A6A6A6" w:themeColor="background1" w:themeShade="A6"/>
              <w:right w:val="nil"/>
            </w:tcBorders>
            <w:hideMark/>
          </w:tcPr>
          <w:p w14:paraId="56D72A46" w14:textId="77777777" w:rsidR="009834D1" w:rsidRPr="009834D1" w:rsidRDefault="009834D1" w:rsidP="009834D1">
            <w:pPr>
              <w:pStyle w:val="TableParagraph"/>
              <w:spacing w:before="60" w:after="60"/>
              <w:ind w:left="66" w:hanging="5"/>
              <w:rPr>
                <w:rFonts w:ascii="Segoe UI" w:hAnsi="Segoe UI" w:cs="Segoe UI"/>
                <w:b/>
                <w:bCs/>
                <w:w w:val="105"/>
                <w:sz w:val="16"/>
                <w:szCs w:val="16"/>
              </w:rPr>
            </w:pPr>
            <w:r w:rsidRPr="009834D1">
              <w:rPr>
                <w:rFonts w:ascii="Segoe UI" w:hAnsi="Segoe UI" w:cs="Segoe UI"/>
                <w:b/>
                <w:bCs/>
                <w:w w:val="105"/>
                <w:sz w:val="16"/>
                <w:szCs w:val="16"/>
              </w:rPr>
              <w:t>Total return of operating surplus</w:t>
            </w:r>
          </w:p>
        </w:tc>
        <w:tc>
          <w:tcPr>
            <w:tcW w:w="2230" w:type="dxa"/>
            <w:tcBorders>
              <w:top w:val="single" w:sz="4" w:space="0" w:color="A6A6A6" w:themeColor="background1" w:themeShade="A6"/>
              <w:left w:val="nil"/>
              <w:bottom w:val="single" w:sz="4" w:space="0" w:color="A6A6A6" w:themeColor="background1" w:themeShade="A6"/>
              <w:right w:val="nil"/>
            </w:tcBorders>
            <w:hideMark/>
          </w:tcPr>
          <w:p w14:paraId="177DB419" w14:textId="4C1445D7" w:rsidR="009834D1" w:rsidRPr="009834D1" w:rsidRDefault="009834D1" w:rsidP="009834D1">
            <w:pPr>
              <w:pStyle w:val="TableParagraph"/>
              <w:spacing w:before="60" w:after="60"/>
              <w:ind w:left="-42" w:right="170" w:firstLine="99"/>
              <w:jc w:val="right"/>
              <w:rPr>
                <w:rFonts w:ascii="Segoe UI" w:hAnsi="Segoe UI" w:cs="Segoe UI"/>
                <w:b/>
                <w:bCs/>
                <w:sz w:val="16"/>
                <w:szCs w:val="16"/>
              </w:rPr>
            </w:pPr>
            <w:r w:rsidRPr="009834D1">
              <w:rPr>
                <w:rFonts w:ascii="Segoe UI" w:hAnsi="Segoe UI" w:cs="Segoe UI"/>
                <w:b/>
                <w:bCs/>
                <w:sz w:val="16"/>
                <w:szCs w:val="16"/>
              </w:rPr>
              <w:t>15,343</w:t>
            </w:r>
          </w:p>
        </w:tc>
      </w:tr>
    </w:tbl>
    <w:p w14:paraId="7B4C07FF" w14:textId="77777777" w:rsidR="009834D1" w:rsidRPr="009834D1" w:rsidRDefault="009834D1" w:rsidP="009834D1"/>
    <w:p w14:paraId="4C61CF66" w14:textId="77777777" w:rsidR="009834D1" w:rsidRDefault="009834D1" w:rsidP="009834D1">
      <w:r w:rsidRPr="009834D1">
        <w:t>The return of operating surplus to the Crown is required to be paid by 31 October of each year.</w:t>
      </w:r>
    </w:p>
    <w:p w14:paraId="50E74BAE" w14:textId="012A2C45" w:rsidR="009834D1" w:rsidRDefault="009834D1" w:rsidP="007123AC">
      <w:pPr>
        <w:pStyle w:val="Heading3"/>
        <w:numPr>
          <w:ilvl w:val="6"/>
          <w:numId w:val="5"/>
        </w:numPr>
        <w:tabs>
          <w:tab w:val="num" w:pos="5040"/>
        </w:tabs>
        <w:ind w:left="709" w:hanging="709"/>
      </w:pPr>
      <w:r>
        <w:t>Provisions</w:t>
      </w:r>
    </w:p>
    <w:p w14:paraId="774186E7" w14:textId="77777777" w:rsidR="009834D1" w:rsidRDefault="009834D1" w:rsidP="009834D1">
      <w:pPr>
        <w:pStyle w:val="Heading4"/>
      </w:pPr>
      <w:r>
        <w:t>Accounting policy</w:t>
      </w:r>
      <w:r>
        <w:tab/>
      </w:r>
    </w:p>
    <w:p w14:paraId="544F2A07" w14:textId="4E42E46A" w:rsidR="009834D1" w:rsidRDefault="009834D1" w:rsidP="009834D1">
      <w:r>
        <w:t>A provision is recognised for future expenditure of an uncertain</w:t>
      </w:r>
    </w:p>
    <w:p w14:paraId="7C0C23E2" w14:textId="77777777" w:rsidR="009834D1" w:rsidRDefault="009834D1" w:rsidP="009834D1">
      <w:r>
        <w:t>amount or timing when:</w:t>
      </w:r>
    </w:p>
    <w:p w14:paraId="78C99108" w14:textId="089F7988" w:rsidR="009834D1" w:rsidRDefault="009834D1" w:rsidP="009834D1">
      <w:pPr>
        <w:pStyle w:val="Bullet"/>
      </w:pPr>
      <w:r>
        <w:t xml:space="preserve">there is a present obligation (either legal or constructive) as a result of a past </w:t>
      </w:r>
      <w:proofErr w:type="gramStart"/>
      <w:r>
        <w:t>event</w:t>
      </w:r>
      <w:proofErr w:type="gramEnd"/>
    </w:p>
    <w:p w14:paraId="67CDCA87" w14:textId="2A64F5DE" w:rsidR="009834D1" w:rsidRDefault="009834D1" w:rsidP="009834D1">
      <w:pPr>
        <w:pStyle w:val="Bullet"/>
      </w:pPr>
      <w:r>
        <w:t xml:space="preserve">it is probable that an outflow of resources embodying economic benefits or service potential will be required to settle the </w:t>
      </w:r>
      <w:proofErr w:type="gramStart"/>
      <w:r>
        <w:t>obligation</w:t>
      </w:r>
      <w:proofErr w:type="gramEnd"/>
    </w:p>
    <w:p w14:paraId="5CDF892A" w14:textId="6C88DD79" w:rsidR="009834D1" w:rsidRDefault="009834D1" w:rsidP="009834D1">
      <w:pPr>
        <w:pStyle w:val="Bullet"/>
      </w:pPr>
      <w:r>
        <w:t>a reliable estimate can be made of the amount of the obligation.</w:t>
      </w:r>
    </w:p>
    <w:p w14:paraId="384C69D1" w14:textId="77777777" w:rsidR="009834D1" w:rsidRDefault="009834D1" w:rsidP="009834D1"/>
    <w:p w14:paraId="069DEE39" w14:textId="66844DFE" w:rsidR="009834D1" w:rsidRDefault="009834D1" w:rsidP="009834D1">
      <w:r>
        <w:t>Provisions are not recognised for net deficits from future operating activities.</w:t>
      </w:r>
    </w:p>
    <w:p w14:paraId="7CB0E5A8" w14:textId="77777777" w:rsidR="009834D1" w:rsidRDefault="009834D1" w:rsidP="009834D1"/>
    <w:p w14:paraId="7D6057EC" w14:textId="77777777" w:rsidR="009834D1" w:rsidRDefault="009834D1" w:rsidP="009834D1">
      <w:r>
        <w:lastRenderedPageBreak/>
        <w:t>Provisions are measured at the present value of the expenditure expected to be required to settle the obligation using a pre-tax discount rate that reflects current market assessments of the time value of money and the risks specific to the obligation. Provisions to be settled beyond 12 months are recorded at their present value.</w:t>
      </w:r>
    </w:p>
    <w:p w14:paraId="3C148EE0" w14:textId="77777777" w:rsidR="009834D1" w:rsidRDefault="009834D1" w:rsidP="009834D1">
      <w:pPr>
        <w:pStyle w:val="Heading5"/>
      </w:pPr>
      <w:r w:rsidRPr="009834D1">
        <w:t>Breakdown of provisions and further information.</w:t>
      </w:r>
    </w:p>
    <w:tbl>
      <w:tblPr>
        <w:tblW w:w="8040" w:type="dxa"/>
        <w:tblInd w:w="7" w:type="dxa"/>
        <w:tblLayout w:type="fixed"/>
        <w:tblCellMar>
          <w:left w:w="0" w:type="dxa"/>
          <w:right w:w="0" w:type="dxa"/>
        </w:tblCellMar>
        <w:tblLook w:val="01E0" w:firstRow="1" w:lastRow="1" w:firstColumn="1" w:lastColumn="1" w:noHBand="0" w:noVBand="0"/>
      </w:tblPr>
      <w:tblGrid>
        <w:gridCol w:w="1276"/>
        <w:gridCol w:w="4109"/>
        <w:gridCol w:w="2655"/>
      </w:tblGrid>
      <w:tr w:rsidR="009834D1" w14:paraId="1A606EFE" w14:textId="77777777" w:rsidTr="009834D1">
        <w:trPr>
          <w:trHeight w:val="784"/>
        </w:trPr>
        <w:tc>
          <w:tcPr>
            <w:tcW w:w="1276" w:type="dxa"/>
            <w:shd w:val="clear" w:color="auto" w:fill="D9D9D9" w:themeFill="background1" w:themeFillShade="D9"/>
            <w:hideMark/>
          </w:tcPr>
          <w:p w14:paraId="63ED1BB7" w14:textId="77777777" w:rsidR="009834D1" w:rsidRDefault="009834D1">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 xml:space="preserve">Actual </w:t>
            </w:r>
          </w:p>
          <w:p w14:paraId="1A4D2D73" w14:textId="71D6A26A" w:rsidR="009834D1" w:rsidRDefault="009834D1">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2023</w:t>
            </w:r>
          </w:p>
          <w:p w14:paraId="1DD552D2" w14:textId="77777777" w:rsidR="009834D1" w:rsidRDefault="009834D1">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4109" w:type="dxa"/>
            <w:shd w:val="clear" w:color="auto" w:fill="D9D9D9" w:themeFill="background1" w:themeFillShade="D9"/>
          </w:tcPr>
          <w:p w14:paraId="1BD7050D" w14:textId="77777777" w:rsidR="009834D1" w:rsidRDefault="009834D1">
            <w:pPr>
              <w:pStyle w:val="TableParagraph"/>
              <w:rPr>
                <w:rFonts w:ascii="Times New Roman"/>
                <w:b/>
                <w:bCs/>
                <w:sz w:val="18"/>
              </w:rPr>
            </w:pPr>
          </w:p>
        </w:tc>
        <w:tc>
          <w:tcPr>
            <w:tcW w:w="2655" w:type="dxa"/>
            <w:shd w:val="clear" w:color="auto" w:fill="D9D9D9" w:themeFill="background1" w:themeFillShade="D9"/>
            <w:hideMark/>
          </w:tcPr>
          <w:p w14:paraId="22E9977F" w14:textId="77777777" w:rsidR="009834D1" w:rsidRDefault="009834D1">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 xml:space="preserve">Actual </w:t>
            </w:r>
          </w:p>
          <w:p w14:paraId="76659975" w14:textId="730C66F7" w:rsidR="009834D1" w:rsidRDefault="009834D1">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32BD11CB" w14:textId="77777777" w:rsidR="009834D1" w:rsidRDefault="009834D1">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r>
      <w:tr w:rsidR="009834D1" w:rsidRPr="009834D1" w14:paraId="66C3DEFC" w14:textId="77777777" w:rsidTr="009834D1">
        <w:trPr>
          <w:trHeight w:val="354"/>
        </w:trPr>
        <w:tc>
          <w:tcPr>
            <w:tcW w:w="1276" w:type="dxa"/>
          </w:tcPr>
          <w:p w14:paraId="008EBC60" w14:textId="77777777" w:rsidR="009834D1" w:rsidRPr="009834D1" w:rsidRDefault="009834D1" w:rsidP="009834D1">
            <w:pPr>
              <w:pStyle w:val="TableParagraph"/>
              <w:spacing w:before="60" w:after="60"/>
              <w:ind w:left="-42" w:right="170" w:firstLine="99"/>
              <w:jc w:val="right"/>
              <w:rPr>
                <w:rFonts w:ascii="Segoe UI" w:hAnsi="Segoe UI" w:cs="Segoe UI"/>
                <w:b/>
                <w:bCs/>
                <w:sz w:val="16"/>
                <w:szCs w:val="16"/>
              </w:rPr>
            </w:pPr>
          </w:p>
        </w:tc>
        <w:tc>
          <w:tcPr>
            <w:tcW w:w="4109" w:type="dxa"/>
            <w:hideMark/>
          </w:tcPr>
          <w:p w14:paraId="7EDD67E4" w14:textId="7116290F" w:rsidR="009834D1" w:rsidRPr="009834D1" w:rsidRDefault="009834D1" w:rsidP="009834D1">
            <w:pPr>
              <w:pStyle w:val="TableParagraph"/>
              <w:spacing w:before="60" w:after="60"/>
              <w:ind w:left="66" w:hanging="5"/>
              <w:rPr>
                <w:rFonts w:ascii="Segoe UI" w:hAnsi="Segoe UI" w:cs="Segoe UI"/>
                <w:b/>
                <w:bCs/>
                <w:w w:val="105"/>
                <w:sz w:val="16"/>
                <w:szCs w:val="16"/>
              </w:rPr>
            </w:pPr>
            <w:r w:rsidRPr="009834D1">
              <w:rPr>
                <w:rFonts w:ascii="Segoe UI" w:hAnsi="Segoe UI" w:cs="Segoe UI"/>
                <w:b/>
                <w:bCs/>
                <w:w w:val="105"/>
                <w:sz w:val="16"/>
                <w:szCs w:val="16"/>
              </w:rPr>
              <w:t>Current portion</w:t>
            </w:r>
          </w:p>
        </w:tc>
        <w:tc>
          <w:tcPr>
            <w:tcW w:w="2655" w:type="dxa"/>
          </w:tcPr>
          <w:p w14:paraId="0EE79ECD" w14:textId="77777777" w:rsidR="009834D1" w:rsidRPr="009834D1" w:rsidRDefault="009834D1" w:rsidP="009834D1">
            <w:pPr>
              <w:pStyle w:val="TableParagraph"/>
              <w:spacing w:before="60" w:after="60"/>
              <w:ind w:left="-42" w:right="170" w:firstLine="99"/>
              <w:jc w:val="right"/>
              <w:rPr>
                <w:rFonts w:ascii="Segoe UI" w:hAnsi="Segoe UI" w:cs="Segoe UI"/>
                <w:b/>
                <w:bCs/>
                <w:sz w:val="16"/>
                <w:szCs w:val="16"/>
              </w:rPr>
            </w:pPr>
          </w:p>
        </w:tc>
      </w:tr>
      <w:tr w:rsidR="009834D1" w14:paraId="50DDF45E" w14:textId="77777777" w:rsidTr="009834D1">
        <w:trPr>
          <w:trHeight w:val="359"/>
        </w:trPr>
        <w:tc>
          <w:tcPr>
            <w:tcW w:w="1276" w:type="dxa"/>
            <w:hideMark/>
          </w:tcPr>
          <w:p w14:paraId="034E5273" w14:textId="2477387D" w:rsidR="009834D1" w:rsidRDefault="009834D1" w:rsidP="009834D1">
            <w:pPr>
              <w:pStyle w:val="TableParagraph"/>
              <w:spacing w:before="60" w:after="60"/>
              <w:ind w:left="-42" w:right="170" w:firstLine="99"/>
              <w:jc w:val="right"/>
              <w:rPr>
                <w:rFonts w:ascii="Segoe UI" w:hAnsi="Segoe UI" w:cs="Segoe UI"/>
                <w:sz w:val="16"/>
                <w:szCs w:val="16"/>
              </w:rPr>
            </w:pPr>
            <w:r w:rsidRPr="009834D1">
              <w:rPr>
                <w:rFonts w:ascii="Segoe UI" w:hAnsi="Segoe UI" w:cs="Segoe UI"/>
                <w:sz w:val="16"/>
                <w:szCs w:val="16"/>
              </w:rPr>
              <w:t>–</w:t>
            </w:r>
          </w:p>
        </w:tc>
        <w:tc>
          <w:tcPr>
            <w:tcW w:w="4109" w:type="dxa"/>
            <w:hideMark/>
          </w:tcPr>
          <w:p w14:paraId="6EBDC4A4" w14:textId="70EB8A08" w:rsidR="009834D1" w:rsidRDefault="009834D1" w:rsidP="009834D1">
            <w:pPr>
              <w:pStyle w:val="TableParagraph"/>
              <w:spacing w:before="60" w:after="60"/>
              <w:ind w:left="66" w:hanging="5"/>
              <w:rPr>
                <w:rFonts w:ascii="Segoe UI" w:hAnsi="Segoe UI" w:cs="Segoe UI"/>
                <w:w w:val="105"/>
                <w:sz w:val="16"/>
                <w:szCs w:val="16"/>
              </w:rPr>
            </w:pPr>
            <w:r w:rsidRPr="009834D1">
              <w:rPr>
                <w:rFonts w:ascii="Segoe UI" w:hAnsi="Segoe UI" w:cs="Segoe UI"/>
                <w:w w:val="105"/>
                <w:sz w:val="16"/>
                <w:szCs w:val="16"/>
              </w:rPr>
              <w:t>Restructuring</w:t>
            </w:r>
          </w:p>
        </w:tc>
        <w:tc>
          <w:tcPr>
            <w:tcW w:w="2655" w:type="dxa"/>
            <w:hideMark/>
          </w:tcPr>
          <w:p w14:paraId="012DB0A2" w14:textId="31F046AC" w:rsidR="009834D1" w:rsidRPr="009834D1" w:rsidRDefault="009834D1" w:rsidP="009834D1">
            <w:pPr>
              <w:pStyle w:val="TableParagraph"/>
              <w:spacing w:before="60" w:after="60"/>
              <w:ind w:left="-42" w:right="170" w:firstLine="99"/>
              <w:jc w:val="right"/>
              <w:rPr>
                <w:rFonts w:ascii="Segoe UI" w:hAnsi="Segoe UI" w:cs="Segoe UI"/>
                <w:sz w:val="16"/>
                <w:szCs w:val="16"/>
              </w:rPr>
            </w:pPr>
            <w:r w:rsidRPr="009834D1">
              <w:rPr>
                <w:rFonts w:ascii="Segoe UI" w:hAnsi="Segoe UI" w:cs="Segoe UI"/>
                <w:sz w:val="16"/>
                <w:szCs w:val="16"/>
              </w:rPr>
              <w:t>5,768</w:t>
            </w:r>
          </w:p>
        </w:tc>
      </w:tr>
      <w:tr w:rsidR="009834D1" w14:paraId="238E6DFF" w14:textId="77777777" w:rsidTr="009834D1">
        <w:trPr>
          <w:trHeight w:val="359"/>
        </w:trPr>
        <w:tc>
          <w:tcPr>
            <w:tcW w:w="1276" w:type="dxa"/>
            <w:hideMark/>
          </w:tcPr>
          <w:p w14:paraId="6DF498DB" w14:textId="101FAA46" w:rsidR="009834D1" w:rsidRDefault="009834D1" w:rsidP="009834D1">
            <w:pPr>
              <w:pStyle w:val="TableParagraph"/>
              <w:spacing w:before="60" w:after="60"/>
              <w:ind w:left="-42" w:right="170" w:firstLine="99"/>
              <w:jc w:val="right"/>
              <w:rPr>
                <w:rFonts w:ascii="Segoe UI" w:hAnsi="Segoe UI" w:cs="Segoe UI"/>
                <w:sz w:val="16"/>
                <w:szCs w:val="16"/>
              </w:rPr>
            </w:pPr>
            <w:r w:rsidRPr="009834D1">
              <w:rPr>
                <w:rFonts w:ascii="Segoe UI" w:hAnsi="Segoe UI" w:cs="Segoe UI"/>
                <w:sz w:val="16"/>
                <w:szCs w:val="16"/>
              </w:rPr>
              <w:t>–</w:t>
            </w:r>
          </w:p>
        </w:tc>
        <w:tc>
          <w:tcPr>
            <w:tcW w:w="4109" w:type="dxa"/>
            <w:hideMark/>
          </w:tcPr>
          <w:p w14:paraId="5B9905A3" w14:textId="0AA91272" w:rsidR="009834D1" w:rsidRDefault="009834D1" w:rsidP="009834D1">
            <w:pPr>
              <w:pStyle w:val="TableParagraph"/>
              <w:spacing w:before="60" w:after="60"/>
              <w:ind w:left="66" w:hanging="5"/>
              <w:rPr>
                <w:rFonts w:ascii="Segoe UI" w:hAnsi="Segoe UI" w:cs="Segoe UI"/>
                <w:w w:val="105"/>
                <w:sz w:val="16"/>
                <w:szCs w:val="16"/>
              </w:rPr>
            </w:pPr>
            <w:r w:rsidRPr="009834D1">
              <w:rPr>
                <w:rFonts w:ascii="Segoe UI" w:hAnsi="Segoe UI" w:cs="Segoe UI"/>
                <w:w w:val="105"/>
                <w:sz w:val="16"/>
                <w:szCs w:val="16"/>
              </w:rPr>
              <w:t>Demolition and remediation of 108 Victoria Street</w:t>
            </w:r>
          </w:p>
        </w:tc>
        <w:tc>
          <w:tcPr>
            <w:tcW w:w="2655" w:type="dxa"/>
            <w:hideMark/>
          </w:tcPr>
          <w:p w14:paraId="187A36A1" w14:textId="049895F6" w:rsidR="009834D1" w:rsidRPr="009834D1" w:rsidRDefault="009834D1" w:rsidP="009834D1">
            <w:pPr>
              <w:pStyle w:val="TableParagraph"/>
              <w:spacing w:before="60" w:after="60"/>
              <w:ind w:left="-42" w:right="170" w:firstLine="99"/>
              <w:jc w:val="right"/>
              <w:rPr>
                <w:rFonts w:ascii="Segoe UI" w:hAnsi="Segoe UI" w:cs="Segoe UI"/>
                <w:sz w:val="16"/>
                <w:szCs w:val="16"/>
              </w:rPr>
            </w:pPr>
            <w:r w:rsidRPr="009834D1">
              <w:rPr>
                <w:rFonts w:ascii="Segoe UI" w:hAnsi="Segoe UI" w:cs="Segoe UI"/>
                <w:sz w:val="16"/>
                <w:szCs w:val="16"/>
              </w:rPr>
              <w:t>3,028</w:t>
            </w:r>
          </w:p>
        </w:tc>
      </w:tr>
      <w:tr w:rsidR="009834D1" w:rsidRPr="00F44A53" w14:paraId="5A99F0A1" w14:textId="77777777" w:rsidTr="009834D1">
        <w:trPr>
          <w:trHeight w:val="344"/>
        </w:trPr>
        <w:tc>
          <w:tcPr>
            <w:tcW w:w="1276" w:type="dxa"/>
            <w:tcBorders>
              <w:top w:val="single" w:sz="4" w:space="0" w:color="A6A6A6" w:themeColor="background1" w:themeShade="A6"/>
              <w:left w:val="nil"/>
              <w:bottom w:val="single" w:sz="4" w:space="0" w:color="A6A6A6" w:themeColor="background1" w:themeShade="A6"/>
              <w:right w:val="nil"/>
            </w:tcBorders>
            <w:hideMark/>
          </w:tcPr>
          <w:p w14:paraId="13A5E081" w14:textId="46001E96" w:rsidR="009834D1" w:rsidRPr="00F44A53" w:rsidRDefault="009834D1" w:rsidP="009834D1">
            <w:pPr>
              <w:pStyle w:val="TableParagraph"/>
              <w:spacing w:before="60" w:after="60"/>
              <w:ind w:left="-42" w:right="170" w:firstLine="99"/>
              <w:jc w:val="right"/>
              <w:rPr>
                <w:rFonts w:ascii="Segoe UI" w:hAnsi="Segoe UI" w:cs="Segoe UI"/>
                <w:b/>
                <w:bCs/>
                <w:sz w:val="16"/>
                <w:szCs w:val="16"/>
              </w:rPr>
            </w:pPr>
            <w:r w:rsidRPr="00F44A53">
              <w:rPr>
                <w:rFonts w:ascii="Segoe UI" w:hAnsi="Segoe UI" w:cs="Segoe UI"/>
                <w:b/>
                <w:bCs/>
                <w:sz w:val="16"/>
                <w:szCs w:val="16"/>
              </w:rPr>
              <w:t>–</w:t>
            </w:r>
          </w:p>
        </w:tc>
        <w:tc>
          <w:tcPr>
            <w:tcW w:w="4109" w:type="dxa"/>
            <w:tcBorders>
              <w:top w:val="single" w:sz="4" w:space="0" w:color="A6A6A6" w:themeColor="background1" w:themeShade="A6"/>
              <w:left w:val="nil"/>
              <w:bottom w:val="single" w:sz="4" w:space="0" w:color="A6A6A6" w:themeColor="background1" w:themeShade="A6"/>
              <w:right w:val="nil"/>
            </w:tcBorders>
            <w:hideMark/>
          </w:tcPr>
          <w:p w14:paraId="5DA27B38" w14:textId="7F9FE7A9" w:rsidR="009834D1" w:rsidRPr="00F44A53" w:rsidRDefault="009834D1" w:rsidP="009834D1">
            <w:pPr>
              <w:pStyle w:val="TableParagraph"/>
              <w:spacing w:before="60" w:after="60"/>
              <w:ind w:left="66" w:hanging="5"/>
              <w:rPr>
                <w:rFonts w:ascii="Segoe UI" w:hAnsi="Segoe UI" w:cs="Segoe UI"/>
                <w:b/>
                <w:bCs/>
                <w:w w:val="105"/>
                <w:sz w:val="16"/>
                <w:szCs w:val="16"/>
              </w:rPr>
            </w:pPr>
            <w:r w:rsidRPr="00F44A53">
              <w:rPr>
                <w:rFonts w:ascii="Segoe UI" w:hAnsi="Segoe UI" w:cs="Segoe UI"/>
                <w:b/>
                <w:bCs/>
                <w:w w:val="105"/>
                <w:sz w:val="16"/>
                <w:szCs w:val="16"/>
              </w:rPr>
              <w:t>Total current portion</w:t>
            </w:r>
          </w:p>
        </w:tc>
        <w:tc>
          <w:tcPr>
            <w:tcW w:w="2655" w:type="dxa"/>
            <w:tcBorders>
              <w:top w:val="single" w:sz="4" w:space="0" w:color="A6A6A6" w:themeColor="background1" w:themeShade="A6"/>
              <w:left w:val="nil"/>
              <w:bottom w:val="single" w:sz="4" w:space="0" w:color="A6A6A6" w:themeColor="background1" w:themeShade="A6"/>
              <w:right w:val="nil"/>
            </w:tcBorders>
            <w:hideMark/>
          </w:tcPr>
          <w:p w14:paraId="3D5E02B0" w14:textId="44765BFA" w:rsidR="009834D1" w:rsidRPr="00F44A53" w:rsidRDefault="009834D1" w:rsidP="009834D1">
            <w:pPr>
              <w:pStyle w:val="TableParagraph"/>
              <w:spacing w:before="60" w:after="60"/>
              <w:ind w:left="-42" w:right="170" w:firstLine="99"/>
              <w:jc w:val="right"/>
              <w:rPr>
                <w:rFonts w:ascii="Segoe UI" w:hAnsi="Segoe UI" w:cs="Segoe UI"/>
                <w:b/>
                <w:bCs/>
                <w:sz w:val="16"/>
                <w:szCs w:val="16"/>
              </w:rPr>
            </w:pPr>
            <w:r w:rsidRPr="00F44A53">
              <w:rPr>
                <w:rFonts w:ascii="Segoe UI" w:hAnsi="Segoe UI" w:cs="Segoe UI"/>
                <w:b/>
                <w:bCs/>
                <w:sz w:val="16"/>
                <w:szCs w:val="16"/>
              </w:rPr>
              <w:t>8,796</w:t>
            </w:r>
          </w:p>
        </w:tc>
      </w:tr>
    </w:tbl>
    <w:p w14:paraId="39E105AF" w14:textId="23A10DD1" w:rsidR="009834D1" w:rsidRDefault="009834D1" w:rsidP="009834D1">
      <w:pPr>
        <w:pStyle w:val="Heading5"/>
      </w:pPr>
      <w:r w:rsidRPr="009834D1">
        <w:t>Movements for each class of provision are as follows.</w:t>
      </w:r>
    </w:p>
    <w:tbl>
      <w:tblPr>
        <w:tblW w:w="8073" w:type="dxa"/>
        <w:tblInd w:w="7" w:type="dxa"/>
        <w:tblLayout w:type="fixed"/>
        <w:tblCellMar>
          <w:left w:w="0" w:type="dxa"/>
          <w:right w:w="0" w:type="dxa"/>
        </w:tblCellMar>
        <w:tblLook w:val="01E0" w:firstRow="1" w:lastRow="1" w:firstColumn="1" w:lastColumn="1" w:noHBand="0" w:noVBand="0"/>
      </w:tblPr>
      <w:tblGrid>
        <w:gridCol w:w="2261"/>
        <w:gridCol w:w="1937"/>
        <w:gridCol w:w="1937"/>
        <w:gridCol w:w="1938"/>
      </w:tblGrid>
      <w:tr w:rsidR="009834D1" w14:paraId="65BFE88E" w14:textId="77777777" w:rsidTr="009834D1">
        <w:trPr>
          <w:trHeight w:val="784"/>
        </w:trPr>
        <w:tc>
          <w:tcPr>
            <w:tcW w:w="2261" w:type="dxa"/>
            <w:shd w:val="clear" w:color="auto" w:fill="D9D9D9" w:themeFill="background1" w:themeFillShade="D9"/>
          </w:tcPr>
          <w:p w14:paraId="474A34C1" w14:textId="77777777" w:rsidR="009834D1" w:rsidRDefault="009834D1" w:rsidP="002C5722">
            <w:pPr>
              <w:pStyle w:val="TableParagraph"/>
              <w:rPr>
                <w:rFonts w:ascii="Times New Roman"/>
                <w:b/>
                <w:bCs/>
                <w:sz w:val="18"/>
              </w:rPr>
            </w:pPr>
          </w:p>
        </w:tc>
        <w:tc>
          <w:tcPr>
            <w:tcW w:w="1937" w:type="dxa"/>
            <w:shd w:val="clear" w:color="auto" w:fill="D9D9D9" w:themeFill="background1" w:themeFillShade="D9"/>
          </w:tcPr>
          <w:p w14:paraId="03E20A12" w14:textId="77777777" w:rsidR="009834D1" w:rsidRDefault="009834D1" w:rsidP="002C5722">
            <w:pPr>
              <w:pStyle w:val="TableParagraph"/>
              <w:spacing w:before="60" w:after="60"/>
              <w:ind w:left="-42" w:right="152" w:firstLine="99"/>
              <w:jc w:val="right"/>
              <w:rPr>
                <w:rFonts w:ascii="Segoe UI" w:hAnsi="Segoe UI" w:cs="Segoe UI"/>
                <w:b/>
                <w:bCs/>
                <w:w w:val="110"/>
                <w:sz w:val="16"/>
                <w:szCs w:val="16"/>
              </w:rPr>
            </w:pPr>
            <w:r w:rsidRPr="009834D1">
              <w:rPr>
                <w:rFonts w:ascii="Segoe UI" w:hAnsi="Segoe UI" w:cs="Segoe UI"/>
                <w:b/>
                <w:bCs/>
                <w:w w:val="110"/>
                <w:sz w:val="16"/>
                <w:szCs w:val="16"/>
              </w:rPr>
              <w:t>Restructuring</w:t>
            </w:r>
            <w:r>
              <w:rPr>
                <w:rFonts w:ascii="Segoe UI" w:hAnsi="Segoe UI" w:cs="Segoe UI"/>
                <w:b/>
                <w:bCs/>
                <w:w w:val="110"/>
                <w:sz w:val="16"/>
                <w:szCs w:val="16"/>
              </w:rPr>
              <w:br/>
            </w:r>
            <w:r>
              <w:rPr>
                <w:rFonts w:ascii="Segoe UI" w:hAnsi="Segoe UI" w:cs="Segoe UI"/>
                <w:b/>
                <w:bCs/>
                <w:w w:val="110"/>
                <w:sz w:val="16"/>
                <w:szCs w:val="16"/>
              </w:rPr>
              <w:br/>
            </w:r>
          </w:p>
          <w:p w14:paraId="6455A5C1" w14:textId="11A91940" w:rsidR="009834D1" w:rsidRDefault="009834D1" w:rsidP="002C5722">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937" w:type="dxa"/>
            <w:shd w:val="clear" w:color="auto" w:fill="D9D9D9" w:themeFill="background1" w:themeFillShade="D9"/>
          </w:tcPr>
          <w:p w14:paraId="5B1B116D" w14:textId="1F3A7562" w:rsidR="009834D1" w:rsidRDefault="009834D1" w:rsidP="002C5722">
            <w:pPr>
              <w:pStyle w:val="TableParagraph"/>
              <w:spacing w:before="60" w:after="60"/>
              <w:ind w:left="-42" w:right="152" w:firstLine="99"/>
              <w:jc w:val="right"/>
              <w:rPr>
                <w:rFonts w:ascii="Segoe UI" w:hAnsi="Segoe UI" w:cs="Segoe UI"/>
                <w:b/>
                <w:bCs/>
                <w:w w:val="110"/>
                <w:sz w:val="16"/>
                <w:szCs w:val="16"/>
              </w:rPr>
            </w:pPr>
            <w:r w:rsidRPr="009834D1">
              <w:rPr>
                <w:rFonts w:ascii="Segoe UI" w:hAnsi="Segoe UI" w:cs="Segoe UI"/>
                <w:b/>
                <w:bCs/>
                <w:w w:val="110"/>
                <w:sz w:val="16"/>
                <w:szCs w:val="16"/>
              </w:rPr>
              <w:t xml:space="preserve">Demolition and remediation of </w:t>
            </w:r>
            <w:r>
              <w:rPr>
                <w:rFonts w:ascii="Segoe UI" w:hAnsi="Segoe UI" w:cs="Segoe UI"/>
                <w:b/>
                <w:bCs/>
                <w:w w:val="110"/>
                <w:sz w:val="16"/>
                <w:szCs w:val="16"/>
              </w:rPr>
              <w:br/>
            </w:r>
            <w:r w:rsidRPr="009834D1">
              <w:rPr>
                <w:rFonts w:ascii="Segoe UI" w:hAnsi="Segoe UI" w:cs="Segoe UI"/>
                <w:b/>
                <w:bCs/>
                <w:w w:val="110"/>
                <w:sz w:val="16"/>
                <w:szCs w:val="16"/>
              </w:rPr>
              <w:t>108 Victoria Street</w:t>
            </w:r>
          </w:p>
          <w:p w14:paraId="66979B1B" w14:textId="38786368" w:rsidR="009834D1" w:rsidRDefault="009834D1" w:rsidP="002C5722">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938" w:type="dxa"/>
            <w:shd w:val="clear" w:color="auto" w:fill="D9D9D9" w:themeFill="background1" w:themeFillShade="D9"/>
            <w:hideMark/>
          </w:tcPr>
          <w:p w14:paraId="05A34AF1" w14:textId="77777777" w:rsidR="009834D1" w:rsidRDefault="009834D1" w:rsidP="009834D1">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Total</w:t>
            </w:r>
            <w:r>
              <w:rPr>
                <w:rFonts w:ascii="Segoe UI" w:hAnsi="Segoe UI" w:cs="Segoe UI"/>
                <w:b/>
                <w:bCs/>
                <w:w w:val="110"/>
                <w:sz w:val="16"/>
                <w:szCs w:val="16"/>
              </w:rPr>
              <w:br/>
            </w:r>
            <w:r>
              <w:rPr>
                <w:rFonts w:ascii="Segoe UI" w:hAnsi="Segoe UI" w:cs="Segoe UI"/>
                <w:b/>
                <w:bCs/>
                <w:w w:val="110"/>
                <w:sz w:val="16"/>
                <w:szCs w:val="16"/>
              </w:rPr>
              <w:br/>
            </w:r>
          </w:p>
          <w:p w14:paraId="6F7B3C29" w14:textId="647EBC2A" w:rsidR="009834D1" w:rsidRDefault="009834D1" w:rsidP="009834D1">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r>
      <w:tr w:rsidR="009834D1" w:rsidRPr="009834D1" w14:paraId="03559B40" w14:textId="77777777" w:rsidTr="009834D1">
        <w:trPr>
          <w:trHeight w:val="354"/>
        </w:trPr>
        <w:tc>
          <w:tcPr>
            <w:tcW w:w="2261" w:type="dxa"/>
            <w:hideMark/>
          </w:tcPr>
          <w:p w14:paraId="31D706D7" w14:textId="12FACF12" w:rsidR="009834D1" w:rsidRPr="009834D1" w:rsidRDefault="009834D1" w:rsidP="009834D1">
            <w:pPr>
              <w:pStyle w:val="TableParagraph"/>
              <w:spacing w:before="60" w:after="60"/>
              <w:ind w:left="66" w:hanging="5"/>
              <w:rPr>
                <w:rFonts w:ascii="Segoe UI" w:hAnsi="Segoe UI" w:cs="Segoe UI"/>
                <w:b/>
                <w:bCs/>
                <w:w w:val="105"/>
                <w:sz w:val="16"/>
                <w:szCs w:val="16"/>
              </w:rPr>
            </w:pPr>
            <w:r w:rsidRPr="009834D1">
              <w:rPr>
                <w:rFonts w:ascii="Segoe UI" w:hAnsi="Segoe UI" w:cs="Segoe UI"/>
                <w:b/>
                <w:bCs/>
                <w:w w:val="105"/>
                <w:sz w:val="16"/>
                <w:szCs w:val="16"/>
              </w:rPr>
              <w:t>Cost</w:t>
            </w:r>
          </w:p>
        </w:tc>
        <w:tc>
          <w:tcPr>
            <w:tcW w:w="1937" w:type="dxa"/>
          </w:tcPr>
          <w:p w14:paraId="4E79C8F6" w14:textId="77777777" w:rsidR="009834D1" w:rsidRPr="009834D1" w:rsidRDefault="009834D1" w:rsidP="009834D1">
            <w:pPr>
              <w:pStyle w:val="TableParagraph"/>
              <w:spacing w:before="60" w:after="60"/>
              <w:ind w:left="-42" w:right="170" w:firstLine="99"/>
              <w:jc w:val="right"/>
              <w:rPr>
                <w:rFonts w:ascii="Segoe UI" w:hAnsi="Segoe UI" w:cs="Segoe UI"/>
                <w:b/>
                <w:bCs/>
                <w:sz w:val="16"/>
                <w:szCs w:val="16"/>
              </w:rPr>
            </w:pPr>
          </w:p>
        </w:tc>
        <w:tc>
          <w:tcPr>
            <w:tcW w:w="1937" w:type="dxa"/>
          </w:tcPr>
          <w:p w14:paraId="1761950F" w14:textId="44C4D706" w:rsidR="009834D1" w:rsidRPr="009834D1" w:rsidRDefault="009834D1" w:rsidP="009834D1">
            <w:pPr>
              <w:pStyle w:val="TableParagraph"/>
              <w:spacing w:before="60" w:after="60"/>
              <w:ind w:left="-42" w:right="170" w:firstLine="99"/>
              <w:jc w:val="right"/>
              <w:rPr>
                <w:rFonts w:ascii="Segoe UI" w:hAnsi="Segoe UI" w:cs="Segoe UI"/>
                <w:b/>
                <w:bCs/>
                <w:sz w:val="16"/>
                <w:szCs w:val="16"/>
              </w:rPr>
            </w:pPr>
          </w:p>
        </w:tc>
        <w:tc>
          <w:tcPr>
            <w:tcW w:w="1938" w:type="dxa"/>
          </w:tcPr>
          <w:p w14:paraId="212E2BDE" w14:textId="61265A43" w:rsidR="009834D1" w:rsidRPr="009834D1" w:rsidRDefault="009834D1" w:rsidP="009834D1">
            <w:pPr>
              <w:pStyle w:val="TableParagraph"/>
              <w:spacing w:before="60" w:after="60"/>
              <w:ind w:left="-42" w:right="170" w:firstLine="99"/>
              <w:jc w:val="right"/>
              <w:rPr>
                <w:rFonts w:ascii="Segoe UI" w:hAnsi="Segoe UI" w:cs="Segoe UI"/>
                <w:b/>
                <w:bCs/>
                <w:sz w:val="16"/>
                <w:szCs w:val="16"/>
              </w:rPr>
            </w:pPr>
          </w:p>
        </w:tc>
      </w:tr>
      <w:tr w:rsidR="009834D1" w14:paraId="2990D51F" w14:textId="77777777" w:rsidTr="009834D1">
        <w:trPr>
          <w:trHeight w:val="359"/>
        </w:trPr>
        <w:tc>
          <w:tcPr>
            <w:tcW w:w="2261" w:type="dxa"/>
            <w:hideMark/>
          </w:tcPr>
          <w:p w14:paraId="369B94FC" w14:textId="3CD39141" w:rsidR="009834D1" w:rsidRDefault="009834D1" w:rsidP="009834D1">
            <w:pPr>
              <w:pStyle w:val="TableParagraph"/>
              <w:spacing w:before="60" w:after="60"/>
              <w:ind w:left="66" w:hanging="5"/>
              <w:rPr>
                <w:rFonts w:ascii="Segoe UI" w:hAnsi="Segoe UI" w:cs="Segoe UI"/>
                <w:w w:val="105"/>
                <w:sz w:val="16"/>
                <w:szCs w:val="16"/>
              </w:rPr>
            </w:pPr>
            <w:r w:rsidRPr="009834D1">
              <w:rPr>
                <w:rFonts w:ascii="Segoe UI" w:hAnsi="Segoe UI" w:cs="Segoe UI"/>
                <w:w w:val="105"/>
                <w:sz w:val="16"/>
                <w:szCs w:val="16"/>
              </w:rPr>
              <w:t xml:space="preserve">Balance as </w:t>
            </w:r>
            <w:proofErr w:type="gramStart"/>
            <w:r w:rsidRPr="009834D1">
              <w:rPr>
                <w:rFonts w:ascii="Segoe UI" w:hAnsi="Segoe UI" w:cs="Segoe UI"/>
                <w:w w:val="105"/>
                <w:sz w:val="16"/>
                <w:szCs w:val="16"/>
              </w:rPr>
              <w:t>at</w:t>
            </w:r>
            <w:proofErr w:type="gramEnd"/>
            <w:r w:rsidRPr="009834D1">
              <w:rPr>
                <w:rFonts w:ascii="Segoe UI" w:hAnsi="Segoe UI" w:cs="Segoe UI"/>
                <w:w w:val="105"/>
                <w:sz w:val="16"/>
                <w:szCs w:val="16"/>
              </w:rPr>
              <w:t xml:space="preserve"> 1 July 2023</w:t>
            </w:r>
          </w:p>
        </w:tc>
        <w:tc>
          <w:tcPr>
            <w:tcW w:w="1937" w:type="dxa"/>
          </w:tcPr>
          <w:p w14:paraId="1BA58527" w14:textId="56FF6213" w:rsidR="009834D1" w:rsidRPr="009834D1" w:rsidRDefault="009834D1" w:rsidP="009834D1">
            <w:pPr>
              <w:pStyle w:val="TableParagraph"/>
              <w:spacing w:before="60" w:after="60"/>
              <w:ind w:left="-42" w:right="170" w:firstLine="99"/>
              <w:jc w:val="right"/>
              <w:rPr>
                <w:rFonts w:ascii="Segoe UI" w:hAnsi="Segoe UI" w:cs="Segoe UI"/>
                <w:sz w:val="16"/>
                <w:szCs w:val="16"/>
              </w:rPr>
            </w:pPr>
            <w:r w:rsidRPr="009834D1">
              <w:rPr>
                <w:rFonts w:ascii="Segoe UI" w:hAnsi="Segoe UI" w:cs="Segoe UI"/>
                <w:sz w:val="16"/>
                <w:szCs w:val="16"/>
              </w:rPr>
              <w:t>–</w:t>
            </w:r>
          </w:p>
        </w:tc>
        <w:tc>
          <w:tcPr>
            <w:tcW w:w="1937" w:type="dxa"/>
          </w:tcPr>
          <w:p w14:paraId="398538A2" w14:textId="1E625390" w:rsidR="009834D1" w:rsidRPr="009834D1" w:rsidRDefault="009834D1" w:rsidP="009834D1">
            <w:pPr>
              <w:pStyle w:val="TableParagraph"/>
              <w:spacing w:before="60" w:after="60"/>
              <w:ind w:left="-42" w:right="170" w:firstLine="99"/>
              <w:jc w:val="right"/>
              <w:rPr>
                <w:rFonts w:ascii="Segoe UI" w:hAnsi="Segoe UI" w:cs="Segoe UI"/>
                <w:sz w:val="16"/>
                <w:szCs w:val="16"/>
              </w:rPr>
            </w:pPr>
            <w:r w:rsidRPr="009834D1">
              <w:rPr>
                <w:rFonts w:ascii="Segoe UI" w:hAnsi="Segoe UI" w:cs="Segoe UI"/>
                <w:sz w:val="16"/>
                <w:szCs w:val="16"/>
              </w:rPr>
              <w:t>–</w:t>
            </w:r>
          </w:p>
        </w:tc>
        <w:tc>
          <w:tcPr>
            <w:tcW w:w="1938" w:type="dxa"/>
            <w:hideMark/>
          </w:tcPr>
          <w:p w14:paraId="09AF6A62" w14:textId="6E74B81A" w:rsidR="009834D1" w:rsidRPr="009834D1" w:rsidRDefault="009834D1" w:rsidP="009834D1">
            <w:pPr>
              <w:pStyle w:val="TableParagraph"/>
              <w:spacing w:before="60" w:after="60"/>
              <w:ind w:left="-42" w:right="170" w:firstLine="99"/>
              <w:jc w:val="right"/>
              <w:rPr>
                <w:rFonts w:ascii="Segoe UI" w:hAnsi="Segoe UI" w:cs="Segoe UI"/>
                <w:sz w:val="16"/>
                <w:szCs w:val="16"/>
              </w:rPr>
            </w:pPr>
            <w:r w:rsidRPr="009834D1">
              <w:rPr>
                <w:rFonts w:ascii="Segoe UI" w:hAnsi="Segoe UI" w:cs="Segoe UI"/>
                <w:sz w:val="16"/>
                <w:szCs w:val="16"/>
              </w:rPr>
              <w:t>–</w:t>
            </w:r>
          </w:p>
        </w:tc>
      </w:tr>
      <w:tr w:rsidR="009834D1" w14:paraId="64772E81" w14:textId="77777777" w:rsidTr="009834D1">
        <w:trPr>
          <w:trHeight w:val="359"/>
        </w:trPr>
        <w:tc>
          <w:tcPr>
            <w:tcW w:w="2261" w:type="dxa"/>
            <w:hideMark/>
          </w:tcPr>
          <w:p w14:paraId="7F0E12DD" w14:textId="6DCD5FFE" w:rsidR="009834D1" w:rsidRDefault="009834D1" w:rsidP="009834D1">
            <w:pPr>
              <w:pStyle w:val="TableParagraph"/>
              <w:spacing w:before="60" w:after="60"/>
              <w:ind w:left="66" w:hanging="5"/>
              <w:rPr>
                <w:rFonts w:ascii="Segoe UI" w:hAnsi="Segoe UI" w:cs="Segoe UI"/>
                <w:w w:val="105"/>
                <w:sz w:val="16"/>
                <w:szCs w:val="16"/>
              </w:rPr>
            </w:pPr>
            <w:r w:rsidRPr="009834D1">
              <w:rPr>
                <w:rFonts w:ascii="Segoe UI" w:hAnsi="Segoe UI" w:cs="Segoe UI"/>
                <w:w w:val="105"/>
                <w:sz w:val="16"/>
                <w:szCs w:val="16"/>
              </w:rPr>
              <w:t>Additional provisions made</w:t>
            </w:r>
          </w:p>
        </w:tc>
        <w:tc>
          <w:tcPr>
            <w:tcW w:w="1937" w:type="dxa"/>
          </w:tcPr>
          <w:p w14:paraId="56A460DA" w14:textId="0EC7ADC4" w:rsidR="009834D1" w:rsidRPr="009834D1" w:rsidRDefault="009834D1" w:rsidP="009834D1">
            <w:pPr>
              <w:pStyle w:val="TableParagraph"/>
              <w:spacing w:before="60" w:after="60"/>
              <w:ind w:left="-42" w:right="170" w:firstLine="99"/>
              <w:jc w:val="right"/>
              <w:rPr>
                <w:rFonts w:ascii="Segoe UI" w:hAnsi="Segoe UI" w:cs="Segoe UI"/>
                <w:sz w:val="16"/>
                <w:szCs w:val="16"/>
              </w:rPr>
            </w:pPr>
            <w:r w:rsidRPr="009834D1">
              <w:rPr>
                <w:rFonts w:ascii="Segoe UI" w:hAnsi="Segoe UI" w:cs="Segoe UI"/>
                <w:sz w:val="16"/>
                <w:szCs w:val="16"/>
              </w:rPr>
              <w:t>5,768</w:t>
            </w:r>
          </w:p>
        </w:tc>
        <w:tc>
          <w:tcPr>
            <w:tcW w:w="1937" w:type="dxa"/>
          </w:tcPr>
          <w:p w14:paraId="43BFCDB8" w14:textId="1D61F679" w:rsidR="009834D1" w:rsidRPr="009834D1" w:rsidRDefault="009834D1" w:rsidP="009834D1">
            <w:pPr>
              <w:pStyle w:val="TableParagraph"/>
              <w:spacing w:before="60" w:after="60"/>
              <w:ind w:left="-42" w:right="170" w:firstLine="99"/>
              <w:jc w:val="right"/>
              <w:rPr>
                <w:rFonts w:ascii="Segoe UI" w:hAnsi="Segoe UI" w:cs="Segoe UI"/>
                <w:sz w:val="16"/>
                <w:szCs w:val="16"/>
              </w:rPr>
            </w:pPr>
            <w:r w:rsidRPr="009834D1">
              <w:rPr>
                <w:rFonts w:ascii="Segoe UI" w:hAnsi="Segoe UI" w:cs="Segoe UI"/>
                <w:sz w:val="16"/>
                <w:szCs w:val="16"/>
              </w:rPr>
              <w:t>3,028</w:t>
            </w:r>
          </w:p>
        </w:tc>
        <w:tc>
          <w:tcPr>
            <w:tcW w:w="1938" w:type="dxa"/>
            <w:hideMark/>
          </w:tcPr>
          <w:p w14:paraId="59F699CD" w14:textId="77239EBE" w:rsidR="009834D1" w:rsidRPr="009834D1" w:rsidRDefault="009834D1" w:rsidP="009834D1">
            <w:pPr>
              <w:pStyle w:val="TableParagraph"/>
              <w:spacing w:before="60" w:after="60"/>
              <w:ind w:left="-42" w:right="170" w:firstLine="99"/>
              <w:jc w:val="right"/>
              <w:rPr>
                <w:rFonts w:ascii="Segoe UI" w:hAnsi="Segoe UI" w:cs="Segoe UI"/>
                <w:sz w:val="16"/>
                <w:szCs w:val="16"/>
              </w:rPr>
            </w:pPr>
            <w:r w:rsidRPr="009834D1">
              <w:rPr>
                <w:rFonts w:ascii="Segoe UI" w:hAnsi="Segoe UI" w:cs="Segoe UI"/>
                <w:sz w:val="16"/>
                <w:szCs w:val="16"/>
              </w:rPr>
              <w:t>8,796</w:t>
            </w:r>
          </w:p>
        </w:tc>
      </w:tr>
      <w:tr w:rsidR="009834D1" w:rsidRPr="009834D1" w14:paraId="24BD5A70" w14:textId="77777777" w:rsidTr="009834D1">
        <w:trPr>
          <w:trHeight w:val="344"/>
        </w:trPr>
        <w:tc>
          <w:tcPr>
            <w:tcW w:w="2261" w:type="dxa"/>
            <w:tcBorders>
              <w:top w:val="single" w:sz="4" w:space="0" w:color="A6A6A6" w:themeColor="background1" w:themeShade="A6"/>
              <w:left w:val="nil"/>
              <w:bottom w:val="single" w:sz="4" w:space="0" w:color="A6A6A6" w:themeColor="background1" w:themeShade="A6"/>
              <w:right w:val="nil"/>
            </w:tcBorders>
            <w:hideMark/>
          </w:tcPr>
          <w:p w14:paraId="6E803030" w14:textId="47DE9C19" w:rsidR="009834D1" w:rsidRPr="009834D1" w:rsidRDefault="009834D1" w:rsidP="009834D1">
            <w:pPr>
              <w:pStyle w:val="TableParagraph"/>
              <w:spacing w:before="60" w:after="60"/>
              <w:ind w:left="66" w:hanging="5"/>
              <w:rPr>
                <w:rFonts w:ascii="Segoe UI" w:hAnsi="Segoe UI" w:cs="Segoe UI"/>
                <w:b/>
                <w:bCs/>
                <w:w w:val="105"/>
                <w:sz w:val="16"/>
                <w:szCs w:val="16"/>
              </w:rPr>
            </w:pPr>
            <w:r w:rsidRPr="009834D1">
              <w:rPr>
                <w:rFonts w:ascii="Segoe UI" w:hAnsi="Segoe UI" w:cs="Segoe UI"/>
                <w:b/>
                <w:bCs/>
                <w:w w:val="105"/>
                <w:sz w:val="16"/>
                <w:szCs w:val="16"/>
              </w:rPr>
              <w:t xml:space="preserve">Balance as </w:t>
            </w:r>
            <w:proofErr w:type="gramStart"/>
            <w:r w:rsidRPr="009834D1">
              <w:rPr>
                <w:rFonts w:ascii="Segoe UI" w:hAnsi="Segoe UI" w:cs="Segoe UI"/>
                <w:b/>
                <w:bCs/>
                <w:w w:val="105"/>
                <w:sz w:val="16"/>
                <w:szCs w:val="16"/>
              </w:rPr>
              <w:t>at</w:t>
            </w:r>
            <w:proofErr w:type="gramEnd"/>
            <w:r w:rsidRPr="009834D1">
              <w:rPr>
                <w:rFonts w:ascii="Segoe UI" w:hAnsi="Segoe UI" w:cs="Segoe UI"/>
                <w:b/>
                <w:bCs/>
                <w:w w:val="105"/>
                <w:sz w:val="16"/>
                <w:szCs w:val="16"/>
              </w:rPr>
              <w:t xml:space="preserve"> 30 June 2024</w:t>
            </w:r>
          </w:p>
        </w:tc>
        <w:tc>
          <w:tcPr>
            <w:tcW w:w="1937" w:type="dxa"/>
            <w:tcBorders>
              <w:top w:val="single" w:sz="4" w:space="0" w:color="A6A6A6" w:themeColor="background1" w:themeShade="A6"/>
              <w:left w:val="nil"/>
              <w:bottom w:val="single" w:sz="4" w:space="0" w:color="A6A6A6" w:themeColor="background1" w:themeShade="A6"/>
              <w:right w:val="nil"/>
            </w:tcBorders>
          </w:tcPr>
          <w:p w14:paraId="3EBD9683" w14:textId="2C8DE333" w:rsidR="009834D1" w:rsidRPr="009834D1" w:rsidRDefault="009834D1" w:rsidP="009834D1">
            <w:pPr>
              <w:pStyle w:val="TableParagraph"/>
              <w:spacing w:before="60" w:after="60"/>
              <w:ind w:left="-42" w:right="170" w:firstLine="99"/>
              <w:jc w:val="right"/>
              <w:rPr>
                <w:rFonts w:ascii="Segoe UI" w:hAnsi="Segoe UI" w:cs="Segoe UI"/>
                <w:b/>
                <w:bCs/>
                <w:sz w:val="16"/>
                <w:szCs w:val="16"/>
              </w:rPr>
            </w:pPr>
            <w:r w:rsidRPr="009834D1">
              <w:rPr>
                <w:rFonts w:ascii="Segoe UI" w:hAnsi="Segoe UI" w:cs="Segoe UI"/>
                <w:b/>
                <w:bCs/>
                <w:sz w:val="16"/>
                <w:szCs w:val="16"/>
              </w:rPr>
              <w:t>5,768</w:t>
            </w:r>
          </w:p>
        </w:tc>
        <w:tc>
          <w:tcPr>
            <w:tcW w:w="1937" w:type="dxa"/>
            <w:tcBorders>
              <w:top w:val="single" w:sz="4" w:space="0" w:color="A6A6A6" w:themeColor="background1" w:themeShade="A6"/>
              <w:left w:val="nil"/>
              <w:bottom w:val="single" w:sz="4" w:space="0" w:color="A6A6A6" w:themeColor="background1" w:themeShade="A6"/>
              <w:right w:val="nil"/>
            </w:tcBorders>
          </w:tcPr>
          <w:p w14:paraId="360ED06C" w14:textId="5A51DEE3" w:rsidR="009834D1" w:rsidRPr="009834D1" w:rsidRDefault="009834D1" w:rsidP="009834D1">
            <w:pPr>
              <w:pStyle w:val="TableParagraph"/>
              <w:spacing w:before="60" w:after="60"/>
              <w:ind w:left="-42" w:right="170" w:firstLine="99"/>
              <w:jc w:val="right"/>
              <w:rPr>
                <w:rFonts w:ascii="Segoe UI" w:hAnsi="Segoe UI" w:cs="Segoe UI"/>
                <w:b/>
                <w:bCs/>
                <w:sz w:val="16"/>
                <w:szCs w:val="16"/>
              </w:rPr>
            </w:pPr>
            <w:r w:rsidRPr="009834D1">
              <w:rPr>
                <w:rFonts w:ascii="Segoe UI" w:hAnsi="Segoe UI" w:cs="Segoe UI"/>
                <w:b/>
                <w:bCs/>
                <w:sz w:val="16"/>
                <w:szCs w:val="16"/>
              </w:rPr>
              <w:t>3,028</w:t>
            </w:r>
          </w:p>
        </w:tc>
        <w:tc>
          <w:tcPr>
            <w:tcW w:w="1938" w:type="dxa"/>
            <w:tcBorders>
              <w:top w:val="single" w:sz="4" w:space="0" w:color="A6A6A6" w:themeColor="background1" w:themeShade="A6"/>
              <w:left w:val="nil"/>
              <w:bottom w:val="single" w:sz="4" w:space="0" w:color="A6A6A6" w:themeColor="background1" w:themeShade="A6"/>
              <w:right w:val="nil"/>
            </w:tcBorders>
            <w:hideMark/>
          </w:tcPr>
          <w:p w14:paraId="46C593A1" w14:textId="6EF2827A" w:rsidR="009834D1" w:rsidRPr="009834D1" w:rsidRDefault="009834D1" w:rsidP="009834D1">
            <w:pPr>
              <w:pStyle w:val="TableParagraph"/>
              <w:spacing w:before="60" w:after="60"/>
              <w:ind w:left="-42" w:right="170" w:firstLine="99"/>
              <w:jc w:val="right"/>
              <w:rPr>
                <w:rFonts w:ascii="Segoe UI" w:hAnsi="Segoe UI" w:cs="Segoe UI"/>
                <w:b/>
                <w:bCs/>
                <w:sz w:val="16"/>
                <w:szCs w:val="16"/>
              </w:rPr>
            </w:pPr>
            <w:r w:rsidRPr="009834D1">
              <w:rPr>
                <w:rFonts w:ascii="Segoe UI" w:hAnsi="Segoe UI" w:cs="Segoe UI"/>
                <w:b/>
                <w:bCs/>
                <w:sz w:val="16"/>
                <w:szCs w:val="16"/>
              </w:rPr>
              <w:t>8,796</w:t>
            </w:r>
          </w:p>
        </w:tc>
      </w:tr>
    </w:tbl>
    <w:p w14:paraId="747748EA" w14:textId="77777777" w:rsidR="009834D1" w:rsidRDefault="002C5722" w:rsidP="002C5722">
      <w:pPr>
        <w:pStyle w:val="Heading4"/>
      </w:pPr>
      <w:r w:rsidRPr="002C5722">
        <w:t>Restructuring provision</w:t>
      </w:r>
    </w:p>
    <w:p w14:paraId="43606C65" w14:textId="465B289F" w:rsidR="002C5722" w:rsidRDefault="002C5722" w:rsidP="002C5722">
      <w:r>
        <w:t>A provision for restructuring is recognised when an approved detailed formal plan for the restructuring has been announced publicly to those affected or implementation has already begun.</w:t>
      </w:r>
    </w:p>
    <w:p w14:paraId="32323394" w14:textId="77777777" w:rsidR="002C5722" w:rsidRDefault="002C5722" w:rsidP="002C5722"/>
    <w:p w14:paraId="2F4C29BE" w14:textId="77777777" w:rsidR="002C5722" w:rsidRDefault="002C5722" w:rsidP="002C5722">
      <w:r>
        <w:t>The restructuring provision arose as a result of making necessary changes to our organisational structure to continue to effectively lead our health system and to deliver the 6.5% savings the Government required of the Ministry from 2024/25 by the Government as part of the Budget 2024 baseline savings exercise. It is anticipated that the restructuring will be completed within 12 months of balance date, and the amount of the liability is reasonably assessed.</w:t>
      </w:r>
    </w:p>
    <w:p w14:paraId="539EE5B8" w14:textId="77777777" w:rsidR="002C5722" w:rsidRDefault="002C5722" w:rsidP="002C5722">
      <w:pPr>
        <w:pStyle w:val="Heading4"/>
      </w:pPr>
      <w:r w:rsidRPr="002C5722">
        <w:t>Demolition and remediation of 108 Victoria Street</w:t>
      </w:r>
    </w:p>
    <w:p w14:paraId="5F282DC7" w14:textId="77777777" w:rsidR="002C5722" w:rsidRDefault="002C5722" w:rsidP="002C5722">
      <w:r w:rsidRPr="002C5722">
        <w:t>The new storage facility has been completed and became operational in February 2024. A provision has been raised for the remediation of the site of the previous store at 108 Victoria Street, Christchurch. The building on the land was damaged and had been derecognised since the 2011 Christchurch earthquake. The store requires demolition, and the land needs to be remediated before it can be made available for sale.</w:t>
      </w:r>
    </w:p>
    <w:p w14:paraId="790F3691" w14:textId="77777777" w:rsidR="002C5722" w:rsidRDefault="002C5722" w:rsidP="002C5722">
      <w:pPr>
        <w:pStyle w:val="Heading4"/>
      </w:pPr>
      <w:r w:rsidRPr="002C5722">
        <w:lastRenderedPageBreak/>
        <w:t>Explanation of major variances against budget</w:t>
      </w:r>
    </w:p>
    <w:p w14:paraId="4D03B352" w14:textId="581382CE" w:rsidR="002C5722" w:rsidRDefault="002C5722" w:rsidP="002C5722">
      <w:r w:rsidRPr="002C5722">
        <w:t>When the original budget was set, the Ministry was not expecting to raise any provisions. The restructuring provision arose as a result of making necessary changes to our structure to continue to effectively lead our health system and deliver the 6.5% savings the Government required of the Ministry from 2024/25 as part of the Budget 2024 baseline savings exercise.</w:t>
      </w:r>
    </w:p>
    <w:p w14:paraId="5DBC10FB" w14:textId="7AA6A850" w:rsidR="002C5722" w:rsidRPr="002C5722" w:rsidRDefault="002C5722" w:rsidP="007123AC">
      <w:pPr>
        <w:pStyle w:val="Heading3"/>
        <w:numPr>
          <w:ilvl w:val="6"/>
          <w:numId w:val="5"/>
        </w:numPr>
        <w:tabs>
          <w:tab w:val="num" w:pos="5040"/>
        </w:tabs>
        <w:ind w:left="709" w:hanging="709"/>
      </w:pPr>
      <w:r w:rsidRPr="002C5722">
        <w:t>Employee entitlements</w:t>
      </w:r>
    </w:p>
    <w:p w14:paraId="281D3406" w14:textId="77777777" w:rsidR="002C5722" w:rsidRDefault="002C5722" w:rsidP="002C5722">
      <w:pPr>
        <w:pStyle w:val="Heading4"/>
      </w:pPr>
      <w:r>
        <w:t>Accounting policy</w:t>
      </w:r>
      <w:r>
        <w:tab/>
      </w:r>
    </w:p>
    <w:p w14:paraId="12E465D2" w14:textId="5E456AC0" w:rsidR="002C5722" w:rsidRDefault="002C5722" w:rsidP="002C5722">
      <w:pPr>
        <w:pStyle w:val="Heading5"/>
      </w:pPr>
      <w:r>
        <w:t>Short-term employee entitlements</w:t>
      </w:r>
    </w:p>
    <w:p w14:paraId="5F22EDB2" w14:textId="6693F514" w:rsidR="002C5722" w:rsidRDefault="002C5722" w:rsidP="002C5722">
      <w:r>
        <w:t>Employee entitlements that are due to be settled within 12 months after the end of the year in which the employee provides the related service are measured based on accrued entitlements at current rates of pay.</w:t>
      </w:r>
    </w:p>
    <w:p w14:paraId="552DEF62" w14:textId="77777777" w:rsidR="002C5722" w:rsidRDefault="002C5722" w:rsidP="002C5722"/>
    <w:p w14:paraId="5A05BFA5" w14:textId="77777777" w:rsidR="002C5722" w:rsidRDefault="002C5722" w:rsidP="002C5722">
      <w:r>
        <w:t>These entitlements include salaries and wages accrued up to balance date, annual leave earned but not yet taken at balance date, long-service leave, retirement gratuities expected to be settled within 12 months.</w:t>
      </w:r>
    </w:p>
    <w:p w14:paraId="2996120E" w14:textId="77777777" w:rsidR="002C5722" w:rsidRDefault="002C5722" w:rsidP="002C5722">
      <w:pPr>
        <w:pStyle w:val="Heading5"/>
      </w:pPr>
      <w:r>
        <w:t>Long-term employee entitlements</w:t>
      </w:r>
    </w:p>
    <w:p w14:paraId="071B881C" w14:textId="03618FB8" w:rsidR="002C5722" w:rsidRDefault="002C5722" w:rsidP="002C5722">
      <w:r>
        <w:t>Employee entitlements that are due to be settled beyond 12 months after the end of the year in which the employee provides the related service, such as retirement and long-service leave, have been calculated on an actuarial basis. The calculations are based on:</w:t>
      </w:r>
    </w:p>
    <w:p w14:paraId="46415763" w14:textId="4FC6ED6E" w:rsidR="002C5722" w:rsidRDefault="002C5722" w:rsidP="002C5722">
      <w:pPr>
        <w:pStyle w:val="Bullet"/>
      </w:pPr>
      <w:r>
        <w:t xml:space="preserve">likely future entitlements accruing to employees, based on years of service, years to entitlement, the likelihood that employees will reach the point of entitlement and contractual entitlements </w:t>
      </w:r>
      <w:proofErr w:type="gramStart"/>
      <w:r>
        <w:t>information</w:t>
      </w:r>
      <w:proofErr w:type="gramEnd"/>
    </w:p>
    <w:p w14:paraId="17603341" w14:textId="77777777" w:rsidR="002C5722" w:rsidRDefault="002C5722" w:rsidP="002C5722">
      <w:pPr>
        <w:pStyle w:val="Bullet"/>
      </w:pPr>
      <w:r>
        <w:t>the present value of the estimated future cash flows.</w:t>
      </w:r>
    </w:p>
    <w:p w14:paraId="37BB9308" w14:textId="77777777" w:rsidR="002C5722" w:rsidRDefault="002C5722" w:rsidP="002C5722"/>
    <w:tbl>
      <w:tblPr>
        <w:tblW w:w="8040" w:type="dxa"/>
        <w:tblInd w:w="7" w:type="dxa"/>
        <w:tblLayout w:type="fixed"/>
        <w:tblCellMar>
          <w:left w:w="0" w:type="dxa"/>
          <w:right w:w="0" w:type="dxa"/>
        </w:tblCellMar>
        <w:tblLook w:val="01E0" w:firstRow="1" w:lastRow="1" w:firstColumn="1" w:lastColumn="1" w:noHBand="0" w:noVBand="0"/>
      </w:tblPr>
      <w:tblGrid>
        <w:gridCol w:w="1276"/>
        <w:gridCol w:w="4109"/>
        <w:gridCol w:w="2655"/>
      </w:tblGrid>
      <w:tr w:rsidR="002C5722" w14:paraId="63B90F7C" w14:textId="77777777" w:rsidTr="002C5722">
        <w:trPr>
          <w:trHeight w:val="784"/>
        </w:trPr>
        <w:tc>
          <w:tcPr>
            <w:tcW w:w="1276" w:type="dxa"/>
            <w:shd w:val="clear" w:color="auto" w:fill="D9D9D9" w:themeFill="background1" w:themeFillShade="D9"/>
            <w:hideMark/>
          </w:tcPr>
          <w:p w14:paraId="252CE375" w14:textId="77777777" w:rsidR="002C5722" w:rsidRDefault="002C5722" w:rsidP="002C5722">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 xml:space="preserve">Actual </w:t>
            </w:r>
          </w:p>
          <w:p w14:paraId="461EC0EB" w14:textId="77777777" w:rsidR="002C5722" w:rsidRDefault="002C5722" w:rsidP="002C5722">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2023</w:t>
            </w:r>
          </w:p>
          <w:p w14:paraId="24DBC0CE" w14:textId="77777777" w:rsidR="002C5722" w:rsidRDefault="002C5722" w:rsidP="002C5722">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4109" w:type="dxa"/>
            <w:shd w:val="clear" w:color="auto" w:fill="D9D9D9" w:themeFill="background1" w:themeFillShade="D9"/>
          </w:tcPr>
          <w:p w14:paraId="1D80529D" w14:textId="77777777" w:rsidR="002C5722" w:rsidRDefault="002C5722" w:rsidP="002C5722">
            <w:pPr>
              <w:pStyle w:val="TableParagraph"/>
              <w:rPr>
                <w:rFonts w:ascii="Times New Roman"/>
                <w:b/>
                <w:bCs/>
                <w:sz w:val="18"/>
              </w:rPr>
            </w:pPr>
          </w:p>
        </w:tc>
        <w:tc>
          <w:tcPr>
            <w:tcW w:w="2655" w:type="dxa"/>
            <w:shd w:val="clear" w:color="auto" w:fill="D9D9D9" w:themeFill="background1" w:themeFillShade="D9"/>
            <w:hideMark/>
          </w:tcPr>
          <w:p w14:paraId="5EEE1837" w14:textId="77777777" w:rsidR="002C5722" w:rsidRDefault="002C5722" w:rsidP="002C5722">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 xml:space="preserve">Actual </w:t>
            </w:r>
          </w:p>
          <w:p w14:paraId="6F23E53F" w14:textId="77777777" w:rsidR="002C5722" w:rsidRDefault="002C5722" w:rsidP="002C5722">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4F1E97F9" w14:textId="77777777" w:rsidR="002C5722" w:rsidRDefault="002C5722" w:rsidP="002C5722">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r>
      <w:tr w:rsidR="002C5722" w:rsidRPr="009834D1" w14:paraId="70759FED" w14:textId="77777777" w:rsidTr="002C5722">
        <w:trPr>
          <w:trHeight w:val="354"/>
        </w:trPr>
        <w:tc>
          <w:tcPr>
            <w:tcW w:w="1276" w:type="dxa"/>
          </w:tcPr>
          <w:p w14:paraId="4D93F4B1" w14:textId="77777777" w:rsidR="002C5722" w:rsidRPr="009834D1" w:rsidRDefault="002C5722" w:rsidP="002C5722">
            <w:pPr>
              <w:pStyle w:val="TableParagraph"/>
              <w:spacing w:before="60" w:after="60"/>
              <w:ind w:left="-42" w:right="170" w:firstLine="99"/>
              <w:jc w:val="right"/>
              <w:rPr>
                <w:rFonts w:ascii="Segoe UI" w:hAnsi="Segoe UI" w:cs="Segoe UI"/>
                <w:b/>
                <w:bCs/>
                <w:sz w:val="16"/>
                <w:szCs w:val="16"/>
              </w:rPr>
            </w:pPr>
          </w:p>
        </w:tc>
        <w:tc>
          <w:tcPr>
            <w:tcW w:w="4109" w:type="dxa"/>
            <w:hideMark/>
          </w:tcPr>
          <w:p w14:paraId="401F12AD" w14:textId="77777777" w:rsidR="002C5722" w:rsidRPr="009834D1" w:rsidRDefault="002C5722" w:rsidP="002C5722">
            <w:pPr>
              <w:pStyle w:val="TableParagraph"/>
              <w:spacing w:before="60" w:after="60"/>
              <w:ind w:left="66" w:hanging="5"/>
              <w:rPr>
                <w:rFonts w:ascii="Segoe UI" w:hAnsi="Segoe UI" w:cs="Segoe UI"/>
                <w:b/>
                <w:bCs/>
                <w:w w:val="105"/>
                <w:sz w:val="16"/>
                <w:szCs w:val="16"/>
              </w:rPr>
            </w:pPr>
            <w:r w:rsidRPr="009834D1">
              <w:rPr>
                <w:rFonts w:ascii="Segoe UI" w:hAnsi="Segoe UI" w:cs="Segoe UI"/>
                <w:b/>
                <w:bCs/>
                <w:w w:val="105"/>
                <w:sz w:val="16"/>
                <w:szCs w:val="16"/>
              </w:rPr>
              <w:t>Current portion</w:t>
            </w:r>
          </w:p>
        </w:tc>
        <w:tc>
          <w:tcPr>
            <w:tcW w:w="2655" w:type="dxa"/>
          </w:tcPr>
          <w:p w14:paraId="031C51AA" w14:textId="77777777" w:rsidR="002C5722" w:rsidRPr="009834D1" w:rsidRDefault="002C5722" w:rsidP="002C5722">
            <w:pPr>
              <w:pStyle w:val="TableParagraph"/>
              <w:spacing w:before="60" w:after="60"/>
              <w:ind w:left="-42" w:right="170" w:firstLine="99"/>
              <w:jc w:val="right"/>
              <w:rPr>
                <w:rFonts w:ascii="Segoe UI" w:hAnsi="Segoe UI" w:cs="Segoe UI"/>
                <w:b/>
                <w:bCs/>
                <w:sz w:val="16"/>
                <w:szCs w:val="16"/>
              </w:rPr>
            </w:pPr>
          </w:p>
        </w:tc>
      </w:tr>
      <w:tr w:rsidR="002C5722" w14:paraId="6B5F93FE" w14:textId="77777777" w:rsidTr="002C5722">
        <w:trPr>
          <w:trHeight w:val="359"/>
        </w:trPr>
        <w:tc>
          <w:tcPr>
            <w:tcW w:w="1276" w:type="dxa"/>
            <w:hideMark/>
          </w:tcPr>
          <w:p w14:paraId="6B8537A4" w14:textId="5E705F72" w:rsidR="002C5722" w:rsidRDefault="002C5722" w:rsidP="002C5722">
            <w:pPr>
              <w:pStyle w:val="TableParagraph"/>
              <w:spacing w:before="60" w:after="60"/>
              <w:ind w:left="-42" w:right="170" w:firstLine="99"/>
              <w:jc w:val="right"/>
              <w:rPr>
                <w:rFonts w:ascii="Segoe UI" w:hAnsi="Segoe UI" w:cs="Segoe UI"/>
                <w:sz w:val="16"/>
                <w:szCs w:val="16"/>
              </w:rPr>
            </w:pPr>
            <w:r w:rsidRPr="002C5722">
              <w:rPr>
                <w:rFonts w:ascii="Segoe UI" w:hAnsi="Segoe UI" w:cs="Segoe UI"/>
                <w:sz w:val="16"/>
                <w:szCs w:val="16"/>
              </w:rPr>
              <w:t>7,203</w:t>
            </w:r>
          </w:p>
        </w:tc>
        <w:tc>
          <w:tcPr>
            <w:tcW w:w="4109" w:type="dxa"/>
            <w:hideMark/>
          </w:tcPr>
          <w:p w14:paraId="70B478C0" w14:textId="4E6C659F" w:rsidR="002C5722" w:rsidRPr="002C5722" w:rsidRDefault="002C5722" w:rsidP="002C5722">
            <w:pPr>
              <w:pStyle w:val="TableParagraph"/>
              <w:spacing w:before="60" w:after="60"/>
              <w:ind w:left="66" w:hanging="5"/>
              <w:rPr>
                <w:rFonts w:ascii="Segoe UI" w:hAnsi="Segoe UI" w:cs="Segoe UI"/>
                <w:w w:val="105"/>
                <w:sz w:val="16"/>
                <w:szCs w:val="16"/>
              </w:rPr>
            </w:pPr>
            <w:r w:rsidRPr="002C5722">
              <w:rPr>
                <w:rFonts w:ascii="Segoe UI" w:hAnsi="Segoe UI" w:cs="Segoe UI"/>
                <w:w w:val="105"/>
                <w:sz w:val="16"/>
                <w:szCs w:val="16"/>
              </w:rPr>
              <w:t>Annual leave</w:t>
            </w:r>
          </w:p>
        </w:tc>
        <w:tc>
          <w:tcPr>
            <w:tcW w:w="2655" w:type="dxa"/>
            <w:hideMark/>
          </w:tcPr>
          <w:p w14:paraId="5689466C" w14:textId="46366DF7" w:rsidR="002C5722" w:rsidRPr="009834D1" w:rsidRDefault="002C5722" w:rsidP="002C5722">
            <w:pPr>
              <w:pStyle w:val="TableParagraph"/>
              <w:spacing w:before="60" w:after="60"/>
              <w:ind w:left="-42" w:right="170" w:firstLine="99"/>
              <w:jc w:val="right"/>
              <w:rPr>
                <w:rFonts w:ascii="Segoe UI" w:hAnsi="Segoe UI" w:cs="Segoe UI"/>
                <w:sz w:val="16"/>
                <w:szCs w:val="16"/>
              </w:rPr>
            </w:pPr>
            <w:r w:rsidRPr="002C5722">
              <w:rPr>
                <w:rFonts w:ascii="Segoe UI" w:hAnsi="Segoe UI" w:cs="Segoe UI"/>
                <w:sz w:val="16"/>
                <w:szCs w:val="16"/>
              </w:rPr>
              <w:t>7,379</w:t>
            </w:r>
          </w:p>
        </w:tc>
      </w:tr>
      <w:tr w:rsidR="002C5722" w14:paraId="6491E6A4" w14:textId="77777777" w:rsidTr="002C5722">
        <w:trPr>
          <w:trHeight w:val="359"/>
        </w:trPr>
        <w:tc>
          <w:tcPr>
            <w:tcW w:w="1276" w:type="dxa"/>
            <w:hideMark/>
          </w:tcPr>
          <w:p w14:paraId="4CBD73A7" w14:textId="6823875D" w:rsidR="002C5722" w:rsidRDefault="002C5722" w:rsidP="002C5722">
            <w:pPr>
              <w:pStyle w:val="TableParagraph"/>
              <w:spacing w:before="60" w:after="60"/>
              <w:ind w:left="-42" w:right="170" w:firstLine="99"/>
              <w:jc w:val="right"/>
              <w:rPr>
                <w:rFonts w:ascii="Segoe UI" w:hAnsi="Segoe UI" w:cs="Segoe UI"/>
                <w:sz w:val="16"/>
                <w:szCs w:val="16"/>
              </w:rPr>
            </w:pPr>
            <w:r w:rsidRPr="002C5722">
              <w:rPr>
                <w:rFonts w:ascii="Segoe UI" w:hAnsi="Segoe UI" w:cs="Segoe UI"/>
                <w:sz w:val="16"/>
                <w:szCs w:val="16"/>
              </w:rPr>
              <w:t>657</w:t>
            </w:r>
          </w:p>
        </w:tc>
        <w:tc>
          <w:tcPr>
            <w:tcW w:w="4109" w:type="dxa"/>
            <w:hideMark/>
          </w:tcPr>
          <w:p w14:paraId="1B0ABB97" w14:textId="60970BAC" w:rsidR="002C5722" w:rsidRPr="002C5722" w:rsidRDefault="002C5722" w:rsidP="002C5722">
            <w:pPr>
              <w:pStyle w:val="TableParagraph"/>
              <w:spacing w:before="60" w:after="60"/>
              <w:ind w:left="66" w:hanging="5"/>
              <w:rPr>
                <w:rFonts w:ascii="Segoe UI" w:hAnsi="Segoe UI" w:cs="Segoe UI"/>
                <w:w w:val="105"/>
                <w:sz w:val="16"/>
                <w:szCs w:val="16"/>
              </w:rPr>
            </w:pPr>
            <w:r w:rsidRPr="002C5722">
              <w:rPr>
                <w:rFonts w:ascii="Segoe UI" w:hAnsi="Segoe UI" w:cs="Segoe UI"/>
                <w:w w:val="105"/>
                <w:sz w:val="16"/>
                <w:szCs w:val="16"/>
              </w:rPr>
              <w:t>Retirement and long-service leave</w:t>
            </w:r>
          </w:p>
        </w:tc>
        <w:tc>
          <w:tcPr>
            <w:tcW w:w="2655" w:type="dxa"/>
            <w:hideMark/>
          </w:tcPr>
          <w:p w14:paraId="05CB553E" w14:textId="0368460E" w:rsidR="002C5722" w:rsidRPr="009834D1" w:rsidRDefault="002C5722" w:rsidP="002C5722">
            <w:pPr>
              <w:pStyle w:val="TableParagraph"/>
              <w:spacing w:before="60" w:after="60"/>
              <w:ind w:left="-42" w:right="170" w:firstLine="99"/>
              <w:jc w:val="right"/>
              <w:rPr>
                <w:rFonts w:ascii="Segoe UI" w:hAnsi="Segoe UI" w:cs="Segoe UI"/>
                <w:sz w:val="16"/>
                <w:szCs w:val="16"/>
              </w:rPr>
            </w:pPr>
            <w:r w:rsidRPr="002C5722">
              <w:rPr>
                <w:rFonts w:ascii="Segoe UI" w:hAnsi="Segoe UI" w:cs="Segoe UI"/>
                <w:sz w:val="16"/>
                <w:szCs w:val="16"/>
              </w:rPr>
              <w:t>575</w:t>
            </w:r>
          </w:p>
        </w:tc>
      </w:tr>
      <w:tr w:rsidR="002C5722" w:rsidRPr="009834D1" w14:paraId="703A2D55" w14:textId="77777777" w:rsidTr="002C5722">
        <w:trPr>
          <w:trHeight w:val="344"/>
        </w:trPr>
        <w:tc>
          <w:tcPr>
            <w:tcW w:w="1276" w:type="dxa"/>
            <w:tcBorders>
              <w:left w:val="nil"/>
              <w:bottom w:val="single" w:sz="4" w:space="0" w:color="A6A6A6" w:themeColor="background1" w:themeShade="A6"/>
              <w:right w:val="nil"/>
            </w:tcBorders>
            <w:hideMark/>
          </w:tcPr>
          <w:p w14:paraId="4C4A077B" w14:textId="28482D24" w:rsidR="002C5722" w:rsidRPr="002C5722" w:rsidRDefault="002C5722" w:rsidP="002C5722">
            <w:pPr>
              <w:pStyle w:val="TableParagraph"/>
              <w:spacing w:before="60" w:after="60"/>
              <w:ind w:left="-42" w:right="170" w:firstLine="99"/>
              <w:jc w:val="right"/>
              <w:rPr>
                <w:rFonts w:ascii="Segoe UI" w:hAnsi="Segoe UI" w:cs="Segoe UI"/>
                <w:sz w:val="16"/>
                <w:szCs w:val="16"/>
              </w:rPr>
            </w:pPr>
            <w:r w:rsidRPr="002C5722">
              <w:rPr>
                <w:rFonts w:ascii="Segoe UI" w:hAnsi="Segoe UI" w:cs="Segoe UI"/>
                <w:sz w:val="16"/>
                <w:szCs w:val="16"/>
              </w:rPr>
              <w:t>2,715</w:t>
            </w:r>
          </w:p>
        </w:tc>
        <w:tc>
          <w:tcPr>
            <w:tcW w:w="4109" w:type="dxa"/>
            <w:tcBorders>
              <w:left w:val="nil"/>
              <w:bottom w:val="single" w:sz="4" w:space="0" w:color="A6A6A6" w:themeColor="background1" w:themeShade="A6"/>
              <w:right w:val="nil"/>
            </w:tcBorders>
            <w:hideMark/>
          </w:tcPr>
          <w:p w14:paraId="4F0DD4B9" w14:textId="4535C6B1" w:rsidR="002C5722" w:rsidRPr="002C5722" w:rsidRDefault="002C5722" w:rsidP="002C5722">
            <w:pPr>
              <w:pStyle w:val="TableParagraph"/>
              <w:spacing w:before="60" w:after="60"/>
              <w:ind w:left="66" w:hanging="5"/>
              <w:rPr>
                <w:rFonts w:ascii="Segoe UI" w:hAnsi="Segoe UI" w:cs="Segoe UI"/>
                <w:w w:val="105"/>
                <w:sz w:val="16"/>
                <w:szCs w:val="16"/>
              </w:rPr>
            </w:pPr>
            <w:r w:rsidRPr="002C5722">
              <w:rPr>
                <w:rFonts w:ascii="Segoe UI" w:hAnsi="Segoe UI" w:cs="Segoe UI"/>
                <w:w w:val="105"/>
                <w:sz w:val="16"/>
                <w:szCs w:val="16"/>
              </w:rPr>
              <w:t>Accrued salaries</w:t>
            </w:r>
          </w:p>
        </w:tc>
        <w:tc>
          <w:tcPr>
            <w:tcW w:w="2655" w:type="dxa"/>
            <w:tcBorders>
              <w:left w:val="nil"/>
              <w:bottom w:val="single" w:sz="4" w:space="0" w:color="A6A6A6" w:themeColor="background1" w:themeShade="A6"/>
              <w:right w:val="nil"/>
            </w:tcBorders>
            <w:hideMark/>
          </w:tcPr>
          <w:p w14:paraId="60A68B48" w14:textId="02B0EB00" w:rsidR="002C5722" w:rsidRPr="002C5722" w:rsidRDefault="002C5722" w:rsidP="002C5722">
            <w:pPr>
              <w:pStyle w:val="TableParagraph"/>
              <w:spacing w:before="60" w:after="60"/>
              <w:ind w:left="-42" w:right="170" w:firstLine="99"/>
              <w:jc w:val="right"/>
              <w:rPr>
                <w:rFonts w:ascii="Segoe UI" w:hAnsi="Segoe UI" w:cs="Segoe UI"/>
                <w:sz w:val="16"/>
                <w:szCs w:val="16"/>
              </w:rPr>
            </w:pPr>
            <w:r w:rsidRPr="002C5722">
              <w:rPr>
                <w:rFonts w:ascii="Segoe UI" w:hAnsi="Segoe UI" w:cs="Segoe UI"/>
                <w:sz w:val="16"/>
                <w:szCs w:val="16"/>
              </w:rPr>
              <w:t>3,146</w:t>
            </w:r>
          </w:p>
        </w:tc>
      </w:tr>
      <w:tr w:rsidR="002C5722" w:rsidRPr="002C5722" w14:paraId="5AD8DC7F" w14:textId="77777777" w:rsidTr="002C5722">
        <w:trPr>
          <w:trHeight w:val="344"/>
        </w:trPr>
        <w:tc>
          <w:tcPr>
            <w:tcW w:w="1276" w:type="dxa"/>
            <w:tcBorders>
              <w:top w:val="single" w:sz="4" w:space="0" w:color="A6A6A6" w:themeColor="background1" w:themeShade="A6"/>
              <w:left w:val="nil"/>
              <w:bottom w:val="single" w:sz="4" w:space="0" w:color="A6A6A6" w:themeColor="background1" w:themeShade="A6"/>
              <w:right w:val="nil"/>
            </w:tcBorders>
          </w:tcPr>
          <w:p w14:paraId="3F6EB44B" w14:textId="73F87932" w:rsidR="002C5722" w:rsidRPr="002C5722" w:rsidRDefault="002C5722" w:rsidP="002C5722">
            <w:pPr>
              <w:pStyle w:val="TableParagraph"/>
              <w:spacing w:before="60" w:after="60"/>
              <w:ind w:left="-42" w:right="170" w:firstLine="99"/>
              <w:jc w:val="right"/>
              <w:rPr>
                <w:rFonts w:ascii="Segoe UI" w:hAnsi="Segoe UI" w:cs="Segoe UI"/>
                <w:b/>
                <w:bCs/>
                <w:sz w:val="16"/>
                <w:szCs w:val="16"/>
              </w:rPr>
            </w:pPr>
            <w:r w:rsidRPr="002C5722">
              <w:rPr>
                <w:rFonts w:ascii="Segoe UI" w:hAnsi="Segoe UI" w:cs="Segoe UI"/>
                <w:b/>
                <w:bCs/>
                <w:sz w:val="16"/>
                <w:szCs w:val="16"/>
              </w:rPr>
              <w:t>10,575</w:t>
            </w:r>
          </w:p>
        </w:tc>
        <w:tc>
          <w:tcPr>
            <w:tcW w:w="4109" w:type="dxa"/>
            <w:tcBorders>
              <w:top w:val="single" w:sz="4" w:space="0" w:color="A6A6A6" w:themeColor="background1" w:themeShade="A6"/>
              <w:left w:val="nil"/>
              <w:bottom w:val="single" w:sz="4" w:space="0" w:color="A6A6A6" w:themeColor="background1" w:themeShade="A6"/>
              <w:right w:val="nil"/>
            </w:tcBorders>
          </w:tcPr>
          <w:p w14:paraId="15078521" w14:textId="3B144C91" w:rsidR="002C5722" w:rsidRPr="002C5722" w:rsidRDefault="002C5722" w:rsidP="002C5722">
            <w:pPr>
              <w:pStyle w:val="TableParagraph"/>
              <w:spacing w:before="60" w:after="60"/>
              <w:ind w:left="66" w:hanging="5"/>
              <w:rPr>
                <w:rFonts w:ascii="Segoe UI" w:hAnsi="Segoe UI" w:cs="Segoe UI"/>
                <w:b/>
                <w:bCs/>
                <w:w w:val="105"/>
                <w:sz w:val="16"/>
                <w:szCs w:val="16"/>
              </w:rPr>
            </w:pPr>
            <w:r w:rsidRPr="002C5722">
              <w:rPr>
                <w:rFonts w:ascii="Segoe UI" w:hAnsi="Segoe UI" w:cs="Segoe UI"/>
                <w:b/>
                <w:bCs/>
                <w:w w:val="105"/>
                <w:sz w:val="16"/>
                <w:szCs w:val="16"/>
              </w:rPr>
              <w:t>Total current portion</w:t>
            </w:r>
          </w:p>
        </w:tc>
        <w:tc>
          <w:tcPr>
            <w:tcW w:w="2655" w:type="dxa"/>
            <w:tcBorders>
              <w:top w:val="single" w:sz="4" w:space="0" w:color="A6A6A6" w:themeColor="background1" w:themeShade="A6"/>
              <w:left w:val="nil"/>
              <w:bottom w:val="single" w:sz="4" w:space="0" w:color="A6A6A6" w:themeColor="background1" w:themeShade="A6"/>
              <w:right w:val="nil"/>
            </w:tcBorders>
          </w:tcPr>
          <w:p w14:paraId="5C8AFB55" w14:textId="58340A02" w:rsidR="002C5722" w:rsidRPr="002C5722" w:rsidRDefault="002C5722" w:rsidP="002C5722">
            <w:pPr>
              <w:pStyle w:val="TableParagraph"/>
              <w:spacing w:before="60" w:after="60"/>
              <w:ind w:left="-42" w:right="170" w:firstLine="99"/>
              <w:jc w:val="right"/>
              <w:rPr>
                <w:rFonts w:ascii="Segoe UI" w:hAnsi="Segoe UI" w:cs="Segoe UI"/>
                <w:b/>
                <w:bCs/>
                <w:sz w:val="16"/>
                <w:szCs w:val="16"/>
              </w:rPr>
            </w:pPr>
            <w:r w:rsidRPr="002C5722">
              <w:rPr>
                <w:rFonts w:ascii="Segoe UI" w:hAnsi="Segoe UI" w:cs="Segoe UI"/>
                <w:b/>
                <w:bCs/>
                <w:sz w:val="16"/>
                <w:szCs w:val="16"/>
              </w:rPr>
              <w:t>11,100</w:t>
            </w:r>
          </w:p>
        </w:tc>
      </w:tr>
      <w:tr w:rsidR="002C5722" w:rsidRPr="002C5722" w14:paraId="32B88DB8" w14:textId="77777777" w:rsidTr="002C5722">
        <w:trPr>
          <w:trHeight w:val="344"/>
        </w:trPr>
        <w:tc>
          <w:tcPr>
            <w:tcW w:w="1276" w:type="dxa"/>
            <w:tcBorders>
              <w:top w:val="single" w:sz="4" w:space="0" w:color="A6A6A6" w:themeColor="background1" w:themeShade="A6"/>
              <w:left w:val="nil"/>
              <w:right w:val="nil"/>
            </w:tcBorders>
          </w:tcPr>
          <w:p w14:paraId="1FF04226" w14:textId="77777777" w:rsidR="002C5722" w:rsidRPr="002C5722" w:rsidRDefault="002C5722" w:rsidP="002C5722">
            <w:pPr>
              <w:pStyle w:val="TableParagraph"/>
              <w:spacing w:before="60" w:after="60"/>
              <w:ind w:left="-42" w:right="170" w:firstLine="99"/>
              <w:jc w:val="right"/>
              <w:rPr>
                <w:rFonts w:ascii="Segoe UI" w:hAnsi="Segoe UI" w:cs="Segoe UI"/>
                <w:b/>
                <w:bCs/>
                <w:sz w:val="16"/>
                <w:szCs w:val="16"/>
              </w:rPr>
            </w:pPr>
          </w:p>
        </w:tc>
        <w:tc>
          <w:tcPr>
            <w:tcW w:w="4109" w:type="dxa"/>
            <w:tcBorders>
              <w:top w:val="single" w:sz="4" w:space="0" w:color="A6A6A6" w:themeColor="background1" w:themeShade="A6"/>
              <w:left w:val="nil"/>
              <w:right w:val="nil"/>
            </w:tcBorders>
          </w:tcPr>
          <w:p w14:paraId="5F265E61" w14:textId="14CA2F78" w:rsidR="002C5722" w:rsidRPr="002C5722" w:rsidRDefault="002C5722" w:rsidP="002C5722">
            <w:pPr>
              <w:pStyle w:val="TableParagraph"/>
              <w:spacing w:before="60" w:after="60"/>
              <w:ind w:left="66" w:hanging="5"/>
              <w:rPr>
                <w:rFonts w:ascii="Segoe UI" w:hAnsi="Segoe UI" w:cs="Segoe UI"/>
                <w:b/>
                <w:bCs/>
                <w:w w:val="105"/>
                <w:sz w:val="16"/>
                <w:szCs w:val="16"/>
              </w:rPr>
            </w:pPr>
            <w:r w:rsidRPr="002C5722">
              <w:rPr>
                <w:rFonts w:ascii="Segoe UI" w:hAnsi="Segoe UI" w:cs="Segoe UI"/>
                <w:b/>
                <w:bCs/>
                <w:w w:val="105"/>
                <w:sz w:val="16"/>
                <w:szCs w:val="16"/>
              </w:rPr>
              <w:t>Non-current portion</w:t>
            </w:r>
          </w:p>
        </w:tc>
        <w:tc>
          <w:tcPr>
            <w:tcW w:w="2655" w:type="dxa"/>
            <w:tcBorders>
              <w:top w:val="single" w:sz="4" w:space="0" w:color="A6A6A6" w:themeColor="background1" w:themeShade="A6"/>
              <w:left w:val="nil"/>
              <w:right w:val="nil"/>
            </w:tcBorders>
          </w:tcPr>
          <w:p w14:paraId="5DFFA061" w14:textId="77777777" w:rsidR="002C5722" w:rsidRPr="002C5722" w:rsidRDefault="002C5722" w:rsidP="002C5722">
            <w:pPr>
              <w:pStyle w:val="TableParagraph"/>
              <w:spacing w:before="60" w:after="60"/>
              <w:ind w:left="-42" w:right="170" w:firstLine="99"/>
              <w:jc w:val="right"/>
              <w:rPr>
                <w:rFonts w:ascii="Segoe UI" w:hAnsi="Segoe UI" w:cs="Segoe UI"/>
                <w:b/>
                <w:bCs/>
                <w:sz w:val="16"/>
                <w:szCs w:val="16"/>
              </w:rPr>
            </w:pPr>
          </w:p>
        </w:tc>
      </w:tr>
      <w:tr w:rsidR="002C5722" w:rsidRPr="009834D1" w14:paraId="4BAABC4B" w14:textId="77777777" w:rsidTr="002C5722">
        <w:trPr>
          <w:trHeight w:val="344"/>
        </w:trPr>
        <w:tc>
          <w:tcPr>
            <w:tcW w:w="1276" w:type="dxa"/>
            <w:tcBorders>
              <w:left w:val="nil"/>
              <w:bottom w:val="single" w:sz="4" w:space="0" w:color="A6A6A6" w:themeColor="background1" w:themeShade="A6"/>
              <w:right w:val="nil"/>
            </w:tcBorders>
          </w:tcPr>
          <w:p w14:paraId="5F19CB51" w14:textId="1E4E5912" w:rsidR="002C5722" w:rsidRPr="002C5722" w:rsidRDefault="002C5722" w:rsidP="002C5722">
            <w:pPr>
              <w:pStyle w:val="TableParagraph"/>
              <w:spacing w:before="60" w:after="60"/>
              <w:ind w:left="-42" w:right="170" w:firstLine="99"/>
              <w:jc w:val="right"/>
              <w:rPr>
                <w:rFonts w:ascii="Segoe UI" w:hAnsi="Segoe UI" w:cs="Segoe UI"/>
                <w:sz w:val="16"/>
                <w:szCs w:val="16"/>
              </w:rPr>
            </w:pPr>
            <w:r w:rsidRPr="002C5722">
              <w:rPr>
                <w:rFonts w:ascii="Segoe UI" w:hAnsi="Segoe UI" w:cs="Segoe UI"/>
                <w:sz w:val="16"/>
                <w:szCs w:val="16"/>
              </w:rPr>
              <w:t>908</w:t>
            </w:r>
          </w:p>
        </w:tc>
        <w:tc>
          <w:tcPr>
            <w:tcW w:w="4109" w:type="dxa"/>
            <w:tcBorders>
              <w:left w:val="nil"/>
              <w:bottom w:val="single" w:sz="4" w:space="0" w:color="A6A6A6" w:themeColor="background1" w:themeShade="A6"/>
              <w:right w:val="nil"/>
            </w:tcBorders>
          </w:tcPr>
          <w:p w14:paraId="7B99C075" w14:textId="2B8BCB70" w:rsidR="002C5722" w:rsidRPr="002C5722" w:rsidRDefault="002C5722" w:rsidP="002C5722">
            <w:pPr>
              <w:pStyle w:val="TableParagraph"/>
              <w:spacing w:before="60" w:after="60"/>
              <w:ind w:left="66" w:hanging="5"/>
              <w:rPr>
                <w:rFonts w:ascii="Segoe UI" w:hAnsi="Segoe UI" w:cs="Segoe UI"/>
                <w:w w:val="105"/>
                <w:sz w:val="16"/>
                <w:szCs w:val="16"/>
              </w:rPr>
            </w:pPr>
            <w:r w:rsidRPr="002C5722">
              <w:rPr>
                <w:rFonts w:ascii="Segoe UI" w:hAnsi="Segoe UI" w:cs="Segoe UI"/>
                <w:w w:val="105"/>
                <w:sz w:val="16"/>
                <w:szCs w:val="16"/>
              </w:rPr>
              <w:t>Retirement and long-service leave</w:t>
            </w:r>
          </w:p>
        </w:tc>
        <w:tc>
          <w:tcPr>
            <w:tcW w:w="2655" w:type="dxa"/>
            <w:tcBorders>
              <w:left w:val="nil"/>
              <w:bottom w:val="single" w:sz="4" w:space="0" w:color="A6A6A6" w:themeColor="background1" w:themeShade="A6"/>
              <w:right w:val="nil"/>
            </w:tcBorders>
          </w:tcPr>
          <w:p w14:paraId="54794722" w14:textId="5F70D29B" w:rsidR="002C5722" w:rsidRPr="002C5722" w:rsidRDefault="002C5722" w:rsidP="002C5722">
            <w:pPr>
              <w:pStyle w:val="TableParagraph"/>
              <w:spacing w:before="60" w:after="60"/>
              <w:ind w:left="-42" w:right="170" w:firstLine="99"/>
              <w:jc w:val="right"/>
              <w:rPr>
                <w:rFonts w:ascii="Segoe UI" w:hAnsi="Segoe UI" w:cs="Segoe UI"/>
                <w:sz w:val="16"/>
                <w:szCs w:val="16"/>
              </w:rPr>
            </w:pPr>
            <w:r w:rsidRPr="002C5722">
              <w:rPr>
                <w:rFonts w:ascii="Segoe UI" w:hAnsi="Segoe UI" w:cs="Segoe UI"/>
                <w:sz w:val="16"/>
                <w:szCs w:val="16"/>
              </w:rPr>
              <w:t>781</w:t>
            </w:r>
          </w:p>
        </w:tc>
      </w:tr>
      <w:tr w:rsidR="002C5722" w:rsidRPr="002C5722" w14:paraId="600DE4A4" w14:textId="77777777" w:rsidTr="002C5722">
        <w:trPr>
          <w:trHeight w:val="344"/>
        </w:trPr>
        <w:tc>
          <w:tcPr>
            <w:tcW w:w="1276" w:type="dxa"/>
            <w:tcBorders>
              <w:top w:val="single" w:sz="4" w:space="0" w:color="A6A6A6" w:themeColor="background1" w:themeShade="A6"/>
              <w:left w:val="nil"/>
              <w:bottom w:val="single" w:sz="4" w:space="0" w:color="A6A6A6" w:themeColor="background1" w:themeShade="A6"/>
              <w:right w:val="nil"/>
            </w:tcBorders>
          </w:tcPr>
          <w:p w14:paraId="3F03B3CA" w14:textId="3EBBBC37" w:rsidR="002C5722" w:rsidRPr="002C5722" w:rsidRDefault="002C5722" w:rsidP="002C5722">
            <w:pPr>
              <w:pStyle w:val="TableParagraph"/>
              <w:spacing w:before="60" w:after="60"/>
              <w:ind w:left="-42" w:right="170" w:firstLine="99"/>
              <w:jc w:val="right"/>
              <w:rPr>
                <w:rFonts w:ascii="Segoe UI" w:hAnsi="Segoe UI" w:cs="Segoe UI"/>
                <w:b/>
                <w:bCs/>
                <w:sz w:val="16"/>
                <w:szCs w:val="16"/>
              </w:rPr>
            </w:pPr>
            <w:r w:rsidRPr="002C5722">
              <w:rPr>
                <w:rFonts w:ascii="Segoe UI" w:hAnsi="Segoe UI" w:cs="Segoe UI"/>
                <w:b/>
                <w:bCs/>
                <w:sz w:val="16"/>
                <w:szCs w:val="16"/>
              </w:rPr>
              <w:t>908</w:t>
            </w:r>
          </w:p>
        </w:tc>
        <w:tc>
          <w:tcPr>
            <w:tcW w:w="4109" w:type="dxa"/>
            <w:tcBorders>
              <w:top w:val="single" w:sz="4" w:space="0" w:color="A6A6A6" w:themeColor="background1" w:themeShade="A6"/>
              <w:left w:val="nil"/>
              <w:bottom w:val="single" w:sz="4" w:space="0" w:color="A6A6A6" w:themeColor="background1" w:themeShade="A6"/>
              <w:right w:val="nil"/>
            </w:tcBorders>
          </w:tcPr>
          <w:p w14:paraId="0C15221B" w14:textId="2D084E0C" w:rsidR="002C5722" w:rsidRPr="002C5722" w:rsidRDefault="002C5722" w:rsidP="002C5722">
            <w:pPr>
              <w:pStyle w:val="TableParagraph"/>
              <w:spacing w:before="60" w:after="60"/>
              <w:ind w:left="66" w:hanging="5"/>
              <w:rPr>
                <w:rFonts w:ascii="Segoe UI" w:hAnsi="Segoe UI" w:cs="Segoe UI"/>
                <w:b/>
                <w:bCs/>
                <w:w w:val="105"/>
                <w:sz w:val="16"/>
                <w:szCs w:val="16"/>
              </w:rPr>
            </w:pPr>
            <w:r w:rsidRPr="002C5722">
              <w:rPr>
                <w:rFonts w:ascii="Segoe UI" w:hAnsi="Segoe UI" w:cs="Segoe UI"/>
                <w:b/>
                <w:bCs/>
                <w:w w:val="105"/>
                <w:sz w:val="16"/>
                <w:szCs w:val="16"/>
              </w:rPr>
              <w:t>Total non-current portion</w:t>
            </w:r>
          </w:p>
        </w:tc>
        <w:tc>
          <w:tcPr>
            <w:tcW w:w="2655" w:type="dxa"/>
            <w:tcBorders>
              <w:top w:val="single" w:sz="4" w:space="0" w:color="A6A6A6" w:themeColor="background1" w:themeShade="A6"/>
              <w:left w:val="nil"/>
              <w:bottom w:val="single" w:sz="4" w:space="0" w:color="A6A6A6" w:themeColor="background1" w:themeShade="A6"/>
              <w:right w:val="nil"/>
            </w:tcBorders>
          </w:tcPr>
          <w:p w14:paraId="21CA117E" w14:textId="064C7A06" w:rsidR="002C5722" w:rsidRPr="002C5722" w:rsidRDefault="002C5722" w:rsidP="002C5722">
            <w:pPr>
              <w:pStyle w:val="TableParagraph"/>
              <w:spacing w:before="60" w:after="60"/>
              <w:ind w:left="-42" w:right="170" w:firstLine="99"/>
              <w:jc w:val="right"/>
              <w:rPr>
                <w:rFonts w:ascii="Segoe UI" w:hAnsi="Segoe UI" w:cs="Segoe UI"/>
                <w:b/>
                <w:bCs/>
                <w:sz w:val="16"/>
                <w:szCs w:val="16"/>
              </w:rPr>
            </w:pPr>
            <w:r w:rsidRPr="002C5722">
              <w:rPr>
                <w:rFonts w:ascii="Segoe UI" w:hAnsi="Segoe UI" w:cs="Segoe UI"/>
                <w:b/>
                <w:bCs/>
                <w:sz w:val="16"/>
                <w:szCs w:val="16"/>
              </w:rPr>
              <w:t>781</w:t>
            </w:r>
          </w:p>
        </w:tc>
      </w:tr>
      <w:tr w:rsidR="002C5722" w:rsidRPr="002C5722" w14:paraId="40275722" w14:textId="77777777" w:rsidTr="002C5722">
        <w:trPr>
          <w:trHeight w:val="344"/>
        </w:trPr>
        <w:tc>
          <w:tcPr>
            <w:tcW w:w="1276" w:type="dxa"/>
            <w:tcBorders>
              <w:top w:val="single" w:sz="4" w:space="0" w:color="A6A6A6" w:themeColor="background1" w:themeShade="A6"/>
              <w:left w:val="nil"/>
              <w:bottom w:val="single" w:sz="4" w:space="0" w:color="A6A6A6" w:themeColor="background1" w:themeShade="A6"/>
              <w:right w:val="nil"/>
            </w:tcBorders>
          </w:tcPr>
          <w:p w14:paraId="6D0CC292" w14:textId="4330580E" w:rsidR="002C5722" w:rsidRPr="002C5722" w:rsidRDefault="002C5722" w:rsidP="002C5722">
            <w:pPr>
              <w:pStyle w:val="TableParagraph"/>
              <w:spacing w:before="60" w:after="60"/>
              <w:ind w:left="-42" w:right="170" w:firstLine="99"/>
              <w:jc w:val="right"/>
              <w:rPr>
                <w:rFonts w:ascii="Segoe UI" w:hAnsi="Segoe UI" w:cs="Segoe UI"/>
                <w:b/>
                <w:bCs/>
                <w:sz w:val="16"/>
                <w:szCs w:val="16"/>
              </w:rPr>
            </w:pPr>
            <w:r w:rsidRPr="002C5722">
              <w:rPr>
                <w:rFonts w:ascii="Segoe UI" w:hAnsi="Segoe UI" w:cs="Segoe UI"/>
                <w:b/>
                <w:bCs/>
                <w:sz w:val="16"/>
                <w:szCs w:val="16"/>
              </w:rPr>
              <w:t>11,483</w:t>
            </w:r>
          </w:p>
        </w:tc>
        <w:tc>
          <w:tcPr>
            <w:tcW w:w="4109" w:type="dxa"/>
            <w:tcBorders>
              <w:top w:val="single" w:sz="4" w:space="0" w:color="A6A6A6" w:themeColor="background1" w:themeShade="A6"/>
              <w:left w:val="nil"/>
              <w:bottom w:val="single" w:sz="4" w:space="0" w:color="A6A6A6" w:themeColor="background1" w:themeShade="A6"/>
              <w:right w:val="nil"/>
            </w:tcBorders>
          </w:tcPr>
          <w:p w14:paraId="1D915C38" w14:textId="32A6EB57" w:rsidR="002C5722" w:rsidRPr="002C5722" w:rsidRDefault="002C5722" w:rsidP="002C5722">
            <w:pPr>
              <w:pStyle w:val="TableParagraph"/>
              <w:spacing w:before="60" w:after="60"/>
              <w:ind w:left="66" w:hanging="5"/>
              <w:rPr>
                <w:rFonts w:ascii="Segoe UI" w:hAnsi="Segoe UI" w:cs="Segoe UI"/>
                <w:b/>
                <w:bCs/>
                <w:w w:val="105"/>
                <w:sz w:val="16"/>
                <w:szCs w:val="16"/>
              </w:rPr>
            </w:pPr>
            <w:r w:rsidRPr="002C5722">
              <w:rPr>
                <w:rFonts w:ascii="Segoe UI" w:hAnsi="Segoe UI" w:cs="Segoe UI"/>
                <w:b/>
                <w:bCs/>
                <w:w w:val="105"/>
                <w:sz w:val="16"/>
                <w:szCs w:val="16"/>
              </w:rPr>
              <w:t>Total employee entitlements</w:t>
            </w:r>
          </w:p>
        </w:tc>
        <w:tc>
          <w:tcPr>
            <w:tcW w:w="2655" w:type="dxa"/>
            <w:tcBorders>
              <w:top w:val="single" w:sz="4" w:space="0" w:color="A6A6A6" w:themeColor="background1" w:themeShade="A6"/>
              <w:left w:val="nil"/>
              <w:bottom w:val="single" w:sz="4" w:space="0" w:color="A6A6A6" w:themeColor="background1" w:themeShade="A6"/>
              <w:right w:val="nil"/>
            </w:tcBorders>
          </w:tcPr>
          <w:p w14:paraId="6C8B8983" w14:textId="3EF1F95E" w:rsidR="002C5722" w:rsidRPr="002C5722" w:rsidRDefault="002C5722" w:rsidP="002C5722">
            <w:pPr>
              <w:pStyle w:val="TableParagraph"/>
              <w:spacing w:before="60" w:after="60"/>
              <w:ind w:left="-42" w:right="170" w:firstLine="99"/>
              <w:jc w:val="right"/>
              <w:rPr>
                <w:rFonts w:ascii="Segoe UI" w:hAnsi="Segoe UI" w:cs="Segoe UI"/>
                <w:b/>
                <w:bCs/>
                <w:sz w:val="16"/>
                <w:szCs w:val="16"/>
              </w:rPr>
            </w:pPr>
            <w:r w:rsidRPr="002C5722">
              <w:rPr>
                <w:rFonts w:ascii="Segoe UI" w:hAnsi="Segoe UI" w:cs="Segoe UI"/>
                <w:b/>
                <w:bCs/>
                <w:sz w:val="16"/>
                <w:szCs w:val="16"/>
              </w:rPr>
              <w:t>11,881</w:t>
            </w:r>
          </w:p>
        </w:tc>
      </w:tr>
    </w:tbl>
    <w:p w14:paraId="6F7A5C53" w14:textId="77777777" w:rsidR="002C5722" w:rsidRDefault="002C5722" w:rsidP="002C5722"/>
    <w:p w14:paraId="38475FA4" w14:textId="77777777" w:rsidR="002C5722" w:rsidRDefault="002C5722" w:rsidP="002C5722"/>
    <w:p w14:paraId="7B1E691A" w14:textId="77777777" w:rsidR="002C5722" w:rsidRDefault="002C5722" w:rsidP="002C5722">
      <w:pPr>
        <w:sectPr w:rsidR="002C5722" w:rsidSect="000A3324">
          <w:pgSz w:w="11907" w:h="16840" w:code="9"/>
          <w:pgMar w:top="1418" w:right="1701" w:bottom="1134" w:left="1843" w:header="284" w:footer="425" w:gutter="284"/>
          <w:cols w:space="720"/>
        </w:sectPr>
      </w:pPr>
    </w:p>
    <w:p w14:paraId="1B2EEEB8" w14:textId="77777777" w:rsidR="002C5722" w:rsidRDefault="002C5722" w:rsidP="002C5722">
      <w:pPr>
        <w:pStyle w:val="Heading4"/>
        <w:spacing w:before="0"/>
      </w:pPr>
      <w:r>
        <w:lastRenderedPageBreak/>
        <w:t>Critical accounting estimates and assumptions</w:t>
      </w:r>
    </w:p>
    <w:p w14:paraId="23D5C143" w14:textId="2B03602C" w:rsidR="002C5722" w:rsidRDefault="002C5722" w:rsidP="002C5722">
      <w:r>
        <w:t xml:space="preserve">The measurement of </w:t>
      </w:r>
      <w:proofErr w:type="gramStart"/>
      <w:r>
        <w:t>long-service</w:t>
      </w:r>
      <w:proofErr w:type="gramEnd"/>
      <w:r>
        <w:t xml:space="preserve"> leave and retirement gratuities obligations depends on a number of factors that are determined on an actuarial basis using a number of assumptions. Two key assumptions used in calculating this liability are the discount rate and the salary inflation factor. Any changes in these assumptions will affect the carrying amount of the liability.</w:t>
      </w:r>
    </w:p>
    <w:p w14:paraId="3B8D3F51" w14:textId="77777777" w:rsidR="002C5722" w:rsidRDefault="002C5722" w:rsidP="002C5722"/>
    <w:p w14:paraId="459D20C7" w14:textId="0E244AA4" w:rsidR="002C5722" w:rsidRDefault="002C5722" w:rsidP="002C5722">
      <w:r>
        <w:t>Expected future payments are discounted using discount rates derived from the yield curve of New Zealand government bonds. The discount rates used have maturities that match, as closely as possible, the estimated future cash flows. A weighted average discount rate of 5.30% (2023: 5.43%) was used. The discount rates and salary inflation factor used are those advised by the Treasury.</w:t>
      </w:r>
    </w:p>
    <w:p w14:paraId="215034D2" w14:textId="77777777" w:rsidR="002C5722" w:rsidRDefault="002C5722" w:rsidP="002C5722"/>
    <w:p w14:paraId="37FF405E" w14:textId="1D071B75" w:rsidR="002C5722" w:rsidRDefault="002C5722" w:rsidP="002C5722">
      <w:r>
        <w:t>If the discount rates were to differ by 1% from the Ministry’s estimates, with all other factors held constant, the carrying amount of the liability and the surplus or deficit would be an estimated $7,977 higher/lower (2023: $9,900 higher/lower).</w:t>
      </w:r>
    </w:p>
    <w:p w14:paraId="34B50FB3" w14:textId="77777777" w:rsidR="002C5722" w:rsidRDefault="002C5722" w:rsidP="002C5722"/>
    <w:p w14:paraId="1CAE8A10" w14:textId="77777777" w:rsidR="002C5722" w:rsidRDefault="002C5722" w:rsidP="002C5722">
      <w:r>
        <w:t>If the salary inflation rates were to differ by 1% from the Ministry’s estimates, with all other factors held constant, the carrying amount of the total liability and the surplus or deficit would be an estimated $13,129 higher/lower (2023: $15,147 higher/lower).</w:t>
      </w:r>
    </w:p>
    <w:p w14:paraId="7500ADFC" w14:textId="1758D509" w:rsidR="002C5722" w:rsidRDefault="002C5722" w:rsidP="007123AC">
      <w:pPr>
        <w:pStyle w:val="Heading3"/>
        <w:numPr>
          <w:ilvl w:val="6"/>
          <w:numId w:val="5"/>
        </w:numPr>
        <w:tabs>
          <w:tab w:val="num" w:pos="5040"/>
        </w:tabs>
        <w:ind w:left="709" w:hanging="709"/>
      </w:pPr>
      <w:r>
        <w:t>Equity</w:t>
      </w:r>
    </w:p>
    <w:p w14:paraId="56ECCC90" w14:textId="77777777" w:rsidR="002C5722" w:rsidRDefault="002C5722" w:rsidP="002C5722">
      <w:pPr>
        <w:pStyle w:val="Heading4"/>
      </w:pPr>
      <w:r>
        <w:t>Accounting policy</w:t>
      </w:r>
      <w:r>
        <w:tab/>
      </w:r>
    </w:p>
    <w:p w14:paraId="1D6533C5" w14:textId="5A064A51" w:rsidR="002C5722" w:rsidRDefault="002C5722" w:rsidP="002C5722">
      <w:r>
        <w:t>Equity is the Crown’s investment in the Ministry and is measured as the difference between total assets and total liabilities (net assets).</w:t>
      </w:r>
    </w:p>
    <w:p w14:paraId="3694DC28" w14:textId="77777777" w:rsidR="002C5722" w:rsidRDefault="002C5722" w:rsidP="002C5722">
      <w:pPr>
        <w:pStyle w:val="Heading4"/>
      </w:pPr>
      <w:r>
        <w:t xml:space="preserve">Capital </w:t>
      </w:r>
      <w:proofErr w:type="gramStart"/>
      <w:r>
        <w:t>management</w:t>
      </w:r>
      <w:proofErr w:type="gramEnd"/>
      <w:r>
        <w:tab/>
      </w:r>
    </w:p>
    <w:p w14:paraId="72DC3DBD" w14:textId="2DE34D18" w:rsidR="002C5722" w:rsidRDefault="002C5722" w:rsidP="002C5722">
      <w:r>
        <w:t>The Ministry’s capital is its equity, which comprise taxpayers’ funds, memorandum accounts and property revaluation reserve.</w:t>
      </w:r>
    </w:p>
    <w:p w14:paraId="04115588" w14:textId="77777777" w:rsidR="002C5722" w:rsidRDefault="002C5722" w:rsidP="002C5722"/>
    <w:p w14:paraId="063967B6" w14:textId="280B04A5" w:rsidR="002C5722" w:rsidRDefault="002C5722" w:rsidP="002C5722">
      <w:r>
        <w:t>The Ministry manages its revenues, expenses, assets, liabilities and general financial dealings prudently. The Ministry’s equity is largely managed as a by-product of managing revenue, expenses, assets and liabilities, as well as through compliance with the government budget processes, Treasury instructions and the Public Finance Act 1989.</w:t>
      </w:r>
    </w:p>
    <w:p w14:paraId="49BDF74C" w14:textId="77777777" w:rsidR="002C5722" w:rsidRDefault="002C5722" w:rsidP="002C5722"/>
    <w:p w14:paraId="797C50F5" w14:textId="77777777" w:rsidR="002C5722" w:rsidRDefault="002C5722" w:rsidP="002C5722">
      <w:r>
        <w:t>The objective of managing the Ministry’s equity is to ensure that the Ministry effectively achieves the goals and objectives for which it has been established, while remaining a going concern.</w:t>
      </w:r>
    </w:p>
    <w:p w14:paraId="308F1BCB" w14:textId="77777777" w:rsidR="002C5722" w:rsidRDefault="002C5722" w:rsidP="002C5722">
      <w:pPr>
        <w:pStyle w:val="Heading4"/>
      </w:pPr>
      <w:r>
        <w:t>Memorandum accounts</w:t>
      </w:r>
    </w:p>
    <w:p w14:paraId="372A05E5" w14:textId="77777777" w:rsidR="002C5722" w:rsidRDefault="002C5722" w:rsidP="002C5722">
      <w:r>
        <w:t>Memorandum accounts reflect the cumulative surplus or deficit on those departmental services provided that are intended to be fully cost recovered from third parties through fees, levies or charges. The balance of each memorandum account is expected to trend toward zero over time.</w:t>
      </w:r>
    </w:p>
    <w:p w14:paraId="0D6C8322" w14:textId="77777777" w:rsidR="002C5722" w:rsidRDefault="002C5722" w:rsidP="002C5722"/>
    <w:p w14:paraId="1616DF40" w14:textId="77777777" w:rsidR="002C5722" w:rsidRDefault="002C5722" w:rsidP="002C5722">
      <w:pPr>
        <w:pStyle w:val="Heading4"/>
      </w:pPr>
      <w:r>
        <w:lastRenderedPageBreak/>
        <w:t>Property revaluation reserve</w:t>
      </w:r>
    </w:p>
    <w:p w14:paraId="7E83220F" w14:textId="77777777" w:rsidR="002C5722" w:rsidRDefault="002C5722" w:rsidP="002C5722">
      <w:r>
        <w:t>Property revaluation reserve is the result of land revaluation to fair value.</w:t>
      </w:r>
    </w:p>
    <w:p w14:paraId="332E0F0A" w14:textId="77777777" w:rsidR="002C5722" w:rsidRDefault="002C5722" w:rsidP="002C5722"/>
    <w:tbl>
      <w:tblPr>
        <w:tblW w:w="7935" w:type="dxa"/>
        <w:tblLayout w:type="fixed"/>
        <w:tblCellMar>
          <w:left w:w="0" w:type="dxa"/>
          <w:right w:w="0" w:type="dxa"/>
        </w:tblCellMar>
        <w:tblLook w:val="01E0" w:firstRow="1" w:lastRow="1" w:firstColumn="1" w:lastColumn="1" w:noHBand="0" w:noVBand="0"/>
      </w:tblPr>
      <w:tblGrid>
        <w:gridCol w:w="1275"/>
        <w:gridCol w:w="5102"/>
        <w:gridCol w:w="1558"/>
      </w:tblGrid>
      <w:tr w:rsidR="002C5722" w14:paraId="73A65C41" w14:textId="77777777" w:rsidTr="002C5722">
        <w:trPr>
          <w:trHeight w:val="850"/>
        </w:trPr>
        <w:tc>
          <w:tcPr>
            <w:tcW w:w="1275" w:type="dxa"/>
            <w:shd w:val="clear" w:color="auto" w:fill="D9D9D9" w:themeFill="background1" w:themeFillShade="D9"/>
            <w:hideMark/>
          </w:tcPr>
          <w:p w14:paraId="42857280" w14:textId="77777777" w:rsidR="002C5722" w:rsidRDefault="002C5722">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 xml:space="preserve">Actual </w:t>
            </w:r>
          </w:p>
          <w:p w14:paraId="14866F32" w14:textId="662D1924" w:rsidR="002C5722" w:rsidRDefault="002C5722">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2023</w:t>
            </w:r>
          </w:p>
          <w:p w14:paraId="04648AB7" w14:textId="77777777" w:rsidR="002C5722" w:rsidRDefault="002C5722">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5102" w:type="dxa"/>
            <w:shd w:val="clear" w:color="auto" w:fill="D9D9D9" w:themeFill="background1" w:themeFillShade="D9"/>
          </w:tcPr>
          <w:p w14:paraId="202A2EC7" w14:textId="77777777" w:rsidR="002C5722" w:rsidRDefault="002C5722">
            <w:pPr>
              <w:pStyle w:val="TableParagraph"/>
              <w:rPr>
                <w:rFonts w:ascii="Times New Roman"/>
                <w:b/>
                <w:bCs/>
                <w:sz w:val="18"/>
              </w:rPr>
            </w:pPr>
          </w:p>
        </w:tc>
        <w:tc>
          <w:tcPr>
            <w:tcW w:w="1558" w:type="dxa"/>
            <w:shd w:val="clear" w:color="auto" w:fill="D9D9D9" w:themeFill="background1" w:themeFillShade="D9"/>
            <w:hideMark/>
          </w:tcPr>
          <w:p w14:paraId="0D5146C9" w14:textId="77777777" w:rsidR="002C5722" w:rsidRDefault="002C5722">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Actual</w:t>
            </w:r>
          </w:p>
          <w:p w14:paraId="0215533B" w14:textId="533840A7" w:rsidR="002C5722" w:rsidRDefault="002C5722">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0726B97B" w14:textId="77777777" w:rsidR="002C5722" w:rsidRDefault="002C5722">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r>
      <w:tr w:rsidR="002C5722" w14:paraId="7592D1AA" w14:textId="77777777" w:rsidTr="002C5722">
        <w:trPr>
          <w:trHeight w:val="354"/>
        </w:trPr>
        <w:tc>
          <w:tcPr>
            <w:tcW w:w="1275" w:type="dxa"/>
          </w:tcPr>
          <w:p w14:paraId="502E1FC4" w14:textId="77777777" w:rsidR="002C5722" w:rsidRDefault="002C5722">
            <w:pPr>
              <w:pStyle w:val="TableParagraph"/>
              <w:spacing w:before="60" w:after="60"/>
              <w:ind w:left="-42" w:right="170" w:firstLine="99"/>
              <w:jc w:val="right"/>
              <w:rPr>
                <w:rFonts w:ascii="Segoe UI" w:hAnsi="Segoe UI" w:cs="Segoe UI"/>
                <w:b/>
                <w:bCs/>
                <w:sz w:val="16"/>
                <w:szCs w:val="16"/>
              </w:rPr>
            </w:pPr>
          </w:p>
        </w:tc>
        <w:tc>
          <w:tcPr>
            <w:tcW w:w="5102" w:type="dxa"/>
            <w:hideMark/>
          </w:tcPr>
          <w:p w14:paraId="14857DFE" w14:textId="77777777" w:rsidR="002C5722" w:rsidRDefault="002C5722">
            <w:pPr>
              <w:pStyle w:val="TableParagraph"/>
              <w:spacing w:before="60" w:after="60"/>
              <w:ind w:left="66" w:hanging="5"/>
              <w:rPr>
                <w:rFonts w:ascii="Segoe UI" w:hAnsi="Segoe UI" w:cs="Segoe UI"/>
                <w:b/>
                <w:bCs/>
                <w:w w:val="105"/>
                <w:sz w:val="16"/>
                <w:szCs w:val="16"/>
              </w:rPr>
            </w:pPr>
            <w:r>
              <w:rPr>
                <w:rFonts w:ascii="Segoe UI" w:hAnsi="Segoe UI" w:cs="Segoe UI"/>
                <w:b/>
                <w:bCs/>
                <w:w w:val="105"/>
                <w:sz w:val="16"/>
                <w:szCs w:val="16"/>
              </w:rPr>
              <w:t>Taxpayers’ funds</w:t>
            </w:r>
          </w:p>
        </w:tc>
        <w:tc>
          <w:tcPr>
            <w:tcW w:w="1558" w:type="dxa"/>
          </w:tcPr>
          <w:p w14:paraId="603F404E" w14:textId="77777777" w:rsidR="002C5722" w:rsidRDefault="002C5722">
            <w:pPr>
              <w:pStyle w:val="TableParagraph"/>
              <w:spacing w:before="60" w:after="60"/>
              <w:ind w:left="-42" w:right="152" w:firstLine="99"/>
              <w:jc w:val="right"/>
              <w:rPr>
                <w:rFonts w:ascii="Segoe UI" w:hAnsi="Segoe UI" w:cs="Segoe UI"/>
                <w:b/>
                <w:bCs/>
                <w:w w:val="110"/>
                <w:sz w:val="16"/>
                <w:szCs w:val="16"/>
              </w:rPr>
            </w:pPr>
          </w:p>
        </w:tc>
      </w:tr>
      <w:tr w:rsidR="00C47C6C" w14:paraId="34046D1E" w14:textId="77777777" w:rsidTr="00C47C6C">
        <w:trPr>
          <w:trHeight w:val="359"/>
        </w:trPr>
        <w:tc>
          <w:tcPr>
            <w:tcW w:w="1275" w:type="dxa"/>
          </w:tcPr>
          <w:p w14:paraId="1C826517" w14:textId="368D420E" w:rsidR="00C47C6C" w:rsidRPr="00C47C6C" w:rsidRDefault="00C47C6C" w:rsidP="00C47C6C">
            <w:pPr>
              <w:pStyle w:val="TableParagraph"/>
              <w:spacing w:before="60" w:after="60"/>
              <w:ind w:left="-42" w:right="152" w:firstLine="99"/>
              <w:jc w:val="right"/>
              <w:rPr>
                <w:rFonts w:ascii="Segoe UI" w:hAnsi="Segoe UI" w:cs="Segoe UI"/>
                <w:w w:val="110"/>
                <w:sz w:val="16"/>
                <w:szCs w:val="16"/>
              </w:rPr>
            </w:pPr>
            <w:r w:rsidRPr="00C47C6C">
              <w:rPr>
                <w:rFonts w:ascii="Segoe UI" w:hAnsi="Segoe UI" w:cs="Segoe UI"/>
                <w:w w:val="110"/>
                <w:sz w:val="16"/>
                <w:szCs w:val="16"/>
              </w:rPr>
              <w:t>25,961</w:t>
            </w:r>
          </w:p>
        </w:tc>
        <w:tc>
          <w:tcPr>
            <w:tcW w:w="5102" w:type="dxa"/>
            <w:hideMark/>
          </w:tcPr>
          <w:p w14:paraId="516CE06C" w14:textId="3DA9134B" w:rsidR="00C47C6C" w:rsidRPr="00C47C6C" w:rsidRDefault="00C47C6C" w:rsidP="00C47C6C">
            <w:pPr>
              <w:pStyle w:val="TableParagraph"/>
              <w:spacing w:before="60" w:after="60"/>
              <w:ind w:left="66" w:hanging="5"/>
              <w:rPr>
                <w:rFonts w:ascii="Segoe UI" w:hAnsi="Segoe UI" w:cs="Segoe UI"/>
                <w:w w:val="105"/>
                <w:sz w:val="16"/>
                <w:szCs w:val="16"/>
              </w:rPr>
            </w:pPr>
            <w:r w:rsidRPr="00C47C6C">
              <w:rPr>
                <w:rFonts w:ascii="Segoe UI" w:hAnsi="Segoe UI" w:cs="Segoe UI"/>
                <w:w w:val="105"/>
                <w:sz w:val="16"/>
                <w:szCs w:val="16"/>
              </w:rPr>
              <w:t xml:space="preserve">Balance as </w:t>
            </w:r>
            <w:proofErr w:type="gramStart"/>
            <w:r w:rsidRPr="00C47C6C">
              <w:rPr>
                <w:rFonts w:ascii="Segoe UI" w:hAnsi="Segoe UI" w:cs="Segoe UI"/>
                <w:w w:val="105"/>
                <w:sz w:val="16"/>
                <w:szCs w:val="16"/>
              </w:rPr>
              <w:t>at</w:t>
            </w:r>
            <w:proofErr w:type="gramEnd"/>
            <w:r w:rsidRPr="00C47C6C">
              <w:rPr>
                <w:rFonts w:ascii="Segoe UI" w:hAnsi="Segoe UI" w:cs="Segoe UI"/>
                <w:w w:val="105"/>
                <w:sz w:val="16"/>
                <w:szCs w:val="16"/>
              </w:rPr>
              <w:t xml:space="preserve"> 1 July</w:t>
            </w:r>
          </w:p>
        </w:tc>
        <w:tc>
          <w:tcPr>
            <w:tcW w:w="1558" w:type="dxa"/>
          </w:tcPr>
          <w:p w14:paraId="58EA6A7F" w14:textId="0F04859D" w:rsidR="00C47C6C" w:rsidRDefault="00C47C6C" w:rsidP="00C47C6C">
            <w:pPr>
              <w:pStyle w:val="TableParagraph"/>
              <w:spacing w:before="60" w:after="60"/>
              <w:ind w:left="-42" w:right="152" w:firstLine="99"/>
              <w:jc w:val="right"/>
              <w:rPr>
                <w:rFonts w:ascii="Segoe UI" w:hAnsi="Segoe UI" w:cs="Segoe UI"/>
                <w:w w:val="110"/>
                <w:sz w:val="16"/>
                <w:szCs w:val="16"/>
              </w:rPr>
            </w:pPr>
            <w:r w:rsidRPr="00C47C6C">
              <w:rPr>
                <w:rFonts w:ascii="Segoe UI" w:hAnsi="Segoe UI" w:cs="Segoe UI"/>
                <w:w w:val="110"/>
                <w:sz w:val="16"/>
                <w:szCs w:val="16"/>
              </w:rPr>
              <w:t>9,390</w:t>
            </w:r>
          </w:p>
        </w:tc>
      </w:tr>
      <w:tr w:rsidR="00C47C6C" w14:paraId="710A26F7" w14:textId="77777777" w:rsidTr="00C47C6C">
        <w:trPr>
          <w:trHeight w:val="359"/>
        </w:trPr>
        <w:tc>
          <w:tcPr>
            <w:tcW w:w="1275" w:type="dxa"/>
          </w:tcPr>
          <w:p w14:paraId="28DAEFB7" w14:textId="642BE295" w:rsidR="00C47C6C" w:rsidRPr="00C47C6C" w:rsidRDefault="00C47C6C" w:rsidP="00C47C6C">
            <w:pPr>
              <w:pStyle w:val="TableParagraph"/>
              <w:spacing w:before="60" w:after="60"/>
              <w:ind w:left="-42" w:right="152" w:firstLine="99"/>
              <w:jc w:val="right"/>
              <w:rPr>
                <w:rFonts w:ascii="Segoe UI" w:hAnsi="Segoe UI" w:cs="Segoe UI"/>
                <w:w w:val="110"/>
                <w:sz w:val="16"/>
                <w:szCs w:val="16"/>
              </w:rPr>
            </w:pPr>
            <w:r w:rsidRPr="00C47C6C">
              <w:rPr>
                <w:rFonts w:ascii="Segoe UI" w:hAnsi="Segoe UI" w:cs="Segoe UI"/>
                <w:w w:val="110"/>
                <w:sz w:val="16"/>
                <w:szCs w:val="16"/>
              </w:rPr>
              <w:t>33,155</w:t>
            </w:r>
          </w:p>
        </w:tc>
        <w:tc>
          <w:tcPr>
            <w:tcW w:w="5102" w:type="dxa"/>
            <w:hideMark/>
          </w:tcPr>
          <w:p w14:paraId="722B14D2" w14:textId="6EF8EF8F" w:rsidR="00C47C6C" w:rsidRPr="00C47C6C" w:rsidRDefault="00C47C6C" w:rsidP="00C47C6C">
            <w:pPr>
              <w:pStyle w:val="TableParagraph"/>
              <w:spacing w:before="60" w:after="60"/>
              <w:ind w:left="66" w:hanging="5"/>
              <w:rPr>
                <w:rFonts w:ascii="Segoe UI" w:hAnsi="Segoe UI" w:cs="Segoe UI"/>
                <w:w w:val="105"/>
                <w:sz w:val="16"/>
                <w:szCs w:val="16"/>
              </w:rPr>
            </w:pPr>
            <w:r w:rsidRPr="00C47C6C">
              <w:rPr>
                <w:rFonts w:ascii="Segoe UI" w:hAnsi="Segoe UI" w:cs="Segoe UI"/>
                <w:w w:val="105"/>
                <w:sz w:val="16"/>
                <w:szCs w:val="16"/>
              </w:rPr>
              <w:t>Net surplus/(deficit)</w:t>
            </w:r>
          </w:p>
        </w:tc>
        <w:tc>
          <w:tcPr>
            <w:tcW w:w="1558" w:type="dxa"/>
          </w:tcPr>
          <w:p w14:paraId="79CAB838" w14:textId="3B869FBE" w:rsidR="00C47C6C" w:rsidRDefault="00C47C6C" w:rsidP="00C47C6C">
            <w:pPr>
              <w:pStyle w:val="TableParagraph"/>
              <w:spacing w:before="60" w:after="60"/>
              <w:ind w:left="-42" w:right="152" w:firstLine="99"/>
              <w:jc w:val="right"/>
              <w:rPr>
                <w:rFonts w:ascii="Segoe UI" w:hAnsi="Segoe UI" w:cs="Segoe UI"/>
                <w:w w:val="110"/>
                <w:sz w:val="16"/>
                <w:szCs w:val="16"/>
              </w:rPr>
            </w:pPr>
            <w:r w:rsidRPr="00C47C6C">
              <w:rPr>
                <w:rFonts w:ascii="Segoe UI" w:hAnsi="Segoe UI" w:cs="Segoe UI"/>
                <w:w w:val="110"/>
                <w:sz w:val="16"/>
                <w:szCs w:val="16"/>
              </w:rPr>
              <w:t>14,862</w:t>
            </w:r>
          </w:p>
        </w:tc>
      </w:tr>
      <w:tr w:rsidR="00C47C6C" w14:paraId="7C2C80F7" w14:textId="77777777" w:rsidTr="00C47C6C">
        <w:trPr>
          <w:trHeight w:val="359"/>
        </w:trPr>
        <w:tc>
          <w:tcPr>
            <w:tcW w:w="1275" w:type="dxa"/>
          </w:tcPr>
          <w:p w14:paraId="2D85BDDA" w14:textId="02A0639F" w:rsidR="00C47C6C" w:rsidRPr="00C47C6C" w:rsidRDefault="00C47C6C" w:rsidP="00C47C6C">
            <w:pPr>
              <w:pStyle w:val="TableParagraph"/>
              <w:spacing w:before="60" w:after="60"/>
              <w:ind w:left="-42" w:right="152" w:firstLine="99"/>
              <w:jc w:val="right"/>
              <w:rPr>
                <w:rFonts w:ascii="Segoe UI" w:hAnsi="Segoe UI" w:cs="Segoe UI"/>
                <w:w w:val="110"/>
                <w:sz w:val="16"/>
                <w:szCs w:val="16"/>
              </w:rPr>
            </w:pPr>
            <w:r w:rsidRPr="00C47C6C">
              <w:rPr>
                <w:rFonts w:ascii="Segoe UI" w:hAnsi="Segoe UI" w:cs="Segoe UI"/>
                <w:w w:val="110"/>
                <w:sz w:val="16"/>
                <w:szCs w:val="16"/>
              </w:rPr>
              <w:t>974</w:t>
            </w:r>
          </w:p>
        </w:tc>
        <w:tc>
          <w:tcPr>
            <w:tcW w:w="5102" w:type="dxa"/>
            <w:hideMark/>
          </w:tcPr>
          <w:p w14:paraId="7ED1323A" w14:textId="4D118F73" w:rsidR="00C47C6C" w:rsidRPr="00C47C6C" w:rsidRDefault="00C47C6C" w:rsidP="00C47C6C">
            <w:pPr>
              <w:pStyle w:val="TableParagraph"/>
              <w:spacing w:before="60" w:after="60"/>
              <w:ind w:left="66" w:hanging="5"/>
              <w:rPr>
                <w:rFonts w:ascii="Segoe UI" w:hAnsi="Segoe UI" w:cs="Segoe UI"/>
                <w:w w:val="105"/>
                <w:sz w:val="16"/>
                <w:szCs w:val="16"/>
              </w:rPr>
            </w:pPr>
            <w:r w:rsidRPr="00C47C6C">
              <w:rPr>
                <w:rFonts w:ascii="Segoe UI" w:hAnsi="Segoe UI" w:cs="Segoe UI"/>
                <w:w w:val="105"/>
                <w:sz w:val="16"/>
                <w:szCs w:val="16"/>
              </w:rPr>
              <w:t>Transfer of memorandum account net deficit for the year</w:t>
            </w:r>
          </w:p>
        </w:tc>
        <w:tc>
          <w:tcPr>
            <w:tcW w:w="1558" w:type="dxa"/>
          </w:tcPr>
          <w:p w14:paraId="3A80D9B3" w14:textId="36AB0F58" w:rsidR="00C47C6C" w:rsidRDefault="00C47C6C" w:rsidP="00C47C6C">
            <w:pPr>
              <w:pStyle w:val="TableParagraph"/>
              <w:spacing w:before="60" w:after="60"/>
              <w:ind w:left="-42" w:right="152" w:firstLine="99"/>
              <w:jc w:val="right"/>
              <w:rPr>
                <w:rFonts w:ascii="Segoe UI" w:hAnsi="Segoe UI" w:cs="Segoe UI"/>
                <w:w w:val="110"/>
                <w:sz w:val="16"/>
                <w:szCs w:val="16"/>
              </w:rPr>
            </w:pPr>
            <w:r w:rsidRPr="00C47C6C">
              <w:rPr>
                <w:rFonts w:ascii="Segoe UI" w:hAnsi="Segoe UI" w:cs="Segoe UI"/>
                <w:w w:val="110"/>
                <w:sz w:val="16"/>
                <w:szCs w:val="16"/>
              </w:rPr>
              <w:t>481</w:t>
            </w:r>
          </w:p>
        </w:tc>
      </w:tr>
      <w:tr w:rsidR="00C47C6C" w14:paraId="70AD624A" w14:textId="77777777" w:rsidTr="00C47C6C">
        <w:trPr>
          <w:trHeight w:val="359"/>
        </w:trPr>
        <w:tc>
          <w:tcPr>
            <w:tcW w:w="1275" w:type="dxa"/>
          </w:tcPr>
          <w:p w14:paraId="525C74DF" w14:textId="5E1A770B" w:rsidR="00C47C6C" w:rsidRPr="00C47C6C" w:rsidRDefault="00C47C6C" w:rsidP="00C47C6C">
            <w:pPr>
              <w:pStyle w:val="TableParagraph"/>
              <w:spacing w:before="60" w:after="60"/>
              <w:ind w:left="-42" w:right="152" w:firstLine="99"/>
              <w:jc w:val="right"/>
              <w:rPr>
                <w:rFonts w:ascii="Segoe UI" w:hAnsi="Segoe UI" w:cs="Segoe UI"/>
                <w:w w:val="110"/>
                <w:sz w:val="16"/>
                <w:szCs w:val="16"/>
              </w:rPr>
            </w:pPr>
            <w:r w:rsidRPr="00C47C6C">
              <w:rPr>
                <w:rFonts w:ascii="Segoe UI" w:hAnsi="Segoe UI" w:cs="Segoe UI"/>
                <w:w w:val="110"/>
                <w:sz w:val="16"/>
                <w:szCs w:val="16"/>
              </w:rPr>
              <w:t>(34,129)</w:t>
            </w:r>
          </w:p>
        </w:tc>
        <w:tc>
          <w:tcPr>
            <w:tcW w:w="5102" w:type="dxa"/>
            <w:hideMark/>
          </w:tcPr>
          <w:p w14:paraId="3FFC73A4" w14:textId="180AB5DF" w:rsidR="00C47C6C" w:rsidRPr="00C47C6C" w:rsidRDefault="00C47C6C" w:rsidP="00C47C6C">
            <w:pPr>
              <w:pStyle w:val="TableParagraph"/>
              <w:spacing w:before="60" w:after="60"/>
              <w:ind w:left="66" w:hanging="5"/>
              <w:rPr>
                <w:rFonts w:ascii="Segoe UI" w:hAnsi="Segoe UI" w:cs="Segoe UI"/>
                <w:w w:val="105"/>
                <w:sz w:val="16"/>
                <w:szCs w:val="16"/>
              </w:rPr>
            </w:pPr>
            <w:r w:rsidRPr="00C47C6C">
              <w:rPr>
                <w:rFonts w:ascii="Segoe UI" w:hAnsi="Segoe UI" w:cs="Segoe UI"/>
                <w:w w:val="105"/>
                <w:sz w:val="16"/>
                <w:szCs w:val="16"/>
              </w:rPr>
              <w:t>Return of operating surplus to the Crown</w:t>
            </w:r>
          </w:p>
        </w:tc>
        <w:tc>
          <w:tcPr>
            <w:tcW w:w="1558" w:type="dxa"/>
          </w:tcPr>
          <w:p w14:paraId="52ED323E" w14:textId="5B787C35" w:rsidR="00C47C6C" w:rsidRDefault="00C47C6C" w:rsidP="00C47C6C">
            <w:pPr>
              <w:pStyle w:val="TableParagraph"/>
              <w:spacing w:before="60" w:after="60"/>
              <w:ind w:left="-42" w:right="152" w:firstLine="99"/>
              <w:jc w:val="right"/>
              <w:rPr>
                <w:rFonts w:ascii="Segoe UI" w:hAnsi="Segoe UI" w:cs="Segoe UI"/>
                <w:w w:val="110"/>
                <w:sz w:val="16"/>
                <w:szCs w:val="16"/>
              </w:rPr>
            </w:pPr>
            <w:r w:rsidRPr="00C47C6C">
              <w:rPr>
                <w:rFonts w:ascii="Segoe UI" w:hAnsi="Segoe UI" w:cs="Segoe UI"/>
                <w:w w:val="110"/>
                <w:sz w:val="16"/>
                <w:szCs w:val="16"/>
              </w:rPr>
              <w:t>(15,343)</w:t>
            </w:r>
          </w:p>
        </w:tc>
      </w:tr>
      <w:tr w:rsidR="00C47C6C" w14:paraId="6D987BC6" w14:textId="77777777" w:rsidTr="00C47C6C">
        <w:trPr>
          <w:trHeight w:val="359"/>
        </w:trPr>
        <w:tc>
          <w:tcPr>
            <w:tcW w:w="1275" w:type="dxa"/>
          </w:tcPr>
          <w:p w14:paraId="46A0B50E" w14:textId="3855C840" w:rsidR="00C47C6C" w:rsidRPr="00C47C6C" w:rsidRDefault="00C47C6C" w:rsidP="00C47C6C">
            <w:pPr>
              <w:pStyle w:val="TableParagraph"/>
              <w:spacing w:before="60" w:after="60"/>
              <w:ind w:left="-42" w:right="152" w:firstLine="99"/>
              <w:jc w:val="right"/>
              <w:rPr>
                <w:rFonts w:ascii="Segoe UI" w:hAnsi="Segoe UI" w:cs="Segoe UI"/>
                <w:w w:val="110"/>
                <w:sz w:val="16"/>
                <w:szCs w:val="16"/>
              </w:rPr>
            </w:pPr>
            <w:r w:rsidRPr="00C47C6C">
              <w:rPr>
                <w:rFonts w:ascii="Segoe UI" w:hAnsi="Segoe UI" w:cs="Segoe UI"/>
                <w:w w:val="110"/>
                <w:sz w:val="16"/>
                <w:szCs w:val="16"/>
              </w:rPr>
              <w:t>943</w:t>
            </w:r>
          </w:p>
        </w:tc>
        <w:tc>
          <w:tcPr>
            <w:tcW w:w="5102" w:type="dxa"/>
            <w:hideMark/>
          </w:tcPr>
          <w:p w14:paraId="1E4EC3D0" w14:textId="2A6581A8" w:rsidR="00C47C6C" w:rsidRPr="00C47C6C" w:rsidRDefault="00C47C6C" w:rsidP="00C47C6C">
            <w:pPr>
              <w:pStyle w:val="TableParagraph"/>
              <w:spacing w:before="60" w:after="60"/>
              <w:ind w:left="66" w:hanging="5"/>
              <w:rPr>
                <w:rFonts w:ascii="Segoe UI" w:hAnsi="Segoe UI" w:cs="Segoe UI"/>
                <w:w w:val="105"/>
                <w:sz w:val="16"/>
                <w:szCs w:val="16"/>
              </w:rPr>
            </w:pPr>
            <w:r w:rsidRPr="00C47C6C">
              <w:rPr>
                <w:rFonts w:ascii="Segoe UI" w:hAnsi="Segoe UI" w:cs="Segoe UI"/>
                <w:w w:val="105"/>
                <w:sz w:val="16"/>
                <w:szCs w:val="16"/>
              </w:rPr>
              <w:t xml:space="preserve">Capital injection – </w:t>
            </w:r>
            <w:proofErr w:type="gramStart"/>
            <w:r w:rsidRPr="00C47C6C">
              <w:rPr>
                <w:rFonts w:ascii="Segoe UI" w:hAnsi="Segoe UI" w:cs="Segoe UI"/>
                <w:w w:val="105"/>
                <w:sz w:val="16"/>
                <w:szCs w:val="16"/>
              </w:rPr>
              <w:t>non cash</w:t>
            </w:r>
            <w:proofErr w:type="gramEnd"/>
          </w:p>
        </w:tc>
        <w:tc>
          <w:tcPr>
            <w:tcW w:w="1558" w:type="dxa"/>
          </w:tcPr>
          <w:p w14:paraId="4EBAC15A" w14:textId="3841E3E8" w:rsidR="00C47C6C" w:rsidRDefault="00C47C6C" w:rsidP="00C47C6C">
            <w:pPr>
              <w:pStyle w:val="TableParagraph"/>
              <w:spacing w:before="60" w:after="60"/>
              <w:ind w:left="-42" w:right="152" w:firstLine="99"/>
              <w:jc w:val="right"/>
              <w:rPr>
                <w:rFonts w:ascii="Segoe UI" w:hAnsi="Segoe UI" w:cs="Segoe UI"/>
                <w:w w:val="110"/>
                <w:sz w:val="16"/>
                <w:szCs w:val="16"/>
              </w:rPr>
            </w:pPr>
            <w:r w:rsidRPr="00C47C6C">
              <w:rPr>
                <w:rFonts w:ascii="Segoe UI" w:hAnsi="Segoe UI" w:cs="Segoe UI"/>
                <w:w w:val="110"/>
                <w:sz w:val="16"/>
                <w:szCs w:val="16"/>
              </w:rPr>
              <w:t>–</w:t>
            </w:r>
          </w:p>
        </w:tc>
      </w:tr>
      <w:tr w:rsidR="00C47C6C" w14:paraId="57034B22" w14:textId="77777777" w:rsidTr="00C47C6C">
        <w:trPr>
          <w:trHeight w:val="359"/>
        </w:trPr>
        <w:tc>
          <w:tcPr>
            <w:tcW w:w="1275" w:type="dxa"/>
          </w:tcPr>
          <w:p w14:paraId="0DD15238" w14:textId="4DF01544" w:rsidR="00C47C6C" w:rsidRPr="00C47C6C" w:rsidRDefault="00C47C6C" w:rsidP="00C47C6C">
            <w:pPr>
              <w:pStyle w:val="TableParagraph"/>
              <w:spacing w:before="60" w:after="60"/>
              <w:ind w:left="-42" w:right="152" w:firstLine="99"/>
              <w:jc w:val="right"/>
              <w:rPr>
                <w:rFonts w:ascii="Segoe UI" w:hAnsi="Segoe UI" w:cs="Segoe UI"/>
                <w:w w:val="110"/>
                <w:sz w:val="16"/>
                <w:szCs w:val="16"/>
              </w:rPr>
            </w:pPr>
            <w:r w:rsidRPr="00C47C6C">
              <w:rPr>
                <w:rFonts w:ascii="Segoe UI" w:hAnsi="Segoe UI" w:cs="Segoe UI"/>
                <w:w w:val="110"/>
                <w:sz w:val="16"/>
                <w:szCs w:val="16"/>
              </w:rPr>
              <w:t>(3,473)</w:t>
            </w:r>
          </w:p>
        </w:tc>
        <w:tc>
          <w:tcPr>
            <w:tcW w:w="5102" w:type="dxa"/>
            <w:hideMark/>
          </w:tcPr>
          <w:p w14:paraId="324BE86A" w14:textId="128499B5" w:rsidR="00C47C6C" w:rsidRPr="00C47C6C" w:rsidRDefault="00C47C6C" w:rsidP="00C47C6C">
            <w:pPr>
              <w:pStyle w:val="TableParagraph"/>
              <w:spacing w:before="60" w:after="60"/>
              <w:ind w:left="66" w:hanging="5"/>
              <w:rPr>
                <w:rFonts w:ascii="Segoe UI" w:hAnsi="Segoe UI" w:cs="Segoe UI"/>
                <w:w w:val="105"/>
                <w:sz w:val="16"/>
                <w:szCs w:val="16"/>
              </w:rPr>
            </w:pPr>
            <w:r w:rsidRPr="00C47C6C">
              <w:rPr>
                <w:rFonts w:ascii="Segoe UI" w:hAnsi="Segoe UI" w:cs="Segoe UI"/>
                <w:w w:val="105"/>
                <w:sz w:val="16"/>
                <w:szCs w:val="16"/>
              </w:rPr>
              <w:t>Capital withdrawal – cash</w:t>
            </w:r>
          </w:p>
        </w:tc>
        <w:tc>
          <w:tcPr>
            <w:tcW w:w="1558" w:type="dxa"/>
          </w:tcPr>
          <w:p w14:paraId="251FFB95" w14:textId="52D10F46" w:rsidR="00C47C6C" w:rsidRDefault="00C47C6C" w:rsidP="00C47C6C">
            <w:pPr>
              <w:pStyle w:val="TableParagraph"/>
              <w:spacing w:before="60" w:after="60"/>
              <w:ind w:left="-42" w:right="152" w:firstLine="99"/>
              <w:jc w:val="right"/>
              <w:rPr>
                <w:rFonts w:ascii="Segoe UI" w:hAnsi="Segoe UI" w:cs="Segoe UI"/>
                <w:w w:val="110"/>
                <w:sz w:val="16"/>
                <w:szCs w:val="16"/>
              </w:rPr>
            </w:pPr>
            <w:r w:rsidRPr="00C47C6C">
              <w:rPr>
                <w:rFonts w:ascii="Segoe UI" w:hAnsi="Segoe UI" w:cs="Segoe UI"/>
                <w:w w:val="110"/>
                <w:sz w:val="16"/>
                <w:szCs w:val="16"/>
              </w:rPr>
              <w:t>(400)</w:t>
            </w:r>
          </w:p>
        </w:tc>
      </w:tr>
      <w:tr w:rsidR="00C47C6C" w14:paraId="35F2C359" w14:textId="77777777" w:rsidTr="00C47C6C">
        <w:trPr>
          <w:trHeight w:val="359"/>
        </w:trPr>
        <w:tc>
          <w:tcPr>
            <w:tcW w:w="1275" w:type="dxa"/>
            <w:tcBorders>
              <w:bottom w:val="single" w:sz="4" w:space="0" w:color="A6A6A6" w:themeColor="background1" w:themeShade="A6"/>
            </w:tcBorders>
          </w:tcPr>
          <w:p w14:paraId="3466468C" w14:textId="0E6CBFA0" w:rsidR="00C47C6C" w:rsidRPr="00C47C6C" w:rsidRDefault="00C47C6C" w:rsidP="00C47C6C">
            <w:pPr>
              <w:pStyle w:val="TableParagraph"/>
              <w:spacing w:before="60" w:after="60"/>
              <w:ind w:left="-42" w:right="152" w:firstLine="99"/>
              <w:jc w:val="right"/>
              <w:rPr>
                <w:rFonts w:ascii="Segoe UI" w:hAnsi="Segoe UI" w:cs="Segoe UI"/>
                <w:w w:val="110"/>
                <w:sz w:val="16"/>
                <w:szCs w:val="16"/>
              </w:rPr>
            </w:pPr>
            <w:r w:rsidRPr="00C47C6C">
              <w:rPr>
                <w:rFonts w:ascii="Segoe UI" w:hAnsi="Segoe UI" w:cs="Segoe UI"/>
                <w:w w:val="110"/>
                <w:sz w:val="16"/>
                <w:szCs w:val="16"/>
              </w:rPr>
              <w:t>(14,041)</w:t>
            </w:r>
          </w:p>
        </w:tc>
        <w:tc>
          <w:tcPr>
            <w:tcW w:w="5102" w:type="dxa"/>
            <w:tcBorders>
              <w:bottom w:val="single" w:sz="4" w:space="0" w:color="A6A6A6" w:themeColor="background1" w:themeShade="A6"/>
            </w:tcBorders>
            <w:hideMark/>
          </w:tcPr>
          <w:p w14:paraId="52AD319D" w14:textId="7B37CB57" w:rsidR="00C47C6C" w:rsidRPr="00C47C6C" w:rsidRDefault="00C47C6C" w:rsidP="00C47C6C">
            <w:pPr>
              <w:pStyle w:val="TableParagraph"/>
              <w:spacing w:before="60" w:after="60"/>
              <w:ind w:left="66" w:hanging="5"/>
              <w:rPr>
                <w:rFonts w:ascii="Segoe UI" w:hAnsi="Segoe UI" w:cs="Segoe UI"/>
                <w:w w:val="105"/>
                <w:sz w:val="16"/>
                <w:szCs w:val="16"/>
              </w:rPr>
            </w:pPr>
            <w:r w:rsidRPr="00C47C6C">
              <w:rPr>
                <w:rFonts w:ascii="Segoe UI" w:hAnsi="Segoe UI" w:cs="Segoe UI"/>
                <w:w w:val="105"/>
                <w:sz w:val="16"/>
                <w:szCs w:val="16"/>
              </w:rPr>
              <w:t xml:space="preserve">Capital withdrawal – </w:t>
            </w:r>
            <w:proofErr w:type="gramStart"/>
            <w:r w:rsidRPr="00C47C6C">
              <w:rPr>
                <w:rFonts w:ascii="Segoe UI" w:hAnsi="Segoe UI" w:cs="Segoe UI"/>
                <w:w w:val="105"/>
                <w:sz w:val="16"/>
                <w:szCs w:val="16"/>
              </w:rPr>
              <w:t>non cash</w:t>
            </w:r>
            <w:proofErr w:type="gramEnd"/>
          </w:p>
        </w:tc>
        <w:tc>
          <w:tcPr>
            <w:tcW w:w="1558" w:type="dxa"/>
            <w:tcBorders>
              <w:bottom w:val="single" w:sz="4" w:space="0" w:color="A6A6A6" w:themeColor="background1" w:themeShade="A6"/>
            </w:tcBorders>
          </w:tcPr>
          <w:p w14:paraId="59553C2F" w14:textId="3943E206" w:rsidR="00C47C6C" w:rsidRDefault="00C47C6C" w:rsidP="00C47C6C">
            <w:pPr>
              <w:pStyle w:val="TableParagraph"/>
              <w:spacing w:before="60" w:after="60"/>
              <w:ind w:left="-42" w:right="152" w:firstLine="99"/>
              <w:jc w:val="right"/>
              <w:rPr>
                <w:rFonts w:ascii="Segoe UI" w:hAnsi="Segoe UI" w:cs="Segoe UI"/>
                <w:w w:val="110"/>
                <w:sz w:val="16"/>
                <w:szCs w:val="16"/>
              </w:rPr>
            </w:pPr>
            <w:r w:rsidRPr="00C47C6C">
              <w:rPr>
                <w:rFonts w:ascii="Segoe UI" w:hAnsi="Segoe UI" w:cs="Segoe UI"/>
                <w:w w:val="110"/>
                <w:sz w:val="16"/>
                <w:szCs w:val="16"/>
              </w:rPr>
              <w:t>(116)</w:t>
            </w:r>
          </w:p>
        </w:tc>
      </w:tr>
      <w:tr w:rsidR="00C47C6C" w:rsidRPr="00C47C6C" w14:paraId="3173D883" w14:textId="77777777" w:rsidTr="00C47C6C">
        <w:trPr>
          <w:trHeight w:val="348"/>
        </w:trPr>
        <w:tc>
          <w:tcPr>
            <w:tcW w:w="1275" w:type="dxa"/>
            <w:tcBorders>
              <w:top w:val="single" w:sz="4" w:space="0" w:color="A6A6A6" w:themeColor="background1" w:themeShade="A6"/>
              <w:left w:val="nil"/>
              <w:bottom w:val="single" w:sz="4" w:space="0" w:color="BFBFBF" w:themeColor="background1" w:themeShade="BF"/>
              <w:right w:val="nil"/>
            </w:tcBorders>
          </w:tcPr>
          <w:p w14:paraId="3D3CF2DE" w14:textId="7D002281" w:rsidR="00C47C6C" w:rsidRPr="00C47C6C" w:rsidRDefault="00C47C6C" w:rsidP="00C47C6C">
            <w:pPr>
              <w:pStyle w:val="TableParagraph"/>
              <w:spacing w:before="60" w:after="60"/>
              <w:ind w:left="-42" w:right="152" w:firstLine="99"/>
              <w:jc w:val="right"/>
              <w:rPr>
                <w:rFonts w:ascii="Segoe UI" w:hAnsi="Segoe UI" w:cs="Segoe UI"/>
                <w:b/>
                <w:bCs/>
                <w:w w:val="110"/>
                <w:sz w:val="16"/>
                <w:szCs w:val="16"/>
              </w:rPr>
            </w:pPr>
            <w:r w:rsidRPr="00C47C6C">
              <w:rPr>
                <w:rFonts w:ascii="Segoe UI" w:hAnsi="Segoe UI" w:cs="Segoe UI"/>
                <w:b/>
                <w:bCs/>
                <w:w w:val="110"/>
                <w:sz w:val="16"/>
                <w:szCs w:val="16"/>
              </w:rPr>
              <w:t>9,390</w:t>
            </w:r>
          </w:p>
        </w:tc>
        <w:tc>
          <w:tcPr>
            <w:tcW w:w="5102" w:type="dxa"/>
            <w:tcBorders>
              <w:top w:val="single" w:sz="4" w:space="0" w:color="A6A6A6" w:themeColor="background1" w:themeShade="A6"/>
              <w:left w:val="nil"/>
              <w:bottom w:val="single" w:sz="4" w:space="0" w:color="BFBFBF" w:themeColor="background1" w:themeShade="BF"/>
              <w:right w:val="nil"/>
            </w:tcBorders>
            <w:hideMark/>
          </w:tcPr>
          <w:p w14:paraId="663DF7B4" w14:textId="3376D809" w:rsidR="00C47C6C" w:rsidRPr="00C47C6C" w:rsidRDefault="00C47C6C" w:rsidP="00C47C6C">
            <w:pPr>
              <w:pStyle w:val="TableParagraph"/>
              <w:spacing w:before="60" w:after="60"/>
              <w:ind w:left="66" w:hanging="5"/>
              <w:rPr>
                <w:rFonts w:ascii="Segoe UI" w:hAnsi="Segoe UI" w:cs="Segoe UI"/>
                <w:b/>
                <w:bCs/>
                <w:w w:val="105"/>
                <w:sz w:val="16"/>
                <w:szCs w:val="16"/>
              </w:rPr>
            </w:pPr>
            <w:r w:rsidRPr="00C47C6C">
              <w:rPr>
                <w:rFonts w:ascii="Segoe UI" w:hAnsi="Segoe UI" w:cs="Segoe UI"/>
                <w:b/>
                <w:bCs/>
                <w:w w:val="105"/>
                <w:sz w:val="16"/>
                <w:szCs w:val="16"/>
              </w:rPr>
              <w:t xml:space="preserve">Balance as </w:t>
            </w:r>
            <w:proofErr w:type="gramStart"/>
            <w:r w:rsidRPr="00C47C6C">
              <w:rPr>
                <w:rFonts w:ascii="Segoe UI" w:hAnsi="Segoe UI" w:cs="Segoe UI"/>
                <w:b/>
                <w:bCs/>
                <w:w w:val="105"/>
                <w:sz w:val="16"/>
                <w:szCs w:val="16"/>
              </w:rPr>
              <w:t>at</w:t>
            </w:r>
            <w:proofErr w:type="gramEnd"/>
            <w:r w:rsidRPr="00C47C6C">
              <w:rPr>
                <w:rFonts w:ascii="Segoe UI" w:hAnsi="Segoe UI" w:cs="Segoe UI"/>
                <w:b/>
                <w:bCs/>
                <w:w w:val="105"/>
                <w:sz w:val="16"/>
                <w:szCs w:val="16"/>
              </w:rPr>
              <w:t xml:space="preserve"> 30 June</w:t>
            </w:r>
          </w:p>
        </w:tc>
        <w:tc>
          <w:tcPr>
            <w:tcW w:w="1558" w:type="dxa"/>
            <w:tcBorders>
              <w:top w:val="single" w:sz="4" w:space="0" w:color="A6A6A6" w:themeColor="background1" w:themeShade="A6"/>
              <w:left w:val="nil"/>
              <w:bottom w:val="single" w:sz="4" w:space="0" w:color="BFBFBF" w:themeColor="background1" w:themeShade="BF"/>
              <w:right w:val="nil"/>
            </w:tcBorders>
          </w:tcPr>
          <w:p w14:paraId="7254920C" w14:textId="7C42C1BD" w:rsidR="00C47C6C" w:rsidRPr="00C47C6C" w:rsidRDefault="00C47C6C" w:rsidP="00C47C6C">
            <w:pPr>
              <w:pStyle w:val="TableParagraph"/>
              <w:spacing w:before="60" w:after="60"/>
              <w:ind w:left="-42" w:right="152" w:firstLine="99"/>
              <w:jc w:val="right"/>
              <w:rPr>
                <w:rFonts w:ascii="Segoe UI" w:hAnsi="Segoe UI" w:cs="Segoe UI"/>
                <w:b/>
                <w:bCs/>
                <w:w w:val="110"/>
                <w:sz w:val="16"/>
                <w:szCs w:val="16"/>
              </w:rPr>
            </w:pPr>
            <w:r w:rsidRPr="00C47C6C">
              <w:rPr>
                <w:rFonts w:ascii="Segoe UI" w:hAnsi="Segoe UI" w:cs="Segoe UI"/>
                <w:b/>
                <w:bCs/>
                <w:w w:val="110"/>
                <w:sz w:val="16"/>
                <w:szCs w:val="16"/>
              </w:rPr>
              <w:t>8,874</w:t>
            </w:r>
          </w:p>
        </w:tc>
      </w:tr>
      <w:tr w:rsidR="00C47C6C" w:rsidRPr="00C47C6C" w14:paraId="64DC9A0E" w14:textId="77777777" w:rsidTr="00C47C6C">
        <w:trPr>
          <w:trHeight w:val="344"/>
        </w:trPr>
        <w:tc>
          <w:tcPr>
            <w:tcW w:w="1275" w:type="dxa"/>
            <w:tcBorders>
              <w:top w:val="single" w:sz="4" w:space="0" w:color="BFBFBF" w:themeColor="background1" w:themeShade="BF"/>
              <w:left w:val="nil"/>
              <w:right w:val="nil"/>
            </w:tcBorders>
          </w:tcPr>
          <w:p w14:paraId="4445E0B2" w14:textId="206DECB3" w:rsidR="00C47C6C" w:rsidRPr="00C47C6C" w:rsidRDefault="00C47C6C" w:rsidP="00C47C6C">
            <w:pPr>
              <w:pStyle w:val="TableParagraph"/>
              <w:spacing w:before="60" w:after="60"/>
              <w:ind w:left="-42" w:right="152" w:firstLine="99"/>
              <w:jc w:val="right"/>
              <w:rPr>
                <w:rFonts w:ascii="Segoe UI" w:hAnsi="Segoe UI" w:cs="Segoe UI"/>
                <w:b/>
                <w:bCs/>
                <w:w w:val="110"/>
                <w:sz w:val="16"/>
                <w:szCs w:val="16"/>
              </w:rPr>
            </w:pPr>
          </w:p>
        </w:tc>
        <w:tc>
          <w:tcPr>
            <w:tcW w:w="5102" w:type="dxa"/>
            <w:tcBorders>
              <w:top w:val="single" w:sz="4" w:space="0" w:color="BFBFBF" w:themeColor="background1" w:themeShade="BF"/>
              <w:left w:val="nil"/>
              <w:right w:val="nil"/>
            </w:tcBorders>
            <w:hideMark/>
          </w:tcPr>
          <w:p w14:paraId="47C9F4F7" w14:textId="58A18232" w:rsidR="00C47C6C" w:rsidRPr="00C47C6C" w:rsidRDefault="00C47C6C" w:rsidP="00C47C6C">
            <w:pPr>
              <w:pStyle w:val="TableParagraph"/>
              <w:spacing w:before="60" w:after="60"/>
              <w:ind w:left="66" w:hanging="5"/>
              <w:rPr>
                <w:rFonts w:ascii="Segoe UI" w:hAnsi="Segoe UI" w:cs="Segoe UI"/>
                <w:b/>
                <w:bCs/>
                <w:w w:val="105"/>
                <w:sz w:val="16"/>
                <w:szCs w:val="16"/>
              </w:rPr>
            </w:pPr>
            <w:r w:rsidRPr="00C47C6C">
              <w:rPr>
                <w:rFonts w:ascii="Segoe UI" w:hAnsi="Segoe UI" w:cs="Segoe UI"/>
                <w:b/>
                <w:bCs/>
                <w:w w:val="105"/>
                <w:sz w:val="16"/>
                <w:szCs w:val="16"/>
              </w:rPr>
              <w:t>Property revaluation reserve</w:t>
            </w:r>
          </w:p>
        </w:tc>
        <w:tc>
          <w:tcPr>
            <w:tcW w:w="1558" w:type="dxa"/>
            <w:tcBorders>
              <w:top w:val="single" w:sz="4" w:space="0" w:color="BFBFBF" w:themeColor="background1" w:themeShade="BF"/>
              <w:left w:val="nil"/>
              <w:right w:val="nil"/>
            </w:tcBorders>
          </w:tcPr>
          <w:p w14:paraId="29C77B94" w14:textId="7C946208" w:rsidR="00C47C6C" w:rsidRPr="00C47C6C" w:rsidRDefault="00C47C6C" w:rsidP="00C47C6C">
            <w:pPr>
              <w:pStyle w:val="TableParagraph"/>
              <w:spacing w:before="60" w:after="60"/>
              <w:ind w:left="-42" w:right="152" w:firstLine="99"/>
              <w:jc w:val="right"/>
              <w:rPr>
                <w:rFonts w:ascii="Segoe UI" w:hAnsi="Segoe UI" w:cs="Segoe UI"/>
                <w:b/>
                <w:bCs/>
                <w:w w:val="110"/>
                <w:sz w:val="16"/>
                <w:szCs w:val="16"/>
              </w:rPr>
            </w:pPr>
          </w:p>
        </w:tc>
      </w:tr>
      <w:tr w:rsidR="00C47C6C" w14:paraId="117D38A8" w14:textId="77777777" w:rsidTr="00C47C6C">
        <w:trPr>
          <w:trHeight w:val="354"/>
        </w:trPr>
        <w:tc>
          <w:tcPr>
            <w:tcW w:w="1275" w:type="dxa"/>
            <w:tcBorders>
              <w:left w:val="nil"/>
              <w:bottom w:val="nil"/>
              <w:right w:val="nil"/>
            </w:tcBorders>
          </w:tcPr>
          <w:p w14:paraId="7E0EFB40" w14:textId="0938B6B6" w:rsidR="00C47C6C" w:rsidRPr="00C47C6C" w:rsidRDefault="00C47C6C" w:rsidP="00C47C6C">
            <w:pPr>
              <w:pStyle w:val="TableParagraph"/>
              <w:spacing w:before="60" w:after="60"/>
              <w:ind w:left="-42" w:right="152" w:firstLine="99"/>
              <w:jc w:val="right"/>
              <w:rPr>
                <w:rFonts w:ascii="Segoe UI" w:hAnsi="Segoe UI" w:cs="Segoe UI"/>
                <w:w w:val="110"/>
                <w:sz w:val="16"/>
                <w:szCs w:val="16"/>
              </w:rPr>
            </w:pPr>
            <w:r w:rsidRPr="00C47C6C">
              <w:rPr>
                <w:rFonts w:ascii="Segoe UI" w:hAnsi="Segoe UI" w:cs="Segoe UI"/>
                <w:w w:val="110"/>
                <w:sz w:val="16"/>
                <w:szCs w:val="16"/>
              </w:rPr>
              <w:t>3,555</w:t>
            </w:r>
          </w:p>
        </w:tc>
        <w:tc>
          <w:tcPr>
            <w:tcW w:w="5102" w:type="dxa"/>
            <w:tcBorders>
              <w:left w:val="nil"/>
              <w:bottom w:val="nil"/>
              <w:right w:val="nil"/>
            </w:tcBorders>
            <w:hideMark/>
          </w:tcPr>
          <w:p w14:paraId="1FC9C33C" w14:textId="4AE4E408" w:rsidR="00C47C6C" w:rsidRPr="00C47C6C" w:rsidRDefault="00C47C6C" w:rsidP="00C47C6C">
            <w:pPr>
              <w:pStyle w:val="TableParagraph"/>
              <w:spacing w:before="60" w:after="60"/>
              <w:ind w:left="66" w:hanging="5"/>
              <w:rPr>
                <w:rFonts w:ascii="Segoe UI" w:hAnsi="Segoe UI" w:cs="Segoe UI"/>
                <w:w w:val="105"/>
                <w:sz w:val="16"/>
                <w:szCs w:val="16"/>
              </w:rPr>
            </w:pPr>
            <w:r w:rsidRPr="00C47C6C">
              <w:rPr>
                <w:rFonts w:ascii="Segoe UI" w:hAnsi="Segoe UI" w:cs="Segoe UI"/>
                <w:w w:val="105"/>
                <w:sz w:val="16"/>
                <w:szCs w:val="16"/>
              </w:rPr>
              <w:t xml:space="preserve">Balance as </w:t>
            </w:r>
            <w:proofErr w:type="gramStart"/>
            <w:r w:rsidRPr="00C47C6C">
              <w:rPr>
                <w:rFonts w:ascii="Segoe UI" w:hAnsi="Segoe UI" w:cs="Segoe UI"/>
                <w:w w:val="105"/>
                <w:sz w:val="16"/>
                <w:szCs w:val="16"/>
              </w:rPr>
              <w:t>at</w:t>
            </w:r>
            <w:proofErr w:type="gramEnd"/>
            <w:r w:rsidRPr="00C47C6C">
              <w:rPr>
                <w:rFonts w:ascii="Segoe UI" w:hAnsi="Segoe UI" w:cs="Segoe UI"/>
                <w:w w:val="105"/>
                <w:sz w:val="16"/>
                <w:szCs w:val="16"/>
              </w:rPr>
              <w:t xml:space="preserve"> 1 July</w:t>
            </w:r>
          </w:p>
        </w:tc>
        <w:tc>
          <w:tcPr>
            <w:tcW w:w="1558" w:type="dxa"/>
            <w:tcBorders>
              <w:left w:val="nil"/>
              <w:bottom w:val="nil"/>
              <w:right w:val="nil"/>
            </w:tcBorders>
          </w:tcPr>
          <w:p w14:paraId="1A538760" w14:textId="280F6D64" w:rsidR="00C47C6C" w:rsidRPr="00C47C6C" w:rsidRDefault="00C47C6C" w:rsidP="00C47C6C">
            <w:pPr>
              <w:pStyle w:val="TableParagraph"/>
              <w:spacing w:before="60" w:after="60"/>
              <w:ind w:left="-42" w:right="152" w:firstLine="99"/>
              <w:jc w:val="right"/>
              <w:rPr>
                <w:rFonts w:ascii="Segoe UI" w:hAnsi="Segoe UI" w:cs="Segoe UI"/>
                <w:w w:val="110"/>
                <w:sz w:val="16"/>
                <w:szCs w:val="16"/>
              </w:rPr>
            </w:pPr>
            <w:r w:rsidRPr="00C47C6C">
              <w:rPr>
                <w:rFonts w:ascii="Segoe UI" w:hAnsi="Segoe UI" w:cs="Segoe UI"/>
                <w:w w:val="110"/>
                <w:sz w:val="16"/>
                <w:szCs w:val="16"/>
              </w:rPr>
              <w:t>3,555</w:t>
            </w:r>
          </w:p>
        </w:tc>
      </w:tr>
      <w:tr w:rsidR="00C47C6C" w14:paraId="158D62EF" w14:textId="77777777" w:rsidTr="00C47C6C">
        <w:trPr>
          <w:trHeight w:val="359"/>
        </w:trPr>
        <w:tc>
          <w:tcPr>
            <w:tcW w:w="1275" w:type="dxa"/>
            <w:tcBorders>
              <w:bottom w:val="single" w:sz="4" w:space="0" w:color="A6A6A6" w:themeColor="background1" w:themeShade="A6"/>
            </w:tcBorders>
          </w:tcPr>
          <w:p w14:paraId="0BF34326" w14:textId="5FC623BB" w:rsidR="00C47C6C" w:rsidRPr="00C47C6C" w:rsidRDefault="00C47C6C" w:rsidP="00C47C6C">
            <w:pPr>
              <w:pStyle w:val="TableParagraph"/>
              <w:spacing w:before="60" w:after="60"/>
              <w:ind w:left="-42" w:right="152" w:firstLine="99"/>
              <w:jc w:val="right"/>
              <w:rPr>
                <w:rFonts w:ascii="Segoe UI" w:hAnsi="Segoe UI" w:cs="Segoe UI"/>
                <w:w w:val="110"/>
                <w:sz w:val="16"/>
                <w:szCs w:val="16"/>
              </w:rPr>
            </w:pPr>
            <w:r w:rsidRPr="00C47C6C">
              <w:rPr>
                <w:rFonts w:ascii="Segoe UI" w:hAnsi="Segoe UI" w:cs="Segoe UI"/>
                <w:w w:val="110"/>
                <w:sz w:val="16"/>
                <w:szCs w:val="16"/>
              </w:rPr>
              <w:t>–</w:t>
            </w:r>
          </w:p>
        </w:tc>
        <w:tc>
          <w:tcPr>
            <w:tcW w:w="5102" w:type="dxa"/>
            <w:tcBorders>
              <w:bottom w:val="single" w:sz="4" w:space="0" w:color="A6A6A6" w:themeColor="background1" w:themeShade="A6"/>
            </w:tcBorders>
            <w:hideMark/>
          </w:tcPr>
          <w:p w14:paraId="0E63D28A" w14:textId="6B788CA9" w:rsidR="00C47C6C" w:rsidRPr="00C47C6C" w:rsidRDefault="00C47C6C" w:rsidP="00C47C6C">
            <w:pPr>
              <w:pStyle w:val="TableParagraph"/>
              <w:spacing w:before="60" w:after="60"/>
              <w:ind w:left="66" w:hanging="5"/>
              <w:rPr>
                <w:rFonts w:ascii="Segoe UI" w:hAnsi="Segoe UI" w:cs="Segoe UI"/>
                <w:w w:val="105"/>
                <w:sz w:val="16"/>
                <w:szCs w:val="16"/>
              </w:rPr>
            </w:pPr>
            <w:r w:rsidRPr="00C47C6C">
              <w:rPr>
                <w:rFonts w:ascii="Segoe UI" w:hAnsi="Segoe UI" w:cs="Segoe UI"/>
                <w:w w:val="105"/>
                <w:sz w:val="16"/>
                <w:szCs w:val="16"/>
              </w:rPr>
              <w:t>Revaluation gains/(losses) on land</w:t>
            </w:r>
          </w:p>
        </w:tc>
        <w:tc>
          <w:tcPr>
            <w:tcW w:w="1558" w:type="dxa"/>
            <w:tcBorders>
              <w:bottom w:val="single" w:sz="4" w:space="0" w:color="A6A6A6" w:themeColor="background1" w:themeShade="A6"/>
            </w:tcBorders>
          </w:tcPr>
          <w:p w14:paraId="2690A16C" w14:textId="72E4675F" w:rsidR="00C47C6C" w:rsidRDefault="00C47C6C" w:rsidP="00C47C6C">
            <w:pPr>
              <w:pStyle w:val="TableParagraph"/>
              <w:spacing w:before="60" w:after="60"/>
              <w:ind w:left="-42" w:right="152" w:firstLine="99"/>
              <w:jc w:val="right"/>
              <w:rPr>
                <w:rFonts w:ascii="Segoe UI" w:hAnsi="Segoe UI" w:cs="Segoe UI"/>
                <w:w w:val="110"/>
                <w:sz w:val="16"/>
                <w:szCs w:val="16"/>
              </w:rPr>
            </w:pPr>
            <w:r w:rsidRPr="00C47C6C">
              <w:rPr>
                <w:rFonts w:ascii="Segoe UI" w:hAnsi="Segoe UI" w:cs="Segoe UI"/>
                <w:w w:val="110"/>
                <w:sz w:val="16"/>
                <w:szCs w:val="16"/>
              </w:rPr>
              <w:t>(565)</w:t>
            </w:r>
          </w:p>
        </w:tc>
      </w:tr>
      <w:tr w:rsidR="00C47C6C" w:rsidRPr="00C47C6C" w14:paraId="1905D927" w14:textId="77777777" w:rsidTr="00C47C6C">
        <w:trPr>
          <w:trHeight w:val="348"/>
        </w:trPr>
        <w:tc>
          <w:tcPr>
            <w:tcW w:w="1275" w:type="dxa"/>
            <w:tcBorders>
              <w:top w:val="single" w:sz="4" w:space="0" w:color="A6A6A6" w:themeColor="background1" w:themeShade="A6"/>
              <w:left w:val="nil"/>
              <w:bottom w:val="single" w:sz="4" w:space="0" w:color="BFBFBF" w:themeColor="background1" w:themeShade="BF"/>
              <w:right w:val="nil"/>
            </w:tcBorders>
          </w:tcPr>
          <w:p w14:paraId="6C19353A" w14:textId="4F559EF0" w:rsidR="00C47C6C" w:rsidRPr="00C47C6C" w:rsidRDefault="00C47C6C" w:rsidP="00C47C6C">
            <w:pPr>
              <w:pStyle w:val="TableParagraph"/>
              <w:spacing w:before="60" w:after="60"/>
              <w:ind w:left="-42" w:right="152" w:firstLine="99"/>
              <w:jc w:val="right"/>
              <w:rPr>
                <w:rFonts w:ascii="Segoe UI" w:hAnsi="Segoe UI" w:cs="Segoe UI"/>
                <w:b/>
                <w:bCs/>
                <w:w w:val="110"/>
                <w:sz w:val="16"/>
                <w:szCs w:val="16"/>
              </w:rPr>
            </w:pPr>
            <w:r w:rsidRPr="00C47C6C">
              <w:rPr>
                <w:rFonts w:ascii="Segoe UI" w:hAnsi="Segoe UI" w:cs="Segoe UI"/>
                <w:b/>
                <w:bCs/>
                <w:w w:val="110"/>
                <w:sz w:val="16"/>
                <w:szCs w:val="16"/>
              </w:rPr>
              <w:t>3,555</w:t>
            </w:r>
          </w:p>
        </w:tc>
        <w:tc>
          <w:tcPr>
            <w:tcW w:w="5102" w:type="dxa"/>
            <w:tcBorders>
              <w:top w:val="single" w:sz="4" w:space="0" w:color="A6A6A6" w:themeColor="background1" w:themeShade="A6"/>
              <w:left w:val="nil"/>
              <w:bottom w:val="single" w:sz="4" w:space="0" w:color="BFBFBF" w:themeColor="background1" w:themeShade="BF"/>
              <w:right w:val="nil"/>
            </w:tcBorders>
            <w:hideMark/>
          </w:tcPr>
          <w:p w14:paraId="1E1BDA13" w14:textId="79927E4C" w:rsidR="00C47C6C" w:rsidRPr="00C47C6C" w:rsidRDefault="00C47C6C" w:rsidP="00C47C6C">
            <w:pPr>
              <w:pStyle w:val="TableParagraph"/>
              <w:spacing w:before="60" w:after="60"/>
              <w:ind w:left="66" w:hanging="5"/>
              <w:rPr>
                <w:rFonts w:ascii="Segoe UI" w:hAnsi="Segoe UI" w:cs="Segoe UI"/>
                <w:b/>
                <w:bCs/>
                <w:w w:val="105"/>
                <w:sz w:val="16"/>
                <w:szCs w:val="16"/>
              </w:rPr>
            </w:pPr>
            <w:r w:rsidRPr="00C47C6C">
              <w:rPr>
                <w:rFonts w:ascii="Segoe UI" w:hAnsi="Segoe UI" w:cs="Segoe UI"/>
                <w:b/>
                <w:bCs/>
                <w:w w:val="105"/>
                <w:sz w:val="16"/>
                <w:szCs w:val="16"/>
              </w:rPr>
              <w:t xml:space="preserve">Balance as </w:t>
            </w:r>
            <w:proofErr w:type="gramStart"/>
            <w:r w:rsidRPr="00C47C6C">
              <w:rPr>
                <w:rFonts w:ascii="Segoe UI" w:hAnsi="Segoe UI" w:cs="Segoe UI"/>
                <w:b/>
                <w:bCs/>
                <w:w w:val="105"/>
                <w:sz w:val="16"/>
                <w:szCs w:val="16"/>
              </w:rPr>
              <w:t>at</w:t>
            </w:r>
            <w:proofErr w:type="gramEnd"/>
            <w:r w:rsidRPr="00C47C6C">
              <w:rPr>
                <w:rFonts w:ascii="Segoe UI" w:hAnsi="Segoe UI" w:cs="Segoe UI"/>
                <w:b/>
                <w:bCs/>
                <w:w w:val="105"/>
                <w:sz w:val="16"/>
                <w:szCs w:val="16"/>
              </w:rPr>
              <w:t xml:space="preserve"> 30 June</w:t>
            </w:r>
          </w:p>
        </w:tc>
        <w:tc>
          <w:tcPr>
            <w:tcW w:w="1558" w:type="dxa"/>
            <w:tcBorders>
              <w:top w:val="single" w:sz="4" w:space="0" w:color="A6A6A6" w:themeColor="background1" w:themeShade="A6"/>
              <w:left w:val="nil"/>
              <w:bottom w:val="single" w:sz="4" w:space="0" w:color="BFBFBF" w:themeColor="background1" w:themeShade="BF"/>
              <w:right w:val="nil"/>
            </w:tcBorders>
          </w:tcPr>
          <w:p w14:paraId="2D89C2E0" w14:textId="3F5EA3BE" w:rsidR="00C47C6C" w:rsidRPr="00C47C6C" w:rsidRDefault="00C47C6C" w:rsidP="00C47C6C">
            <w:pPr>
              <w:pStyle w:val="TableParagraph"/>
              <w:spacing w:before="60" w:after="60"/>
              <w:ind w:left="-42" w:right="152" w:firstLine="99"/>
              <w:jc w:val="right"/>
              <w:rPr>
                <w:rFonts w:ascii="Segoe UI" w:hAnsi="Segoe UI" w:cs="Segoe UI"/>
                <w:b/>
                <w:bCs/>
                <w:w w:val="110"/>
                <w:sz w:val="16"/>
                <w:szCs w:val="16"/>
              </w:rPr>
            </w:pPr>
            <w:r w:rsidRPr="00C47C6C">
              <w:rPr>
                <w:rFonts w:ascii="Segoe UI" w:hAnsi="Segoe UI" w:cs="Segoe UI"/>
                <w:b/>
                <w:bCs/>
                <w:w w:val="110"/>
                <w:sz w:val="16"/>
                <w:szCs w:val="16"/>
              </w:rPr>
              <w:t>2,990</w:t>
            </w:r>
          </w:p>
        </w:tc>
      </w:tr>
      <w:tr w:rsidR="00C47C6C" w:rsidRPr="00C47C6C" w14:paraId="2C961F32" w14:textId="77777777" w:rsidTr="00C47C6C">
        <w:trPr>
          <w:trHeight w:val="354"/>
        </w:trPr>
        <w:tc>
          <w:tcPr>
            <w:tcW w:w="1275" w:type="dxa"/>
            <w:tcBorders>
              <w:top w:val="single" w:sz="4" w:space="0" w:color="BFBFBF" w:themeColor="background1" w:themeShade="BF"/>
              <w:left w:val="nil"/>
              <w:right w:val="nil"/>
            </w:tcBorders>
          </w:tcPr>
          <w:p w14:paraId="1068757A" w14:textId="043FC93D" w:rsidR="00C47C6C" w:rsidRPr="00C47C6C" w:rsidRDefault="00C47C6C" w:rsidP="00C47C6C">
            <w:pPr>
              <w:pStyle w:val="TableParagraph"/>
              <w:spacing w:before="60" w:after="60"/>
              <w:ind w:left="-42" w:right="152" w:firstLine="99"/>
              <w:jc w:val="right"/>
              <w:rPr>
                <w:rFonts w:ascii="Segoe UI" w:hAnsi="Segoe UI" w:cs="Segoe UI"/>
                <w:b/>
                <w:bCs/>
                <w:w w:val="110"/>
                <w:sz w:val="16"/>
                <w:szCs w:val="16"/>
              </w:rPr>
            </w:pPr>
          </w:p>
        </w:tc>
        <w:tc>
          <w:tcPr>
            <w:tcW w:w="5102" w:type="dxa"/>
            <w:tcBorders>
              <w:top w:val="single" w:sz="4" w:space="0" w:color="BFBFBF" w:themeColor="background1" w:themeShade="BF"/>
              <w:left w:val="nil"/>
              <w:right w:val="nil"/>
            </w:tcBorders>
            <w:hideMark/>
          </w:tcPr>
          <w:p w14:paraId="126F87AA" w14:textId="2D0196B1" w:rsidR="00C47C6C" w:rsidRPr="00C47C6C" w:rsidRDefault="00C47C6C" w:rsidP="00C47C6C">
            <w:pPr>
              <w:pStyle w:val="TableParagraph"/>
              <w:spacing w:before="60" w:after="60"/>
              <w:ind w:left="66" w:hanging="5"/>
              <w:rPr>
                <w:rFonts w:ascii="Segoe UI" w:hAnsi="Segoe UI" w:cs="Segoe UI"/>
                <w:b/>
                <w:bCs/>
                <w:w w:val="105"/>
                <w:sz w:val="16"/>
                <w:szCs w:val="16"/>
              </w:rPr>
            </w:pPr>
            <w:r w:rsidRPr="00C47C6C">
              <w:rPr>
                <w:rFonts w:ascii="Segoe UI" w:hAnsi="Segoe UI" w:cs="Segoe UI"/>
                <w:b/>
                <w:bCs/>
                <w:w w:val="105"/>
                <w:sz w:val="16"/>
                <w:szCs w:val="16"/>
              </w:rPr>
              <w:t>Memorandum accounts</w:t>
            </w:r>
          </w:p>
        </w:tc>
        <w:tc>
          <w:tcPr>
            <w:tcW w:w="1558" w:type="dxa"/>
            <w:tcBorders>
              <w:top w:val="single" w:sz="4" w:space="0" w:color="BFBFBF" w:themeColor="background1" w:themeShade="BF"/>
              <w:left w:val="nil"/>
              <w:right w:val="nil"/>
            </w:tcBorders>
          </w:tcPr>
          <w:p w14:paraId="5BB43D07" w14:textId="792018DC" w:rsidR="00C47C6C" w:rsidRPr="00C47C6C" w:rsidRDefault="00C47C6C" w:rsidP="00C47C6C">
            <w:pPr>
              <w:pStyle w:val="TableParagraph"/>
              <w:spacing w:before="60" w:after="60"/>
              <w:ind w:left="-42" w:right="152" w:firstLine="99"/>
              <w:jc w:val="right"/>
              <w:rPr>
                <w:rFonts w:ascii="Segoe UI" w:hAnsi="Segoe UI" w:cs="Segoe UI"/>
                <w:b/>
                <w:bCs/>
                <w:w w:val="110"/>
                <w:sz w:val="16"/>
                <w:szCs w:val="16"/>
              </w:rPr>
            </w:pPr>
          </w:p>
        </w:tc>
      </w:tr>
      <w:tr w:rsidR="00C47C6C" w14:paraId="2AD8CE91" w14:textId="77777777" w:rsidTr="00C47C6C">
        <w:trPr>
          <w:trHeight w:val="348"/>
        </w:trPr>
        <w:tc>
          <w:tcPr>
            <w:tcW w:w="1275" w:type="dxa"/>
            <w:tcBorders>
              <w:left w:val="nil"/>
              <w:bottom w:val="nil"/>
              <w:right w:val="nil"/>
            </w:tcBorders>
          </w:tcPr>
          <w:p w14:paraId="163778FD" w14:textId="22BF4D82" w:rsidR="00C47C6C" w:rsidRPr="00C47C6C" w:rsidRDefault="00C47C6C" w:rsidP="00C47C6C">
            <w:pPr>
              <w:pStyle w:val="TableParagraph"/>
              <w:spacing w:before="60" w:after="60"/>
              <w:ind w:left="-42" w:right="152" w:firstLine="99"/>
              <w:jc w:val="right"/>
              <w:rPr>
                <w:rFonts w:ascii="Segoe UI" w:hAnsi="Segoe UI" w:cs="Segoe UI"/>
                <w:w w:val="110"/>
                <w:sz w:val="16"/>
                <w:szCs w:val="16"/>
              </w:rPr>
            </w:pPr>
            <w:r w:rsidRPr="00C47C6C">
              <w:rPr>
                <w:rFonts w:ascii="Segoe UI" w:hAnsi="Segoe UI" w:cs="Segoe UI"/>
                <w:w w:val="110"/>
                <w:sz w:val="16"/>
                <w:szCs w:val="16"/>
              </w:rPr>
              <w:t>(7,339)</w:t>
            </w:r>
          </w:p>
        </w:tc>
        <w:tc>
          <w:tcPr>
            <w:tcW w:w="5102" w:type="dxa"/>
            <w:tcBorders>
              <w:left w:val="nil"/>
              <w:bottom w:val="nil"/>
              <w:right w:val="nil"/>
            </w:tcBorders>
            <w:hideMark/>
          </w:tcPr>
          <w:p w14:paraId="692941BF" w14:textId="381C309C" w:rsidR="00C47C6C" w:rsidRPr="00C47C6C" w:rsidRDefault="00C47C6C" w:rsidP="00C47C6C">
            <w:pPr>
              <w:pStyle w:val="TableParagraph"/>
              <w:spacing w:before="60" w:after="60"/>
              <w:ind w:left="66" w:hanging="5"/>
              <w:rPr>
                <w:rFonts w:ascii="Segoe UI" w:hAnsi="Segoe UI" w:cs="Segoe UI"/>
                <w:w w:val="105"/>
                <w:sz w:val="16"/>
                <w:szCs w:val="16"/>
              </w:rPr>
            </w:pPr>
            <w:r w:rsidRPr="00C47C6C">
              <w:rPr>
                <w:rFonts w:ascii="Segoe UI" w:hAnsi="Segoe UI" w:cs="Segoe UI"/>
                <w:w w:val="105"/>
                <w:sz w:val="16"/>
                <w:szCs w:val="16"/>
              </w:rPr>
              <w:t xml:space="preserve">Balance as </w:t>
            </w:r>
            <w:proofErr w:type="gramStart"/>
            <w:r w:rsidRPr="00C47C6C">
              <w:rPr>
                <w:rFonts w:ascii="Segoe UI" w:hAnsi="Segoe UI" w:cs="Segoe UI"/>
                <w:w w:val="105"/>
                <w:sz w:val="16"/>
                <w:szCs w:val="16"/>
              </w:rPr>
              <w:t>at</w:t>
            </w:r>
            <w:proofErr w:type="gramEnd"/>
            <w:r w:rsidRPr="00C47C6C">
              <w:rPr>
                <w:rFonts w:ascii="Segoe UI" w:hAnsi="Segoe UI" w:cs="Segoe UI"/>
                <w:w w:val="105"/>
                <w:sz w:val="16"/>
                <w:szCs w:val="16"/>
              </w:rPr>
              <w:t xml:space="preserve"> 1 July</w:t>
            </w:r>
          </w:p>
        </w:tc>
        <w:tc>
          <w:tcPr>
            <w:tcW w:w="1558" w:type="dxa"/>
            <w:tcBorders>
              <w:left w:val="nil"/>
              <w:bottom w:val="nil"/>
              <w:right w:val="nil"/>
            </w:tcBorders>
          </w:tcPr>
          <w:p w14:paraId="6ECC334C" w14:textId="2CBC9028" w:rsidR="00C47C6C" w:rsidRPr="00C47C6C" w:rsidRDefault="00C47C6C" w:rsidP="00C47C6C">
            <w:pPr>
              <w:pStyle w:val="TableParagraph"/>
              <w:spacing w:before="60" w:after="60"/>
              <w:ind w:left="-42" w:right="152" w:firstLine="99"/>
              <w:jc w:val="right"/>
              <w:rPr>
                <w:rFonts w:ascii="Segoe UI" w:hAnsi="Segoe UI" w:cs="Segoe UI"/>
                <w:w w:val="110"/>
                <w:sz w:val="16"/>
                <w:szCs w:val="16"/>
              </w:rPr>
            </w:pPr>
            <w:r w:rsidRPr="00C47C6C">
              <w:rPr>
                <w:rFonts w:ascii="Segoe UI" w:hAnsi="Segoe UI" w:cs="Segoe UI"/>
                <w:w w:val="110"/>
                <w:sz w:val="16"/>
                <w:szCs w:val="16"/>
              </w:rPr>
              <w:t>(8,313)</w:t>
            </w:r>
          </w:p>
        </w:tc>
      </w:tr>
      <w:tr w:rsidR="00C47C6C" w14:paraId="67A128E1" w14:textId="77777777" w:rsidTr="00C47C6C">
        <w:trPr>
          <w:trHeight w:val="344"/>
        </w:trPr>
        <w:tc>
          <w:tcPr>
            <w:tcW w:w="1275" w:type="dxa"/>
            <w:tcBorders>
              <w:bottom w:val="single" w:sz="4" w:space="0" w:color="A6A6A6" w:themeColor="background1" w:themeShade="A6"/>
            </w:tcBorders>
          </w:tcPr>
          <w:p w14:paraId="5A795024" w14:textId="200D326B" w:rsidR="00C47C6C" w:rsidRPr="00C47C6C" w:rsidRDefault="00C47C6C" w:rsidP="00C47C6C">
            <w:pPr>
              <w:pStyle w:val="TableParagraph"/>
              <w:spacing w:before="60" w:after="60"/>
              <w:ind w:left="-42" w:right="152" w:firstLine="99"/>
              <w:jc w:val="right"/>
              <w:rPr>
                <w:rFonts w:ascii="Segoe UI" w:hAnsi="Segoe UI" w:cs="Segoe UI"/>
                <w:w w:val="110"/>
                <w:sz w:val="16"/>
                <w:szCs w:val="16"/>
              </w:rPr>
            </w:pPr>
            <w:r w:rsidRPr="00C47C6C">
              <w:rPr>
                <w:rFonts w:ascii="Segoe UI" w:hAnsi="Segoe UI" w:cs="Segoe UI"/>
                <w:w w:val="110"/>
                <w:sz w:val="16"/>
                <w:szCs w:val="16"/>
              </w:rPr>
              <w:t>(974)</w:t>
            </w:r>
          </w:p>
        </w:tc>
        <w:tc>
          <w:tcPr>
            <w:tcW w:w="5102" w:type="dxa"/>
            <w:tcBorders>
              <w:bottom w:val="single" w:sz="4" w:space="0" w:color="A6A6A6" w:themeColor="background1" w:themeShade="A6"/>
            </w:tcBorders>
            <w:hideMark/>
          </w:tcPr>
          <w:p w14:paraId="7B044925" w14:textId="05D610FF" w:rsidR="00C47C6C" w:rsidRPr="00C47C6C" w:rsidRDefault="00C47C6C" w:rsidP="00C47C6C">
            <w:pPr>
              <w:pStyle w:val="TableParagraph"/>
              <w:spacing w:before="60" w:after="60"/>
              <w:ind w:left="66" w:hanging="5"/>
              <w:rPr>
                <w:rFonts w:ascii="Segoe UI" w:hAnsi="Segoe UI" w:cs="Segoe UI"/>
                <w:w w:val="105"/>
                <w:sz w:val="16"/>
                <w:szCs w:val="16"/>
              </w:rPr>
            </w:pPr>
            <w:r w:rsidRPr="00C47C6C">
              <w:rPr>
                <w:rFonts w:ascii="Segoe UI" w:hAnsi="Segoe UI" w:cs="Segoe UI"/>
                <w:w w:val="105"/>
                <w:sz w:val="16"/>
                <w:szCs w:val="16"/>
              </w:rPr>
              <w:t>Net memorandum account deficits for the year</w:t>
            </w:r>
          </w:p>
        </w:tc>
        <w:tc>
          <w:tcPr>
            <w:tcW w:w="1558" w:type="dxa"/>
            <w:tcBorders>
              <w:bottom w:val="single" w:sz="4" w:space="0" w:color="A6A6A6" w:themeColor="background1" w:themeShade="A6"/>
            </w:tcBorders>
          </w:tcPr>
          <w:p w14:paraId="6E770900" w14:textId="58F32A18" w:rsidR="00C47C6C" w:rsidRDefault="00C47C6C" w:rsidP="00C47C6C">
            <w:pPr>
              <w:pStyle w:val="TableParagraph"/>
              <w:spacing w:before="60" w:after="60"/>
              <w:ind w:left="-42" w:right="152" w:firstLine="99"/>
              <w:jc w:val="right"/>
              <w:rPr>
                <w:rFonts w:ascii="Segoe UI" w:hAnsi="Segoe UI" w:cs="Segoe UI"/>
                <w:w w:val="110"/>
                <w:sz w:val="16"/>
                <w:szCs w:val="16"/>
              </w:rPr>
            </w:pPr>
            <w:r w:rsidRPr="00C47C6C">
              <w:rPr>
                <w:rFonts w:ascii="Segoe UI" w:hAnsi="Segoe UI" w:cs="Segoe UI"/>
                <w:w w:val="110"/>
                <w:sz w:val="16"/>
                <w:szCs w:val="16"/>
              </w:rPr>
              <w:t>(481)</w:t>
            </w:r>
          </w:p>
        </w:tc>
      </w:tr>
      <w:tr w:rsidR="00C47C6C" w:rsidRPr="00C47C6C" w14:paraId="782408DF" w14:textId="77777777" w:rsidTr="00C47C6C">
        <w:trPr>
          <w:trHeight w:val="354"/>
        </w:trPr>
        <w:tc>
          <w:tcPr>
            <w:tcW w:w="1275" w:type="dxa"/>
            <w:tcBorders>
              <w:top w:val="single" w:sz="4" w:space="0" w:color="A6A6A6" w:themeColor="background1" w:themeShade="A6"/>
              <w:left w:val="nil"/>
              <w:bottom w:val="single" w:sz="4" w:space="0" w:color="BFBFBF" w:themeColor="background1" w:themeShade="BF"/>
              <w:right w:val="nil"/>
            </w:tcBorders>
          </w:tcPr>
          <w:p w14:paraId="2CAA1E86" w14:textId="35540392" w:rsidR="00C47C6C" w:rsidRPr="00C47C6C" w:rsidRDefault="00C47C6C" w:rsidP="00C47C6C">
            <w:pPr>
              <w:pStyle w:val="TableParagraph"/>
              <w:spacing w:before="60" w:after="60"/>
              <w:ind w:left="-42" w:right="152" w:firstLine="99"/>
              <w:jc w:val="right"/>
              <w:rPr>
                <w:rFonts w:ascii="Segoe UI" w:hAnsi="Segoe UI" w:cs="Segoe UI"/>
                <w:b/>
                <w:bCs/>
                <w:w w:val="110"/>
                <w:sz w:val="16"/>
                <w:szCs w:val="16"/>
              </w:rPr>
            </w:pPr>
            <w:r w:rsidRPr="00C47C6C">
              <w:rPr>
                <w:rFonts w:ascii="Segoe UI" w:hAnsi="Segoe UI" w:cs="Segoe UI"/>
                <w:b/>
                <w:bCs/>
                <w:w w:val="110"/>
                <w:sz w:val="16"/>
                <w:szCs w:val="16"/>
              </w:rPr>
              <w:t>(8,313)</w:t>
            </w:r>
          </w:p>
        </w:tc>
        <w:tc>
          <w:tcPr>
            <w:tcW w:w="5102" w:type="dxa"/>
            <w:tcBorders>
              <w:top w:val="single" w:sz="4" w:space="0" w:color="A6A6A6" w:themeColor="background1" w:themeShade="A6"/>
              <w:left w:val="nil"/>
              <w:bottom w:val="single" w:sz="4" w:space="0" w:color="BFBFBF" w:themeColor="background1" w:themeShade="BF"/>
              <w:right w:val="nil"/>
            </w:tcBorders>
            <w:hideMark/>
          </w:tcPr>
          <w:p w14:paraId="1561CBE8" w14:textId="1CBB3EDA" w:rsidR="00C47C6C" w:rsidRPr="00C47C6C" w:rsidRDefault="00C47C6C" w:rsidP="00C47C6C">
            <w:pPr>
              <w:pStyle w:val="TableParagraph"/>
              <w:spacing w:before="60" w:after="60"/>
              <w:ind w:left="66" w:hanging="5"/>
              <w:rPr>
                <w:rFonts w:ascii="Segoe UI" w:hAnsi="Segoe UI" w:cs="Segoe UI"/>
                <w:b/>
                <w:bCs/>
                <w:w w:val="105"/>
                <w:sz w:val="16"/>
                <w:szCs w:val="16"/>
              </w:rPr>
            </w:pPr>
            <w:r w:rsidRPr="00C47C6C">
              <w:rPr>
                <w:rFonts w:ascii="Segoe UI" w:hAnsi="Segoe UI" w:cs="Segoe UI"/>
                <w:b/>
                <w:bCs/>
                <w:w w:val="105"/>
                <w:sz w:val="16"/>
                <w:szCs w:val="16"/>
              </w:rPr>
              <w:t xml:space="preserve">Balance as </w:t>
            </w:r>
            <w:proofErr w:type="gramStart"/>
            <w:r w:rsidRPr="00C47C6C">
              <w:rPr>
                <w:rFonts w:ascii="Segoe UI" w:hAnsi="Segoe UI" w:cs="Segoe UI"/>
                <w:b/>
                <w:bCs/>
                <w:w w:val="105"/>
                <w:sz w:val="16"/>
                <w:szCs w:val="16"/>
              </w:rPr>
              <w:t>at</w:t>
            </w:r>
            <w:proofErr w:type="gramEnd"/>
            <w:r w:rsidRPr="00C47C6C">
              <w:rPr>
                <w:rFonts w:ascii="Segoe UI" w:hAnsi="Segoe UI" w:cs="Segoe UI"/>
                <w:b/>
                <w:bCs/>
                <w:w w:val="105"/>
                <w:sz w:val="16"/>
                <w:szCs w:val="16"/>
              </w:rPr>
              <w:t xml:space="preserve"> 30 June</w:t>
            </w:r>
          </w:p>
        </w:tc>
        <w:tc>
          <w:tcPr>
            <w:tcW w:w="1558" w:type="dxa"/>
            <w:tcBorders>
              <w:top w:val="single" w:sz="4" w:space="0" w:color="A6A6A6" w:themeColor="background1" w:themeShade="A6"/>
              <w:left w:val="nil"/>
              <w:bottom w:val="single" w:sz="4" w:space="0" w:color="BFBFBF" w:themeColor="background1" w:themeShade="BF"/>
              <w:right w:val="nil"/>
            </w:tcBorders>
          </w:tcPr>
          <w:p w14:paraId="63D832DC" w14:textId="03A2B337" w:rsidR="00C47C6C" w:rsidRPr="00C47C6C" w:rsidRDefault="00C47C6C" w:rsidP="00C47C6C">
            <w:pPr>
              <w:pStyle w:val="TableParagraph"/>
              <w:spacing w:before="60" w:after="60"/>
              <w:ind w:left="-42" w:right="152" w:firstLine="99"/>
              <w:jc w:val="right"/>
              <w:rPr>
                <w:rFonts w:ascii="Segoe UI" w:hAnsi="Segoe UI" w:cs="Segoe UI"/>
                <w:b/>
                <w:bCs/>
                <w:w w:val="110"/>
                <w:sz w:val="16"/>
                <w:szCs w:val="16"/>
              </w:rPr>
            </w:pPr>
            <w:r w:rsidRPr="00C47C6C">
              <w:rPr>
                <w:rFonts w:ascii="Segoe UI" w:hAnsi="Segoe UI" w:cs="Segoe UI"/>
                <w:b/>
                <w:bCs/>
                <w:w w:val="110"/>
                <w:sz w:val="16"/>
                <w:szCs w:val="16"/>
              </w:rPr>
              <w:t>(8,794)</w:t>
            </w:r>
          </w:p>
        </w:tc>
      </w:tr>
      <w:tr w:rsidR="00C47C6C" w:rsidRPr="00C47C6C" w14:paraId="4819F15D" w14:textId="77777777" w:rsidTr="00C47C6C">
        <w:trPr>
          <w:trHeight w:val="348"/>
        </w:trPr>
        <w:tc>
          <w:tcPr>
            <w:tcW w:w="1275" w:type="dxa"/>
            <w:tcBorders>
              <w:top w:val="single" w:sz="4" w:space="0" w:color="BFBFBF" w:themeColor="background1" w:themeShade="BF"/>
              <w:left w:val="nil"/>
              <w:bottom w:val="single" w:sz="4" w:space="0" w:color="BFBFBF" w:themeColor="background1" w:themeShade="BF"/>
              <w:right w:val="nil"/>
            </w:tcBorders>
          </w:tcPr>
          <w:p w14:paraId="197542E2" w14:textId="7319C390" w:rsidR="00C47C6C" w:rsidRPr="00C47C6C" w:rsidRDefault="00C47C6C" w:rsidP="00C47C6C">
            <w:pPr>
              <w:pStyle w:val="TableParagraph"/>
              <w:spacing w:before="60" w:after="60"/>
              <w:ind w:left="-42" w:right="152" w:firstLine="99"/>
              <w:jc w:val="right"/>
              <w:rPr>
                <w:rFonts w:ascii="Segoe UI" w:hAnsi="Segoe UI" w:cs="Segoe UI"/>
                <w:b/>
                <w:bCs/>
                <w:w w:val="110"/>
                <w:sz w:val="16"/>
                <w:szCs w:val="16"/>
              </w:rPr>
            </w:pPr>
            <w:r w:rsidRPr="00C47C6C">
              <w:rPr>
                <w:rFonts w:ascii="Segoe UI" w:hAnsi="Segoe UI" w:cs="Segoe UI"/>
                <w:b/>
                <w:bCs/>
                <w:w w:val="110"/>
                <w:sz w:val="16"/>
                <w:szCs w:val="16"/>
              </w:rPr>
              <w:t>4,632</w:t>
            </w:r>
          </w:p>
        </w:tc>
        <w:tc>
          <w:tcPr>
            <w:tcW w:w="5102" w:type="dxa"/>
            <w:tcBorders>
              <w:top w:val="single" w:sz="4" w:space="0" w:color="BFBFBF" w:themeColor="background1" w:themeShade="BF"/>
              <w:left w:val="nil"/>
              <w:bottom w:val="single" w:sz="4" w:space="0" w:color="BFBFBF" w:themeColor="background1" w:themeShade="BF"/>
              <w:right w:val="nil"/>
            </w:tcBorders>
            <w:hideMark/>
          </w:tcPr>
          <w:p w14:paraId="429392EC" w14:textId="47D7B295" w:rsidR="00C47C6C" w:rsidRPr="00C47C6C" w:rsidRDefault="00C47C6C" w:rsidP="00C47C6C">
            <w:pPr>
              <w:pStyle w:val="TableParagraph"/>
              <w:spacing w:before="60" w:after="60"/>
              <w:ind w:left="66" w:hanging="5"/>
              <w:rPr>
                <w:rFonts w:ascii="Segoe UI" w:hAnsi="Segoe UI" w:cs="Segoe UI"/>
                <w:b/>
                <w:bCs/>
                <w:w w:val="105"/>
                <w:sz w:val="16"/>
                <w:szCs w:val="16"/>
              </w:rPr>
            </w:pPr>
            <w:r w:rsidRPr="00C47C6C">
              <w:rPr>
                <w:rFonts w:ascii="Segoe UI" w:hAnsi="Segoe UI" w:cs="Segoe UI"/>
                <w:b/>
                <w:bCs/>
                <w:w w:val="105"/>
                <w:sz w:val="16"/>
                <w:szCs w:val="16"/>
              </w:rPr>
              <w:t>Total equity</w:t>
            </w:r>
          </w:p>
        </w:tc>
        <w:tc>
          <w:tcPr>
            <w:tcW w:w="1558" w:type="dxa"/>
            <w:tcBorders>
              <w:top w:val="single" w:sz="4" w:space="0" w:color="BFBFBF" w:themeColor="background1" w:themeShade="BF"/>
              <w:left w:val="nil"/>
              <w:bottom w:val="single" w:sz="4" w:space="0" w:color="BFBFBF" w:themeColor="background1" w:themeShade="BF"/>
              <w:right w:val="nil"/>
            </w:tcBorders>
          </w:tcPr>
          <w:p w14:paraId="327831C4" w14:textId="13C1E5F4" w:rsidR="00C47C6C" w:rsidRPr="00C47C6C" w:rsidRDefault="00C47C6C" w:rsidP="00C47C6C">
            <w:pPr>
              <w:pStyle w:val="TableParagraph"/>
              <w:spacing w:before="60" w:after="60"/>
              <w:ind w:left="-42" w:right="152" w:firstLine="99"/>
              <w:jc w:val="right"/>
              <w:rPr>
                <w:rFonts w:ascii="Segoe UI" w:hAnsi="Segoe UI" w:cs="Segoe UI"/>
                <w:b/>
                <w:bCs/>
                <w:w w:val="110"/>
                <w:sz w:val="16"/>
                <w:szCs w:val="16"/>
              </w:rPr>
            </w:pPr>
            <w:r w:rsidRPr="00C47C6C">
              <w:rPr>
                <w:rFonts w:ascii="Segoe UI" w:hAnsi="Segoe UI" w:cs="Segoe UI"/>
                <w:b/>
                <w:bCs/>
                <w:w w:val="110"/>
                <w:sz w:val="16"/>
                <w:szCs w:val="16"/>
              </w:rPr>
              <w:t>3,070</w:t>
            </w:r>
          </w:p>
        </w:tc>
      </w:tr>
    </w:tbl>
    <w:p w14:paraId="4CCCDC20" w14:textId="5F4C1BEB" w:rsidR="00325A26" w:rsidRDefault="00325A26" w:rsidP="007123AC">
      <w:pPr>
        <w:pStyle w:val="Heading3"/>
        <w:numPr>
          <w:ilvl w:val="6"/>
          <w:numId w:val="5"/>
        </w:numPr>
        <w:tabs>
          <w:tab w:val="num" w:pos="5040"/>
        </w:tabs>
        <w:ind w:left="709" w:hanging="709"/>
      </w:pPr>
      <w:r>
        <w:t>Memorandum accounts</w:t>
      </w:r>
    </w:p>
    <w:p w14:paraId="6A2599B4" w14:textId="05D7ECF4" w:rsidR="00325A26" w:rsidRDefault="00325A26" w:rsidP="00325A26">
      <w:r>
        <w:t>The memorandum accounts summarise financial information relating to the accumulated surpluses and deficits incurred in the Ministry’s provision of statutory information and performance of accountability reviews to third parties on a full cost-recovery basis.</w:t>
      </w:r>
    </w:p>
    <w:p w14:paraId="47A9F34E" w14:textId="77777777" w:rsidR="00325A26" w:rsidRDefault="00325A26" w:rsidP="00325A26"/>
    <w:p w14:paraId="1732571B" w14:textId="5DE7C6AF" w:rsidR="00325A26" w:rsidRDefault="00325A26" w:rsidP="00325A26">
      <w:r>
        <w:t>The balance of each memorandum account is expected to trend toward zero over a reasonable period of time, with interim deficits being met either from cash from the Ministry’s statement of financial position or by seeking approval for a capital injection from the Crown. Capital injections will be repaid to the Crown by way of cash payments throughout the memorandum account cycle.</w:t>
      </w:r>
    </w:p>
    <w:p w14:paraId="4E6CDFEA" w14:textId="77777777" w:rsidR="00325A26" w:rsidRDefault="00325A26" w:rsidP="00325A26">
      <w:pPr>
        <w:pStyle w:val="Heading4"/>
      </w:pPr>
      <w:r>
        <w:t xml:space="preserve">Action taken to address surpluses and </w:t>
      </w:r>
      <w:proofErr w:type="gramStart"/>
      <w:r>
        <w:t>deficits</w:t>
      </w:r>
      <w:proofErr w:type="gramEnd"/>
    </w:p>
    <w:p w14:paraId="7D7A9D17" w14:textId="0DEC4F6F" w:rsidR="00325A26" w:rsidRDefault="00325A26" w:rsidP="00325A26">
      <w:r>
        <w:t xml:space="preserve">To recover the deficit memorandum account from revenue in the future years, the Ministry has undertaken fees reviews. As a result, Medsafe and the Office of Radiation Safety have implemented changes to their fees. These changes are expected to address </w:t>
      </w:r>
      <w:r>
        <w:lastRenderedPageBreak/>
        <w:t>the deficit in the medium term. A review is also underway for Medicinal Cannabis, which is expected to implement a new fee schedule in 2024/25.</w:t>
      </w:r>
    </w:p>
    <w:p w14:paraId="3DB002CE" w14:textId="77777777" w:rsidR="00325A26" w:rsidRDefault="00325A26" w:rsidP="00325A26"/>
    <w:tbl>
      <w:tblPr>
        <w:tblW w:w="8085" w:type="dxa"/>
        <w:tblLayout w:type="fixed"/>
        <w:tblCellMar>
          <w:left w:w="0" w:type="dxa"/>
          <w:right w:w="0" w:type="dxa"/>
        </w:tblCellMar>
        <w:tblLook w:val="01E0" w:firstRow="1" w:lastRow="1" w:firstColumn="1" w:lastColumn="1" w:noHBand="0" w:noVBand="0"/>
      </w:tblPr>
      <w:tblGrid>
        <w:gridCol w:w="2410"/>
        <w:gridCol w:w="992"/>
        <w:gridCol w:w="994"/>
        <w:gridCol w:w="993"/>
        <w:gridCol w:w="993"/>
        <w:gridCol w:w="852"/>
        <w:gridCol w:w="851"/>
      </w:tblGrid>
      <w:tr w:rsidR="00325A26" w14:paraId="570DA03E" w14:textId="77777777" w:rsidTr="00325A26">
        <w:trPr>
          <w:trHeight w:val="1073"/>
        </w:trPr>
        <w:tc>
          <w:tcPr>
            <w:tcW w:w="2410" w:type="dxa"/>
            <w:shd w:val="clear" w:color="auto" w:fill="D9D9D9" w:themeFill="background1" w:themeFillShade="D9"/>
          </w:tcPr>
          <w:p w14:paraId="6F0DFCCD" w14:textId="77777777" w:rsidR="00325A26" w:rsidRDefault="00325A26">
            <w:pPr>
              <w:pStyle w:val="TableParagraph"/>
              <w:tabs>
                <w:tab w:val="left" w:pos="2784"/>
              </w:tabs>
              <w:spacing w:line="20" w:lineRule="exact"/>
              <w:rPr>
                <w:b/>
                <w:bCs/>
                <w:sz w:val="2"/>
              </w:rPr>
            </w:pPr>
          </w:p>
        </w:tc>
        <w:tc>
          <w:tcPr>
            <w:tcW w:w="992" w:type="dxa"/>
            <w:shd w:val="clear" w:color="auto" w:fill="D9D9D9" w:themeFill="background1" w:themeFillShade="D9"/>
            <w:hideMark/>
          </w:tcPr>
          <w:p w14:paraId="06A84607" w14:textId="77777777" w:rsidR="00325A26" w:rsidRDefault="00325A26">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Problem Gambling*</w:t>
            </w:r>
            <w:r>
              <w:rPr>
                <w:rFonts w:ascii="Segoe UI" w:hAnsi="Segoe UI" w:cs="Segoe UI"/>
                <w:b/>
                <w:bCs/>
                <w:sz w:val="16"/>
                <w:szCs w:val="16"/>
              </w:rPr>
              <w:br/>
            </w:r>
          </w:p>
          <w:p w14:paraId="00933045" w14:textId="77777777" w:rsidR="00325A26" w:rsidRDefault="00325A26">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994" w:type="dxa"/>
            <w:shd w:val="clear" w:color="auto" w:fill="D9D9D9" w:themeFill="background1" w:themeFillShade="D9"/>
            <w:hideMark/>
          </w:tcPr>
          <w:p w14:paraId="29AF839C" w14:textId="77777777" w:rsidR="00325A26" w:rsidRDefault="00325A26">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Office of</w:t>
            </w:r>
            <w:r>
              <w:rPr>
                <w:rFonts w:ascii="Segoe UI" w:hAnsi="Segoe UI" w:cs="Segoe UI"/>
                <w:b/>
                <w:bCs/>
                <w:sz w:val="16"/>
                <w:szCs w:val="16"/>
              </w:rPr>
              <w:br/>
              <w:t>Radiation Safety</w:t>
            </w:r>
          </w:p>
          <w:p w14:paraId="4D58C885" w14:textId="77777777" w:rsidR="00325A26" w:rsidRDefault="00325A26">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993" w:type="dxa"/>
            <w:shd w:val="clear" w:color="auto" w:fill="D9D9D9" w:themeFill="background1" w:themeFillShade="D9"/>
            <w:hideMark/>
          </w:tcPr>
          <w:p w14:paraId="62117B48" w14:textId="77777777" w:rsidR="00325A26" w:rsidRDefault="00325A26">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Medsafe</w:t>
            </w:r>
            <w:r>
              <w:rPr>
                <w:rFonts w:ascii="Segoe UI" w:hAnsi="Segoe UI" w:cs="Segoe UI"/>
                <w:b/>
                <w:bCs/>
                <w:sz w:val="16"/>
                <w:szCs w:val="16"/>
              </w:rPr>
              <w:br/>
            </w:r>
            <w:r>
              <w:rPr>
                <w:rFonts w:ascii="Segoe UI" w:hAnsi="Segoe UI" w:cs="Segoe UI"/>
                <w:b/>
                <w:bCs/>
                <w:sz w:val="16"/>
                <w:szCs w:val="16"/>
              </w:rPr>
              <w:br/>
            </w:r>
          </w:p>
          <w:p w14:paraId="53B35CF6" w14:textId="77777777" w:rsidR="00325A26" w:rsidRDefault="00325A26">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993" w:type="dxa"/>
            <w:shd w:val="clear" w:color="auto" w:fill="D9D9D9" w:themeFill="background1" w:themeFillShade="D9"/>
          </w:tcPr>
          <w:p w14:paraId="2302211C" w14:textId="77777777" w:rsidR="00325A26" w:rsidRDefault="00325A26">
            <w:pPr>
              <w:pStyle w:val="TableParagraph"/>
              <w:tabs>
                <w:tab w:val="left" w:pos="1039"/>
              </w:tabs>
              <w:spacing w:before="60" w:after="60"/>
              <w:ind w:left="-42" w:right="170" w:firstLine="99"/>
              <w:jc w:val="right"/>
              <w:rPr>
                <w:rFonts w:ascii="Segoe UI" w:hAnsi="Segoe UI" w:cs="Segoe UI"/>
                <w:b/>
                <w:bCs/>
                <w:sz w:val="16"/>
                <w:szCs w:val="16"/>
              </w:rPr>
            </w:pPr>
            <w:r>
              <w:rPr>
                <w:rFonts w:ascii="Segoe UI" w:hAnsi="Segoe UI" w:cs="Segoe UI"/>
                <w:b/>
                <w:bCs/>
                <w:sz w:val="16"/>
                <w:szCs w:val="16"/>
              </w:rPr>
              <w:t>Medicinal</w:t>
            </w:r>
            <w:r>
              <w:rPr>
                <w:rFonts w:ascii="Segoe UI" w:hAnsi="Segoe UI" w:cs="Segoe UI"/>
                <w:b/>
                <w:bCs/>
                <w:sz w:val="16"/>
                <w:szCs w:val="16"/>
              </w:rPr>
              <w:br/>
              <w:t>Cannabis</w:t>
            </w:r>
          </w:p>
          <w:p w14:paraId="23BCFD8D" w14:textId="77777777" w:rsidR="00325A26" w:rsidRDefault="00325A26">
            <w:pPr>
              <w:pStyle w:val="TableParagraph"/>
              <w:spacing w:before="60" w:after="60"/>
              <w:ind w:left="-42" w:right="170" w:firstLine="99"/>
              <w:jc w:val="right"/>
              <w:rPr>
                <w:rFonts w:ascii="Segoe UI" w:hAnsi="Segoe UI" w:cs="Segoe UI"/>
                <w:b/>
                <w:bCs/>
                <w:sz w:val="16"/>
                <w:szCs w:val="16"/>
              </w:rPr>
            </w:pPr>
          </w:p>
          <w:p w14:paraId="2457BD8D" w14:textId="77777777" w:rsidR="00325A26" w:rsidRDefault="00325A26">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852" w:type="dxa"/>
            <w:shd w:val="clear" w:color="auto" w:fill="D9D9D9" w:themeFill="background1" w:themeFillShade="D9"/>
          </w:tcPr>
          <w:p w14:paraId="550F8DF5" w14:textId="77777777" w:rsidR="00325A26" w:rsidRDefault="00325A26">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Vaping</w:t>
            </w:r>
            <w:r>
              <w:rPr>
                <w:rFonts w:ascii="Segoe UI" w:hAnsi="Segoe UI" w:cs="Segoe UI"/>
                <w:b/>
                <w:bCs/>
                <w:sz w:val="16"/>
                <w:szCs w:val="16"/>
              </w:rPr>
              <w:br/>
            </w:r>
          </w:p>
          <w:p w14:paraId="50C5D1A3" w14:textId="77777777" w:rsidR="00325A26" w:rsidRDefault="00325A26">
            <w:pPr>
              <w:pStyle w:val="TableParagraph"/>
              <w:spacing w:before="60" w:after="60"/>
              <w:ind w:left="-42" w:right="170" w:firstLine="99"/>
              <w:jc w:val="right"/>
              <w:rPr>
                <w:rFonts w:ascii="Segoe UI" w:hAnsi="Segoe UI" w:cs="Segoe UI"/>
                <w:b/>
                <w:bCs/>
                <w:sz w:val="16"/>
                <w:szCs w:val="16"/>
              </w:rPr>
            </w:pPr>
          </w:p>
          <w:p w14:paraId="500827B1" w14:textId="77777777" w:rsidR="00325A26" w:rsidRDefault="00325A26">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851" w:type="dxa"/>
            <w:shd w:val="clear" w:color="auto" w:fill="D9D9D9" w:themeFill="background1" w:themeFillShade="D9"/>
          </w:tcPr>
          <w:p w14:paraId="63E78418" w14:textId="77777777" w:rsidR="00325A26" w:rsidRDefault="00325A26">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Total</w:t>
            </w:r>
            <w:r>
              <w:rPr>
                <w:rFonts w:ascii="Segoe UI" w:hAnsi="Segoe UI" w:cs="Segoe UI"/>
                <w:b/>
                <w:bCs/>
                <w:sz w:val="16"/>
                <w:szCs w:val="16"/>
              </w:rPr>
              <w:br/>
            </w:r>
          </w:p>
          <w:p w14:paraId="43C381E8" w14:textId="77777777" w:rsidR="00325A26" w:rsidRDefault="00325A26">
            <w:pPr>
              <w:pStyle w:val="TableParagraph"/>
              <w:spacing w:before="60" w:after="60"/>
              <w:ind w:left="-42" w:right="170" w:firstLine="99"/>
              <w:jc w:val="right"/>
              <w:rPr>
                <w:rFonts w:ascii="Segoe UI" w:hAnsi="Segoe UI" w:cs="Segoe UI"/>
                <w:b/>
                <w:bCs/>
                <w:sz w:val="16"/>
                <w:szCs w:val="16"/>
              </w:rPr>
            </w:pPr>
          </w:p>
          <w:p w14:paraId="3E5B7E6B" w14:textId="77777777" w:rsidR="00325A26" w:rsidRDefault="00325A26">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r>
      <w:tr w:rsidR="00325A26" w14:paraId="243FFFBC" w14:textId="77777777" w:rsidTr="00325A26">
        <w:trPr>
          <w:trHeight w:val="334"/>
        </w:trPr>
        <w:tc>
          <w:tcPr>
            <w:tcW w:w="2410" w:type="dxa"/>
            <w:hideMark/>
          </w:tcPr>
          <w:p w14:paraId="40C94E67" w14:textId="446E7E8E" w:rsidR="00325A26" w:rsidRPr="00325A26" w:rsidRDefault="00325A26" w:rsidP="00325A26">
            <w:pPr>
              <w:pStyle w:val="TableParagraph"/>
              <w:spacing w:before="60" w:after="60"/>
              <w:ind w:left="66" w:hanging="5"/>
              <w:rPr>
                <w:rFonts w:ascii="Segoe UI" w:hAnsi="Segoe UI" w:cs="Segoe UI"/>
                <w:w w:val="105"/>
                <w:sz w:val="16"/>
                <w:szCs w:val="16"/>
              </w:rPr>
            </w:pPr>
            <w:r w:rsidRPr="00325A26">
              <w:rPr>
                <w:rFonts w:ascii="Segoe UI" w:hAnsi="Segoe UI" w:cs="Segoe UI"/>
                <w:w w:val="105"/>
                <w:sz w:val="16"/>
                <w:szCs w:val="16"/>
              </w:rPr>
              <w:t xml:space="preserve">Balance as </w:t>
            </w:r>
            <w:proofErr w:type="gramStart"/>
            <w:r w:rsidRPr="00325A26">
              <w:rPr>
                <w:rFonts w:ascii="Segoe UI" w:hAnsi="Segoe UI" w:cs="Segoe UI"/>
                <w:w w:val="105"/>
                <w:sz w:val="16"/>
                <w:szCs w:val="16"/>
              </w:rPr>
              <w:t>at</w:t>
            </w:r>
            <w:proofErr w:type="gramEnd"/>
            <w:r w:rsidRPr="00325A26">
              <w:rPr>
                <w:rFonts w:ascii="Segoe UI" w:hAnsi="Segoe UI" w:cs="Segoe UI"/>
                <w:w w:val="105"/>
                <w:sz w:val="16"/>
                <w:szCs w:val="16"/>
              </w:rPr>
              <w:t xml:space="preserve"> 1 July 2022</w:t>
            </w:r>
          </w:p>
        </w:tc>
        <w:tc>
          <w:tcPr>
            <w:tcW w:w="992" w:type="dxa"/>
          </w:tcPr>
          <w:p w14:paraId="05D1A422" w14:textId="0147F310"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(707)</w:t>
            </w:r>
          </w:p>
        </w:tc>
        <w:tc>
          <w:tcPr>
            <w:tcW w:w="994" w:type="dxa"/>
          </w:tcPr>
          <w:p w14:paraId="5692503E" w14:textId="40445D84"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(2,151)</w:t>
            </w:r>
          </w:p>
        </w:tc>
        <w:tc>
          <w:tcPr>
            <w:tcW w:w="993" w:type="dxa"/>
          </w:tcPr>
          <w:p w14:paraId="461D3496" w14:textId="19C46D58"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(3,029)</w:t>
            </w:r>
          </w:p>
        </w:tc>
        <w:tc>
          <w:tcPr>
            <w:tcW w:w="993" w:type="dxa"/>
          </w:tcPr>
          <w:p w14:paraId="69774511" w14:textId="1FA3867D"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(704)</w:t>
            </w:r>
          </w:p>
        </w:tc>
        <w:tc>
          <w:tcPr>
            <w:tcW w:w="852" w:type="dxa"/>
          </w:tcPr>
          <w:p w14:paraId="1FA19091" w14:textId="5F6B21C1"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(748)</w:t>
            </w:r>
          </w:p>
        </w:tc>
        <w:tc>
          <w:tcPr>
            <w:tcW w:w="851" w:type="dxa"/>
          </w:tcPr>
          <w:p w14:paraId="1433DA07" w14:textId="7DC7E12E"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(7,339)</w:t>
            </w:r>
          </w:p>
        </w:tc>
      </w:tr>
      <w:tr w:rsidR="00325A26" w14:paraId="37472C88" w14:textId="77777777" w:rsidTr="00325A26">
        <w:trPr>
          <w:trHeight w:val="359"/>
        </w:trPr>
        <w:tc>
          <w:tcPr>
            <w:tcW w:w="2410" w:type="dxa"/>
            <w:hideMark/>
          </w:tcPr>
          <w:p w14:paraId="464283D2" w14:textId="572A5287" w:rsidR="00325A26" w:rsidRPr="00325A26" w:rsidRDefault="00325A26" w:rsidP="00325A26">
            <w:pPr>
              <w:pStyle w:val="TableParagraph"/>
              <w:spacing w:before="60" w:after="60"/>
              <w:ind w:left="66" w:hanging="5"/>
              <w:rPr>
                <w:rFonts w:ascii="Segoe UI" w:hAnsi="Segoe UI" w:cs="Segoe UI"/>
                <w:w w:val="105"/>
                <w:sz w:val="16"/>
                <w:szCs w:val="16"/>
              </w:rPr>
            </w:pPr>
            <w:r w:rsidRPr="00325A26">
              <w:rPr>
                <w:rFonts w:ascii="Segoe UI" w:hAnsi="Segoe UI" w:cs="Segoe UI"/>
                <w:w w:val="105"/>
                <w:sz w:val="16"/>
                <w:szCs w:val="16"/>
              </w:rPr>
              <w:t>Revenue</w:t>
            </w:r>
          </w:p>
        </w:tc>
        <w:tc>
          <w:tcPr>
            <w:tcW w:w="992" w:type="dxa"/>
          </w:tcPr>
          <w:p w14:paraId="00C7F5CC" w14:textId="2BFAD9BB"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w:t>
            </w:r>
          </w:p>
        </w:tc>
        <w:tc>
          <w:tcPr>
            <w:tcW w:w="994" w:type="dxa"/>
          </w:tcPr>
          <w:p w14:paraId="122D32CF" w14:textId="517FB4FF"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1,182</w:t>
            </w:r>
          </w:p>
        </w:tc>
        <w:tc>
          <w:tcPr>
            <w:tcW w:w="993" w:type="dxa"/>
          </w:tcPr>
          <w:p w14:paraId="6B02DC4E" w14:textId="2B4F8137"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10,166</w:t>
            </w:r>
          </w:p>
        </w:tc>
        <w:tc>
          <w:tcPr>
            <w:tcW w:w="993" w:type="dxa"/>
          </w:tcPr>
          <w:p w14:paraId="67CA8F03" w14:textId="241CE802"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453</w:t>
            </w:r>
          </w:p>
        </w:tc>
        <w:tc>
          <w:tcPr>
            <w:tcW w:w="852" w:type="dxa"/>
          </w:tcPr>
          <w:p w14:paraId="60DD5342" w14:textId="03FD6414"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1,586</w:t>
            </w:r>
          </w:p>
        </w:tc>
        <w:tc>
          <w:tcPr>
            <w:tcW w:w="851" w:type="dxa"/>
          </w:tcPr>
          <w:p w14:paraId="25CFFDC5" w14:textId="78169DB7"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13,387</w:t>
            </w:r>
          </w:p>
        </w:tc>
      </w:tr>
      <w:tr w:rsidR="00325A26" w14:paraId="3421210A" w14:textId="77777777" w:rsidTr="00325A26">
        <w:trPr>
          <w:trHeight w:val="348"/>
        </w:trPr>
        <w:tc>
          <w:tcPr>
            <w:tcW w:w="2410" w:type="dxa"/>
            <w:tcBorders>
              <w:top w:val="nil"/>
              <w:left w:val="nil"/>
              <w:bottom w:val="single" w:sz="4" w:space="0" w:color="BFBFBF" w:themeColor="background1" w:themeShade="BF"/>
              <w:right w:val="nil"/>
            </w:tcBorders>
            <w:hideMark/>
          </w:tcPr>
          <w:p w14:paraId="40843F90" w14:textId="3D1A4853" w:rsidR="00325A26" w:rsidRPr="00325A26" w:rsidRDefault="00325A26" w:rsidP="00325A26">
            <w:pPr>
              <w:pStyle w:val="TableParagraph"/>
              <w:spacing w:before="60" w:after="60"/>
              <w:ind w:left="66" w:hanging="5"/>
              <w:rPr>
                <w:rFonts w:ascii="Segoe UI" w:hAnsi="Segoe UI" w:cs="Segoe UI"/>
                <w:w w:val="105"/>
                <w:sz w:val="16"/>
                <w:szCs w:val="16"/>
              </w:rPr>
            </w:pPr>
            <w:r w:rsidRPr="00325A26">
              <w:rPr>
                <w:rFonts w:ascii="Segoe UI" w:hAnsi="Segoe UI" w:cs="Segoe UI"/>
                <w:w w:val="105"/>
                <w:sz w:val="16"/>
                <w:szCs w:val="16"/>
              </w:rPr>
              <w:t>Expenditure</w:t>
            </w:r>
          </w:p>
        </w:tc>
        <w:tc>
          <w:tcPr>
            <w:tcW w:w="992" w:type="dxa"/>
            <w:tcBorders>
              <w:top w:val="nil"/>
              <w:left w:val="nil"/>
              <w:bottom w:val="single" w:sz="4" w:space="0" w:color="BFBFBF" w:themeColor="background1" w:themeShade="BF"/>
              <w:right w:val="nil"/>
            </w:tcBorders>
          </w:tcPr>
          <w:p w14:paraId="2C874F34" w14:textId="2AF51474"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w:t>
            </w:r>
          </w:p>
        </w:tc>
        <w:tc>
          <w:tcPr>
            <w:tcW w:w="994" w:type="dxa"/>
            <w:tcBorders>
              <w:top w:val="nil"/>
              <w:left w:val="nil"/>
              <w:bottom w:val="single" w:sz="4" w:space="0" w:color="BFBFBF" w:themeColor="background1" w:themeShade="BF"/>
              <w:right w:val="nil"/>
            </w:tcBorders>
          </w:tcPr>
          <w:p w14:paraId="5DF65A33" w14:textId="171E8108"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(1,985)</w:t>
            </w:r>
          </w:p>
        </w:tc>
        <w:tc>
          <w:tcPr>
            <w:tcW w:w="993" w:type="dxa"/>
            <w:tcBorders>
              <w:top w:val="nil"/>
              <w:left w:val="nil"/>
              <w:bottom w:val="single" w:sz="4" w:space="0" w:color="BFBFBF" w:themeColor="background1" w:themeShade="BF"/>
              <w:right w:val="nil"/>
            </w:tcBorders>
          </w:tcPr>
          <w:p w14:paraId="4EEF4E56" w14:textId="0848D00C"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(10,610)</w:t>
            </w:r>
          </w:p>
        </w:tc>
        <w:tc>
          <w:tcPr>
            <w:tcW w:w="993" w:type="dxa"/>
            <w:tcBorders>
              <w:top w:val="nil"/>
              <w:left w:val="nil"/>
              <w:bottom w:val="single" w:sz="4" w:space="0" w:color="BFBFBF" w:themeColor="background1" w:themeShade="BF"/>
              <w:right w:val="nil"/>
            </w:tcBorders>
          </w:tcPr>
          <w:p w14:paraId="4D9D2417" w14:textId="6C62226A"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(957)</w:t>
            </w:r>
          </w:p>
        </w:tc>
        <w:tc>
          <w:tcPr>
            <w:tcW w:w="852" w:type="dxa"/>
            <w:tcBorders>
              <w:top w:val="nil"/>
              <w:left w:val="nil"/>
              <w:bottom w:val="single" w:sz="4" w:space="0" w:color="BFBFBF" w:themeColor="background1" w:themeShade="BF"/>
              <w:right w:val="nil"/>
            </w:tcBorders>
          </w:tcPr>
          <w:p w14:paraId="207E60F2" w14:textId="0BCF3658"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(809)</w:t>
            </w:r>
          </w:p>
        </w:tc>
        <w:tc>
          <w:tcPr>
            <w:tcW w:w="851" w:type="dxa"/>
            <w:tcBorders>
              <w:top w:val="nil"/>
              <w:left w:val="nil"/>
              <w:bottom w:val="single" w:sz="4" w:space="0" w:color="BFBFBF" w:themeColor="background1" w:themeShade="BF"/>
              <w:right w:val="nil"/>
            </w:tcBorders>
          </w:tcPr>
          <w:p w14:paraId="2B59EE8B" w14:textId="16AD6700"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(14,361)</w:t>
            </w:r>
          </w:p>
        </w:tc>
      </w:tr>
      <w:tr w:rsidR="00325A26" w:rsidRPr="00325A26" w14:paraId="51E5B221" w14:textId="77777777" w:rsidTr="00325A26">
        <w:trPr>
          <w:trHeight w:val="344"/>
        </w:trPr>
        <w:tc>
          <w:tcPr>
            <w:tcW w:w="2410" w:type="dxa"/>
            <w:tcBorders>
              <w:top w:val="single" w:sz="4" w:space="0" w:color="BFBFBF" w:themeColor="background1" w:themeShade="BF"/>
              <w:left w:val="nil"/>
              <w:bottom w:val="single" w:sz="4" w:space="0" w:color="BFBFBF" w:themeColor="background1" w:themeShade="BF"/>
              <w:right w:val="nil"/>
            </w:tcBorders>
            <w:hideMark/>
          </w:tcPr>
          <w:p w14:paraId="75FD4E9A" w14:textId="4BF4BB1A" w:rsidR="00325A26" w:rsidRPr="00325A26" w:rsidRDefault="00325A26" w:rsidP="00325A26">
            <w:pPr>
              <w:pStyle w:val="TableParagraph"/>
              <w:spacing w:before="60" w:after="60"/>
              <w:ind w:left="66" w:hanging="5"/>
              <w:rPr>
                <w:rFonts w:ascii="Segoe UI" w:hAnsi="Segoe UI" w:cs="Segoe UI"/>
                <w:b/>
                <w:bCs/>
                <w:w w:val="105"/>
                <w:sz w:val="16"/>
                <w:szCs w:val="16"/>
              </w:rPr>
            </w:pPr>
            <w:r w:rsidRPr="00325A26">
              <w:rPr>
                <w:rFonts w:ascii="Segoe UI" w:hAnsi="Segoe UI" w:cs="Segoe UI"/>
                <w:b/>
                <w:bCs/>
                <w:w w:val="105"/>
                <w:sz w:val="16"/>
                <w:szCs w:val="16"/>
              </w:rPr>
              <w:t xml:space="preserve">Balance as </w:t>
            </w:r>
            <w:proofErr w:type="gramStart"/>
            <w:r w:rsidRPr="00325A26">
              <w:rPr>
                <w:rFonts w:ascii="Segoe UI" w:hAnsi="Segoe UI" w:cs="Segoe UI"/>
                <w:b/>
                <w:bCs/>
                <w:w w:val="105"/>
                <w:sz w:val="16"/>
                <w:szCs w:val="16"/>
              </w:rPr>
              <w:t>at</w:t>
            </w:r>
            <w:proofErr w:type="gramEnd"/>
            <w:r w:rsidRPr="00325A26">
              <w:rPr>
                <w:rFonts w:ascii="Segoe UI" w:hAnsi="Segoe UI" w:cs="Segoe UI"/>
                <w:b/>
                <w:bCs/>
                <w:w w:val="105"/>
                <w:sz w:val="16"/>
                <w:szCs w:val="16"/>
              </w:rPr>
              <w:t xml:space="preserve"> 30 June 2023</w:t>
            </w:r>
          </w:p>
        </w:tc>
        <w:tc>
          <w:tcPr>
            <w:tcW w:w="992" w:type="dxa"/>
            <w:tcBorders>
              <w:top w:val="single" w:sz="4" w:space="0" w:color="BFBFBF" w:themeColor="background1" w:themeShade="BF"/>
              <w:left w:val="nil"/>
              <w:bottom w:val="single" w:sz="4" w:space="0" w:color="BFBFBF" w:themeColor="background1" w:themeShade="BF"/>
              <w:right w:val="nil"/>
            </w:tcBorders>
          </w:tcPr>
          <w:p w14:paraId="11BD5F36" w14:textId="27648EEF" w:rsidR="00325A26" w:rsidRPr="00325A26" w:rsidRDefault="00325A26" w:rsidP="00325A26">
            <w:pPr>
              <w:pStyle w:val="TableParagraph"/>
              <w:spacing w:before="60" w:after="60"/>
              <w:ind w:left="-42" w:right="170" w:firstLine="99"/>
              <w:jc w:val="right"/>
              <w:rPr>
                <w:rFonts w:ascii="Segoe UI" w:hAnsi="Segoe UI" w:cs="Segoe UI"/>
                <w:b/>
                <w:bCs/>
                <w:sz w:val="16"/>
                <w:szCs w:val="16"/>
              </w:rPr>
            </w:pPr>
            <w:r w:rsidRPr="00325A26">
              <w:rPr>
                <w:rFonts w:ascii="Segoe UI" w:hAnsi="Segoe UI" w:cs="Segoe UI"/>
                <w:b/>
                <w:bCs/>
                <w:sz w:val="16"/>
                <w:szCs w:val="16"/>
              </w:rPr>
              <w:t>(707)</w:t>
            </w:r>
          </w:p>
        </w:tc>
        <w:tc>
          <w:tcPr>
            <w:tcW w:w="994" w:type="dxa"/>
            <w:tcBorders>
              <w:top w:val="single" w:sz="4" w:space="0" w:color="BFBFBF" w:themeColor="background1" w:themeShade="BF"/>
              <w:left w:val="nil"/>
              <w:bottom w:val="single" w:sz="4" w:space="0" w:color="BFBFBF" w:themeColor="background1" w:themeShade="BF"/>
              <w:right w:val="nil"/>
            </w:tcBorders>
          </w:tcPr>
          <w:p w14:paraId="28FA586F" w14:textId="57CC2CCE" w:rsidR="00325A26" w:rsidRPr="00325A26" w:rsidRDefault="00325A26" w:rsidP="00325A26">
            <w:pPr>
              <w:pStyle w:val="TableParagraph"/>
              <w:spacing w:before="60" w:after="60"/>
              <w:ind w:left="-42" w:right="170" w:firstLine="99"/>
              <w:jc w:val="right"/>
              <w:rPr>
                <w:rFonts w:ascii="Segoe UI" w:hAnsi="Segoe UI" w:cs="Segoe UI"/>
                <w:b/>
                <w:bCs/>
                <w:sz w:val="16"/>
                <w:szCs w:val="16"/>
              </w:rPr>
            </w:pPr>
            <w:r w:rsidRPr="00325A26">
              <w:rPr>
                <w:rFonts w:ascii="Segoe UI" w:hAnsi="Segoe UI" w:cs="Segoe UI"/>
                <w:b/>
                <w:bCs/>
                <w:sz w:val="16"/>
                <w:szCs w:val="16"/>
              </w:rPr>
              <w:t>(2,954)</w:t>
            </w:r>
          </w:p>
        </w:tc>
        <w:tc>
          <w:tcPr>
            <w:tcW w:w="993" w:type="dxa"/>
            <w:tcBorders>
              <w:top w:val="single" w:sz="4" w:space="0" w:color="BFBFBF" w:themeColor="background1" w:themeShade="BF"/>
              <w:left w:val="nil"/>
              <w:bottom w:val="single" w:sz="4" w:space="0" w:color="BFBFBF" w:themeColor="background1" w:themeShade="BF"/>
              <w:right w:val="nil"/>
            </w:tcBorders>
          </w:tcPr>
          <w:p w14:paraId="271F6E8C" w14:textId="4EDFCDB3" w:rsidR="00325A26" w:rsidRPr="00325A26" w:rsidRDefault="00325A26" w:rsidP="00325A26">
            <w:pPr>
              <w:pStyle w:val="TableParagraph"/>
              <w:spacing w:before="60" w:after="60"/>
              <w:ind w:left="-42" w:right="170" w:firstLine="99"/>
              <w:jc w:val="right"/>
              <w:rPr>
                <w:rFonts w:ascii="Segoe UI" w:hAnsi="Segoe UI" w:cs="Segoe UI"/>
                <w:b/>
                <w:bCs/>
                <w:sz w:val="16"/>
                <w:szCs w:val="16"/>
              </w:rPr>
            </w:pPr>
            <w:r w:rsidRPr="00325A26">
              <w:rPr>
                <w:rFonts w:ascii="Segoe UI" w:hAnsi="Segoe UI" w:cs="Segoe UI"/>
                <w:b/>
                <w:bCs/>
                <w:sz w:val="16"/>
                <w:szCs w:val="16"/>
              </w:rPr>
              <w:t>(3,473)</w:t>
            </w:r>
          </w:p>
        </w:tc>
        <w:tc>
          <w:tcPr>
            <w:tcW w:w="993" w:type="dxa"/>
            <w:tcBorders>
              <w:top w:val="single" w:sz="4" w:space="0" w:color="BFBFBF" w:themeColor="background1" w:themeShade="BF"/>
              <w:left w:val="nil"/>
              <w:bottom w:val="single" w:sz="4" w:space="0" w:color="BFBFBF" w:themeColor="background1" w:themeShade="BF"/>
              <w:right w:val="nil"/>
            </w:tcBorders>
          </w:tcPr>
          <w:p w14:paraId="7BE0AAA0" w14:textId="7AE33752" w:rsidR="00325A26" w:rsidRPr="00325A26" w:rsidRDefault="00325A26" w:rsidP="00325A26">
            <w:pPr>
              <w:pStyle w:val="TableParagraph"/>
              <w:spacing w:before="60" w:after="60"/>
              <w:ind w:left="-42" w:right="170" w:firstLine="99"/>
              <w:jc w:val="right"/>
              <w:rPr>
                <w:rFonts w:ascii="Segoe UI" w:hAnsi="Segoe UI" w:cs="Segoe UI"/>
                <w:b/>
                <w:bCs/>
                <w:sz w:val="16"/>
                <w:szCs w:val="16"/>
              </w:rPr>
            </w:pPr>
            <w:r w:rsidRPr="00325A26">
              <w:rPr>
                <w:rFonts w:ascii="Segoe UI" w:hAnsi="Segoe UI" w:cs="Segoe UI"/>
                <w:b/>
                <w:bCs/>
                <w:sz w:val="16"/>
                <w:szCs w:val="16"/>
              </w:rPr>
              <w:t>(1,208)</w:t>
            </w:r>
          </w:p>
        </w:tc>
        <w:tc>
          <w:tcPr>
            <w:tcW w:w="852" w:type="dxa"/>
            <w:tcBorders>
              <w:top w:val="single" w:sz="4" w:space="0" w:color="BFBFBF" w:themeColor="background1" w:themeShade="BF"/>
              <w:left w:val="nil"/>
              <w:bottom w:val="single" w:sz="4" w:space="0" w:color="BFBFBF" w:themeColor="background1" w:themeShade="BF"/>
              <w:right w:val="nil"/>
            </w:tcBorders>
          </w:tcPr>
          <w:p w14:paraId="74FEBE0C" w14:textId="79CE492F" w:rsidR="00325A26" w:rsidRPr="00325A26" w:rsidRDefault="00325A26" w:rsidP="00325A26">
            <w:pPr>
              <w:pStyle w:val="TableParagraph"/>
              <w:spacing w:before="60" w:after="60"/>
              <w:ind w:left="-42" w:right="170" w:firstLine="99"/>
              <w:jc w:val="right"/>
              <w:rPr>
                <w:rFonts w:ascii="Segoe UI" w:hAnsi="Segoe UI" w:cs="Segoe UI"/>
                <w:b/>
                <w:bCs/>
                <w:sz w:val="16"/>
                <w:szCs w:val="16"/>
              </w:rPr>
            </w:pPr>
            <w:r w:rsidRPr="00325A26">
              <w:rPr>
                <w:rFonts w:ascii="Segoe UI" w:hAnsi="Segoe UI" w:cs="Segoe UI"/>
                <w:b/>
                <w:bCs/>
                <w:sz w:val="16"/>
                <w:szCs w:val="16"/>
              </w:rPr>
              <w:t>29</w:t>
            </w:r>
          </w:p>
        </w:tc>
        <w:tc>
          <w:tcPr>
            <w:tcW w:w="851" w:type="dxa"/>
            <w:tcBorders>
              <w:top w:val="single" w:sz="4" w:space="0" w:color="BFBFBF" w:themeColor="background1" w:themeShade="BF"/>
              <w:left w:val="nil"/>
              <w:bottom w:val="single" w:sz="4" w:space="0" w:color="BFBFBF" w:themeColor="background1" w:themeShade="BF"/>
              <w:right w:val="nil"/>
            </w:tcBorders>
          </w:tcPr>
          <w:p w14:paraId="6BCDD15C" w14:textId="155525AC" w:rsidR="00325A26" w:rsidRPr="00325A26" w:rsidRDefault="00325A26" w:rsidP="00325A26">
            <w:pPr>
              <w:pStyle w:val="TableParagraph"/>
              <w:spacing w:before="60" w:after="60"/>
              <w:ind w:left="-42" w:right="170" w:firstLine="99"/>
              <w:jc w:val="right"/>
              <w:rPr>
                <w:rFonts w:ascii="Segoe UI" w:hAnsi="Segoe UI" w:cs="Segoe UI"/>
                <w:b/>
                <w:bCs/>
                <w:sz w:val="16"/>
                <w:szCs w:val="16"/>
              </w:rPr>
            </w:pPr>
            <w:r w:rsidRPr="00325A26">
              <w:rPr>
                <w:rFonts w:ascii="Segoe UI" w:hAnsi="Segoe UI" w:cs="Segoe UI"/>
                <w:b/>
                <w:bCs/>
                <w:sz w:val="16"/>
                <w:szCs w:val="16"/>
              </w:rPr>
              <w:t>(8,313)</w:t>
            </w:r>
          </w:p>
        </w:tc>
      </w:tr>
      <w:tr w:rsidR="00325A26" w14:paraId="48C2123D" w14:textId="77777777" w:rsidTr="00325A26">
        <w:trPr>
          <w:trHeight w:val="354"/>
        </w:trPr>
        <w:tc>
          <w:tcPr>
            <w:tcW w:w="2410" w:type="dxa"/>
            <w:tcBorders>
              <w:top w:val="single" w:sz="4" w:space="0" w:color="BFBFBF" w:themeColor="background1" w:themeShade="BF"/>
              <w:left w:val="nil"/>
              <w:bottom w:val="nil"/>
              <w:right w:val="nil"/>
            </w:tcBorders>
            <w:hideMark/>
          </w:tcPr>
          <w:p w14:paraId="73EF71A1" w14:textId="433B7280" w:rsidR="00325A26" w:rsidRPr="00325A26" w:rsidRDefault="00325A26" w:rsidP="00325A26">
            <w:pPr>
              <w:pStyle w:val="TableParagraph"/>
              <w:spacing w:before="60" w:after="60"/>
              <w:ind w:left="66" w:hanging="5"/>
              <w:rPr>
                <w:rFonts w:ascii="Segoe UI" w:hAnsi="Segoe UI" w:cs="Segoe UI"/>
                <w:w w:val="105"/>
                <w:sz w:val="16"/>
                <w:szCs w:val="16"/>
              </w:rPr>
            </w:pPr>
            <w:r w:rsidRPr="00325A26">
              <w:rPr>
                <w:rFonts w:ascii="Segoe UI" w:hAnsi="Segoe UI" w:cs="Segoe UI"/>
                <w:w w:val="105"/>
                <w:sz w:val="16"/>
                <w:szCs w:val="16"/>
              </w:rPr>
              <w:t xml:space="preserve">Balance as </w:t>
            </w:r>
            <w:proofErr w:type="gramStart"/>
            <w:r w:rsidRPr="00325A26">
              <w:rPr>
                <w:rFonts w:ascii="Segoe UI" w:hAnsi="Segoe UI" w:cs="Segoe UI"/>
                <w:w w:val="105"/>
                <w:sz w:val="16"/>
                <w:szCs w:val="16"/>
              </w:rPr>
              <w:t>at</w:t>
            </w:r>
            <w:proofErr w:type="gramEnd"/>
            <w:r w:rsidRPr="00325A26">
              <w:rPr>
                <w:rFonts w:ascii="Segoe UI" w:hAnsi="Segoe UI" w:cs="Segoe UI"/>
                <w:w w:val="105"/>
                <w:sz w:val="16"/>
                <w:szCs w:val="16"/>
              </w:rPr>
              <w:t xml:space="preserve"> 1 July 2023</w:t>
            </w:r>
          </w:p>
        </w:tc>
        <w:tc>
          <w:tcPr>
            <w:tcW w:w="992" w:type="dxa"/>
            <w:tcBorders>
              <w:top w:val="single" w:sz="4" w:space="0" w:color="BFBFBF" w:themeColor="background1" w:themeShade="BF"/>
              <w:left w:val="nil"/>
              <w:bottom w:val="nil"/>
              <w:right w:val="nil"/>
            </w:tcBorders>
          </w:tcPr>
          <w:p w14:paraId="43E71EEE" w14:textId="79DA8EC6"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(707)</w:t>
            </w:r>
          </w:p>
        </w:tc>
        <w:tc>
          <w:tcPr>
            <w:tcW w:w="994" w:type="dxa"/>
            <w:tcBorders>
              <w:top w:val="single" w:sz="4" w:space="0" w:color="BFBFBF" w:themeColor="background1" w:themeShade="BF"/>
              <w:left w:val="nil"/>
              <w:bottom w:val="nil"/>
              <w:right w:val="nil"/>
            </w:tcBorders>
          </w:tcPr>
          <w:p w14:paraId="149A6A9A" w14:textId="50A44820"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(2,954)</w:t>
            </w:r>
          </w:p>
        </w:tc>
        <w:tc>
          <w:tcPr>
            <w:tcW w:w="993" w:type="dxa"/>
            <w:tcBorders>
              <w:top w:val="single" w:sz="4" w:space="0" w:color="BFBFBF" w:themeColor="background1" w:themeShade="BF"/>
              <w:left w:val="nil"/>
              <w:bottom w:val="nil"/>
              <w:right w:val="nil"/>
            </w:tcBorders>
          </w:tcPr>
          <w:p w14:paraId="02F85D22" w14:textId="496FD9C1"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(3,473)</w:t>
            </w:r>
          </w:p>
        </w:tc>
        <w:tc>
          <w:tcPr>
            <w:tcW w:w="993" w:type="dxa"/>
            <w:tcBorders>
              <w:top w:val="single" w:sz="4" w:space="0" w:color="BFBFBF" w:themeColor="background1" w:themeShade="BF"/>
              <w:left w:val="nil"/>
              <w:bottom w:val="nil"/>
              <w:right w:val="nil"/>
            </w:tcBorders>
          </w:tcPr>
          <w:p w14:paraId="0D1983E6" w14:textId="63018AB1"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(1,208)</w:t>
            </w:r>
          </w:p>
        </w:tc>
        <w:tc>
          <w:tcPr>
            <w:tcW w:w="852" w:type="dxa"/>
            <w:tcBorders>
              <w:top w:val="single" w:sz="4" w:space="0" w:color="BFBFBF" w:themeColor="background1" w:themeShade="BF"/>
              <w:left w:val="nil"/>
              <w:bottom w:val="nil"/>
              <w:right w:val="nil"/>
            </w:tcBorders>
          </w:tcPr>
          <w:p w14:paraId="26E5B7EB" w14:textId="4D329060"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29</w:t>
            </w:r>
          </w:p>
        </w:tc>
        <w:tc>
          <w:tcPr>
            <w:tcW w:w="851" w:type="dxa"/>
            <w:tcBorders>
              <w:top w:val="single" w:sz="4" w:space="0" w:color="BFBFBF" w:themeColor="background1" w:themeShade="BF"/>
              <w:left w:val="nil"/>
              <w:bottom w:val="nil"/>
              <w:right w:val="nil"/>
            </w:tcBorders>
          </w:tcPr>
          <w:p w14:paraId="55CD8708" w14:textId="7E92F393"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(8,313)</w:t>
            </w:r>
          </w:p>
        </w:tc>
      </w:tr>
      <w:tr w:rsidR="00325A26" w14:paraId="1190892A" w14:textId="77777777" w:rsidTr="00325A26">
        <w:trPr>
          <w:trHeight w:val="359"/>
        </w:trPr>
        <w:tc>
          <w:tcPr>
            <w:tcW w:w="2410" w:type="dxa"/>
            <w:hideMark/>
          </w:tcPr>
          <w:p w14:paraId="58428586" w14:textId="734473F2" w:rsidR="00325A26" w:rsidRPr="00325A26" w:rsidRDefault="00325A26" w:rsidP="00325A26">
            <w:pPr>
              <w:pStyle w:val="TableParagraph"/>
              <w:spacing w:before="60" w:after="60"/>
              <w:ind w:left="66" w:hanging="5"/>
              <w:rPr>
                <w:rFonts w:ascii="Segoe UI" w:hAnsi="Segoe UI" w:cs="Segoe UI"/>
                <w:w w:val="105"/>
                <w:sz w:val="16"/>
                <w:szCs w:val="16"/>
              </w:rPr>
            </w:pPr>
            <w:r w:rsidRPr="00325A26">
              <w:rPr>
                <w:rFonts w:ascii="Segoe UI" w:hAnsi="Segoe UI" w:cs="Segoe UI"/>
                <w:w w:val="105"/>
                <w:sz w:val="16"/>
                <w:szCs w:val="16"/>
              </w:rPr>
              <w:t>Revenue</w:t>
            </w:r>
          </w:p>
        </w:tc>
        <w:tc>
          <w:tcPr>
            <w:tcW w:w="992" w:type="dxa"/>
          </w:tcPr>
          <w:p w14:paraId="0B095DF1" w14:textId="27D9982E"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w:t>
            </w:r>
          </w:p>
        </w:tc>
        <w:tc>
          <w:tcPr>
            <w:tcW w:w="994" w:type="dxa"/>
          </w:tcPr>
          <w:p w14:paraId="0165AE7C" w14:textId="61AFE65D"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1,490</w:t>
            </w:r>
          </w:p>
        </w:tc>
        <w:tc>
          <w:tcPr>
            <w:tcW w:w="993" w:type="dxa"/>
          </w:tcPr>
          <w:p w14:paraId="34E38CE9" w14:textId="34256CD4"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11,575</w:t>
            </w:r>
          </w:p>
        </w:tc>
        <w:tc>
          <w:tcPr>
            <w:tcW w:w="993" w:type="dxa"/>
          </w:tcPr>
          <w:p w14:paraId="18A19386" w14:textId="1ACCE233"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315</w:t>
            </w:r>
          </w:p>
        </w:tc>
        <w:tc>
          <w:tcPr>
            <w:tcW w:w="852" w:type="dxa"/>
          </w:tcPr>
          <w:p w14:paraId="09A54899" w14:textId="410E888F"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1,091</w:t>
            </w:r>
          </w:p>
        </w:tc>
        <w:tc>
          <w:tcPr>
            <w:tcW w:w="851" w:type="dxa"/>
          </w:tcPr>
          <w:p w14:paraId="24DEC74D" w14:textId="6697422A"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14,471</w:t>
            </w:r>
          </w:p>
        </w:tc>
      </w:tr>
      <w:tr w:rsidR="00325A26" w14:paraId="24B95F8F" w14:textId="77777777" w:rsidTr="00325A26">
        <w:trPr>
          <w:trHeight w:val="348"/>
        </w:trPr>
        <w:tc>
          <w:tcPr>
            <w:tcW w:w="2410" w:type="dxa"/>
            <w:tcBorders>
              <w:top w:val="nil"/>
              <w:left w:val="nil"/>
              <w:bottom w:val="single" w:sz="4" w:space="0" w:color="BFBFBF" w:themeColor="background1" w:themeShade="BF"/>
              <w:right w:val="nil"/>
            </w:tcBorders>
            <w:hideMark/>
          </w:tcPr>
          <w:p w14:paraId="70EAC438" w14:textId="205E6A8C" w:rsidR="00325A26" w:rsidRPr="00325A26" w:rsidRDefault="00325A26" w:rsidP="00325A26">
            <w:pPr>
              <w:pStyle w:val="TableParagraph"/>
              <w:spacing w:before="60" w:after="60"/>
              <w:ind w:left="66" w:hanging="5"/>
              <w:rPr>
                <w:rFonts w:ascii="Segoe UI" w:hAnsi="Segoe UI" w:cs="Segoe UI"/>
                <w:w w:val="105"/>
                <w:sz w:val="16"/>
                <w:szCs w:val="16"/>
              </w:rPr>
            </w:pPr>
            <w:r w:rsidRPr="00325A26">
              <w:rPr>
                <w:rFonts w:ascii="Segoe UI" w:hAnsi="Segoe UI" w:cs="Segoe UI"/>
                <w:w w:val="105"/>
                <w:sz w:val="16"/>
                <w:szCs w:val="16"/>
              </w:rPr>
              <w:t>Expenditure</w:t>
            </w:r>
          </w:p>
        </w:tc>
        <w:tc>
          <w:tcPr>
            <w:tcW w:w="992" w:type="dxa"/>
            <w:tcBorders>
              <w:top w:val="nil"/>
              <w:left w:val="nil"/>
              <w:bottom w:val="single" w:sz="4" w:space="0" w:color="BFBFBF" w:themeColor="background1" w:themeShade="BF"/>
              <w:right w:val="nil"/>
            </w:tcBorders>
          </w:tcPr>
          <w:p w14:paraId="79768420" w14:textId="65999B1B"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w:t>
            </w:r>
          </w:p>
        </w:tc>
        <w:tc>
          <w:tcPr>
            <w:tcW w:w="994" w:type="dxa"/>
            <w:tcBorders>
              <w:top w:val="nil"/>
              <w:left w:val="nil"/>
              <w:bottom w:val="single" w:sz="4" w:space="0" w:color="BFBFBF" w:themeColor="background1" w:themeShade="BF"/>
              <w:right w:val="nil"/>
            </w:tcBorders>
          </w:tcPr>
          <w:p w14:paraId="52B7B7E2" w14:textId="50E04DBF"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(2,223)</w:t>
            </w:r>
          </w:p>
        </w:tc>
        <w:tc>
          <w:tcPr>
            <w:tcW w:w="993" w:type="dxa"/>
            <w:tcBorders>
              <w:top w:val="nil"/>
              <w:left w:val="nil"/>
              <w:bottom w:val="single" w:sz="4" w:space="0" w:color="BFBFBF" w:themeColor="background1" w:themeShade="BF"/>
              <w:right w:val="nil"/>
            </w:tcBorders>
          </w:tcPr>
          <w:p w14:paraId="6D164778" w14:textId="48138AA7"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(10,755)</w:t>
            </w:r>
          </w:p>
        </w:tc>
        <w:tc>
          <w:tcPr>
            <w:tcW w:w="993" w:type="dxa"/>
            <w:tcBorders>
              <w:top w:val="nil"/>
              <w:left w:val="nil"/>
              <w:bottom w:val="single" w:sz="4" w:space="0" w:color="BFBFBF" w:themeColor="background1" w:themeShade="BF"/>
              <w:right w:val="nil"/>
            </w:tcBorders>
          </w:tcPr>
          <w:p w14:paraId="0AC0B5CA" w14:textId="30BB0295"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(874)</w:t>
            </w:r>
          </w:p>
        </w:tc>
        <w:tc>
          <w:tcPr>
            <w:tcW w:w="852" w:type="dxa"/>
            <w:tcBorders>
              <w:top w:val="nil"/>
              <w:left w:val="nil"/>
              <w:bottom w:val="single" w:sz="4" w:space="0" w:color="BFBFBF" w:themeColor="background1" w:themeShade="BF"/>
              <w:right w:val="nil"/>
            </w:tcBorders>
          </w:tcPr>
          <w:p w14:paraId="1E0ACF24" w14:textId="115EE6C6"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(1,100)</w:t>
            </w:r>
          </w:p>
        </w:tc>
        <w:tc>
          <w:tcPr>
            <w:tcW w:w="851" w:type="dxa"/>
            <w:tcBorders>
              <w:top w:val="nil"/>
              <w:left w:val="nil"/>
              <w:bottom w:val="single" w:sz="4" w:space="0" w:color="BFBFBF" w:themeColor="background1" w:themeShade="BF"/>
              <w:right w:val="nil"/>
            </w:tcBorders>
          </w:tcPr>
          <w:p w14:paraId="1FB959DE" w14:textId="53D23786" w:rsidR="00325A26" w:rsidRDefault="00325A26" w:rsidP="00325A26">
            <w:pPr>
              <w:pStyle w:val="TableParagraph"/>
              <w:spacing w:before="60" w:after="60"/>
              <w:ind w:left="-42" w:right="170" w:firstLine="99"/>
              <w:jc w:val="right"/>
              <w:rPr>
                <w:rFonts w:ascii="Segoe UI" w:hAnsi="Segoe UI" w:cs="Segoe UI"/>
                <w:sz w:val="16"/>
                <w:szCs w:val="16"/>
              </w:rPr>
            </w:pPr>
            <w:r w:rsidRPr="00325A26">
              <w:rPr>
                <w:rFonts w:ascii="Segoe UI" w:hAnsi="Segoe UI" w:cs="Segoe UI"/>
                <w:sz w:val="16"/>
                <w:szCs w:val="16"/>
              </w:rPr>
              <w:t>(14,952)</w:t>
            </w:r>
          </w:p>
        </w:tc>
      </w:tr>
      <w:tr w:rsidR="00325A26" w:rsidRPr="00325A26" w14:paraId="41725AB9" w14:textId="77777777" w:rsidTr="00325A26">
        <w:trPr>
          <w:trHeight w:val="344"/>
        </w:trPr>
        <w:tc>
          <w:tcPr>
            <w:tcW w:w="2410" w:type="dxa"/>
            <w:tcBorders>
              <w:top w:val="single" w:sz="4" w:space="0" w:color="BFBFBF" w:themeColor="background1" w:themeShade="BF"/>
              <w:left w:val="nil"/>
              <w:bottom w:val="single" w:sz="4" w:space="0" w:color="BFBFBF" w:themeColor="background1" w:themeShade="BF"/>
              <w:right w:val="nil"/>
            </w:tcBorders>
            <w:hideMark/>
          </w:tcPr>
          <w:p w14:paraId="7693B67B" w14:textId="2A8063FE" w:rsidR="00325A26" w:rsidRPr="00325A26" w:rsidRDefault="00325A26" w:rsidP="00325A26">
            <w:pPr>
              <w:pStyle w:val="TableParagraph"/>
              <w:spacing w:before="60" w:after="60"/>
              <w:ind w:left="66" w:hanging="5"/>
              <w:rPr>
                <w:rFonts w:ascii="Segoe UI" w:hAnsi="Segoe UI" w:cs="Segoe UI"/>
                <w:b/>
                <w:bCs/>
                <w:w w:val="105"/>
                <w:sz w:val="16"/>
                <w:szCs w:val="16"/>
              </w:rPr>
            </w:pPr>
            <w:r w:rsidRPr="00325A26">
              <w:rPr>
                <w:rFonts w:ascii="Segoe UI" w:hAnsi="Segoe UI" w:cs="Segoe UI"/>
                <w:b/>
                <w:bCs/>
                <w:w w:val="105"/>
                <w:sz w:val="16"/>
                <w:szCs w:val="16"/>
              </w:rPr>
              <w:t xml:space="preserve">Balance as </w:t>
            </w:r>
            <w:proofErr w:type="gramStart"/>
            <w:r w:rsidRPr="00325A26">
              <w:rPr>
                <w:rFonts w:ascii="Segoe UI" w:hAnsi="Segoe UI" w:cs="Segoe UI"/>
                <w:b/>
                <w:bCs/>
                <w:w w:val="105"/>
                <w:sz w:val="16"/>
                <w:szCs w:val="16"/>
              </w:rPr>
              <w:t>at</w:t>
            </w:r>
            <w:proofErr w:type="gramEnd"/>
            <w:r w:rsidRPr="00325A26">
              <w:rPr>
                <w:rFonts w:ascii="Segoe UI" w:hAnsi="Segoe UI" w:cs="Segoe UI"/>
                <w:b/>
                <w:bCs/>
                <w:w w:val="105"/>
                <w:sz w:val="16"/>
                <w:szCs w:val="16"/>
              </w:rPr>
              <w:t xml:space="preserve"> 30 June 2024</w:t>
            </w:r>
          </w:p>
        </w:tc>
        <w:tc>
          <w:tcPr>
            <w:tcW w:w="992" w:type="dxa"/>
            <w:tcBorders>
              <w:top w:val="single" w:sz="4" w:space="0" w:color="BFBFBF" w:themeColor="background1" w:themeShade="BF"/>
              <w:left w:val="nil"/>
              <w:bottom w:val="single" w:sz="4" w:space="0" w:color="BFBFBF" w:themeColor="background1" w:themeShade="BF"/>
              <w:right w:val="nil"/>
            </w:tcBorders>
          </w:tcPr>
          <w:p w14:paraId="1BCC7C1B" w14:textId="00C7E8D7" w:rsidR="00325A26" w:rsidRPr="00325A26" w:rsidRDefault="00325A26" w:rsidP="00325A26">
            <w:pPr>
              <w:pStyle w:val="TableParagraph"/>
              <w:spacing w:before="60" w:after="60"/>
              <w:ind w:left="-42" w:right="170" w:firstLine="99"/>
              <w:jc w:val="right"/>
              <w:rPr>
                <w:rFonts w:ascii="Segoe UI" w:hAnsi="Segoe UI" w:cs="Segoe UI"/>
                <w:b/>
                <w:bCs/>
                <w:sz w:val="16"/>
                <w:szCs w:val="16"/>
              </w:rPr>
            </w:pPr>
            <w:r w:rsidRPr="00325A26">
              <w:rPr>
                <w:rFonts w:ascii="Segoe UI" w:hAnsi="Segoe UI" w:cs="Segoe UI"/>
                <w:b/>
                <w:bCs/>
                <w:sz w:val="16"/>
                <w:szCs w:val="16"/>
              </w:rPr>
              <w:t>(707)</w:t>
            </w:r>
          </w:p>
        </w:tc>
        <w:tc>
          <w:tcPr>
            <w:tcW w:w="994" w:type="dxa"/>
            <w:tcBorders>
              <w:top w:val="single" w:sz="4" w:space="0" w:color="BFBFBF" w:themeColor="background1" w:themeShade="BF"/>
              <w:left w:val="nil"/>
              <w:bottom w:val="single" w:sz="4" w:space="0" w:color="BFBFBF" w:themeColor="background1" w:themeShade="BF"/>
              <w:right w:val="nil"/>
            </w:tcBorders>
          </w:tcPr>
          <w:p w14:paraId="0EC1CF2F" w14:textId="103C2858" w:rsidR="00325A26" w:rsidRPr="00325A26" w:rsidRDefault="00325A26" w:rsidP="00325A26">
            <w:pPr>
              <w:pStyle w:val="TableParagraph"/>
              <w:spacing w:before="60" w:after="60"/>
              <w:ind w:left="-42" w:right="170" w:firstLine="99"/>
              <w:jc w:val="right"/>
              <w:rPr>
                <w:rFonts w:ascii="Segoe UI" w:hAnsi="Segoe UI" w:cs="Segoe UI"/>
                <w:b/>
                <w:bCs/>
                <w:sz w:val="16"/>
                <w:szCs w:val="16"/>
              </w:rPr>
            </w:pPr>
            <w:r w:rsidRPr="00325A26">
              <w:rPr>
                <w:rFonts w:ascii="Segoe UI" w:hAnsi="Segoe UI" w:cs="Segoe UI"/>
                <w:b/>
                <w:bCs/>
                <w:sz w:val="16"/>
                <w:szCs w:val="16"/>
              </w:rPr>
              <w:t>(3,687)</w:t>
            </w:r>
          </w:p>
        </w:tc>
        <w:tc>
          <w:tcPr>
            <w:tcW w:w="993" w:type="dxa"/>
            <w:tcBorders>
              <w:top w:val="single" w:sz="4" w:space="0" w:color="BFBFBF" w:themeColor="background1" w:themeShade="BF"/>
              <w:left w:val="nil"/>
              <w:bottom w:val="single" w:sz="4" w:space="0" w:color="BFBFBF" w:themeColor="background1" w:themeShade="BF"/>
              <w:right w:val="nil"/>
            </w:tcBorders>
          </w:tcPr>
          <w:p w14:paraId="3C35FA78" w14:textId="6EE48033" w:rsidR="00325A26" w:rsidRPr="00325A26" w:rsidRDefault="00325A26" w:rsidP="00325A26">
            <w:pPr>
              <w:pStyle w:val="TableParagraph"/>
              <w:spacing w:before="60" w:after="60"/>
              <w:ind w:left="-42" w:right="170" w:firstLine="99"/>
              <w:jc w:val="right"/>
              <w:rPr>
                <w:rFonts w:ascii="Segoe UI" w:hAnsi="Segoe UI" w:cs="Segoe UI"/>
                <w:b/>
                <w:bCs/>
                <w:sz w:val="16"/>
                <w:szCs w:val="16"/>
              </w:rPr>
            </w:pPr>
            <w:r w:rsidRPr="00325A26">
              <w:rPr>
                <w:rFonts w:ascii="Segoe UI" w:hAnsi="Segoe UI" w:cs="Segoe UI"/>
                <w:b/>
                <w:bCs/>
                <w:sz w:val="16"/>
                <w:szCs w:val="16"/>
              </w:rPr>
              <w:t>(2,653)</w:t>
            </w:r>
          </w:p>
        </w:tc>
        <w:tc>
          <w:tcPr>
            <w:tcW w:w="993" w:type="dxa"/>
            <w:tcBorders>
              <w:top w:val="single" w:sz="4" w:space="0" w:color="BFBFBF" w:themeColor="background1" w:themeShade="BF"/>
              <w:left w:val="nil"/>
              <w:bottom w:val="single" w:sz="4" w:space="0" w:color="BFBFBF" w:themeColor="background1" w:themeShade="BF"/>
              <w:right w:val="nil"/>
            </w:tcBorders>
          </w:tcPr>
          <w:p w14:paraId="7DD69080" w14:textId="4F170DC3" w:rsidR="00325A26" w:rsidRPr="00325A26" w:rsidRDefault="00325A26" w:rsidP="00325A26">
            <w:pPr>
              <w:pStyle w:val="TableParagraph"/>
              <w:spacing w:before="60" w:after="60"/>
              <w:ind w:left="-42" w:right="170" w:firstLine="99"/>
              <w:jc w:val="right"/>
              <w:rPr>
                <w:rFonts w:ascii="Segoe UI" w:hAnsi="Segoe UI" w:cs="Segoe UI"/>
                <w:b/>
                <w:bCs/>
                <w:sz w:val="16"/>
                <w:szCs w:val="16"/>
              </w:rPr>
            </w:pPr>
            <w:r w:rsidRPr="00325A26">
              <w:rPr>
                <w:rFonts w:ascii="Segoe UI" w:hAnsi="Segoe UI" w:cs="Segoe UI"/>
                <w:b/>
                <w:bCs/>
                <w:sz w:val="16"/>
                <w:szCs w:val="16"/>
              </w:rPr>
              <w:t>(1,767)</w:t>
            </w:r>
          </w:p>
        </w:tc>
        <w:tc>
          <w:tcPr>
            <w:tcW w:w="852" w:type="dxa"/>
            <w:tcBorders>
              <w:top w:val="single" w:sz="4" w:space="0" w:color="BFBFBF" w:themeColor="background1" w:themeShade="BF"/>
              <w:left w:val="nil"/>
              <w:bottom w:val="single" w:sz="4" w:space="0" w:color="BFBFBF" w:themeColor="background1" w:themeShade="BF"/>
              <w:right w:val="nil"/>
            </w:tcBorders>
          </w:tcPr>
          <w:p w14:paraId="2B728692" w14:textId="4277E35B" w:rsidR="00325A26" w:rsidRPr="00325A26" w:rsidRDefault="00325A26" w:rsidP="00325A26">
            <w:pPr>
              <w:pStyle w:val="TableParagraph"/>
              <w:spacing w:before="60" w:after="60"/>
              <w:ind w:left="-42" w:right="170" w:firstLine="99"/>
              <w:jc w:val="right"/>
              <w:rPr>
                <w:rFonts w:ascii="Segoe UI" w:hAnsi="Segoe UI" w:cs="Segoe UI"/>
                <w:b/>
                <w:bCs/>
                <w:sz w:val="16"/>
                <w:szCs w:val="16"/>
              </w:rPr>
            </w:pPr>
            <w:r w:rsidRPr="00325A26">
              <w:rPr>
                <w:rFonts w:ascii="Segoe UI" w:hAnsi="Segoe UI" w:cs="Segoe UI"/>
                <w:b/>
                <w:bCs/>
                <w:sz w:val="16"/>
                <w:szCs w:val="16"/>
              </w:rPr>
              <w:t>20</w:t>
            </w:r>
          </w:p>
        </w:tc>
        <w:tc>
          <w:tcPr>
            <w:tcW w:w="851" w:type="dxa"/>
            <w:tcBorders>
              <w:top w:val="single" w:sz="4" w:space="0" w:color="BFBFBF" w:themeColor="background1" w:themeShade="BF"/>
              <w:left w:val="nil"/>
              <w:bottom w:val="single" w:sz="4" w:space="0" w:color="BFBFBF" w:themeColor="background1" w:themeShade="BF"/>
              <w:right w:val="nil"/>
            </w:tcBorders>
          </w:tcPr>
          <w:p w14:paraId="63A1637B" w14:textId="42A8E998" w:rsidR="00325A26" w:rsidRPr="00325A26" w:rsidRDefault="00325A26" w:rsidP="00325A26">
            <w:pPr>
              <w:pStyle w:val="TableParagraph"/>
              <w:spacing w:before="60" w:after="60"/>
              <w:ind w:left="-42" w:right="170" w:firstLine="99"/>
              <w:jc w:val="right"/>
              <w:rPr>
                <w:rFonts w:ascii="Segoe UI" w:hAnsi="Segoe UI" w:cs="Segoe UI"/>
                <w:b/>
                <w:bCs/>
                <w:sz w:val="16"/>
                <w:szCs w:val="16"/>
              </w:rPr>
            </w:pPr>
            <w:r w:rsidRPr="00325A26">
              <w:rPr>
                <w:rFonts w:ascii="Segoe UI" w:hAnsi="Segoe UI" w:cs="Segoe UI"/>
                <w:b/>
                <w:bCs/>
                <w:sz w:val="16"/>
                <w:szCs w:val="16"/>
              </w:rPr>
              <w:t>(8,794)</w:t>
            </w:r>
          </w:p>
        </w:tc>
      </w:tr>
    </w:tbl>
    <w:p w14:paraId="706BC7CC" w14:textId="77777777" w:rsidR="00325A26" w:rsidRDefault="00325A26" w:rsidP="00325A26">
      <w:pPr>
        <w:pStyle w:val="Note"/>
        <w:ind w:left="142" w:hanging="142"/>
      </w:pPr>
      <w:r w:rsidRPr="00325A26">
        <w:t>* The Problem Gambling memorandum account was disestablished in 2019/20. The Ministry is in the process of seeking approval from the Crown to close the deficit balance of the account. Revenue collected and expenditure incurred in relation to problem gambling services are disclosed in the ‘Problem Gambling Revenue Report’ on page 156.</w:t>
      </w:r>
      <w:r>
        <w:tab/>
      </w:r>
    </w:p>
    <w:p w14:paraId="1EC337BD" w14:textId="1BF33BEA" w:rsidR="005570ED" w:rsidRDefault="005570ED" w:rsidP="007123AC">
      <w:pPr>
        <w:pStyle w:val="Heading3"/>
        <w:numPr>
          <w:ilvl w:val="6"/>
          <w:numId w:val="5"/>
        </w:numPr>
        <w:tabs>
          <w:tab w:val="num" w:pos="5040"/>
        </w:tabs>
        <w:ind w:left="709" w:hanging="709"/>
      </w:pPr>
      <w:r>
        <w:t>Related party transactions</w:t>
      </w:r>
    </w:p>
    <w:p w14:paraId="423E0568" w14:textId="5D4E502E" w:rsidR="005570ED" w:rsidRDefault="005570ED" w:rsidP="005570ED">
      <w:r>
        <w:t>The Ministry is a wholly owned entity of the Crown.</w:t>
      </w:r>
    </w:p>
    <w:p w14:paraId="2066DC30" w14:textId="77777777" w:rsidR="005570ED" w:rsidRDefault="005570ED" w:rsidP="005570ED"/>
    <w:p w14:paraId="60624603" w14:textId="2519F15C" w:rsidR="005570ED" w:rsidRDefault="005570ED" w:rsidP="005570ED">
      <w:r>
        <w:t xml:space="preserve">Related party disclosures have not been made for transactions with related parties that are within a normal supplier </w:t>
      </w:r>
      <w:proofErr w:type="spellStart"/>
      <w:r>
        <w:t>or</w:t>
      </w:r>
      <w:proofErr w:type="spellEnd"/>
      <w:r>
        <w:t xml:space="preserve"> client/recipient relationship on terms and conditions no more or less favourable than those that it is reasonable to expect the Ministry would have adopted in dealing with the party at arm’s length in the same circumstances.</w:t>
      </w:r>
    </w:p>
    <w:p w14:paraId="6F4D1AAE" w14:textId="77777777" w:rsidR="005570ED" w:rsidRDefault="005570ED" w:rsidP="005570ED"/>
    <w:p w14:paraId="77D6C81D" w14:textId="77777777" w:rsidR="005570ED" w:rsidRDefault="005570ED" w:rsidP="005570ED">
      <w:r>
        <w:t>Further, transactions with other government agencies are not disclosed as related party transactions when they are consistent with the normal operating arrangements between government agencies and undertaken on the normal terms and conditions for such transactions.</w:t>
      </w:r>
    </w:p>
    <w:p w14:paraId="3FDE6B23" w14:textId="77777777" w:rsidR="005570ED" w:rsidRDefault="005570ED" w:rsidP="005570ED"/>
    <w:tbl>
      <w:tblPr>
        <w:tblW w:w="8175" w:type="dxa"/>
        <w:tblInd w:w="7" w:type="dxa"/>
        <w:tblLayout w:type="fixed"/>
        <w:tblCellMar>
          <w:left w:w="0" w:type="dxa"/>
          <w:right w:w="0" w:type="dxa"/>
        </w:tblCellMar>
        <w:tblLook w:val="01E0" w:firstRow="1" w:lastRow="1" w:firstColumn="1" w:lastColumn="1" w:noHBand="0" w:noVBand="0"/>
      </w:tblPr>
      <w:tblGrid>
        <w:gridCol w:w="1375"/>
        <w:gridCol w:w="3865"/>
        <w:gridCol w:w="2935"/>
      </w:tblGrid>
      <w:tr w:rsidR="005570ED" w14:paraId="72838E63" w14:textId="77777777" w:rsidTr="009E5930">
        <w:trPr>
          <w:trHeight w:val="784"/>
        </w:trPr>
        <w:tc>
          <w:tcPr>
            <w:tcW w:w="1375" w:type="dxa"/>
            <w:shd w:val="clear" w:color="auto" w:fill="D9D9D9" w:themeFill="background1" w:themeFillShade="D9"/>
            <w:hideMark/>
          </w:tcPr>
          <w:p w14:paraId="13B27860" w14:textId="77777777" w:rsidR="005570ED" w:rsidRDefault="005570ED">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 xml:space="preserve">Actual </w:t>
            </w:r>
          </w:p>
          <w:p w14:paraId="40C0BD90" w14:textId="7EA48B3C" w:rsidR="005570ED" w:rsidRDefault="005570ED">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202</w:t>
            </w:r>
            <w:r w:rsidR="009E5930">
              <w:rPr>
                <w:rFonts w:ascii="Segoe UI" w:hAnsi="Segoe UI" w:cs="Segoe UI"/>
                <w:b/>
                <w:bCs/>
                <w:sz w:val="16"/>
                <w:szCs w:val="16"/>
              </w:rPr>
              <w:t>3</w:t>
            </w:r>
          </w:p>
          <w:p w14:paraId="3D350A1D" w14:textId="77777777" w:rsidR="005570ED" w:rsidRDefault="005570ED">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3865" w:type="dxa"/>
            <w:shd w:val="clear" w:color="auto" w:fill="D9D9D9" w:themeFill="background1" w:themeFillShade="D9"/>
          </w:tcPr>
          <w:p w14:paraId="36D1DB58" w14:textId="77777777" w:rsidR="005570ED" w:rsidRDefault="005570ED">
            <w:pPr>
              <w:pStyle w:val="TableParagraph"/>
              <w:rPr>
                <w:rFonts w:ascii="Times New Roman"/>
                <w:b/>
                <w:bCs/>
                <w:sz w:val="18"/>
              </w:rPr>
            </w:pPr>
          </w:p>
        </w:tc>
        <w:tc>
          <w:tcPr>
            <w:tcW w:w="2935" w:type="dxa"/>
            <w:shd w:val="clear" w:color="auto" w:fill="D9D9D9" w:themeFill="background1" w:themeFillShade="D9"/>
            <w:hideMark/>
          </w:tcPr>
          <w:p w14:paraId="2BD88C85" w14:textId="77777777" w:rsidR="005570ED" w:rsidRDefault="005570ED">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 xml:space="preserve">Actual </w:t>
            </w:r>
          </w:p>
          <w:p w14:paraId="2D93A415" w14:textId="51A89C1D" w:rsidR="005570ED" w:rsidRDefault="005570ED">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202</w:t>
            </w:r>
            <w:r w:rsidR="009E5930">
              <w:rPr>
                <w:rFonts w:ascii="Segoe UI" w:hAnsi="Segoe UI" w:cs="Segoe UI"/>
                <w:b/>
                <w:bCs/>
                <w:sz w:val="16"/>
                <w:szCs w:val="16"/>
              </w:rPr>
              <w:t>4</w:t>
            </w:r>
          </w:p>
          <w:p w14:paraId="140A8456" w14:textId="77777777" w:rsidR="005570ED" w:rsidRDefault="005570ED">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r>
      <w:tr w:rsidR="009E5930" w14:paraId="309839E4" w14:textId="77777777" w:rsidTr="009E5930">
        <w:trPr>
          <w:trHeight w:val="354"/>
        </w:trPr>
        <w:tc>
          <w:tcPr>
            <w:tcW w:w="1375" w:type="dxa"/>
          </w:tcPr>
          <w:p w14:paraId="3BFA602E" w14:textId="77777777" w:rsidR="009E5930" w:rsidRDefault="009E5930" w:rsidP="009E5930">
            <w:pPr>
              <w:pStyle w:val="TableParagraph"/>
              <w:spacing w:before="60" w:after="60"/>
              <w:ind w:left="-42" w:right="170" w:firstLine="99"/>
              <w:jc w:val="right"/>
              <w:rPr>
                <w:rFonts w:ascii="Segoe UI" w:hAnsi="Segoe UI" w:cs="Segoe UI"/>
                <w:b/>
                <w:bCs/>
                <w:sz w:val="16"/>
                <w:szCs w:val="16"/>
              </w:rPr>
            </w:pPr>
          </w:p>
        </w:tc>
        <w:tc>
          <w:tcPr>
            <w:tcW w:w="3865" w:type="dxa"/>
            <w:hideMark/>
          </w:tcPr>
          <w:p w14:paraId="0F489410" w14:textId="77777777" w:rsidR="009E5930" w:rsidRDefault="009E5930" w:rsidP="009E5930">
            <w:pPr>
              <w:pStyle w:val="TableParagraph"/>
              <w:spacing w:before="60" w:after="60"/>
              <w:ind w:left="66" w:hanging="5"/>
              <w:rPr>
                <w:rFonts w:ascii="Segoe UI" w:hAnsi="Segoe UI" w:cs="Segoe UI"/>
                <w:b/>
                <w:bCs/>
                <w:w w:val="105"/>
                <w:sz w:val="16"/>
                <w:szCs w:val="16"/>
              </w:rPr>
            </w:pPr>
            <w:r>
              <w:rPr>
                <w:rFonts w:ascii="Segoe UI" w:hAnsi="Segoe UI" w:cs="Segoe UI"/>
                <w:b/>
                <w:bCs/>
                <w:w w:val="105"/>
                <w:sz w:val="16"/>
                <w:szCs w:val="16"/>
              </w:rPr>
              <w:t>Leadership team</w:t>
            </w:r>
          </w:p>
        </w:tc>
        <w:tc>
          <w:tcPr>
            <w:tcW w:w="2935" w:type="dxa"/>
          </w:tcPr>
          <w:p w14:paraId="6E64EAFF" w14:textId="77777777" w:rsidR="009E5930" w:rsidRDefault="009E5930" w:rsidP="009E5930">
            <w:pPr>
              <w:pStyle w:val="TableParagraph"/>
              <w:spacing w:before="60" w:after="60"/>
              <w:ind w:left="-42" w:right="170" w:firstLine="99"/>
              <w:jc w:val="right"/>
              <w:rPr>
                <w:rFonts w:ascii="Segoe UI" w:hAnsi="Segoe UI" w:cs="Segoe UI"/>
                <w:b/>
                <w:bCs/>
                <w:sz w:val="16"/>
                <w:szCs w:val="16"/>
              </w:rPr>
            </w:pPr>
          </w:p>
        </w:tc>
      </w:tr>
      <w:tr w:rsidR="009E5930" w14:paraId="19F14E99" w14:textId="77777777" w:rsidTr="009E5930">
        <w:trPr>
          <w:trHeight w:val="359"/>
        </w:trPr>
        <w:tc>
          <w:tcPr>
            <w:tcW w:w="1375" w:type="dxa"/>
            <w:hideMark/>
          </w:tcPr>
          <w:p w14:paraId="5AF1A00A" w14:textId="30F57BBE" w:rsidR="009E5930" w:rsidRDefault="009E5930" w:rsidP="009E5930">
            <w:pPr>
              <w:pStyle w:val="TableParagraph"/>
              <w:spacing w:before="60" w:after="60"/>
              <w:ind w:left="-42" w:right="170" w:firstLine="99"/>
              <w:jc w:val="right"/>
              <w:rPr>
                <w:rFonts w:ascii="Segoe UI" w:hAnsi="Segoe UI" w:cs="Segoe UI"/>
                <w:sz w:val="16"/>
                <w:szCs w:val="16"/>
              </w:rPr>
            </w:pPr>
            <w:r>
              <w:rPr>
                <w:rFonts w:ascii="Segoe UI" w:hAnsi="Segoe UI" w:cs="Segoe UI"/>
                <w:sz w:val="16"/>
                <w:szCs w:val="16"/>
              </w:rPr>
              <w:t>4,939</w:t>
            </w:r>
          </w:p>
        </w:tc>
        <w:tc>
          <w:tcPr>
            <w:tcW w:w="3865" w:type="dxa"/>
            <w:hideMark/>
          </w:tcPr>
          <w:p w14:paraId="02959307" w14:textId="77777777" w:rsidR="009E5930" w:rsidRDefault="009E5930" w:rsidP="009E5930">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Remuneration</w:t>
            </w:r>
          </w:p>
        </w:tc>
        <w:tc>
          <w:tcPr>
            <w:tcW w:w="2935" w:type="dxa"/>
            <w:hideMark/>
          </w:tcPr>
          <w:p w14:paraId="3F361C87" w14:textId="1A139BE1" w:rsidR="009E5930" w:rsidRDefault="009E5930" w:rsidP="009E5930">
            <w:pPr>
              <w:pStyle w:val="TableParagraph"/>
              <w:spacing w:before="60" w:after="60"/>
              <w:ind w:left="-42" w:right="170" w:firstLine="99"/>
              <w:jc w:val="right"/>
              <w:rPr>
                <w:rFonts w:ascii="Segoe UI" w:hAnsi="Segoe UI" w:cs="Segoe UI"/>
                <w:sz w:val="16"/>
                <w:szCs w:val="16"/>
              </w:rPr>
            </w:pPr>
            <w:r w:rsidRPr="009E5930">
              <w:rPr>
                <w:rFonts w:ascii="Segoe UI" w:hAnsi="Segoe UI" w:cs="Segoe UI"/>
                <w:sz w:val="16"/>
                <w:szCs w:val="16"/>
              </w:rPr>
              <w:t>3,990</w:t>
            </w:r>
          </w:p>
        </w:tc>
      </w:tr>
      <w:tr w:rsidR="009E5930" w14:paraId="4E235821" w14:textId="77777777" w:rsidTr="009E5930">
        <w:trPr>
          <w:trHeight w:val="348"/>
        </w:trPr>
        <w:tc>
          <w:tcPr>
            <w:tcW w:w="1375" w:type="dxa"/>
            <w:tcBorders>
              <w:top w:val="nil"/>
              <w:left w:val="nil"/>
              <w:bottom w:val="single" w:sz="4" w:space="0" w:color="BFBFBF" w:themeColor="background1" w:themeShade="BF"/>
              <w:right w:val="nil"/>
            </w:tcBorders>
            <w:hideMark/>
          </w:tcPr>
          <w:p w14:paraId="59610F1C" w14:textId="0C53D3AF" w:rsidR="009E5930" w:rsidRDefault="009E5930" w:rsidP="009E5930">
            <w:pPr>
              <w:pStyle w:val="TableParagraph"/>
              <w:spacing w:before="60" w:after="60"/>
              <w:ind w:left="-42" w:right="170" w:firstLine="99"/>
              <w:jc w:val="right"/>
              <w:rPr>
                <w:rFonts w:ascii="Segoe UI" w:hAnsi="Segoe UI" w:cs="Segoe UI"/>
                <w:sz w:val="16"/>
                <w:szCs w:val="16"/>
              </w:rPr>
            </w:pPr>
            <w:r>
              <w:rPr>
                <w:rFonts w:ascii="Segoe UI" w:hAnsi="Segoe UI" w:cs="Segoe UI"/>
                <w:sz w:val="16"/>
                <w:szCs w:val="16"/>
              </w:rPr>
              <w:t>14</w:t>
            </w:r>
          </w:p>
        </w:tc>
        <w:tc>
          <w:tcPr>
            <w:tcW w:w="3865" w:type="dxa"/>
            <w:tcBorders>
              <w:top w:val="nil"/>
              <w:left w:val="nil"/>
              <w:bottom w:val="single" w:sz="4" w:space="0" w:color="BFBFBF" w:themeColor="background1" w:themeShade="BF"/>
              <w:right w:val="nil"/>
            </w:tcBorders>
            <w:hideMark/>
          </w:tcPr>
          <w:p w14:paraId="7B8D829B" w14:textId="77777777" w:rsidR="009E5930" w:rsidRDefault="009E5930" w:rsidP="009E5930">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Full-time equivalent staff</w:t>
            </w:r>
          </w:p>
        </w:tc>
        <w:tc>
          <w:tcPr>
            <w:tcW w:w="2935" w:type="dxa"/>
            <w:tcBorders>
              <w:top w:val="nil"/>
              <w:left w:val="nil"/>
              <w:bottom w:val="single" w:sz="4" w:space="0" w:color="BFBFBF" w:themeColor="background1" w:themeShade="BF"/>
              <w:right w:val="nil"/>
            </w:tcBorders>
            <w:hideMark/>
          </w:tcPr>
          <w:p w14:paraId="7ED8618D" w14:textId="7959829C" w:rsidR="009E5930" w:rsidRDefault="009E5930" w:rsidP="009E5930">
            <w:pPr>
              <w:pStyle w:val="TableParagraph"/>
              <w:spacing w:before="60" w:after="60"/>
              <w:ind w:left="-42" w:right="170" w:firstLine="99"/>
              <w:jc w:val="right"/>
              <w:rPr>
                <w:rFonts w:ascii="Segoe UI" w:hAnsi="Segoe UI" w:cs="Segoe UI"/>
                <w:sz w:val="16"/>
                <w:szCs w:val="16"/>
              </w:rPr>
            </w:pPr>
            <w:r w:rsidRPr="009E5930">
              <w:rPr>
                <w:rFonts w:ascii="Segoe UI" w:hAnsi="Segoe UI" w:cs="Segoe UI"/>
                <w:sz w:val="16"/>
                <w:szCs w:val="16"/>
              </w:rPr>
              <w:t>11</w:t>
            </w:r>
          </w:p>
        </w:tc>
      </w:tr>
    </w:tbl>
    <w:p w14:paraId="4E928A50" w14:textId="77777777" w:rsidR="005570ED" w:rsidRDefault="005570ED" w:rsidP="005570ED"/>
    <w:p w14:paraId="4F3E9D4C" w14:textId="426FB342" w:rsidR="009E5930" w:rsidRDefault="009E5930" w:rsidP="009E5930">
      <w:r>
        <w:t>The leadership team also includes the Director-General.</w:t>
      </w:r>
    </w:p>
    <w:p w14:paraId="523CC603" w14:textId="77777777" w:rsidR="009E5930" w:rsidRDefault="009E5930" w:rsidP="009E5930"/>
    <w:p w14:paraId="1FA24BBF" w14:textId="7F531124" w:rsidR="009E5930" w:rsidRDefault="009E5930" w:rsidP="009E5930">
      <w:r>
        <w:t xml:space="preserve">The above key management personnel disclosure excludes the Minister of Health. The Minister’s remuneration and other benefits are not included. The Minister’s remuneration and other benefits are set by the Remuneration Authority under the </w:t>
      </w:r>
      <w:r>
        <w:lastRenderedPageBreak/>
        <w:t>Members of Parliament (Remuneration and Services) Act 2013 and are paid under permanent legislative authority, not by the Ministry.</w:t>
      </w:r>
    </w:p>
    <w:p w14:paraId="30C5914F" w14:textId="77777777" w:rsidR="009E5930" w:rsidRDefault="009E5930" w:rsidP="009E5930"/>
    <w:p w14:paraId="3B2AFA4C" w14:textId="47561827" w:rsidR="009E5930" w:rsidRDefault="009E5930" w:rsidP="009E5930">
      <w:r>
        <w:t>The remuneration of the leadership team includes contributions to defined contribution plans and non-monetary benefit provided (car parks). The non-monetary benefit has been measured using the recovery rate that is applicable for other employees who use car parks in the Wellington office.</w:t>
      </w:r>
    </w:p>
    <w:p w14:paraId="4CE9642A" w14:textId="77777777" w:rsidR="009E5930" w:rsidRDefault="009E5930" w:rsidP="009E5930"/>
    <w:p w14:paraId="78377B1D" w14:textId="30B46A7D" w:rsidR="009E5930" w:rsidRDefault="009E5930" w:rsidP="009E5930">
      <w:r>
        <w:t>During 2023/24, as part of strengthening the role of the Ministry in the reformed health system, the Executive Leadership Team was refreshed and changed to the Executive Governance Team. This resulted in fewer members of the leadership team.</w:t>
      </w:r>
    </w:p>
    <w:p w14:paraId="05093BA8" w14:textId="0A5C1675" w:rsidR="009E5930" w:rsidRDefault="009E5930" w:rsidP="007123AC">
      <w:pPr>
        <w:pStyle w:val="Heading3"/>
        <w:numPr>
          <w:ilvl w:val="6"/>
          <w:numId w:val="5"/>
        </w:numPr>
        <w:tabs>
          <w:tab w:val="num" w:pos="5040"/>
        </w:tabs>
        <w:ind w:left="709" w:hanging="709"/>
      </w:pPr>
      <w:r>
        <w:t>Financial instruments</w:t>
      </w:r>
    </w:p>
    <w:p w14:paraId="4E424D1C" w14:textId="77777777" w:rsidR="009E5930" w:rsidRDefault="009E5930" w:rsidP="009E5930">
      <w:pPr>
        <w:pStyle w:val="Heading4"/>
      </w:pPr>
      <w:r>
        <w:t>Categories of financial instruments</w:t>
      </w:r>
    </w:p>
    <w:p w14:paraId="40C9098D" w14:textId="09D64F56" w:rsidR="009E5930" w:rsidRDefault="009E5930" w:rsidP="009E5930">
      <w:r>
        <w:t>The carrying amounts of financial assets and financial liabilities in each of the financial instrument categories are as follows.</w:t>
      </w:r>
    </w:p>
    <w:p w14:paraId="7DAE5EFE" w14:textId="257F44CA" w:rsidR="009E5930" w:rsidRDefault="009E5930" w:rsidP="009E5930"/>
    <w:tbl>
      <w:tblPr>
        <w:tblW w:w="8280" w:type="dxa"/>
        <w:tblLayout w:type="fixed"/>
        <w:tblCellMar>
          <w:left w:w="0" w:type="dxa"/>
          <w:right w:w="0" w:type="dxa"/>
        </w:tblCellMar>
        <w:tblLook w:val="01E0" w:firstRow="1" w:lastRow="1" w:firstColumn="1" w:lastColumn="1" w:noHBand="0" w:noVBand="0"/>
      </w:tblPr>
      <w:tblGrid>
        <w:gridCol w:w="1276"/>
        <w:gridCol w:w="5249"/>
        <w:gridCol w:w="1755"/>
      </w:tblGrid>
      <w:tr w:rsidR="009E5930" w14:paraId="7B95102C" w14:textId="77777777" w:rsidTr="009E5930">
        <w:trPr>
          <w:trHeight w:val="784"/>
        </w:trPr>
        <w:tc>
          <w:tcPr>
            <w:tcW w:w="1276" w:type="dxa"/>
            <w:shd w:val="clear" w:color="auto" w:fill="D9D9D9" w:themeFill="background1" w:themeFillShade="D9"/>
            <w:hideMark/>
          </w:tcPr>
          <w:p w14:paraId="07947759" w14:textId="77777777" w:rsidR="009E5930" w:rsidRDefault="009E5930">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 xml:space="preserve">Actual </w:t>
            </w:r>
          </w:p>
          <w:p w14:paraId="65B35451" w14:textId="1197AF5B" w:rsidR="009E5930" w:rsidRDefault="009E5930">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2023</w:t>
            </w:r>
          </w:p>
          <w:p w14:paraId="2BB6901A" w14:textId="77777777" w:rsidR="009E5930" w:rsidRDefault="009E5930">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5249" w:type="dxa"/>
            <w:shd w:val="clear" w:color="auto" w:fill="D9D9D9" w:themeFill="background1" w:themeFillShade="D9"/>
          </w:tcPr>
          <w:p w14:paraId="15C305C5" w14:textId="77777777" w:rsidR="009E5930" w:rsidRDefault="009E5930">
            <w:pPr>
              <w:pStyle w:val="TableParagraph"/>
              <w:rPr>
                <w:rFonts w:ascii="Times New Roman"/>
                <w:b/>
                <w:bCs/>
                <w:sz w:val="18"/>
              </w:rPr>
            </w:pPr>
          </w:p>
        </w:tc>
        <w:tc>
          <w:tcPr>
            <w:tcW w:w="1755" w:type="dxa"/>
            <w:shd w:val="clear" w:color="auto" w:fill="D9D9D9" w:themeFill="background1" w:themeFillShade="D9"/>
            <w:hideMark/>
          </w:tcPr>
          <w:p w14:paraId="75C1259D" w14:textId="77777777"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 xml:space="preserve">Actual </w:t>
            </w:r>
          </w:p>
          <w:p w14:paraId="0DCCEA14" w14:textId="3D5F94CD"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093CC66E" w14:textId="77777777"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r>
      <w:tr w:rsidR="009E5930" w14:paraId="42FAE8B7" w14:textId="77777777" w:rsidTr="009E5930">
        <w:trPr>
          <w:trHeight w:val="354"/>
        </w:trPr>
        <w:tc>
          <w:tcPr>
            <w:tcW w:w="1276" w:type="dxa"/>
          </w:tcPr>
          <w:p w14:paraId="209A5A41" w14:textId="77777777" w:rsidR="009E5930" w:rsidRDefault="009E5930">
            <w:pPr>
              <w:pStyle w:val="TableParagraph"/>
              <w:spacing w:before="60" w:after="60"/>
              <w:ind w:left="-42" w:right="170" w:firstLine="99"/>
              <w:jc w:val="right"/>
              <w:rPr>
                <w:rFonts w:ascii="Segoe UI" w:hAnsi="Segoe UI" w:cs="Segoe UI"/>
                <w:b/>
                <w:bCs/>
                <w:sz w:val="16"/>
                <w:szCs w:val="16"/>
              </w:rPr>
            </w:pPr>
          </w:p>
        </w:tc>
        <w:tc>
          <w:tcPr>
            <w:tcW w:w="5249" w:type="dxa"/>
            <w:hideMark/>
          </w:tcPr>
          <w:p w14:paraId="5C85233D" w14:textId="77777777" w:rsidR="009E5930" w:rsidRDefault="009E5930">
            <w:pPr>
              <w:pStyle w:val="TableParagraph"/>
              <w:spacing w:before="60" w:after="60"/>
              <w:ind w:left="66" w:hanging="5"/>
              <w:rPr>
                <w:rFonts w:ascii="Segoe UI" w:hAnsi="Segoe UI" w:cs="Segoe UI"/>
                <w:b/>
                <w:bCs/>
                <w:w w:val="105"/>
                <w:sz w:val="16"/>
                <w:szCs w:val="16"/>
              </w:rPr>
            </w:pPr>
            <w:r>
              <w:rPr>
                <w:rFonts w:ascii="Segoe UI" w:hAnsi="Segoe UI" w:cs="Segoe UI"/>
                <w:b/>
                <w:bCs/>
                <w:w w:val="105"/>
                <w:sz w:val="16"/>
                <w:szCs w:val="16"/>
              </w:rPr>
              <w:t>Financial assets measured at amortised cost</w:t>
            </w:r>
          </w:p>
        </w:tc>
        <w:tc>
          <w:tcPr>
            <w:tcW w:w="1755" w:type="dxa"/>
          </w:tcPr>
          <w:p w14:paraId="7AA5BAC4" w14:textId="77777777" w:rsidR="009E5930" w:rsidRDefault="009E5930">
            <w:pPr>
              <w:pStyle w:val="TableParagraph"/>
              <w:spacing w:before="60" w:after="60"/>
              <w:ind w:left="-42" w:right="152" w:firstLine="99"/>
              <w:jc w:val="right"/>
              <w:rPr>
                <w:rFonts w:ascii="Segoe UI" w:hAnsi="Segoe UI" w:cs="Segoe UI"/>
                <w:b/>
                <w:bCs/>
                <w:w w:val="110"/>
                <w:sz w:val="16"/>
                <w:szCs w:val="16"/>
              </w:rPr>
            </w:pPr>
          </w:p>
        </w:tc>
      </w:tr>
      <w:tr w:rsidR="009E5930" w14:paraId="69BEF600" w14:textId="77777777" w:rsidTr="009E5930">
        <w:trPr>
          <w:trHeight w:val="359"/>
        </w:trPr>
        <w:tc>
          <w:tcPr>
            <w:tcW w:w="1276" w:type="dxa"/>
            <w:hideMark/>
          </w:tcPr>
          <w:p w14:paraId="2EBE8388" w14:textId="7E539667" w:rsidR="009E5930" w:rsidRDefault="009E5930" w:rsidP="009E5930">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5,864</w:t>
            </w:r>
          </w:p>
        </w:tc>
        <w:tc>
          <w:tcPr>
            <w:tcW w:w="5249" w:type="dxa"/>
            <w:hideMark/>
          </w:tcPr>
          <w:p w14:paraId="5DC8C415" w14:textId="77777777" w:rsidR="009E5930" w:rsidRDefault="009E5930" w:rsidP="009E5930">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Cash and cash equivalents</w:t>
            </w:r>
          </w:p>
        </w:tc>
        <w:tc>
          <w:tcPr>
            <w:tcW w:w="1755" w:type="dxa"/>
            <w:hideMark/>
          </w:tcPr>
          <w:p w14:paraId="7A1744FF" w14:textId="79D7969F" w:rsidR="009E5930" w:rsidRDefault="009E5930" w:rsidP="009E5930">
            <w:pPr>
              <w:pStyle w:val="TableParagraph"/>
              <w:spacing w:before="60" w:after="60"/>
              <w:ind w:left="-42" w:right="170" w:firstLine="99"/>
              <w:jc w:val="right"/>
              <w:rPr>
                <w:rFonts w:ascii="Segoe UI" w:hAnsi="Segoe UI" w:cs="Segoe UI"/>
                <w:w w:val="110"/>
                <w:sz w:val="16"/>
                <w:szCs w:val="16"/>
              </w:rPr>
            </w:pPr>
            <w:r w:rsidRPr="009E5930">
              <w:rPr>
                <w:rFonts w:ascii="Segoe UI" w:hAnsi="Segoe UI" w:cs="Segoe UI"/>
                <w:w w:val="110"/>
                <w:sz w:val="16"/>
                <w:szCs w:val="16"/>
              </w:rPr>
              <w:t>7,746</w:t>
            </w:r>
          </w:p>
        </w:tc>
      </w:tr>
      <w:tr w:rsidR="009E5930" w14:paraId="0FABE335" w14:textId="77777777" w:rsidTr="009E5930">
        <w:trPr>
          <w:trHeight w:val="359"/>
        </w:trPr>
        <w:tc>
          <w:tcPr>
            <w:tcW w:w="1276" w:type="dxa"/>
            <w:hideMark/>
          </w:tcPr>
          <w:p w14:paraId="5DF05882" w14:textId="7B60495E" w:rsidR="009E5930" w:rsidRDefault="009E5930" w:rsidP="009E5930">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8,907</w:t>
            </w:r>
          </w:p>
        </w:tc>
        <w:tc>
          <w:tcPr>
            <w:tcW w:w="5249" w:type="dxa"/>
            <w:hideMark/>
          </w:tcPr>
          <w:p w14:paraId="68804C64" w14:textId="77777777" w:rsidR="009E5930" w:rsidRDefault="009E5930" w:rsidP="009E5930">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Receivables</w:t>
            </w:r>
          </w:p>
        </w:tc>
        <w:tc>
          <w:tcPr>
            <w:tcW w:w="1755" w:type="dxa"/>
            <w:hideMark/>
          </w:tcPr>
          <w:p w14:paraId="1CFF7804" w14:textId="2AD09A89" w:rsidR="009E5930" w:rsidRDefault="009E5930" w:rsidP="009E5930">
            <w:pPr>
              <w:pStyle w:val="TableParagraph"/>
              <w:spacing w:before="60" w:after="60"/>
              <w:ind w:left="-42" w:right="170" w:firstLine="99"/>
              <w:jc w:val="right"/>
              <w:rPr>
                <w:rFonts w:ascii="Segoe UI" w:hAnsi="Segoe UI" w:cs="Segoe UI"/>
                <w:w w:val="110"/>
                <w:sz w:val="16"/>
                <w:szCs w:val="16"/>
              </w:rPr>
            </w:pPr>
            <w:r w:rsidRPr="009E5930">
              <w:rPr>
                <w:rFonts w:ascii="Segoe UI" w:hAnsi="Segoe UI" w:cs="Segoe UI"/>
                <w:w w:val="110"/>
                <w:sz w:val="16"/>
                <w:szCs w:val="16"/>
              </w:rPr>
              <w:t>5,247</w:t>
            </w:r>
          </w:p>
        </w:tc>
      </w:tr>
      <w:tr w:rsidR="009E5930" w14:paraId="61129D84" w14:textId="77777777" w:rsidTr="009E5930">
        <w:trPr>
          <w:trHeight w:val="348"/>
        </w:trPr>
        <w:tc>
          <w:tcPr>
            <w:tcW w:w="1276" w:type="dxa"/>
            <w:tcBorders>
              <w:top w:val="nil"/>
              <w:left w:val="nil"/>
              <w:bottom w:val="single" w:sz="4" w:space="0" w:color="BFBFBF" w:themeColor="background1" w:themeShade="BF"/>
              <w:right w:val="nil"/>
            </w:tcBorders>
            <w:hideMark/>
          </w:tcPr>
          <w:p w14:paraId="5038331B" w14:textId="65D030B6" w:rsidR="009E5930" w:rsidRDefault="009E5930" w:rsidP="009E5930">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54,441</w:t>
            </w:r>
          </w:p>
        </w:tc>
        <w:tc>
          <w:tcPr>
            <w:tcW w:w="5249" w:type="dxa"/>
            <w:tcBorders>
              <w:top w:val="nil"/>
              <w:left w:val="nil"/>
              <w:bottom w:val="single" w:sz="4" w:space="0" w:color="BFBFBF" w:themeColor="background1" w:themeShade="BF"/>
              <w:right w:val="nil"/>
            </w:tcBorders>
            <w:hideMark/>
          </w:tcPr>
          <w:p w14:paraId="170D7E42" w14:textId="77777777" w:rsidR="009E5930" w:rsidRDefault="009E5930" w:rsidP="009E5930">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Debtor Crown</w:t>
            </w:r>
          </w:p>
        </w:tc>
        <w:tc>
          <w:tcPr>
            <w:tcW w:w="1755" w:type="dxa"/>
            <w:tcBorders>
              <w:top w:val="nil"/>
              <w:left w:val="nil"/>
              <w:bottom w:val="single" w:sz="4" w:space="0" w:color="BFBFBF" w:themeColor="background1" w:themeShade="BF"/>
              <w:right w:val="nil"/>
            </w:tcBorders>
            <w:hideMark/>
          </w:tcPr>
          <w:p w14:paraId="7BB16F95" w14:textId="6B42F199" w:rsidR="009E5930" w:rsidRDefault="009E5930" w:rsidP="009E5930">
            <w:pPr>
              <w:pStyle w:val="TableParagraph"/>
              <w:spacing w:before="60" w:after="60"/>
              <w:ind w:left="-42" w:right="170" w:firstLine="99"/>
              <w:jc w:val="right"/>
              <w:rPr>
                <w:rFonts w:ascii="Segoe UI" w:hAnsi="Segoe UI" w:cs="Segoe UI"/>
                <w:w w:val="110"/>
                <w:sz w:val="16"/>
                <w:szCs w:val="16"/>
              </w:rPr>
            </w:pPr>
            <w:r w:rsidRPr="009E5930">
              <w:rPr>
                <w:rFonts w:ascii="Segoe UI" w:hAnsi="Segoe UI" w:cs="Segoe UI"/>
                <w:w w:val="110"/>
                <w:sz w:val="16"/>
                <w:szCs w:val="16"/>
              </w:rPr>
              <w:t>52,987</w:t>
            </w:r>
          </w:p>
        </w:tc>
      </w:tr>
      <w:tr w:rsidR="009E5930" w:rsidRPr="009E5930" w14:paraId="0AB3E8C2" w14:textId="77777777" w:rsidTr="009E5930">
        <w:trPr>
          <w:trHeight w:val="344"/>
        </w:trPr>
        <w:tc>
          <w:tcPr>
            <w:tcW w:w="1276" w:type="dxa"/>
            <w:tcBorders>
              <w:top w:val="single" w:sz="4" w:space="0" w:color="BFBFBF" w:themeColor="background1" w:themeShade="BF"/>
              <w:left w:val="nil"/>
              <w:bottom w:val="single" w:sz="4" w:space="0" w:color="BFBFBF" w:themeColor="background1" w:themeShade="BF"/>
              <w:right w:val="nil"/>
            </w:tcBorders>
            <w:hideMark/>
          </w:tcPr>
          <w:p w14:paraId="2231AA7F" w14:textId="65636C36" w:rsidR="009E5930" w:rsidRPr="009E5930" w:rsidRDefault="009E5930" w:rsidP="009E5930">
            <w:pPr>
              <w:pStyle w:val="TableParagraph"/>
              <w:spacing w:before="60" w:after="60"/>
              <w:ind w:left="-42" w:right="170" w:firstLine="99"/>
              <w:jc w:val="right"/>
              <w:rPr>
                <w:rFonts w:ascii="Segoe UI" w:hAnsi="Segoe UI" w:cs="Segoe UI"/>
                <w:b/>
                <w:bCs/>
                <w:sz w:val="16"/>
                <w:szCs w:val="16"/>
              </w:rPr>
            </w:pPr>
            <w:r w:rsidRPr="009E5930">
              <w:rPr>
                <w:rFonts w:ascii="Segoe UI" w:hAnsi="Segoe UI" w:cs="Segoe UI"/>
                <w:b/>
                <w:bCs/>
                <w:w w:val="110"/>
                <w:sz w:val="16"/>
                <w:szCs w:val="16"/>
              </w:rPr>
              <w:t>69,212</w:t>
            </w:r>
          </w:p>
        </w:tc>
        <w:tc>
          <w:tcPr>
            <w:tcW w:w="5249" w:type="dxa"/>
            <w:tcBorders>
              <w:top w:val="single" w:sz="4" w:space="0" w:color="BFBFBF" w:themeColor="background1" w:themeShade="BF"/>
              <w:left w:val="nil"/>
              <w:bottom w:val="single" w:sz="4" w:space="0" w:color="BFBFBF" w:themeColor="background1" w:themeShade="BF"/>
              <w:right w:val="nil"/>
            </w:tcBorders>
            <w:hideMark/>
          </w:tcPr>
          <w:p w14:paraId="66667FEF" w14:textId="77777777" w:rsidR="009E5930" w:rsidRPr="009E5930" w:rsidRDefault="009E5930" w:rsidP="009E5930">
            <w:pPr>
              <w:pStyle w:val="TableParagraph"/>
              <w:spacing w:before="60" w:after="60"/>
              <w:ind w:left="66" w:hanging="5"/>
              <w:rPr>
                <w:rFonts w:ascii="Segoe UI" w:hAnsi="Segoe UI" w:cs="Segoe UI"/>
                <w:b/>
                <w:bCs/>
                <w:w w:val="105"/>
                <w:sz w:val="16"/>
                <w:szCs w:val="16"/>
              </w:rPr>
            </w:pPr>
            <w:r w:rsidRPr="009E5930">
              <w:rPr>
                <w:rFonts w:ascii="Segoe UI" w:hAnsi="Segoe UI" w:cs="Segoe UI"/>
                <w:b/>
                <w:bCs/>
                <w:w w:val="105"/>
                <w:sz w:val="16"/>
                <w:szCs w:val="16"/>
              </w:rPr>
              <w:t>Total financial assets measured at amortised cost</w:t>
            </w:r>
          </w:p>
        </w:tc>
        <w:tc>
          <w:tcPr>
            <w:tcW w:w="1755" w:type="dxa"/>
            <w:tcBorders>
              <w:top w:val="single" w:sz="4" w:space="0" w:color="BFBFBF" w:themeColor="background1" w:themeShade="BF"/>
              <w:left w:val="nil"/>
              <w:bottom w:val="single" w:sz="4" w:space="0" w:color="BFBFBF" w:themeColor="background1" w:themeShade="BF"/>
              <w:right w:val="nil"/>
            </w:tcBorders>
            <w:hideMark/>
          </w:tcPr>
          <w:p w14:paraId="0546DDB4" w14:textId="3D417598" w:rsidR="009E5930" w:rsidRPr="009E5930" w:rsidRDefault="009E5930" w:rsidP="009E5930">
            <w:pPr>
              <w:pStyle w:val="TableParagraph"/>
              <w:spacing w:before="60" w:after="60"/>
              <w:ind w:left="-42" w:right="170" w:firstLine="99"/>
              <w:jc w:val="right"/>
              <w:rPr>
                <w:rFonts w:ascii="Segoe UI" w:hAnsi="Segoe UI" w:cs="Segoe UI"/>
                <w:b/>
                <w:bCs/>
                <w:w w:val="110"/>
                <w:sz w:val="16"/>
                <w:szCs w:val="16"/>
              </w:rPr>
            </w:pPr>
            <w:r w:rsidRPr="009E5930">
              <w:rPr>
                <w:rFonts w:ascii="Segoe UI" w:hAnsi="Segoe UI" w:cs="Segoe UI"/>
                <w:b/>
                <w:bCs/>
                <w:w w:val="110"/>
                <w:sz w:val="16"/>
                <w:szCs w:val="16"/>
              </w:rPr>
              <w:t>65,980</w:t>
            </w:r>
          </w:p>
        </w:tc>
      </w:tr>
      <w:tr w:rsidR="009E5930" w14:paraId="37F92171" w14:textId="77777777" w:rsidTr="009E5930">
        <w:trPr>
          <w:trHeight w:val="354"/>
        </w:trPr>
        <w:tc>
          <w:tcPr>
            <w:tcW w:w="1276" w:type="dxa"/>
            <w:tcBorders>
              <w:top w:val="single" w:sz="4" w:space="0" w:color="BFBFBF" w:themeColor="background1" w:themeShade="BF"/>
              <w:left w:val="nil"/>
              <w:right w:val="nil"/>
            </w:tcBorders>
          </w:tcPr>
          <w:p w14:paraId="32F50DF4" w14:textId="77777777" w:rsidR="009E5930" w:rsidRDefault="009E5930" w:rsidP="009E5930">
            <w:pPr>
              <w:pStyle w:val="TableParagraph"/>
              <w:spacing w:before="60" w:after="60"/>
              <w:ind w:left="-42" w:right="170" w:firstLine="99"/>
              <w:jc w:val="right"/>
              <w:rPr>
                <w:rFonts w:ascii="Segoe UI" w:hAnsi="Segoe UI" w:cs="Segoe UI"/>
                <w:b/>
                <w:bCs/>
                <w:sz w:val="16"/>
                <w:szCs w:val="16"/>
              </w:rPr>
            </w:pPr>
          </w:p>
        </w:tc>
        <w:tc>
          <w:tcPr>
            <w:tcW w:w="5249" w:type="dxa"/>
            <w:tcBorders>
              <w:top w:val="single" w:sz="4" w:space="0" w:color="BFBFBF" w:themeColor="background1" w:themeShade="BF"/>
              <w:left w:val="nil"/>
              <w:right w:val="nil"/>
            </w:tcBorders>
            <w:hideMark/>
          </w:tcPr>
          <w:p w14:paraId="7E251B4F" w14:textId="77777777" w:rsidR="009E5930" w:rsidRDefault="009E5930" w:rsidP="009E5930">
            <w:pPr>
              <w:pStyle w:val="TableParagraph"/>
              <w:spacing w:before="60" w:after="60"/>
              <w:ind w:left="66" w:hanging="5"/>
              <w:rPr>
                <w:rFonts w:ascii="Segoe UI" w:hAnsi="Segoe UI" w:cs="Segoe UI"/>
                <w:b/>
                <w:bCs/>
                <w:w w:val="105"/>
                <w:sz w:val="16"/>
                <w:szCs w:val="16"/>
              </w:rPr>
            </w:pPr>
            <w:r>
              <w:rPr>
                <w:rFonts w:ascii="Segoe UI" w:hAnsi="Segoe UI" w:cs="Segoe UI"/>
                <w:b/>
                <w:bCs/>
                <w:w w:val="105"/>
                <w:sz w:val="16"/>
                <w:szCs w:val="16"/>
              </w:rPr>
              <w:t>Financial liabilities measured at amortised cost</w:t>
            </w:r>
          </w:p>
        </w:tc>
        <w:tc>
          <w:tcPr>
            <w:tcW w:w="1755" w:type="dxa"/>
            <w:tcBorders>
              <w:top w:val="single" w:sz="4" w:space="0" w:color="BFBFBF" w:themeColor="background1" w:themeShade="BF"/>
              <w:left w:val="nil"/>
              <w:right w:val="nil"/>
            </w:tcBorders>
          </w:tcPr>
          <w:p w14:paraId="7095A573" w14:textId="77777777" w:rsidR="009E5930" w:rsidRPr="009E5930" w:rsidRDefault="009E5930" w:rsidP="009E5930">
            <w:pPr>
              <w:pStyle w:val="TableParagraph"/>
              <w:spacing w:before="60" w:after="60"/>
              <w:ind w:left="-42" w:right="170" w:firstLine="99"/>
              <w:jc w:val="right"/>
              <w:rPr>
                <w:rFonts w:ascii="Segoe UI" w:hAnsi="Segoe UI" w:cs="Segoe UI"/>
                <w:w w:val="110"/>
                <w:sz w:val="16"/>
                <w:szCs w:val="16"/>
              </w:rPr>
            </w:pPr>
          </w:p>
        </w:tc>
      </w:tr>
      <w:tr w:rsidR="009E5930" w14:paraId="1D448CB4" w14:textId="77777777" w:rsidTr="009E5930">
        <w:trPr>
          <w:trHeight w:val="354"/>
        </w:trPr>
        <w:tc>
          <w:tcPr>
            <w:tcW w:w="1276" w:type="dxa"/>
            <w:tcBorders>
              <w:left w:val="nil"/>
              <w:bottom w:val="nil"/>
              <w:right w:val="nil"/>
            </w:tcBorders>
          </w:tcPr>
          <w:p w14:paraId="3B13E6C7" w14:textId="66085F07" w:rsidR="009E5930" w:rsidRPr="009E5930" w:rsidRDefault="009E5930" w:rsidP="009E5930">
            <w:pPr>
              <w:pStyle w:val="TableParagraph"/>
              <w:spacing w:before="60" w:after="60"/>
              <w:ind w:left="-42" w:right="170" w:firstLine="99"/>
              <w:jc w:val="right"/>
              <w:rPr>
                <w:rFonts w:ascii="Segoe UI" w:hAnsi="Segoe UI" w:cs="Segoe UI"/>
                <w:w w:val="110"/>
                <w:sz w:val="16"/>
                <w:szCs w:val="16"/>
              </w:rPr>
            </w:pPr>
            <w:r w:rsidRPr="009E5930">
              <w:rPr>
                <w:rFonts w:ascii="Segoe UI" w:hAnsi="Segoe UI" w:cs="Segoe UI"/>
                <w:w w:val="110"/>
                <w:sz w:val="16"/>
                <w:szCs w:val="16"/>
              </w:rPr>
              <w:t>2,193</w:t>
            </w:r>
          </w:p>
        </w:tc>
        <w:tc>
          <w:tcPr>
            <w:tcW w:w="5249" w:type="dxa"/>
            <w:tcBorders>
              <w:left w:val="nil"/>
              <w:bottom w:val="nil"/>
              <w:right w:val="nil"/>
            </w:tcBorders>
          </w:tcPr>
          <w:p w14:paraId="05894453" w14:textId="477EBD77" w:rsidR="009E5930" w:rsidRPr="009E5930" w:rsidRDefault="009E5930" w:rsidP="009E5930">
            <w:pPr>
              <w:pStyle w:val="TableParagraph"/>
              <w:spacing w:before="60" w:after="60"/>
              <w:ind w:left="66" w:hanging="5"/>
              <w:rPr>
                <w:rFonts w:ascii="Segoe UI" w:hAnsi="Segoe UI" w:cs="Segoe UI"/>
                <w:w w:val="105"/>
                <w:sz w:val="16"/>
                <w:szCs w:val="16"/>
              </w:rPr>
            </w:pPr>
            <w:r w:rsidRPr="009E5930">
              <w:rPr>
                <w:rFonts w:ascii="Segoe UI" w:hAnsi="Segoe UI" w:cs="Segoe UI"/>
                <w:w w:val="105"/>
                <w:sz w:val="16"/>
                <w:szCs w:val="16"/>
              </w:rPr>
              <w:t>Creditors</w:t>
            </w:r>
          </w:p>
        </w:tc>
        <w:tc>
          <w:tcPr>
            <w:tcW w:w="1755" w:type="dxa"/>
            <w:tcBorders>
              <w:left w:val="nil"/>
              <w:bottom w:val="nil"/>
              <w:right w:val="nil"/>
            </w:tcBorders>
          </w:tcPr>
          <w:p w14:paraId="7E0EEA6E" w14:textId="13491F4A" w:rsidR="009E5930" w:rsidRPr="009E5930" w:rsidRDefault="009E5930" w:rsidP="009E5930">
            <w:pPr>
              <w:pStyle w:val="TableParagraph"/>
              <w:spacing w:before="60" w:after="60"/>
              <w:ind w:left="-42" w:right="170" w:firstLine="99"/>
              <w:jc w:val="right"/>
              <w:rPr>
                <w:rFonts w:ascii="Segoe UI" w:hAnsi="Segoe UI" w:cs="Segoe UI"/>
                <w:w w:val="110"/>
                <w:sz w:val="16"/>
                <w:szCs w:val="16"/>
              </w:rPr>
            </w:pPr>
            <w:r w:rsidRPr="009E5930">
              <w:rPr>
                <w:rFonts w:ascii="Segoe UI" w:hAnsi="Segoe UI" w:cs="Segoe UI"/>
                <w:w w:val="110"/>
                <w:sz w:val="16"/>
                <w:szCs w:val="16"/>
              </w:rPr>
              <w:t>1,527</w:t>
            </w:r>
          </w:p>
        </w:tc>
      </w:tr>
      <w:tr w:rsidR="009E5930" w14:paraId="3F45C5FE" w14:textId="77777777" w:rsidTr="009E5930">
        <w:trPr>
          <w:trHeight w:val="348"/>
        </w:trPr>
        <w:tc>
          <w:tcPr>
            <w:tcW w:w="1276" w:type="dxa"/>
            <w:tcBorders>
              <w:top w:val="nil"/>
              <w:left w:val="nil"/>
              <w:bottom w:val="single" w:sz="4" w:space="0" w:color="BFBFBF" w:themeColor="background1" w:themeShade="BF"/>
              <w:right w:val="nil"/>
            </w:tcBorders>
            <w:hideMark/>
          </w:tcPr>
          <w:p w14:paraId="6B84BED8" w14:textId="2F0F5797" w:rsidR="009E5930" w:rsidRPr="009E5930" w:rsidRDefault="009E5930" w:rsidP="009E5930">
            <w:pPr>
              <w:pStyle w:val="TableParagraph"/>
              <w:spacing w:before="60" w:after="60"/>
              <w:ind w:left="-42" w:right="170" w:firstLine="99"/>
              <w:jc w:val="right"/>
              <w:rPr>
                <w:rFonts w:ascii="Segoe UI" w:hAnsi="Segoe UI" w:cs="Segoe UI"/>
                <w:w w:val="110"/>
                <w:sz w:val="16"/>
                <w:szCs w:val="16"/>
              </w:rPr>
            </w:pPr>
            <w:r w:rsidRPr="009E5930">
              <w:rPr>
                <w:rFonts w:ascii="Segoe UI" w:hAnsi="Segoe UI" w:cs="Segoe UI"/>
                <w:w w:val="110"/>
                <w:sz w:val="16"/>
                <w:szCs w:val="16"/>
              </w:rPr>
              <w:t>20,479</w:t>
            </w:r>
          </w:p>
        </w:tc>
        <w:tc>
          <w:tcPr>
            <w:tcW w:w="5249" w:type="dxa"/>
            <w:tcBorders>
              <w:top w:val="nil"/>
              <w:left w:val="nil"/>
              <w:bottom w:val="single" w:sz="4" w:space="0" w:color="BFBFBF" w:themeColor="background1" w:themeShade="BF"/>
              <w:right w:val="nil"/>
            </w:tcBorders>
            <w:hideMark/>
          </w:tcPr>
          <w:p w14:paraId="5E9A59A8" w14:textId="380155D1" w:rsidR="009E5930" w:rsidRDefault="009E5930" w:rsidP="009E5930">
            <w:pPr>
              <w:pStyle w:val="TableParagraph"/>
              <w:spacing w:before="60" w:after="60"/>
              <w:ind w:left="66" w:hanging="5"/>
              <w:rPr>
                <w:rFonts w:ascii="Segoe UI" w:hAnsi="Segoe UI" w:cs="Segoe UI"/>
                <w:w w:val="105"/>
                <w:sz w:val="16"/>
                <w:szCs w:val="16"/>
              </w:rPr>
            </w:pPr>
            <w:r w:rsidRPr="009E5930">
              <w:rPr>
                <w:rFonts w:ascii="Segoe UI" w:hAnsi="Segoe UI" w:cs="Segoe UI"/>
                <w:w w:val="105"/>
                <w:sz w:val="16"/>
                <w:szCs w:val="16"/>
              </w:rPr>
              <w:t>Accrued expenses</w:t>
            </w:r>
          </w:p>
        </w:tc>
        <w:tc>
          <w:tcPr>
            <w:tcW w:w="1755" w:type="dxa"/>
            <w:tcBorders>
              <w:top w:val="nil"/>
              <w:left w:val="nil"/>
              <w:bottom w:val="single" w:sz="4" w:space="0" w:color="BFBFBF" w:themeColor="background1" w:themeShade="BF"/>
              <w:right w:val="nil"/>
            </w:tcBorders>
            <w:hideMark/>
          </w:tcPr>
          <w:p w14:paraId="626E5F2A" w14:textId="3FDB87FE" w:rsidR="009E5930" w:rsidRDefault="009E5930" w:rsidP="009E5930">
            <w:pPr>
              <w:pStyle w:val="TableParagraph"/>
              <w:spacing w:before="60" w:after="60"/>
              <w:ind w:left="-42" w:right="170" w:firstLine="99"/>
              <w:jc w:val="right"/>
              <w:rPr>
                <w:rFonts w:ascii="Segoe UI" w:hAnsi="Segoe UI" w:cs="Segoe UI"/>
                <w:w w:val="110"/>
                <w:sz w:val="16"/>
                <w:szCs w:val="16"/>
              </w:rPr>
            </w:pPr>
            <w:r w:rsidRPr="009E5930">
              <w:rPr>
                <w:rFonts w:ascii="Segoe UI" w:hAnsi="Segoe UI" w:cs="Segoe UI"/>
                <w:w w:val="110"/>
                <w:sz w:val="16"/>
                <w:szCs w:val="16"/>
              </w:rPr>
              <w:t>26,242</w:t>
            </w:r>
          </w:p>
        </w:tc>
      </w:tr>
      <w:tr w:rsidR="009E5930" w:rsidRPr="009E5930" w14:paraId="0B244657" w14:textId="77777777" w:rsidTr="009E5930">
        <w:trPr>
          <w:trHeight w:val="344"/>
        </w:trPr>
        <w:tc>
          <w:tcPr>
            <w:tcW w:w="1276" w:type="dxa"/>
            <w:tcBorders>
              <w:top w:val="single" w:sz="4" w:space="0" w:color="BFBFBF" w:themeColor="background1" w:themeShade="BF"/>
              <w:left w:val="nil"/>
              <w:bottom w:val="single" w:sz="4" w:space="0" w:color="BFBFBF" w:themeColor="background1" w:themeShade="BF"/>
              <w:right w:val="nil"/>
            </w:tcBorders>
            <w:hideMark/>
          </w:tcPr>
          <w:p w14:paraId="72C98526" w14:textId="3CBA61B0" w:rsidR="009E5930" w:rsidRPr="009E5930" w:rsidRDefault="009E5930" w:rsidP="009E5930">
            <w:pPr>
              <w:pStyle w:val="TableParagraph"/>
              <w:spacing w:before="60" w:after="60"/>
              <w:ind w:left="-42" w:right="170" w:firstLine="99"/>
              <w:jc w:val="right"/>
              <w:rPr>
                <w:rFonts w:ascii="Segoe UI" w:hAnsi="Segoe UI" w:cs="Segoe UI"/>
                <w:b/>
                <w:bCs/>
                <w:sz w:val="16"/>
                <w:szCs w:val="16"/>
              </w:rPr>
            </w:pPr>
            <w:r w:rsidRPr="009E5930">
              <w:rPr>
                <w:rFonts w:ascii="Segoe UI" w:hAnsi="Segoe UI" w:cs="Segoe UI"/>
                <w:b/>
                <w:bCs/>
                <w:w w:val="110"/>
                <w:sz w:val="16"/>
                <w:szCs w:val="16"/>
              </w:rPr>
              <w:t>22,672</w:t>
            </w:r>
          </w:p>
        </w:tc>
        <w:tc>
          <w:tcPr>
            <w:tcW w:w="5249" w:type="dxa"/>
            <w:tcBorders>
              <w:top w:val="single" w:sz="4" w:space="0" w:color="BFBFBF" w:themeColor="background1" w:themeShade="BF"/>
              <w:left w:val="nil"/>
              <w:bottom w:val="single" w:sz="4" w:space="0" w:color="BFBFBF" w:themeColor="background1" w:themeShade="BF"/>
              <w:right w:val="nil"/>
            </w:tcBorders>
            <w:hideMark/>
          </w:tcPr>
          <w:p w14:paraId="380607E1" w14:textId="69DFFBCD" w:rsidR="009E5930" w:rsidRPr="009E5930" w:rsidRDefault="009E5930" w:rsidP="009E5930">
            <w:pPr>
              <w:pStyle w:val="TableParagraph"/>
              <w:spacing w:before="60" w:after="60"/>
              <w:ind w:left="66" w:hanging="5"/>
              <w:rPr>
                <w:rFonts w:ascii="Segoe UI" w:hAnsi="Segoe UI" w:cs="Segoe UI"/>
                <w:b/>
                <w:bCs/>
                <w:w w:val="105"/>
                <w:sz w:val="16"/>
                <w:szCs w:val="16"/>
              </w:rPr>
            </w:pPr>
            <w:r w:rsidRPr="009E5930">
              <w:rPr>
                <w:rFonts w:ascii="Segoe UI" w:hAnsi="Segoe UI" w:cs="Segoe UI"/>
                <w:b/>
                <w:bCs/>
                <w:w w:val="105"/>
                <w:sz w:val="16"/>
                <w:szCs w:val="16"/>
              </w:rPr>
              <w:t>Total financial liabilities measured at amortised cost</w:t>
            </w:r>
          </w:p>
        </w:tc>
        <w:tc>
          <w:tcPr>
            <w:tcW w:w="1755" w:type="dxa"/>
            <w:tcBorders>
              <w:top w:val="single" w:sz="4" w:space="0" w:color="BFBFBF" w:themeColor="background1" w:themeShade="BF"/>
              <w:left w:val="nil"/>
              <w:bottom w:val="single" w:sz="4" w:space="0" w:color="BFBFBF" w:themeColor="background1" w:themeShade="BF"/>
              <w:right w:val="nil"/>
            </w:tcBorders>
            <w:hideMark/>
          </w:tcPr>
          <w:p w14:paraId="5A690CFE" w14:textId="7C651368" w:rsidR="009E5930" w:rsidRPr="009E5930" w:rsidRDefault="009E5930" w:rsidP="009E5930">
            <w:pPr>
              <w:pStyle w:val="TableParagraph"/>
              <w:spacing w:before="60" w:after="60"/>
              <w:ind w:left="-42" w:right="170" w:firstLine="99"/>
              <w:jc w:val="right"/>
              <w:rPr>
                <w:rFonts w:ascii="Segoe UI" w:hAnsi="Segoe UI" w:cs="Segoe UI"/>
                <w:b/>
                <w:bCs/>
                <w:w w:val="110"/>
                <w:sz w:val="16"/>
                <w:szCs w:val="16"/>
              </w:rPr>
            </w:pPr>
            <w:r w:rsidRPr="009E5930">
              <w:rPr>
                <w:rFonts w:ascii="Segoe UI" w:hAnsi="Segoe UI" w:cs="Segoe UI"/>
                <w:b/>
                <w:bCs/>
                <w:w w:val="110"/>
                <w:sz w:val="16"/>
                <w:szCs w:val="16"/>
              </w:rPr>
              <w:t>27,769</w:t>
            </w:r>
          </w:p>
        </w:tc>
      </w:tr>
    </w:tbl>
    <w:p w14:paraId="50CA5F88" w14:textId="77777777" w:rsidR="009E5930" w:rsidRDefault="009E5930" w:rsidP="009E5930">
      <w:pPr>
        <w:pStyle w:val="Heading4"/>
      </w:pPr>
      <w:r>
        <w:t>Financial instruments risks</w:t>
      </w:r>
    </w:p>
    <w:p w14:paraId="76FA7E9B" w14:textId="77777777" w:rsidR="009E5930" w:rsidRDefault="009E5930" w:rsidP="009E5930">
      <w:r>
        <w:t>The Ministry’s activities expose it to a variety of financial instrument risk, credit risk and liquidity risk. The Ministry has policies to manage the risks associated with financial instruments and seeks to minimise exposure from financial instruments. These policies do not allow the Ministry to enter into transactions that are speculative in nature.</w:t>
      </w:r>
    </w:p>
    <w:p w14:paraId="391C60D7" w14:textId="77777777" w:rsidR="009E5930" w:rsidRDefault="009E5930" w:rsidP="009E5930">
      <w:pPr>
        <w:pStyle w:val="Heading4"/>
      </w:pPr>
      <w:r>
        <w:t>Market risk</w:t>
      </w:r>
      <w:r>
        <w:tab/>
      </w:r>
    </w:p>
    <w:p w14:paraId="2DC7BA55" w14:textId="7280251B" w:rsidR="009E5930" w:rsidRDefault="009E5930" w:rsidP="009E5930">
      <w:pPr>
        <w:pStyle w:val="Heading5"/>
      </w:pPr>
      <w:r>
        <w:t>Currency risk</w:t>
      </w:r>
    </w:p>
    <w:p w14:paraId="624410BD" w14:textId="10BBDE77" w:rsidR="009E5930" w:rsidRDefault="009E5930" w:rsidP="009E5930">
      <w:r>
        <w:t>Currency risk is the risk that the fair value or future cash flows of a financial instrument will fluctuate because of changes in foreign currency exchange rates.</w:t>
      </w:r>
    </w:p>
    <w:p w14:paraId="12524437" w14:textId="77777777" w:rsidR="009E5930" w:rsidRDefault="009E5930" w:rsidP="009E5930"/>
    <w:p w14:paraId="684315E6" w14:textId="77777777" w:rsidR="009E5930" w:rsidRDefault="009E5930" w:rsidP="009E5930">
      <w:r>
        <w:t>Foreign currency denominated transactions are not material. Therefore, the impact of the Ministry’s exposure to currency risk is minimal.</w:t>
      </w:r>
    </w:p>
    <w:p w14:paraId="70AC0054" w14:textId="77777777" w:rsidR="009E5930" w:rsidRDefault="009E5930" w:rsidP="009E5930">
      <w:pPr>
        <w:pStyle w:val="Heading5"/>
      </w:pPr>
      <w:r>
        <w:lastRenderedPageBreak/>
        <w:t xml:space="preserve">Credit </w:t>
      </w:r>
      <w:proofErr w:type="gramStart"/>
      <w:r>
        <w:t>risk</w:t>
      </w:r>
      <w:proofErr w:type="gramEnd"/>
    </w:p>
    <w:p w14:paraId="11958650" w14:textId="790FA24E" w:rsidR="009E5930" w:rsidRDefault="009E5930" w:rsidP="009E5930">
      <w:r>
        <w:t>Credit risk is the risk that a third party will default on its obligations to the Ministry, causing a loss to be incurred.</w:t>
      </w:r>
    </w:p>
    <w:p w14:paraId="67D2909B" w14:textId="77777777" w:rsidR="009E5930" w:rsidRDefault="009E5930" w:rsidP="009E5930"/>
    <w:p w14:paraId="304E5ED7" w14:textId="14027755" w:rsidR="009E5930" w:rsidRDefault="009E5930" w:rsidP="009E5930">
      <w:r>
        <w:t>In the Ministry’s normal course of its business, credit risk arises from debtor Crown, receivables and cash and cash equivalents.</w:t>
      </w:r>
    </w:p>
    <w:p w14:paraId="3DA8B65F" w14:textId="77777777" w:rsidR="009E5930" w:rsidRDefault="009E5930" w:rsidP="009E5930"/>
    <w:p w14:paraId="43357C3C" w14:textId="77777777" w:rsidR="009E5930" w:rsidRDefault="009E5930" w:rsidP="009E5930">
      <w:r>
        <w:t>The Ministry’s credit risk is concentrated with the Crown and other government agencies but not with any individual agencies. The carrying amount of financial assets best represents the Ministry’s maximum exposure to credit risk at balance date.</w:t>
      </w:r>
    </w:p>
    <w:p w14:paraId="1D21C178" w14:textId="77777777" w:rsidR="009E5930" w:rsidRDefault="009E5930" w:rsidP="009E5930">
      <w:pPr>
        <w:pStyle w:val="Heading5"/>
      </w:pPr>
      <w:r>
        <w:t>Interest rate risk</w:t>
      </w:r>
    </w:p>
    <w:p w14:paraId="3307CCAC" w14:textId="363E6022" w:rsidR="009E5930" w:rsidRDefault="009E5930" w:rsidP="009E5930">
      <w:r>
        <w:t>Interest rate risk is the risk that the fair value of a financial instrument will fluctuate, or the cash flows from a financial instrument will fluctuate, due to changes in market interest rates.</w:t>
      </w:r>
    </w:p>
    <w:p w14:paraId="11FAC994" w14:textId="77777777" w:rsidR="009E5930" w:rsidRDefault="009E5930" w:rsidP="009E5930"/>
    <w:p w14:paraId="5EDF30EB" w14:textId="77777777" w:rsidR="009E5930" w:rsidRDefault="009E5930" w:rsidP="009E5930">
      <w:r>
        <w:t>The Ministry has no interest-bearing financial instruments. Therefore, it has no exposure to interest rate risk.</w:t>
      </w:r>
    </w:p>
    <w:p w14:paraId="1EDDACC7" w14:textId="77777777" w:rsidR="009E5930" w:rsidRDefault="009E5930" w:rsidP="009E5930">
      <w:pPr>
        <w:pStyle w:val="Heading4"/>
      </w:pPr>
      <w:r>
        <w:t>Liquidity risk</w:t>
      </w:r>
      <w:r>
        <w:tab/>
      </w:r>
    </w:p>
    <w:p w14:paraId="11D65669" w14:textId="42C02873" w:rsidR="009E5930" w:rsidRDefault="009E5930" w:rsidP="009E5930">
      <w:r>
        <w:t>Liquidity risk is the risk that the Ministry will encounter difficulty raising liquid funds as they fall due.</w:t>
      </w:r>
    </w:p>
    <w:p w14:paraId="03D2782E" w14:textId="77777777" w:rsidR="009E5930" w:rsidRDefault="009E5930" w:rsidP="009E5930"/>
    <w:p w14:paraId="08F0FB16" w14:textId="77777777" w:rsidR="009E5930" w:rsidRDefault="009E5930" w:rsidP="009E5930">
      <w:r>
        <w:t>As part of meeting its liquidity requirements, the Ministry closely monitors its forecast cash requirements with expected cash drawdowns from the Treasury Capital Markets. The Ministry maintains a target level of available cash to meet liquidity requirements.</w:t>
      </w:r>
    </w:p>
    <w:p w14:paraId="03FFF8F8" w14:textId="77777777" w:rsidR="009E5930" w:rsidRDefault="009E5930" w:rsidP="009E5930">
      <w:pPr>
        <w:pStyle w:val="Heading4"/>
      </w:pPr>
      <w:r>
        <w:t>Contractual maturity analysis of financial liabilities</w:t>
      </w:r>
    </w:p>
    <w:p w14:paraId="2D45EAEE" w14:textId="77777777" w:rsidR="009E5930" w:rsidRDefault="009E5930" w:rsidP="009E5930">
      <w:r>
        <w:t>The table below analyses the Ministry’s financial liabilities into relevant maturity groupings based on the remaining period at balance date to the contractual maturity date. The amounts disclosed are the contractual undiscounted cash flows.</w:t>
      </w:r>
    </w:p>
    <w:p w14:paraId="6A623E68" w14:textId="77777777" w:rsidR="009E5930" w:rsidRDefault="009E5930" w:rsidP="009E5930"/>
    <w:tbl>
      <w:tblPr>
        <w:tblW w:w="8093" w:type="dxa"/>
        <w:tblLayout w:type="fixed"/>
        <w:tblCellMar>
          <w:left w:w="0" w:type="dxa"/>
          <w:right w:w="0" w:type="dxa"/>
        </w:tblCellMar>
        <w:tblLook w:val="01E0" w:firstRow="1" w:lastRow="1" w:firstColumn="1" w:lastColumn="1" w:noHBand="0" w:noVBand="0"/>
      </w:tblPr>
      <w:tblGrid>
        <w:gridCol w:w="2268"/>
        <w:gridCol w:w="1157"/>
        <w:gridCol w:w="1262"/>
        <w:gridCol w:w="1209"/>
        <w:gridCol w:w="1053"/>
        <w:gridCol w:w="1144"/>
      </w:tblGrid>
      <w:tr w:rsidR="009E5930" w14:paraId="45AADE2D" w14:textId="77777777" w:rsidTr="009E5930">
        <w:trPr>
          <w:trHeight w:val="989"/>
        </w:trPr>
        <w:tc>
          <w:tcPr>
            <w:tcW w:w="2268" w:type="dxa"/>
            <w:shd w:val="clear" w:color="auto" w:fill="D9D9D9" w:themeFill="background1" w:themeFillShade="D9"/>
          </w:tcPr>
          <w:p w14:paraId="7F52E3F3" w14:textId="77777777" w:rsidR="009E5930" w:rsidRDefault="009E5930">
            <w:pPr>
              <w:pStyle w:val="TableParagraph"/>
              <w:tabs>
                <w:tab w:val="left" w:pos="3006"/>
              </w:tabs>
              <w:spacing w:line="20" w:lineRule="exact"/>
              <w:ind w:right="-29"/>
              <w:rPr>
                <w:b/>
                <w:bCs/>
                <w:sz w:val="2"/>
              </w:rPr>
            </w:pPr>
            <w:r>
              <w:rPr>
                <w:b/>
                <w:bCs/>
                <w:sz w:val="2"/>
              </w:rPr>
              <w:tab/>
            </w:r>
          </w:p>
          <w:p w14:paraId="29FFEC1F" w14:textId="77777777" w:rsidR="009E5930" w:rsidRDefault="009E5930">
            <w:pPr>
              <w:pStyle w:val="TableParagraph"/>
              <w:rPr>
                <w:b/>
                <w:bCs/>
                <w:sz w:val="20"/>
              </w:rPr>
            </w:pPr>
          </w:p>
          <w:p w14:paraId="5A122B11" w14:textId="77777777" w:rsidR="009E5930" w:rsidRDefault="009E5930">
            <w:pPr>
              <w:pStyle w:val="TableParagraph"/>
              <w:rPr>
                <w:b/>
                <w:bCs/>
                <w:sz w:val="20"/>
              </w:rPr>
            </w:pPr>
          </w:p>
          <w:p w14:paraId="060B01CC" w14:textId="77777777" w:rsidR="009E5930" w:rsidRDefault="009E5930">
            <w:pPr>
              <w:pStyle w:val="TableParagraph"/>
              <w:spacing w:before="4"/>
              <w:rPr>
                <w:b/>
                <w:bCs/>
                <w:sz w:val="13"/>
              </w:rPr>
            </w:pPr>
          </w:p>
          <w:p w14:paraId="6F50A1AF" w14:textId="77777777" w:rsidR="009E5930" w:rsidRDefault="009E5930">
            <w:pPr>
              <w:pStyle w:val="TableParagraph"/>
              <w:tabs>
                <w:tab w:val="left" w:pos="3006"/>
              </w:tabs>
              <w:spacing w:line="20" w:lineRule="exact"/>
              <w:ind w:right="-29"/>
              <w:rPr>
                <w:b/>
                <w:bCs/>
                <w:sz w:val="2"/>
              </w:rPr>
            </w:pPr>
          </w:p>
        </w:tc>
        <w:tc>
          <w:tcPr>
            <w:tcW w:w="1157" w:type="dxa"/>
            <w:shd w:val="clear" w:color="auto" w:fill="D9D9D9" w:themeFill="background1" w:themeFillShade="D9"/>
            <w:hideMark/>
          </w:tcPr>
          <w:p w14:paraId="0357A7B8" w14:textId="77777777"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Carrying amount</w:t>
            </w:r>
            <w:r>
              <w:rPr>
                <w:rFonts w:ascii="Segoe UI" w:hAnsi="Segoe UI" w:cs="Segoe UI"/>
                <w:b/>
                <w:bCs/>
                <w:w w:val="110"/>
                <w:sz w:val="16"/>
                <w:szCs w:val="16"/>
              </w:rPr>
              <w:br/>
            </w:r>
          </w:p>
          <w:p w14:paraId="54C9FC1C" w14:textId="77777777"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262" w:type="dxa"/>
            <w:shd w:val="clear" w:color="auto" w:fill="D9D9D9" w:themeFill="background1" w:themeFillShade="D9"/>
            <w:hideMark/>
          </w:tcPr>
          <w:p w14:paraId="63D995D6" w14:textId="77777777"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 xml:space="preserve">Total </w:t>
            </w:r>
            <w:r>
              <w:rPr>
                <w:rFonts w:ascii="Segoe UI" w:hAnsi="Segoe UI" w:cs="Segoe UI"/>
                <w:b/>
                <w:bCs/>
                <w:w w:val="110"/>
                <w:sz w:val="16"/>
                <w:szCs w:val="16"/>
              </w:rPr>
              <w:br/>
              <w:t>contractual cash flows</w:t>
            </w:r>
          </w:p>
          <w:p w14:paraId="2D562083" w14:textId="77777777"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209" w:type="dxa"/>
            <w:shd w:val="clear" w:color="auto" w:fill="D9D9D9" w:themeFill="background1" w:themeFillShade="D9"/>
            <w:hideMark/>
          </w:tcPr>
          <w:p w14:paraId="5C2A1F66" w14:textId="77777777"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 xml:space="preserve">Less than </w:t>
            </w:r>
            <w:r>
              <w:rPr>
                <w:rFonts w:ascii="Segoe UI" w:hAnsi="Segoe UI" w:cs="Segoe UI"/>
                <w:b/>
                <w:bCs/>
                <w:w w:val="110"/>
                <w:sz w:val="16"/>
                <w:szCs w:val="16"/>
              </w:rPr>
              <w:br/>
              <w:t>6 months</w:t>
            </w:r>
            <w:r>
              <w:rPr>
                <w:rFonts w:ascii="Segoe UI" w:hAnsi="Segoe UI" w:cs="Segoe UI"/>
                <w:b/>
                <w:bCs/>
                <w:w w:val="110"/>
                <w:sz w:val="16"/>
                <w:szCs w:val="16"/>
              </w:rPr>
              <w:br/>
            </w:r>
          </w:p>
          <w:p w14:paraId="570375C7" w14:textId="77777777"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053" w:type="dxa"/>
            <w:shd w:val="clear" w:color="auto" w:fill="D9D9D9" w:themeFill="background1" w:themeFillShade="D9"/>
            <w:hideMark/>
          </w:tcPr>
          <w:p w14:paraId="3ACA3872" w14:textId="77777777"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6 months</w:t>
            </w:r>
            <w:r>
              <w:rPr>
                <w:rFonts w:ascii="Segoe UI" w:hAnsi="Segoe UI" w:cs="Segoe UI"/>
                <w:b/>
                <w:bCs/>
                <w:w w:val="110"/>
                <w:sz w:val="16"/>
                <w:szCs w:val="16"/>
              </w:rPr>
              <w:br/>
              <w:t>to 1 year</w:t>
            </w:r>
            <w:r>
              <w:rPr>
                <w:rFonts w:ascii="Segoe UI" w:hAnsi="Segoe UI" w:cs="Segoe UI"/>
                <w:b/>
                <w:bCs/>
                <w:w w:val="110"/>
                <w:sz w:val="16"/>
                <w:szCs w:val="16"/>
              </w:rPr>
              <w:br/>
            </w:r>
          </w:p>
          <w:p w14:paraId="7AE44F7E" w14:textId="77777777"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144" w:type="dxa"/>
            <w:shd w:val="clear" w:color="auto" w:fill="D9D9D9" w:themeFill="background1" w:themeFillShade="D9"/>
            <w:hideMark/>
          </w:tcPr>
          <w:p w14:paraId="23CA8C10" w14:textId="77777777"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1-5 years</w:t>
            </w:r>
            <w:r>
              <w:rPr>
                <w:rFonts w:ascii="Segoe UI" w:hAnsi="Segoe UI" w:cs="Segoe UI"/>
                <w:b/>
                <w:bCs/>
                <w:w w:val="110"/>
                <w:sz w:val="16"/>
                <w:szCs w:val="16"/>
              </w:rPr>
              <w:br/>
            </w:r>
            <w:r>
              <w:rPr>
                <w:rFonts w:ascii="Segoe UI" w:hAnsi="Segoe UI" w:cs="Segoe UI"/>
                <w:b/>
                <w:bCs/>
                <w:w w:val="110"/>
                <w:sz w:val="16"/>
                <w:szCs w:val="16"/>
              </w:rPr>
              <w:br/>
            </w:r>
          </w:p>
          <w:p w14:paraId="2C6BFBE2" w14:textId="77777777"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r>
      <w:tr w:rsidR="009E5930" w14:paraId="118F762D" w14:textId="77777777" w:rsidTr="009E5930">
        <w:trPr>
          <w:trHeight w:val="324"/>
        </w:trPr>
        <w:tc>
          <w:tcPr>
            <w:tcW w:w="2268" w:type="dxa"/>
            <w:tcBorders>
              <w:top w:val="nil"/>
              <w:left w:val="nil"/>
              <w:bottom w:val="single" w:sz="4" w:space="0" w:color="BFBFBF" w:themeColor="background1" w:themeShade="BF"/>
              <w:right w:val="nil"/>
            </w:tcBorders>
            <w:hideMark/>
          </w:tcPr>
          <w:p w14:paraId="471A2C5B" w14:textId="77777777" w:rsidR="009E5930" w:rsidRDefault="009E5930" w:rsidP="009E5930">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Payables</w:t>
            </w:r>
          </w:p>
        </w:tc>
        <w:tc>
          <w:tcPr>
            <w:tcW w:w="1157" w:type="dxa"/>
            <w:tcBorders>
              <w:top w:val="nil"/>
              <w:left w:val="nil"/>
              <w:bottom w:val="single" w:sz="4" w:space="0" w:color="BFBFBF" w:themeColor="background1" w:themeShade="BF"/>
              <w:right w:val="nil"/>
            </w:tcBorders>
            <w:hideMark/>
          </w:tcPr>
          <w:p w14:paraId="522467E3" w14:textId="68BCF6EF" w:rsidR="009E5930" w:rsidRPr="009E5930" w:rsidRDefault="009E5930" w:rsidP="009E5930">
            <w:pPr>
              <w:pStyle w:val="TableParagraph"/>
              <w:spacing w:before="60" w:after="60"/>
              <w:ind w:left="-42" w:right="152" w:firstLine="99"/>
              <w:jc w:val="right"/>
              <w:rPr>
                <w:rFonts w:ascii="Segoe UI" w:hAnsi="Segoe UI" w:cs="Segoe UI"/>
                <w:w w:val="110"/>
                <w:sz w:val="16"/>
                <w:szCs w:val="16"/>
              </w:rPr>
            </w:pPr>
            <w:r w:rsidRPr="009E5930">
              <w:rPr>
                <w:rFonts w:ascii="Segoe UI" w:hAnsi="Segoe UI" w:cs="Segoe UI"/>
                <w:w w:val="110"/>
                <w:sz w:val="16"/>
                <w:szCs w:val="16"/>
              </w:rPr>
              <w:t>27,769</w:t>
            </w:r>
          </w:p>
        </w:tc>
        <w:tc>
          <w:tcPr>
            <w:tcW w:w="1262" w:type="dxa"/>
            <w:tcBorders>
              <w:top w:val="nil"/>
              <w:left w:val="nil"/>
              <w:bottom w:val="single" w:sz="4" w:space="0" w:color="BFBFBF" w:themeColor="background1" w:themeShade="BF"/>
              <w:right w:val="nil"/>
            </w:tcBorders>
            <w:hideMark/>
          </w:tcPr>
          <w:p w14:paraId="59B25E95" w14:textId="024F56C8" w:rsidR="009E5930" w:rsidRPr="009E5930" w:rsidRDefault="009E5930" w:rsidP="009E5930">
            <w:pPr>
              <w:pStyle w:val="TableParagraph"/>
              <w:spacing w:before="60" w:after="60"/>
              <w:ind w:left="-42" w:right="152" w:firstLine="99"/>
              <w:jc w:val="right"/>
              <w:rPr>
                <w:rFonts w:ascii="Segoe UI" w:hAnsi="Segoe UI" w:cs="Segoe UI"/>
                <w:w w:val="110"/>
                <w:sz w:val="16"/>
                <w:szCs w:val="16"/>
              </w:rPr>
            </w:pPr>
            <w:r w:rsidRPr="009E5930">
              <w:rPr>
                <w:rFonts w:ascii="Segoe UI" w:hAnsi="Segoe UI" w:cs="Segoe UI"/>
                <w:w w:val="110"/>
                <w:sz w:val="16"/>
                <w:szCs w:val="16"/>
              </w:rPr>
              <w:t>27,769</w:t>
            </w:r>
          </w:p>
        </w:tc>
        <w:tc>
          <w:tcPr>
            <w:tcW w:w="1209" w:type="dxa"/>
            <w:tcBorders>
              <w:top w:val="nil"/>
              <w:left w:val="nil"/>
              <w:bottom w:val="single" w:sz="4" w:space="0" w:color="BFBFBF" w:themeColor="background1" w:themeShade="BF"/>
              <w:right w:val="nil"/>
            </w:tcBorders>
            <w:hideMark/>
          </w:tcPr>
          <w:p w14:paraId="2AE36248" w14:textId="59A12605" w:rsidR="009E5930" w:rsidRPr="009E5930" w:rsidRDefault="009E5930" w:rsidP="009E5930">
            <w:pPr>
              <w:pStyle w:val="TableParagraph"/>
              <w:spacing w:before="60" w:after="60"/>
              <w:ind w:left="-42" w:right="152" w:firstLine="99"/>
              <w:jc w:val="right"/>
              <w:rPr>
                <w:rFonts w:ascii="Segoe UI" w:hAnsi="Segoe UI" w:cs="Segoe UI"/>
                <w:w w:val="110"/>
                <w:sz w:val="16"/>
                <w:szCs w:val="16"/>
              </w:rPr>
            </w:pPr>
            <w:r w:rsidRPr="009E5930">
              <w:rPr>
                <w:rFonts w:ascii="Segoe UI" w:hAnsi="Segoe UI" w:cs="Segoe UI"/>
                <w:w w:val="110"/>
                <w:sz w:val="16"/>
                <w:szCs w:val="16"/>
              </w:rPr>
              <w:t>27,769</w:t>
            </w:r>
          </w:p>
        </w:tc>
        <w:tc>
          <w:tcPr>
            <w:tcW w:w="1053" w:type="dxa"/>
            <w:tcBorders>
              <w:top w:val="nil"/>
              <w:left w:val="nil"/>
              <w:bottom w:val="single" w:sz="4" w:space="0" w:color="BFBFBF" w:themeColor="background1" w:themeShade="BF"/>
              <w:right w:val="nil"/>
            </w:tcBorders>
            <w:hideMark/>
          </w:tcPr>
          <w:p w14:paraId="703E2A10" w14:textId="77777777" w:rsidR="009E5930" w:rsidRDefault="009E5930" w:rsidP="009E5930">
            <w:pPr>
              <w:pStyle w:val="TableParagraph"/>
              <w:spacing w:before="60" w:after="60"/>
              <w:ind w:left="-42" w:right="152" w:firstLine="99"/>
              <w:jc w:val="right"/>
              <w:rPr>
                <w:rFonts w:ascii="Segoe UI" w:hAnsi="Segoe UI" w:cs="Segoe UI"/>
                <w:w w:val="110"/>
                <w:sz w:val="16"/>
                <w:szCs w:val="16"/>
              </w:rPr>
            </w:pPr>
            <w:r>
              <w:rPr>
                <w:rFonts w:ascii="Segoe UI" w:hAnsi="Segoe UI" w:cs="Segoe UI"/>
                <w:w w:val="110"/>
                <w:sz w:val="16"/>
                <w:szCs w:val="16"/>
              </w:rPr>
              <w:t>–</w:t>
            </w:r>
          </w:p>
        </w:tc>
        <w:tc>
          <w:tcPr>
            <w:tcW w:w="1144" w:type="dxa"/>
            <w:tcBorders>
              <w:top w:val="nil"/>
              <w:left w:val="nil"/>
              <w:bottom w:val="single" w:sz="4" w:space="0" w:color="BFBFBF" w:themeColor="background1" w:themeShade="BF"/>
              <w:right w:val="nil"/>
            </w:tcBorders>
            <w:hideMark/>
          </w:tcPr>
          <w:p w14:paraId="1BE093B6" w14:textId="77777777" w:rsidR="009E5930" w:rsidRDefault="009E5930" w:rsidP="009E5930">
            <w:pPr>
              <w:pStyle w:val="TableParagraph"/>
              <w:spacing w:before="60" w:after="60"/>
              <w:ind w:left="-42" w:right="152" w:firstLine="99"/>
              <w:jc w:val="right"/>
              <w:rPr>
                <w:rFonts w:ascii="Segoe UI" w:hAnsi="Segoe UI" w:cs="Segoe UI"/>
                <w:w w:val="110"/>
                <w:sz w:val="16"/>
                <w:szCs w:val="16"/>
              </w:rPr>
            </w:pPr>
            <w:r>
              <w:rPr>
                <w:rFonts w:ascii="Segoe UI" w:hAnsi="Segoe UI" w:cs="Segoe UI"/>
                <w:w w:val="110"/>
                <w:sz w:val="16"/>
                <w:szCs w:val="16"/>
              </w:rPr>
              <w:t>–</w:t>
            </w:r>
          </w:p>
        </w:tc>
      </w:tr>
      <w:tr w:rsidR="009E5930" w:rsidRPr="009E5930" w14:paraId="1F248BBB" w14:textId="77777777" w:rsidTr="009E5930">
        <w:trPr>
          <w:trHeight w:val="344"/>
        </w:trPr>
        <w:tc>
          <w:tcPr>
            <w:tcW w:w="2268" w:type="dxa"/>
            <w:tcBorders>
              <w:top w:val="single" w:sz="4" w:space="0" w:color="BFBFBF" w:themeColor="background1" w:themeShade="BF"/>
              <w:left w:val="nil"/>
              <w:bottom w:val="single" w:sz="4" w:space="0" w:color="BFBFBF" w:themeColor="background1" w:themeShade="BF"/>
              <w:right w:val="nil"/>
            </w:tcBorders>
            <w:hideMark/>
          </w:tcPr>
          <w:p w14:paraId="47B553A5" w14:textId="37FA7BA6" w:rsidR="009E5930" w:rsidRPr="009E5930" w:rsidRDefault="009E5930" w:rsidP="009E5930">
            <w:pPr>
              <w:pStyle w:val="TableParagraph"/>
              <w:spacing w:before="60" w:after="60"/>
              <w:ind w:left="66" w:hanging="5"/>
              <w:rPr>
                <w:rFonts w:ascii="Segoe UI" w:hAnsi="Segoe UI" w:cs="Segoe UI"/>
                <w:b/>
                <w:bCs/>
                <w:w w:val="105"/>
                <w:sz w:val="16"/>
                <w:szCs w:val="16"/>
              </w:rPr>
            </w:pPr>
            <w:r w:rsidRPr="009E5930">
              <w:rPr>
                <w:rFonts w:ascii="Segoe UI" w:hAnsi="Segoe UI" w:cs="Segoe UI"/>
                <w:b/>
                <w:bCs/>
                <w:w w:val="105"/>
                <w:sz w:val="16"/>
                <w:szCs w:val="16"/>
              </w:rPr>
              <w:t xml:space="preserve">Balance as </w:t>
            </w:r>
            <w:proofErr w:type="gramStart"/>
            <w:r w:rsidRPr="009E5930">
              <w:rPr>
                <w:rFonts w:ascii="Segoe UI" w:hAnsi="Segoe UI" w:cs="Segoe UI"/>
                <w:b/>
                <w:bCs/>
                <w:w w:val="105"/>
                <w:sz w:val="16"/>
                <w:szCs w:val="16"/>
              </w:rPr>
              <w:t>at</w:t>
            </w:r>
            <w:proofErr w:type="gramEnd"/>
            <w:r w:rsidRPr="009E5930">
              <w:rPr>
                <w:rFonts w:ascii="Segoe UI" w:hAnsi="Segoe UI" w:cs="Segoe UI"/>
                <w:b/>
                <w:bCs/>
                <w:w w:val="105"/>
                <w:sz w:val="16"/>
                <w:szCs w:val="16"/>
              </w:rPr>
              <w:t xml:space="preserve"> 30 June 2024</w:t>
            </w:r>
          </w:p>
        </w:tc>
        <w:tc>
          <w:tcPr>
            <w:tcW w:w="1157" w:type="dxa"/>
            <w:tcBorders>
              <w:top w:val="single" w:sz="4" w:space="0" w:color="BFBFBF" w:themeColor="background1" w:themeShade="BF"/>
              <w:left w:val="nil"/>
              <w:bottom w:val="single" w:sz="4" w:space="0" w:color="BFBFBF" w:themeColor="background1" w:themeShade="BF"/>
              <w:right w:val="nil"/>
            </w:tcBorders>
            <w:hideMark/>
          </w:tcPr>
          <w:p w14:paraId="1256BCBB" w14:textId="2769DDCF" w:rsidR="009E5930" w:rsidRPr="009E5930" w:rsidRDefault="009E5930" w:rsidP="009E5930">
            <w:pPr>
              <w:pStyle w:val="TableParagraph"/>
              <w:spacing w:before="60" w:after="60"/>
              <w:ind w:left="-42" w:right="152" w:firstLine="99"/>
              <w:jc w:val="right"/>
              <w:rPr>
                <w:rFonts w:ascii="Segoe UI" w:hAnsi="Segoe UI" w:cs="Segoe UI"/>
                <w:b/>
                <w:bCs/>
                <w:w w:val="110"/>
                <w:sz w:val="16"/>
                <w:szCs w:val="16"/>
              </w:rPr>
            </w:pPr>
            <w:r w:rsidRPr="009E5930">
              <w:rPr>
                <w:rFonts w:ascii="Segoe UI" w:hAnsi="Segoe UI" w:cs="Segoe UI"/>
                <w:b/>
                <w:bCs/>
                <w:w w:val="110"/>
                <w:sz w:val="16"/>
                <w:szCs w:val="16"/>
              </w:rPr>
              <w:t>27,769</w:t>
            </w:r>
          </w:p>
        </w:tc>
        <w:tc>
          <w:tcPr>
            <w:tcW w:w="1262" w:type="dxa"/>
            <w:tcBorders>
              <w:top w:val="single" w:sz="4" w:space="0" w:color="BFBFBF" w:themeColor="background1" w:themeShade="BF"/>
              <w:left w:val="nil"/>
              <w:bottom w:val="single" w:sz="4" w:space="0" w:color="BFBFBF" w:themeColor="background1" w:themeShade="BF"/>
              <w:right w:val="nil"/>
            </w:tcBorders>
            <w:hideMark/>
          </w:tcPr>
          <w:p w14:paraId="249318F8" w14:textId="753B5488" w:rsidR="009E5930" w:rsidRPr="009E5930" w:rsidRDefault="009E5930" w:rsidP="009E5930">
            <w:pPr>
              <w:pStyle w:val="TableParagraph"/>
              <w:spacing w:before="60" w:after="60"/>
              <w:ind w:left="-42" w:right="152" w:firstLine="99"/>
              <w:jc w:val="right"/>
              <w:rPr>
                <w:rFonts w:ascii="Segoe UI" w:hAnsi="Segoe UI" w:cs="Segoe UI"/>
                <w:b/>
                <w:bCs/>
                <w:w w:val="110"/>
                <w:sz w:val="16"/>
                <w:szCs w:val="16"/>
              </w:rPr>
            </w:pPr>
            <w:r w:rsidRPr="009E5930">
              <w:rPr>
                <w:rFonts w:ascii="Segoe UI" w:hAnsi="Segoe UI" w:cs="Segoe UI"/>
                <w:b/>
                <w:bCs/>
                <w:w w:val="110"/>
                <w:sz w:val="16"/>
                <w:szCs w:val="16"/>
              </w:rPr>
              <w:t>27,769</w:t>
            </w:r>
          </w:p>
        </w:tc>
        <w:tc>
          <w:tcPr>
            <w:tcW w:w="1209" w:type="dxa"/>
            <w:tcBorders>
              <w:top w:val="single" w:sz="4" w:space="0" w:color="BFBFBF" w:themeColor="background1" w:themeShade="BF"/>
              <w:left w:val="nil"/>
              <w:bottom w:val="single" w:sz="4" w:space="0" w:color="BFBFBF" w:themeColor="background1" w:themeShade="BF"/>
              <w:right w:val="nil"/>
            </w:tcBorders>
            <w:hideMark/>
          </w:tcPr>
          <w:p w14:paraId="3A319D10" w14:textId="70575700" w:rsidR="009E5930" w:rsidRPr="009E5930" w:rsidRDefault="009E5930" w:rsidP="009E5930">
            <w:pPr>
              <w:pStyle w:val="TableParagraph"/>
              <w:spacing w:before="60" w:after="60"/>
              <w:ind w:left="-42" w:right="152" w:firstLine="99"/>
              <w:jc w:val="right"/>
              <w:rPr>
                <w:rFonts w:ascii="Segoe UI" w:hAnsi="Segoe UI" w:cs="Segoe UI"/>
                <w:b/>
                <w:bCs/>
                <w:w w:val="110"/>
                <w:sz w:val="16"/>
                <w:szCs w:val="16"/>
              </w:rPr>
            </w:pPr>
            <w:r w:rsidRPr="009E5930">
              <w:rPr>
                <w:rFonts w:ascii="Segoe UI" w:hAnsi="Segoe UI" w:cs="Segoe UI"/>
                <w:b/>
                <w:bCs/>
                <w:w w:val="110"/>
                <w:sz w:val="16"/>
                <w:szCs w:val="16"/>
              </w:rPr>
              <w:t>27,769</w:t>
            </w:r>
          </w:p>
        </w:tc>
        <w:tc>
          <w:tcPr>
            <w:tcW w:w="1053" w:type="dxa"/>
            <w:tcBorders>
              <w:top w:val="single" w:sz="4" w:space="0" w:color="BFBFBF" w:themeColor="background1" w:themeShade="BF"/>
              <w:left w:val="nil"/>
              <w:bottom w:val="single" w:sz="4" w:space="0" w:color="BFBFBF" w:themeColor="background1" w:themeShade="BF"/>
              <w:right w:val="nil"/>
            </w:tcBorders>
            <w:hideMark/>
          </w:tcPr>
          <w:p w14:paraId="1C6346C8" w14:textId="77777777" w:rsidR="009E5930" w:rsidRPr="009E5930" w:rsidRDefault="009E5930" w:rsidP="009E5930">
            <w:pPr>
              <w:pStyle w:val="TableParagraph"/>
              <w:spacing w:before="60" w:after="60"/>
              <w:ind w:left="-42" w:right="152" w:firstLine="99"/>
              <w:jc w:val="right"/>
              <w:rPr>
                <w:rFonts w:ascii="Segoe UI" w:hAnsi="Segoe UI" w:cs="Segoe UI"/>
                <w:b/>
                <w:bCs/>
                <w:w w:val="110"/>
                <w:sz w:val="16"/>
                <w:szCs w:val="16"/>
              </w:rPr>
            </w:pPr>
            <w:r w:rsidRPr="009E5930">
              <w:rPr>
                <w:rFonts w:ascii="Segoe UI" w:hAnsi="Segoe UI" w:cs="Segoe UI"/>
                <w:b/>
                <w:bCs/>
                <w:w w:val="110"/>
                <w:sz w:val="16"/>
                <w:szCs w:val="16"/>
              </w:rPr>
              <w:t>–</w:t>
            </w:r>
          </w:p>
        </w:tc>
        <w:tc>
          <w:tcPr>
            <w:tcW w:w="1144" w:type="dxa"/>
            <w:tcBorders>
              <w:top w:val="single" w:sz="4" w:space="0" w:color="BFBFBF" w:themeColor="background1" w:themeShade="BF"/>
              <w:left w:val="nil"/>
              <w:bottom w:val="single" w:sz="4" w:space="0" w:color="BFBFBF" w:themeColor="background1" w:themeShade="BF"/>
              <w:right w:val="nil"/>
            </w:tcBorders>
            <w:hideMark/>
          </w:tcPr>
          <w:p w14:paraId="279F2393" w14:textId="77777777" w:rsidR="009E5930" w:rsidRPr="009E5930" w:rsidRDefault="009E5930" w:rsidP="009E5930">
            <w:pPr>
              <w:pStyle w:val="TableParagraph"/>
              <w:spacing w:before="60" w:after="60"/>
              <w:ind w:left="-42" w:right="152" w:firstLine="99"/>
              <w:jc w:val="right"/>
              <w:rPr>
                <w:rFonts w:ascii="Segoe UI" w:hAnsi="Segoe UI" w:cs="Segoe UI"/>
                <w:b/>
                <w:bCs/>
                <w:w w:val="110"/>
                <w:sz w:val="16"/>
                <w:szCs w:val="16"/>
              </w:rPr>
            </w:pPr>
            <w:r w:rsidRPr="009E5930">
              <w:rPr>
                <w:rFonts w:ascii="Segoe UI" w:hAnsi="Segoe UI" w:cs="Segoe UI"/>
                <w:b/>
                <w:bCs/>
                <w:w w:val="110"/>
                <w:sz w:val="16"/>
                <w:szCs w:val="16"/>
              </w:rPr>
              <w:t>–</w:t>
            </w:r>
          </w:p>
        </w:tc>
      </w:tr>
      <w:tr w:rsidR="009E5930" w14:paraId="48B1FE55" w14:textId="77777777" w:rsidTr="009E5930">
        <w:trPr>
          <w:trHeight w:val="344"/>
        </w:trPr>
        <w:tc>
          <w:tcPr>
            <w:tcW w:w="2268" w:type="dxa"/>
            <w:tcBorders>
              <w:top w:val="single" w:sz="4" w:space="0" w:color="BFBFBF" w:themeColor="background1" w:themeShade="BF"/>
              <w:left w:val="nil"/>
              <w:bottom w:val="single" w:sz="4" w:space="0" w:color="BFBFBF" w:themeColor="background1" w:themeShade="BF"/>
              <w:right w:val="nil"/>
            </w:tcBorders>
            <w:hideMark/>
          </w:tcPr>
          <w:p w14:paraId="581149CB" w14:textId="37EAB5F5" w:rsidR="009E5930" w:rsidRDefault="009E5930" w:rsidP="009E5930">
            <w:pPr>
              <w:pStyle w:val="TableParagraph"/>
              <w:spacing w:before="60" w:after="60"/>
              <w:ind w:left="66" w:hanging="5"/>
              <w:rPr>
                <w:rFonts w:ascii="Segoe UI" w:hAnsi="Segoe UI" w:cs="Segoe UI"/>
                <w:w w:val="105"/>
                <w:sz w:val="16"/>
                <w:szCs w:val="16"/>
              </w:rPr>
            </w:pPr>
            <w:r w:rsidRPr="009E5930">
              <w:rPr>
                <w:rFonts w:ascii="Segoe UI" w:hAnsi="Segoe UI" w:cs="Segoe UI"/>
                <w:w w:val="105"/>
                <w:sz w:val="16"/>
                <w:szCs w:val="16"/>
              </w:rPr>
              <w:t>Payables</w:t>
            </w:r>
          </w:p>
        </w:tc>
        <w:tc>
          <w:tcPr>
            <w:tcW w:w="1157" w:type="dxa"/>
            <w:tcBorders>
              <w:top w:val="single" w:sz="4" w:space="0" w:color="BFBFBF" w:themeColor="background1" w:themeShade="BF"/>
              <w:left w:val="nil"/>
              <w:bottom w:val="single" w:sz="4" w:space="0" w:color="BFBFBF" w:themeColor="background1" w:themeShade="BF"/>
              <w:right w:val="nil"/>
            </w:tcBorders>
            <w:hideMark/>
          </w:tcPr>
          <w:p w14:paraId="2A48C7D0" w14:textId="74CA2363" w:rsidR="009E5930" w:rsidRPr="009E5930" w:rsidRDefault="009E5930" w:rsidP="009E5930">
            <w:pPr>
              <w:pStyle w:val="TableParagraph"/>
              <w:spacing w:before="60" w:after="60"/>
              <w:ind w:left="-42" w:right="152" w:firstLine="99"/>
              <w:jc w:val="right"/>
              <w:rPr>
                <w:rFonts w:ascii="Segoe UI" w:hAnsi="Segoe UI" w:cs="Segoe UI"/>
                <w:w w:val="110"/>
                <w:sz w:val="16"/>
                <w:szCs w:val="16"/>
              </w:rPr>
            </w:pPr>
            <w:r w:rsidRPr="009E5930">
              <w:rPr>
                <w:rFonts w:ascii="Segoe UI" w:hAnsi="Segoe UI" w:cs="Segoe UI"/>
                <w:w w:val="110"/>
                <w:sz w:val="16"/>
                <w:szCs w:val="16"/>
              </w:rPr>
              <w:t>22,672</w:t>
            </w:r>
          </w:p>
        </w:tc>
        <w:tc>
          <w:tcPr>
            <w:tcW w:w="1262" w:type="dxa"/>
            <w:tcBorders>
              <w:top w:val="single" w:sz="4" w:space="0" w:color="BFBFBF" w:themeColor="background1" w:themeShade="BF"/>
              <w:left w:val="nil"/>
              <w:bottom w:val="single" w:sz="4" w:space="0" w:color="BFBFBF" w:themeColor="background1" w:themeShade="BF"/>
              <w:right w:val="nil"/>
            </w:tcBorders>
            <w:hideMark/>
          </w:tcPr>
          <w:p w14:paraId="452652F3" w14:textId="1FCE6FD3" w:rsidR="009E5930" w:rsidRPr="009E5930" w:rsidRDefault="009E5930" w:rsidP="009E5930">
            <w:pPr>
              <w:pStyle w:val="TableParagraph"/>
              <w:spacing w:before="60" w:after="60"/>
              <w:ind w:left="-42" w:right="152" w:firstLine="99"/>
              <w:jc w:val="right"/>
              <w:rPr>
                <w:rFonts w:ascii="Segoe UI" w:hAnsi="Segoe UI" w:cs="Segoe UI"/>
                <w:w w:val="110"/>
                <w:sz w:val="16"/>
                <w:szCs w:val="16"/>
              </w:rPr>
            </w:pPr>
            <w:r w:rsidRPr="009E5930">
              <w:rPr>
                <w:rFonts w:ascii="Segoe UI" w:hAnsi="Segoe UI" w:cs="Segoe UI"/>
                <w:w w:val="110"/>
                <w:sz w:val="16"/>
                <w:szCs w:val="16"/>
              </w:rPr>
              <w:t>22,672</w:t>
            </w:r>
          </w:p>
        </w:tc>
        <w:tc>
          <w:tcPr>
            <w:tcW w:w="1209" w:type="dxa"/>
            <w:tcBorders>
              <w:top w:val="single" w:sz="4" w:space="0" w:color="BFBFBF" w:themeColor="background1" w:themeShade="BF"/>
              <w:left w:val="nil"/>
              <w:bottom w:val="single" w:sz="4" w:space="0" w:color="BFBFBF" w:themeColor="background1" w:themeShade="BF"/>
              <w:right w:val="nil"/>
            </w:tcBorders>
            <w:hideMark/>
          </w:tcPr>
          <w:p w14:paraId="6A490CB1" w14:textId="419346D3" w:rsidR="009E5930" w:rsidRPr="009E5930" w:rsidRDefault="009E5930" w:rsidP="009E5930">
            <w:pPr>
              <w:pStyle w:val="TableParagraph"/>
              <w:spacing w:before="60" w:after="60"/>
              <w:ind w:left="-42" w:right="152" w:firstLine="99"/>
              <w:jc w:val="right"/>
              <w:rPr>
                <w:rFonts w:ascii="Segoe UI" w:hAnsi="Segoe UI" w:cs="Segoe UI"/>
                <w:w w:val="110"/>
                <w:sz w:val="16"/>
                <w:szCs w:val="16"/>
              </w:rPr>
            </w:pPr>
            <w:r w:rsidRPr="009E5930">
              <w:rPr>
                <w:rFonts w:ascii="Segoe UI" w:hAnsi="Segoe UI" w:cs="Segoe UI"/>
                <w:w w:val="110"/>
                <w:sz w:val="16"/>
                <w:szCs w:val="16"/>
              </w:rPr>
              <w:t>22,672</w:t>
            </w:r>
          </w:p>
        </w:tc>
        <w:tc>
          <w:tcPr>
            <w:tcW w:w="1053" w:type="dxa"/>
            <w:tcBorders>
              <w:top w:val="single" w:sz="4" w:space="0" w:color="BFBFBF" w:themeColor="background1" w:themeShade="BF"/>
              <w:left w:val="nil"/>
              <w:bottom w:val="single" w:sz="4" w:space="0" w:color="BFBFBF" w:themeColor="background1" w:themeShade="BF"/>
              <w:right w:val="nil"/>
            </w:tcBorders>
            <w:hideMark/>
          </w:tcPr>
          <w:p w14:paraId="0F78C908" w14:textId="77777777" w:rsidR="009E5930" w:rsidRDefault="009E5930" w:rsidP="009E5930">
            <w:pPr>
              <w:pStyle w:val="TableParagraph"/>
              <w:spacing w:before="60" w:after="60"/>
              <w:ind w:left="-42" w:right="152" w:firstLine="99"/>
              <w:jc w:val="right"/>
              <w:rPr>
                <w:rFonts w:ascii="Segoe UI" w:hAnsi="Segoe UI" w:cs="Segoe UI"/>
                <w:w w:val="110"/>
                <w:sz w:val="16"/>
                <w:szCs w:val="16"/>
              </w:rPr>
            </w:pPr>
            <w:r>
              <w:rPr>
                <w:rFonts w:ascii="Segoe UI" w:hAnsi="Segoe UI" w:cs="Segoe UI"/>
                <w:w w:val="110"/>
                <w:sz w:val="16"/>
                <w:szCs w:val="16"/>
              </w:rPr>
              <w:t>–</w:t>
            </w:r>
          </w:p>
        </w:tc>
        <w:tc>
          <w:tcPr>
            <w:tcW w:w="1144" w:type="dxa"/>
            <w:tcBorders>
              <w:top w:val="single" w:sz="4" w:space="0" w:color="BFBFBF" w:themeColor="background1" w:themeShade="BF"/>
              <w:left w:val="nil"/>
              <w:bottom w:val="single" w:sz="4" w:space="0" w:color="BFBFBF" w:themeColor="background1" w:themeShade="BF"/>
              <w:right w:val="nil"/>
            </w:tcBorders>
            <w:hideMark/>
          </w:tcPr>
          <w:p w14:paraId="27C4EC82" w14:textId="77777777" w:rsidR="009E5930" w:rsidRDefault="009E5930" w:rsidP="009E5930">
            <w:pPr>
              <w:pStyle w:val="TableParagraph"/>
              <w:spacing w:before="60" w:after="60"/>
              <w:ind w:left="-42" w:right="152" w:firstLine="99"/>
              <w:jc w:val="right"/>
              <w:rPr>
                <w:rFonts w:ascii="Segoe UI" w:hAnsi="Segoe UI" w:cs="Segoe UI"/>
                <w:w w:val="110"/>
                <w:sz w:val="16"/>
                <w:szCs w:val="16"/>
              </w:rPr>
            </w:pPr>
            <w:r>
              <w:rPr>
                <w:rFonts w:ascii="Segoe UI" w:hAnsi="Segoe UI" w:cs="Segoe UI"/>
                <w:w w:val="110"/>
                <w:sz w:val="16"/>
                <w:szCs w:val="16"/>
              </w:rPr>
              <w:t>–</w:t>
            </w:r>
          </w:p>
        </w:tc>
      </w:tr>
      <w:tr w:rsidR="009E5930" w:rsidRPr="009E5930" w14:paraId="3EA1CB65" w14:textId="77777777" w:rsidTr="009E5930">
        <w:trPr>
          <w:trHeight w:val="344"/>
        </w:trPr>
        <w:tc>
          <w:tcPr>
            <w:tcW w:w="2268" w:type="dxa"/>
            <w:tcBorders>
              <w:top w:val="single" w:sz="4" w:space="0" w:color="BFBFBF" w:themeColor="background1" w:themeShade="BF"/>
              <w:left w:val="nil"/>
              <w:bottom w:val="single" w:sz="4" w:space="0" w:color="BFBFBF" w:themeColor="background1" w:themeShade="BF"/>
              <w:right w:val="nil"/>
            </w:tcBorders>
            <w:hideMark/>
          </w:tcPr>
          <w:p w14:paraId="6F76EB2D" w14:textId="10D6A463" w:rsidR="009E5930" w:rsidRPr="009E5930" w:rsidRDefault="009E5930" w:rsidP="009E5930">
            <w:pPr>
              <w:pStyle w:val="TableParagraph"/>
              <w:spacing w:before="60" w:after="60"/>
              <w:ind w:left="66" w:hanging="5"/>
              <w:rPr>
                <w:rFonts w:ascii="Segoe UI" w:hAnsi="Segoe UI" w:cs="Segoe UI"/>
                <w:b/>
                <w:bCs/>
                <w:w w:val="105"/>
                <w:sz w:val="16"/>
                <w:szCs w:val="16"/>
              </w:rPr>
            </w:pPr>
            <w:r w:rsidRPr="009E5930">
              <w:rPr>
                <w:rFonts w:ascii="Segoe UI" w:hAnsi="Segoe UI" w:cs="Segoe UI"/>
                <w:b/>
                <w:bCs/>
                <w:w w:val="105"/>
                <w:sz w:val="16"/>
                <w:szCs w:val="16"/>
              </w:rPr>
              <w:t xml:space="preserve">Balance as </w:t>
            </w:r>
            <w:proofErr w:type="gramStart"/>
            <w:r w:rsidRPr="009E5930">
              <w:rPr>
                <w:rFonts w:ascii="Segoe UI" w:hAnsi="Segoe UI" w:cs="Segoe UI"/>
                <w:b/>
                <w:bCs/>
                <w:w w:val="105"/>
                <w:sz w:val="16"/>
                <w:szCs w:val="16"/>
              </w:rPr>
              <w:t>at</w:t>
            </w:r>
            <w:proofErr w:type="gramEnd"/>
            <w:r w:rsidRPr="009E5930">
              <w:rPr>
                <w:rFonts w:ascii="Segoe UI" w:hAnsi="Segoe UI" w:cs="Segoe UI"/>
                <w:b/>
                <w:bCs/>
                <w:w w:val="105"/>
                <w:sz w:val="16"/>
                <w:szCs w:val="16"/>
              </w:rPr>
              <w:t xml:space="preserve"> 30 June 2023</w:t>
            </w:r>
          </w:p>
        </w:tc>
        <w:tc>
          <w:tcPr>
            <w:tcW w:w="1157" w:type="dxa"/>
            <w:tcBorders>
              <w:top w:val="single" w:sz="4" w:space="0" w:color="BFBFBF" w:themeColor="background1" w:themeShade="BF"/>
              <w:left w:val="nil"/>
              <w:bottom w:val="single" w:sz="4" w:space="0" w:color="BFBFBF" w:themeColor="background1" w:themeShade="BF"/>
              <w:right w:val="nil"/>
            </w:tcBorders>
            <w:hideMark/>
          </w:tcPr>
          <w:p w14:paraId="4029178E" w14:textId="027EC2F2" w:rsidR="009E5930" w:rsidRPr="009E5930" w:rsidRDefault="009E5930" w:rsidP="009E5930">
            <w:pPr>
              <w:pStyle w:val="TableParagraph"/>
              <w:spacing w:before="60" w:after="60"/>
              <w:ind w:left="-42" w:right="152" w:firstLine="99"/>
              <w:jc w:val="right"/>
              <w:rPr>
                <w:rFonts w:ascii="Segoe UI" w:hAnsi="Segoe UI" w:cs="Segoe UI"/>
                <w:b/>
                <w:bCs/>
                <w:w w:val="110"/>
                <w:sz w:val="16"/>
                <w:szCs w:val="16"/>
              </w:rPr>
            </w:pPr>
            <w:r w:rsidRPr="009E5930">
              <w:rPr>
                <w:rFonts w:ascii="Segoe UI" w:hAnsi="Segoe UI" w:cs="Segoe UI"/>
                <w:b/>
                <w:bCs/>
                <w:w w:val="110"/>
                <w:sz w:val="16"/>
                <w:szCs w:val="16"/>
              </w:rPr>
              <w:t>22,672</w:t>
            </w:r>
          </w:p>
        </w:tc>
        <w:tc>
          <w:tcPr>
            <w:tcW w:w="1262" w:type="dxa"/>
            <w:tcBorders>
              <w:top w:val="single" w:sz="4" w:space="0" w:color="BFBFBF" w:themeColor="background1" w:themeShade="BF"/>
              <w:left w:val="nil"/>
              <w:bottom w:val="single" w:sz="4" w:space="0" w:color="BFBFBF" w:themeColor="background1" w:themeShade="BF"/>
              <w:right w:val="nil"/>
            </w:tcBorders>
            <w:hideMark/>
          </w:tcPr>
          <w:p w14:paraId="03798652" w14:textId="0839078D" w:rsidR="009E5930" w:rsidRPr="009E5930" w:rsidRDefault="009E5930" w:rsidP="009E5930">
            <w:pPr>
              <w:pStyle w:val="TableParagraph"/>
              <w:spacing w:before="60" w:after="60"/>
              <w:ind w:left="-42" w:right="152" w:firstLine="99"/>
              <w:jc w:val="right"/>
              <w:rPr>
                <w:rFonts w:ascii="Segoe UI" w:hAnsi="Segoe UI" w:cs="Segoe UI"/>
                <w:b/>
                <w:bCs/>
                <w:w w:val="110"/>
                <w:sz w:val="16"/>
                <w:szCs w:val="16"/>
              </w:rPr>
            </w:pPr>
            <w:r w:rsidRPr="009E5930">
              <w:rPr>
                <w:rFonts w:ascii="Segoe UI" w:hAnsi="Segoe UI" w:cs="Segoe UI"/>
                <w:b/>
                <w:bCs/>
                <w:w w:val="110"/>
                <w:sz w:val="16"/>
                <w:szCs w:val="16"/>
              </w:rPr>
              <w:t>22,672</w:t>
            </w:r>
          </w:p>
        </w:tc>
        <w:tc>
          <w:tcPr>
            <w:tcW w:w="1209" w:type="dxa"/>
            <w:tcBorders>
              <w:top w:val="single" w:sz="4" w:space="0" w:color="BFBFBF" w:themeColor="background1" w:themeShade="BF"/>
              <w:left w:val="nil"/>
              <w:bottom w:val="single" w:sz="4" w:space="0" w:color="BFBFBF" w:themeColor="background1" w:themeShade="BF"/>
              <w:right w:val="nil"/>
            </w:tcBorders>
            <w:hideMark/>
          </w:tcPr>
          <w:p w14:paraId="6822A232" w14:textId="43E6A72F" w:rsidR="009E5930" w:rsidRPr="009E5930" w:rsidRDefault="009E5930" w:rsidP="009E5930">
            <w:pPr>
              <w:pStyle w:val="TableParagraph"/>
              <w:spacing w:before="60" w:after="60"/>
              <w:ind w:left="-42" w:right="152" w:firstLine="99"/>
              <w:jc w:val="right"/>
              <w:rPr>
                <w:rFonts w:ascii="Segoe UI" w:hAnsi="Segoe UI" w:cs="Segoe UI"/>
                <w:b/>
                <w:bCs/>
                <w:w w:val="110"/>
                <w:sz w:val="16"/>
                <w:szCs w:val="16"/>
              </w:rPr>
            </w:pPr>
            <w:r w:rsidRPr="009E5930">
              <w:rPr>
                <w:rFonts w:ascii="Segoe UI" w:hAnsi="Segoe UI" w:cs="Segoe UI"/>
                <w:b/>
                <w:bCs/>
                <w:w w:val="110"/>
                <w:sz w:val="16"/>
                <w:szCs w:val="16"/>
              </w:rPr>
              <w:t>22,672</w:t>
            </w:r>
          </w:p>
        </w:tc>
        <w:tc>
          <w:tcPr>
            <w:tcW w:w="1053" w:type="dxa"/>
            <w:tcBorders>
              <w:top w:val="single" w:sz="4" w:space="0" w:color="BFBFBF" w:themeColor="background1" w:themeShade="BF"/>
              <w:left w:val="nil"/>
              <w:bottom w:val="single" w:sz="4" w:space="0" w:color="BFBFBF" w:themeColor="background1" w:themeShade="BF"/>
              <w:right w:val="nil"/>
            </w:tcBorders>
            <w:hideMark/>
          </w:tcPr>
          <w:p w14:paraId="13B55107" w14:textId="77777777" w:rsidR="009E5930" w:rsidRPr="009E5930" w:rsidRDefault="009E5930" w:rsidP="009E5930">
            <w:pPr>
              <w:pStyle w:val="TableParagraph"/>
              <w:spacing w:before="60" w:after="60"/>
              <w:ind w:left="-42" w:right="152" w:firstLine="99"/>
              <w:jc w:val="right"/>
              <w:rPr>
                <w:rFonts w:ascii="Segoe UI" w:hAnsi="Segoe UI" w:cs="Segoe UI"/>
                <w:b/>
                <w:bCs/>
                <w:w w:val="110"/>
                <w:sz w:val="16"/>
                <w:szCs w:val="16"/>
              </w:rPr>
            </w:pPr>
            <w:r w:rsidRPr="009E5930">
              <w:rPr>
                <w:rFonts w:ascii="Segoe UI" w:hAnsi="Segoe UI" w:cs="Segoe UI"/>
                <w:b/>
                <w:bCs/>
                <w:w w:val="110"/>
                <w:sz w:val="16"/>
                <w:szCs w:val="16"/>
              </w:rPr>
              <w:t>–</w:t>
            </w:r>
          </w:p>
        </w:tc>
        <w:tc>
          <w:tcPr>
            <w:tcW w:w="1144" w:type="dxa"/>
            <w:tcBorders>
              <w:top w:val="single" w:sz="4" w:space="0" w:color="BFBFBF" w:themeColor="background1" w:themeShade="BF"/>
              <w:left w:val="nil"/>
              <w:bottom w:val="single" w:sz="4" w:space="0" w:color="BFBFBF" w:themeColor="background1" w:themeShade="BF"/>
              <w:right w:val="nil"/>
            </w:tcBorders>
            <w:hideMark/>
          </w:tcPr>
          <w:p w14:paraId="2DF22C7F" w14:textId="77777777" w:rsidR="009E5930" w:rsidRPr="009E5930" w:rsidRDefault="009E5930" w:rsidP="009E5930">
            <w:pPr>
              <w:pStyle w:val="TableParagraph"/>
              <w:spacing w:before="60" w:after="60"/>
              <w:ind w:left="-42" w:right="152" w:firstLine="99"/>
              <w:jc w:val="right"/>
              <w:rPr>
                <w:rFonts w:ascii="Segoe UI" w:hAnsi="Segoe UI" w:cs="Segoe UI"/>
                <w:b/>
                <w:bCs/>
                <w:w w:val="110"/>
                <w:sz w:val="16"/>
                <w:szCs w:val="16"/>
              </w:rPr>
            </w:pPr>
            <w:r w:rsidRPr="009E5930">
              <w:rPr>
                <w:rFonts w:ascii="Segoe UI" w:hAnsi="Segoe UI" w:cs="Segoe UI"/>
                <w:b/>
                <w:bCs/>
                <w:w w:val="110"/>
                <w:sz w:val="16"/>
                <w:szCs w:val="16"/>
              </w:rPr>
              <w:t>–</w:t>
            </w:r>
          </w:p>
        </w:tc>
      </w:tr>
    </w:tbl>
    <w:p w14:paraId="22DC8024" w14:textId="77777777" w:rsidR="009E5930" w:rsidRDefault="009E5930" w:rsidP="009E5930"/>
    <w:p w14:paraId="4AA478A8" w14:textId="77777777" w:rsidR="009E5930" w:rsidRDefault="009E5930" w:rsidP="009E5930"/>
    <w:p w14:paraId="3F25FE43" w14:textId="67576783" w:rsidR="009E5930" w:rsidRDefault="009E5930" w:rsidP="007123AC">
      <w:pPr>
        <w:pStyle w:val="Heading3"/>
        <w:numPr>
          <w:ilvl w:val="6"/>
          <w:numId w:val="5"/>
        </w:numPr>
        <w:tabs>
          <w:tab w:val="num" w:pos="5040"/>
        </w:tabs>
        <w:ind w:left="709" w:hanging="709"/>
      </w:pPr>
      <w:r>
        <w:lastRenderedPageBreak/>
        <w:t>Departmental agency results</w:t>
      </w:r>
    </w:p>
    <w:p w14:paraId="2F98283B" w14:textId="77777777" w:rsidR="009E5930" w:rsidRDefault="009E5930" w:rsidP="009E5930">
      <w:pPr>
        <w:pStyle w:val="Heading4"/>
      </w:pPr>
      <w:r>
        <w:t>Te Aho o Te Kahu – Cancer Control Agency</w:t>
      </w:r>
    </w:p>
    <w:p w14:paraId="369CDFD6" w14:textId="4FBF2EA0" w:rsidR="009E5930" w:rsidRDefault="009E5930" w:rsidP="009E5930">
      <w:r>
        <w:t>On 28 August 2019, Cabinet approved the establishment of Te Aho o Te Kahu – Cancer Control Agency as a departmental agency hosted by the Ministry.</w:t>
      </w:r>
    </w:p>
    <w:p w14:paraId="746CA130" w14:textId="77777777" w:rsidR="009E5930" w:rsidRDefault="009E5930" w:rsidP="009E5930"/>
    <w:p w14:paraId="3B43D94D" w14:textId="0670B251" w:rsidR="009E5930" w:rsidRDefault="009E5930" w:rsidP="009E5930">
      <w:r>
        <w:t>The Order in Council also named Te Aho o Te Kahu as a departmental agency within the Ministry under Schedule 1A of the then State Sector Act 1988 with effect from 1 December 2019.</w:t>
      </w:r>
    </w:p>
    <w:p w14:paraId="2C7574EA" w14:textId="77777777" w:rsidR="009E5930" w:rsidRDefault="009E5930" w:rsidP="009E5930"/>
    <w:p w14:paraId="34F44088" w14:textId="31130448" w:rsidR="009E5930" w:rsidRDefault="009E5930" w:rsidP="009E5930">
      <w:r>
        <w:t>The nature of this arrangement means while the agency is a separate departmental operating unit within the Ministry, it is functionally independent, with separate ministerial reporting lines and its own Chief Executive. The Ministry’s financial statements include the operations of Te Aho o Te Kahu.</w:t>
      </w:r>
    </w:p>
    <w:p w14:paraId="41981EBD" w14:textId="77777777" w:rsidR="009E5930" w:rsidRDefault="009E5930" w:rsidP="009E5930"/>
    <w:p w14:paraId="195C67EB" w14:textId="03E017AC" w:rsidR="009E5930" w:rsidRDefault="009E5930" w:rsidP="009E5930">
      <w:r>
        <w:t>Te Aho o Te Kahu is funded within Vote Health baselines.</w:t>
      </w:r>
    </w:p>
    <w:p w14:paraId="46F8E140" w14:textId="77777777" w:rsidR="009E5930" w:rsidRDefault="009E5930" w:rsidP="009E5930"/>
    <w:p w14:paraId="2E980A35" w14:textId="3C5EC2A7" w:rsidR="009E5930" w:rsidRDefault="009E5930" w:rsidP="009E5930">
      <w:r>
        <w:t>In summary, the financial performance of Te Aho o Te Kahu for the year ended 30 June 2024 was as follows:</w:t>
      </w:r>
    </w:p>
    <w:p w14:paraId="1A5E44B5" w14:textId="77777777" w:rsidR="009E5930" w:rsidRDefault="009E5930" w:rsidP="009E5930"/>
    <w:tbl>
      <w:tblPr>
        <w:tblW w:w="8250" w:type="dxa"/>
        <w:tblLayout w:type="fixed"/>
        <w:tblCellMar>
          <w:left w:w="0" w:type="dxa"/>
          <w:right w:w="0" w:type="dxa"/>
        </w:tblCellMar>
        <w:tblLook w:val="01E0" w:firstRow="1" w:lastRow="1" w:firstColumn="1" w:lastColumn="1" w:noHBand="0" w:noVBand="0"/>
      </w:tblPr>
      <w:tblGrid>
        <w:gridCol w:w="1275"/>
        <w:gridCol w:w="4961"/>
        <w:gridCol w:w="2014"/>
      </w:tblGrid>
      <w:tr w:rsidR="009E5930" w14:paraId="30E4592A" w14:textId="77777777" w:rsidTr="009E5930">
        <w:trPr>
          <w:trHeight w:val="784"/>
        </w:trPr>
        <w:tc>
          <w:tcPr>
            <w:tcW w:w="1275" w:type="dxa"/>
            <w:shd w:val="clear" w:color="auto" w:fill="D9D9D9" w:themeFill="background1" w:themeFillShade="D9"/>
            <w:hideMark/>
          </w:tcPr>
          <w:p w14:paraId="63AE145C" w14:textId="77777777" w:rsidR="009E5930" w:rsidRDefault="009E5930">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 xml:space="preserve">Actual </w:t>
            </w:r>
          </w:p>
          <w:p w14:paraId="28500BD4" w14:textId="69AF38C2" w:rsidR="009E5930" w:rsidRDefault="009E5930">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2023</w:t>
            </w:r>
          </w:p>
          <w:p w14:paraId="21E287E7" w14:textId="77777777" w:rsidR="009E5930" w:rsidRDefault="009E5930">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4961" w:type="dxa"/>
            <w:shd w:val="clear" w:color="auto" w:fill="D9D9D9" w:themeFill="background1" w:themeFillShade="D9"/>
          </w:tcPr>
          <w:p w14:paraId="0A847220" w14:textId="77777777" w:rsidR="009E5930" w:rsidRDefault="009E5930">
            <w:pPr>
              <w:pStyle w:val="TableParagraph"/>
              <w:rPr>
                <w:rFonts w:ascii="Times New Roman"/>
                <w:b/>
                <w:bCs/>
                <w:sz w:val="18"/>
              </w:rPr>
            </w:pPr>
          </w:p>
        </w:tc>
        <w:tc>
          <w:tcPr>
            <w:tcW w:w="2014" w:type="dxa"/>
            <w:shd w:val="clear" w:color="auto" w:fill="D9D9D9" w:themeFill="background1" w:themeFillShade="D9"/>
            <w:hideMark/>
          </w:tcPr>
          <w:p w14:paraId="161AFADD" w14:textId="77777777"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 xml:space="preserve">Actual </w:t>
            </w:r>
          </w:p>
          <w:p w14:paraId="24169D78" w14:textId="5631B074"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12A3CC61" w14:textId="77777777"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r>
      <w:tr w:rsidR="009E5930" w14:paraId="2C976951" w14:textId="77777777" w:rsidTr="009E5930">
        <w:trPr>
          <w:trHeight w:val="354"/>
        </w:trPr>
        <w:tc>
          <w:tcPr>
            <w:tcW w:w="1275" w:type="dxa"/>
          </w:tcPr>
          <w:p w14:paraId="433D7560" w14:textId="77777777" w:rsidR="009E5930" w:rsidRDefault="009E5930">
            <w:pPr>
              <w:pStyle w:val="TableParagraph"/>
              <w:spacing w:before="60" w:after="60"/>
              <w:ind w:left="-42" w:right="170" w:firstLine="99"/>
              <w:jc w:val="right"/>
              <w:rPr>
                <w:rFonts w:ascii="Segoe UI" w:hAnsi="Segoe UI" w:cs="Segoe UI"/>
                <w:b/>
                <w:bCs/>
                <w:sz w:val="16"/>
                <w:szCs w:val="16"/>
              </w:rPr>
            </w:pPr>
          </w:p>
        </w:tc>
        <w:tc>
          <w:tcPr>
            <w:tcW w:w="4961" w:type="dxa"/>
            <w:hideMark/>
          </w:tcPr>
          <w:p w14:paraId="27CCCAE7" w14:textId="77777777" w:rsidR="009E5930" w:rsidRDefault="009E5930">
            <w:pPr>
              <w:pStyle w:val="TableParagraph"/>
              <w:spacing w:before="60" w:after="60"/>
              <w:ind w:left="66" w:hanging="5"/>
              <w:rPr>
                <w:rFonts w:ascii="Segoe UI" w:hAnsi="Segoe UI" w:cs="Segoe UI"/>
                <w:b/>
                <w:bCs/>
                <w:w w:val="105"/>
                <w:sz w:val="16"/>
                <w:szCs w:val="16"/>
              </w:rPr>
            </w:pPr>
            <w:r>
              <w:rPr>
                <w:rFonts w:ascii="Segoe UI" w:hAnsi="Segoe UI" w:cs="Segoe UI"/>
                <w:b/>
                <w:bCs/>
                <w:w w:val="105"/>
                <w:sz w:val="16"/>
                <w:szCs w:val="16"/>
              </w:rPr>
              <w:t>Departmental activities</w:t>
            </w:r>
          </w:p>
        </w:tc>
        <w:tc>
          <w:tcPr>
            <w:tcW w:w="2014" w:type="dxa"/>
          </w:tcPr>
          <w:p w14:paraId="7690D063" w14:textId="77777777" w:rsidR="009E5930" w:rsidRDefault="009E5930">
            <w:pPr>
              <w:pStyle w:val="TableParagraph"/>
              <w:spacing w:before="60" w:after="60"/>
              <w:ind w:left="-42" w:right="152" w:firstLine="99"/>
              <w:jc w:val="right"/>
              <w:rPr>
                <w:rFonts w:ascii="Segoe UI" w:hAnsi="Segoe UI" w:cs="Segoe UI"/>
                <w:b/>
                <w:bCs/>
                <w:w w:val="110"/>
                <w:sz w:val="16"/>
                <w:szCs w:val="16"/>
              </w:rPr>
            </w:pPr>
          </w:p>
        </w:tc>
      </w:tr>
      <w:tr w:rsidR="009E5930" w14:paraId="6E99AA80" w14:textId="77777777" w:rsidTr="009E5930">
        <w:trPr>
          <w:trHeight w:val="348"/>
        </w:trPr>
        <w:tc>
          <w:tcPr>
            <w:tcW w:w="1275" w:type="dxa"/>
            <w:tcBorders>
              <w:top w:val="nil"/>
              <w:left w:val="nil"/>
              <w:bottom w:val="single" w:sz="4" w:space="0" w:color="BFBFBF" w:themeColor="background1" w:themeShade="BF"/>
              <w:right w:val="nil"/>
            </w:tcBorders>
            <w:hideMark/>
          </w:tcPr>
          <w:p w14:paraId="47B00BF0" w14:textId="4268FF25" w:rsidR="009E5930" w:rsidRDefault="009E5930" w:rsidP="009E5930">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15,541</w:t>
            </w:r>
          </w:p>
        </w:tc>
        <w:tc>
          <w:tcPr>
            <w:tcW w:w="4961" w:type="dxa"/>
            <w:tcBorders>
              <w:top w:val="nil"/>
              <w:left w:val="nil"/>
              <w:bottom w:val="single" w:sz="4" w:space="0" w:color="BFBFBF" w:themeColor="background1" w:themeShade="BF"/>
              <w:right w:val="nil"/>
            </w:tcBorders>
          </w:tcPr>
          <w:p w14:paraId="47C6C2EA" w14:textId="4BE6BD91" w:rsidR="009E5930" w:rsidRPr="009E5930" w:rsidRDefault="009E5930" w:rsidP="009E5930">
            <w:pPr>
              <w:pStyle w:val="TableParagraph"/>
              <w:spacing w:before="60" w:after="60"/>
              <w:ind w:left="66" w:hanging="5"/>
              <w:rPr>
                <w:rFonts w:ascii="Segoe UI" w:hAnsi="Segoe UI" w:cs="Segoe UI"/>
                <w:w w:val="105"/>
                <w:sz w:val="16"/>
                <w:szCs w:val="16"/>
              </w:rPr>
            </w:pPr>
            <w:r w:rsidRPr="009E5930">
              <w:rPr>
                <w:rFonts w:ascii="Segoe UI" w:hAnsi="Segoe UI" w:cs="Segoe UI"/>
                <w:w w:val="105"/>
                <w:sz w:val="16"/>
                <w:szCs w:val="16"/>
              </w:rPr>
              <w:t>Revenue</w:t>
            </w:r>
          </w:p>
        </w:tc>
        <w:tc>
          <w:tcPr>
            <w:tcW w:w="2014" w:type="dxa"/>
            <w:tcBorders>
              <w:top w:val="nil"/>
              <w:left w:val="nil"/>
              <w:bottom w:val="single" w:sz="4" w:space="0" w:color="BFBFBF" w:themeColor="background1" w:themeShade="BF"/>
              <w:right w:val="nil"/>
            </w:tcBorders>
            <w:hideMark/>
          </w:tcPr>
          <w:p w14:paraId="2F3064D9" w14:textId="19527DDB" w:rsidR="009E5930" w:rsidRDefault="009E5930" w:rsidP="009E5930">
            <w:pPr>
              <w:pStyle w:val="TableParagraph"/>
              <w:spacing w:before="60" w:after="60"/>
              <w:ind w:left="-42" w:right="170" w:firstLine="99"/>
              <w:jc w:val="right"/>
              <w:rPr>
                <w:rFonts w:ascii="Segoe UI" w:hAnsi="Segoe UI" w:cs="Segoe UI"/>
                <w:w w:val="110"/>
                <w:sz w:val="16"/>
                <w:szCs w:val="16"/>
              </w:rPr>
            </w:pPr>
            <w:r w:rsidRPr="009E5930">
              <w:rPr>
                <w:rFonts w:ascii="Segoe UI" w:hAnsi="Segoe UI" w:cs="Segoe UI"/>
                <w:w w:val="110"/>
                <w:sz w:val="16"/>
                <w:szCs w:val="16"/>
              </w:rPr>
              <w:t>14,509</w:t>
            </w:r>
          </w:p>
        </w:tc>
      </w:tr>
      <w:tr w:rsidR="009E5930" w:rsidRPr="009E5930" w14:paraId="29FD17CB" w14:textId="77777777" w:rsidTr="009E5930">
        <w:trPr>
          <w:trHeight w:val="344"/>
        </w:trPr>
        <w:tc>
          <w:tcPr>
            <w:tcW w:w="1275" w:type="dxa"/>
            <w:tcBorders>
              <w:top w:val="single" w:sz="4" w:space="0" w:color="BFBFBF" w:themeColor="background1" w:themeShade="BF"/>
              <w:left w:val="nil"/>
              <w:bottom w:val="single" w:sz="4" w:space="0" w:color="BFBFBF" w:themeColor="background1" w:themeShade="BF"/>
              <w:right w:val="nil"/>
            </w:tcBorders>
            <w:hideMark/>
          </w:tcPr>
          <w:p w14:paraId="182EF041" w14:textId="17436F24" w:rsidR="009E5930" w:rsidRPr="009E5930" w:rsidRDefault="009E5930" w:rsidP="009E5930">
            <w:pPr>
              <w:pStyle w:val="TableParagraph"/>
              <w:spacing w:before="60" w:after="60"/>
              <w:ind w:left="-42" w:right="170" w:firstLine="99"/>
              <w:jc w:val="right"/>
              <w:rPr>
                <w:rFonts w:ascii="Segoe UI" w:hAnsi="Segoe UI" w:cs="Segoe UI"/>
                <w:b/>
                <w:bCs/>
                <w:sz w:val="16"/>
                <w:szCs w:val="16"/>
              </w:rPr>
            </w:pPr>
            <w:r w:rsidRPr="009E5930">
              <w:rPr>
                <w:rFonts w:ascii="Segoe UI" w:hAnsi="Segoe UI" w:cs="Segoe UI"/>
                <w:b/>
                <w:bCs/>
                <w:w w:val="110"/>
                <w:sz w:val="16"/>
                <w:szCs w:val="16"/>
              </w:rPr>
              <w:t>15,541</w:t>
            </w:r>
          </w:p>
        </w:tc>
        <w:tc>
          <w:tcPr>
            <w:tcW w:w="4961" w:type="dxa"/>
            <w:tcBorders>
              <w:top w:val="single" w:sz="4" w:space="0" w:color="BFBFBF" w:themeColor="background1" w:themeShade="BF"/>
              <w:left w:val="nil"/>
              <w:bottom w:val="single" w:sz="4" w:space="0" w:color="BFBFBF" w:themeColor="background1" w:themeShade="BF"/>
              <w:right w:val="nil"/>
            </w:tcBorders>
          </w:tcPr>
          <w:p w14:paraId="5BC3BBE9" w14:textId="6E035304" w:rsidR="009E5930" w:rsidRPr="009E5930" w:rsidRDefault="009E5930" w:rsidP="009E5930">
            <w:pPr>
              <w:pStyle w:val="TableParagraph"/>
              <w:spacing w:before="60" w:after="60"/>
              <w:ind w:left="66" w:hanging="5"/>
              <w:rPr>
                <w:rFonts w:ascii="Segoe UI" w:hAnsi="Segoe UI" w:cs="Segoe UI"/>
                <w:b/>
                <w:bCs/>
                <w:w w:val="105"/>
                <w:sz w:val="16"/>
                <w:szCs w:val="16"/>
              </w:rPr>
            </w:pPr>
            <w:r w:rsidRPr="009E5930">
              <w:rPr>
                <w:rFonts w:ascii="Segoe UI" w:hAnsi="Segoe UI" w:cs="Segoe UI"/>
                <w:b/>
                <w:bCs/>
                <w:w w:val="105"/>
                <w:sz w:val="16"/>
                <w:szCs w:val="16"/>
              </w:rPr>
              <w:t>Revenue Crown</w:t>
            </w:r>
          </w:p>
        </w:tc>
        <w:tc>
          <w:tcPr>
            <w:tcW w:w="2014" w:type="dxa"/>
            <w:tcBorders>
              <w:top w:val="single" w:sz="4" w:space="0" w:color="BFBFBF" w:themeColor="background1" w:themeShade="BF"/>
              <w:left w:val="nil"/>
              <w:bottom w:val="single" w:sz="4" w:space="0" w:color="BFBFBF" w:themeColor="background1" w:themeShade="BF"/>
              <w:right w:val="nil"/>
            </w:tcBorders>
            <w:hideMark/>
          </w:tcPr>
          <w:p w14:paraId="7F0CD2BA" w14:textId="48205868" w:rsidR="009E5930" w:rsidRPr="009E5930" w:rsidRDefault="009E5930" w:rsidP="009E5930">
            <w:pPr>
              <w:pStyle w:val="TableParagraph"/>
              <w:spacing w:before="60" w:after="60"/>
              <w:ind w:left="-42" w:right="170" w:firstLine="99"/>
              <w:jc w:val="right"/>
              <w:rPr>
                <w:rFonts w:ascii="Segoe UI" w:hAnsi="Segoe UI" w:cs="Segoe UI"/>
                <w:b/>
                <w:bCs/>
                <w:w w:val="110"/>
                <w:sz w:val="16"/>
                <w:szCs w:val="16"/>
              </w:rPr>
            </w:pPr>
            <w:r w:rsidRPr="009E5930">
              <w:rPr>
                <w:rFonts w:ascii="Segoe UI" w:hAnsi="Segoe UI" w:cs="Segoe UI"/>
                <w:b/>
                <w:bCs/>
                <w:w w:val="110"/>
                <w:sz w:val="16"/>
                <w:szCs w:val="16"/>
              </w:rPr>
              <w:t>14,509</w:t>
            </w:r>
          </w:p>
        </w:tc>
      </w:tr>
      <w:tr w:rsidR="009E5930" w:rsidRPr="009E5930" w14:paraId="3C1A3ABB" w14:textId="77777777" w:rsidTr="009E5930">
        <w:trPr>
          <w:trHeight w:val="354"/>
        </w:trPr>
        <w:tc>
          <w:tcPr>
            <w:tcW w:w="1275" w:type="dxa"/>
            <w:tcBorders>
              <w:top w:val="single" w:sz="4" w:space="0" w:color="BFBFBF" w:themeColor="background1" w:themeShade="BF"/>
              <w:left w:val="nil"/>
              <w:bottom w:val="nil"/>
              <w:right w:val="nil"/>
            </w:tcBorders>
          </w:tcPr>
          <w:p w14:paraId="6D8681B6" w14:textId="77777777" w:rsidR="009E5930" w:rsidRPr="009E5930" w:rsidRDefault="009E5930" w:rsidP="009E5930">
            <w:pPr>
              <w:pStyle w:val="TableParagraph"/>
              <w:spacing w:before="60" w:after="60"/>
              <w:ind w:left="-42" w:right="170" w:firstLine="99"/>
              <w:jc w:val="right"/>
              <w:rPr>
                <w:rFonts w:ascii="Segoe UI" w:hAnsi="Segoe UI" w:cs="Segoe UI"/>
                <w:b/>
                <w:bCs/>
                <w:sz w:val="16"/>
                <w:szCs w:val="16"/>
              </w:rPr>
            </w:pPr>
          </w:p>
        </w:tc>
        <w:tc>
          <w:tcPr>
            <w:tcW w:w="4961" w:type="dxa"/>
            <w:tcBorders>
              <w:top w:val="single" w:sz="4" w:space="0" w:color="BFBFBF" w:themeColor="background1" w:themeShade="BF"/>
              <w:left w:val="nil"/>
              <w:bottom w:val="nil"/>
              <w:right w:val="nil"/>
            </w:tcBorders>
          </w:tcPr>
          <w:p w14:paraId="5C2B2172" w14:textId="1094BD83" w:rsidR="009E5930" w:rsidRPr="009E5930" w:rsidRDefault="009E5930" w:rsidP="009E5930">
            <w:pPr>
              <w:pStyle w:val="TableParagraph"/>
              <w:spacing w:before="60" w:after="60"/>
              <w:ind w:left="66" w:hanging="5"/>
              <w:rPr>
                <w:rFonts w:ascii="Segoe UI" w:hAnsi="Segoe UI" w:cs="Segoe UI"/>
                <w:b/>
                <w:bCs/>
                <w:w w:val="105"/>
                <w:sz w:val="16"/>
                <w:szCs w:val="16"/>
              </w:rPr>
            </w:pPr>
            <w:r w:rsidRPr="009E5930">
              <w:rPr>
                <w:rFonts w:ascii="Segoe UI" w:hAnsi="Segoe UI" w:cs="Segoe UI"/>
                <w:b/>
                <w:bCs/>
                <w:w w:val="105"/>
                <w:sz w:val="16"/>
                <w:szCs w:val="16"/>
              </w:rPr>
              <w:t>Expenses</w:t>
            </w:r>
          </w:p>
        </w:tc>
        <w:tc>
          <w:tcPr>
            <w:tcW w:w="2014" w:type="dxa"/>
            <w:tcBorders>
              <w:top w:val="single" w:sz="4" w:space="0" w:color="BFBFBF" w:themeColor="background1" w:themeShade="BF"/>
              <w:left w:val="nil"/>
              <w:bottom w:val="nil"/>
              <w:right w:val="nil"/>
            </w:tcBorders>
          </w:tcPr>
          <w:p w14:paraId="7DAEF5D7" w14:textId="77777777" w:rsidR="009E5930" w:rsidRPr="009E5930" w:rsidRDefault="009E5930" w:rsidP="009E5930">
            <w:pPr>
              <w:pStyle w:val="TableParagraph"/>
              <w:spacing w:before="60" w:after="60"/>
              <w:ind w:left="-42" w:right="170" w:firstLine="99"/>
              <w:jc w:val="right"/>
              <w:rPr>
                <w:rFonts w:ascii="Segoe UI" w:hAnsi="Segoe UI" w:cs="Segoe UI"/>
                <w:b/>
                <w:bCs/>
                <w:w w:val="110"/>
                <w:sz w:val="16"/>
                <w:szCs w:val="16"/>
              </w:rPr>
            </w:pPr>
          </w:p>
        </w:tc>
      </w:tr>
      <w:tr w:rsidR="009E5930" w14:paraId="7CB47D9B" w14:textId="77777777" w:rsidTr="009E5930">
        <w:trPr>
          <w:trHeight w:val="359"/>
        </w:trPr>
        <w:tc>
          <w:tcPr>
            <w:tcW w:w="1275" w:type="dxa"/>
            <w:hideMark/>
          </w:tcPr>
          <w:p w14:paraId="554BFB10" w14:textId="7D04C572" w:rsidR="009E5930" w:rsidRDefault="009E5930" w:rsidP="009E5930">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8,121</w:t>
            </w:r>
          </w:p>
        </w:tc>
        <w:tc>
          <w:tcPr>
            <w:tcW w:w="4961" w:type="dxa"/>
          </w:tcPr>
          <w:p w14:paraId="5EEB7A90" w14:textId="35370436" w:rsidR="009E5930" w:rsidRPr="009E5930" w:rsidRDefault="009E5930" w:rsidP="009E5930">
            <w:pPr>
              <w:pStyle w:val="TableParagraph"/>
              <w:spacing w:before="60" w:after="60"/>
              <w:ind w:left="66" w:hanging="5"/>
              <w:rPr>
                <w:rFonts w:ascii="Segoe UI" w:hAnsi="Segoe UI" w:cs="Segoe UI"/>
                <w:w w:val="105"/>
                <w:sz w:val="16"/>
                <w:szCs w:val="16"/>
              </w:rPr>
            </w:pPr>
            <w:r w:rsidRPr="009E5930">
              <w:rPr>
                <w:rFonts w:ascii="Segoe UI" w:hAnsi="Segoe UI" w:cs="Segoe UI"/>
                <w:w w:val="105"/>
                <w:sz w:val="16"/>
                <w:szCs w:val="16"/>
              </w:rPr>
              <w:t>Personnel costs</w:t>
            </w:r>
          </w:p>
        </w:tc>
        <w:tc>
          <w:tcPr>
            <w:tcW w:w="2014" w:type="dxa"/>
            <w:hideMark/>
          </w:tcPr>
          <w:p w14:paraId="0AC9D9C8" w14:textId="56BA9728" w:rsidR="009E5930" w:rsidRDefault="009E5930" w:rsidP="009E5930">
            <w:pPr>
              <w:pStyle w:val="TableParagraph"/>
              <w:spacing w:before="60" w:after="60"/>
              <w:ind w:left="-42" w:right="170" w:firstLine="99"/>
              <w:jc w:val="right"/>
              <w:rPr>
                <w:rFonts w:ascii="Segoe UI" w:hAnsi="Segoe UI" w:cs="Segoe UI"/>
                <w:w w:val="110"/>
                <w:sz w:val="16"/>
                <w:szCs w:val="16"/>
              </w:rPr>
            </w:pPr>
            <w:r w:rsidRPr="009E5930">
              <w:rPr>
                <w:rFonts w:ascii="Segoe UI" w:hAnsi="Segoe UI" w:cs="Segoe UI"/>
                <w:w w:val="110"/>
                <w:sz w:val="16"/>
                <w:szCs w:val="16"/>
              </w:rPr>
              <w:t>8,803</w:t>
            </w:r>
          </w:p>
        </w:tc>
      </w:tr>
      <w:tr w:rsidR="009E5930" w14:paraId="2BA54901" w14:textId="77777777" w:rsidTr="009E5930">
        <w:trPr>
          <w:trHeight w:val="348"/>
        </w:trPr>
        <w:tc>
          <w:tcPr>
            <w:tcW w:w="1275" w:type="dxa"/>
            <w:tcBorders>
              <w:top w:val="nil"/>
              <w:left w:val="nil"/>
              <w:bottom w:val="single" w:sz="4" w:space="0" w:color="BFBFBF" w:themeColor="background1" w:themeShade="BF"/>
              <w:right w:val="nil"/>
            </w:tcBorders>
            <w:hideMark/>
          </w:tcPr>
          <w:p w14:paraId="3343AD1A" w14:textId="150F50C5" w:rsidR="009E5930" w:rsidRDefault="009E5930" w:rsidP="009E5930">
            <w:pPr>
              <w:pStyle w:val="TableParagraph"/>
              <w:spacing w:before="60" w:after="60"/>
              <w:ind w:left="-42" w:right="170" w:firstLine="99"/>
              <w:jc w:val="right"/>
              <w:rPr>
                <w:rFonts w:ascii="Segoe UI" w:hAnsi="Segoe UI" w:cs="Segoe UI"/>
                <w:sz w:val="16"/>
                <w:szCs w:val="16"/>
              </w:rPr>
            </w:pPr>
            <w:r>
              <w:rPr>
                <w:rFonts w:ascii="Segoe UI" w:hAnsi="Segoe UI" w:cs="Segoe UI"/>
                <w:w w:val="110"/>
                <w:sz w:val="16"/>
                <w:szCs w:val="16"/>
              </w:rPr>
              <w:t>4,483</w:t>
            </w:r>
          </w:p>
        </w:tc>
        <w:tc>
          <w:tcPr>
            <w:tcW w:w="4961" w:type="dxa"/>
            <w:tcBorders>
              <w:top w:val="nil"/>
              <w:left w:val="nil"/>
              <w:bottom w:val="single" w:sz="4" w:space="0" w:color="BFBFBF" w:themeColor="background1" w:themeShade="BF"/>
              <w:right w:val="nil"/>
            </w:tcBorders>
          </w:tcPr>
          <w:p w14:paraId="465499C8" w14:textId="1AA9593F" w:rsidR="009E5930" w:rsidRPr="009E5930" w:rsidRDefault="009E5930" w:rsidP="009E5930">
            <w:pPr>
              <w:pStyle w:val="TableParagraph"/>
              <w:spacing w:before="60" w:after="60"/>
              <w:ind w:left="66" w:hanging="5"/>
              <w:rPr>
                <w:rFonts w:ascii="Segoe UI" w:hAnsi="Segoe UI" w:cs="Segoe UI"/>
                <w:w w:val="105"/>
                <w:sz w:val="16"/>
                <w:szCs w:val="16"/>
              </w:rPr>
            </w:pPr>
            <w:r w:rsidRPr="009E5930">
              <w:rPr>
                <w:rFonts w:ascii="Segoe UI" w:hAnsi="Segoe UI" w:cs="Segoe UI"/>
                <w:w w:val="105"/>
                <w:sz w:val="16"/>
                <w:szCs w:val="16"/>
              </w:rPr>
              <w:t>Other expenses</w:t>
            </w:r>
          </w:p>
        </w:tc>
        <w:tc>
          <w:tcPr>
            <w:tcW w:w="2014" w:type="dxa"/>
            <w:tcBorders>
              <w:top w:val="nil"/>
              <w:left w:val="nil"/>
              <w:bottom w:val="single" w:sz="4" w:space="0" w:color="BFBFBF" w:themeColor="background1" w:themeShade="BF"/>
              <w:right w:val="nil"/>
            </w:tcBorders>
            <w:hideMark/>
          </w:tcPr>
          <w:p w14:paraId="369C779B" w14:textId="434C2F29" w:rsidR="009E5930" w:rsidRDefault="009E5930" w:rsidP="009E5930">
            <w:pPr>
              <w:pStyle w:val="TableParagraph"/>
              <w:spacing w:before="60" w:after="60"/>
              <w:ind w:left="-42" w:right="170" w:firstLine="99"/>
              <w:jc w:val="right"/>
              <w:rPr>
                <w:rFonts w:ascii="Segoe UI" w:hAnsi="Segoe UI" w:cs="Segoe UI"/>
                <w:w w:val="110"/>
                <w:sz w:val="16"/>
                <w:szCs w:val="16"/>
              </w:rPr>
            </w:pPr>
            <w:r w:rsidRPr="009E5930">
              <w:rPr>
                <w:rFonts w:ascii="Segoe UI" w:hAnsi="Segoe UI" w:cs="Segoe UI"/>
                <w:w w:val="110"/>
                <w:sz w:val="16"/>
                <w:szCs w:val="16"/>
              </w:rPr>
              <w:t>3,855</w:t>
            </w:r>
          </w:p>
        </w:tc>
      </w:tr>
      <w:tr w:rsidR="009E5930" w:rsidRPr="009E5930" w14:paraId="2D601A56" w14:textId="77777777" w:rsidTr="009E5930">
        <w:trPr>
          <w:trHeight w:val="344"/>
        </w:trPr>
        <w:tc>
          <w:tcPr>
            <w:tcW w:w="1275" w:type="dxa"/>
            <w:tcBorders>
              <w:top w:val="single" w:sz="4" w:space="0" w:color="BFBFBF" w:themeColor="background1" w:themeShade="BF"/>
              <w:left w:val="nil"/>
              <w:bottom w:val="single" w:sz="4" w:space="0" w:color="BFBFBF" w:themeColor="background1" w:themeShade="BF"/>
              <w:right w:val="nil"/>
            </w:tcBorders>
            <w:hideMark/>
          </w:tcPr>
          <w:p w14:paraId="7EEE8114" w14:textId="45F690E6" w:rsidR="009E5930" w:rsidRPr="009E5930" w:rsidRDefault="009E5930" w:rsidP="009E5930">
            <w:pPr>
              <w:pStyle w:val="TableParagraph"/>
              <w:spacing w:before="60" w:after="60"/>
              <w:ind w:left="-42" w:right="170" w:firstLine="99"/>
              <w:jc w:val="right"/>
              <w:rPr>
                <w:rFonts w:ascii="Segoe UI" w:hAnsi="Segoe UI" w:cs="Segoe UI"/>
                <w:b/>
                <w:bCs/>
                <w:sz w:val="16"/>
                <w:szCs w:val="16"/>
              </w:rPr>
            </w:pPr>
            <w:r w:rsidRPr="009E5930">
              <w:rPr>
                <w:rFonts w:ascii="Segoe UI" w:hAnsi="Segoe UI" w:cs="Segoe UI"/>
                <w:b/>
                <w:bCs/>
                <w:w w:val="110"/>
                <w:sz w:val="16"/>
                <w:szCs w:val="16"/>
              </w:rPr>
              <w:t>12,604</w:t>
            </w:r>
          </w:p>
        </w:tc>
        <w:tc>
          <w:tcPr>
            <w:tcW w:w="4961" w:type="dxa"/>
            <w:tcBorders>
              <w:top w:val="single" w:sz="4" w:space="0" w:color="BFBFBF" w:themeColor="background1" w:themeShade="BF"/>
              <w:left w:val="nil"/>
              <w:bottom w:val="single" w:sz="4" w:space="0" w:color="BFBFBF" w:themeColor="background1" w:themeShade="BF"/>
              <w:right w:val="nil"/>
            </w:tcBorders>
          </w:tcPr>
          <w:p w14:paraId="1EDAD4AE" w14:textId="6DD18041" w:rsidR="009E5930" w:rsidRPr="009E5930" w:rsidRDefault="009E5930" w:rsidP="009E5930">
            <w:pPr>
              <w:pStyle w:val="TableParagraph"/>
              <w:spacing w:before="60" w:after="60"/>
              <w:ind w:left="66" w:hanging="5"/>
              <w:rPr>
                <w:rFonts w:ascii="Segoe UI" w:hAnsi="Segoe UI" w:cs="Segoe UI"/>
                <w:b/>
                <w:bCs/>
                <w:w w:val="105"/>
                <w:sz w:val="16"/>
                <w:szCs w:val="16"/>
              </w:rPr>
            </w:pPr>
            <w:r w:rsidRPr="009E5930">
              <w:rPr>
                <w:rFonts w:ascii="Segoe UI" w:hAnsi="Segoe UI" w:cs="Segoe UI"/>
                <w:b/>
                <w:bCs/>
                <w:w w:val="105"/>
                <w:sz w:val="16"/>
                <w:szCs w:val="16"/>
              </w:rPr>
              <w:t>Total expenses</w:t>
            </w:r>
          </w:p>
        </w:tc>
        <w:tc>
          <w:tcPr>
            <w:tcW w:w="2014" w:type="dxa"/>
            <w:tcBorders>
              <w:top w:val="single" w:sz="4" w:space="0" w:color="BFBFBF" w:themeColor="background1" w:themeShade="BF"/>
              <w:left w:val="nil"/>
              <w:bottom w:val="single" w:sz="4" w:space="0" w:color="BFBFBF" w:themeColor="background1" w:themeShade="BF"/>
              <w:right w:val="nil"/>
            </w:tcBorders>
            <w:hideMark/>
          </w:tcPr>
          <w:p w14:paraId="4C1DC6CA" w14:textId="6B9D1011" w:rsidR="009E5930" w:rsidRPr="009E5930" w:rsidRDefault="009E5930" w:rsidP="009E5930">
            <w:pPr>
              <w:pStyle w:val="TableParagraph"/>
              <w:spacing w:before="60" w:after="60"/>
              <w:ind w:left="-42" w:right="170" w:firstLine="99"/>
              <w:jc w:val="right"/>
              <w:rPr>
                <w:rFonts w:ascii="Segoe UI" w:hAnsi="Segoe UI" w:cs="Segoe UI"/>
                <w:b/>
                <w:bCs/>
                <w:w w:val="110"/>
                <w:sz w:val="16"/>
                <w:szCs w:val="16"/>
              </w:rPr>
            </w:pPr>
            <w:r w:rsidRPr="009E5930">
              <w:rPr>
                <w:rFonts w:ascii="Segoe UI" w:hAnsi="Segoe UI" w:cs="Segoe UI"/>
                <w:b/>
                <w:bCs/>
                <w:w w:val="110"/>
                <w:sz w:val="16"/>
                <w:szCs w:val="16"/>
              </w:rPr>
              <w:t>12,658</w:t>
            </w:r>
          </w:p>
        </w:tc>
      </w:tr>
      <w:tr w:rsidR="009E5930" w:rsidRPr="009E5930" w14:paraId="74A442CE" w14:textId="77777777" w:rsidTr="009E5930">
        <w:trPr>
          <w:trHeight w:val="344"/>
        </w:trPr>
        <w:tc>
          <w:tcPr>
            <w:tcW w:w="1275" w:type="dxa"/>
            <w:tcBorders>
              <w:top w:val="single" w:sz="4" w:space="0" w:color="BFBFBF" w:themeColor="background1" w:themeShade="BF"/>
              <w:left w:val="nil"/>
              <w:bottom w:val="single" w:sz="4" w:space="0" w:color="BFBFBF" w:themeColor="background1" w:themeShade="BF"/>
              <w:right w:val="nil"/>
            </w:tcBorders>
            <w:hideMark/>
          </w:tcPr>
          <w:p w14:paraId="5ADF1EBF" w14:textId="6972C344" w:rsidR="009E5930" w:rsidRPr="009E5930" w:rsidRDefault="009E5930" w:rsidP="009E5930">
            <w:pPr>
              <w:pStyle w:val="TableParagraph"/>
              <w:spacing w:before="60" w:after="60"/>
              <w:ind w:left="-42" w:right="170" w:firstLine="99"/>
              <w:jc w:val="right"/>
              <w:rPr>
                <w:rFonts w:ascii="Segoe UI" w:hAnsi="Segoe UI" w:cs="Segoe UI"/>
                <w:b/>
                <w:bCs/>
                <w:sz w:val="16"/>
                <w:szCs w:val="16"/>
              </w:rPr>
            </w:pPr>
            <w:r w:rsidRPr="009E5930">
              <w:rPr>
                <w:rFonts w:ascii="Segoe UI" w:hAnsi="Segoe UI" w:cs="Segoe UI"/>
                <w:b/>
                <w:bCs/>
                <w:w w:val="110"/>
                <w:sz w:val="16"/>
                <w:szCs w:val="16"/>
              </w:rPr>
              <w:t>2,937</w:t>
            </w:r>
          </w:p>
        </w:tc>
        <w:tc>
          <w:tcPr>
            <w:tcW w:w="4961" w:type="dxa"/>
            <w:tcBorders>
              <w:top w:val="single" w:sz="4" w:space="0" w:color="BFBFBF" w:themeColor="background1" w:themeShade="BF"/>
              <w:left w:val="nil"/>
              <w:bottom w:val="single" w:sz="4" w:space="0" w:color="BFBFBF" w:themeColor="background1" w:themeShade="BF"/>
              <w:right w:val="nil"/>
            </w:tcBorders>
          </w:tcPr>
          <w:p w14:paraId="3CAB667F" w14:textId="19322A90" w:rsidR="009E5930" w:rsidRPr="009E5930" w:rsidRDefault="009E5930" w:rsidP="009E5930">
            <w:pPr>
              <w:pStyle w:val="TableParagraph"/>
              <w:spacing w:before="60" w:after="60"/>
              <w:ind w:left="66" w:hanging="5"/>
              <w:rPr>
                <w:rFonts w:ascii="Segoe UI" w:hAnsi="Segoe UI" w:cs="Segoe UI"/>
                <w:b/>
                <w:bCs/>
                <w:w w:val="105"/>
                <w:sz w:val="16"/>
                <w:szCs w:val="16"/>
              </w:rPr>
            </w:pPr>
            <w:r w:rsidRPr="009E5930">
              <w:rPr>
                <w:rFonts w:ascii="Segoe UI" w:hAnsi="Segoe UI" w:cs="Segoe UI"/>
                <w:b/>
                <w:bCs/>
                <w:w w:val="105"/>
                <w:sz w:val="16"/>
                <w:szCs w:val="16"/>
              </w:rPr>
              <w:t>Net surplus/(deficit)</w:t>
            </w:r>
          </w:p>
        </w:tc>
        <w:tc>
          <w:tcPr>
            <w:tcW w:w="2014" w:type="dxa"/>
            <w:tcBorders>
              <w:top w:val="single" w:sz="4" w:space="0" w:color="BFBFBF" w:themeColor="background1" w:themeShade="BF"/>
              <w:left w:val="nil"/>
              <w:bottom w:val="single" w:sz="4" w:space="0" w:color="BFBFBF" w:themeColor="background1" w:themeShade="BF"/>
              <w:right w:val="nil"/>
            </w:tcBorders>
            <w:hideMark/>
          </w:tcPr>
          <w:p w14:paraId="1687D933" w14:textId="1F9F9E86" w:rsidR="009E5930" w:rsidRPr="009E5930" w:rsidRDefault="009E5930" w:rsidP="009E5930">
            <w:pPr>
              <w:pStyle w:val="TableParagraph"/>
              <w:spacing w:before="60" w:after="60"/>
              <w:ind w:left="-42" w:right="170" w:firstLine="99"/>
              <w:jc w:val="right"/>
              <w:rPr>
                <w:rFonts w:ascii="Segoe UI" w:hAnsi="Segoe UI" w:cs="Segoe UI"/>
                <w:b/>
                <w:bCs/>
                <w:w w:val="110"/>
                <w:sz w:val="16"/>
                <w:szCs w:val="16"/>
              </w:rPr>
            </w:pPr>
            <w:r w:rsidRPr="009E5930">
              <w:rPr>
                <w:rFonts w:ascii="Segoe UI" w:hAnsi="Segoe UI" w:cs="Segoe UI"/>
                <w:b/>
                <w:bCs/>
                <w:w w:val="110"/>
                <w:sz w:val="16"/>
                <w:szCs w:val="16"/>
              </w:rPr>
              <w:t>1,851</w:t>
            </w:r>
          </w:p>
        </w:tc>
      </w:tr>
    </w:tbl>
    <w:p w14:paraId="3156C4D7" w14:textId="478037C2" w:rsidR="009E5930" w:rsidRDefault="009E5930" w:rsidP="007123AC">
      <w:pPr>
        <w:pStyle w:val="Heading3"/>
        <w:numPr>
          <w:ilvl w:val="6"/>
          <w:numId w:val="5"/>
        </w:numPr>
        <w:tabs>
          <w:tab w:val="num" w:pos="5040"/>
        </w:tabs>
        <w:ind w:left="709" w:hanging="709"/>
      </w:pPr>
      <w:r>
        <w:t>Events after balance date</w:t>
      </w:r>
    </w:p>
    <w:p w14:paraId="08C1532B" w14:textId="77777777" w:rsidR="009E5930" w:rsidRDefault="009E5930" w:rsidP="009E5930">
      <w:r>
        <w:t>There were no significant events after the balance date.</w:t>
      </w:r>
    </w:p>
    <w:p w14:paraId="50FE5C75" w14:textId="77777777" w:rsidR="009E5930" w:rsidRDefault="009E5930" w:rsidP="009E5930"/>
    <w:p w14:paraId="7FECB9A2" w14:textId="77777777" w:rsidR="009E5930" w:rsidRDefault="009E5930" w:rsidP="009E5930"/>
    <w:p w14:paraId="3CF7B270" w14:textId="77777777" w:rsidR="009E5930" w:rsidRDefault="009E5930" w:rsidP="009E5930">
      <w:pPr>
        <w:sectPr w:rsidR="009E5930" w:rsidSect="000A3324">
          <w:pgSz w:w="11907" w:h="16840" w:code="9"/>
          <w:pgMar w:top="1418" w:right="1701" w:bottom="1134" w:left="1843" w:header="284" w:footer="425" w:gutter="284"/>
          <w:cols w:space="720"/>
        </w:sectPr>
      </w:pPr>
    </w:p>
    <w:p w14:paraId="0CCAEF80" w14:textId="77777777" w:rsidR="009E5930" w:rsidRDefault="009E5930" w:rsidP="009E5930">
      <w:pPr>
        <w:pStyle w:val="Heading2"/>
        <w:spacing w:before="0"/>
      </w:pPr>
      <w:bookmarkStart w:id="48" w:name="_Toc180077044"/>
      <w:r>
        <w:lastRenderedPageBreak/>
        <w:t>Non-departmental statements and schedules for the year ended 30 June 2024</w:t>
      </w:r>
      <w:bookmarkEnd w:id="48"/>
    </w:p>
    <w:p w14:paraId="6052AB9C" w14:textId="1AF8EB24" w:rsidR="009E5930" w:rsidRDefault="009E5930" w:rsidP="009E5930">
      <w:r>
        <w:t>The following non-departmental statements and schedules record the revenue, expenses, assets, liabilities, commitments, contingent liabilities, contingent assets, capital receipts and trust accounts that the Ministry manages on behalf of the Crown.</w:t>
      </w:r>
    </w:p>
    <w:p w14:paraId="5A617BAC" w14:textId="77777777" w:rsidR="009E5930" w:rsidRDefault="009E5930" w:rsidP="009E5930"/>
    <w:p w14:paraId="5E8E5CA8" w14:textId="7BE32B30" w:rsidR="009E5930" w:rsidRDefault="009E5930" w:rsidP="009E5930">
      <w:r>
        <w:t>The make-up of Vote Health for 2023/24 has seen one major change.</w:t>
      </w:r>
    </w:p>
    <w:p w14:paraId="54FCC77F" w14:textId="77777777" w:rsidR="009E5930" w:rsidRDefault="009E5930" w:rsidP="009E5930"/>
    <w:p w14:paraId="072DDADA" w14:textId="77777777" w:rsidR="009E5930" w:rsidRDefault="009E5930" w:rsidP="009E5930">
      <w:r>
        <w:t>Legislation was introduced to disestablish Te Aka Whai Ora effective from 30 June 2024. From 1 April 2024, almost all staff from Te Aka Whai Ora and their functions were transferred to Health New Zealand while a small number moved to the Ministry.</w:t>
      </w:r>
    </w:p>
    <w:p w14:paraId="5BD25946" w14:textId="77777777" w:rsidR="009E5930" w:rsidRDefault="009E5930" w:rsidP="009E5930"/>
    <w:p w14:paraId="36F7D694" w14:textId="77777777" w:rsidR="009E5930" w:rsidRDefault="009E5930" w:rsidP="009E5930"/>
    <w:p w14:paraId="7576DD3C" w14:textId="77777777" w:rsidR="009E5930" w:rsidRDefault="009E5930" w:rsidP="009E5930">
      <w:pPr>
        <w:sectPr w:rsidR="009E5930" w:rsidSect="000A3324">
          <w:pgSz w:w="11907" w:h="16840" w:code="9"/>
          <w:pgMar w:top="1418" w:right="1701" w:bottom="1134" w:left="1843" w:header="284" w:footer="425" w:gutter="284"/>
          <w:cols w:space="720"/>
        </w:sectPr>
      </w:pPr>
    </w:p>
    <w:p w14:paraId="1FB729A8" w14:textId="77777777" w:rsidR="009E5930" w:rsidRDefault="009E5930" w:rsidP="00386646">
      <w:pPr>
        <w:pStyle w:val="Heading3"/>
        <w:spacing w:before="0"/>
      </w:pPr>
      <w:r w:rsidRPr="009E5930">
        <w:lastRenderedPageBreak/>
        <w:t>Statement of non-departmental expenses for the year ended 30 June 2024</w:t>
      </w:r>
    </w:p>
    <w:tbl>
      <w:tblPr>
        <w:tblW w:w="9075" w:type="dxa"/>
        <w:tblLayout w:type="fixed"/>
        <w:tblCellMar>
          <w:left w:w="0" w:type="dxa"/>
          <w:right w:w="0" w:type="dxa"/>
        </w:tblCellMar>
        <w:tblLook w:val="01E0" w:firstRow="1" w:lastRow="1" w:firstColumn="1" w:lastColumn="1" w:noHBand="0" w:noVBand="0"/>
      </w:tblPr>
      <w:tblGrid>
        <w:gridCol w:w="1276"/>
        <w:gridCol w:w="3363"/>
        <w:gridCol w:w="664"/>
        <w:gridCol w:w="1239"/>
        <w:gridCol w:w="1287"/>
        <w:gridCol w:w="1246"/>
      </w:tblGrid>
      <w:tr w:rsidR="009E5930" w14:paraId="6C5F2C18" w14:textId="77777777" w:rsidTr="00C34E37">
        <w:trPr>
          <w:trHeight w:val="1004"/>
        </w:trPr>
        <w:tc>
          <w:tcPr>
            <w:tcW w:w="1276" w:type="dxa"/>
            <w:shd w:val="clear" w:color="auto" w:fill="D9D9D9" w:themeFill="background1" w:themeFillShade="D9"/>
            <w:hideMark/>
          </w:tcPr>
          <w:p w14:paraId="511C1BCC" w14:textId="77777777" w:rsidR="009E5930" w:rsidRDefault="009E5930">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Actual</w:t>
            </w:r>
            <w:r>
              <w:rPr>
                <w:rFonts w:ascii="Segoe UI" w:hAnsi="Segoe UI" w:cs="Segoe UI"/>
                <w:b/>
                <w:bCs/>
                <w:sz w:val="16"/>
                <w:szCs w:val="16"/>
              </w:rPr>
              <w:br/>
            </w:r>
          </w:p>
          <w:p w14:paraId="3E634D62" w14:textId="14548FEA" w:rsidR="009E5930" w:rsidRDefault="009E5930">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2023</w:t>
            </w:r>
          </w:p>
          <w:p w14:paraId="029C6E24" w14:textId="77777777" w:rsidR="009E5930" w:rsidRDefault="009E5930">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3363" w:type="dxa"/>
            <w:shd w:val="clear" w:color="auto" w:fill="D9D9D9" w:themeFill="background1" w:themeFillShade="D9"/>
          </w:tcPr>
          <w:p w14:paraId="4639FDC5" w14:textId="77777777" w:rsidR="009E5930" w:rsidRDefault="009E5930">
            <w:pPr>
              <w:pStyle w:val="TableParagraph"/>
              <w:spacing w:line="20" w:lineRule="exact"/>
              <w:ind w:left="3252"/>
              <w:rPr>
                <w:rFonts w:ascii="Century Gothic"/>
                <w:b/>
                <w:bCs/>
                <w:sz w:val="2"/>
              </w:rPr>
            </w:pPr>
          </w:p>
          <w:p w14:paraId="39C94C3B" w14:textId="77777777" w:rsidR="009E5930" w:rsidRDefault="009E5930">
            <w:pPr>
              <w:pStyle w:val="TableParagraph"/>
              <w:rPr>
                <w:rFonts w:ascii="Century Gothic"/>
                <w:b/>
                <w:bCs/>
                <w:sz w:val="20"/>
              </w:rPr>
            </w:pPr>
          </w:p>
          <w:p w14:paraId="7A7E3FDB" w14:textId="77777777" w:rsidR="009E5930" w:rsidRDefault="009E5930">
            <w:pPr>
              <w:pStyle w:val="TableParagraph"/>
              <w:rPr>
                <w:rFonts w:ascii="Century Gothic"/>
                <w:b/>
                <w:bCs/>
                <w:sz w:val="20"/>
              </w:rPr>
            </w:pPr>
          </w:p>
          <w:p w14:paraId="5864BF40" w14:textId="77777777" w:rsidR="009E5930" w:rsidRDefault="009E5930">
            <w:pPr>
              <w:pStyle w:val="TableParagraph"/>
              <w:rPr>
                <w:rFonts w:ascii="Century Gothic"/>
                <w:b/>
                <w:bCs/>
                <w:sz w:val="20"/>
              </w:rPr>
            </w:pPr>
          </w:p>
          <w:p w14:paraId="2C09DC7C" w14:textId="77777777" w:rsidR="009E5930" w:rsidRDefault="009E5930">
            <w:pPr>
              <w:pStyle w:val="TableParagraph"/>
              <w:tabs>
                <w:tab w:val="left" w:pos="3252"/>
              </w:tabs>
              <w:spacing w:line="20" w:lineRule="exact"/>
              <w:ind w:left="-8"/>
              <w:rPr>
                <w:rFonts w:ascii="Century Gothic"/>
                <w:b/>
                <w:bCs/>
                <w:sz w:val="2"/>
              </w:rPr>
            </w:pPr>
            <w:r>
              <w:rPr>
                <w:rFonts w:ascii="Century Gothic"/>
                <w:b/>
                <w:bCs/>
                <w:sz w:val="2"/>
              </w:rPr>
              <w:tab/>
            </w:r>
          </w:p>
        </w:tc>
        <w:tc>
          <w:tcPr>
            <w:tcW w:w="664" w:type="dxa"/>
            <w:shd w:val="clear" w:color="auto" w:fill="D9D9D9" w:themeFill="background1" w:themeFillShade="D9"/>
          </w:tcPr>
          <w:p w14:paraId="115C398C" w14:textId="77777777"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br/>
            </w:r>
          </w:p>
          <w:p w14:paraId="1A1861B0" w14:textId="77777777" w:rsidR="009E5930" w:rsidRDefault="009E5930">
            <w:pPr>
              <w:pStyle w:val="TableParagraph"/>
              <w:spacing w:before="60" w:after="60"/>
              <w:ind w:left="-42" w:right="152" w:firstLine="99"/>
              <w:jc w:val="right"/>
              <w:rPr>
                <w:rFonts w:ascii="Segoe UI" w:hAnsi="Segoe UI" w:cs="Segoe UI"/>
                <w:b/>
                <w:bCs/>
                <w:w w:val="110"/>
                <w:sz w:val="16"/>
                <w:szCs w:val="16"/>
              </w:rPr>
            </w:pPr>
          </w:p>
          <w:p w14:paraId="34686EC3" w14:textId="77777777"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Note</w:t>
            </w:r>
          </w:p>
        </w:tc>
        <w:tc>
          <w:tcPr>
            <w:tcW w:w="1239" w:type="dxa"/>
            <w:shd w:val="clear" w:color="auto" w:fill="D9D9D9" w:themeFill="background1" w:themeFillShade="D9"/>
            <w:hideMark/>
          </w:tcPr>
          <w:p w14:paraId="256DEFCE" w14:textId="77777777"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Actual</w:t>
            </w:r>
            <w:r>
              <w:rPr>
                <w:rFonts w:ascii="Segoe UI" w:hAnsi="Segoe UI" w:cs="Segoe UI"/>
                <w:b/>
                <w:bCs/>
                <w:w w:val="110"/>
                <w:sz w:val="16"/>
                <w:szCs w:val="16"/>
              </w:rPr>
              <w:br/>
            </w:r>
          </w:p>
          <w:p w14:paraId="059577D3" w14:textId="28241ABD"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52227FCA" w14:textId="77777777"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287" w:type="dxa"/>
            <w:shd w:val="clear" w:color="auto" w:fill="D9D9D9" w:themeFill="background1" w:themeFillShade="D9"/>
            <w:hideMark/>
          </w:tcPr>
          <w:p w14:paraId="108D53AF" w14:textId="77777777"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Unaudited</w:t>
            </w:r>
            <w:r>
              <w:rPr>
                <w:rFonts w:ascii="Segoe UI" w:hAnsi="Segoe UI" w:cs="Segoe UI"/>
                <w:b/>
                <w:bCs/>
                <w:w w:val="110"/>
                <w:sz w:val="16"/>
                <w:szCs w:val="16"/>
              </w:rPr>
              <w:br/>
              <w:t>budget</w:t>
            </w:r>
          </w:p>
          <w:p w14:paraId="18D01840" w14:textId="227B9BF9"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023F0128" w14:textId="77777777"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246" w:type="dxa"/>
            <w:shd w:val="clear" w:color="auto" w:fill="D9D9D9" w:themeFill="background1" w:themeFillShade="D9"/>
            <w:hideMark/>
          </w:tcPr>
          <w:p w14:paraId="461C0DF5" w14:textId="77777777"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Revised budget</w:t>
            </w:r>
          </w:p>
          <w:p w14:paraId="3D505336" w14:textId="662BFFBF"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4D951BFA" w14:textId="77777777" w:rsidR="009E5930" w:rsidRDefault="009E5930">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r>
      <w:tr w:rsidR="00C34E37" w14:paraId="18737866" w14:textId="77777777" w:rsidTr="00C34E37">
        <w:trPr>
          <w:trHeight w:val="20"/>
        </w:trPr>
        <w:tc>
          <w:tcPr>
            <w:tcW w:w="1276" w:type="dxa"/>
          </w:tcPr>
          <w:p w14:paraId="1A2B929A" w14:textId="1FCC040B" w:rsidR="00C34E37" w:rsidRP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22,179,880</w:t>
            </w:r>
          </w:p>
        </w:tc>
        <w:tc>
          <w:tcPr>
            <w:tcW w:w="3363" w:type="dxa"/>
          </w:tcPr>
          <w:p w14:paraId="14A3D76B" w14:textId="63FDC4E5" w:rsidR="00C34E37" w:rsidRDefault="00C34E37" w:rsidP="00C34E37">
            <w:pPr>
              <w:pStyle w:val="TableParagraph"/>
              <w:spacing w:before="50" w:after="50"/>
              <w:ind w:left="66" w:hanging="5"/>
              <w:rPr>
                <w:rFonts w:ascii="Segoe UI" w:hAnsi="Segoe UI" w:cs="Segoe UI"/>
                <w:w w:val="105"/>
                <w:sz w:val="16"/>
                <w:szCs w:val="16"/>
              </w:rPr>
            </w:pPr>
            <w:r w:rsidRPr="00C34E37">
              <w:rPr>
                <w:rFonts w:ascii="Segoe UI" w:hAnsi="Segoe UI" w:cs="Segoe UI"/>
                <w:w w:val="105"/>
                <w:sz w:val="16"/>
                <w:szCs w:val="16"/>
              </w:rPr>
              <w:t>Services from Health New Zealand</w:t>
            </w:r>
          </w:p>
        </w:tc>
        <w:tc>
          <w:tcPr>
            <w:tcW w:w="664" w:type="dxa"/>
          </w:tcPr>
          <w:p w14:paraId="6C8BE38F" w14:textId="35AF9D26"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2.1</w:t>
            </w:r>
          </w:p>
        </w:tc>
        <w:tc>
          <w:tcPr>
            <w:tcW w:w="1239" w:type="dxa"/>
          </w:tcPr>
          <w:p w14:paraId="4DA5CDEC" w14:textId="15860F1A"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23,485,461</w:t>
            </w:r>
          </w:p>
        </w:tc>
        <w:tc>
          <w:tcPr>
            <w:tcW w:w="1287" w:type="dxa"/>
          </w:tcPr>
          <w:p w14:paraId="6CD9C301" w14:textId="52FE1955"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22,223,014</w:t>
            </w:r>
          </w:p>
        </w:tc>
        <w:tc>
          <w:tcPr>
            <w:tcW w:w="1246" w:type="dxa"/>
          </w:tcPr>
          <w:p w14:paraId="791AE942" w14:textId="791EB741"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23,387,209</w:t>
            </w:r>
          </w:p>
        </w:tc>
      </w:tr>
      <w:tr w:rsidR="00C34E37" w14:paraId="451D11B5" w14:textId="77777777" w:rsidTr="00C34E37">
        <w:trPr>
          <w:trHeight w:val="20"/>
        </w:trPr>
        <w:tc>
          <w:tcPr>
            <w:tcW w:w="1276" w:type="dxa"/>
          </w:tcPr>
          <w:p w14:paraId="20DE986E" w14:textId="70C3E8F8" w:rsidR="00C34E37" w:rsidRP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573,647</w:t>
            </w:r>
          </w:p>
        </w:tc>
        <w:tc>
          <w:tcPr>
            <w:tcW w:w="3363" w:type="dxa"/>
          </w:tcPr>
          <w:p w14:paraId="168A705B" w14:textId="19776ED8" w:rsidR="00C34E37" w:rsidRDefault="00C34E37" w:rsidP="00C34E37">
            <w:pPr>
              <w:pStyle w:val="TableParagraph"/>
              <w:spacing w:before="50" w:after="50"/>
              <w:ind w:left="66" w:hanging="5"/>
              <w:rPr>
                <w:rFonts w:ascii="Segoe UI" w:hAnsi="Segoe UI" w:cs="Segoe UI"/>
                <w:w w:val="105"/>
                <w:sz w:val="16"/>
                <w:szCs w:val="16"/>
              </w:rPr>
            </w:pPr>
            <w:r w:rsidRPr="00C34E37">
              <w:rPr>
                <w:rFonts w:ascii="Segoe UI" w:hAnsi="Segoe UI" w:cs="Segoe UI"/>
                <w:w w:val="105"/>
                <w:sz w:val="16"/>
                <w:szCs w:val="16"/>
              </w:rPr>
              <w:t>Services from Te Aka Whai Ora</w:t>
            </w:r>
          </w:p>
        </w:tc>
        <w:tc>
          <w:tcPr>
            <w:tcW w:w="664" w:type="dxa"/>
          </w:tcPr>
          <w:p w14:paraId="580515F8" w14:textId="2D2C7FAA"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2.2</w:t>
            </w:r>
          </w:p>
        </w:tc>
        <w:tc>
          <w:tcPr>
            <w:tcW w:w="1239" w:type="dxa"/>
          </w:tcPr>
          <w:p w14:paraId="5628ACCD" w14:textId="2A692F9A"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535,681</w:t>
            </w:r>
          </w:p>
        </w:tc>
        <w:tc>
          <w:tcPr>
            <w:tcW w:w="1287" w:type="dxa"/>
          </w:tcPr>
          <w:p w14:paraId="717A08EA" w14:textId="2053EB82"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687,899</w:t>
            </w:r>
          </w:p>
        </w:tc>
        <w:tc>
          <w:tcPr>
            <w:tcW w:w="1246" w:type="dxa"/>
          </w:tcPr>
          <w:p w14:paraId="71B4EE0B" w14:textId="4E7E956B"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710,114</w:t>
            </w:r>
          </w:p>
        </w:tc>
      </w:tr>
      <w:tr w:rsidR="00C34E37" w14:paraId="34096983" w14:textId="77777777" w:rsidTr="00C34E37">
        <w:trPr>
          <w:trHeight w:val="20"/>
        </w:trPr>
        <w:tc>
          <w:tcPr>
            <w:tcW w:w="1276" w:type="dxa"/>
          </w:tcPr>
          <w:p w14:paraId="073D3462" w14:textId="26CD5D2B" w:rsidR="00C34E37" w:rsidRP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1,610,597</w:t>
            </w:r>
          </w:p>
        </w:tc>
        <w:tc>
          <w:tcPr>
            <w:tcW w:w="3363" w:type="dxa"/>
          </w:tcPr>
          <w:p w14:paraId="520F4F18" w14:textId="15E40C4B" w:rsidR="00C34E37" w:rsidRDefault="00C34E37" w:rsidP="00C34E37">
            <w:pPr>
              <w:pStyle w:val="TableParagraph"/>
              <w:spacing w:before="50" w:after="50"/>
              <w:ind w:left="66" w:hanging="5"/>
              <w:rPr>
                <w:rFonts w:ascii="Segoe UI" w:hAnsi="Segoe UI" w:cs="Segoe UI"/>
                <w:w w:val="105"/>
                <w:sz w:val="16"/>
                <w:szCs w:val="16"/>
              </w:rPr>
            </w:pPr>
            <w:r w:rsidRPr="00C34E37">
              <w:rPr>
                <w:rFonts w:ascii="Segoe UI" w:hAnsi="Segoe UI" w:cs="Segoe UI"/>
                <w:w w:val="105"/>
                <w:sz w:val="16"/>
                <w:szCs w:val="16"/>
              </w:rPr>
              <w:t>Services from Pharmaceutical Management Agency Limited</w:t>
            </w:r>
          </w:p>
        </w:tc>
        <w:tc>
          <w:tcPr>
            <w:tcW w:w="664" w:type="dxa"/>
          </w:tcPr>
          <w:p w14:paraId="305A2E1A" w14:textId="1F2A73D4"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2.3</w:t>
            </w:r>
          </w:p>
        </w:tc>
        <w:tc>
          <w:tcPr>
            <w:tcW w:w="1239" w:type="dxa"/>
          </w:tcPr>
          <w:p w14:paraId="0EA761E2" w14:textId="693716BD"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1,836,118</w:t>
            </w:r>
          </w:p>
        </w:tc>
        <w:tc>
          <w:tcPr>
            <w:tcW w:w="1287" w:type="dxa"/>
          </w:tcPr>
          <w:p w14:paraId="4662C4B0" w14:textId="01704DF2"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1,340,507</w:t>
            </w:r>
          </w:p>
        </w:tc>
        <w:tc>
          <w:tcPr>
            <w:tcW w:w="1246" w:type="dxa"/>
          </w:tcPr>
          <w:p w14:paraId="56206682" w14:textId="4C6AE500"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1,836,118</w:t>
            </w:r>
          </w:p>
        </w:tc>
      </w:tr>
      <w:tr w:rsidR="00C34E37" w14:paraId="7D0BA42F" w14:textId="77777777" w:rsidTr="00C34E37">
        <w:trPr>
          <w:trHeight w:val="20"/>
        </w:trPr>
        <w:tc>
          <w:tcPr>
            <w:tcW w:w="1276" w:type="dxa"/>
          </w:tcPr>
          <w:p w14:paraId="682189B9" w14:textId="2F7C03D4" w:rsidR="00C34E37" w:rsidRP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17,304</w:t>
            </w:r>
          </w:p>
        </w:tc>
        <w:tc>
          <w:tcPr>
            <w:tcW w:w="3363" w:type="dxa"/>
          </w:tcPr>
          <w:p w14:paraId="69AD74D1" w14:textId="68B85915" w:rsidR="00C34E37" w:rsidRDefault="00C34E37" w:rsidP="00C34E37">
            <w:pPr>
              <w:pStyle w:val="TableParagraph"/>
              <w:spacing w:before="50" w:after="50"/>
              <w:ind w:left="66" w:hanging="5"/>
              <w:rPr>
                <w:rFonts w:ascii="Segoe UI" w:hAnsi="Segoe UI" w:cs="Segoe UI"/>
                <w:w w:val="105"/>
                <w:sz w:val="16"/>
                <w:szCs w:val="16"/>
              </w:rPr>
            </w:pPr>
            <w:r w:rsidRPr="00C34E37">
              <w:rPr>
                <w:rFonts w:ascii="Segoe UI" w:hAnsi="Segoe UI" w:cs="Segoe UI"/>
                <w:w w:val="105"/>
                <w:sz w:val="16"/>
                <w:szCs w:val="16"/>
              </w:rPr>
              <w:t>Services from Health Quality &amp; Safety Commission</w:t>
            </w:r>
          </w:p>
        </w:tc>
        <w:tc>
          <w:tcPr>
            <w:tcW w:w="664" w:type="dxa"/>
          </w:tcPr>
          <w:p w14:paraId="3E67645F" w14:textId="5FEF45A5" w:rsidR="00C34E37" w:rsidRDefault="00C34E37" w:rsidP="00C34E37">
            <w:pPr>
              <w:pStyle w:val="TableParagraph"/>
              <w:spacing w:before="50" w:after="50"/>
              <w:ind w:left="-42" w:right="152" w:firstLine="99"/>
              <w:jc w:val="right"/>
              <w:rPr>
                <w:rFonts w:ascii="Segoe UI" w:hAnsi="Segoe UI" w:cs="Segoe UI"/>
                <w:w w:val="110"/>
                <w:sz w:val="16"/>
                <w:szCs w:val="16"/>
              </w:rPr>
            </w:pPr>
          </w:p>
        </w:tc>
        <w:tc>
          <w:tcPr>
            <w:tcW w:w="1239" w:type="dxa"/>
          </w:tcPr>
          <w:p w14:paraId="1F826050" w14:textId="3BE011A9"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18,167</w:t>
            </w:r>
          </w:p>
        </w:tc>
        <w:tc>
          <w:tcPr>
            <w:tcW w:w="1287" w:type="dxa"/>
          </w:tcPr>
          <w:p w14:paraId="67B5A1B2" w14:textId="1E124B7A"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14,376</w:t>
            </w:r>
          </w:p>
        </w:tc>
        <w:tc>
          <w:tcPr>
            <w:tcW w:w="1246" w:type="dxa"/>
          </w:tcPr>
          <w:p w14:paraId="3E091231" w14:textId="3EE63AF2"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18,167</w:t>
            </w:r>
          </w:p>
        </w:tc>
      </w:tr>
      <w:tr w:rsidR="00C34E37" w14:paraId="530A03D5" w14:textId="77777777" w:rsidTr="00C34E37">
        <w:trPr>
          <w:trHeight w:val="20"/>
        </w:trPr>
        <w:tc>
          <w:tcPr>
            <w:tcW w:w="1276" w:type="dxa"/>
          </w:tcPr>
          <w:p w14:paraId="42A69CBB" w14:textId="43ABA140" w:rsidR="00C34E37" w:rsidRP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18,944</w:t>
            </w:r>
          </w:p>
        </w:tc>
        <w:tc>
          <w:tcPr>
            <w:tcW w:w="3363" w:type="dxa"/>
          </w:tcPr>
          <w:p w14:paraId="0CD77CF1" w14:textId="033E718B" w:rsidR="00C34E37" w:rsidRDefault="00C34E37" w:rsidP="00C34E37">
            <w:pPr>
              <w:pStyle w:val="TableParagraph"/>
              <w:spacing w:before="50" w:after="50"/>
              <w:ind w:left="66" w:hanging="5"/>
              <w:rPr>
                <w:rFonts w:ascii="Segoe UI" w:hAnsi="Segoe UI" w:cs="Segoe UI"/>
                <w:w w:val="105"/>
                <w:sz w:val="16"/>
                <w:szCs w:val="16"/>
              </w:rPr>
            </w:pPr>
            <w:r w:rsidRPr="00C34E37">
              <w:rPr>
                <w:rFonts w:ascii="Segoe UI" w:hAnsi="Segoe UI" w:cs="Segoe UI"/>
                <w:w w:val="105"/>
                <w:sz w:val="16"/>
                <w:szCs w:val="16"/>
              </w:rPr>
              <w:t>Services from the Health and Disability Commissioner</w:t>
            </w:r>
          </w:p>
        </w:tc>
        <w:tc>
          <w:tcPr>
            <w:tcW w:w="664" w:type="dxa"/>
          </w:tcPr>
          <w:p w14:paraId="41E0D635" w14:textId="77777777" w:rsidR="00C34E37" w:rsidRDefault="00C34E37" w:rsidP="00C34E37">
            <w:pPr>
              <w:pStyle w:val="TableParagraph"/>
              <w:spacing w:before="50" w:after="50"/>
              <w:ind w:left="-42" w:right="152" w:firstLine="99"/>
              <w:jc w:val="right"/>
              <w:rPr>
                <w:rFonts w:ascii="Segoe UI" w:hAnsi="Segoe UI" w:cs="Segoe UI"/>
                <w:w w:val="110"/>
                <w:sz w:val="16"/>
                <w:szCs w:val="16"/>
              </w:rPr>
            </w:pPr>
          </w:p>
        </w:tc>
        <w:tc>
          <w:tcPr>
            <w:tcW w:w="1239" w:type="dxa"/>
          </w:tcPr>
          <w:p w14:paraId="698692FB" w14:textId="21703586"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19,701</w:t>
            </w:r>
          </w:p>
        </w:tc>
        <w:tc>
          <w:tcPr>
            <w:tcW w:w="1287" w:type="dxa"/>
          </w:tcPr>
          <w:p w14:paraId="6AC19E51" w14:textId="68C226D3"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17,000</w:t>
            </w:r>
          </w:p>
        </w:tc>
        <w:tc>
          <w:tcPr>
            <w:tcW w:w="1246" w:type="dxa"/>
          </w:tcPr>
          <w:p w14:paraId="20E3824A" w14:textId="7B5861FD"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19,701</w:t>
            </w:r>
          </w:p>
        </w:tc>
      </w:tr>
      <w:tr w:rsidR="00C34E37" w14:paraId="20F982C5" w14:textId="77777777" w:rsidTr="00C34E37">
        <w:trPr>
          <w:trHeight w:val="20"/>
        </w:trPr>
        <w:tc>
          <w:tcPr>
            <w:tcW w:w="1276" w:type="dxa"/>
          </w:tcPr>
          <w:p w14:paraId="4241F000" w14:textId="2A55E7CC" w:rsidR="00C34E37" w:rsidRP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7,366</w:t>
            </w:r>
          </w:p>
        </w:tc>
        <w:tc>
          <w:tcPr>
            <w:tcW w:w="3363" w:type="dxa"/>
          </w:tcPr>
          <w:p w14:paraId="76A0FFDF" w14:textId="0D969F17" w:rsidR="00C34E37" w:rsidRDefault="00C34E37" w:rsidP="00C34E37">
            <w:pPr>
              <w:pStyle w:val="TableParagraph"/>
              <w:spacing w:before="50" w:after="50"/>
              <w:ind w:left="66" w:hanging="5"/>
              <w:rPr>
                <w:rFonts w:ascii="Segoe UI" w:hAnsi="Segoe UI" w:cs="Segoe UI"/>
                <w:w w:val="105"/>
                <w:sz w:val="16"/>
                <w:szCs w:val="16"/>
              </w:rPr>
            </w:pPr>
            <w:r w:rsidRPr="00C34E37">
              <w:rPr>
                <w:rFonts w:ascii="Segoe UI" w:hAnsi="Segoe UI" w:cs="Segoe UI"/>
                <w:w w:val="105"/>
                <w:sz w:val="16"/>
                <w:szCs w:val="16"/>
              </w:rPr>
              <w:t>Services from other Crown entities</w:t>
            </w:r>
          </w:p>
        </w:tc>
        <w:tc>
          <w:tcPr>
            <w:tcW w:w="664" w:type="dxa"/>
          </w:tcPr>
          <w:p w14:paraId="1984FFFB" w14:textId="77777777" w:rsidR="00C34E37" w:rsidRDefault="00C34E37" w:rsidP="00C34E37">
            <w:pPr>
              <w:pStyle w:val="TableParagraph"/>
              <w:spacing w:before="50" w:after="50"/>
              <w:ind w:left="-42" w:right="152" w:firstLine="99"/>
              <w:jc w:val="right"/>
              <w:rPr>
                <w:rFonts w:ascii="Segoe UI" w:hAnsi="Segoe UI" w:cs="Segoe UI"/>
                <w:w w:val="110"/>
                <w:sz w:val="16"/>
                <w:szCs w:val="16"/>
              </w:rPr>
            </w:pPr>
          </w:p>
        </w:tc>
        <w:tc>
          <w:tcPr>
            <w:tcW w:w="1239" w:type="dxa"/>
          </w:tcPr>
          <w:p w14:paraId="1E5CFE4D" w14:textId="08B411FD"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9,712</w:t>
            </w:r>
          </w:p>
        </w:tc>
        <w:tc>
          <w:tcPr>
            <w:tcW w:w="1287" w:type="dxa"/>
          </w:tcPr>
          <w:p w14:paraId="709499B3" w14:textId="7F22B9C0"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180,955</w:t>
            </w:r>
          </w:p>
        </w:tc>
        <w:tc>
          <w:tcPr>
            <w:tcW w:w="1246" w:type="dxa"/>
          </w:tcPr>
          <w:p w14:paraId="0FD95E0B" w14:textId="723CE658"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9,712</w:t>
            </w:r>
          </w:p>
        </w:tc>
      </w:tr>
      <w:tr w:rsidR="00C34E37" w:rsidRPr="00C34E37" w14:paraId="6E773ECC" w14:textId="77777777" w:rsidTr="00C34E37">
        <w:trPr>
          <w:trHeight w:val="20"/>
        </w:trPr>
        <w:tc>
          <w:tcPr>
            <w:tcW w:w="1276" w:type="dxa"/>
            <w:tcBorders>
              <w:top w:val="single" w:sz="4" w:space="0" w:color="BFBFBF" w:themeColor="background1" w:themeShade="BF"/>
              <w:left w:val="nil"/>
              <w:bottom w:val="single" w:sz="4" w:space="0" w:color="BFBFBF" w:themeColor="background1" w:themeShade="BF"/>
              <w:right w:val="nil"/>
            </w:tcBorders>
          </w:tcPr>
          <w:p w14:paraId="153F85A9" w14:textId="3CAA44E4"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r w:rsidRPr="00C34E37">
              <w:rPr>
                <w:rFonts w:ascii="Segoe UI" w:hAnsi="Segoe UI" w:cs="Segoe UI"/>
                <w:b/>
                <w:bCs/>
                <w:w w:val="110"/>
                <w:sz w:val="16"/>
                <w:szCs w:val="16"/>
              </w:rPr>
              <w:t>24,407,738</w:t>
            </w:r>
          </w:p>
        </w:tc>
        <w:tc>
          <w:tcPr>
            <w:tcW w:w="3363" w:type="dxa"/>
            <w:tcBorders>
              <w:top w:val="single" w:sz="4" w:space="0" w:color="BFBFBF" w:themeColor="background1" w:themeShade="BF"/>
              <w:left w:val="nil"/>
              <w:bottom w:val="single" w:sz="4" w:space="0" w:color="BFBFBF" w:themeColor="background1" w:themeShade="BF"/>
              <w:right w:val="nil"/>
            </w:tcBorders>
            <w:hideMark/>
          </w:tcPr>
          <w:p w14:paraId="40F76103" w14:textId="6F476C48" w:rsidR="00C34E37" w:rsidRPr="00C34E37" w:rsidRDefault="00C34E37" w:rsidP="00C34E37">
            <w:pPr>
              <w:pStyle w:val="TableParagraph"/>
              <w:spacing w:before="50" w:after="50"/>
              <w:ind w:left="66" w:hanging="5"/>
              <w:rPr>
                <w:rFonts w:ascii="Segoe UI" w:hAnsi="Segoe UI" w:cs="Segoe UI"/>
                <w:b/>
                <w:bCs/>
                <w:w w:val="105"/>
                <w:sz w:val="16"/>
                <w:szCs w:val="16"/>
              </w:rPr>
            </w:pPr>
            <w:r w:rsidRPr="00C34E37">
              <w:rPr>
                <w:rFonts w:ascii="Segoe UI" w:hAnsi="Segoe UI" w:cs="Segoe UI"/>
                <w:b/>
                <w:bCs/>
                <w:w w:val="105"/>
                <w:sz w:val="16"/>
                <w:szCs w:val="16"/>
              </w:rPr>
              <w:t>Total services from Crown entities</w:t>
            </w:r>
          </w:p>
        </w:tc>
        <w:tc>
          <w:tcPr>
            <w:tcW w:w="664" w:type="dxa"/>
            <w:tcBorders>
              <w:top w:val="single" w:sz="4" w:space="0" w:color="BFBFBF" w:themeColor="background1" w:themeShade="BF"/>
              <w:left w:val="nil"/>
              <w:bottom w:val="single" w:sz="4" w:space="0" w:color="BFBFBF" w:themeColor="background1" w:themeShade="BF"/>
              <w:right w:val="nil"/>
            </w:tcBorders>
          </w:tcPr>
          <w:p w14:paraId="6D5187E7" w14:textId="77777777"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p>
        </w:tc>
        <w:tc>
          <w:tcPr>
            <w:tcW w:w="1239" w:type="dxa"/>
            <w:tcBorders>
              <w:top w:val="single" w:sz="4" w:space="0" w:color="BFBFBF" w:themeColor="background1" w:themeShade="BF"/>
              <w:left w:val="nil"/>
              <w:bottom w:val="single" w:sz="4" w:space="0" w:color="BFBFBF" w:themeColor="background1" w:themeShade="BF"/>
              <w:right w:val="nil"/>
            </w:tcBorders>
          </w:tcPr>
          <w:p w14:paraId="6BD7A49F" w14:textId="255DB7E1"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r w:rsidRPr="00C34E37">
              <w:rPr>
                <w:rFonts w:ascii="Segoe UI" w:hAnsi="Segoe UI" w:cs="Segoe UI"/>
                <w:b/>
                <w:bCs/>
                <w:w w:val="110"/>
                <w:sz w:val="16"/>
                <w:szCs w:val="16"/>
              </w:rPr>
              <w:t>25,904,840</w:t>
            </w:r>
          </w:p>
        </w:tc>
        <w:tc>
          <w:tcPr>
            <w:tcW w:w="1287" w:type="dxa"/>
            <w:tcBorders>
              <w:top w:val="single" w:sz="4" w:space="0" w:color="BFBFBF" w:themeColor="background1" w:themeShade="BF"/>
              <w:left w:val="nil"/>
              <w:bottom w:val="single" w:sz="4" w:space="0" w:color="BFBFBF" w:themeColor="background1" w:themeShade="BF"/>
              <w:right w:val="nil"/>
            </w:tcBorders>
          </w:tcPr>
          <w:p w14:paraId="4AD363C5" w14:textId="1763FA99"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r w:rsidRPr="00C34E37">
              <w:rPr>
                <w:rFonts w:ascii="Segoe UI" w:hAnsi="Segoe UI" w:cs="Segoe UI"/>
                <w:b/>
                <w:bCs/>
                <w:w w:val="110"/>
                <w:sz w:val="16"/>
                <w:szCs w:val="16"/>
              </w:rPr>
              <w:t>24,463,751</w:t>
            </w:r>
          </w:p>
        </w:tc>
        <w:tc>
          <w:tcPr>
            <w:tcW w:w="1246" w:type="dxa"/>
            <w:tcBorders>
              <w:top w:val="single" w:sz="4" w:space="0" w:color="BFBFBF" w:themeColor="background1" w:themeShade="BF"/>
              <w:left w:val="nil"/>
              <w:bottom w:val="single" w:sz="4" w:space="0" w:color="BFBFBF" w:themeColor="background1" w:themeShade="BF"/>
              <w:right w:val="nil"/>
            </w:tcBorders>
          </w:tcPr>
          <w:p w14:paraId="2AA747B9" w14:textId="71917A79"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r w:rsidRPr="00C34E37">
              <w:rPr>
                <w:rFonts w:ascii="Segoe UI" w:hAnsi="Segoe UI" w:cs="Segoe UI"/>
                <w:b/>
                <w:bCs/>
                <w:w w:val="110"/>
                <w:sz w:val="16"/>
                <w:szCs w:val="16"/>
              </w:rPr>
              <w:t>25,981,021</w:t>
            </w:r>
          </w:p>
        </w:tc>
      </w:tr>
      <w:tr w:rsidR="00C34E37" w14:paraId="2DD1BFD4" w14:textId="77777777" w:rsidTr="00C34E37">
        <w:trPr>
          <w:trHeight w:val="20"/>
        </w:trPr>
        <w:tc>
          <w:tcPr>
            <w:tcW w:w="1276" w:type="dxa"/>
            <w:tcBorders>
              <w:top w:val="single" w:sz="4" w:space="0" w:color="BFBFBF" w:themeColor="background1" w:themeShade="BF"/>
              <w:left w:val="nil"/>
              <w:bottom w:val="single" w:sz="4" w:space="0" w:color="BFBFBF" w:themeColor="background1" w:themeShade="BF"/>
              <w:right w:val="nil"/>
            </w:tcBorders>
          </w:tcPr>
          <w:p w14:paraId="6FB119F5" w14:textId="6B21B91D" w:rsidR="00C34E37" w:rsidRP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1,132</w:t>
            </w:r>
          </w:p>
        </w:tc>
        <w:tc>
          <w:tcPr>
            <w:tcW w:w="3363" w:type="dxa"/>
            <w:tcBorders>
              <w:top w:val="single" w:sz="4" w:space="0" w:color="BFBFBF" w:themeColor="background1" w:themeShade="BF"/>
              <w:left w:val="nil"/>
              <w:bottom w:val="single" w:sz="4" w:space="0" w:color="BFBFBF" w:themeColor="background1" w:themeShade="BF"/>
              <w:right w:val="nil"/>
            </w:tcBorders>
            <w:hideMark/>
          </w:tcPr>
          <w:p w14:paraId="783DC3F6" w14:textId="276E35E6" w:rsidR="00C34E37" w:rsidRDefault="00C34E37" w:rsidP="00C34E37">
            <w:pPr>
              <w:pStyle w:val="TableParagraph"/>
              <w:spacing w:before="50" w:after="50"/>
              <w:ind w:left="66" w:hanging="5"/>
              <w:rPr>
                <w:rFonts w:ascii="Segoe UI" w:hAnsi="Segoe UI" w:cs="Segoe UI"/>
                <w:w w:val="105"/>
                <w:sz w:val="16"/>
                <w:szCs w:val="16"/>
              </w:rPr>
            </w:pPr>
            <w:r w:rsidRPr="00C34E37">
              <w:rPr>
                <w:rFonts w:ascii="Segoe UI" w:hAnsi="Segoe UI" w:cs="Segoe UI"/>
                <w:w w:val="105"/>
                <w:sz w:val="16"/>
                <w:szCs w:val="16"/>
              </w:rPr>
              <w:t>Services from government departments</w:t>
            </w:r>
          </w:p>
        </w:tc>
        <w:tc>
          <w:tcPr>
            <w:tcW w:w="664" w:type="dxa"/>
            <w:tcBorders>
              <w:top w:val="single" w:sz="4" w:space="0" w:color="BFBFBF" w:themeColor="background1" w:themeShade="BF"/>
              <w:left w:val="nil"/>
              <w:bottom w:val="single" w:sz="4" w:space="0" w:color="BFBFBF" w:themeColor="background1" w:themeShade="BF"/>
              <w:right w:val="nil"/>
            </w:tcBorders>
          </w:tcPr>
          <w:p w14:paraId="7493AD39" w14:textId="77777777" w:rsidR="00C34E37" w:rsidRDefault="00C34E37" w:rsidP="00C34E37">
            <w:pPr>
              <w:pStyle w:val="TableParagraph"/>
              <w:spacing w:before="50" w:after="50"/>
              <w:ind w:left="-42" w:right="152" w:firstLine="99"/>
              <w:jc w:val="right"/>
              <w:rPr>
                <w:rFonts w:ascii="Segoe UI" w:hAnsi="Segoe UI" w:cs="Segoe UI"/>
                <w:w w:val="110"/>
                <w:sz w:val="16"/>
                <w:szCs w:val="16"/>
              </w:rPr>
            </w:pPr>
          </w:p>
        </w:tc>
        <w:tc>
          <w:tcPr>
            <w:tcW w:w="1239" w:type="dxa"/>
            <w:tcBorders>
              <w:top w:val="single" w:sz="4" w:space="0" w:color="BFBFBF" w:themeColor="background1" w:themeShade="BF"/>
              <w:left w:val="nil"/>
              <w:bottom w:val="single" w:sz="4" w:space="0" w:color="BFBFBF" w:themeColor="background1" w:themeShade="BF"/>
              <w:right w:val="nil"/>
            </w:tcBorders>
          </w:tcPr>
          <w:p w14:paraId="60696375" w14:textId="75146B51"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1,678</w:t>
            </w:r>
          </w:p>
        </w:tc>
        <w:tc>
          <w:tcPr>
            <w:tcW w:w="1287" w:type="dxa"/>
            <w:tcBorders>
              <w:top w:val="single" w:sz="4" w:space="0" w:color="BFBFBF" w:themeColor="background1" w:themeShade="BF"/>
              <w:left w:val="nil"/>
              <w:bottom w:val="single" w:sz="4" w:space="0" w:color="BFBFBF" w:themeColor="background1" w:themeShade="BF"/>
              <w:right w:val="nil"/>
            </w:tcBorders>
          </w:tcPr>
          <w:p w14:paraId="4619742B" w14:textId="2B65E9E7"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w:t>
            </w:r>
          </w:p>
        </w:tc>
        <w:tc>
          <w:tcPr>
            <w:tcW w:w="1246" w:type="dxa"/>
            <w:tcBorders>
              <w:top w:val="single" w:sz="4" w:space="0" w:color="BFBFBF" w:themeColor="background1" w:themeShade="BF"/>
              <w:left w:val="nil"/>
              <w:bottom w:val="single" w:sz="4" w:space="0" w:color="BFBFBF" w:themeColor="background1" w:themeShade="BF"/>
              <w:right w:val="nil"/>
            </w:tcBorders>
          </w:tcPr>
          <w:p w14:paraId="598A6857" w14:textId="7FCB16E9"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2,000</w:t>
            </w:r>
          </w:p>
        </w:tc>
      </w:tr>
      <w:tr w:rsidR="00C34E37" w:rsidRPr="00C34E37" w14:paraId="0BB326D8" w14:textId="77777777" w:rsidTr="00C34E37">
        <w:trPr>
          <w:trHeight w:val="20"/>
        </w:trPr>
        <w:tc>
          <w:tcPr>
            <w:tcW w:w="1276" w:type="dxa"/>
            <w:tcBorders>
              <w:top w:val="single" w:sz="4" w:space="0" w:color="BFBFBF" w:themeColor="background1" w:themeShade="BF"/>
              <w:left w:val="nil"/>
              <w:bottom w:val="single" w:sz="4" w:space="0" w:color="BFBFBF" w:themeColor="background1" w:themeShade="BF"/>
              <w:right w:val="nil"/>
            </w:tcBorders>
          </w:tcPr>
          <w:p w14:paraId="62B8E2E8" w14:textId="07C78905"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r w:rsidRPr="00C34E37">
              <w:rPr>
                <w:rFonts w:ascii="Segoe UI" w:hAnsi="Segoe UI" w:cs="Segoe UI"/>
                <w:b/>
                <w:bCs/>
                <w:w w:val="110"/>
                <w:sz w:val="16"/>
                <w:szCs w:val="16"/>
              </w:rPr>
              <w:t>1,132</w:t>
            </w:r>
          </w:p>
        </w:tc>
        <w:tc>
          <w:tcPr>
            <w:tcW w:w="3363" w:type="dxa"/>
            <w:tcBorders>
              <w:top w:val="single" w:sz="4" w:space="0" w:color="BFBFBF" w:themeColor="background1" w:themeShade="BF"/>
              <w:left w:val="nil"/>
              <w:bottom w:val="single" w:sz="4" w:space="0" w:color="BFBFBF" w:themeColor="background1" w:themeShade="BF"/>
              <w:right w:val="nil"/>
            </w:tcBorders>
            <w:hideMark/>
          </w:tcPr>
          <w:p w14:paraId="69E5D5A4" w14:textId="5CD03752" w:rsidR="00C34E37" w:rsidRPr="00C34E37" w:rsidRDefault="00C34E37" w:rsidP="00C34E37">
            <w:pPr>
              <w:pStyle w:val="TableParagraph"/>
              <w:spacing w:before="50" w:after="50"/>
              <w:ind w:left="66" w:hanging="5"/>
              <w:rPr>
                <w:rFonts w:ascii="Segoe UI" w:hAnsi="Segoe UI" w:cs="Segoe UI"/>
                <w:b/>
                <w:bCs/>
                <w:w w:val="105"/>
                <w:sz w:val="16"/>
                <w:szCs w:val="16"/>
              </w:rPr>
            </w:pPr>
            <w:r w:rsidRPr="00C34E37">
              <w:rPr>
                <w:rFonts w:ascii="Segoe UI" w:hAnsi="Segoe UI" w:cs="Segoe UI"/>
                <w:b/>
                <w:bCs/>
                <w:w w:val="105"/>
                <w:sz w:val="16"/>
                <w:szCs w:val="16"/>
              </w:rPr>
              <w:t>Total services from government departments</w:t>
            </w:r>
          </w:p>
        </w:tc>
        <w:tc>
          <w:tcPr>
            <w:tcW w:w="664" w:type="dxa"/>
            <w:tcBorders>
              <w:top w:val="single" w:sz="4" w:space="0" w:color="BFBFBF" w:themeColor="background1" w:themeShade="BF"/>
              <w:left w:val="nil"/>
              <w:bottom w:val="single" w:sz="4" w:space="0" w:color="BFBFBF" w:themeColor="background1" w:themeShade="BF"/>
              <w:right w:val="nil"/>
            </w:tcBorders>
          </w:tcPr>
          <w:p w14:paraId="3141DBFB" w14:textId="77777777"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p>
        </w:tc>
        <w:tc>
          <w:tcPr>
            <w:tcW w:w="1239" w:type="dxa"/>
            <w:tcBorders>
              <w:top w:val="single" w:sz="4" w:space="0" w:color="BFBFBF" w:themeColor="background1" w:themeShade="BF"/>
              <w:left w:val="nil"/>
              <w:bottom w:val="single" w:sz="4" w:space="0" w:color="BFBFBF" w:themeColor="background1" w:themeShade="BF"/>
              <w:right w:val="nil"/>
            </w:tcBorders>
          </w:tcPr>
          <w:p w14:paraId="46A0F923" w14:textId="2D3ADA3D"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r w:rsidRPr="00C34E37">
              <w:rPr>
                <w:rFonts w:ascii="Segoe UI" w:hAnsi="Segoe UI" w:cs="Segoe UI"/>
                <w:b/>
                <w:bCs/>
                <w:w w:val="110"/>
                <w:sz w:val="16"/>
                <w:szCs w:val="16"/>
              </w:rPr>
              <w:t>1,678</w:t>
            </w:r>
          </w:p>
        </w:tc>
        <w:tc>
          <w:tcPr>
            <w:tcW w:w="1287" w:type="dxa"/>
            <w:tcBorders>
              <w:top w:val="single" w:sz="4" w:space="0" w:color="BFBFBF" w:themeColor="background1" w:themeShade="BF"/>
              <w:left w:val="nil"/>
              <w:bottom w:val="single" w:sz="4" w:space="0" w:color="BFBFBF" w:themeColor="background1" w:themeShade="BF"/>
              <w:right w:val="nil"/>
            </w:tcBorders>
          </w:tcPr>
          <w:p w14:paraId="28827C19" w14:textId="45D317B9"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r w:rsidRPr="00C34E37">
              <w:rPr>
                <w:rFonts w:ascii="Segoe UI" w:hAnsi="Segoe UI" w:cs="Segoe UI"/>
                <w:b/>
                <w:bCs/>
                <w:w w:val="110"/>
                <w:sz w:val="16"/>
                <w:szCs w:val="16"/>
              </w:rPr>
              <w:t>–</w:t>
            </w:r>
          </w:p>
        </w:tc>
        <w:tc>
          <w:tcPr>
            <w:tcW w:w="1246" w:type="dxa"/>
            <w:tcBorders>
              <w:top w:val="single" w:sz="4" w:space="0" w:color="BFBFBF" w:themeColor="background1" w:themeShade="BF"/>
              <w:left w:val="nil"/>
              <w:bottom w:val="single" w:sz="4" w:space="0" w:color="BFBFBF" w:themeColor="background1" w:themeShade="BF"/>
              <w:right w:val="nil"/>
            </w:tcBorders>
          </w:tcPr>
          <w:p w14:paraId="30DF9064" w14:textId="4E41EB93"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r w:rsidRPr="00C34E37">
              <w:rPr>
                <w:rFonts w:ascii="Segoe UI" w:hAnsi="Segoe UI" w:cs="Segoe UI"/>
                <w:b/>
                <w:bCs/>
                <w:w w:val="110"/>
                <w:sz w:val="16"/>
                <w:szCs w:val="16"/>
              </w:rPr>
              <w:t>2,000</w:t>
            </w:r>
          </w:p>
        </w:tc>
      </w:tr>
      <w:tr w:rsidR="00C34E37" w14:paraId="4504A72F" w14:textId="77777777" w:rsidTr="00C34E37">
        <w:trPr>
          <w:trHeight w:val="20"/>
        </w:trPr>
        <w:tc>
          <w:tcPr>
            <w:tcW w:w="1276" w:type="dxa"/>
            <w:tcBorders>
              <w:top w:val="single" w:sz="4" w:space="0" w:color="BFBFBF" w:themeColor="background1" w:themeShade="BF"/>
              <w:left w:val="nil"/>
              <w:bottom w:val="nil"/>
              <w:right w:val="nil"/>
            </w:tcBorders>
          </w:tcPr>
          <w:p w14:paraId="72E5F020" w14:textId="0CE0457C" w:rsidR="00C34E37" w:rsidRP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251,134</w:t>
            </w:r>
          </w:p>
        </w:tc>
        <w:tc>
          <w:tcPr>
            <w:tcW w:w="3363" w:type="dxa"/>
            <w:tcBorders>
              <w:top w:val="single" w:sz="4" w:space="0" w:color="BFBFBF" w:themeColor="background1" w:themeShade="BF"/>
              <w:left w:val="nil"/>
              <w:bottom w:val="nil"/>
              <w:right w:val="nil"/>
            </w:tcBorders>
            <w:hideMark/>
          </w:tcPr>
          <w:p w14:paraId="7A39FCA6" w14:textId="53B38870" w:rsidR="00C34E37" w:rsidRDefault="00C34E37" w:rsidP="00C34E37">
            <w:pPr>
              <w:pStyle w:val="TableParagraph"/>
              <w:spacing w:before="50" w:after="50"/>
              <w:ind w:left="66" w:hanging="5"/>
              <w:rPr>
                <w:rFonts w:ascii="Segoe UI" w:hAnsi="Segoe UI" w:cs="Segoe UI"/>
                <w:w w:val="105"/>
                <w:sz w:val="16"/>
                <w:szCs w:val="16"/>
              </w:rPr>
            </w:pPr>
            <w:r w:rsidRPr="00C34E37">
              <w:rPr>
                <w:rFonts w:ascii="Segoe UI" w:hAnsi="Segoe UI" w:cs="Segoe UI"/>
                <w:w w:val="105"/>
                <w:sz w:val="16"/>
                <w:szCs w:val="16"/>
              </w:rPr>
              <w:t>Services from third parties</w:t>
            </w:r>
          </w:p>
        </w:tc>
        <w:tc>
          <w:tcPr>
            <w:tcW w:w="664" w:type="dxa"/>
            <w:tcBorders>
              <w:top w:val="single" w:sz="4" w:space="0" w:color="BFBFBF" w:themeColor="background1" w:themeShade="BF"/>
              <w:left w:val="nil"/>
              <w:bottom w:val="nil"/>
              <w:right w:val="nil"/>
            </w:tcBorders>
          </w:tcPr>
          <w:p w14:paraId="1D9E646B" w14:textId="77777777" w:rsidR="00C34E37" w:rsidRDefault="00C34E37" w:rsidP="00C34E37">
            <w:pPr>
              <w:pStyle w:val="TableParagraph"/>
              <w:spacing w:before="50" w:after="50"/>
              <w:ind w:left="-42" w:right="152" w:firstLine="99"/>
              <w:jc w:val="right"/>
              <w:rPr>
                <w:rFonts w:ascii="Segoe UI" w:hAnsi="Segoe UI" w:cs="Segoe UI"/>
                <w:w w:val="110"/>
                <w:sz w:val="16"/>
                <w:szCs w:val="16"/>
              </w:rPr>
            </w:pPr>
          </w:p>
        </w:tc>
        <w:tc>
          <w:tcPr>
            <w:tcW w:w="1239" w:type="dxa"/>
            <w:tcBorders>
              <w:top w:val="single" w:sz="4" w:space="0" w:color="BFBFBF" w:themeColor="background1" w:themeShade="BF"/>
              <w:left w:val="nil"/>
              <w:bottom w:val="nil"/>
              <w:right w:val="nil"/>
            </w:tcBorders>
          </w:tcPr>
          <w:p w14:paraId="607F16F0" w14:textId="51F7384C"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7,828</w:t>
            </w:r>
          </w:p>
        </w:tc>
        <w:tc>
          <w:tcPr>
            <w:tcW w:w="1287" w:type="dxa"/>
            <w:tcBorders>
              <w:top w:val="single" w:sz="4" w:space="0" w:color="BFBFBF" w:themeColor="background1" w:themeShade="BF"/>
              <w:left w:val="nil"/>
              <w:bottom w:val="nil"/>
              <w:right w:val="nil"/>
            </w:tcBorders>
          </w:tcPr>
          <w:p w14:paraId="069FECA1" w14:textId="1437A9E8"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33,312</w:t>
            </w:r>
          </w:p>
        </w:tc>
        <w:tc>
          <w:tcPr>
            <w:tcW w:w="1246" w:type="dxa"/>
            <w:tcBorders>
              <w:top w:val="single" w:sz="4" w:space="0" w:color="BFBFBF" w:themeColor="background1" w:themeShade="BF"/>
              <w:left w:val="nil"/>
              <w:bottom w:val="nil"/>
              <w:right w:val="nil"/>
            </w:tcBorders>
          </w:tcPr>
          <w:p w14:paraId="40457E22" w14:textId="367DEB25"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8,423</w:t>
            </w:r>
          </w:p>
        </w:tc>
      </w:tr>
      <w:tr w:rsidR="00C34E37" w14:paraId="5AC412E1" w14:textId="77777777" w:rsidTr="00C34E37">
        <w:trPr>
          <w:trHeight w:val="20"/>
        </w:trPr>
        <w:tc>
          <w:tcPr>
            <w:tcW w:w="1276" w:type="dxa"/>
          </w:tcPr>
          <w:p w14:paraId="5E8E7ED4" w14:textId="12D65029" w:rsidR="00C34E37" w:rsidRP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w:t>
            </w:r>
          </w:p>
        </w:tc>
        <w:tc>
          <w:tcPr>
            <w:tcW w:w="3363" w:type="dxa"/>
            <w:hideMark/>
          </w:tcPr>
          <w:p w14:paraId="1BA4732B" w14:textId="18513791" w:rsidR="00C34E37" w:rsidRDefault="00C34E37" w:rsidP="00C34E37">
            <w:pPr>
              <w:pStyle w:val="TableParagraph"/>
              <w:spacing w:before="50" w:after="50"/>
              <w:ind w:left="66" w:hanging="5"/>
              <w:rPr>
                <w:rFonts w:ascii="Segoe UI" w:hAnsi="Segoe UI" w:cs="Segoe UI"/>
                <w:w w:val="105"/>
                <w:sz w:val="16"/>
                <w:szCs w:val="16"/>
              </w:rPr>
            </w:pPr>
            <w:r w:rsidRPr="00C34E37">
              <w:rPr>
                <w:rFonts w:ascii="Segoe UI" w:hAnsi="Segoe UI" w:cs="Segoe UI"/>
                <w:w w:val="105"/>
                <w:sz w:val="16"/>
                <w:szCs w:val="16"/>
              </w:rPr>
              <w:t>Loss on disposal of assets</w:t>
            </w:r>
          </w:p>
        </w:tc>
        <w:tc>
          <w:tcPr>
            <w:tcW w:w="664" w:type="dxa"/>
          </w:tcPr>
          <w:p w14:paraId="0EE2FE88" w14:textId="77777777" w:rsidR="00C34E37" w:rsidRDefault="00C34E37" w:rsidP="00C34E37">
            <w:pPr>
              <w:pStyle w:val="TableParagraph"/>
              <w:spacing w:before="50" w:after="50"/>
              <w:ind w:left="-42" w:right="152" w:firstLine="99"/>
              <w:jc w:val="right"/>
              <w:rPr>
                <w:rFonts w:ascii="Segoe UI" w:hAnsi="Segoe UI" w:cs="Segoe UI"/>
                <w:w w:val="110"/>
                <w:sz w:val="16"/>
                <w:szCs w:val="16"/>
              </w:rPr>
            </w:pPr>
          </w:p>
        </w:tc>
        <w:tc>
          <w:tcPr>
            <w:tcW w:w="1239" w:type="dxa"/>
          </w:tcPr>
          <w:p w14:paraId="354B6CF1" w14:textId="17B2B752"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650</w:t>
            </w:r>
          </w:p>
        </w:tc>
        <w:tc>
          <w:tcPr>
            <w:tcW w:w="1287" w:type="dxa"/>
          </w:tcPr>
          <w:p w14:paraId="299F229C" w14:textId="3E2F8634"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w:t>
            </w:r>
          </w:p>
        </w:tc>
        <w:tc>
          <w:tcPr>
            <w:tcW w:w="1246" w:type="dxa"/>
          </w:tcPr>
          <w:p w14:paraId="58FF71F8" w14:textId="403C4252" w:rsid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750</w:t>
            </w:r>
          </w:p>
        </w:tc>
      </w:tr>
      <w:tr w:rsidR="00C34E37" w:rsidRPr="00C34E37" w14:paraId="734316AE" w14:textId="77777777" w:rsidTr="00C34E37">
        <w:trPr>
          <w:trHeight w:val="20"/>
        </w:trPr>
        <w:tc>
          <w:tcPr>
            <w:tcW w:w="1276" w:type="dxa"/>
            <w:tcBorders>
              <w:top w:val="single" w:sz="4" w:space="0" w:color="BFBFBF" w:themeColor="background1" w:themeShade="BF"/>
              <w:left w:val="nil"/>
              <w:bottom w:val="single" w:sz="4" w:space="0" w:color="BFBFBF" w:themeColor="background1" w:themeShade="BF"/>
              <w:right w:val="nil"/>
            </w:tcBorders>
          </w:tcPr>
          <w:p w14:paraId="41617629" w14:textId="42CDEB84"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r w:rsidRPr="00C34E37">
              <w:rPr>
                <w:rFonts w:ascii="Segoe UI" w:hAnsi="Segoe UI" w:cs="Segoe UI"/>
                <w:b/>
                <w:bCs/>
                <w:w w:val="110"/>
                <w:sz w:val="16"/>
                <w:szCs w:val="16"/>
              </w:rPr>
              <w:t>251,134</w:t>
            </w:r>
          </w:p>
        </w:tc>
        <w:tc>
          <w:tcPr>
            <w:tcW w:w="3363" w:type="dxa"/>
            <w:tcBorders>
              <w:top w:val="single" w:sz="4" w:space="0" w:color="BFBFBF" w:themeColor="background1" w:themeShade="BF"/>
              <w:left w:val="nil"/>
              <w:bottom w:val="single" w:sz="4" w:space="0" w:color="BFBFBF" w:themeColor="background1" w:themeShade="BF"/>
              <w:right w:val="nil"/>
            </w:tcBorders>
            <w:hideMark/>
          </w:tcPr>
          <w:p w14:paraId="52FED29E" w14:textId="77777777" w:rsidR="00C34E37" w:rsidRPr="00C34E37" w:rsidRDefault="00C34E37" w:rsidP="00C34E37">
            <w:pPr>
              <w:pStyle w:val="TableParagraph"/>
              <w:spacing w:before="50" w:after="50"/>
              <w:ind w:left="66" w:hanging="5"/>
              <w:rPr>
                <w:rFonts w:ascii="Segoe UI" w:hAnsi="Segoe UI" w:cs="Segoe UI"/>
                <w:b/>
                <w:bCs/>
                <w:w w:val="105"/>
                <w:sz w:val="16"/>
                <w:szCs w:val="16"/>
              </w:rPr>
            </w:pPr>
            <w:r w:rsidRPr="00C34E37">
              <w:rPr>
                <w:rFonts w:ascii="Segoe UI" w:hAnsi="Segoe UI" w:cs="Segoe UI"/>
                <w:b/>
                <w:bCs/>
                <w:w w:val="105"/>
                <w:sz w:val="16"/>
                <w:szCs w:val="16"/>
              </w:rPr>
              <w:t>Total services from third parties</w:t>
            </w:r>
          </w:p>
        </w:tc>
        <w:tc>
          <w:tcPr>
            <w:tcW w:w="664" w:type="dxa"/>
            <w:tcBorders>
              <w:top w:val="single" w:sz="4" w:space="0" w:color="BFBFBF" w:themeColor="background1" w:themeShade="BF"/>
              <w:left w:val="nil"/>
              <w:bottom w:val="single" w:sz="4" w:space="0" w:color="BFBFBF" w:themeColor="background1" w:themeShade="BF"/>
              <w:right w:val="nil"/>
            </w:tcBorders>
          </w:tcPr>
          <w:p w14:paraId="14E2DB6E" w14:textId="77777777"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p>
        </w:tc>
        <w:tc>
          <w:tcPr>
            <w:tcW w:w="1239" w:type="dxa"/>
            <w:tcBorders>
              <w:top w:val="single" w:sz="4" w:space="0" w:color="BFBFBF" w:themeColor="background1" w:themeShade="BF"/>
              <w:left w:val="nil"/>
              <w:bottom w:val="single" w:sz="4" w:space="0" w:color="BFBFBF" w:themeColor="background1" w:themeShade="BF"/>
              <w:right w:val="nil"/>
            </w:tcBorders>
          </w:tcPr>
          <w:p w14:paraId="5E08D13E" w14:textId="62C91DED"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r w:rsidRPr="00C34E37">
              <w:rPr>
                <w:rFonts w:ascii="Segoe UI" w:hAnsi="Segoe UI" w:cs="Segoe UI"/>
                <w:b/>
                <w:bCs/>
                <w:w w:val="110"/>
                <w:sz w:val="16"/>
                <w:szCs w:val="16"/>
              </w:rPr>
              <w:t>8,478</w:t>
            </w:r>
          </w:p>
        </w:tc>
        <w:tc>
          <w:tcPr>
            <w:tcW w:w="1287" w:type="dxa"/>
            <w:tcBorders>
              <w:top w:val="single" w:sz="4" w:space="0" w:color="BFBFBF" w:themeColor="background1" w:themeShade="BF"/>
              <w:left w:val="nil"/>
              <w:bottom w:val="single" w:sz="4" w:space="0" w:color="BFBFBF" w:themeColor="background1" w:themeShade="BF"/>
              <w:right w:val="nil"/>
            </w:tcBorders>
          </w:tcPr>
          <w:p w14:paraId="13501FE7" w14:textId="588DFAA4"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r w:rsidRPr="00C34E37">
              <w:rPr>
                <w:rFonts w:ascii="Segoe UI" w:hAnsi="Segoe UI" w:cs="Segoe UI"/>
                <w:b/>
                <w:bCs/>
                <w:w w:val="110"/>
                <w:sz w:val="16"/>
                <w:szCs w:val="16"/>
              </w:rPr>
              <w:t>33,312</w:t>
            </w:r>
          </w:p>
        </w:tc>
        <w:tc>
          <w:tcPr>
            <w:tcW w:w="1246" w:type="dxa"/>
            <w:tcBorders>
              <w:top w:val="single" w:sz="4" w:space="0" w:color="BFBFBF" w:themeColor="background1" w:themeShade="BF"/>
              <w:left w:val="nil"/>
              <w:bottom w:val="single" w:sz="4" w:space="0" w:color="BFBFBF" w:themeColor="background1" w:themeShade="BF"/>
              <w:right w:val="nil"/>
            </w:tcBorders>
          </w:tcPr>
          <w:p w14:paraId="03E4955F" w14:textId="59D554D8"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r w:rsidRPr="00C34E37">
              <w:rPr>
                <w:rFonts w:ascii="Segoe UI" w:hAnsi="Segoe UI" w:cs="Segoe UI"/>
                <w:b/>
                <w:bCs/>
                <w:w w:val="110"/>
                <w:sz w:val="16"/>
                <w:szCs w:val="16"/>
              </w:rPr>
              <w:t>9,173</w:t>
            </w:r>
          </w:p>
        </w:tc>
      </w:tr>
      <w:tr w:rsidR="00C34E37" w:rsidRPr="00C34E37" w14:paraId="6443587F" w14:textId="77777777" w:rsidTr="00C34E37">
        <w:trPr>
          <w:trHeight w:val="20"/>
        </w:trPr>
        <w:tc>
          <w:tcPr>
            <w:tcW w:w="1276" w:type="dxa"/>
            <w:tcBorders>
              <w:top w:val="single" w:sz="4" w:space="0" w:color="BFBFBF" w:themeColor="background1" w:themeShade="BF"/>
              <w:left w:val="nil"/>
              <w:bottom w:val="single" w:sz="4" w:space="0" w:color="BFBFBF" w:themeColor="background1" w:themeShade="BF"/>
              <w:right w:val="nil"/>
            </w:tcBorders>
          </w:tcPr>
          <w:p w14:paraId="6FCA01C0" w14:textId="70D110C0"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r w:rsidRPr="00C34E37">
              <w:rPr>
                <w:rFonts w:ascii="Segoe UI" w:hAnsi="Segoe UI" w:cs="Segoe UI"/>
                <w:b/>
                <w:bCs/>
                <w:w w:val="110"/>
                <w:sz w:val="16"/>
                <w:szCs w:val="16"/>
              </w:rPr>
              <w:t>24,660,004</w:t>
            </w:r>
          </w:p>
        </w:tc>
        <w:tc>
          <w:tcPr>
            <w:tcW w:w="3363" w:type="dxa"/>
            <w:tcBorders>
              <w:top w:val="single" w:sz="4" w:space="0" w:color="BFBFBF" w:themeColor="background1" w:themeShade="BF"/>
              <w:left w:val="nil"/>
              <w:bottom w:val="single" w:sz="4" w:space="0" w:color="BFBFBF" w:themeColor="background1" w:themeShade="BF"/>
              <w:right w:val="nil"/>
            </w:tcBorders>
            <w:hideMark/>
          </w:tcPr>
          <w:p w14:paraId="33B21C5C" w14:textId="77777777" w:rsidR="00C34E37" w:rsidRPr="00C34E37" w:rsidRDefault="00C34E37" w:rsidP="00C34E37">
            <w:pPr>
              <w:pStyle w:val="TableParagraph"/>
              <w:spacing w:before="50" w:after="50"/>
              <w:ind w:left="66" w:hanging="5"/>
              <w:rPr>
                <w:rFonts w:ascii="Segoe UI" w:hAnsi="Segoe UI" w:cs="Segoe UI"/>
                <w:b/>
                <w:bCs/>
                <w:w w:val="105"/>
                <w:sz w:val="16"/>
                <w:szCs w:val="16"/>
              </w:rPr>
            </w:pPr>
            <w:r w:rsidRPr="00C34E37">
              <w:rPr>
                <w:rFonts w:ascii="Segoe UI" w:hAnsi="Segoe UI" w:cs="Segoe UI"/>
                <w:b/>
                <w:bCs/>
                <w:w w:val="105"/>
                <w:sz w:val="16"/>
                <w:szCs w:val="16"/>
              </w:rPr>
              <w:t>Total services</w:t>
            </w:r>
          </w:p>
        </w:tc>
        <w:tc>
          <w:tcPr>
            <w:tcW w:w="664" w:type="dxa"/>
            <w:tcBorders>
              <w:top w:val="single" w:sz="4" w:space="0" w:color="BFBFBF" w:themeColor="background1" w:themeShade="BF"/>
              <w:left w:val="nil"/>
              <w:bottom w:val="single" w:sz="4" w:space="0" w:color="BFBFBF" w:themeColor="background1" w:themeShade="BF"/>
              <w:right w:val="nil"/>
            </w:tcBorders>
          </w:tcPr>
          <w:p w14:paraId="52F6C7C4" w14:textId="77777777"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p>
        </w:tc>
        <w:tc>
          <w:tcPr>
            <w:tcW w:w="1239" w:type="dxa"/>
            <w:tcBorders>
              <w:top w:val="single" w:sz="4" w:space="0" w:color="BFBFBF" w:themeColor="background1" w:themeShade="BF"/>
              <w:left w:val="nil"/>
              <w:bottom w:val="single" w:sz="4" w:space="0" w:color="BFBFBF" w:themeColor="background1" w:themeShade="BF"/>
              <w:right w:val="nil"/>
            </w:tcBorders>
          </w:tcPr>
          <w:p w14:paraId="605A9BF1" w14:textId="6824D88E"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r w:rsidRPr="00C34E37">
              <w:rPr>
                <w:rFonts w:ascii="Segoe UI" w:hAnsi="Segoe UI" w:cs="Segoe UI"/>
                <w:b/>
                <w:bCs/>
                <w:w w:val="110"/>
                <w:sz w:val="16"/>
                <w:szCs w:val="16"/>
              </w:rPr>
              <w:t>25,914,996</w:t>
            </w:r>
          </w:p>
        </w:tc>
        <w:tc>
          <w:tcPr>
            <w:tcW w:w="1287" w:type="dxa"/>
            <w:tcBorders>
              <w:top w:val="single" w:sz="4" w:space="0" w:color="BFBFBF" w:themeColor="background1" w:themeShade="BF"/>
              <w:left w:val="nil"/>
              <w:bottom w:val="single" w:sz="4" w:space="0" w:color="BFBFBF" w:themeColor="background1" w:themeShade="BF"/>
              <w:right w:val="nil"/>
            </w:tcBorders>
          </w:tcPr>
          <w:p w14:paraId="0F1D626B" w14:textId="6894A39D"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r w:rsidRPr="00C34E37">
              <w:rPr>
                <w:rFonts w:ascii="Segoe UI" w:hAnsi="Segoe UI" w:cs="Segoe UI"/>
                <w:b/>
                <w:bCs/>
                <w:w w:val="110"/>
                <w:sz w:val="16"/>
                <w:szCs w:val="16"/>
              </w:rPr>
              <w:t>24,497,063</w:t>
            </w:r>
          </w:p>
        </w:tc>
        <w:tc>
          <w:tcPr>
            <w:tcW w:w="1246" w:type="dxa"/>
            <w:tcBorders>
              <w:top w:val="single" w:sz="4" w:space="0" w:color="BFBFBF" w:themeColor="background1" w:themeShade="BF"/>
              <w:left w:val="nil"/>
              <w:bottom w:val="single" w:sz="4" w:space="0" w:color="BFBFBF" w:themeColor="background1" w:themeShade="BF"/>
              <w:right w:val="nil"/>
            </w:tcBorders>
          </w:tcPr>
          <w:p w14:paraId="75554BA1" w14:textId="2955AAAF"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r w:rsidRPr="00C34E37">
              <w:rPr>
                <w:rFonts w:ascii="Segoe UI" w:hAnsi="Segoe UI" w:cs="Segoe UI"/>
                <w:b/>
                <w:bCs/>
                <w:w w:val="110"/>
                <w:sz w:val="16"/>
                <w:szCs w:val="16"/>
              </w:rPr>
              <w:t>25,992,194</w:t>
            </w:r>
          </w:p>
        </w:tc>
      </w:tr>
      <w:tr w:rsidR="00C34E37" w:rsidRPr="00C34E37" w14:paraId="657B1D9D" w14:textId="77777777" w:rsidTr="00C34E37">
        <w:trPr>
          <w:trHeight w:val="20"/>
        </w:trPr>
        <w:tc>
          <w:tcPr>
            <w:tcW w:w="1276" w:type="dxa"/>
            <w:tcBorders>
              <w:top w:val="single" w:sz="4" w:space="0" w:color="BFBFBF" w:themeColor="background1" w:themeShade="BF"/>
              <w:left w:val="nil"/>
              <w:bottom w:val="nil"/>
              <w:right w:val="nil"/>
            </w:tcBorders>
          </w:tcPr>
          <w:p w14:paraId="7E0B5BA3" w14:textId="1F7C81E0"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r w:rsidRPr="00C34E37">
              <w:rPr>
                <w:rFonts w:ascii="Segoe UI" w:hAnsi="Segoe UI" w:cs="Segoe UI"/>
                <w:b/>
                <w:bCs/>
                <w:w w:val="110"/>
                <w:sz w:val="16"/>
                <w:szCs w:val="16"/>
              </w:rPr>
              <w:t>24,660,004</w:t>
            </w:r>
          </w:p>
        </w:tc>
        <w:tc>
          <w:tcPr>
            <w:tcW w:w="3363" w:type="dxa"/>
            <w:tcBorders>
              <w:top w:val="single" w:sz="4" w:space="0" w:color="BFBFBF" w:themeColor="background1" w:themeShade="BF"/>
              <w:left w:val="nil"/>
              <w:bottom w:val="nil"/>
              <w:right w:val="nil"/>
            </w:tcBorders>
            <w:hideMark/>
          </w:tcPr>
          <w:p w14:paraId="14C783FD" w14:textId="77777777" w:rsidR="00C34E37" w:rsidRPr="00C34E37" w:rsidRDefault="00C34E37" w:rsidP="00C34E37">
            <w:pPr>
              <w:pStyle w:val="TableParagraph"/>
              <w:spacing w:before="50" w:after="50"/>
              <w:ind w:left="66" w:hanging="5"/>
              <w:rPr>
                <w:rFonts w:ascii="Segoe UI" w:hAnsi="Segoe UI" w:cs="Segoe UI"/>
                <w:b/>
                <w:bCs/>
                <w:w w:val="105"/>
                <w:sz w:val="16"/>
                <w:szCs w:val="16"/>
              </w:rPr>
            </w:pPr>
            <w:r w:rsidRPr="00C34E37">
              <w:rPr>
                <w:rFonts w:ascii="Segoe UI" w:hAnsi="Segoe UI" w:cs="Segoe UI"/>
                <w:b/>
                <w:bCs/>
                <w:w w:val="105"/>
                <w:sz w:val="16"/>
                <w:szCs w:val="16"/>
              </w:rPr>
              <w:t>Total non-departmental expenses</w:t>
            </w:r>
          </w:p>
        </w:tc>
        <w:tc>
          <w:tcPr>
            <w:tcW w:w="664" w:type="dxa"/>
            <w:tcBorders>
              <w:top w:val="single" w:sz="4" w:space="0" w:color="BFBFBF" w:themeColor="background1" w:themeShade="BF"/>
              <w:left w:val="nil"/>
              <w:bottom w:val="nil"/>
              <w:right w:val="nil"/>
            </w:tcBorders>
          </w:tcPr>
          <w:p w14:paraId="451F397B" w14:textId="77777777"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p>
        </w:tc>
        <w:tc>
          <w:tcPr>
            <w:tcW w:w="1239" w:type="dxa"/>
            <w:tcBorders>
              <w:top w:val="single" w:sz="4" w:space="0" w:color="BFBFBF" w:themeColor="background1" w:themeShade="BF"/>
              <w:left w:val="nil"/>
              <w:bottom w:val="nil"/>
              <w:right w:val="nil"/>
            </w:tcBorders>
          </w:tcPr>
          <w:p w14:paraId="59ED02D7" w14:textId="5681BD96"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r w:rsidRPr="00C34E37">
              <w:rPr>
                <w:rFonts w:ascii="Segoe UI" w:hAnsi="Segoe UI" w:cs="Segoe UI"/>
                <w:b/>
                <w:bCs/>
                <w:w w:val="110"/>
                <w:sz w:val="16"/>
                <w:szCs w:val="16"/>
              </w:rPr>
              <w:t>25,914,996</w:t>
            </w:r>
          </w:p>
        </w:tc>
        <w:tc>
          <w:tcPr>
            <w:tcW w:w="1287" w:type="dxa"/>
            <w:tcBorders>
              <w:top w:val="single" w:sz="4" w:space="0" w:color="BFBFBF" w:themeColor="background1" w:themeShade="BF"/>
              <w:left w:val="nil"/>
              <w:bottom w:val="nil"/>
              <w:right w:val="nil"/>
            </w:tcBorders>
          </w:tcPr>
          <w:p w14:paraId="7492E62B" w14:textId="4A52FE4E"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r w:rsidRPr="00C34E37">
              <w:rPr>
                <w:rFonts w:ascii="Segoe UI" w:hAnsi="Segoe UI" w:cs="Segoe UI"/>
                <w:b/>
                <w:bCs/>
                <w:w w:val="110"/>
                <w:sz w:val="16"/>
                <w:szCs w:val="16"/>
              </w:rPr>
              <w:t>24,497,063</w:t>
            </w:r>
          </w:p>
        </w:tc>
        <w:tc>
          <w:tcPr>
            <w:tcW w:w="1246" w:type="dxa"/>
            <w:tcBorders>
              <w:top w:val="single" w:sz="4" w:space="0" w:color="BFBFBF" w:themeColor="background1" w:themeShade="BF"/>
              <w:left w:val="nil"/>
              <w:bottom w:val="nil"/>
              <w:right w:val="nil"/>
            </w:tcBorders>
          </w:tcPr>
          <w:p w14:paraId="4294E752" w14:textId="6CF2D5DE"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r w:rsidRPr="00C34E37">
              <w:rPr>
                <w:rFonts w:ascii="Segoe UI" w:hAnsi="Segoe UI" w:cs="Segoe UI"/>
                <w:b/>
                <w:bCs/>
                <w:w w:val="110"/>
                <w:sz w:val="16"/>
                <w:szCs w:val="16"/>
              </w:rPr>
              <w:t>25,992,194</w:t>
            </w:r>
          </w:p>
        </w:tc>
      </w:tr>
      <w:tr w:rsidR="00C34E37" w14:paraId="644B283B" w14:textId="77777777" w:rsidTr="00C34E37">
        <w:trPr>
          <w:trHeight w:val="20"/>
        </w:trPr>
        <w:tc>
          <w:tcPr>
            <w:tcW w:w="1276" w:type="dxa"/>
            <w:tcBorders>
              <w:top w:val="nil"/>
              <w:left w:val="nil"/>
              <w:bottom w:val="single" w:sz="4" w:space="0" w:color="BFBFBF" w:themeColor="background1" w:themeShade="BF"/>
              <w:right w:val="nil"/>
            </w:tcBorders>
          </w:tcPr>
          <w:p w14:paraId="3F2BEE4C" w14:textId="068F260D" w:rsidR="00C34E37" w:rsidRPr="00C34E37" w:rsidRDefault="00C34E37" w:rsidP="00C34E37">
            <w:pPr>
              <w:pStyle w:val="TableParagraph"/>
              <w:spacing w:before="50" w:after="50"/>
              <w:ind w:left="-42" w:right="152" w:firstLine="99"/>
              <w:jc w:val="right"/>
              <w:rPr>
                <w:rFonts w:ascii="Segoe UI" w:hAnsi="Segoe UI" w:cs="Segoe UI"/>
                <w:w w:val="110"/>
                <w:sz w:val="16"/>
                <w:szCs w:val="16"/>
              </w:rPr>
            </w:pPr>
            <w:r w:rsidRPr="00C34E37">
              <w:rPr>
                <w:rFonts w:ascii="Segoe UI" w:hAnsi="Segoe UI" w:cs="Segoe UI"/>
                <w:w w:val="110"/>
                <w:sz w:val="16"/>
                <w:szCs w:val="16"/>
              </w:rPr>
              <w:t>3,715,789</w:t>
            </w:r>
          </w:p>
        </w:tc>
        <w:tc>
          <w:tcPr>
            <w:tcW w:w="3363" w:type="dxa"/>
            <w:tcBorders>
              <w:top w:val="nil"/>
              <w:left w:val="nil"/>
              <w:bottom w:val="single" w:sz="4" w:space="0" w:color="BFBFBF" w:themeColor="background1" w:themeShade="BF"/>
              <w:right w:val="nil"/>
            </w:tcBorders>
            <w:hideMark/>
          </w:tcPr>
          <w:p w14:paraId="1361A06B" w14:textId="77777777" w:rsidR="00C34E37" w:rsidRDefault="00C34E37" w:rsidP="00C34E37">
            <w:pPr>
              <w:pStyle w:val="TableParagraph"/>
              <w:spacing w:before="50" w:after="50"/>
              <w:ind w:left="66" w:hanging="5"/>
              <w:rPr>
                <w:rFonts w:ascii="Segoe UI" w:hAnsi="Segoe UI" w:cs="Segoe UI"/>
                <w:w w:val="105"/>
                <w:sz w:val="16"/>
                <w:szCs w:val="16"/>
              </w:rPr>
            </w:pPr>
            <w:r>
              <w:rPr>
                <w:rFonts w:ascii="Segoe UI" w:hAnsi="Segoe UI" w:cs="Segoe UI"/>
                <w:w w:val="105"/>
                <w:sz w:val="16"/>
                <w:szCs w:val="16"/>
              </w:rPr>
              <w:t>GST input expense</w:t>
            </w:r>
          </w:p>
        </w:tc>
        <w:tc>
          <w:tcPr>
            <w:tcW w:w="664" w:type="dxa"/>
            <w:tcBorders>
              <w:top w:val="nil"/>
              <w:left w:val="nil"/>
              <w:bottom w:val="single" w:sz="4" w:space="0" w:color="BFBFBF" w:themeColor="background1" w:themeShade="BF"/>
              <w:right w:val="nil"/>
            </w:tcBorders>
          </w:tcPr>
          <w:p w14:paraId="2353F54D" w14:textId="77777777" w:rsidR="00C34E37" w:rsidRDefault="00C34E37" w:rsidP="00C34E37">
            <w:pPr>
              <w:pStyle w:val="TableParagraph"/>
              <w:spacing w:before="50" w:after="50"/>
              <w:ind w:left="-42" w:right="152" w:firstLine="99"/>
              <w:jc w:val="right"/>
              <w:rPr>
                <w:rFonts w:ascii="Segoe UI" w:hAnsi="Segoe UI" w:cs="Segoe UI"/>
                <w:w w:val="110"/>
                <w:sz w:val="16"/>
                <w:szCs w:val="16"/>
              </w:rPr>
            </w:pPr>
          </w:p>
        </w:tc>
        <w:tc>
          <w:tcPr>
            <w:tcW w:w="1239" w:type="dxa"/>
            <w:tcBorders>
              <w:top w:val="nil"/>
              <w:left w:val="nil"/>
              <w:bottom w:val="single" w:sz="4" w:space="0" w:color="BFBFBF" w:themeColor="background1" w:themeShade="BF"/>
              <w:right w:val="nil"/>
            </w:tcBorders>
          </w:tcPr>
          <w:p w14:paraId="66F648F0" w14:textId="3B039631" w:rsidR="00C34E37" w:rsidRDefault="00C34E37" w:rsidP="00C34E37">
            <w:pPr>
              <w:pStyle w:val="TableParagraph"/>
              <w:spacing w:before="50" w:after="50" w:line="272" w:lineRule="exact"/>
              <w:ind w:left="-42" w:right="152" w:firstLine="99"/>
              <w:jc w:val="right"/>
              <w:rPr>
                <w:rFonts w:ascii="Segoe UI" w:hAnsi="Segoe UI" w:cs="Segoe UI"/>
                <w:w w:val="110"/>
                <w:sz w:val="16"/>
                <w:szCs w:val="16"/>
              </w:rPr>
            </w:pPr>
            <w:r w:rsidRPr="00C34E37">
              <w:rPr>
                <w:rFonts w:ascii="Segoe UI" w:hAnsi="Segoe UI" w:cs="Segoe UI"/>
                <w:w w:val="110"/>
                <w:sz w:val="16"/>
                <w:szCs w:val="16"/>
              </w:rPr>
              <w:t>3,886,937</w:t>
            </w:r>
          </w:p>
        </w:tc>
        <w:tc>
          <w:tcPr>
            <w:tcW w:w="1287" w:type="dxa"/>
            <w:tcBorders>
              <w:top w:val="nil"/>
              <w:left w:val="nil"/>
              <w:bottom w:val="single" w:sz="4" w:space="0" w:color="BFBFBF" w:themeColor="background1" w:themeShade="BF"/>
              <w:right w:val="nil"/>
            </w:tcBorders>
          </w:tcPr>
          <w:p w14:paraId="11590159" w14:textId="13A5A90D" w:rsidR="00C34E37" w:rsidRDefault="00C34E37" w:rsidP="00C34E37">
            <w:pPr>
              <w:pStyle w:val="TableParagraph"/>
              <w:spacing w:before="50" w:after="50" w:line="272" w:lineRule="exact"/>
              <w:ind w:left="-42" w:right="152" w:firstLine="99"/>
              <w:jc w:val="right"/>
              <w:rPr>
                <w:rFonts w:ascii="Segoe UI" w:hAnsi="Segoe UI" w:cs="Segoe UI"/>
                <w:w w:val="110"/>
                <w:sz w:val="16"/>
                <w:szCs w:val="16"/>
              </w:rPr>
            </w:pPr>
            <w:r w:rsidRPr="00C34E37">
              <w:rPr>
                <w:rFonts w:ascii="Segoe UI" w:hAnsi="Segoe UI" w:cs="Segoe UI"/>
                <w:w w:val="110"/>
                <w:sz w:val="16"/>
                <w:szCs w:val="16"/>
              </w:rPr>
              <w:t>3,674,559</w:t>
            </w:r>
          </w:p>
        </w:tc>
        <w:tc>
          <w:tcPr>
            <w:tcW w:w="1246" w:type="dxa"/>
            <w:tcBorders>
              <w:top w:val="nil"/>
              <w:left w:val="nil"/>
              <w:bottom w:val="single" w:sz="4" w:space="0" w:color="BFBFBF" w:themeColor="background1" w:themeShade="BF"/>
              <w:right w:val="nil"/>
            </w:tcBorders>
          </w:tcPr>
          <w:p w14:paraId="1E9564DD" w14:textId="555303A1" w:rsidR="00C34E37" w:rsidRDefault="00C34E37" w:rsidP="00C34E37">
            <w:pPr>
              <w:pStyle w:val="TableParagraph"/>
              <w:spacing w:before="50" w:after="50" w:line="272" w:lineRule="exact"/>
              <w:ind w:left="-42" w:right="152" w:firstLine="99"/>
              <w:jc w:val="right"/>
              <w:rPr>
                <w:rFonts w:ascii="Segoe UI" w:hAnsi="Segoe UI" w:cs="Segoe UI"/>
                <w:w w:val="110"/>
                <w:sz w:val="16"/>
                <w:szCs w:val="16"/>
              </w:rPr>
            </w:pPr>
            <w:r w:rsidRPr="00C34E37">
              <w:rPr>
                <w:rFonts w:ascii="Segoe UI" w:hAnsi="Segoe UI" w:cs="Segoe UI"/>
                <w:w w:val="110"/>
                <w:sz w:val="16"/>
                <w:szCs w:val="16"/>
              </w:rPr>
              <w:t>3,898,717</w:t>
            </w:r>
          </w:p>
        </w:tc>
      </w:tr>
      <w:tr w:rsidR="00C34E37" w:rsidRPr="00C34E37" w14:paraId="0E499DBD" w14:textId="77777777" w:rsidTr="00C34E37">
        <w:trPr>
          <w:trHeight w:val="20"/>
        </w:trPr>
        <w:tc>
          <w:tcPr>
            <w:tcW w:w="1276" w:type="dxa"/>
            <w:tcBorders>
              <w:top w:val="single" w:sz="4" w:space="0" w:color="BFBFBF" w:themeColor="background1" w:themeShade="BF"/>
              <w:left w:val="nil"/>
              <w:bottom w:val="single" w:sz="4" w:space="0" w:color="BFBFBF" w:themeColor="background1" w:themeShade="BF"/>
              <w:right w:val="nil"/>
            </w:tcBorders>
          </w:tcPr>
          <w:p w14:paraId="3253573F" w14:textId="3CB372A0"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r w:rsidRPr="00C34E37">
              <w:rPr>
                <w:rFonts w:ascii="Segoe UI" w:hAnsi="Segoe UI" w:cs="Segoe UI"/>
                <w:b/>
                <w:bCs/>
                <w:w w:val="110"/>
                <w:sz w:val="16"/>
                <w:szCs w:val="16"/>
              </w:rPr>
              <w:t>28,375,793</w:t>
            </w:r>
          </w:p>
        </w:tc>
        <w:tc>
          <w:tcPr>
            <w:tcW w:w="3363" w:type="dxa"/>
            <w:tcBorders>
              <w:top w:val="single" w:sz="4" w:space="0" w:color="BFBFBF" w:themeColor="background1" w:themeShade="BF"/>
              <w:left w:val="nil"/>
              <w:bottom w:val="single" w:sz="4" w:space="0" w:color="BFBFBF" w:themeColor="background1" w:themeShade="BF"/>
              <w:right w:val="nil"/>
            </w:tcBorders>
            <w:hideMark/>
          </w:tcPr>
          <w:p w14:paraId="4246D05F" w14:textId="77777777" w:rsidR="00C34E37" w:rsidRPr="00C34E37" w:rsidRDefault="00C34E37" w:rsidP="00C34E37">
            <w:pPr>
              <w:pStyle w:val="TableParagraph"/>
              <w:spacing w:before="50" w:after="50"/>
              <w:ind w:left="66" w:hanging="5"/>
              <w:rPr>
                <w:rFonts w:ascii="Segoe UI" w:hAnsi="Segoe UI" w:cs="Segoe UI"/>
                <w:b/>
                <w:bCs/>
                <w:w w:val="105"/>
                <w:sz w:val="16"/>
                <w:szCs w:val="16"/>
              </w:rPr>
            </w:pPr>
            <w:r w:rsidRPr="00C34E37">
              <w:rPr>
                <w:rFonts w:ascii="Segoe UI" w:hAnsi="Segoe UI" w:cs="Segoe UI"/>
                <w:b/>
                <w:bCs/>
                <w:w w:val="105"/>
                <w:sz w:val="16"/>
                <w:szCs w:val="16"/>
              </w:rPr>
              <w:t>Total non-departmental expenses GST inclusive</w:t>
            </w:r>
          </w:p>
        </w:tc>
        <w:tc>
          <w:tcPr>
            <w:tcW w:w="664" w:type="dxa"/>
            <w:tcBorders>
              <w:top w:val="single" w:sz="4" w:space="0" w:color="BFBFBF" w:themeColor="background1" w:themeShade="BF"/>
              <w:left w:val="nil"/>
              <w:bottom w:val="single" w:sz="4" w:space="0" w:color="BFBFBF" w:themeColor="background1" w:themeShade="BF"/>
              <w:right w:val="nil"/>
            </w:tcBorders>
          </w:tcPr>
          <w:p w14:paraId="31B4A71A" w14:textId="77777777"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p>
        </w:tc>
        <w:tc>
          <w:tcPr>
            <w:tcW w:w="1239" w:type="dxa"/>
            <w:tcBorders>
              <w:top w:val="single" w:sz="4" w:space="0" w:color="BFBFBF" w:themeColor="background1" w:themeShade="BF"/>
              <w:left w:val="nil"/>
              <w:bottom w:val="single" w:sz="4" w:space="0" w:color="BFBFBF" w:themeColor="background1" w:themeShade="BF"/>
              <w:right w:val="nil"/>
            </w:tcBorders>
          </w:tcPr>
          <w:p w14:paraId="7A7B5B12" w14:textId="6CBF2242"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r w:rsidRPr="00C34E37">
              <w:rPr>
                <w:rFonts w:ascii="Segoe UI" w:hAnsi="Segoe UI" w:cs="Segoe UI"/>
                <w:b/>
                <w:bCs/>
                <w:w w:val="110"/>
                <w:sz w:val="16"/>
                <w:szCs w:val="16"/>
              </w:rPr>
              <w:t>29,801,933</w:t>
            </w:r>
          </w:p>
        </w:tc>
        <w:tc>
          <w:tcPr>
            <w:tcW w:w="1287" w:type="dxa"/>
            <w:tcBorders>
              <w:top w:val="single" w:sz="4" w:space="0" w:color="BFBFBF" w:themeColor="background1" w:themeShade="BF"/>
              <w:left w:val="nil"/>
              <w:bottom w:val="single" w:sz="4" w:space="0" w:color="BFBFBF" w:themeColor="background1" w:themeShade="BF"/>
              <w:right w:val="nil"/>
            </w:tcBorders>
          </w:tcPr>
          <w:p w14:paraId="6961BE71" w14:textId="7B9237F5"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r w:rsidRPr="00C34E37">
              <w:rPr>
                <w:rFonts w:ascii="Segoe UI" w:hAnsi="Segoe UI" w:cs="Segoe UI"/>
                <w:b/>
                <w:bCs/>
                <w:w w:val="110"/>
                <w:sz w:val="16"/>
                <w:szCs w:val="16"/>
              </w:rPr>
              <w:t>28,171,622</w:t>
            </w:r>
          </w:p>
        </w:tc>
        <w:tc>
          <w:tcPr>
            <w:tcW w:w="1246" w:type="dxa"/>
            <w:tcBorders>
              <w:top w:val="single" w:sz="4" w:space="0" w:color="BFBFBF" w:themeColor="background1" w:themeShade="BF"/>
              <w:left w:val="nil"/>
              <w:bottom w:val="single" w:sz="4" w:space="0" w:color="BFBFBF" w:themeColor="background1" w:themeShade="BF"/>
              <w:right w:val="nil"/>
            </w:tcBorders>
          </w:tcPr>
          <w:p w14:paraId="65D3ED75" w14:textId="3379A71E" w:rsidR="00C34E37" w:rsidRPr="00C34E37" w:rsidRDefault="00C34E37" w:rsidP="00C34E37">
            <w:pPr>
              <w:pStyle w:val="TableParagraph"/>
              <w:spacing w:before="50" w:after="50"/>
              <w:ind w:left="-42" w:right="152" w:firstLine="99"/>
              <w:jc w:val="right"/>
              <w:rPr>
                <w:rFonts w:ascii="Segoe UI" w:hAnsi="Segoe UI" w:cs="Segoe UI"/>
                <w:b/>
                <w:bCs/>
                <w:w w:val="110"/>
                <w:sz w:val="16"/>
                <w:szCs w:val="16"/>
              </w:rPr>
            </w:pPr>
            <w:r w:rsidRPr="00C34E37">
              <w:rPr>
                <w:rFonts w:ascii="Segoe UI" w:hAnsi="Segoe UI" w:cs="Segoe UI"/>
                <w:b/>
                <w:bCs/>
                <w:w w:val="110"/>
                <w:sz w:val="16"/>
                <w:szCs w:val="16"/>
              </w:rPr>
              <w:t>29,890,911</w:t>
            </w:r>
          </w:p>
        </w:tc>
      </w:tr>
    </w:tbl>
    <w:p w14:paraId="6A27C71C" w14:textId="77777777" w:rsidR="00A74F96" w:rsidRDefault="00A74F96" w:rsidP="00A74F96">
      <w:pPr>
        <w:pStyle w:val="Note"/>
      </w:pPr>
      <w:r>
        <w:t>The accompanying notes form part of these financial statements.</w:t>
      </w:r>
    </w:p>
    <w:p w14:paraId="057AB36E" w14:textId="77777777" w:rsidR="009E5930" w:rsidRDefault="00A74F96" w:rsidP="00A74F96">
      <w:pPr>
        <w:pStyle w:val="Note"/>
      </w:pPr>
      <w:r>
        <w:t>For a full understanding of the Crown’s financial position and the results of its operations for the year, refer to the consolidated Financial Statement of the Government for the year ended 30 June 2024.</w:t>
      </w:r>
    </w:p>
    <w:p w14:paraId="3A32183B" w14:textId="77777777" w:rsidR="00A74F96" w:rsidRDefault="00A74F96" w:rsidP="00A74F96"/>
    <w:p w14:paraId="3E9C1BFE" w14:textId="77777777" w:rsidR="00A74F96" w:rsidRDefault="00A74F96" w:rsidP="00A74F96"/>
    <w:p w14:paraId="1628DD9A" w14:textId="77777777" w:rsidR="00A74F96" w:rsidRDefault="00A74F96" w:rsidP="00A74F96">
      <w:pPr>
        <w:sectPr w:rsidR="00A74F96" w:rsidSect="000A3324">
          <w:pgSz w:w="11907" w:h="16840" w:code="9"/>
          <w:pgMar w:top="1418" w:right="1701" w:bottom="1134" w:left="1843" w:header="284" w:footer="425" w:gutter="284"/>
          <w:cols w:space="720"/>
        </w:sectPr>
      </w:pPr>
    </w:p>
    <w:p w14:paraId="2C9A34B9" w14:textId="77777777" w:rsidR="00A74F96" w:rsidRDefault="00A74F96" w:rsidP="00386646">
      <w:pPr>
        <w:pStyle w:val="Heading3"/>
        <w:spacing w:before="0"/>
      </w:pPr>
      <w:r>
        <w:lastRenderedPageBreak/>
        <w:t>Schedule of non-departmental revenue and capital receipts for the year ended 30 June 2024</w:t>
      </w:r>
    </w:p>
    <w:p w14:paraId="2575B897" w14:textId="77777777" w:rsidR="00A74F96" w:rsidRDefault="00A74F96" w:rsidP="00A74F96">
      <w:r>
        <w:t>Non-departmental revenues and capital receipts are administered by the Ministry on behalf of the Crown. As these revenues are not established by the Ministry nor earned in the production of its outputs, they are not reported in the financial statements.</w:t>
      </w:r>
    </w:p>
    <w:p w14:paraId="54A8D121" w14:textId="77777777" w:rsidR="00A74F96" w:rsidRDefault="00A74F96" w:rsidP="00A74F96"/>
    <w:tbl>
      <w:tblPr>
        <w:tblW w:w="8430" w:type="dxa"/>
        <w:tblLayout w:type="fixed"/>
        <w:tblCellMar>
          <w:left w:w="0" w:type="dxa"/>
          <w:right w:w="0" w:type="dxa"/>
        </w:tblCellMar>
        <w:tblLook w:val="01E0" w:firstRow="1" w:lastRow="1" w:firstColumn="1" w:lastColumn="1" w:noHBand="0" w:noVBand="0"/>
      </w:tblPr>
      <w:tblGrid>
        <w:gridCol w:w="1274"/>
        <w:gridCol w:w="3400"/>
        <w:gridCol w:w="1232"/>
        <w:gridCol w:w="1350"/>
        <w:gridCol w:w="1174"/>
      </w:tblGrid>
      <w:tr w:rsidR="00A74F96" w14:paraId="77221675" w14:textId="77777777" w:rsidTr="00A74F96">
        <w:trPr>
          <w:trHeight w:val="1004"/>
        </w:trPr>
        <w:tc>
          <w:tcPr>
            <w:tcW w:w="1274" w:type="dxa"/>
            <w:shd w:val="clear" w:color="auto" w:fill="D9D9D9" w:themeFill="background1" w:themeFillShade="D9"/>
          </w:tcPr>
          <w:p w14:paraId="52519D72" w14:textId="77777777" w:rsidR="00A74F96" w:rsidRDefault="00A74F96">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Actual</w:t>
            </w:r>
          </w:p>
          <w:p w14:paraId="20120EBC" w14:textId="77777777" w:rsidR="00A74F96" w:rsidRDefault="00A74F96">
            <w:pPr>
              <w:pStyle w:val="TableParagraph"/>
              <w:spacing w:before="60" w:after="60"/>
              <w:ind w:left="-42" w:right="170" w:firstLine="99"/>
              <w:jc w:val="right"/>
              <w:rPr>
                <w:rFonts w:ascii="Segoe UI" w:hAnsi="Segoe UI" w:cs="Segoe UI"/>
                <w:b/>
                <w:bCs/>
                <w:sz w:val="16"/>
                <w:szCs w:val="16"/>
              </w:rPr>
            </w:pPr>
          </w:p>
          <w:p w14:paraId="6FCC007C" w14:textId="05752EF5" w:rsidR="00A74F96" w:rsidRDefault="00A74F96">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2023</w:t>
            </w:r>
          </w:p>
          <w:p w14:paraId="003B8C1D" w14:textId="77777777" w:rsidR="00A74F96" w:rsidRDefault="00A74F96">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3400" w:type="dxa"/>
            <w:shd w:val="clear" w:color="auto" w:fill="D9D9D9" w:themeFill="background1" w:themeFillShade="D9"/>
          </w:tcPr>
          <w:p w14:paraId="077AD9C7" w14:textId="77777777" w:rsidR="00A74F96" w:rsidRDefault="00A74F96">
            <w:pPr>
              <w:pStyle w:val="TableParagraph"/>
              <w:spacing w:line="20" w:lineRule="exact"/>
              <w:ind w:left="3933"/>
              <w:rPr>
                <w:b/>
                <w:bCs/>
                <w:sz w:val="2"/>
              </w:rPr>
            </w:pPr>
          </w:p>
          <w:p w14:paraId="0F016557" w14:textId="77777777" w:rsidR="00A74F96" w:rsidRDefault="00A74F96">
            <w:pPr>
              <w:pStyle w:val="TableParagraph"/>
              <w:rPr>
                <w:b/>
                <w:bCs/>
                <w:sz w:val="20"/>
              </w:rPr>
            </w:pPr>
          </w:p>
          <w:p w14:paraId="43996561" w14:textId="77777777" w:rsidR="00A74F96" w:rsidRDefault="00A74F96">
            <w:pPr>
              <w:pStyle w:val="TableParagraph"/>
              <w:rPr>
                <w:b/>
                <w:bCs/>
                <w:sz w:val="20"/>
              </w:rPr>
            </w:pPr>
          </w:p>
          <w:p w14:paraId="6ED32053" w14:textId="77777777" w:rsidR="00A74F96" w:rsidRDefault="00A74F96">
            <w:pPr>
              <w:pStyle w:val="TableParagraph"/>
              <w:tabs>
                <w:tab w:val="left" w:pos="3933"/>
              </w:tabs>
              <w:spacing w:line="20" w:lineRule="exact"/>
              <w:ind w:left="-8"/>
              <w:rPr>
                <w:b/>
                <w:bCs/>
                <w:sz w:val="2"/>
              </w:rPr>
            </w:pPr>
            <w:r>
              <w:rPr>
                <w:b/>
                <w:bCs/>
                <w:sz w:val="2"/>
              </w:rPr>
              <w:tab/>
            </w:r>
          </w:p>
        </w:tc>
        <w:tc>
          <w:tcPr>
            <w:tcW w:w="1232" w:type="dxa"/>
            <w:shd w:val="clear" w:color="auto" w:fill="D9D9D9" w:themeFill="background1" w:themeFillShade="D9"/>
            <w:hideMark/>
          </w:tcPr>
          <w:p w14:paraId="348C0FD5" w14:textId="77777777" w:rsidR="00A74F96" w:rsidRDefault="00A74F9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Actual</w:t>
            </w:r>
            <w:r>
              <w:rPr>
                <w:rFonts w:ascii="Segoe UI" w:hAnsi="Segoe UI" w:cs="Segoe UI"/>
                <w:b/>
                <w:bCs/>
                <w:w w:val="110"/>
                <w:sz w:val="16"/>
                <w:szCs w:val="16"/>
              </w:rPr>
              <w:br/>
            </w:r>
          </w:p>
          <w:p w14:paraId="7C4825A2" w14:textId="70FF3242" w:rsidR="00A74F96" w:rsidRDefault="00A74F9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76D8AE16" w14:textId="77777777" w:rsidR="00A74F96" w:rsidRDefault="00A74F9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350" w:type="dxa"/>
            <w:shd w:val="clear" w:color="auto" w:fill="D9D9D9" w:themeFill="background1" w:themeFillShade="D9"/>
            <w:hideMark/>
          </w:tcPr>
          <w:p w14:paraId="719B741B" w14:textId="77777777" w:rsidR="00A74F96" w:rsidRDefault="00A74F9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Unaudited</w:t>
            </w:r>
            <w:r>
              <w:rPr>
                <w:rFonts w:ascii="Segoe UI" w:hAnsi="Segoe UI" w:cs="Segoe UI"/>
                <w:b/>
                <w:bCs/>
                <w:w w:val="110"/>
                <w:sz w:val="16"/>
                <w:szCs w:val="16"/>
              </w:rPr>
              <w:br/>
              <w:t>budget</w:t>
            </w:r>
          </w:p>
          <w:p w14:paraId="73C22239" w14:textId="4262FC0D" w:rsidR="00A74F96" w:rsidRDefault="00A74F9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79A7CCA1" w14:textId="77777777" w:rsidR="00A74F96" w:rsidRDefault="00A74F9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174" w:type="dxa"/>
            <w:shd w:val="clear" w:color="auto" w:fill="D9D9D9" w:themeFill="background1" w:themeFillShade="D9"/>
            <w:hideMark/>
          </w:tcPr>
          <w:p w14:paraId="35623A4B" w14:textId="77777777" w:rsidR="00A74F96" w:rsidRDefault="00A74F9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Revised budget</w:t>
            </w:r>
          </w:p>
          <w:p w14:paraId="14632830" w14:textId="57D691C5" w:rsidR="00A74F96" w:rsidRDefault="00A74F9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3B098437" w14:textId="77777777" w:rsidR="00A74F96" w:rsidRDefault="00A74F9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r>
      <w:tr w:rsidR="00A74F96" w14:paraId="3CA9B5E4" w14:textId="77777777" w:rsidTr="00A74F96">
        <w:trPr>
          <w:trHeight w:val="334"/>
        </w:trPr>
        <w:tc>
          <w:tcPr>
            <w:tcW w:w="1274" w:type="dxa"/>
          </w:tcPr>
          <w:p w14:paraId="71C47698" w14:textId="77777777" w:rsidR="00A74F96" w:rsidRDefault="00A74F96">
            <w:pPr>
              <w:pStyle w:val="TableParagraph"/>
              <w:spacing w:before="60" w:after="60"/>
              <w:ind w:left="-42" w:right="170" w:firstLine="99"/>
              <w:jc w:val="right"/>
              <w:rPr>
                <w:rFonts w:ascii="Segoe UI" w:hAnsi="Segoe UI" w:cs="Segoe UI"/>
                <w:b/>
                <w:bCs/>
                <w:sz w:val="16"/>
                <w:szCs w:val="16"/>
              </w:rPr>
            </w:pPr>
          </w:p>
        </w:tc>
        <w:tc>
          <w:tcPr>
            <w:tcW w:w="3400" w:type="dxa"/>
            <w:hideMark/>
          </w:tcPr>
          <w:p w14:paraId="19069B3C" w14:textId="77777777" w:rsidR="00A74F96" w:rsidRDefault="00A74F96">
            <w:pPr>
              <w:pStyle w:val="TableParagraph"/>
              <w:spacing w:before="60" w:after="60"/>
              <w:ind w:left="66" w:hanging="5"/>
              <w:rPr>
                <w:rFonts w:ascii="Segoe UI" w:hAnsi="Segoe UI" w:cs="Segoe UI"/>
                <w:b/>
                <w:bCs/>
                <w:w w:val="105"/>
                <w:sz w:val="16"/>
                <w:szCs w:val="16"/>
              </w:rPr>
            </w:pPr>
            <w:r>
              <w:rPr>
                <w:rFonts w:ascii="Segoe UI" w:hAnsi="Segoe UI" w:cs="Segoe UI"/>
                <w:b/>
                <w:bCs/>
                <w:w w:val="105"/>
                <w:sz w:val="16"/>
                <w:szCs w:val="16"/>
              </w:rPr>
              <w:t>Revenue</w:t>
            </w:r>
          </w:p>
        </w:tc>
        <w:tc>
          <w:tcPr>
            <w:tcW w:w="1232" w:type="dxa"/>
          </w:tcPr>
          <w:p w14:paraId="2D7E0392" w14:textId="77777777" w:rsidR="00A74F96" w:rsidRDefault="00A74F96">
            <w:pPr>
              <w:pStyle w:val="TableParagraph"/>
              <w:spacing w:before="60" w:after="60"/>
              <w:ind w:left="-42" w:right="152" w:firstLine="99"/>
              <w:jc w:val="right"/>
              <w:rPr>
                <w:rFonts w:ascii="Segoe UI" w:hAnsi="Segoe UI" w:cs="Segoe UI"/>
                <w:b/>
                <w:bCs/>
                <w:w w:val="110"/>
                <w:sz w:val="16"/>
                <w:szCs w:val="16"/>
              </w:rPr>
            </w:pPr>
          </w:p>
        </w:tc>
        <w:tc>
          <w:tcPr>
            <w:tcW w:w="1350" w:type="dxa"/>
          </w:tcPr>
          <w:p w14:paraId="565BC969" w14:textId="77777777" w:rsidR="00A74F96" w:rsidRDefault="00A74F96">
            <w:pPr>
              <w:pStyle w:val="TableParagraph"/>
              <w:spacing w:before="60" w:after="60"/>
              <w:ind w:left="-42" w:right="152" w:firstLine="99"/>
              <w:jc w:val="right"/>
              <w:rPr>
                <w:rFonts w:ascii="Segoe UI" w:hAnsi="Segoe UI" w:cs="Segoe UI"/>
                <w:b/>
                <w:bCs/>
                <w:w w:val="110"/>
                <w:sz w:val="16"/>
                <w:szCs w:val="16"/>
              </w:rPr>
            </w:pPr>
          </w:p>
        </w:tc>
        <w:tc>
          <w:tcPr>
            <w:tcW w:w="1174" w:type="dxa"/>
          </w:tcPr>
          <w:p w14:paraId="1A4AA507" w14:textId="77777777" w:rsidR="00A74F96" w:rsidRDefault="00A74F96">
            <w:pPr>
              <w:pStyle w:val="TableParagraph"/>
              <w:spacing w:before="60" w:after="60"/>
              <w:ind w:left="-42" w:right="152" w:firstLine="99"/>
              <w:jc w:val="right"/>
              <w:rPr>
                <w:rFonts w:ascii="Segoe UI" w:hAnsi="Segoe UI" w:cs="Segoe UI"/>
                <w:b/>
                <w:bCs/>
                <w:w w:val="110"/>
                <w:sz w:val="16"/>
                <w:szCs w:val="16"/>
              </w:rPr>
            </w:pPr>
          </w:p>
        </w:tc>
      </w:tr>
      <w:tr w:rsidR="00A74F96" w14:paraId="2C172BC6" w14:textId="77777777" w:rsidTr="00A74F96">
        <w:trPr>
          <w:trHeight w:val="579"/>
        </w:trPr>
        <w:tc>
          <w:tcPr>
            <w:tcW w:w="1274" w:type="dxa"/>
          </w:tcPr>
          <w:p w14:paraId="55B3B615" w14:textId="77777777" w:rsidR="00A74F96" w:rsidRDefault="00A74F96" w:rsidP="00A74F96">
            <w:pPr>
              <w:pStyle w:val="TableParagraph"/>
              <w:spacing w:before="60" w:after="60"/>
              <w:ind w:left="-42" w:right="170" w:firstLine="99"/>
              <w:jc w:val="right"/>
              <w:rPr>
                <w:rFonts w:ascii="Segoe UI" w:hAnsi="Segoe UI" w:cs="Segoe UI"/>
                <w:b/>
                <w:bCs/>
                <w:sz w:val="16"/>
                <w:szCs w:val="16"/>
              </w:rPr>
            </w:pPr>
          </w:p>
        </w:tc>
        <w:tc>
          <w:tcPr>
            <w:tcW w:w="3400" w:type="dxa"/>
            <w:hideMark/>
          </w:tcPr>
          <w:p w14:paraId="6A5D1DB1" w14:textId="7C3CB553" w:rsidR="00A74F96" w:rsidRPr="00A74F96" w:rsidRDefault="00A74F96" w:rsidP="00A74F96">
            <w:pPr>
              <w:pStyle w:val="TableParagraph"/>
              <w:spacing w:before="60" w:after="60"/>
              <w:ind w:left="66" w:hanging="5"/>
              <w:rPr>
                <w:rFonts w:ascii="Segoe UI" w:hAnsi="Segoe UI" w:cs="Segoe UI"/>
                <w:b/>
                <w:bCs/>
                <w:w w:val="105"/>
                <w:sz w:val="16"/>
                <w:szCs w:val="16"/>
              </w:rPr>
            </w:pPr>
            <w:r w:rsidRPr="00A74F96">
              <w:rPr>
                <w:rFonts w:ascii="Segoe UI" w:hAnsi="Segoe UI" w:cs="Segoe UI"/>
                <w:b/>
                <w:bCs/>
                <w:w w:val="105"/>
                <w:sz w:val="16"/>
                <w:szCs w:val="16"/>
              </w:rPr>
              <w:t>Reimbursement from the Accident Compensation Corporation (ACC)</w:t>
            </w:r>
          </w:p>
        </w:tc>
        <w:tc>
          <w:tcPr>
            <w:tcW w:w="1232" w:type="dxa"/>
          </w:tcPr>
          <w:p w14:paraId="1148F5E1" w14:textId="77777777" w:rsidR="00A74F96" w:rsidRDefault="00A74F96" w:rsidP="00A74F96">
            <w:pPr>
              <w:pStyle w:val="TableParagraph"/>
              <w:spacing w:before="60" w:after="60"/>
              <w:ind w:left="-42" w:right="152" w:firstLine="99"/>
              <w:jc w:val="right"/>
              <w:rPr>
                <w:rFonts w:ascii="Segoe UI" w:hAnsi="Segoe UI" w:cs="Segoe UI"/>
                <w:b/>
                <w:bCs/>
                <w:w w:val="110"/>
                <w:sz w:val="16"/>
                <w:szCs w:val="16"/>
              </w:rPr>
            </w:pPr>
          </w:p>
        </w:tc>
        <w:tc>
          <w:tcPr>
            <w:tcW w:w="1350" w:type="dxa"/>
          </w:tcPr>
          <w:p w14:paraId="370D85C4" w14:textId="77777777" w:rsidR="00A74F96" w:rsidRDefault="00A74F96" w:rsidP="00A74F96">
            <w:pPr>
              <w:pStyle w:val="TableParagraph"/>
              <w:spacing w:before="60" w:after="60"/>
              <w:ind w:left="-42" w:right="152" w:firstLine="99"/>
              <w:jc w:val="right"/>
              <w:rPr>
                <w:rFonts w:ascii="Segoe UI" w:hAnsi="Segoe UI" w:cs="Segoe UI"/>
                <w:b/>
                <w:bCs/>
                <w:w w:val="110"/>
                <w:sz w:val="16"/>
                <w:szCs w:val="16"/>
              </w:rPr>
            </w:pPr>
          </w:p>
        </w:tc>
        <w:tc>
          <w:tcPr>
            <w:tcW w:w="1174" w:type="dxa"/>
          </w:tcPr>
          <w:p w14:paraId="1CD17F8E" w14:textId="77777777" w:rsidR="00A74F96" w:rsidRDefault="00A74F96" w:rsidP="00A74F96">
            <w:pPr>
              <w:pStyle w:val="TableParagraph"/>
              <w:spacing w:before="60" w:after="60"/>
              <w:ind w:left="-42" w:right="152" w:firstLine="99"/>
              <w:jc w:val="right"/>
              <w:rPr>
                <w:rFonts w:ascii="Segoe UI" w:hAnsi="Segoe UI" w:cs="Segoe UI"/>
                <w:b/>
                <w:bCs/>
                <w:w w:val="110"/>
                <w:sz w:val="16"/>
                <w:szCs w:val="16"/>
              </w:rPr>
            </w:pPr>
          </w:p>
        </w:tc>
      </w:tr>
      <w:tr w:rsidR="00A74F96" w14:paraId="1CA75427" w14:textId="77777777" w:rsidTr="00A74F96">
        <w:trPr>
          <w:trHeight w:val="359"/>
        </w:trPr>
        <w:tc>
          <w:tcPr>
            <w:tcW w:w="1274" w:type="dxa"/>
          </w:tcPr>
          <w:p w14:paraId="0FF725D2" w14:textId="5BD8ADC6" w:rsidR="00A74F96" w:rsidRP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7,921</w:t>
            </w:r>
          </w:p>
        </w:tc>
        <w:tc>
          <w:tcPr>
            <w:tcW w:w="3400" w:type="dxa"/>
            <w:hideMark/>
          </w:tcPr>
          <w:p w14:paraId="1772A96E" w14:textId="217A0ADC" w:rsidR="00A74F96" w:rsidRDefault="00A74F96" w:rsidP="00A74F96">
            <w:pPr>
              <w:pStyle w:val="TableParagraph"/>
              <w:spacing w:before="60" w:after="60"/>
              <w:ind w:left="66" w:hanging="5"/>
              <w:rPr>
                <w:rFonts w:ascii="Segoe UI" w:hAnsi="Segoe UI" w:cs="Segoe UI"/>
                <w:w w:val="105"/>
                <w:sz w:val="16"/>
                <w:szCs w:val="16"/>
              </w:rPr>
            </w:pPr>
            <w:r w:rsidRPr="00A74F96">
              <w:rPr>
                <w:rFonts w:ascii="Segoe UI" w:hAnsi="Segoe UI" w:cs="Segoe UI"/>
                <w:w w:val="105"/>
                <w:sz w:val="16"/>
                <w:szCs w:val="16"/>
              </w:rPr>
              <w:t>Reimbursement of complex burns costs</w:t>
            </w:r>
          </w:p>
        </w:tc>
        <w:tc>
          <w:tcPr>
            <w:tcW w:w="1232" w:type="dxa"/>
          </w:tcPr>
          <w:p w14:paraId="24DAA705" w14:textId="7BC64BAA"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8,789</w:t>
            </w:r>
          </w:p>
        </w:tc>
        <w:tc>
          <w:tcPr>
            <w:tcW w:w="1350" w:type="dxa"/>
          </w:tcPr>
          <w:p w14:paraId="73463E49" w14:textId="0151A003"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8,428</w:t>
            </w:r>
          </w:p>
        </w:tc>
        <w:tc>
          <w:tcPr>
            <w:tcW w:w="1174" w:type="dxa"/>
          </w:tcPr>
          <w:p w14:paraId="68D05DB2" w14:textId="33745241"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8,428</w:t>
            </w:r>
          </w:p>
        </w:tc>
      </w:tr>
      <w:tr w:rsidR="00A74F96" w14:paraId="51D1054A" w14:textId="77777777" w:rsidTr="00A74F96">
        <w:trPr>
          <w:trHeight w:val="429"/>
        </w:trPr>
        <w:tc>
          <w:tcPr>
            <w:tcW w:w="1274" w:type="dxa"/>
          </w:tcPr>
          <w:p w14:paraId="5A541184" w14:textId="228F7087" w:rsidR="00A74F96" w:rsidRP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39,636</w:t>
            </w:r>
          </w:p>
        </w:tc>
        <w:tc>
          <w:tcPr>
            <w:tcW w:w="3400" w:type="dxa"/>
            <w:hideMark/>
          </w:tcPr>
          <w:p w14:paraId="6630DB61" w14:textId="1E3FC614" w:rsidR="00A74F96" w:rsidRDefault="00A74F96" w:rsidP="00A74F96">
            <w:pPr>
              <w:pStyle w:val="TableParagraph"/>
              <w:spacing w:before="60" w:after="60"/>
              <w:ind w:left="66" w:hanging="5"/>
              <w:rPr>
                <w:rFonts w:ascii="Segoe UI" w:hAnsi="Segoe UI" w:cs="Segoe UI"/>
                <w:w w:val="105"/>
                <w:sz w:val="16"/>
                <w:szCs w:val="16"/>
              </w:rPr>
            </w:pPr>
            <w:r w:rsidRPr="00A74F96">
              <w:rPr>
                <w:rFonts w:ascii="Segoe UI" w:hAnsi="Segoe UI" w:cs="Segoe UI"/>
                <w:w w:val="105"/>
                <w:sz w:val="16"/>
                <w:szCs w:val="16"/>
              </w:rPr>
              <w:t>Reimbursement of work-related public hospital costs</w:t>
            </w:r>
          </w:p>
        </w:tc>
        <w:tc>
          <w:tcPr>
            <w:tcW w:w="1232" w:type="dxa"/>
          </w:tcPr>
          <w:p w14:paraId="7B5CFDB0" w14:textId="1084662D"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43,981</w:t>
            </w:r>
          </w:p>
        </w:tc>
        <w:tc>
          <w:tcPr>
            <w:tcW w:w="1350" w:type="dxa"/>
          </w:tcPr>
          <w:p w14:paraId="397D46E5" w14:textId="4250942B"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43,218</w:t>
            </w:r>
          </w:p>
        </w:tc>
        <w:tc>
          <w:tcPr>
            <w:tcW w:w="1174" w:type="dxa"/>
          </w:tcPr>
          <w:p w14:paraId="16157FB5" w14:textId="28510037"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44,000</w:t>
            </w:r>
          </w:p>
        </w:tc>
      </w:tr>
      <w:tr w:rsidR="00A74F96" w14:paraId="053CE30F" w14:textId="77777777" w:rsidTr="00A74F96">
        <w:trPr>
          <w:trHeight w:val="359"/>
        </w:trPr>
        <w:tc>
          <w:tcPr>
            <w:tcW w:w="1274" w:type="dxa"/>
          </w:tcPr>
          <w:p w14:paraId="5AC4CD1C" w14:textId="73DCBE96" w:rsidR="00A74F96" w:rsidRP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468,202</w:t>
            </w:r>
          </w:p>
        </w:tc>
        <w:tc>
          <w:tcPr>
            <w:tcW w:w="3400" w:type="dxa"/>
            <w:hideMark/>
          </w:tcPr>
          <w:p w14:paraId="4AFD9439" w14:textId="53EE062B" w:rsidR="00A74F96" w:rsidRDefault="00A74F96" w:rsidP="00A74F96">
            <w:pPr>
              <w:pStyle w:val="TableParagraph"/>
              <w:spacing w:before="60" w:after="60"/>
              <w:ind w:left="66" w:hanging="5"/>
              <w:rPr>
                <w:rFonts w:ascii="Segoe UI" w:hAnsi="Segoe UI" w:cs="Segoe UI"/>
                <w:w w:val="105"/>
                <w:sz w:val="16"/>
                <w:szCs w:val="16"/>
              </w:rPr>
            </w:pPr>
            <w:r w:rsidRPr="00A74F96">
              <w:rPr>
                <w:rFonts w:ascii="Segoe UI" w:hAnsi="Segoe UI" w:cs="Segoe UI"/>
                <w:w w:val="105"/>
                <w:sz w:val="16"/>
                <w:szCs w:val="16"/>
              </w:rPr>
              <w:t>Reimbursement of non-earners’ account</w:t>
            </w:r>
          </w:p>
        </w:tc>
        <w:tc>
          <w:tcPr>
            <w:tcW w:w="1232" w:type="dxa"/>
          </w:tcPr>
          <w:p w14:paraId="7D2C1B81" w14:textId="4681FDD2"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519,526</w:t>
            </w:r>
          </w:p>
        </w:tc>
        <w:tc>
          <w:tcPr>
            <w:tcW w:w="1350" w:type="dxa"/>
          </w:tcPr>
          <w:p w14:paraId="20282B09" w14:textId="03F331D7"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510,510</w:t>
            </w:r>
          </w:p>
        </w:tc>
        <w:tc>
          <w:tcPr>
            <w:tcW w:w="1174" w:type="dxa"/>
          </w:tcPr>
          <w:p w14:paraId="4007C5D2" w14:textId="23CBC2B3"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519,753</w:t>
            </w:r>
          </w:p>
        </w:tc>
      </w:tr>
      <w:tr w:rsidR="00A74F96" w14:paraId="78604663" w14:textId="77777777" w:rsidTr="00A74F96">
        <w:trPr>
          <w:trHeight w:val="579"/>
        </w:trPr>
        <w:tc>
          <w:tcPr>
            <w:tcW w:w="1274" w:type="dxa"/>
          </w:tcPr>
          <w:p w14:paraId="0BDF5ACB" w14:textId="76886EA2" w:rsidR="00A74F96" w:rsidRP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151,632</w:t>
            </w:r>
          </w:p>
        </w:tc>
        <w:tc>
          <w:tcPr>
            <w:tcW w:w="3400" w:type="dxa"/>
            <w:hideMark/>
          </w:tcPr>
          <w:p w14:paraId="12AAD4E5" w14:textId="69E3C668" w:rsidR="00A74F96" w:rsidRDefault="00A74F96" w:rsidP="00A74F96">
            <w:pPr>
              <w:pStyle w:val="TableParagraph"/>
              <w:spacing w:before="60" w:after="60"/>
              <w:ind w:left="66" w:hanging="5"/>
              <w:rPr>
                <w:rFonts w:ascii="Segoe UI" w:hAnsi="Segoe UI" w:cs="Segoe UI"/>
                <w:w w:val="105"/>
                <w:sz w:val="16"/>
                <w:szCs w:val="16"/>
              </w:rPr>
            </w:pPr>
            <w:r w:rsidRPr="00A74F96">
              <w:rPr>
                <w:rFonts w:ascii="Segoe UI" w:hAnsi="Segoe UI" w:cs="Segoe UI"/>
                <w:w w:val="105"/>
                <w:sz w:val="16"/>
                <w:szCs w:val="16"/>
              </w:rPr>
              <w:t>Reimbursement of earners’ non-work- related public hospital costs</w:t>
            </w:r>
          </w:p>
        </w:tc>
        <w:tc>
          <w:tcPr>
            <w:tcW w:w="1232" w:type="dxa"/>
          </w:tcPr>
          <w:p w14:paraId="3EB6230B" w14:textId="5AF90C57"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168,254</w:t>
            </w:r>
          </w:p>
        </w:tc>
        <w:tc>
          <w:tcPr>
            <w:tcW w:w="1350" w:type="dxa"/>
          </w:tcPr>
          <w:p w14:paraId="6C6B2C45" w14:textId="1F5B521B"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165,334</w:t>
            </w:r>
          </w:p>
        </w:tc>
        <w:tc>
          <w:tcPr>
            <w:tcW w:w="1174" w:type="dxa"/>
          </w:tcPr>
          <w:p w14:paraId="668E33A6" w14:textId="0D6989E3"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168,327</w:t>
            </w:r>
          </w:p>
        </w:tc>
      </w:tr>
      <w:tr w:rsidR="00A74F96" w14:paraId="1E0CFFAC" w14:textId="77777777" w:rsidTr="00A74F96">
        <w:trPr>
          <w:trHeight w:val="579"/>
        </w:trPr>
        <w:tc>
          <w:tcPr>
            <w:tcW w:w="1274" w:type="dxa"/>
          </w:tcPr>
          <w:p w14:paraId="20793110" w14:textId="6B093DA7" w:rsidR="00A74F96" w:rsidRP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73,447</w:t>
            </w:r>
          </w:p>
        </w:tc>
        <w:tc>
          <w:tcPr>
            <w:tcW w:w="3400" w:type="dxa"/>
            <w:hideMark/>
          </w:tcPr>
          <w:p w14:paraId="645BF845" w14:textId="36645280" w:rsidR="00A74F96" w:rsidRDefault="00A74F96" w:rsidP="00A74F96">
            <w:pPr>
              <w:pStyle w:val="TableParagraph"/>
              <w:spacing w:before="60" w:after="60"/>
              <w:ind w:left="66" w:hanging="5"/>
              <w:rPr>
                <w:rFonts w:ascii="Segoe UI" w:hAnsi="Segoe UI" w:cs="Segoe UI"/>
                <w:w w:val="105"/>
                <w:sz w:val="16"/>
                <w:szCs w:val="16"/>
              </w:rPr>
            </w:pPr>
            <w:r w:rsidRPr="00A74F96">
              <w:rPr>
                <w:rFonts w:ascii="Segoe UI" w:hAnsi="Segoe UI" w:cs="Segoe UI"/>
                <w:w w:val="105"/>
                <w:sz w:val="16"/>
                <w:szCs w:val="16"/>
              </w:rPr>
              <w:t>Reimbursement of motor vehicle-related public hospital costs</w:t>
            </w:r>
          </w:p>
        </w:tc>
        <w:tc>
          <w:tcPr>
            <w:tcW w:w="1232" w:type="dxa"/>
          </w:tcPr>
          <w:p w14:paraId="37505784" w14:textId="24DB8629"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81,498</w:t>
            </w:r>
          </w:p>
        </w:tc>
        <w:tc>
          <w:tcPr>
            <w:tcW w:w="1350" w:type="dxa"/>
          </w:tcPr>
          <w:p w14:paraId="203A44BD" w14:textId="14B68B52"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80,084</w:t>
            </w:r>
          </w:p>
        </w:tc>
        <w:tc>
          <w:tcPr>
            <w:tcW w:w="1174" w:type="dxa"/>
          </w:tcPr>
          <w:p w14:paraId="766BBBB5" w14:textId="3A0B73A6"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81,533</w:t>
            </w:r>
          </w:p>
        </w:tc>
      </w:tr>
      <w:tr w:rsidR="00A74F96" w14:paraId="72FF520C" w14:textId="77777777" w:rsidTr="00A74F96">
        <w:trPr>
          <w:trHeight w:val="315"/>
        </w:trPr>
        <w:tc>
          <w:tcPr>
            <w:tcW w:w="1274" w:type="dxa"/>
          </w:tcPr>
          <w:p w14:paraId="73B93921" w14:textId="5C8F12CC" w:rsidR="00A74F96" w:rsidRP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4,437</w:t>
            </w:r>
          </w:p>
        </w:tc>
        <w:tc>
          <w:tcPr>
            <w:tcW w:w="3400" w:type="dxa"/>
            <w:hideMark/>
          </w:tcPr>
          <w:p w14:paraId="23D1AA6A" w14:textId="28FEF381" w:rsidR="00A74F96" w:rsidRDefault="00A74F96" w:rsidP="00A74F96">
            <w:pPr>
              <w:pStyle w:val="TableParagraph"/>
              <w:spacing w:before="60" w:after="60"/>
              <w:ind w:left="66" w:hanging="5"/>
              <w:rPr>
                <w:rFonts w:ascii="Segoe UI" w:hAnsi="Segoe UI" w:cs="Segoe UI"/>
                <w:w w:val="105"/>
                <w:sz w:val="16"/>
                <w:szCs w:val="16"/>
              </w:rPr>
            </w:pPr>
            <w:r w:rsidRPr="00A74F96">
              <w:rPr>
                <w:rFonts w:ascii="Segoe UI" w:hAnsi="Segoe UI" w:cs="Segoe UI"/>
                <w:w w:val="105"/>
                <w:sz w:val="16"/>
                <w:szCs w:val="16"/>
              </w:rPr>
              <w:t>Reimbursement of medical misadventure costs</w:t>
            </w:r>
          </w:p>
        </w:tc>
        <w:tc>
          <w:tcPr>
            <w:tcW w:w="1232" w:type="dxa"/>
          </w:tcPr>
          <w:p w14:paraId="3D836F10" w14:textId="64607D3F"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4,923</w:t>
            </w:r>
          </w:p>
        </w:tc>
        <w:tc>
          <w:tcPr>
            <w:tcW w:w="1350" w:type="dxa"/>
          </w:tcPr>
          <w:p w14:paraId="76488862" w14:textId="64B1C0D6"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4,838</w:t>
            </w:r>
          </w:p>
        </w:tc>
        <w:tc>
          <w:tcPr>
            <w:tcW w:w="1174" w:type="dxa"/>
          </w:tcPr>
          <w:p w14:paraId="57A5140E" w14:textId="123FC19D"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4,925</w:t>
            </w:r>
          </w:p>
        </w:tc>
      </w:tr>
      <w:tr w:rsidR="00A74F96" w14:paraId="33D8C44F" w14:textId="77777777" w:rsidTr="00A74F96">
        <w:trPr>
          <w:trHeight w:val="568"/>
        </w:trPr>
        <w:tc>
          <w:tcPr>
            <w:tcW w:w="1274" w:type="dxa"/>
            <w:tcBorders>
              <w:top w:val="nil"/>
              <w:left w:val="nil"/>
              <w:bottom w:val="single" w:sz="4" w:space="0" w:color="BFBFBF" w:themeColor="background1" w:themeShade="BF"/>
              <w:right w:val="nil"/>
            </w:tcBorders>
          </w:tcPr>
          <w:p w14:paraId="47FB84F4" w14:textId="77D101EF" w:rsidR="00A74F96" w:rsidRP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9,222</w:t>
            </w:r>
          </w:p>
        </w:tc>
        <w:tc>
          <w:tcPr>
            <w:tcW w:w="3400" w:type="dxa"/>
            <w:tcBorders>
              <w:top w:val="nil"/>
              <w:left w:val="nil"/>
              <w:bottom w:val="single" w:sz="4" w:space="0" w:color="BFBFBF" w:themeColor="background1" w:themeShade="BF"/>
              <w:right w:val="nil"/>
            </w:tcBorders>
            <w:hideMark/>
          </w:tcPr>
          <w:p w14:paraId="17286261" w14:textId="7220D8FE" w:rsidR="00A74F96" w:rsidRDefault="00A74F96" w:rsidP="00A74F96">
            <w:pPr>
              <w:pStyle w:val="TableParagraph"/>
              <w:spacing w:before="60" w:after="60"/>
              <w:ind w:left="66" w:hanging="5"/>
              <w:rPr>
                <w:rFonts w:ascii="Segoe UI" w:hAnsi="Segoe UI" w:cs="Segoe UI"/>
                <w:w w:val="105"/>
                <w:sz w:val="16"/>
                <w:szCs w:val="16"/>
              </w:rPr>
            </w:pPr>
            <w:r w:rsidRPr="00A74F96">
              <w:rPr>
                <w:rFonts w:ascii="Segoe UI" w:hAnsi="Segoe UI" w:cs="Segoe UI"/>
                <w:w w:val="105"/>
                <w:sz w:val="16"/>
                <w:szCs w:val="16"/>
              </w:rPr>
              <w:t>Reimbursement of self-employed public hospital costs</w:t>
            </w:r>
          </w:p>
        </w:tc>
        <w:tc>
          <w:tcPr>
            <w:tcW w:w="1232" w:type="dxa"/>
            <w:tcBorders>
              <w:top w:val="nil"/>
              <w:left w:val="nil"/>
              <w:bottom w:val="single" w:sz="4" w:space="0" w:color="BFBFBF" w:themeColor="background1" w:themeShade="BF"/>
              <w:right w:val="nil"/>
            </w:tcBorders>
          </w:tcPr>
          <w:p w14:paraId="0352DFA2" w14:textId="32F35EC8"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10,232</w:t>
            </w:r>
          </w:p>
        </w:tc>
        <w:tc>
          <w:tcPr>
            <w:tcW w:w="1350" w:type="dxa"/>
            <w:tcBorders>
              <w:top w:val="nil"/>
              <w:left w:val="nil"/>
              <w:bottom w:val="single" w:sz="4" w:space="0" w:color="BFBFBF" w:themeColor="background1" w:themeShade="BF"/>
              <w:right w:val="nil"/>
            </w:tcBorders>
          </w:tcPr>
          <w:p w14:paraId="1D5A0CC4" w14:textId="3D87E1B8"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10,055</w:t>
            </w:r>
          </w:p>
        </w:tc>
        <w:tc>
          <w:tcPr>
            <w:tcW w:w="1174" w:type="dxa"/>
            <w:tcBorders>
              <w:top w:val="nil"/>
              <w:left w:val="nil"/>
              <w:bottom w:val="single" w:sz="4" w:space="0" w:color="BFBFBF" w:themeColor="background1" w:themeShade="BF"/>
              <w:right w:val="nil"/>
            </w:tcBorders>
          </w:tcPr>
          <w:p w14:paraId="22A8768D" w14:textId="20EB1920"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10,237</w:t>
            </w:r>
          </w:p>
        </w:tc>
      </w:tr>
      <w:tr w:rsidR="00A74F96" w:rsidRPr="00A74F96" w14:paraId="44395006" w14:textId="77777777" w:rsidTr="00A74F96">
        <w:trPr>
          <w:trHeight w:val="344"/>
        </w:trPr>
        <w:tc>
          <w:tcPr>
            <w:tcW w:w="1274" w:type="dxa"/>
            <w:tcBorders>
              <w:top w:val="single" w:sz="4" w:space="0" w:color="BFBFBF" w:themeColor="background1" w:themeShade="BF"/>
              <w:left w:val="nil"/>
              <w:bottom w:val="single" w:sz="4" w:space="0" w:color="BFBFBF" w:themeColor="background1" w:themeShade="BF"/>
              <w:right w:val="nil"/>
            </w:tcBorders>
          </w:tcPr>
          <w:p w14:paraId="1DEFD04F" w14:textId="28442842" w:rsidR="00A74F96" w:rsidRPr="00A74F96" w:rsidRDefault="00A74F96" w:rsidP="00A74F96">
            <w:pPr>
              <w:pStyle w:val="TableParagraph"/>
              <w:spacing w:before="60" w:after="60"/>
              <w:ind w:left="-42" w:right="152" w:firstLine="99"/>
              <w:jc w:val="right"/>
              <w:rPr>
                <w:rFonts w:ascii="Segoe UI" w:hAnsi="Segoe UI" w:cs="Segoe UI"/>
                <w:b/>
                <w:bCs/>
                <w:w w:val="110"/>
                <w:sz w:val="16"/>
                <w:szCs w:val="16"/>
              </w:rPr>
            </w:pPr>
            <w:r w:rsidRPr="00A74F96">
              <w:rPr>
                <w:rFonts w:ascii="Segoe UI" w:hAnsi="Segoe UI" w:cs="Segoe UI"/>
                <w:b/>
                <w:bCs/>
                <w:w w:val="110"/>
                <w:sz w:val="16"/>
                <w:szCs w:val="16"/>
              </w:rPr>
              <w:t>754,497</w:t>
            </w:r>
          </w:p>
        </w:tc>
        <w:tc>
          <w:tcPr>
            <w:tcW w:w="3400" w:type="dxa"/>
            <w:tcBorders>
              <w:top w:val="single" w:sz="4" w:space="0" w:color="BFBFBF" w:themeColor="background1" w:themeShade="BF"/>
              <w:left w:val="nil"/>
              <w:bottom w:val="single" w:sz="4" w:space="0" w:color="BFBFBF" w:themeColor="background1" w:themeShade="BF"/>
              <w:right w:val="nil"/>
            </w:tcBorders>
            <w:hideMark/>
          </w:tcPr>
          <w:p w14:paraId="141736BA" w14:textId="77777777" w:rsidR="00A74F96" w:rsidRPr="00A74F96" w:rsidRDefault="00A74F96" w:rsidP="00A74F96">
            <w:pPr>
              <w:pStyle w:val="TableParagraph"/>
              <w:spacing w:before="60" w:after="60"/>
              <w:ind w:left="66" w:hanging="5"/>
              <w:rPr>
                <w:rFonts w:ascii="Segoe UI" w:hAnsi="Segoe UI" w:cs="Segoe UI"/>
                <w:b/>
                <w:bCs/>
                <w:w w:val="105"/>
                <w:sz w:val="16"/>
                <w:szCs w:val="16"/>
              </w:rPr>
            </w:pPr>
            <w:r w:rsidRPr="00A74F96">
              <w:rPr>
                <w:rFonts w:ascii="Segoe UI" w:hAnsi="Segoe UI" w:cs="Segoe UI"/>
                <w:b/>
                <w:bCs/>
                <w:w w:val="105"/>
                <w:sz w:val="16"/>
                <w:szCs w:val="16"/>
              </w:rPr>
              <w:t>Total ACC reimbursements</w:t>
            </w:r>
          </w:p>
        </w:tc>
        <w:tc>
          <w:tcPr>
            <w:tcW w:w="1232" w:type="dxa"/>
            <w:tcBorders>
              <w:top w:val="single" w:sz="4" w:space="0" w:color="BFBFBF" w:themeColor="background1" w:themeShade="BF"/>
              <w:left w:val="nil"/>
              <w:bottom w:val="single" w:sz="4" w:space="0" w:color="BFBFBF" w:themeColor="background1" w:themeShade="BF"/>
              <w:right w:val="nil"/>
            </w:tcBorders>
          </w:tcPr>
          <w:p w14:paraId="599B30BF" w14:textId="762FACD3" w:rsidR="00A74F96" w:rsidRPr="00A74F96" w:rsidRDefault="00A74F96" w:rsidP="00A74F96">
            <w:pPr>
              <w:pStyle w:val="TableParagraph"/>
              <w:spacing w:before="60" w:after="60"/>
              <w:ind w:left="-42" w:right="152" w:firstLine="99"/>
              <w:jc w:val="right"/>
              <w:rPr>
                <w:rFonts w:ascii="Segoe UI" w:hAnsi="Segoe UI" w:cs="Segoe UI"/>
                <w:b/>
                <w:bCs/>
                <w:w w:val="110"/>
                <w:sz w:val="16"/>
                <w:szCs w:val="16"/>
              </w:rPr>
            </w:pPr>
            <w:r w:rsidRPr="00A74F96">
              <w:rPr>
                <w:rFonts w:ascii="Segoe UI" w:hAnsi="Segoe UI" w:cs="Segoe UI"/>
                <w:b/>
                <w:bCs/>
                <w:w w:val="110"/>
                <w:sz w:val="16"/>
                <w:szCs w:val="16"/>
              </w:rPr>
              <w:t>837,203</w:t>
            </w:r>
          </w:p>
        </w:tc>
        <w:tc>
          <w:tcPr>
            <w:tcW w:w="1350" w:type="dxa"/>
            <w:tcBorders>
              <w:top w:val="single" w:sz="4" w:space="0" w:color="BFBFBF" w:themeColor="background1" w:themeShade="BF"/>
              <w:left w:val="nil"/>
              <w:bottom w:val="single" w:sz="4" w:space="0" w:color="BFBFBF" w:themeColor="background1" w:themeShade="BF"/>
              <w:right w:val="nil"/>
            </w:tcBorders>
          </w:tcPr>
          <w:p w14:paraId="31A9EB8D" w14:textId="1E061071" w:rsidR="00A74F96" w:rsidRPr="00A74F96" w:rsidRDefault="00A74F96" w:rsidP="00A74F96">
            <w:pPr>
              <w:pStyle w:val="TableParagraph"/>
              <w:spacing w:before="60" w:after="60"/>
              <w:ind w:left="-42" w:right="152" w:firstLine="99"/>
              <w:jc w:val="right"/>
              <w:rPr>
                <w:rFonts w:ascii="Segoe UI" w:hAnsi="Segoe UI" w:cs="Segoe UI"/>
                <w:b/>
                <w:bCs/>
                <w:w w:val="110"/>
                <w:sz w:val="16"/>
                <w:szCs w:val="16"/>
              </w:rPr>
            </w:pPr>
            <w:r w:rsidRPr="00A74F96">
              <w:rPr>
                <w:rFonts w:ascii="Segoe UI" w:hAnsi="Segoe UI" w:cs="Segoe UI"/>
                <w:b/>
                <w:bCs/>
                <w:w w:val="110"/>
                <w:sz w:val="16"/>
                <w:szCs w:val="16"/>
              </w:rPr>
              <w:t>822,467</w:t>
            </w:r>
          </w:p>
        </w:tc>
        <w:tc>
          <w:tcPr>
            <w:tcW w:w="1174" w:type="dxa"/>
            <w:tcBorders>
              <w:top w:val="single" w:sz="4" w:space="0" w:color="BFBFBF" w:themeColor="background1" w:themeShade="BF"/>
              <w:left w:val="nil"/>
              <w:bottom w:val="single" w:sz="4" w:space="0" w:color="BFBFBF" w:themeColor="background1" w:themeShade="BF"/>
              <w:right w:val="nil"/>
            </w:tcBorders>
          </w:tcPr>
          <w:p w14:paraId="5EBE43BB" w14:textId="69B18734" w:rsidR="00A74F96" w:rsidRPr="00A74F96" w:rsidRDefault="00A74F96" w:rsidP="00A74F96">
            <w:pPr>
              <w:pStyle w:val="TableParagraph"/>
              <w:spacing w:before="60" w:after="60"/>
              <w:ind w:left="-42" w:right="152" w:firstLine="99"/>
              <w:jc w:val="right"/>
              <w:rPr>
                <w:rFonts w:ascii="Segoe UI" w:hAnsi="Segoe UI" w:cs="Segoe UI"/>
                <w:b/>
                <w:bCs/>
                <w:w w:val="110"/>
                <w:sz w:val="16"/>
                <w:szCs w:val="16"/>
              </w:rPr>
            </w:pPr>
            <w:r w:rsidRPr="00A74F96">
              <w:rPr>
                <w:rFonts w:ascii="Segoe UI" w:hAnsi="Segoe UI" w:cs="Segoe UI"/>
                <w:b/>
                <w:bCs/>
                <w:w w:val="110"/>
                <w:sz w:val="16"/>
                <w:szCs w:val="16"/>
              </w:rPr>
              <w:t>837,203</w:t>
            </w:r>
          </w:p>
        </w:tc>
      </w:tr>
      <w:tr w:rsidR="00A74F96" w:rsidRPr="00A74F96" w14:paraId="151935A3" w14:textId="77777777" w:rsidTr="00A74F96">
        <w:trPr>
          <w:trHeight w:val="354"/>
        </w:trPr>
        <w:tc>
          <w:tcPr>
            <w:tcW w:w="1274" w:type="dxa"/>
            <w:tcBorders>
              <w:top w:val="single" w:sz="4" w:space="0" w:color="BFBFBF" w:themeColor="background1" w:themeShade="BF"/>
              <w:left w:val="nil"/>
              <w:bottom w:val="nil"/>
              <w:right w:val="nil"/>
            </w:tcBorders>
          </w:tcPr>
          <w:p w14:paraId="65BFD004" w14:textId="77777777" w:rsidR="00A74F96" w:rsidRPr="00A74F96" w:rsidRDefault="00A74F96" w:rsidP="00A74F96">
            <w:pPr>
              <w:pStyle w:val="TableParagraph"/>
              <w:spacing w:before="60" w:after="60"/>
              <w:ind w:left="-42" w:right="152" w:firstLine="99"/>
              <w:jc w:val="right"/>
              <w:rPr>
                <w:rFonts w:ascii="Segoe UI" w:hAnsi="Segoe UI" w:cs="Segoe UI"/>
                <w:b/>
                <w:bCs/>
                <w:w w:val="110"/>
                <w:sz w:val="16"/>
                <w:szCs w:val="16"/>
              </w:rPr>
            </w:pPr>
          </w:p>
        </w:tc>
        <w:tc>
          <w:tcPr>
            <w:tcW w:w="3400" w:type="dxa"/>
            <w:tcBorders>
              <w:top w:val="single" w:sz="4" w:space="0" w:color="BFBFBF" w:themeColor="background1" w:themeShade="BF"/>
              <w:left w:val="nil"/>
              <w:bottom w:val="nil"/>
              <w:right w:val="nil"/>
            </w:tcBorders>
            <w:hideMark/>
          </w:tcPr>
          <w:p w14:paraId="0A9C217E" w14:textId="19F7CF8E" w:rsidR="00A74F96" w:rsidRPr="00A74F96" w:rsidRDefault="00A74F96" w:rsidP="00A74F96">
            <w:pPr>
              <w:pStyle w:val="TableParagraph"/>
              <w:spacing w:before="60" w:after="60"/>
              <w:ind w:left="66" w:hanging="5"/>
              <w:rPr>
                <w:rFonts w:ascii="Segoe UI" w:hAnsi="Segoe UI" w:cs="Segoe UI"/>
                <w:b/>
                <w:bCs/>
                <w:w w:val="105"/>
                <w:sz w:val="16"/>
                <w:szCs w:val="16"/>
              </w:rPr>
            </w:pPr>
            <w:r w:rsidRPr="00A74F96">
              <w:rPr>
                <w:rFonts w:ascii="Segoe UI" w:hAnsi="Segoe UI" w:cs="Segoe UI"/>
                <w:b/>
                <w:bCs/>
                <w:w w:val="105"/>
                <w:sz w:val="16"/>
                <w:szCs w:val="16"/>
              </w:rPr>
              <w:t>Other non-departmental revenue</w:t>
            </w:r>
          </w:p>
        </w:tc>
        <w:tc>
          <w:tcPr>
            <w:tcW w:w="1232" w:type="dxa"/>
            <w:tcBorders>
              <w:top w:val="single" w:sz="4" w:space="0" w:color="BFBFBF" w:themeColor="background1" w:themeShade="BF"/>
              <w:left w:val="nil"/>
              <w:bottom w:val="nil"/>
              <w:right w:val="nil"/>
            </w:tcBorders>
          </w:tcPr>
          <w:p w14:paraId="22BD91CD" w14:textId="77777777" w:rsidR="00A74F96" w:rsidRPr="00A74F96" w:rsidRDefault="00A74F96" w:rsidP="00A74F96">
            <w:pPr>
              <w:pStyle w:val="TableParagraph"/>
              <w:spacing w:before="60" w:after="60"/>
              <w:ind w:left="-42" w:right="152" w:firstLine="99"/>
              <w:jc w:val="right"/>
              <w:rPr>
                <w:rFonts w:ascii="Segoe UI" w:hAnsi="Segoe UI" w:cs="Segoe UI"/>
                <w:b/>
                <w:bCs/>
                <w:w w:val="110"/>
                <w:sz w:val="16"/>
                <w:szCs w:val="16"/>
              </w:rPr>
            </w:pPr>
          </w:p>
        </w:tc>
        <w:tc>
          <w:tcPr>
            <w:tcW w:w="1350" w:type="dxa"/>
            <w:tcBorders>
              <w:top w:val="single" w:sz="4" w:space="0" w:color="BFBFBF" w:themeColor="background1" w:themeShade="BF"/>
              <w:left w:val="nil"/>
              <w:bottom w:val="nil"/>
              <w:right w:val="nil"/>
            </w:tcBorders>
          </w:tcPr>
          <w:p w14:paraId="5D8F33B2" w14:textId="77777777" w:rsidR="00A74F96" w:rsidRPr="00A74F96" w:rsidRDefault="00A74F96" w:rsidP="00A74F96">
            <w:pPr>
              <w:pStyle w:val="TableParagraph"/>
              <w:spacing w:before="60" w:after="60"/>
              <w:ind w:left="-42" w:right="152" w:firstLine="99"/>
              <w:jc w:val="right"/>
              <w:rPr>
                <w:rFonts w:ascii="Segoe UI" w:hAnsi="Segoe UI" w:cs="Segoe UI"/>
                <w:b/>
                <w:bCs/>
                <w:w w:val="110"/>
                <w:sz w:val="16"/>
                <w:szCs w:val="16"/>
              </w:rPr>
            </w:pPr>
          </w:p>
        </w:tc>
        <w:tc>
          <w:tcPr>
            <w:tcW w:w="1174" w:type="dxa"/>
            <w:tcBorders>
              <w:top w:val="single" w:sz="4" w:space="0" w:color="BFBFBF" w:themeColor="background1" w:themeShade="BF"/>
              <w:left w:val="nil"/>
              <w:bottom w:val="nil"/>
              <w:right w:val="nil"/>
            </w:tcBorders>
          </w:tcPr>
          <w:p w14:paraId="59BF25C7" w14:textId="77777777" w:rsidR="00A74F96" w:rsidRPr="00A74F96" w:rsidRDefault="00A74F96" w:rsidP="00A74F96">
            <w:pPr>
              <w:pStyle w:val="TableParagraph"/>
              <w:spacing w:before="60" w:after="60"/>
              <w:ind w:left="-42" w:right="152" w:firstLine="99"/>
              <w:jc w:val="right"/>
              <w:rPr>
                <w:rFonts w:ascii="Segoe UI" w:hAnsi="Segoe UI" w:cs="Segoe UI"/>
                <w:b/>
                <w:bCs/>
                <w:w w:val="110"/>
                <w:sz w:val="16"/>
                <w:szCs w:val="16"/>
              </w:rPr>
            </w:pPr>
          </w:p>
        </w:tc>
      </w:tr>
      <w:tr w:rsidR="00A74F96" w14:paraId="538EEF82" w14:textId="77777777" w:rsidTr="00A74F96">
        <w:trPr>
          <w:trHeight w:val="359"/>
        </w:trPr>
        <w:tc>
          <w:tcPr>
            <w:tcW w:w="1274" w:type="dxa"/>
          </w:tcPr>
          <w:p w14:paraId="032B68BD" w14:textId="59C93E52" w:rsidR="00A74F96" w:rsidRP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429,510</w:t>
            </w:r>
          </w:p>
        </w:tc>
        <w:tc>
          <w:tcPr>
            <w:tcW w:w="3400" w:type="dxa"/>
            <w:hideMark/>
          </w:tcPr>
          <w:p w14:paraId="335DC8D1" w14:textId="4BEDF7E3" w:rsidR="00A74F96" w:rsidRDefault="00A74F96" w:rsidP="00A74F96">
            <w:pPr>
              <w:pStyle w:val="TableParagraph"/>
              <w:spacing w:before="60" w:after="60"/>
              <w:ind w:left="66" w:hanging="5"/>
              <w:rPr>
                <w:rFonts w:ascii="Segoe UI" w:hAnsi="Segoe UI" w:cs="Segoe UI"/>
                <w:w w:val="105"/>
                <w:sz w:val="16"/>
                <w:szCs w:val="16"/>
              </w:rPr>
            </w:pPr>
            <w:r w:rsidRPr="00A74F96">
              <w:rPr>
                <w:rFonts w:ascii="Segoe UI" w:hAnsi="Segoe UI" w:cs="Segoe UI"/>
                <w:w w:val="105"/>
                <w:sz w:val="16"/>
                <w:szCs w:val="16"/>
              </w:rPr>
              <w:t>Capital charge from Crown entities</w:t>
            </w:r>
          </w:p>
        </w:tc>
        <w:tc>
          <w:tcPr>
            <w:tcW w:w="1232" w:type="dxa"/>
          </w:tcPr>
          <w:p w14:paraId="2FEDCF93" w14:textId="5A9CD305"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476,007</w:t>
            </w:r>
          </w:p>
        </w:tc>
        <w:tc>
          <w:tcPr>
            <w:tcW w:w="1350" w:type="dxa"/>
          </w:tcPr>
          <w:p w14:paraId="5140F61F" w14:textId="4D584DB1"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521,809</w:t>
            </w:r>
          </w:p>
        </w:tc>
        <w:tc>
          <w:tcPr>
            <w:tcW w:w="1174" w:type="dxa"/>
          </w:tcPr>
          <w:p w14:paraId="442ED42F" w14:textId="4FA96833"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576,359</w:t>
            </w:r>
          </w:p>
        </w:tc>
      </w:tr>
      <w:tr w:rsidR="00A74F96" w14:paraId="3AB9F4B1" w14:textId="77777777" w:rsidTr="00A74F96">
        <w:trPr>
          <w:trHeight w:val="359"/>
        </w:trPr>
        <w:tc>
          <w:tcPr>
            <w:tcW w:w="1274" w:type="dxa"/>
          </w:tcPr>
          <w:p w14:paraId="2D871F4D" w14:textId="1868C188" w:rsidR="00A74F96" w:rsidRP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11,150</w:t>
            </w:r>
          </w:p>
        </w:tc>
        <w:tc>
          <w:tcPr>
            <w:tcW w:w="3400" w:type="dxa"/>
            <w:hideMark/>
          </w:tcPr>
          <w:p w14:paraId="33C894FB" w14:textId="068CF3C7" w:rsidR="00A74F96" w:rsidRDefault="00A74F96" w:rsidP="00A74F96">
            <w:pPr>
              <w:pStyle w:val="TableParagraph"/>
              <w:spacing w:before="60" w:after="60"/>
              <w:ind w:left="66" w:hanging="5"/>
              <w:rPr>
                <w:rFonts w:ascii="Segoe UI" w:hAnsi="Segoe UI" w:cs="Segoe UI"/>
                <w:w w:val="105"/>
                <w:sz w:val="16"/>
                <w:szCs w:val="16"/>
              </w:rPr>
            </w:pPr>
            <w:r w:rsidRPr="00A74F96">
              <w:rPr>
                <w:rFonts w:ascii="Segoe UI" w:hAnsi="Segoe UI" w:cs="Segoe UI"/>
                <w:w w:val="105"/>
                <w:sz w:val="16"/>
                <w:szCs w:val="16"/>
              </w:rPr>
              <w:t>Fines, penalties and levies</w:t>
            </w:r>
          </w:p>
        </w:tc>
        <w:tc>
          <w:tcPr>
            <w:tcW w:w="1232" w:type="dxa"/>
          </w:tcPr>
          <w:p w14:paraId="31082A04" w14:textId="310F51C2"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9,633</w:t>
            </w:r>
          </w:p>
        </w:tc>
        <w:tc>
          <w:tcPr>
            <w:tcW w:w="1350" w:type="dxa"/>
          </w:tcPr>
          <w:p w14:paraId="2140A436" w14:textId="33C0422A"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w:t>
            </w:r>
          </w:p>
        </w:tc>
        <w:tc>
          <w:tcPr>
            <w:tcW w:w="1174" w:type="dxa"/>
          </w:tcPr>
          <w:p w14:paraId="47E86D67" w14:textId="71B7120E"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10,520</w:t>
            </w:r>
          </w:p>
        </w:tc>
      </w:tr>
      <w:tr w:rsidR="00A74F96" w14:paraId="5A0D468F" w14:textId="77777777" w:rsidTr="00A74F96">
        <w:trPr>
          <w:trHeight w:val="348"/>
        </w:trPr>
        <w:tc>
          <w:tcPr>
            <w:tcW w:w="1274" w:type="dxa"/>
            <w:tcBorders>
              <w:top w:val="nil"/>
              <w:left w:val="nil"/>
              <w:right w:val="nil"/>
            </w:tcBorders>
          </w:tcPr>
          <w:p w14:paraId="0AECEFD6" w14:textId="05D54DE9" w:rsidR="00A74F96" w:rsidRP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w:t>
            </w:r>
          </w:p>
        </w:tc>
        <w:tc>
          <w:tcPr>
            <w:tcW w:w="3400" w:type="dxa"/>
            <w:tcBorders>
              <w:top w:val="nil"/>
              <w:left w:val="nil"/>
              <w:right w:val="nil"/>
            </w:tcBorders>
            <w:hideMark/>
          </w:tcPr>
          <w:p w14:paraId="3EB9ADCC" w14:textId="4C2A1630" w:rsidR="00A74F96" w:rsidRDefault="00A74F96" w:rsidP="00A74F96">
            <w:pPr>
              <w:pStyle w:val="TableParagraph"/>
              <w:spacing w:before="60" w:after="60"/>
              <w:ind w:left="66" w:hanging="5"/>
              <w:rPr>
                <w:rFonts w:ascii="Segoe UI" w:hAnsi="Segoe UI" w:cs="Segoe UI"/>
                <w:w w:val="105"/>
                <w:sz w:val="16"/>
                <w:szCs w:val="16"/>
              </w:rPr>
            </w:pPr>
            <w:r w:rsidRPr="00A74F96">
              <w:rPr>
                <w:rFonts w:ascii="Segoe UI" w:hAnsi="Segoe UI" w:cs="Segoe UI"/>
                <w:w w:val="105"/>
                <w:sz w:val="16"/>
                <w:szCs w:val="16"/>
              </w:rPr>
              <w:t>Gain on disposal of assets</w:t>
            </w:r>
          </w:p>
        </w:tc>
        <w:tc>
          <w:tcPr>
            <w:tcW w:w="1232" w:type="dxa"/>
            <w:tcBorders>
              <w:top w:val="nil"/>
              <w:left w:val="nil"/>
              <w:right w:val="nil"/>
            </w:tcBorders>
          </w:tcPr>
          <w:p w14:paraId="744D48C4" w14:textId="173CAA42"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61</w:t>
            </w:r>
          </w:p>
        </w:tc>
        <w:tc>
          <w:tcPr>
            <w:tcW w:w="1350" w:type="dxa"/>
            <w:tcBorders>
              <w:top w:val="nil"/>
              <w:left w:val="nil"/>
              <w:right w:val="nil"/>
            </w:tcBorders>
          </w:tcPr>
          <w:p w14:paraId="53ED895A" w14:textId="0D5C7388"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w:t>
            </w:r>
          </w:p>
        </w:tc>
        <w:tc>
          <w:tcPr>
            <w:tcW w:w="1174" w:type="dxa"/>
            <w:tcBorders>
              <w:top w:val="nil"/>
              <w:left w:val="nil"/>
              <w:right w:val="nil"/>
            </w:tcBorders>
          </w:tcPr>
          <w:p w14:paraId="5ABB2F2A" w14:textId="2EC8DBCF"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w:t>
            </w:r>
          </w:p>
        </w:tc>
      </w:tr>
      <w:tr w:rsidR="00A74F96" w14:paraId="1053B080" w14:textId="77777777" w:rsidTr="00A74F96">
        <w:trPr>
          <w:trHeight w:val="344"/>
        </w:trPr>
        <w:tc>
          <w:tcPr>
            <w:tcW w:w="1274" w:type="dxa"/>
            <w:tcBorders>
              <w:left w:val="nil"/>
              <w:bottom w:val="single" w:sz="4" w:space="0" w:color="BFBFBF" w:themeColor="background1" w:themeShade="BF"/>
              <w:right w:val="nil"/>
            </w:tcBorders>
          </w:tcPr>
          <w:p w14:paraId="4A58AFCB" w14:textId="631A8C67" w:rsidR="00A74F96" w:rsidRP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10,836</w:t>
            </w:r>
          </w:p>
        </w:tc>
        <w:tc>
          <w:tcPr>
            <w:tcW w:w="3400" w:type="dxa"/>
            <w:tcBorders>
              <w:left w:val="nil"/>
              <w:bottom w:val="single" w:sz="4" w:space="0" w:color="BFBFBF" w:themeColor="background1" w:themeShade="BF"/>
              <w:right w:val="nil"/>
            </w:tcBorders>
            <w:hideMark/>
          </w:tcPr>
          <w:p w14:paraId="475CE267" w14:textId="3295CE20" w:rsidR="00A74F96" w:rsidRPr="00A74F96" w:rsidRDefault="00A74F96" w:rsidP="00A74F96">
            <w:pPr>
              <w:pStyle w:val="TableParagraph"/>
              <w:spacing w:before="60" w:after="60"/>
              <w:ind w:left="66" w:hanging="5"/>
              <w:rPr>
                <w:rFonts w:ascii="Segoe UI" w:hAnsi="Segoe UI" w:cs="Segoe UI"/>
                <w:w w:val="105"/>
                <w:sz w:val="16"/>
                <w:szCs w:val="16"/>
              </w:rPr>
            </w:pPr>
            <w:r w:rsidRPr="00A74F96">
              <w:rPr>
                <w:rFonts w:ascii="Segoe UI" w:hAnsi="Segoe UI" w:cs="Segoe UI"/>
                <w:w w:val="105"/>
                <w:sz w:val="16"/>
                <w:szCs w:val="16"/>
              </w:rPr>
              <w:t>Miscellaneous revenue</w:t>
            </w:r>
          </w:p>
        </w:tc>
        <w:tc>
          <w:tcPr>
            <w:tcW w:w="1232" w:type="dxa"/>
            <w:tcBorders>
              <w:left w:val="nil"/>
              <w:bottom w:val="single" w:sz="4" w:space="0" w:color="BFBFBF" w:themeColor="background1" w:themeShade="BF"/>
              <w:right w:val="nil"/>
            </w:tcBorders>
          </w:tcPr>
          <w:p w14:paraId="51665339" w14:textId="6AA55EE7" w:rsidR="00A74F96" w:rsidRP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327</w:t>
            </w:r>
          </w:p>
        </w:tc>
        <w:tc>
          <w:tcPr>
            <w:tcW w:w="1350" w:type="dxa"/>
            <w:tcBorders>
              <w:left w:val="nil"/>
              <w:bottom w:val="single" w:sz="4" w:space="0" w:color="BFBFBF" w:themeColor="background1" w:themeShade="BF"/>
              <w:right w:val="nil"/>
            </w:tcBorders>
          </w:tcPr>
          <w:p w14:paraId="5D938853" w14:textId="6536A16D" w:rsidR="00A74F96" w:rsidRP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w:t>
            </w:r>
          </w:p>
        </w:tc>
        <w:tc>
          <w:tcPr>
            <w:tcW w:w="1174" w:type="dxa"/>
            <w:tcBorders>
              <w:left w:val="nil"/>
              <w:bottom w:val="single" w:sz="4" w:space="0" w:color="BFBFBF" w:themeColor="background1" w:themeShade="BF"/>
              <w:right w:val="nil"/>
            </w:tcBorders>
          </w:tcPr>
          <w:p w14:paraId="7FE1B117" w14:textId="7BDBC6CF" w:rsidR="00A74F96" w:rsidRP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w:t>
            </w:r>
          </w:p>
        </w:tc>
      </w:tr>
      <w:tr w:rsidR="00A74F96" w:rsidRPr="00A74F96" w14:paraId="3D0FF420" w14:textId="77777777" w:rsidTr="00A74F96">
        <w:trPr>
          <w:trHeight w:val="354"/>
        </w:trPr>
        <w:tc>
          <w:tcPr>
            <w:tcW w:w="1274" w:type="dxa"/>
            <w:tcBorders>
              <w:top w:val="single" w:sz="4" w:space="0" w:color="BFBFBF" w:themeColor="background1" w:themeShade="BF"/>
              <w:left w:val="nil"/>
              <w:bottom w:val="single" w:sz="4" w:space="0" w:color="A6A6A6" w:themeColor="background1" w:themeShade="A6"/>
              <w:right w:val="nil"/>
            </w:tcBorders>
          </w:tcPr>
          <w:p w14:paraId="75A6DCC3" w14:textId="0C89446E" w:rsidR="00A74F96" w:rsidRPr="00A74F96" w:rsidRDefault="00A74F96" w:rsidP="00A74F96">
            <w:pPr>
              <w:pStyle w:val="TableParagraph"/>
              <w:spacing w:before="60" w:after="60"/>
              <w:ind w:left="-42" w:right="152" w:firstLine="99"/>
              <w:jc w:val="right"/>
              <w:rPr>
                <w:rFonts w:ascii="Segoe UI" w:hAnsi="Segoe UI" w:cs="Segoe UI"/>
                <w:b/>
                <w:bCs/>
                <w:w w:val="110"/>
                <w:sz w:val="16"/>
                <w:szCs w:val="16"/>
              </w:rPr>
            </w:pPr>
            <w:r w:rsidRPr="00A74F96">
              <w:rPr>
                <w:rFonts w:ascii="Segoe UI" w:hAnsi="Segoe UI" w:cs="Segoe UI"/>
                <w:b/>
                <w:bCs/>
                <w:w w:val="110"/>
                <w:sz w:val="16"/>
                <w:szCs w:val="16"/>
              </w:rPr>
              <w:t>1,205,993</w:t>
            </w:r>
          </w:p>
        </w:tc>
        <w:tc>
          <w:tcPr>
            <w:tcW w:w="3400" w:type="dxa"/>
            <w:tcBorders>
              <w:top w:val="single" w:sz="4" w:space="0" w:color="BFBFBF" w:themeColor="background1" w:themeShade="BF"/>
              <w:left w:val="nil"/>
              <w:bottom w:val="single" w:sz="4" w:space="0" w:color="A6A6A6" w:themeColor="background1" w:themeShade="A6"/>
              <w:right w:val="nil"/>
            </w:tcBorders>
            <w:hideMark/>
          </w:tcPr>
          <w:p w14:paraId="1D7022DF" w14:textId="0DCC432B" w:rsidR="00A74F96" w:rsidRPr="00A74F96" w:rsidRDefault="00A74F96" w:rsidP="00A74F96">
            <w:pPr>
              <w:pStyle w:val="TableParagraph"/>
              <w:spacing w:before="60" w:after="60"/>
              <w:ind w:left="66" w:hanging="5"/>
              <w:rPr>
                <w:rFonts w:ascii="Segoe UI" w:hAnsi="Segoe UI" w:cs="Segoe UI"/>
                <w:b/>
                <w:bCs/>
                <w:w w:val="105"/>
                <w:sz w:val="16"/>
                <w:szCs w:val="16"/>
              </w:rPr>
            </w:pPr>
            <w:r w:rsidRPr="00A74F96">
              <w:rPr>
                <w:rFonts w:ascii="Segoe UI" w:hAnsi="Segoe UI" w:cs="Segoe UI"/>
                <w:b/>
                <w:bCs/>
                <w:w w:val="105"/>
                <w:sz w:val="16"/>
                <w:szCs w:val="16"/>
              </w:rPr>
              <w:t>Total non-departmental revenue</w:t>
            </w:r>
          </w:p>
        </w:tc>
        <w:tc>
          <w:tcPr>
            <w:tcW w:w="1232" w:type="dxa"/>
            <w:tcBorders>
              <w:top w:val="single" w:sz="4" w:space="0" w:color="BFBFBF" w:themeColor="background1" w:themeShade="BF"/>
              <w:left w:val="nil"/>
              <w:bottom w:val="single" w:sz="4" w:space="0" w:color="A6A6A6" w:themeColor="background1" w:themeShade="A6"/>
              <w:right w:val="nil"/>
            </w:tcBorders>
          </w:tcPr>
          <w:p w14:paraId="71F68C91" w14:textId="3966E8D6" w:rsidR="00A74F96" w:rsidRPr="00A74F96" w:rsidRDefault="00A74F96" w:rsidP="00A74F96">
            <w:pPr>
              <w:pStyle w:val="TableParagraph"/>
              <w:spacing w:before="60" w:after="60"/>
              <w:ind w:left="-42" w:right="152" w:firstLine="99"/>
              <w:jc w:val="right"/>
              <w:rPr>
                <w:rFonts w:ascii="Segoe UI" w:hAnsi="Segoe UI" w:cs="Segoe UI"/>
                <w:b/>
                <w:bCs/>
                <w:w w:val="110"/>
                <w:sz w:val="16"/>
                <w:szCs w:val="16"/>
              </w:rPr>
            </w:pPr>
            <w:r w:rsidRPr="00A74F96">
              <w:rPr>
                <w:rFonts w:ascii="Segoe UI" w:hAnsi="Segoe UI" w:cs="Segoe UI"/>
                <w:b/>
                <w:bCs/>
                <w:w w:val="110"/>
                <w:sz w:val="16"/>
                <w:szCs w:val="16"/>
              </w:rPr>
              <w:t>1,323,231</w:t>
            </w:r>
          </w:p>
        </w:tc>
        <w:tc>
          <w:tcPr>
            <w:tcW w:w="1350" w:type="dxa"/>
            <w:tcBorders>
              <w:top w:val="single" w:sz="4" w:space="0" w:color="BFBFBF" w:themeColor="background1" w:themeShade="BF"/>
              <w:left w:val="nil"/>
              <w:bottom w:val="single" w:sz="4" w:space="0" w:color="A6A6A6" w:themeColor="background1" w:themeShade="A6"/>
              <w:right w:val="nil"/>
            </w:tcBorders>
          </w:tcPr>
          <w:p w14:paraId="1A7B826D" w14:textId="3BFF3A7A" w:rsidR="00A74F96" w:rsidRPr="00A74F96" w:rsidRDefault="00A74F96" w:rsidP="00A74F96">
            <w:pPr>
              <w:pStyle w:val="TableParagraph"/>
              <w:spacing w:before="60" w:after="60"/>
              <w:ind w:left="-42" w:right="152" w:firstLine="99"/>
              <w:jc w:val="right"/>
              <w:rPr>
                <w:rFonts w:ascii="Segoe UI" w:hAnsi="Segoe UI" w:cs="Segoe UI"/>
                <w:b/>
                <w:bCs/>
                <w:w w:val="110"/>
                <w:sz w:val="16"/>
                <w:szCs w:val="16"/>
              </w:rPr>
            </w:pPr>
            <w:r w:rsidRPr="00A74F96">
              <w:rPr>
                <w:rFonts w:ascii="Segoe UI" w:hAnsi="Segoe UI" w:cs="Segoe UI"/>
                <w:b/>
                <w:bCs/>
                <w:w w:val="110"/>
                <w:sz w:val="16"/>
                <w:szCs w:val="16"/>
              </w:rPr>
              <w:t>1,344,276</w:t>
            </w:r>
          </w:p>
        </w:tc>
        <w:tc>
          <w:tcPr>
            <w:tcW w:w="1174" w:type="dxa"/>
            <w:tcBorders>
              <w:top w:val="single" w:sz="4" w:space="0" w:color="BFBFBF" w:themeColor="background1" w:themeShade="BF"/>
              <w:left w:val="nil"/>
              <w:bottom w:val="single" w:sz="4" w:space="0" w:color="A6A6A6" w:themeColor="background1" w:themeShade="A6"/>
              <w:right w:val="nil"/>
            </w:tcBorders>
          </w:tcPr>
          <w:p w14:paraId="0F474ADF" w14:textId="497320E7" w:rsidR="00A74F96" w:rsidRPr="00A74F96" w:rsidRDefault="00A74F96" w:rsidP="00A74F96">
            <w:pPr>
              <w:pStyle w:val="TableParagraph"/>
              <w:spacing w:before="60" w:after="60"/>
              <w:ind w:left="-42" w:right="152" w:firstLine="99"/>
              <w:jc w:val="right"/>
              <w:rPr>
                <w:rFonts w:ascii="Segoe UI" w:hAnsi="Segoe UI" w:cs="Segoe UI"/>
                <w:b/>
                <w:bCs/>
                <w:w w:val="110"/>
                <w:sz w:val="16"/>
                <w:szCs w:val="16"/>
              </w:rPr>
            </w:pPr>
            <w:r w:rsidRPr="00A74F96">
              <w:rPr>
                <w:rFonts w:ascii="Segoe UI" w:hAnsi="Segoe UI" w:cs="Segoe UI"/>
                <w:b/>
                <w:bCs/>
                <w:w w:val="110"/>
                <w:sz w:val="16"/>
                <w:szCs w:val="16"/>
              </w:rPr>
              <w:t>1,424,082</w:t>
            </w:r>
          </w:p>
        </w:tc>
      </w:tr>
      <w:tr w:rsidR="00A74F96" w:rsidRPr="00A74F96" w14:paraId="2B59CAF8" w14:textId="77777777" w:rsidTr="00A74F96">
        <w:trPr>
          <w:trHeight w:val="359"/>
        </w:trPr>
        <w:tc>
          <w:tcPr>
            <w:tcW w:w="1274" w:type="dxa"/>
            <w:tcBorders>
              <w:top w:val="single" w:sz="4" w:space="0" w:color="A6A6A6" w:themeColor="background1" w:themeShade="A6"/>
            </w:tcBorders>
          </w:tcPr>
          <w:p w14:paraId="2815426C" w14:textId="5832C26C" w:rsidR="00A74F96" w:rsidRPr="00A74F96" w:rsidRDefault="00A74F96" w:rsidP="00A74F96">
            <w:pPr>
              <w:pStyle w:val="TableParagraph"/>
              <w:spacing w:before="60" w:after="60"/>
              <w:ind w:left="-42" w:right="152" w:firstLine="99"/>
              <w:jc w:val="right"/>
              <w:rPr>
                <w:rFonts w:ascii="Segoe UI" w:hAnsi="Segoe UI" w:cs="Segoe UI"/>
                <w:b/>
                <w:bCs/>
                <w:w w:val="110"/>
                <w:sz w:val="16"/>
                <w:szCs w:val="16"/>
              </w:rPr>
            </w:pPr>
          </w:p>
        </w:tc>
        <w:tc>
          <w:tcPr>
            <w:tcW w:w="3400" w:type="dxa"/>
            <w:tcBorders>
              <w:top w:val="single" w:sz="4" w:space="0" w:color="A6A6A6" w:themeColor="background1" w:themeShade="A6"/>
            </w:tcBorders>
            <w:hideMark/>
          </w:tcPr>
          <w:p w14:paraId="52A1F80F" w14:textId="6BB8F5F4" w:rsidR="00A74F96" w:rsidRPr="00A74F96" w:rsidRDefault="00A74F96" w:rsidP="00A74F96">
            <w:pPr>
              <w:pStyle w:val="TableParagraph"/>
              <w:spacing w:before="60" w:after="60"/>
              <w:ind w:left="66" w:hanging="5"/>
              <w:rPr>
                <w:rFonts w:ascii="Segoe UI" w:hAnsi="Segoe UI" w:cs="Segoe UI"/>
                <w:b/>
                <w:bCs/>
                <w:w w:val="105"/>
                <w:sz w:val="16"/>
                <w:szCs w:val="16"/>
              </w:rPr>
            </w:pPr>
            <w:r w:rsidRPr="00A74F96">
              <w:rPr>
                <w:rFonts w:ascii="Segoe UI" w:hAnsi="Segoe UI" w:cs="Segoe UI"/>
                <w:b/>
                <w:bCs/>
                <w:w w:val="105"/>
                <w:sz w:val="16"/>
                <w:szCs w:val="16"/>
              </w:rPr>
              <w:t>Non-departmental capital receipts</w:t>
            </w:r>
          </w:p>
        </w:tc>
        <w:tc>
          <w:tcPr>
            <w:tcW w:w="1232" w:type="dxa"/>
            <w:tcBorders>
              <w:top w:val="single" w:sz="4" w:space="0" w:color="A6A6A6" w:themeColor="background1" w:themeShade="A6"/>
            </w:tcBorders>
          </w:tcPr>
          <w:p w14:paraId="2AB63496" w14:textId="62B13737" w:rsidR="00A74F96" w:rsidRPr="00A74F96" w:rsidRDefault="00A74F96" w:rsidP="00A74F96">
            <w:pPr>
              <w:pStyle w:val="TableParagraph"/>
              <w:spacing w:before="60" w:after="60"/>
              <w:ind w:left="-42" w:right="152" w:firstLine="99"/>
              <w:jc w:val="right"/>
              <w:rPr>
                <w:rFonts w:ascii="Segoe UI" w:hAnsi="Segoe UI" w:cs="Segoe UI"/>
                <w:b/>
                <w:bCs/>
                <w:w w:val="110"/>
                <w:sz w:val="16"/>
                <w:szCs w:val="16"/>
              </w:rPr>
            </w:pPr>
          </w:p>
        </w:tc>
        <w:tc>
          <w:tcPr>
            <w:tcW w:w="1350" w:type="dxa"/>
            <w:tcBorders>
              <w:top w:val="single" w:sz="4" w:space="0" w:color="A6A6A6" w:themeColor="background1" w:themeShade="A6"/>
            </w:tcBorders>
          </w:tcPr>
          <w:p w14:paraId="2B0C2FDE" w14:textId="3DF7B395" w:rsidR="00A74F96" w:rsidRPr="00A74F96" w:rsidRDefault="00A74F96" w:rsidP="00A74F96">
            <w:pPr>
              <w:pStyle w:val="TableParagraph"/>
              <w:spacing w:before="60" w:after="60"/>
              <w:ind w:left="-42" w:right="152" w:firstLine="99"/>
              <w:jc w:val="right"/>
              <w:rPr>
                <w:rFonts w:ascii="Segoe UI" w:hAnsi="Segoe UI" w:cs="Segoe UI"/>
                <w:b/>
                <w:bCs/>
                <w:w w:val="110"/>
                <w:sz w:val="16"/>
                <w:szCs w:val="16"/>
              </w:rPr>
            </w:pPr>
          </w:p>
        </w:tc>
        <w:tc>
          <w:tcPr>
            <w:tcW w:w="1174" w:type="dxa"/>
            <w:tcBorders>
              <w:top w:val="single" w:sz="4" w:space="0" w:color="A6A6A6" w:themeColor="background1" w:themeShade="A6"/>
            </w:tcBorders>
          </w:tcPr>
          <w:p w14:paraId="0D95152B" w14:textId="3A7F3A98" w:rsidR="00A74F96" w:rsidRPr="00A74F96" w:rsidRDefault="00A74F96" w:rsidP="00A74F96">
            <w:pPr>
              <w:pStyle w:val="TableParagraph"/>
              <w:spacing w:before="60" w:after="60"/>
              <w:ind w:left="-42" w:right="152" w:firstLine="99"/>
              <w:jc w:val="right"/>
              <w:rPr>
                <w:rFonts w:ascii="Segoe UI" w:hAnsi="Segoe UI" w:cs="Segoe UI"/>
                <w:b/>
                <w:bCs/>
                <w:w w:val="110"/>
                <w:sz w:val="16"/>
                <w:szCs w:val="16"/>
              </w:rPr>
            </w:pPr>
          </w:p>
        </w:tc>
      </w:tr>
      <w:tr w:rsidR="00A74F96" w14:paraId="5E13E49E" w14:textId="77777777" w:rsidTr="00CD066D">
        <w:trPr>
          <w:trHeight w:val="348"/>
        </w:trPr>
        <w:tc>
          <w:tcPr>
            <w:tcW w:w="1274" w:type="dxa"/>
            <w:tcBorders>
              <w:top w:val="nil"/>
              <w:left w:val="nil"/>
              <w:right w:val="nil"/>
            </w:tcBorders>
          </w:tcPr>
          <w:p w14:paraId="2ECC5659" w14:textId="0912F0DA" w:rsidR="00A74F96" w:rsidRP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15,110</w:t>
            </w:r>
          </w:p>
        </w:tc>
        <w:tc>
          <w:tcPr>
            <w:tcW w:w="3400" w:type="dxa"/>
            <w:tcBorders>
              <w:top w:val="nil"/>
              <w:left w:val="nil"/>
              <w:right w:val="nil"/>
            </w:tcBorders>
            <w:hideMark/>
          </w:tcPr>
          <w:p w14:paraId="70196E65" w14:textId="424EECBC" w:rsidR="00A74F96" w:rsidRDefault="00A74F96" w:rsidP="00A74F96">
            <w:pPr>
              <w:pStyle w:val="TableParagraph"/>
              <w:spacing w:before="60" w:after="60"/>
              <w:ind w:left="66" w:hanging="5"/>
              <w:rPr>
                <w:rFonts w:ascii="Segoe UI" w:hAnsi="Segoe UI" w:cs="Segoe UI"/>
                <w:w w:val="105"/>
                <w:sz w:val="16"/>
                <w:szCs w:val="16"/>
              </w:rPr>
            </w:pPr>
            <w:r w:rsidRPr="00A74F96">
              <w:rPr>
                <w:rFonts w:ascii="Segoe UI" w:hAnsi="Segoe UI" w:cs="Segoe UI"/>
                <w:w w:val="105"/>
                <w:sz w:val="16"/>
                <w:szCs w:val="16"/>
              </w:rPr>
              <w:t>Repayment of residential care loans</w:t>
            </w:r>
          </w:p>
        </w:tc>
        <w:tc>
          <w:tcPr>
            <w:tcW w:w="1232" w:type="dxa"/>
            <w:tcBorders>
              <w:top w:val="nil"/>
              <w:left w:val="nil"/>
              <w:right w:val="nil"/>
            </w:tcBorders>
          </w:tcPr>
          <w:p w14:paraId="1AACFF45" w14:textId="60C21BCD"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20,803</w:t>
            </w:r>
          </w:p>
        </w:tc>
        <w:tc>
          <w:tcPr>
            <w:tcW w:w="1350" w:type="dxa"/>
            <w:tcBorders>
              <w:top w:val="nil"/>
              <w:left w:val="nil"/>
              <w:right w:val="nil"/>
            </w:tcBorders>
          </w:tcPr>
          <w:p w14:paraId="79C9C72A" w14:textId="11B1782B"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20,000</w:t>
            </w:r>
          </w:p>
        </w:tc>
        <w:tc>
          <w:tcPr>
            <w:tcW w:w="1174" w:type="dxa"/>
            <w:tcBorders>
              <w:top w:val="nil"/>
              <w:left w:val="nil"/>
              <w:right w:val="nil"/>
            </w:tcBorders>
          </w:tcPr>
          <w:p w14:paraId="4CEA92F0" w14:textId="605BC44A" w:rsid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32,000</w:t>
            </w:r>
          </w:p>
        </w:tc>
      </w:tr>
      <w:tr w:rsidR="00A74F96" w14:paraId="66BC2FB3" w14:textId="77777777" w:rsidTr="00CD066D">
        <w:trPr>
          <w:trHeight w:val="357"/>
        </w:trPr>
        <w:tc>
          <w:tcPr>
            <w:tcW w:w="1274" w:type="dxa"/>
            <w:tcBorders>
              <w:left w:val="nil"/>
              <w:bottom w:val="single" w:sz="4" w:space="0" w:color="BFBFBF" w:themeColor="background1" w:themeShade="BF"/>
              <w:right w:val="nil"/>
            </w:tcBorders>
          </w:tcPr>
          <w:p w14:paraId="3C365CA9" w14:textId="36AE9A36" w:rsidR="00A74F96" w:rsidRP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12,881</w:t>
            </w:r>
          </w:p>
        </w:tc>
        <w:tc>
          <w:tcPr>
            <w:tcW w:w="3400" w:type="dxa"/>
            <w:tcBorders>
              <w:left w:val="nil"/>
              <w:bottom w:val="single" w:sz="4" w:space="0" w:color="BFBFBF" w:themeColor="background1" w:themeShade="BF"/>
              <w:right w:val="nil"/>
            </w:tcBorders>
            <w:hideMark/>
          </w:tcPr>
          <w:p w14:paraId="0C8DA261" w14:textId="7869A660" w:rsidR="00A74F96" w:rsidRPr="00A74F96" w:rsidRDefault="00A74F96" w:rsidP="00A74F96">
            <w:pPr>
              <w:pStyle w:val="TableParagraph"/>
              <w:spacing w:before="60" w:after="60"/>
              <w:ind w:left="66" w:hanging="5"/>
              <w:rPr>
                <w:rFonts w:ascii="Segoe UI" w:hAnsi="Segoe UI" w:cs="Segoe UI"/>
                <w:w w:val="105"/>
                <w:sz w:val="16"/>
                <w:szCs w:val="16"/>
              </w:rPr>
            </w:pPr>
            <w:r w:rsidRPr="00A74F96">
              <w:rPr>
                <w:rFonts w:ascii="Segoe UI" w:hAnsi="Segoe UI" w:cs="Segoe UI"/>
                <w:w w:val="105"/>
                <w:sz w:val="16"/>
                <w:szCs w:val="16"/>
              </w:rPr>
              <w:t>Equity repayments by Health New Zealand</w:t>
            </w:r>
          </w:p>
        </w:tc>
        <w:tc>
          <w:tcPr>
            <w:tcW w:w="1232" w:type="dxa"/>
            <w:tcBorders>
              <w:left w:val="nil"/>
              <w:bottom w:val="single" w:sz="4" w:space="0" w:color="BFBFBF" w:themeColor="background1" w:themeShade="BF"/>
              <w:right w:val="nil"/>
            </w:tcBorders>
          </w:tcPr>
          <w:p w14:paraId="309B14B1" w14:textId="3B862D57" w:rsidR="00A74F96" w:rsidRP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12,499</w:t>
            </w:r>
          </w:p>
        </w:tc>
        <w:tc>
          <w:tcPr>
            <w:tcW w:w="1350" w:type="dxa"/>
            <w:tcBorders>
              <w:left w:val="nil"/>
              <w:bottom w:val="single" w:sz="4" w:space="0" w:color="BFBFBF" w:themeColor="background1" w:themeShade="BF"/>
              <w:right w:val="nil"/>
            </w:tcBorders>
          </w:tcPr>
          <w:p w14:paraId="48759FA5" w14:textId="25863002" w:rsidR="00A74F96" w:rsidRP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12,499</w:t>
            </w:r>
          </w:p>
        </w:tc>
        <w:tc>
          <w:tcPr>
            <w:tcW w:w="1174" w:type="dxa"/>
            <w:tcBorders>
              <w:left w:val="nil"/>
              <w:bottom w:val="single" w:sz="4" w:space="0" w:color="BFBFBF" w:themeColor="background1" w:themeShade="BF"/>
              <w:right w:val="nil"/>
            </w:tcBorders>
          </w:tcPr>
          <w:p w14:paraId="637A5282" w14:textId="27EC888E" w:rsidR="00A74F96" w:rsidRPr="00A74F96" w:rsidRDefault="00A74F96" w:rsidP="00A74F96">
            <w:pPr>
              <w:pStyle w:val="TableParagraph"/>
              <w:spacing w:before="60" w:after="60"/>
              <w:ind w:left="-42" w:right="152" w:firstLine="99"/>
              <w:jc w:val="right"/>
              <w:rPr>
                <w:rFonts w:ascii="Segoe UI" w:hAnsi="Segoe UI" w:cs="Segoe UI"/>
                <w:w w:val="110"/>
                <w:sz w:val="16"/>
                <w:szCs w:val="16"/>
              </w:rPr>
            </w:pPr>
            <w:r w:rsidRPr="00A74F96">
              <w:rPr>
                <w:rFonts w:ascii="Segoe UI" w:hAnsi="Segoe UI" w:cs="Segoe UI"/>
                <w:w w:val="110"/>
                <w:sz w:val="16"/>
                <w:szCs w:val="16"/>
              </w:rPr>
              <w:t>12,499</w:t>
            </w:r>
          </w:p>
        </w:tc>
      </w:tr>
      <w:tr w:rsidR="00A74F96" w:rsidRPr="00A74F96" w14:paraId="79438331" w14:textId="77777777" w:rsidTr="00A74F96">
        <w:trPr>
          <w:trHeight w:val="357"/>
        </w:trPr>
        <w:tc>
          <w:tcPr>
            <w:tcW w:w="1274" w:type="dxa"/>
            <w:tcBorders>
              <w:top w:val="single" w:sz="4" w:space="0" w:color="BFBFBF" w:themeColor="background1" w:themeShade="BF"/>
              <w:left w:val="nil"/>
              <w:bottom w:val="single" w:sz="4" w:space="0" w:color="BFBFBF" w:themeColor="background1" w:themeShade="BF"/>
              <w:right w:val="nil"/>
            </w:tcBorders>
          </w:tcPr>
          <w:p w14:paraId="5C7EC423" w14:textId="635EDA3D" w:rsidR="00A74F96" w:rsidRPr="00A74F96" w:rsidRDefault="00A74F96" w:rsidP="00A74F96">
            <w:pPr>
              <w:pStyle w:val="TableParagraph"/>
              <w:spacing w:before="60" w:after="60"/>
              <w:ind w:left="-42" w:right="152" w:firstLine="99"/>
              <w:jc w:val="right"/>
              <w:rPr>
                <w:rFonts w:ascii="Segoe UI" w:hAnsi="Segoe UI" w:cs="Segoe UI"/>
                <w:b/>
                <w:bCs/>
                <w:w w:val="110"/>
                <w:sz w:val="16"/>
                <w:szCs w:val="16"/>
              </w:rPr>
            </w:pPr>
            <w:r w:rsidRPr="00A74F96">
              <w:rPr>
                <w:rFonts w:ascii="Segoe UI" w:hAnsi="Segoe UI" w:cs="Segoe UI"/>
                <w:b/>
                <w:bCs/>
                <w:w w:val="110"/>
                <w:sz w:val="16"/>
                <w:szCs w:val="16"/>
              </w:rPr>
              <w:t>27,991</w:t>
            </w:r>
          </w:p>
        </w:tc>
        <w:tc>
          <w:tcPr>
            <w:tcW w:w="3400" w:type="dxa"/>
            <w:tcBorders>
              <w:top w:val="single" w:sz="4" w:space="0" w:color="BFBFBF" w:themeColor="background1" w:themeShade="BF"/>
              <w:left w:val="nil"/>
              <w:bottom w:val="single" w:sz="4" w:space="0" w:color="BFBFBF" w:themeColor="background1" w:themeShade="BF"/>
              <w:right w:val="nil"/>
            </w:tcBorders>
            <w:hideMark/>
          </w:tcPr>
          <w:p w14:paraId="063751F4" w14:textId="673F1491" w:rsidR="00A74F96" w:rsidRPr="00A74F96" w:rsidRDefault="00A74F96" w:rsidP="00A74F96">
            <w:pPr>
              <w:pStyle w:val="TableParagraph"/>
              <w:spacing w:before="60" w:after="60"/>
              <w:ind w:left="66" w:hanging="5"/>
              <w:rPr>
                <w:rFonts w:ascii="Segoe UI" w:hAnsi="Segoe UI" w:cs="Segoe UI"/>
                <w:b/>
                <w:bCs/>
                <w:w w:val="105"/>
                <w:sz w:val="16"/>
                <w:szCs w:val="16"/>
              </w:rPr>
            </w:pPr>
            <w:r w:rsidRPr="00A74F96">
              <w:rPr>
                <w:rFonts w:ascii="Segoe UI" w:hAnsi="Segoe UI" w:cs="Segoe UI"/>
                <w:b/>
                <w:bCs/>
                <w:w w:val="105"/>
                <w:sz w:val="16"/>
                <w:szCs w:val="16"/>
              </w:rPr>
              <w:t>Total non-departmental capital receipts</w:t>
            </w:r>
          </w:p>
        </w:tc>
        <w:tc>
          <w:tcPr>
            <w:tcW w:w="1232" w:type="dxa"/>
            <w:tcBorders>
              <w:top w:val="single" w:sz="4" w:space="0" w:color="BFBFBF" w:themeColor="background1" w:themeShade="BF"/>
              <w:left w:val="nil"/>
              <w:bottom w:val="single" w:sz="4" w:space="0" w:color="BFBFBF" w:themeColor="background1" w:themeShade="BF"/>
              <w:right w:val="nil"/>
            </w:tcBorders>
          </w:tcPr>
          <w:p w14:paraId="134FABF3" w14:textId="383F8288" w:rsidR="00A74F96" w:rsidRPr="00A74F96" w:rsidRDefault="00A74F96" w:rsidP="00A74F96">
            <w:pPr>
              <w:pStyle w:val="TableParagraph"/>
              <w:spacing w:before="60" w:after="60"/>
              <w:ind w:left="-42" w:right="152" w:firstLine="99"/>
              <w:jc w:val="right"/>
              <w:rPr>
                <w:rFonts w:ascii="Segoe UI" w:hAnsi="Segoe UI" w:cs="Segoe UI"/>
                <w:b/>
                <w:bCs/>
                <w:w w:val="110"/>
                <w:sz w:val="16"/>
                <w:szCs w:val="16"/>
              </w:rPr>
            </w:pPr>
            <w:r w:rsidRPr="00A74F96">
              <w:rPr>
                <w:rFonts w:ascii="Segoe UI" w:hAnsi="Segoe UI" w:cs="Segoe UI"/>
                <w:b/>
                <w:bCs/>
                <w:w w:val="110"/>
                <w:sz w:val="16"/>
                <w:szCs w:val="16"/>
              </w:rPr>
              <w:t>33,302</w:t>
            </w:r>
          </w:p>
        </w:tc>
        <w:tc>
          <w:tcPr>
            <w:tcW w:w="1350" w:type="dxa"/>
            <w:tcBorders>
              <w:top w:val="single" w:sz="4" w:space="0" w:color="BFBFBF" w:themeColor="background1" w:themeShade="BF"/>
              <w:left w:val="nil"/>
              <w:bottom w:val="single" w:sz="4" w:space="0" w:color="BFBFBF" w:themeColor="background1" w:themeShade="BF"/>
              <w:right w:val="nil"/>
            </w:tcBorders>
          </w:tcPr>
          <w:p w14:paraId="7284467E" w14:textId="777F782A" w:rsidR="00A74F96" w:rsidRPr="00A74F96" w:rsidRDefault="00A74F96" w:rsidP="00A74F96">
            <w:pPr>
              <w:pStyle w:val="TableParagraph"/>
              <w:spacing w:before="60" w:after="60"/>
              <w:ind w:left="-42" w:right="152" w:firstLine="99"/>
              <w:jc w:val="right"/>
              <w:rPr>
                <w:rFonts w:ascii="Segoe UI" w:hAnsi="Segoe UI" w:cs="Segoe UI"/>
                <w:b/>
                <w:bCs/>
                <w:w w:val="110"/>
                <w:sz w:val="16"/>
                <w:szCs w:val="16"/>
              </w:rPr>
            </w:pPr>
            <w:r w:rsidRPr="00A74F96">
              <w:rPr>
                <w:rFonts w:ascii="Segoe UI" w:hAnsi="Segoe UI" w:cs="Segoe UI"/>
                <w:b/>
                <w:bCs/>
                <w:w w:val="110"/>
                <w:sz w:val="16"/>
                <w:szCs w:val="16"/>
              </w:rPr>
              <w:t>32,499</w:t>
            </w:r>
          </w:p>
        </w:tc>
        <w:tc>
          <w:tcPr>
            <w:tcW w:w="1174" w:type="dxa"/>
            <w:tcBorders>
              <w:top w:val="single" w:sz="4" w:space="0" w:color="BFBFBF" w:themeColor="background1" w:themeShade="BF"/>
              <w:left w:val="nil"/>
              <w:bottom w:val="single" w:sz="4" w:space="0" w:color="BFBFBF" w:themeColor="background1" w:themeShade="BF"/>
              <w:right w:val="nil"/>
            </w:tcBorders>
          </w:tcPr>
          <w:p w14:paraId="579138F9" w14:textId="7031DE83" w:rsidR="00A74F96" w:rsidRPr="00A74F96" w:rsidRDefault="00A74F96" w:rsidP="00A74F96">
            <w:pPr>
              <w:pStyle w:val="TableParagraph"/>
              <w:spacing w:before="60" w:after="60"/>
              <w:ind w:left="-42" w:right="152" w:firstLine="99"/>
              <w:jc w:val="right"/>
              <w:rPr>
                <w:rFonts w:ascii="Segoe UI" w:hAnsi="Segoe UI" w:cs="Segoe UI"/>
                <w:b/>
                <w:bCs/>
                <w:w w:val="110"/>
                <w:sz w:val="16"/>
                <w:szCs w:val="16"/>
              </w:rPr>
            </w:pPr>
            <w:r w:rsidRPr="00A74F96">
              <w:rPr>
                <w:rFonts w:ascii="Segoe UI" w:hAnsi="Segoe UI" w:cs="Segoe UI"/>
                <w:b/>
                <w:bCs/>
                <w:w w:val="110"/>
                <w:sz w:val="16"/>
                <w:szCs w:val="16"/>
              </w:rPr>
              <w:t>44,499</w:t>
            </w:r>
          </w:p>
        </w:tc>
      </w:tr>
      <w:tr w:rsidR="00A74F96" w:rsidRPr="00A74F96" w14:paraId="2FDF9C8E" w14:textId="77777777" w:rsidTr="00A74F96">
        <w:trPr>
          <w:trHeight w:val="422"/>
        </w:trPr>
        <w:tc>
          <w:tcPr>
            <w:tcW w:w="1274" w:type="dxa"/>
            <w:tcBorders>
              <w:top w:val="single" w:sz="4" w:space="0" w:color="BFBFBF" w:themeColor="background1" w:themeShade="BF"/>
              <w:left w:val="nil"/>
              <w:bottom w:val="single" w:sz="4" w:space="0" w:color="BFBFBF" w:themeColor="background1" w:themeShade="BF"/>
              <w:right w:val="nil"/>
            </w:tcBorders>
          </w:tcPr>
          <w:p w14:paraId="2F22D353" w14:textId="25818A9D" w:rsidR="00A74F96" w:rsidRPr="00A74F96" w:rsidRDefault="00A74F96" w:rsidP="00A74F96">
            <w:pPr>
              <w:pStyle w:val="TableParagraph"/>
              <w:spacing w:before="60" w:after="60"/>
              <w:ind w:left="-42" w:right="152" w:firstLine="99"/>
              <w:jc w:val="right"/>
              <w:rPr>
                <w:rFonts w:ascii="Segoe UI" w:hAnsi="Segoe UI" w:cs="Segoe UI"/>
                <w:b/>
                <w:bCs/>
                <w:w w:val="110"/>
                <w:sz w:val="16"/>
                <w:szCs w:val="16"/>
              </w:rPr>
            </w:pPr>
            <w:r w:rsidRPr="00A74F96">
              <w:rPr>
                <w:rFonts w:ascii="Segoe UI" w:hAnsi="Segoe UI" w:cs="Segoe UI"/>
                <w:b/>
                <w:bCs/>
                <w:w w:val="110"/>
                <w:sz w:val="16"/>
                <w:szCs w:val="16"/>
              </w:rPr>
              <w:t>1,233,984</w:t>
            </w:r>
          </w:p>
        </w:tc>
        <w:tc>
          <w:tcPr>
            <w:tcW w:w="3400" w:type="dxa"/>
            <w:tcBorders>
              <w:top w:val="single" w:sz="4" w:space="0" w:color="BFBFBF" w:themeColor="background1" w:themeShade="BF"/>
              <w:left w:val="nil"/>
              <w:bottom w:val="single" w:sz="4" w:space="0" w:color="BFBFBF" w:themeColor="background1" w:themeShade="BF"/>
              <w:right w:val="nil"/>
            </w:tcBorders>
          </w:tcPr>
          <w:p w14:paraId="6611DE68" w14:textId="0AD8F394" w:rsidR="00A74F96" w:rsidRPr="00A74F96" w:rsidRDefault="00A74F96" w:rsidP="00A74F96">
            <w:pPr>
              <w:pStyle w:val="TableParagraph"/>
              <w:spacing w:before="60" w:after="60"/>
              <w:ind w:left="66" w:hanging="5"/>
              <w:rPr>
                <w:rFonts w:ascii="Segoe UI" w:hAnsi="Segoe UI" w:cs="Segoe UI"/>
                <w:b/>
                <w:bCs/>
                <w:w w:val="105"/>
                <w:sz w:val="16"/>
                <w:szCs w:val="16"/>
              </w:rPr>
            </w:pPr>
            <w:r w:rsidRPr="00A74F96">
              <w:rPr>
                <w:rFonts w:ascii="Segoe UI" w:hAnsi="Segoe UI" w:cs="Segoe UI"/>
                <w:b/>
                <w:bCs/>
                <w:w w:val="105"/>
                <w:sz w:val="16"/>
                <w:szCs w:val="16"/>
              </w:rPr>
              <w:t>Total non-departmental revenue and capital receipts</w:t>
            </w:r>
          </w:p>
        </w:tc>
        <w:tc>
          <w:tcPr>
            <w:tcW w:w="1232" w:type="dxa"/>
            <w:tcBorders>
              <w:top w:val="single" w:sz="4" w:space="0" w:color="BFBFBF" w:themeColor="background1" w:themeShade="BF"/>
              <w:left w:val="nil"/>
              <w:bottom w:val="single" w:sz="4" w:space="0" w:color="BFBFBF" w:themeColor="background1" w:themeShade="BF"/>
              <w:right w:val="nil"/>
            </w:tcBorders>
          </w:tcPr>
          <w:p w14:paraId="568E3204" w14:textId="73C40CEB" w:rsidR="00A74F96" w:rsidRPr="00A74F96" w:rsidRDefault="00A74F96" w:rsidP="00A74F96">
            <w:pPr>
              <w:pStyle w:val="TableParagraph"/>
              <w:spacing w:before="60" w:after="60"/>
              <w:ind w:left="-42" w:right="152" w:firstLine="99"/>
              <w:jc w:val="right"/>
              <w:rPr>
                <w:rFonts w:ascii="Segoe UI" w:hAnsi="Segoe UI" w:cs="Segoe UI"/>
                <w:b/>
                <w:bCs/>
                <w:w w:val="110"/>
                <w:sz w:val="16"/>
                <w:szCs w:val="16"/>
              </w:rPr>
            </w:pPr>
            <w:r w:rsidRPr="00A74F96">
              <w:rPr>
                <w:rFonts w:ascii="Segoe UI" w:hAnsi="Segoe UI" w:cs="Segoe UI"/>
                <w:b/>
                <w:bCs/>
                <w:w w:val="110"/>
                <w:sz w:val="16"/>
                <w:szCs w:val="16"/>
              </w:rPr>
              <w:t>1,356,533</w:t>
            </w:r>
          </w:p>
        </w:tc>
        <w:tc>
          <w:tcPr>
            <w:tcW w:w="1350" w:type="dxa"/>
            <w:tcBorders>
              <w:top w:val="single" w:sz="4" w:space="0" w:color="BFBFBF" w:themeColor="background1" w:themeShade="BF"/>
              <w:left w:val="nil"/>
              <w:bottom w:val="single" w:sz="4" w:space="0" w:color="BFBFBF" w:themeColor="background1" w:themeShade="BF"/>
              <w:right w:val="nil"/>
            </w:tcBorders>
          </w:tcPr>
          <w:p w14:paraId="2821B56C" w14:textId="433096F2" w:rsidR="00A74F96" w:rsidRPr="00A74F96" w:rsidRDefault="00A74F96" w:rsidP="00A74F96">
            <w:pPr>
              <w:pStyle w:val="TableParagraph"/>
              <w:spacing w:before="60" w:after="60"/>
              <w:ind w:left="-42" w:right="152" w:firstLine="99"/>
              <w:jc w:val="right"/>
              <w:rPr>
                <w:rFonts w:ascii="Segoe UI" w:hAnsi="Segoe UI" w:cs="Segoe UI"/>
                <w:b/>
                <w:bCs/>
                <w:w w:val="110"/>
                <w:sz w:val="16"/>
                <w:szCs w:val="16"/>
              </w:rPr>
            </w:pPr>
            <w:r w:rsidRPr="00A74F96">
              <w:rPr>
                <w:rFonts w:ascii="Segoe UI" w:hAnsi="Segoe UI" w:cs="Segoe UI"/>
                <w:b/>
                <w:bCs/>
                <w:w w:val="110"/>
                <w:sz w:val="16"/>
                <w:szCs w:val="16"/>
              </w:rPr>
              <w:t>1,376,775</w:t>
            </w:r>
          </w:p>
        </w:tc>
        <w:tc>
          <w:tcPr>
            <w:tcW w:w="1174" w:type="dxa"/>
            <w:tcBorders>
              <w:top w:val="single" w:sz="4" w:space="0" w:color="BFBFBF" w:themeColor="background1" w:themeShade="BF"/>
              <w:left w:val="nil"/>
              <w:bottom w:val="single" w:sz="4" w:space="0" w:color="BFBFBF" w:themeColor="background1" w:themeShade="BF"/>
              <w:right w:val="nil"/>
            </w:tcBorders>
          </w:tcPr>
          <w:p w14:paraId="3039AE47" w14:textId="3A1B9A41" w:rsidR="00A74F96" w:rsidRPr="00A74F96" w:rsidRDefault="00A74F96" w:rsidP="00A74F96">
            <w:pPr>
              <w:pStyle w:val="TableParagraph"/>
              <w:spacing w:before="60" w:after="60"/>
              <w:ind w:left="-42" w:right="152" w:firstLine="99"/>
              <w:jc w:val="right"/>
              <w:rPr>
                <w:rFonts w:ascii="Segoe UI" w:hAnsi="Segoe UI" w:cs="Segoe UI"/>
                <w:b/>
                <w:bCs/>
                <w:w w:val="110"/>
                <w:sz w:val="16"/>
                <w:szCs w:val="16"/>
              </w:rPr>
            </w:pPr>
            <w:r w:rsidRPr="00A74F96">
              <w:rPr>
                <w:rFonts w:ascii="Segoe UI" w:hAnsi="Segoe UI" w:cs="Segoe UI"/>
                <w:b/>
                <w:bCs/>
                <w:w w:val="110"/>
                <w:sz w:val="16"/>
                <w:szCs w:val="16"/>
              </w:rPr>
              <w:t>1,468,581</w:t>
            </w:r>
          </w:p>
        </w:tc>
      </w:tr>
    </w:tbl>
    <w:p w14:paraId="71CC06D1" w14:textId="77777777" w:rsidR="00A74F96" w:rsidRDefault="00A74F96" w:rsidP="00A74F96">
      <w:pPr>
        <w:pStyle w:val="Note"/>
      </w:pPr>
      <w:r>
        <w:t>The accompanying notes form part of these financial statements.</w:t>
      </w:r>
    </w:p>
    <w:p w14:paraId="1EDC2BD7" w14:textId="77777777" w:rsidR="00A74F96" w:rsidRDefault="00A74F96" w:rsidP="00A74F96">
      <w:pPr>
        <w:pStyle w:val="Note"/>
        <w:sectPr w:rsidR="00A74F96" w:rsidSect="000A3324">
          <w:pgSz w:w="11907" w:h="16840" w:code="9"/>
          <w:pgMar w:top="1418" w:right="1701" w:bottom="1134" w:left="1843" w:header="284" w:footer="425" w:gutter="284"/>
          <w:cols w:space="720"/>
        </w:sectPr>
      </w:pPr>
      <w:r>
        <w:t>For a full understanding of the Crown’s financial position and the results of its operations for the year, refer to the consolidated Financial Statement of the Government for the year ended 30 June 2024.</w:t>
      </w:r>
    </w:p>
    <w:p w14:paraId="18A06BEC" w14:textId="75BBE2B8" w:rsidR="00A74F96" w:rsidRDefault="00A74F96" w:rsidP="00386646">
      <w:pPr>
        <w:pStyle w:val="Heading3"/>
        <w:spacing w:before="0"/>
      </w:pPr>
      <w:r w:rsidRPr="00A74F96">
        <w:lastRenderedPageBreak/>
        <w:t xml:space="preserve">Schedule of non-departmental assets and liabilities as </w:t>
      </w:r>
      <w:proofErr w:type="gramStart"/>
      <w:r w:rsidRPr="00A74F96">
        <w:t>at</w:t>
      </w:r>
      <w:proofErr w:type="gramEnd"/>
      <w:r w:rsidRPr="00A74F96">
        <w:t xml:space="preserve"> 30 June 2024</w:t>
      </w:r>
    </w:p>
    <w:tbl>
      <w:tblPr>
        <w:tblW w:w="8070" w:type="dxa"/>
        <w:tblLayout w:type="fixed"/>
        <w:tblCellMar>
          <w:left w:w="0" w:type="dxa"/>
          <w:right w:w="0" w:type="dxa"/>
        </w:tblCellMar>
        <w:tblLook w:val="01E0" w:firstRow="1" w:lastRow="1" w:firstColumn="1" w:lastColumn="1" w:noHBand="0" w:noVBand="0"/>
      </w:tblPr>
      <w:tblGrid>
        <w:gridCol w:w="1276"/>
        <w:gridCol w:w="2834"/>
        <w:gridCol w:w="710"/>
        <w:gridCol w:w="850"/>
        <w:gridCol w:w="1276"/>
        <w:gridCol w:w="1124"/>
      </w:tblGrid>
      <w:tr w:rsidR="00A74F96" w14:paraId="12B0EDEC" w14:textId="77777777" w:rsidTr="00D65845">
        <w:trPr>
          <w:trHeight w:val="1004"/>
        </w:trPr>
        <w:tc>
          <w:tcPr>
            <w:tcW w:w="1276" w:type="dxa"/>
            <w:shd w:val="clear" w:color="auto" w:fill="D9D9D9" w:themeFill="background1" w:themeFillShade="D9"/>
            <w:hideMark/>
          </w:tcPr>
          <w:p w14:paraId="40CD72F0" w14:textId="77777777" w:rsidR="00A74F96" w:rsidRDefault="00A74F96">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Actual</w:t>
            </w:r>
            <w:r>
              <w:rPr>
                <w:rFonts w:ascii="Segoe UI" w:hAnsi="Segoe UI" w:cs="Segoe UI"/>
                <w:b/>
                <w:bCs/>
                <w:sz w:val="16"/>
                <w:szCs w:val="16"/>
              </w:rPr>
              <w:br/>
            </w:r>
          </w:p>
          <w:p w14:paraId="24BF3974" w14:textId="43109647" w:rsidR="00A74F96" w:rsidRDefault="00A74F96">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2023</w:t>
            </w:r>
          </w:p>
          <w:p w14:paraId="570BEFEE" w14:textId="77777777" w:rsidR="00A74F96" w:rsidRDefault="00A74F96">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2834" w:type="dxa"/>
            <w:shd w:val="clear" w:color="auto" w:fill="D9D9D9" w:themeFill="background1" w:themeFillShade="D9"/>
          </w:tcPr>
          <w:p w14:paraId="000060AC" w14:textId="77777777" w:rsidR="00A74F96" w:rsidRDefault="00A74F96">
            <w:pPr>
              <w:pStyle w:val="TableParagraph"/>
              <w:spacing w:line="20" w:lineRule="exact"/>
              <w:ind w:left="3242" w:right="-101"/>
              <w:rPr>
                <w:rFonts w:ascii="Century Gothic"/>
                <w:b/>
                <w:bCs/>
                <w:sz w:val="2"/>
              </w:rPr>
            </w:pPr>
          </w:p>
          <w:p w14:paraId="2989467B" w14:textId="77777777" w:rsidR="00A74F96" w:rsidRDefault="00A74F96">
            <w:pPr>
              <w:pStyle w:val="TableParagraph"/>
              <w:rPr>
                <w:rFonts w:ascii="Century Gothic"/>
                <w:b/>
                <w:bCs/>
                <w:sz w:val="20"/>
              </w:rPr>
            </w:pPr>
          </w:p>
          <w:p w14:paraId="1261A5AB" w14:textId="77777777" w:rsidR="00A74F96" w:rsidRDefault="00A74F96">
            <w:pPr>
              <w:pStyle w:val="TableParagraph"/>
              <w:rPr>
                <w:rFonts w:ascii="Century Gothic"/>
                <w:b/>
                <w:bCs/>
                <w:sz w:val="20"/>
              </w:rPr>
            </w:pPr>
          </w:p>
          <w:p w14:paraId="471D4F3D" w14:textId="77777777" w:rsidR="00A74F96" w:rsidRDefault="00A74F96">
            <w:pPr>
              <w:pStyle w:val="TableParagraph"/>
              <w:rPr>
                <w:rFonts w:ascii="Century Gothic"/>
                <w:b/>
                <w:bCs/>
                <w:sz w:val="20"/>
              </w:rPr>
            </w:pPr>
          </w:p>
          <w:p w14:paraId="4A75A0E4" w14:textId="77777777" w:rsidR="00A74F96" w:rsidRDefault="00A74F96">
            <w:pPr>
              <w:pStyle w:val="TableParagraph"/>
              <w:tabs>
                <w:tab w:val="left" w:pos="3242"/>
              </w:tabs>
              <w:spacing w:line="20" w:lineRule="exact"/>
              <w:ind w:left="-8" w:right="-101"/>
              <w:rPr>
                <w:rFonts w:ascii="Century Gothic"/>
                <w:b/>
                <w:bCs/>
                <w:sz w:val="2"/>
              </w:rPr>
            </w:pPr>
            <w:r>
              <w:rPr>
                <w:rFonts w:ascii="Century Gothic"/>
                <w:b/>
                <w:bCs/>
                <w:sz w:val="2"/>
              </w:rPr>
              <w:tab/>
            </w:r>
          </w:p>
        </w:tc>
        <w:tc>
          <w:tcPr>
            <w:tcW w:w="710" w:type="dxa"/>
            <w:shd w:val="clear" w:color="auto" w:fill="D9D9D9" w:themeFill="background1" w:themeFillShade="D9"/>
            <w:hideMark/>
          </w:tcPr>
          <w:p w14:paraId="1DAA1A7B" w14:textId="77777777" w:rsidR="00A74F96" w:rsidRDefault="00A74F9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br/>
            </w:r>
            <w:r>
              <w:rPr>
                <w:rFonts w:ascii="Segoe UI" w:hAnsi="Segoe UI" w:cs="Segoe UI"/>
                <w:b/>
                <w:bCs/>
                <w:w w:val="110"/>
                <w:sz w:val="16"/>
                <w:szCs w:val="16"/>
              </w:rPr>
              <w:br/>
            </w:r>
          </w:p>
          <w:p w14:paraId="21C69762" w14:textId="77777777" w:rsidR="00A74F96" w:rsidRDefault="00A74F9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Note</w:t>
            </w:r>
          </w:p>
        </w:tc>
        <w:tc>
          <w:tcPr>
            <w:tcW w:w="850" w:type="dxa"/>
            <w:shd w:val="clear" w:color="auto" w:fill="D9D9D9" w:themeFill="background1" w:themeFillShade="D9"/>
            <w:hideMark/>
          </w:tcPr>
          <w:p w14:paraId="5AAA5501" w14:textId="77777777" w:rsidR="00A74F96" w:rsidRDefault="00A74F9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Actual</w:t>
            </w:r>
            <w:r>
              <w:rPr>
                <w:rFonts w:ascii="Segoe UI" w:hAnsi="Segoe UI" w:cs="Segoe UI"/>
                <w:b/>
                <w:bCs/>
                <w:w w:val="110"/>
                <w:sz w:val="16"/>
                <w:szCs w:val="16"/>
              </w:rPr>
              <w:br/>
            </w:r>
          </w:p>
          <w:p w14:paraId="538BEF5D" w14:textId="3DB20209" w:rsidR="00A74F96" w:rsidRDefault="00A74F9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3A6AA11F" w14:textId="77777777" w:rsidR="00A74F96" w:rsidRDefault="00A74F9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276" w:type="dxa"/>
            <w:shd w:val="clear" w:color="auto" w:fill="D9D9D9" w:themeFill="background1" w:themeFillShade="D9"/>
            <w:hideMark/>
          </w:tcPr>
          <w:p w14:paraId="27B3F00A" w14:textId="77777777" w:rsidR="00A74F96" w:rsidRDefault="00A74F9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Unaudited</w:t>
            </w:r>
            <w:r>
              <w:rPr>
                <w:rFonts w:ascii="Segoe UI" w:hAnsi="Segoe UI" w:cs="Segoe UI"/>
                <w:b/>
                <w:bCs/>
                <w:w w:val="110"/>
                <w:sz w:val="16"/>
                <w:szCs w:val="16"/>
              </w:rPr>
              <w:br/>
              <w:t>budget</w:t>
            </w:r>
          </w:p>
          <w:p w14:paraId="3D0C77F0" w14:textId="651A5C11" w:rsidR="00A74F96" w:rsidRDefault="00A74F9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226216E5" w14:textId="77777777" w:rsidR="00A74F96" w:rsidRDefault="00A74F9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124" w:type="dxa"/>
            <w:shd w:val="clear" w:color="auto" w:fill="D9D9D9" w:themeFill="background1" w:themeFillShade="D9"/>
            <w:hideMark/>
          </w:tcPr>
          <w:p w14:paraId="28150777" w14:textId="77777777" w:rsidR="00A74F96" w:rsidRDefault="00A74F9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Revised budget</w:t>
            </w:r>
          </w:p>
          <w:p w14:paraId="49CC2384" w14:textId="36619E5D" w:rsidR="00A74F96" w:rsidRDefault="00A74F9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377B5D24" w14:textId="77777777" w:rsidR="00A74F96" w:rsidRDefault="00A74F9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r>
      <w:tr w:rsidR="00A74F96" w14:paraId="5E27F45D" w14:textId="77777777" w:rsidTr="00D65845">
        <w:trPr>
          <w:trHeight w:val="340"/>
        </w:trPr>
        <w:tc>
          <w:tcPr>
            <w:tcW w:w="1276" w:type="dxa"/>
          </w:tcPr>
          <w:p w14:paraId="28A420EC" w14:textId="77777777" w:rsidR="00A74F96" w:rsidRDefault="00A74F96">
            <w:pPr>
              <w:pStyle w:val="TableParagraph"/>
              <w:spacing w:before="50" w:after="50"/>
              <w:ind w:left="-42" w:right="170" w:firstLine="99"/>
              <w:jc w:val="right"/>
              <w:rPr>
                <w:rFonts w:ascii="Segoe UI" w:hAnsi="Segoe UI" w:cs="Segoe UI"/>
                <w:b/>
                <w:bCs/>
                <w:sz w:val="16"/>
                <w:szCs w:val="16"/>
              </w:rPr>
            </w:pPr>
          </w:p>
        </w:tc>
        <w:tc>
          <w:tcPr>
            <w:tcW w:w="2834" w:type="dxa"/>
            <w:hideMark/>
          </w:tcPr>
          <w:p w14:paraId="3B8FBB53" w14:textId="77777777" w:rsidR="00A74F96" w:rsidRDefault="00A74F96">
            <w:pPr>
              <w:pStyle w:val="TableParagraph"/>
              <w:spacing w:before="50" w:after="50"/>
              <w:ind w:left="66" w:hanging="5"/>
              <w:rPr>
                <w:rFonts w:ascii="Segoe UI" w:hAnsi="Segoe UI" w:cs="Segoe UI"/>
                <w:b/>
                <w:bCs/>
                <w:w w:val="105"/>
                <w:sz w:val="16"/>
                <w:szCs w:val="16"/>
              </w:rPr>
            </w:pPr>
            <w:r>
              <w:rPr>
                <w:rFonts w:ascii="Segoe UI" w:hAnsi="Segoe UI" w:cs="Segoe UI"/>
                <w:b/>
                <w:bCs/>
                <w:w w:val="105"/>
                <w:sz w:val="16"/>
                <w:szCs w:val="16"/>
              </w:rPr>
              <w:t>Assets</w:t>
            </w:r>
          </w:p>
        </w:tc>
        <w:tc>
          <w:tcPr>
            <w:tcW w:w="710" w:type="dxa"/>
          </w:tcPr>
          <w:p w14:paraId="141244D5" w14:textId="77777777" w:rsidR="00A74F96" w:rsidRDefault="00A74F96">
            <w:pPr>
              <w:pStyle w:val="TableParagraph"/>
              <w:spacing w:before="50" w:after="50"/>
              <w:ind w:left="-42" w:right="152" w:firstLine="99"/>
              <w:jc w:val="right"/>
              <w:rPr>
                <w:rFonts w:ascii="Segoe UI" w:hAnsi="Segoe UI" w:cs="Segoe UI"/>
                <w:b/>
                <w:bCs/>
                <w:w w:val="110"/>
                <w:sz w:val="16"/>
                <w:szCs w:val="16"/>
              </w:rPr>
            </w:pPr>
          </w:p>
        </w:tc>
        <w:tc>
          <w:tcPr>
            <w:tcW w:w="850" w:type="dxa"/>
          </w:tcPr>
          <w:p w14:paraId="1BE76584" w14:textId="77777777" w:rsidR="00A74F96" w:rsidRDefault="00A74F96">
            <w:pPr>
              <w:pStyle w:val="TableParagraph"/>
              <w:spacing w:before="50" w:after="50"/>
              <w:ind w:left="-42" w:right="152" w:firstLine="99"/>
              <w:jc w:val="right"/>
              <w:rPr>
                <w:rFonts w:ascii="Segoe UI" w:hAnsi="Segoe UI" w:cs="Segoe UI"/>
                <w:b/>
                <w:bCs/>
                <w:w w:val="110"/>
                <w:sz w:val="16"/>
                <w:szCs w:val="16"/>
              </w:rPr>
            </w:pPr>
          </w:p>
        </w:tc>
        <w:tc>
          <w:tcPr>
            <w:tcW w:w="1276" w:type="dxa"/>
          </w:tcPr>
          <w:p w14:paraId="172E2D08" w14:textId="77777777" w:rsidR="00A74F96" w:rsidRDefault="00A74F96">
            <w:pPr>
              <w:pStyle w:val="TableParagraph"/>
              <w:spacing w:before="50" w:after="50"/>
              <w:ind w:left="-42" w:right="152" w:firstLine="99"/>
              <w:jc w:val="right"/>
              <w:rPr>
                <w:rFonts w:ascii="Segoe UI" w:hAnsi="Segoe UI" w:cs="Segoe UI"/>
                <w:b/>
                <w:bCs/>
                <w:w w:val="110"/>
                <w:sz w:val="16"/>
                <w:szCs w:val="16"/>
              </w:rPr>
            </w:pPr>
          </w:p>
        </w:tc>
        <w:tc>
          <w:tcPr>
            <w:tcW w:w="1124" w:type="dxa"/>
          </w:tcPr>
          <w:p w14:paraId="61824899" w14:textId="77777777" w:rsidR="00A74F96" w:rsidRDefault="00A74F96">
            <w:pPr>
              <w:pStyle w:val="TableParagraph"/>
              <w:spacing w:before="50" w:after="50"/>
              <w:ind w:left="-42" w:right="152" w:firstLine="99"/>
              <w:jc w:val="right"/>
              <w:rPr>
                <w:rFonts w:ascii="Segoe UI" w:hAnsi="Segoe UI" w:cs="Segoe UI"/>
                <w:b/>
                <w:bCs/>
                <w:w w:val="110"/>
                <w:sz w:val="16"/>
                <w:szCs w:val="16"/>
              </w:rPr>
            </w:pPr>
          </w:p>
        </w:tc>
      </w:tr>
      <w:tr w:rsidR="00A74F96" w14:paraId="4223BA31" w14:textId="77777777" w:rsidTr="00D65845">
        <w:trPr>
          <w:trHeight w:val="340"/>
        </w:trPr>
        <w:tc>
          <w:tcPr>
            <w:tcW w:w="1276" w:type="dxa"/>
          </w:tcPr>
          <w:p w14:paraId="3DD68B5F" w14:textId="77777777" w:rsidR="00A74F96" w:rsidRDefault="00A74F96">
            <w:pPr>
              <w:pStyle w:val="TableParagraph"/>
              <w:spacing w:before="50" w:after="50"/>
              <w:ind w:left="-42" w:right="170" w:firstLine="99"/>
              <w:jc w:val="right"/>
              <w:rPr>
                <w:rFonts w:ascii="Segoe UI" w:hAnsi="Segoe UI" w:cs="Segoe UI"/>
                <w:b/>
                <w:bCs/>
                <w:sz w:val="16"/>
                <w:szCs w:val="16"/>
              </w:rPr>
            </w:pPr>
          </w:p>
        </w:tc>
        <w:tc>
          <w:tcPr>
            <w:tcW w:w="2834" w:type="dxa"/>
            <w:hideMark/>
          </w:tcPr>
          <w:p w14:paraId="6AAD9174" w14:textId="77777777" w:rsidR="00A74F96" w:rsidRDefault="00A74F96">
            <w:pPr>
              <w:pStyle w:val="TableParagraph"/>
              <w:spacing w:before="50" w:after="50"/>
              <w:ind w:left="66" w:hanging="5"/>
              <w:rPr>
                <w:rFonts w:ascii="Segoe UI" w:hAnsi="Segoe UI" w:cs="Segoe UI"/>
                <w:b/>
                <w:bCs/>
                <w:w w:val="105"/>
                <w:sz w:val="16"/>
                <w:szCs w:val="16"/>
              </w:rPr>
            </w:pPr>
            <w:r>
              <w:rPr>
                <w:rFonts w:ascii="Segoe UI" w:hAnsi="Segoe UI" w:cs="Segoe UI"/>
                <w:b/>
                <w:bCs/>
                <w:w w:val="105"/>
                <w:sz w:val="16"/>
                <w:szCs w:val="16"/>
              </w:rPr>
              <w:t>Current assets</w:t>
            </w:r>
          </w:p>
        </w:tc>
        <w:tc>
          <w:tcPr>
            <w:tcW w:w="710" w:type="dxa"/>
          </w:tcPr>
          <w:p w14:paraId="1FB1F618" w14:textId="77777777" w:rsidR="00A74F96" w:rsidRDefault="00A74F96">
            <w:pPr>
              <w:pStyle w:val="TableParagraph"/>
              <w:spacing w:before="50" w:after="50"/>
              <w:ind w:left="-42" w:right="152" w:firstLine="99"/>
              <w:jc w:val="right"/>
              <w:rPr>
                <w:rFonts w:ascii="Segoe UI" w:hAnsi="Segoe UI" w:cs="Segoe UI"/>
                <w:b/>
                <w:bCs/>
                <w:w w:val="110"/>
                <w:sz w:val="16"/>
                <w:szCs w:val="16"/>
              </w:rPr>
            </w:pPr>
          </w:p>
        </w:tc>
        <w:tc>
          <w:tcPr>
            <w:tcW w:w="850" w:type="dxa"/>
          </w:tcPr>
          <w:p w14:paraId="093AC03A" w14:textId="77777777" w:rsidR="00A74F96" w:rsidRDefault="00A74F96">
            <w:pPr>
              <w:pStyle w:val="TableParagraph"/>
              <w:spacing w:before="50" w:after="50"/>
              <w:ind w:left="-42" w:right="152" w:firstLine="99"/>
              <w:jc w:val="right"/>
              <w:rPr>
                <w:rFonts w:ascii="Segoe UI" w:hAnsi="Segoe UI" w:cs="Segoe UI"/>
                <w:b/>
                <w:bCs/>
                <w:w w:val="110"/>
                <w:sz w:val="16"/>
                <w:szCs w:val="16"/>
              </w:rPr>
            </w:pPr>
          </w:p>
        </w:tc>
        <w:tc>
          <w:tcPr>
            <w:tcW w:w="1276" w:type="dxa"/>
          </w:tcPr>
          <w:p w14:paraId="2DED2BD1" w14:textId="77777777" w:rsidR="00A74F96" w:rsidRDefault="00A74F96">
            <w:pPr>
              <w:pStyle w:val="TableParagraph"/>
              <w:spacing w:before="50" w:after="50"/>
              <w:ind w:left="-42" w:right="152" w:firstLine="99"/>
              <w:jc w:val="right"/>
              <w:rPr>
                <w:rFonts w:ascii="Segoe UI" w:hAnsi="Segoe UI" w:cs="Segoe UI"/>
                <w:b/>
                <w:bCs/>
                <w:w w:val="110"/>
                <w:sz w:val="16"/>
                <w:szCs w:val="16"/>
              </w:rPr>
            </w:pPr>
          </w:p>
        </w:tc>
        <w:tc>
          <w:tcPr>
            <w:tcW w:w="1124" w:type="dxa"/>
          </w:tcPr>
          <w:p w14:paraId="7EB6B3FC" w14:textId="77777777" w:rsidR="00A74F96" w:rsidRDefault="00A74F96">
            <w:pPr>
              <w:pStyle w:val="TableParagraph"/>
              <w:spacing w:before="50" w:after="50"/>
              <w:ind w:left="-42" w:right="152" w:firstLine="99"/>
              <w:jc w:val="right"/>
              <w:rPr>
                <w:rFonts w:ascii="Segoe UI" w:hAnsi="Segoe UI" w:cs="Segoe UI"/>
                <w:b/>
                <w:bCs/>
                <w:w w:val="110"/>
                <w:sz w:val="16"/>
                <w:szCs w:val="16"/>
              </w:rPr>
            </w:pPr>
          </w:p>
        </w:tc>
      </w:tr>
      <w:tr w:rsidR="00D65845" w14:paraId="67C4F2A1" w14:textId="77777777" w:rsidTr="00D65845">
        <w:trPr>
          <w:trHeight w:val="340"/>
        </w:trPr>
        <w:tc>
          <w:tcPr>
            <w:tcW w:w="1276" w:type="dxa"/>
          </w:tcPr>
          <w:p w14:paraId="6FAAB626" w14:textId="27E361D6" w:rsidR="00D65845" w:rsidRP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72,303</w:t>
            </w:r>
          </w:p>
        </w:tc>
        <w:tc>
          <w:tcPr>
            <w:tcW w:w="2834" w:type="dxa"/>
          </w:tcPr>
          <w:p w14:paraId="031AD388" w14:textId="7025DCDA" w:rsidR="00D65845" w:rsidRPr="00D65845" w:rsidRDefault="00D65845" w:rsidP="00D65845">
            <w:pPr>
              <w:pStyle w:val="TableParagraph"/>
              <w:spacing w:before="50" w:after="50"/>
              <w:ind w:left="66" w:hanging="5"/>
              <w:rPr>
                <w:rFonts w:ascii="Segoe UI" w:hAnsi="Segoe UI" w:cs="Segoe UI"/>
                <w:w w:val="105"/>
                <w:sz w:val="16"/>
                <w:szCs w:val="16"/>
              </w:rPr>
            </w:pPr>
            <w:r w:rsidRPr="00D65845">
              <w:rPr>
                <w:rFonts w:ascii="Segoe UI" w:hAnsi="Segoe UI" w:cs="Segoe UI"/>
                <w:w w:val="105"/>
                <w:sz w:val="16"/>
                <w:szCs w:val="16"/>
              </w:rPr>
              <w:t>Cash and cash equivalents</w:t>
            </w:r>
          </w:p>
        </w:tc>
        <w:tc>
          <w:tcPr>
            <w:tcW w:w="710" w:type="dxa"/>
          </w:tcPr>
          <w:p w14:paraId="3731C879" w14:textId="77777777" w:rsidR="00D65845" w:rsidRDefault="00D65845" w:rsidP="00D65845">
            <w:pPr>
              <w:pStyle w:val="TableParagraph"/>
              <w:spacing w:before="50" w:after="50"/>
              <w:ind w:left="-42" w:right="152" w:firstLine="99"/>
              <w:jc w:val="right"/>
              <w:rPr>
                <w:rFonts w:ascii="Segoe UI" w:hAnsi="Segoe UI" w:cs="Segoe UI"/>
                <w:w w:val="110"/>
                <w:sz w:val="16"/>
                <w:szCs w:val="16"/>
              </w:rPr>
            </w:pPr>
          </w:p>
        </w:tc>
        <w:tc>
          <w:tcPr>
            <w:tcW w:w="850" w:type="dxa"/>
          </w:tcPr>
          <w:p w14:paraId="0BE4890D" w14:textId="6141DA1E"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68,409</w:t>
            </w:r>
          </w:p>
        </w:tc>
        <w:tc>
          <w:tcPr>
            <w:tcW w:w="1276" w:type="dxa"/>
          </w:tcPr>
          <w:p w14:paraId="596A7FF4" w14:textId="365999B9"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150,000</w:t>
            </w:r>
          </w:p>
        </w:tc>
        <w:tc>
          <w:tcPr>
            <w:tcW w:w="1124" w:type="dxa"/>
          </w:tcPr>
          <w:p w14:paraId="65BB9160" w14:textId="266B2C78"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26,000</w:t>
            </w:r>
          </w:p>
        </w:tc>
      </w:tr>
      <w:tr w:rsidR="00D65845" w14:paraId="0C8D080E" w14:textId="77777777" w:rsidTr="00D65845">
        <w:trPr>
          <w:trHeight w:val="340"/>
        </w:trPr>
        <w:tc>
          <w:tcPr>
            <w:tcW w:w="1276" w:type="dxa"/>
          </w:tcPr>
          <w:p w14:paraId="099CF3C4" w14:textId="592D243C" w:rsidR="00D65845" w:rsidRP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1,412</w:t>
            </w:r>
          </w:p>
        </w:tc>
        <w:tc>
          <w:tcPr>
            <w:tcW w:w="2834" w:type="dxa"/>
          </w:tcPr>
          <w:p w14:paraId="6540618B" w14:textId="77969D77" w:rsidR="00D65845" w:rsidRPr="00D65845" w:rsidRDefault="00D65845" w:rsidP="00D65845">
            <w:pPr>
              <w:pStyle w:val="TableParagraph"/>
              <w:spacing w:before="50" w:after="50"/>
              <w:ind w:left="66" w:hanging="5"/>
              <w:rPr>
                <w:rFonts w:ascii="Segoe UI" w:hAnsi="Segoe UI" w:cs="Segoe UI"/>
                <w:w w:val="105"/>
                <w:sz w:val="16"/>
                <w:szCs w:val="16"/>
              </w:rPr>
            </w:pPr>
            <w:r w:rsidRPr="00D65845">
              <w:rPr>
                <w:rFonts w:ascii="Segoe UI" w:hAnsi="Segoe UI" w:cs="Segoe UI"/>
                <w:w w:val="105"/>
                <w:sz w:val="16"/>
                <w:szCs w:val="16"/>
              </w:rPr>
              <w:t>Receivables from Health New Zealand</w:t>
            </w:r>
          </w:p>
        </w:tc>
        <w:tc>
          <w:tcPr>
            <w:tcW w:w="710" w:type="dxa"/>
          </w:tcPr>
          <w:p w14:paraId="71EB0C4D" w14:textId="1BC2C56A" w:rsidR="00D65845" w:rsidRDefault="00D65845" w:rsidP="00D65845">
            <w:pPr>
              <w:pStyle w:val="TableParagraph"/>
              <w:spacing w:before="50" w:after="50"/>
              <w:ind w:left="-42" w:right="152" w:firstLine="99"/>
              <w:jc w:val="right"/>
              <w:rPr>
                <w:rFonts w:ascii="Segoe UI" w:hAnsi="Segoe UI" w:cs="Segoe UI"/>
                <w:w w:val="110"/>
                <w:sz w:val="16"/>
                <w:szCs w:val="16"/>
              </w:rPr>
            </w:pPr>
          </w:p>
        </w:tc>
        <w:tc>
          <w:tcPr>
            <w:tcW w:w="850" w:type="dxa"/>
          </w:tcPr>
          <w:p w14:paraId="6143DB02" w14:textId="7895BE66"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(8)</w:t>
            </w:r>
          </w:p>
        </w:tc>
        <w:tc>
          <w:tcPr>
            <w:tcW w:w="1276" w:type="dxa"/>
          </w:tcPr>
          <w:p w14:paraId="0335D171" w14:textId="23B641D9"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10,000</w:t>
            </w:r>
          </w:p>
        </w:tc>
        <w:tc>
          <w:tcPr>
            <w:tcW w:w="1124" w:type="dxa"/>
          </w:tcPr>
          <w:p w14:paraId="42B09D3D" w14:textId="2208DFCD"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500</w:t>
            </w:r>
          </w:p>
        </w:tc>
      </w:tr>
      <w:tr w:rsidR="00D65845" w14:paraId="1B68A4C0" w14:textId="77777777" w:rsidTr="00D65845">
        <w:trPr>
          <w:trHeight w:val="340"/>
        </w:trPr>
        <w:tc>
          <w:tcPr>
            <w:tcW w:w="1276" w:type="dxa"/>
          </w:tcPr>
          <w:p w14:paraId="197AB1DE" w14:textId="33D3F54D" w:rsidR="00D65845" w:rsidRP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13,239</w:t>
            </w:r>
          </w:p>
        </w:tc>
        <w:tc>
          <w:tcPr>
            <w:tcW w:w="2834" w:type="dxa"/>
          </w:tcPr>
          <w:p w14:paraId="13064EA5" w14:textId="6823CB40" w:rsidR="00D65845" w:rsidRPr="00D65845" w:rsidRDefault="00D65845" w:rsidP="00D65845">
            <w:pPr>
              <w:pStyle w:val="TableParagraph"/>
              <w:spacing w:before="50" w:after="50"/>
              <w:ind w:left="66" w:hanging="5"/>
              <w:rPr>
                <w:rFonts w:ascii="Segoe UI" w:hAnsi="Segoe UI" w:cs="Segoe UI"/>
                <w:w w:val="105"/>
                <w:sz w:val="16"/>
                <w:szCs w:val="16"/>
              </w:rPr>
            </w:pPr>
            <w:r w:rsidRPr="00D65845">
              <w:rPr>
                <w:rFonts w:ascii="Segoe UI" w:hAnsi="Segoe UI" w:cs="Segoe UI"/>
                <w:w w:val="105"/>
                <w:sz w:val="16"/>
                <w:szCs w:val="16"/>
              </w:rPr>
              <w:t>Receivables from ACC</w:t>
            </w:r>
          </w:p>
        </w:tc>
        <w:tc>
          <w:tcPr>
            <w:tcW w:w="710" w:type="dxa"/>
          </w:tcPr>
          <w:p w14:paraId="7403BDDF" w14:textId="77777777" w:rsidR="00D65845" w:rsidRDefault="00D65845" w:rsidP="00D65845">
            <w:pPr>
              <w:pStyle w:val="TableParagraph"/>
              <w:spacing w:before="50" w:after="50"/>
              <w:ind w:left="-42" w:right="152" w:firstLine="99"/>
              <w:jc w:val="right"/>
              <w:rPr>
                <w:rFonts w:ascii="Segoe UI" w:hAnsi="Segoe UI" w:cs="Segoe UI"/>
                <w:w w:val="110"/>
                <w:sz w:val="16"/>
                <w:szCs w:val="16"/>
              </w:rPr>
            </w:pPr>
          </w:p>
        </w:tc>
        <w:tc>
          <w:tcPr>
            <w:tcW w:w="850" w:type="dxa"/>
          </w:tcPr>
          <w:p w14:paraId="4E97FB1D" w14:textId="497E7744"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w:t>
            </w:r>
          </w:p>
        </w:tc>
        <w:tc>
          <w:tcPr>
            <w:tcW w:w="1276" w:type="dxa"/>
          </w:tcPr>
          <w:p w14:paraId="37895EFA" w14:textId="13B24399"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w:t>
            </w:r>
          </w:p>
        </w:tc>
        <w:tc>
          <w:tcPr>
            <w:tcW w:w="1124" w:type="dxa"/>
          </w:tcPr>
          <w:p w14:paraId="2C0D75B0" w14:textId="38D7FA88"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w:t>
            </w:r>
          </w:p>
        </w:tc>
      </w:tr>
      <w:tr w:rsidR="00D65845" w14:paraId="79AA5169" w14:textId="77777777" w:rsidTr="00D65845">
        <w:trPr>
          <w:trHeight w:val="340"/>
        </w:trPr>
        <w:tc>
          <w:tcPr>
            <w:tcW w:w="1276" w:type="dxa"/>
          </w:tcPr>
          <w:p w14:paraId="18851BFD" w14:textId="65766D34" w:rsidR="00D65845" w:rsidRP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4,489</w:t>
            </w:r>
          </w:p>
        </w:tc>
        <w:tc>
          <w:tcPr>
            <w:tcW w:w="2834" w:type="dxa"/>
          </w:tcPr>
          <w:p w14:paraId="458F8244" w14:textId="40393B2E" w:rsidR="00D65845" w:rsidRPr="00D65845" w:rsidRDefault="00D65845" w:rsidP="00D65845">
            <w:pPr>
              <w:pStyle w:val="TableParagraph"/>
              <w:spacing w:before="50" w:after="50"/>
              <w:ind w:left="66" w:hanging="5"/>
              <w:rPr>
                <w:rFonts w:ascii="Segoe UI" w:hAnsi="Segoe UI" w:cs="Segoe UI"/>
                <w:w w:val="105"/>
                <w:sz w:val="16"/>
                <w:szCs w:val="16"/>
              </w:rPr>
            </w:pPr>
            <w:r w:rsidRPr="00D65845">
              <w:rPr>
                <w:rFonts w:ascii="Segoe UI" w:hAnsi="Segoe UI" w:cs="Segoe UI"/>
                <w:w w:val="105"/>
                <w:sz w:val="16"/>
                <w:szCs w:val="16"/>
              </w:rPr>
              <w:t>Receivables from government departments</w:t>
            </w:r>
          </w:p>
        </w:tc>
        <w:tc>
          <w:tcPr>
            <w:tcW w:w="710" w:type="dxa"/>
          </w:tcPr>
          <w:p w14:paraId="2D853DE0" w14:textId="77777777" w:rsidR="00D65845" w:rsidRDefault="00D65845" w:rsidP="00D65845">
            <w:pPr>
              <w:pStyle w:val="TableParagraph"/>
              <w:spacing w:before="50" w:after="50"/>
              <w:ind w:left="-42" w:right="152" w:firstLine="99"/>
              <w:jc w:val="right"/>
              <w:rPr>
                <w:rFonts w:ascii="Segoe UI" w:hAnsi="Segoe UI" w:cs="Segoe UI"/>
                <w:w w:val="110"/>
                <w:sz w:val="16"/>
                <w:szCs w:val="16"/>
              </w:rPr>
            </w:pPr>
          </w:p>
        </w:tc>
        <w:tc>
          <w:tcPr>
            <w:tcW w:w="850" w:type="dxa"/>
          </w:tcPr>
          <w:p w14:paraId="6BA385AD" w14:textId="50B304DA"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905</w:t>
            </w:r>
          </w:p>
        </w:tc>
        <w:tc>
          <w:tcPr>
            <w:tcW w:w="1276" w:type="dxa"/>
          </w:tcPr>
          <w:p w14:paraId="7B4C2CBD" w14:textId="7ECE0A0A"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8,000</w:t>
            </w:r>
          </w:p>
        </w:tc>
        <w:tc>
          <w:tcPr>
            <w:tcW w:w="1124" w:type="dxa"/>
          </w:tcPr>
          <w:p w14:paraId="345D4845" w14:textId="41642296"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1,000</w:t>
            </w:r>
          </w:p>
        </w:tc>
      </w:tr>
      <w:tr w:rsidR="00D65845" w14:paraId="410609F1" w14:textId="77777777" w:rsidTr="00D65845">
        <w:trPr>
          <w:trHeight w:val="340"/>
        </w:trPr>
        <w:tc>
          <w:tcPr>
            <w:tcW w:w="1276" w:type="dxa"/>
          </w:tcPr>
          <w:p w14:paraId="16021AE3" w14:textId="0B4842C1" w:rsidR="00D65845" w:rsidRP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4,054</w:t>
            </w:r>
          </w:p>
        </w:tc>
        <w:tc>
          <w:tcPr>
            <w:tcW w:w="2834" w:type="dxa"/>
          </w:tcPr>
          <w:p w14:paraId="69CE461D" w14:textId="6EA020E2" w:rsidR="00D65845" w:rsidRPr="00D65845" w:rsidRDefault="00D65845" w:rsidP="00D65845">
            <w:pPr>
              <w:pStyle w:val="TableParagraph"/>
              <w:spacing w:before="50" w:after="50"/>
              <w:ind w:left="66" w:hanging="5"/>
              <w:rPr>
                <w:rFonts w:ascii="Segoe UI" w:hAnsi="Segoe UI" w:cs="Segoe UI"/>
                <w:w w:val="105"/>
                <w:sz w:val="16"/>
                <w:szCs w:val="16"/>
              </w:rPr>
            </w:pPr>
            <w:r w:rsidRPr="00D65845">
              <w:rPr>
                <w:rFonts w:ascii="Segoe UI" w:hAnsi="Segoe UI" w:cs="Segoe UI"/>
                <w:w w:val="105"/>
                <w:sz w:val="16"/>
                <w:szCs w:val="16"/>
              </w:rPr>
              <w:t>Other receivables</w:t>
            </w:r>
          </w:p>
        </w:tc>
        <w:tc>
          <w:tcPr>
            <w:tcW w:w="710" w:type="dxa"/>
          </w:tcPr>
          <w:p w14:paraId="2964A399" w14:textId="77777777" w:rsidR="00D65845" w:rsidRDefault="00D65845" w:rsidP="00D65845">
            <w:pPr>
              <w:pStyle w:val="TableParagraph"/>
              <w:spacing w:before="50" w:after="50"/>
              <w:ind w:left="-42" w:right="152" w:firstLine="99"/>
              <w:jc w:val="right"/>
              <w:rPr>
                <w:rFonts w:ascii="Segoe UI" w:hAnsi="Segoe UI" w:cs="Segoe UI"/>
                <w:w w:val="110"/>
                <w:sz w:val="16"/>
                <w:szCs w:val="16"/>
              </w:rPr>
            </w:pPr>
          </w:p>
        </w:tc>
        <w:tc>
          <w:tcPr>
            <w:tcW w:w="850" w:type="dxa"/>
          </w:tcPr>
          <w:p w14:paraId="14E4EEFD" w14:textId="398F9F32"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8</w:t>
            </w:r>
          </w:p>
        </w:tc>
        <w:tc>
          <w:tcPr>
            <w:tcW w:w="1276" w:type="dxa"/>
          </w:tcPr>
          <w:p w14:paraId="2DB1218C" w14:textId="55DB1EAC"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6,000</w:t>
            </w:r>
          </w:p>
        </w:tc>
        <w:tc>
          <w:tcPr>
            <w:tcW w:w="1124" w:type="dxa"/>
          </w:tcPr>
          <w:p w14:paraId="7F60D631" w14:textId="5234A0B3"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200</w:t>
            </w:r>
          </w:p>
        </w:tc>
      </w:tr>
      <w:tr w:rsidR="00D65845" w14:paraId="7E545A60" w14:textId="77777777" w:rsidTr="00D65845">
        <w:trPr>
          <w:trHeight w:val="340"/>
        </w:trPr>
        <w:tc>
          <w:tcPr>
            <w:tcW w:w="1276" w:type="dxa"/>
          </w:tcPr>
          <w:p w14:paraId="1FB82B02" w14:textId="6E3597F0" w:rsidR="00D65845" w:rsidRP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6,390</w:t>
            </w:r>
          </w:p>
        </w:tc>
        <w:tc>
          <w:tcPr>
            <w:tcW w:w="2834" w:type="dxa"/>
          </w:tcPr>
          <w:p w14:paraId="7756B800" w14:textId="101A81C1" w:rsidR="00D65845" w:rsidRPr="00D65845" w:rsidRDefault="00D65845" w:rsidP="00D65845">
            <w:pPr>
              <w:pStyle w:val="TableParagraph"/>
              <w:spacing w:before="50" w:after="50"/>
              <w:ind w:left="66" w:hanging="5"/>
              <w:rPr>
                <w:rFonts w:ascii="Segoe UI" w:hAnsi="Segoe UI" w:cs="Segoe UI"/>
                <w:w w:val="105"/>
                <w:sz w:val="16"/>
                <w:szCs w:val="16"/>
              </w:rPr>
            </w:pPr>
            <w:r w:rsidRPr="00D65845">
              <w:rPr>
                <w:rFonts w:ascii="Segoe UI" w:hAnsi="Segoe UI" w:cs="Segoe UI"/>
                <w:w w:val="105"/>
                <w:sz w:val="16"/>
                <w:szCs w:val="16"/>
              </w:rPr>
              <w:t>Prepayments</w:t>
            </w:r>
          </w:p>
        </w:tc>
        <w:tc>
          <w:tcPr>
            <w:tcW w:w="710" w:type="dxa"/>
          </w:tcPr>
          <w:p w14:paraId="54DDD4C1" w14:textId="77777777" w:rsidR="00D65845" w:rsidRDefault="00D65845" w:rsidP="00D65845">
            <w:pPr>
              <w:pStyle w:val="TableParagraph"/>
              <w:spacing w:before="50" w:after="50"/>
              <w:ind w:left="-42" w:right="152" w:firstLine="99"/>
              <w:jc w:val="right"/>
              <w:rPr>
                <w:rFonts w:ascii="Segoe UI" w:hAnsi="Segoe UI" w:cs="Segoe UI"/>
                <w:w w:val="110"/>
                <w:sz w:val="16"/>
                <w:szCs w:val="16"/>
              </w:rPr>
            </w:pPr>
          </w:p>
        </w:tc>
        <w:tc>
          <w:tcPr>
            <w:tcW w:w="850" w:type="dxa"/>
          </w:tcPr>
          <w:p w14:paraId="5D37DA96" w14:textId="4805C24D"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1,466</w:t>
            </w:r>
          </w:p>
        </w:tc>
        <w:tc>
          <w:tcPr>
            <w:tcW w:w="1276" w:type="dxa"/>
          </w:tcPr>
          <w:p w14:paraId="42C98A9A" w14:textId="1FFBE48F"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5,080</w:t>
            </w:r>
          </w:p>
        </w:tc>
        <w:tc>
          <w:tcPr>
            <w:tcW w:w="1124" w:type="dxa"/>
          </w:tcPr>
          <w:p w14:paraId="48D7152E" w14:textId="1D7BFA99"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1,500</w:t>
            </w:r>
          </w:p>
        </w:tc>
      </w:tr>
      <w:tr w:rsidR="00D65845" w:rsidRPr="00D65845" w14:paraId="75033C1E" w14:textId="77777777" w:rsidTr="00D65845">
        <w:trPr>
          <w:trHeight w:val="340"/>
        </w:trPr>
        <w:tc>
          <w:tcPr>
            <w:tcW w:w="1276" w:type="dxa"/>
            <w:tcBorders>
              <w:top w:val="single" w:sz="4" w:space="0" w:color="BFBFBF" w:themeColor="background1" w:themeShade="BF"/>
              <w:left w:val="nil"/>
              <w:bottom w:val="single" w:sz="4" w:space="0" w:color="BFBFBF" w:themeColor="background1" w:themeShade="BF"/>
              <w:right w:val="nil"/>
            </w:tcBorders>
          </w:tcPr>
          <w:p w14:paraId="46C9A434" w14:textId="1912CA60"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r w:rsidRPr="00D65845">
              <w:rPr>
                <w:rFonts w:ascii="Segoe UI" w:hAnsi="Segoe UI" w:cs="Segoe UI"/>
                <w:b/>
                <w:bCs/>
                <w:w w:val="110"/>
                <w:sz w:val="16"/>
                <w:szCs w:val="16"/>
              </w:rPr>
              <w:t>101,887</w:t>
            </w:r>
          </w:p>
        </w:tc>
        <w:tc>
          <w:tcPr>
            <w:tcW w:w="2834" w:type="dxa"/>
            <w:tcBorders>
              <w:top w:val="single" w:sz="4" w:space="0" w:color="BFBFBF" w:themeColor="background1" w:themeShade="BF"/>
              <w:left w:val="nil"/>
              <w:bottom w:val="single" w:sz="4" w:space="0" w:color="BFBFBF" w:themeColor="background1" w:themeShade="BF"/>
              <w:right w:val="nil"/>
            </w:tcBorders>
          </w:tcPr>
          <w:p w14:paraId="40AD44A5" w14:textId="71C2C777" w:rsidR="00D65845" w:rsidRPr="00D65845" w:rsidRDefault="00D65845" w:rsidP="00D65845">
            <w:pPr>
              <w:pStyle w:val="TableParagraph"/>
              <w:spacing w:before="50" w:after="50"/>
              <w:ind w:left="66" w:hanging="5"/>
              <w:rPr>
                <w:rFonts w:ascii="Segoe UI" w:hAnsi="Segoe UI" w:cs="Segoe UI"/>
                <w:b/>
                <w:bCs/>
                <w:w w:val="105"/>
                <w:sz w:val="16"/>
                <w:szCs w:val="16"/>
              </w:rPr>
            </w:pPr>
            <w:r w:rsidRPr="00D65845">
              <w:rPr>
                <w:rFonts w:ascii="Segoe UI" w:hAnsi="Segoe UI" w:cs="Segoe UI"/>
                <w:b/>
                <w:bCs/>
                <w:w w:val="105"/>
                <w:sz w:val="16"/>
                <w:szCs w:val="16"/>
              </w:rPr>
              <w:t>Total current assets</w:t>
            </w:r>
          </w:p>
        </w:tc>
        <w:tc>
          <w:tcPr>
            <w:tcW w:w="710" w:type="dxa"/>
            <w:tcBorders>
              <w:top w:val="single" w:sz="4" w:space="0" w:color="BFBFBF" w:themeColor="background1" w:themeShade="BF"/>
              <w:left w:val="nil"/>
              <w:bottom w:val="single" w:sz="4" w:space="0" w:color="BFBFBF" w:themeColor="background1" w:themeShade="BF"/>
              <w:right w:val="nil"/>
            </w:tcBorders>
          </w:tcPr>
          <w:p w14:paraId="522F3B0B" w14:textId="57268C86"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c>
          <w:tcPr>
            <w:tcW w:w="850" w:type="dxa"/>
            <w:tcBorders>
              <w:top w:val="single" w:sz="4" w:space="0" w:color="BFBFBF" w:themeColor="background1" w:themeShade="BF"/>
              <w:left w:val="nil"/>
              <w:bottom w:val="single" w:sz="4" w:space="0" w:color="BFBFBF" w:themeColor="background1" w:themeShade="BF"/>
              <w:right w:val="nil"/>
            </w:tcBorders>
          </w:tcPr>
          <w:p w14:paraId="78F8EB4F" w14:textId="38497F59"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r w:rsidRPr="00D65845">
              <w:rPr>
                <w:rFonts w:ascii="Segoe UI" w:hAnsi="Segoe UI" w:cs="Segoe UI"/>
                <w:b/>
                <w:bCs/>
                <w:w w:val="110"/>
                <w:sz w:val="16"/>
                <w:szCs w:val="16"/>
              </w:rPr>
              <w:t>70,780</w:t>
            </w:r>
          </w:p>
        </w:tc>
        <w:tc>
          <w:tcPr>
            <w:tcW w:w="1276" w:type="dxa"/>
            <w:tcBorders>
              <w:top w:val="single" w:sz="4" w:space="0" w:color="BFBFBF" w:themeColor="background1" w:themeShade="BF"/>
              <w:left w:val="nil"/>
              <w:bottom w:val="single" w:sz="4" w:space="0" w:color="BFBFBF" w:themeColor="background1" w:themeShade="BF"/>
              <w:right w:val="nil"/>
            </w:tcBorders>
          </w:tcPr>
          <w:p w14:paraId="00683F7F" w14:textId="76A742E9"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r w:rsidRPr="00D65845">
              <w:rPr>
                <w:rFonts w:ascii="Segoe UI" w:hAnsi="Segoe UI" w:cs="Segoe UI"/>
                <w:b/>
                <w:bCs/>
                <w:w w:val="110"/>
                <w:sz w:val="16"/>
                <w:szCs w:val="16"/>
              </w:rPr>
              <w:t>179,080</w:t>
            </w:r>
          </w:p>
        </w:tc>
        <w:tc>
          <w:tcPr>
            <w:tcW w:w="1124" w:type="dxa"/>
            <w:tcBorders>
              <w:top w:val="single" w:sz="4" w:space="0" w:color="BFBFBF" w:themeColor="background1" w:themeShade="BF"/>
              <w:left w:val="nil"/>
              <w:bottom w:val="single" w:sz="4" w:space="0" w:color="BFBFBF" w:themeColor="background1" w:themeShade="BF"/>
              <w:right w:val="nil"/>
            </w:tcBorders>
          </w:tcPr>
          <w:p w14:paraId="3A58A01D" w14:textId="09BECCB9"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r w:rsidRPr="00D65845">
              <w:rPr>
                <w:rFonts w:ascii="Segoe UI" w:hAnsi="Segoe UI" w:cs="Segoe UI"/>
                <w:b/>
                <w:bCs/>
                <w:w w:val="110"/>
                <w:sz w:val="16"/>
                <w:szCs w:val="16"/>
              </w:rPr>
              <w:t>29,200</w:t>
            </w:r>
          </w:p>
        </w:tc>
      </w:tr>
      <w:tr w:rsidR="00D65845" w:rsidRPr="00D65845" w14:paraId="7AAEBBB8" w14:textId="77777777" w:rsidTr="00D65845">
        <w:trPr>
          <w:trHeight w:val="340"/>
        </w:trPr>
        <w:tc>
          <w:tcPr>
            <w:tcW w:w="1276" w:type="dxa"/>
            <w:tcBorders>
              <w:top w:val="single" w:sz="4" w:space="0" w:color="BFBFBF" w:themeColor="background1" w:themeShade="BF"/>
              <w:left w:val="nil"/>
              <w:bottom w:val="nil"/>
              <w:right w:val="nil"/>
            </w:tcBorders>
          </w:tcPr>
          <w:p w14:paraId="18265358" w14:textId="77777777"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c>
          <w:tcPr>
            <w:tcW w:w="2834" w:type="dxa"/>
            <w:tcBorders>
              <w:top w:val="single" w:sz="4" w:space="0" w:color="BFBFBF" w:themeColor="background1" w:themeShade="BF"/>
              <w:left w:val="nil"/>
              <w:bottom w:val="nil"/>
              <w:right w:val="nil"/>
            </w:tcBorders>
          </w:tcPr>
          <w:p w14:paraId="115827F8" w14:textId="3E82AE6E" w:rsidR="00D65845" w:rsidRPr="00D65845" w:rsidRDefault="00D65845" w:rsidP="00D65845">
            <w:pPr>
              <w:pStyle w:val="TableParagraph"/>
              <w:spacing w:before="50" w:after="50"/>
              <w:ind w:left="66" w:hanging="5"/>
              <w:rPr>
                <w:rFonts w:ascii="Segoe UI" w:hAnsi="Segoe UI" w:cs="Segoe UI"/>
                <w:b/>
                <w:bCs/>
                <w:w w:val="105"/>
                <w:sz w:val="16"/>
                <w:szCs w:val="16"/>
              </w:rPr>
            </w:pPr>
            <w:r w:rsidRPr="00D65845">
              <w:rPr>
                <w:rFonts w:ascii="Segoe UI" w:hAnsi="Segoe UI" w:cs="Segoe UI"/>
                <w:b/>
                <w:bCs/>
                <w:w w:val="105"/>
                <w:sz w:val="16"/>
                <w:szCs w:val="16"/>
              </w:rPr>
              <w:t>Non-current assets</w:t>
            </w:r>
          </w:p>
        </w:tc>
        <w:tc>
          <w:tcPr>
            <w:tcW w:w="710" w:type="dxa"/>
            <w:tcBorders>
              <w:top w:val="single" w:sz="4" w:space="0" w:color="BFBFBF" w:themeColor="background1" w:themeShade="BF"/>
              <w:left w:val="nil"/>
              <w:bottom w:val="nil"/>
              <w:right w:val="nil"/>
            </w:tcBorders>
          </w:tcPr>
          <w:p w14:paraId="7E021621" w14:textId="77777777"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c>
          <w:tcPr>
            <w:tcW w:w="850" w:type="dxa"/>
            <w:tcBorders>
              <w:top w:val="single" w:sz="4" w:space="0" w:color="BFBFBF" w:themeColor="background1" w:themeShade="BF"/>
              <w:left w:val="nil"/>
              <w:bottom w:val="nil"/>
              <w:right w:val="nil"/>
            </w:tcBorders>
          </w:tcPr>
          <w:p w14:paraId="3117E34E" w14:textId="77777777"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c>
          <w:tcPr>
            <w:tcW w:w="1276" w:type="dxa"/>
            <w:tcBorders>
              <w:top w:val="single" w:sz="4" w:space="0" w:color="BFBFBF" w:themeColor="background1" w:themeShade="BF"/>
              <w:left w:val="nil"/>
              <w:bottom w:val="nil"/>
              <w:right w:val="nil"/>
            </w:tcBorders>
          </w:tcPr>
          <w:p w14:paraId="7C77EFCA" w14:textId="77777777"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c>
          <w:tcPr>
            <w:tcW w:w="1124" w:type="dxa"/>
            <w:tcBorders>
              <w:top w:val="single" w:sz="4" w:space="0" w:color="BFBFBF" w:themeColor="background1" w:themeShade="BF"/>
              <w:left w:val="nil"/>
              <w:bottom w:val="nil"/>
              <w:right w:val="nil"/>
            </w:tcBorders>
          </w:tcPr>
          <w:p w14:paraId="20370B06" w14:textId="77777777"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r>
      <w:tr w:rsidR="00D65845" w14:paraId="31509B85" w14:textId="77777777" w:rsidTr="00D65845">
        <w:trPr>
          <w:trHeight w:val="340"/>
        </w:trPr>
        <w:tc>
          <w:tcPr>
            <w:tcW w:w="1276" w:type="dxa"/>
            <w:tcBorders>
              <w:top w:val="nil"/>
              <w:left w:val="nil"/>
              <w:bottom w:val="single" w:sz="4" w:space="0" w:color="BFBFBF" w:themeColor="background1" w:themeShade="BF"/>
              <w:right w:val="nil"/>
            </w:tcBorders>
          </w:tcPr>
          <w:p w14:paraId="74CC9BEC" w14:textId="00EA85D8" w:rsidR="00D65845" w:rsidRP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3,150</w:t>
            </w:r>
          </w:p>
        </w:tc>
        <w:tc>
          <w:tcPr>
            <w:tcW w:w="2834" w:type="dxa"/>
            <w:tcBorders>
              <w:top w:val="nil"/>
              <w:left w:val="nil"/>
              <w:bottom w:val="single" w:sz="4" w:space="0" w:color="BFBFBF" w:themeColor="background1" w:themeShade="BF"/>
              <w:right w:val="nil"/>
            </w:tcBorders>
          </w:tcPr>
          <w:p w14:paraId="68869C27" w14:textId="366A8CB3" w:rsidR="00D65845" w:rsidRDefault="00D65845" w:rsidP="00D65845">
            <w:pPr>
              <w:pStyle w:val="TableParagraph"/>
              <w:spacing w:before="50" w:after="50"/>
              <w:ind w:left="66" w:hanging="5"/>
              <w:rPr>
                <w:rFonts w:ascii="Segoe UI" w:hAnsi="Segoe UI" w:cs="Segoe UI"/>
                <w:w w:val="105"/>
                <w:sz w:val="16"/>
                <w:szCs w:val="16"/>
              </w:rPr>
            </w:pPr>
            <w:r w:rsidRPr="00D65845">
              <w:rPr>
                <w:rFonts w:ascii="Segoe UI" w:hAnsi="Segoe UI" w:cs="Segoe UI"/>
                <w:w w:val="105"/>
                <w:sz w:val="16"/>
                <w:szCs w:val="16"/>
              </w:rPr>
              <w:t>Land and buildings</w:t>
            </w:r>
          </w:p>
        </w:tc>
        <w:tc>
          <w:tcPr>
            <w:tcW w:w="710" w:type="dxa"/>
            <w:tcBorders>
              <w:top w:val="nil"/>
              <w:left w:val="nil"/>
              <w:bottom w:val="single" w:sz="4" w:space="0" w:color="BFBFBF" w:themeColor="background1" w:themeShade="BF"/>
              <w:right w:val="nil"/>
            </w:tcBorders>
          </w:tcPr>
          <w:p w14:paraId="0F2161E8" w14:textId="77777777" w:rsidR="00D65845" w:rsidRDefault="00D65845" w:rsidP="00D65845">
            <w:pPr>
              <w:pStyle w:val="TableParagraph"/>
              <w:spacing w:before="50" w:after="50"/>
              <w:ind w:left="-42" w:right="152" w:firstLine="99"/>
              <w:jc w:val="right"/>
              <w:rPr>
                <w:rFonts w:ascii="Segoe UI" w:hAnsi="Segoe UI" w:cs="Segoe UI"/>
                <w:w w:val="110"/>
                <w:sz w:val="16"/>
                <w:szCs w:val="16"/>
              </w:rPr>
            </w:pPr>
          </w:p>
        </w:tc>
        <w:tc>
          <w:tcPr>
            <w:tcW w:w="850" w:type="dxa"/>
            <w:tcBorders>
              <w:top w:val="nil"/>
              <w:left w:val="nil"/>
              <w:bottom w:val="single" w:sz="4" w:space="0" w:color="BFBFBF" w:themeColor="background1" w:themeShade="BF"/>
              <w:right w:val="nil"/>
            </w:tcBorders>
          </w:tcPr>
          <w:p w14:paraId="0EB5BDAD" w14:textId="77C09438"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w:t>
            </w:r>
          </w:p>
        </w:tc>
        <w:tc>
          <w:tcPr>
            <w:tcW w:w="1276" w:type="dxa"/>
            <w:tcBorders>
              <w:top w:val="nil"/>
              <w:left w:val="nil"/>
              <w:bottom w:val="single" w:sz="4" w:space="0" w:color="BFBFBF" w:themeColor="background1" w:themeShade="BF"/>
              <w:right w:val="nil"/>
            </w:tcBorders>
          </w:tcPr>
          <w:p w14:paraId="6D3A58C2" w14:textId="32031F55"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3,149</w:t>
            </w:r>
          </w:p>
        </w:tc>
        <w:tc>
          <w:tcPr>
            <w:tcW w:w="1124" w:type="dxa"/>
            <w:tcBorders>
              <w:top w:val="nil"/>
              <w:left w:val="nil"/>
              <w:bottom w:val="single" w:sz="4" w:space="0" w:color="BFBFBF" w:themeColor="background1" w:themeShade="BF"/>
              <w:right w:val="nil"/>
            </w:tcBorders>
          </w:tcPr>
          <w:p w14:paraId="726BEC2E" w14:textId="3CD5C470"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w:t>
            </w:r>
          </w:p>
        </w:tc>
      </w:tr>
      <w:tr w:rsidR="00D65845" w:rsidRPr="00D65845" w14:paraId="222642E7" w14:textId="77777777" w:rsidTr="00D65845">
        <w:trPr>
          <w:trHeight w:val="340"/>
        </w:trPr>
        <w:tc>
          <w:tcPr>
            <w:tcW w:w="1276" w:type="dxa"/>
            <w:tcBorders>
              <w:top w:val="single" w:sz="4" w:space="0" w:color="BFBFBF" w:themeColor="background1" w:themeShade="BF"/>
              <w:left w:val="nil"/>
              <w:bottom w:val="single" w:sz="4" w:space="0" w:color="BFBFBF" w:themeColor="background1" w:themeShade="BF"/>
              <w:right w:val="nil"/>
            </w:tcBorders>
          </w:tcPr>
          <w:p w14:paraId="7C6B0C10" w14:textId="401D4F17"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r w:rsidRPr="00D65845">
              <w:rPr>
                <w:rFonts w:ascii="Segoe UI" w:hAnsi="Segoe UI" w:cs="Segoe UI"/>
                <w:b/>
                <w:bCs/>
                <w:w w:val="110"/>
                <w:sz w:val="16"/>
                <w:szCs w:val="16"/>
              </w:rPr>
              <w:t>3,150</w:t>
            </w:r>
          </w:p>
        </w:tc>
        <w:tc>
          <w:tcPr>
            <w:tcW w:w="2834" w:type="dxa"/>
            <w:tcBorders>
              <w:top w:val="single" w:sz="4" w:space="0" w:color="BFBFBF" w:themeColor="background1" w:themeShade="BF"/>
              <w:left w:val="nil"/>
              <w:bottom w:val="single" w:sz="4" w:space="0" w:color="BFBFBF" w:themeColor="background1" w:themeShade="BF"/>
              <w:right w:val="nil"/>
            </w:tcBorders>
          </w:tcPr>
          <w:p w14:paraId="31BABE58" w14:textId="30A48798" w:rsidR="00D65845" w:rsidRPr="00D65845" w:rsidRDefault="00D65845" w:rsidP="00D65845">
            <w:pPr>
              <w:pStyle w:val="TableParagraph"/>
              <w:spacing w:before="50" w:after="50"/>
              <w:ind w:left="66" w:hanging="5"/>
              <w:rPr>
                <w:rFonts w:ascii="Segoe UI" w:hAnsi="Segoe UI" w:cs="Segoe UI"/>
                <w:b/>
                <w:bCs/>
                <w:w w:val="105"/>
                <w:sz w:val="16"/>
                <w:szCs w:val="16"/>
              </w:rPr>
            </w:pPr>
            <w:r w:rsidRPr="00D65845">
              <w:rPr>
                <w:rFonts w:ascii="Segoe UI" w:hAnsi="Segoe UI" w:cs="Segoe UI"/>
                <w:b/>
                <w:bCs/>
                <w:w w:val="105"/>
                <w:sz w:val="16"/>
                <w:szCs w:val="16"/>
              </w:rPr>
              <w:t>Total non-current assets</w:t>
            </w:r>
          </w:p>
        </w:tc>
        <w:tc>
          <w:tcPr>
            <w:tcW w:w="710" w:type="dxa"/>
            <w:tcBorders>
              <w:top w:val="single" w:sz="4" w:space="0" w:color="BFBFBF" w:themeColor="background1" w:themeShade="BF"/>
              <w:left w:val="nil"/>
              <w:bottom w:val="single" w:sz="4" w:space="0" w:color="BFBFBF" w:themeColor="background1" w:themeShade="BF"/>
              <w:right w:val="nil"/>
            </w:tcBorders>
          </w:tcPr>
          <w:p w14:paraId="64250B9C" w14:textId="77777777"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c>
          <w:tcPr>
            <w:tcW w:w="850" w:type="dxa"/>
            <w:tcBorders>
              <w:top w:val="single" w:sz="4" w:space="0" w:color="BFBFBF" w:themeColor="background1" w:themeShade="BF"/>
              <w:left w:val="nil"/>
              <w:bottom w:val="single" w:sz="4" w:space="0" w:color="BFBFBF" w:themeColor="background1" w:themeShade="BF"/>
              <w:right w:val="nil"/>
            </w:tcBorders>
          </w:tcPr>
          <w:p w14:paraId="7C3B511C" w14:textId="6FDDDE3E"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r w:rsidRPr="00D65845">
              <w:rPr>
                <w:rFonts w:ascii="Segoe UI" w:hAnsi="Segoe UI" w:cs="Segoe UI"/>
                <w:b/>
                <w:bCs/>
                <w:w w:val="110"/>
                <w:sz w:val="16"/>
                <w:szCs w:val="16"/>
              </w:rPr>
              <w:t>–</w:t>
            </w:r>
          </w:p>
        </w:tc>
        <w:tc>
          <w:tcPr>
            <w:tcW w:w="1276" w:type="dxa"/>
            <w:tcBorders>
              <w:top w:val="single" w:sz="4" w:space="0" w:color="BFBFBF" w:themeColor="background1" w:themeShade="BF"/>
              <w:left w:val="nil"/>
              <w:bottom w:val="single" w:sz="4" w:space="0" w:color="BFBFBF" w:themeColor="background1" w:themeShade="BF"/>
              <w:right w:val="nil"/>
            </w:tcBorders>
          </w:tcPr>
          <w:p w14:paraId="0AA39F87" w14:textId="2DA3DD65"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r w:rsidRPr="00D65845">
              <w:rPr>
                <w:rFonts w:ascii="Segoe UI" w:hAnsi="Segoe UI" w:cs="Segoe UI"/>
                <w:b/>
                <w:bCs/>
                <w:w w:val="110"/>
                <w:sz w:val="16"/>
                <w:szCs w:val="16"/>
              </w:rPr>
              <w:t>3,149</w:t>
            </w:r>
          </w:p>
        </w:tc>
        <w:tc>
          <w:tcPr>
            <w:tcW w:w="1124" w:type="dxa"/>
            <w:tcBorders>
              <w:top w:val="single" w:sz="4" w:space="0" w:color="BFBFBF" w:themeColor="background1" w:themeShade="BF"/>
              <w:left w:val="nil"/>
              <w:bottom w:val="single" w:sz="4" w:space="0" w:color="BFBFBF" w:themeColor="background1" w:themeShade="BF"/>
              <w:right w:val="nil"/>
            </w:tcBorders>
          </w:tcPr>
          <w:p w14:paraId="422BB75D" w14:textId="027142B0"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r w:rsidRPr="00D65845">
              <w:rPr>
                <w:rFonts w:ascii="Segoe UI" w:hAnsi="Segoe UI" w:cs="Segoe UI"/>
                <w:b/>
                <w:bCs/>
                <w:w w:val="110"/>
                <w:sz w:val="16"/>
                <w:szCs w:val="16"/>
              </w:rPr>
              <w:t>–</w:t>
            </w:r>
          </w:p>
        </w:tc>
      </w:tr>
      <w:tr w:rsidR="00D65845" w:rsidRPr="00D65845" w14:paraId="27D8A54D" w14:textId="77777777" w:rsidTr="00D65845">
        <w:trPr>
          <w:trHeight w:val="340"/>
        </w:trPr>
        <w:tc>
          <w:tcPr>
            <w:tcW w:w="1276" w:type="dxa"/>
            <w:tcBorders>
              <w:top w:val="single" w:sz="4" w:space="0" w:color="BFBFBF" w:themeColor="background1" w:themeShade="BF"/>
              <w:left w:val="nil"/>
              <w:bottom w:val="single" w:sz="4" w:space="0" w:color="BFBFBF" w:themeColor="background1" w:themeShade="BF"/>
              <w:right w:val="nil"/>
            </w:tcBorders>
          </w:tcPr>
          <w:p w14:paraId="30E162C6" w14:textId="3F6FF1DC"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r w:rsidRPr="00D65845">
              <w:rPr>
                <w:rFonts w:ascii="Segoe UI" w:hAnsi="Segoe UI" w:cs="Segoe UI"/>
                <w:b/>
                <w:bCs/>
                <w:w w:val="110"/>
                <w:sz w:val="16"/>
                <w:szCs w:val="16"/>
              </w:rPr>
              <w:t>105,037</w:t>
            </w:r>
          </w:p>
        </w:tc>
        <w:tc>
          <w:tcPr>
            <w:tcW w:w="2834" w:type="dxa"/>
            <w:tcBorders>
              <w:top w:val="single" w:sz="4" w:space="0" w:color="BFBFBF" w:themeColor="background1" w:themeShade="BF"/>
              <w:left w:val="nil"/>
              <w:bottom w:val="single" w:sz="4" w:space="0" w:color="BFBFBF" w:themeColor="background1" w:themeShade="BF"/>
              <w:right w:val="nil"/>
            </w:tcBorders>
          </w:tcPr>
          <w:p w14:paraId="51970B03" w14:textId="0138D532" w:rsidR="00D65845" w:rsidRPr="00D65845" w:rsidRDefault="00D65845" w:rsidP="00D65845">
            <w:pPr>
              <w:pStyle w:val="TableParagraph"/>
              <w:spacing w:before="50" w:after="50"/>
              <w:ind w:left="66" w:hanging="5"/>
              <w:rPr>
                <w:rFonts w:ascii="Segoe UI" w:hAnsi="Segoe UI" w:cs="Segoe UI"/>
                <w:b/>
                <w:bCs/>
                <w:w w:val="105"/>
                <w:sz w:val="16"/>
                <w:szCs w:val="16"/>
              </w:rPr>
            </w:pPr>
            <w:r w:rsidRPr="00D65845">
              <w:rPr>
                <w:rFonts w:ascii="Segoe UI" w:hAnsi="Segoe UI" w:cs="Segoe UI"/>
                <w:b/>
                <w:bCs/>
                <w:w w:val="105"/>
                <w:sz w:val="16"/>
                <w:szCs w:val="16"/>
              </w:rPr>
              <w:t>Total non-departmental assets</w:t>
            </w:r>
          </w:p>
        </w:tc>
        <w:tc>
          <w:tcPr>
            <w:tcW w:w="710" w:type="dxa"/>
            <w:tcBorders>
              <w:top w:val="single" w:sz="4" w:space="0" w:color="BFBFBF" w:themeColor="background1" w:themeShade="BF"/>
              <w:left w:val="nil"/>
              <w:bottom w:val="single" w:sz="4" w:space="0" w:color="BFBFBF" w:themeColor="background1" w:themeShade="BF"/>
              <w:right w:val="nil"/>
            </w:tcBorders>
          </w:tcPr>
          <w:p w14:paraId="2A8E5E10" w14:textId="77777777"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c>
          <w:tcPr>
            <w:tcW w:w="850" w:type="dxa"/>
            <w:tcBorders>
              <w:top w:val="single" w:sz="4" w:space="0" w:color="BFBFBF" w:themeColor="background1" w:themeShade="BF"/>
              <w:left w:val="nil"/>
              <w:bottom w:val="single" w:sz="4" w:space="0" w:color="BFBFBF" w:themeColor="background1" w:themeShade="BF"/>
              <w:right w:val="nil"/>
            </w:tcBorders>
          </w:tcPr>
          <w:p w14:paraId="32BB5BD6" w14:textId="4E1808FE"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r w:rsidRPr="00D65845">
              <w:rPr>
                <w:rFonts w:ascii="Segoe UI" w:hAnsi="Segoe UI" w:cs="Segoe UI"/>
                <w:b/>
                <w:bCs/>
                <w:w w:val="110"/>
                <w:sz w:val="16"/>
                <w:szCs w:val="16"/>
              </w:rPr>
              <w:t>70,780</w:t>
            </w:r>
          </w:p>
        </w:tc>
        <w:tc>
          <w:tcPr>
            <w:tcW w:w="1276" w:type="dxa"/>
            <w:tcBorders>
              <w:top w:val="single" w:sz="4" w:space="0" w:color="BFBFBF" w:themeColor="background1" w:themeShade="BF"/>
              <w:left w:val="nil"/>
              <w:bottom w:val="single" w:sz="4" w:space="0" w:color="BFBFBF" w:themeColor="background1" w:themeShade="BF"/>
              <w:right w:val="nil"/>
            </w:tcBorders>
          </w:tcPr>
          <w:p w14:paraId="58BEFA48" w14:textId="0B1DD4D1"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r w:rsidRPr="00D65845">
              <w:rPr>
                <w:rFonts w:ascii="Segoe UI" w:hAnsi="Segoe UI" w:cs="Segoe UI"/>
                <w:b/>
                <w:bCs/>
                <w:w w:val="110"/>
                <w:sz w:val="16"/>
                <w:szCs w:val="16"/>
              </w:rPr>
              <w:t>182,229</w:t>
            </w:r>
          </w:p>
        </w:tc>
        <w:tc>
          <w:tcPr>
            <w:tcW w:w="1124" w:type="dxa"/>
            <w:tcBorders>
              <w:top w:val="single" w:sz="4" w:space="0" w:color="BFBFBF" w:themeColor="background1" w:themeShade="BF"/>
              <w:left w:val="nil"/>
              <w:bottom w:val="single" w:sz="4" w:space="0" w:color="BFBFBF" w:themeColor="background1" w:themeShade="BF"/>
              <w:right w:val="nil"/>
            </w:tcBorders>
          </w:tcPr>
          <w:p w14:paraId="31947852" w14:textId="127A068F"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r w:rsidRPr="00D65845">
              <w:rPr>
                <w:rFonts w:ascii="Segoe UI" w:hAnsi="Segoe UI" w:cs="Segoe UI"/>
                <w:b/>
                <w:bCs/>
                <w:w w:val="110"/>
                <w:sz w:val="16"/>
                <w:szCs w:val="16"/>
              </w:rPr>
              <w:t>29,200</w:t>
            </w:r>
          </w:p>
        </w:tc>
      </w:tr>
      <w:tr w:rsidR="00D65845" w:rsidRPr="00D65845" w14:paraId="39DF0108" w14:textId="77777777" w:rsidTr="00D65845">
        <w:trPr>
          <w:trHeight w:val="340"/>
        </w:trPr>
        <w:tc>
          <w:tcPr>
            <w:tcW w:w="1276" w:type="dxa"/>
            <w:tcBorders>
              <w:top w:val="single" w:sz="4" w:space="0" w:color="BFBFBF" w:themeColor="background1" w:themeShade="BF"/>
              <w:left w:val="nil"/>
              <w:bottom w:val="nil"/>
              <w:right w:val="nil"/>
            </w:tcBorders>
          </w:tcPr>
          <w:p w14:paraId="3D4A47B3" w14:textId="77777777"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c>
          <w:tcPr>
            <w:tcW w:w="2834" w:type="dxa"/>
            <w:tcBorders>
              <w:top w:val="single" w:sz="4" w:space="0" w:color="BFBFBF" w:themeColor="background1" w:themeShade="BF"/>
              <w:left w:val="nil"/>
              <w:bottom w:val="nil"/>
              <w:right w:val="nil"/>
            </w:tcBorders>
          </w:tcPr>
          <w:p w14:paraId="65AD77DD" w14:textId="7C578620" w:rsidR="00D65845" w:rsidRPr="00D65845" w:rsidRDefault="00D65845" w:rsidP="00D65845">
            <w:pPr>
              <w:pStyle w:val="TableParagraph"/>
              <w:spacing w:before="50" w:after="50"/>
              <w:ind w:left="66" w:hanging="5"/>
              <w:rPr>
                <w:rFonts w:ascii="Segoe UI" w:hAnsi="Segoe UI" w:cs="Segoe UI"/>
                <w:b/>
                <w:bCs/>
                <w:w w:val="105"/>
                <w:sz w:val="16"/>
                <w:szCs w:val="16"/>
              </w:rPr>
            </w:pPr>
            <w:r w:rsidRPr="00D65845">
              <w:rPr>
                <w:rFonts w:ascii="Segoe UI" w:hAnsi="Segoe UI" w:cs="Segoe UI"/>
                <w:b/>
                <w:bCs/>
                <w:w w:val="105"/>
                <w:sz w:val="16"/>
                <w:szCs w:val="16"/>
              </w:rPr>
              <w:t>Liabilities</w:t>
            </w:r>
          </w:p>
        </w:tc>
        <w:tc>
          <w:tcPr>
            <w:tcW w:w="710" w:type="dxa"/>
            <w:tcBorders>
              <w:top w:val="single" w:sz="4" w:space="0" w:color="BFBFBF" w:themeColor="background1" w:themeShade="BF"/>
              <w:left w:val="nil"/>
              <w:bottom w:val="nil"/>
              <w:right w:val="nil"/>
            </w:tcBorders>
          </w:tcPr>
          <w:p w14:paraId="4ADC5152" w14:textId="77777777"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c>
          <w:tcPr>
            <w:tcW w:w="850" w:type="dxa"/>
            <w:tcBorders>
              <w:top w:val="single" w:sz="4" w:space="0" w:color="BFBFBF" w:themeColor="background1" w:themeShade="BF"/>
              <w:left w:val="nil"/>
              <w:bottom w:val="nil"/>
              <w:right w:val="nil"/>
            </w:tcBorders>
          </w:tcPr>
          <w:p w14:paraId="0128902F" w14:textId="77777777"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c>
          <w:tcPr>
            <w:tcW w:w="1276" w:type="dxa"/>
            <w:tcBorders>
              <w:top w:val="single" w:sz="4" w:space="0" w:color="BFBFBF" w:themeColor="background1" w:themeShade="BF"/>
              <w:left w:val="nil"/>
              <w:bottom w:val="nil"/>
              <w:right w:val="nil"/>
            </w:tcBorders>
          </w:tcPr>
          <w:p w14:paraId="0C3002F1" w14:textId="77777777"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c>
          <w:tcPr>
            <w:tcW w:w="1124" w:type="dxa"/>
            <w:tcBorders>
              <w:top w:val="single" w:sz="4" w:space="0" w:color="BFBFBF" w:themeColor="background1" w:themeShade="BF"/>
              <w:left w:val="nil"/>
              <w:bottom w:val="nil"/>
              <w:right w:val="nil"/>
            </w:tcBorders>
          </w:tcPr>
          <w:p w14:paraId="28ED7CF1" w14:textId="77777777"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r>
      <w:tr w:rsidR="00D65845" w:rsidRPr="00D65845" w14:paraId="490F8ADB" w14:textId="77777777" w:rsidTr="00D65845">
        <w:trPr>
          <w:trHeight w:val="340"/>
        </w:trPr>
        <w:tc>
          <w:tcPr>
            <w:tcW w:w="1276" w:type="dxa"/>
          </w:tcPr>
          <w:p w14:paraId="3B375913" w14:textId="77777777"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c>
          <w:tcPr>
            <w:tcW w:w="2834" w:type="dxa"/>
          </w:tcPr>
          <w:p w14:paraId="556102DF" w14:textId="44C164D9" w:rsidR="00D65845" w:rsidRPr="00D65845" w:rsidRDefault="00D65845" w:rsidP="00D65845">
            <w:pPr>
              <w:pStyle w:val="TableParagraph"/>
              <w:spacing w:before="50" w:after="50"/>
              <w:ind w:left="66" w:hanging="5"/>
              <w:rPr>
                <w:rFonts w:ascii="Segoe UI" w:hAnsi="Segoe UI" w:cs="Segoe UI"/>
                <w:b/>
                <w:bCs/>
                <w:w w:val="105"/>
                <w:sz w:val="16"/>
                <w:szCs w:val="16"/>
              </w:rPr>
            </w:pPr>
            <w:r w:rsidRPr="00D65845">
              <w:rPr>
                <w:rFonts w:ascii="Segoe UI" w:hAnsi="Segoe UI" w:cs="Segoe UI"/>
                <w:b/>
                <w:bCs/>
                <w:w w:val="105"/>
                <w:sz w:val="16"/>
                <w:szCs w:val="16"/>
              </w:rPr>
              <w:t>Current liabilities</w:t>
            </w:r>
          </w:p>
        </w:tc>
        <w:tc>
          <w:tcPr>
            <w:tcW w:w="710" w:type="dxa"/>
          </w:tcPr>
          <w:p w14:paraId="05B7FE1B" w14:textId="77777777"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c>
          <w:tcPr>
            <w:tcW w:w="850" w:type="dxa"/>
          </w:tcPr>
          <w:p w14:paraId="7E9C0428" w14:textId="77777777"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c>
          <w:tcPr>
            <w:tcW w:w="1276" w:type="dxa"/>
          </w:tcPr>
          <w:p w14:paraId="42587522" w14:textId="77777777"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c>
          <w:tcPr>
            <w:tcW w:w="1124" w:type="dxa"/>
          </w:tcPr>
          <w:p w14:paraId="569263E7" w14:textId="77777777"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r>
      <w:tr w:rsidR="00D65845" w:rsidRPr="00D65845" w14:paraId="02586F7D" w14:textId="77777777" w:rsidTr="00D65845">
        <w:trPr>
          <w:trHeight w:val="340"/>
        </w:trPr>
        <w:tc>
          <w:tcPr>
            <w:tcW w:w="1276" w:type="dxa"/>
          </w:tcPr>
          <w:p w14:paraId="744EC9A6" w14:textId="77777777"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c>
          <w:tcPr>
            <w:tcW w:w="2834" w:type="dxa"/>
          </w:tcPr>
          <w:p w14:paraId="0D9ADA32" w14:textId="4A46BB83" w:rsidR="00D65845" w:rsidRPr="00D65845" w:rsidRDefault="00D65845" w:rsidP="00D65845">
            <w:pPr>
              <w:pStyle w:val="TableParagraph"/>
              <w:spacing w:before="50" w:after="50"/>
              <w:ind w:left="66" w:hanging="5"/>
              <w:rPr>
                <w:rFonts w:ascii="Segoe UI" w:hAnsi="Segoe UI" w:cs="Segoe UI"/>
                <w:b/>
                <w:bCs/>
                <w:w w:val="105"/>
                <w:sz w:val="16"/>
                <w:szCs w:val="16"/>
              </w:rPr>
            </w:pPr>
            <w:r w:rsidRPr="00D65845">
              <w:rPr>
                <w:rFonts w:ascii="Segoe UI" w:hAnsi="Segoe UI" w:cs="Segoe UI"/>
                <w:b/>
                <w:bCs/>
                <w:w w:val="105"/>
                <w:sz w:val="16"/>
                <w:szCs w:val="16"/>
              </w:rPr>
              <w:t>Payables:</w:t>
            </w:r>
          </w:p>
        </w:tc>
        <w:tc>
          <w:tcPr>
            <w:tcW w:w="710" w:type="dxa"/>
          </w:tcPr>
          <w:p w14:paraId="08B1716E" w14:textId="77777777"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c>
          <w:tcPr>
            <w:tcW w:w="850" w:type="dxa"/>
          </w:tcPr>
          <w:p w14:paraId="1A594475" w14:textId="77777777"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c>
          <w:tcPr>
            <w:tcW w:w="1276" w:type="dxa"/>
          </w:tcPr>
          <w:p w14:paraId="6DA3F885" w14:textId="77777777"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c>
          <w:tcPr>
            <w:tcW w:w="1124" w:type="dxa"/>
          </w:tcPr>
          <w:p w14:paraId="4681F31D" w14:textId="77777777"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r>
      <w:tr w:rsidR="00D65845" w14:paraId="2773DEB7" w14:textId="77777777" w:rsidTr="00D65845">
        <w:trPr>
          <w:trHeight w:val="340"/>
        </w:trPr>
        <w:tc>
          <w:tcPr>
            <w:tcW w:w="1276" w:type="dxa"/>
          </w:tcPr>
          <w:p w14:paraId="15B9BA9F" w14:textId="449E5552" w:rsidR="00D65845" w:rsidRP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9,301</w:t>
            </w:r>
          </w:p>
        </w:tc>
        <w:tc>
          <w:tcPr>
            <w:tcW w:w="2834" w:type="dxa"/>
          </w:tcPr>
          <w:p w14:paraId="11391FB0" w14:textId="169472E6" w:rsidR="00D65845" w:rsidRDefault="00D65845" w:rsidP="00D65845">
            <w:pPr>
              <w:pStyle w:val="TableParagraph"/>
              <w:spacing w:before="50" w:after="50"/>
              <w:ind w:left="66" w:hanging="5"/>
              <w:rPr>
                <w:rFonts w:ascii="Segoe UI" w:hAnsi="Segoe UI" w:cs="Segoe UI"/>
                <w:w w:val="105"/>
                <w:sz w:val="16"/>
                <w:szCs w:val="16"/>
              </w:rPr>
            </w:pPr>
            <w:r w:rsidRPr="00D65845">
              <w:rPr>
                <w:rFonts w:ascii="Segoe UI" w:hAnsi="Segoe UI" w:cs="Segoe UI"/>
                <w:w w:val="105"/>
                <w:sz w:val="16"/>
                <w:szCs w:val="16"/>
              </w:rPr>
              <w:t>Other payables</w:t>
            </w:r>
          </w:p>
        </w:tc>
        <w:tc>
          <w:tcPr>
            <w:tcW w:w="710" w:type="dxa"/>
          </w:tcPr>
          <w:p w14:paraId="578156B6" w14:textId="77777777" w:rsidR="00D65845" w:rsidRDefault="00D65845" w:rsidP="00D65845">
            <w:pPr>
              <w:pStyle w:val="TableParagraph"/>
              <w:spacing w:before="50" w:after="50"/>
              <w:ind w:left="-42" w:right="152" w:firstLine="99"/>
              <w:jc w:val="right"/>
              <w:rPr>
                <w:rFonts w:ascii="Segoe UI" w:hAnsi="Segoe UI" w:cs="Segoe UI"/>
                <w:w w:val="110"/>
                <w:sz w:val="16"/>
                <w:szCs w:val="16"/>
              </w:rPr>
            </w:pPr>
          </w:p>
        </w:tc>
        <w:tc>
          <w:tcPr>
            <w:tcW w:w="850" w:type="dxa"/>
          </w:tcPr>
          <w:p w14:paraId="17E871AA" w14:textId="6E5A4B00"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10,575</w:t>
            </w:r>
          </w:p>
        </w:tc>
        <w:tc>
          <w:tcPr>
            <w:tcW w:w="1276" w:type="dxa"/>
          </w:tcPr>
          <w:p w14:paraId="4B5D4FAA" w14:textId="18FC41E7"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10,000</w:t>
            </w:r>
          </w:p>
        </w:tc>
        <w:tc>
          <w:tcPr>
            <w:tcW w:w="1124" w:type="dxa"/>
          </w:tcPr>
          <w:p w14:paraId="55C5FC7B" w14:textId="2078FAFC"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10,000</w:t>
            </w:r>
          </w:p>
        </w:tc>
      </w:tr>
      <w:tr w:rsidR="00D65845" w:rsidRPr="00D65845" w14:paraId="6E59D3F0" w14:textId="77777777" w:rsidTr="00D65845">
        <w:trPr>
          <w:trHeight w:val="340"/>
        </w:trPr>
        <w:tc>
          <w:tcPr>
            <w:tcW w:w="1276" w:type="dxa"/>
          </w:tcPr>
          <w:p w14:paraId="2333D8C4" w14:textId="4C4F9F11"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c>
          <w:tcPr>
            <w:tcW w:w="2834" w:type="dxa"/>
          </w:tcPr>
          <w:p w14:paraId="170F9938" w14:textId="5808A105" w:rsidR="00D65845" w:rsidRPr="00D65845" w:rsidRDefault="00D65845" w:rsidP="00D65845">
            <w:pPr>
              <w:pStyle w:val="TableParagraph"/>
              <w:spacing w:before="50" w:after="50"/>
              <w:ind w:left="66" w:hanging="5"/>
              <w:rPr>
                <w:rFonts w:ascii="Segoe UI" w:hAnsi="Segoe UI" w:cs="Segoe UI"/>
                <w:b/>
                <w:bCs/>
                <w:w w:val="105"/>
                <w:sz w:val="16"/>
                <w:szCs w:val="16"/>
              </w:rPr>
            </w:pPr>
            <w:r w:rsidRPr="00D65845">
              <w:rPr>
                <w:rFonts w:ascii="Segoe UI" w:hAnsi="Segoe UI" w:cs="Segoe UI"/>
                <w:b/>
                <w:bCs/>
                <w:w w:val="105"/>
                <w:sz w:val="16"/>
                <w:szCs w:val="16"/>
              </w:rPr>
              <w:t>Accrued liabilities and provisions:</w:t>
            </w:r>
          </w:p>
        </w:tc>
        <w:tc>
          <w:tcPr>
            <w:tcW w:w="710" w:type="dxa"/>
          </w:tcPr>
          <w:p w14:paraId="4C75ADCB" w14:textId="77777777"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c>
          <w:tcPr>
            <w:tcW w:w="850" w:type="dxa"/>
          </w:tcPr>
          <w:p w14:paraId="59992447" w14:textId="7C174F95"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c>
          <w:tcPr>
            <w:tcW w:w="1276" w:type="dxa"/>
          </w:tcPr>
          <w:p w14:paraId="6311A855" w14:textId="3596FA91"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c>
          <w:tcPr>
            <w:tcW w:w="1124" w:type="dxa"/>
          </w:tcPr>
          <w:p w14:paraId="3773BE57" w14:textId="26A57C1C"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r>
      <w:tr w:rsidR="00D65845" w14:paraId="432DE7BC" w14:textId="77777777" w:rsidTr="00D65845">
        <w:trPr>
          <w:trHeight w:val="340"/>
        </w:trPr>
        <w:tc>
          <w:tcPr>
            <w:tcW w:w="1276" w:type="dxa"/>
          </w:tcPr>
          <w:p w14:paraId="07249135" w14:textId="093C00CF" w:rsidR="00D65845" w:rsidRP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60,283</w:t>
            </w:r>
          </w:p>
        </w:tc>
        <w:tc>
          <w:tcPr>
            <w:tcW w:w="2834" w:type="dxa"/>
          </w:tcPr>
          <w:p w14:paraId="20E34AD7" w14:textId="5E1610E2" w:rsidR="00D65845" w:rsidRPr="00D65845" w:rsidRDefault="00D65845" w:rsidP="00D65845">
            <w:pPr>
              <w:pStyle w:val="TableParagraph"/>
              <w:spacing w:before="50" w:after="50"/>
              <w:ind w:left="66" w:hanging="5"/>
              <w:rPr>
                <w:rFonts w:ascii="Segoe UI" w:hAnsi="Segoe UI" w:cs="Segoe UI"/>
                <w:w w:val="105"/>
                <w:sz w:val="16"/>
                <w:szCs w:val="16"/>
              </w:rPr>
            </w:pPr>
            <w:r w:rsidRPr="00D65845">
              <w:rPr>
                <w:rFonts w:ascii="Segoe UI" w:hAnsi="Segoe UI" w:cs="Segoe UI"/>
                <w:w w:val="105"/>
                <w:sz w:val="16"/>
                <w:szCs w:val="16"/>
              </w:rPr>
              <w:t>Crown entities accrued liabilities</w:t>
            </w:r>
          </w:p>
        </w:tc>
        <w:tc>
          <w:tcPr>
            <w:tcW w:w="710" w:type="dxa"/>
          </w:tcPr>
          <w:p w14:paraId="4ABAD081" w14:textId="315535C8" w:rsidR="00D65845" w:rsidRP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2.4</w:t>
            </w:r>
          </w:p>
        </w:tc>
        <w:tc>
          <w:tcPr>
            <w:tcW w:w="850" w:type="dxa"/>
          </w:tcPr>
          <w:p w14:paraId="7BDDB9C1" w14:textId="5C4154A3" w:rsidR="00D65845" w:rsidRP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17,593</w:t>
            </w:r>
          </w:p>
        </w:tc>
        <w:tc>
          <w:tcPr>
            <w:tcW w:w="1276" w:type="dxa"/>
          </w:tcPr>
          <w:p w14:paraId="042C199A" w14:textId="5158C8CE" w:rsidR="00D65845" w:rsidRP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100,000</w:t>
            </w:r>
          </w:p>
        </w:tc>
        <w:tc>
          <w:tcPr>
            <w:tcW w:w="1124" w:type="dxa"/>
          </w:tcPr>
          <w:p w14:paraId="2ADEDF6B" w14:textId="561C6DA3" w:rsidR="00D65845" w:rsidRP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75,000</w:t>
            </w:r>
          </w:p>
        </w:tc>
      </w:tr>
      <w:tr w:rsidR="00D65845" w14:paraId="723E6C42" w14:textId="77777777" w:rsidTr="00D65845">
        <w:trPr>
          <w:trHeight w:val="340"/>
        </w:trPr>
        <w:tc>
          <w:tcPr>
            <w:tcW w:w="1276" w:type="dxa"/>
          </w:tcPr>
          <w:p w14:paraId="531FE54C" w14:textId="5DF7CCC1" w:rsidR="00D65845" w:rsidRP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6,994</w:t>
            </w:r>
          </w:p>
        </w:tc>
        <w:tc>
          <w:tcPr>
            <w:tcW w:w="2834" w:type="dxa"/>
          </w:tcPr>
          <w:p w14:paraId="09AC71D3" w14:textId="0F92A6AA" w:rsidR="00D65845" w:rsidRDefault="00D65845" w:rsidP="00D65845">
            <w:pPr>
              <w:pStyle w:val="TableParagraph"/>
              <w:spacing w:before="50" w:after="50"/>
              <w:ind w:left="66" w:hanging="5"/>
              <w:rPr>
                <w:rFonts w:ascii="Segoe UI" w:hAnsi="Segoe UI" w:cs="Segoe UI"/>
                <w:w w:val="105"/>
                <w:sz w:val="16"/>
                <w:szCs w:val="16"/>
              </w:rPr>
            </w:pPr>
            <w:r w:rsidRPr="00D65845">
              <w:rPr>
                <w:rFonts w:ascii="Segoe UI" w:hAnsi="Segoe UI" w:cs="Segoe UI"/>
                <w:w w:val="105"/>
                <w:sz w:val="16"/>
                <w:szCs w:val="16"/>
              </w:rPr>
              <w:t>Other accrued liabilities</w:t>
            </w:r>
          </w:p>
        </w:tc>
        <w:tc>
          <w:tcPr>
            <w:tcW w:w="710" w:type="dxa"/>
          </w:tcPr>
          <w:p w14:paraId="37975DA1" w14:textId="2CFD0243"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2.5</w:t>
            </w:r>
          </w:p>
        </w:tc>
        <w:tc>
          <w:tcPr>
            <w:tcW w:w="850" w:type="dxa"/>
          </w:tcPr>
          <w:p w14:paraId="44EFC93F" w14:textId="1BA6E826"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6,359</w:t>
            </w:r>
          </w:p>
        </w:tc>
        <w:tc>
          <w:tcPr>
            <w:tcW w:w="1276" w:type="dxa"/>
          </w:tcPr>
          <w:p w14:paraId="3E0854F9" w14:textId="6D24BCCA"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100,753</w:t>
            </w:r>
          </w:p>
        </w:tc>
        <w:tc>
          <w:tcPr>
            <w:tcW w:w="1124" w:type="dxa"/>
          </w:tcPr>
          <w:p w14:paraId="60B09B30" w14:textId="356B7A0F"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7,000</w:t>
            </w:r>
          </w:p>
        </w:tc>
      </w:tr>
      <w:tr w:rsidR="00D65845" w:rsidRPr="00D65845" w14:paraId="5125ADB0" w14:textId="77777777" w:rsidTr="00D65845">
        <w:trPr>
          <w:trHeight w:val="340"/>
        </w:trPr>
        <w:tc>
          <w:tcPr>
            <w:tcW w:w="1276" w:type="dxa"/>
            <w:tcBorders>
              <w:top w:val="single" w:sz="4" w:space="0" w:color="BFBFBF" w:themeColor="background1" w:themeShade="BF"/>
              <w:left w:val="nil"/>
              <w:bottom w:val="single" w:sz="4" w:space="0" w:color="BFBFBF" w:themeColor="background1" w:themeShade="BF"/>
              <w:right w:val="nil"/>
            </w:tcBorders>
          </w:tcPr>
          <w:p w14:paraId="2C5D62DE" w14:textId="0676F3DD"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r w:rsidRPr="00D65845">
              <w:rPr>
                <w:rFonts w:ascii="Segoe UI" w:hAnsi="Segoe UI" w:cs="Segoe UI"/>
                <w:b/>
                <w:bCs/>
                <w:w w:val="110"/>
                <w:sz w:val="16"/>
                <w:szCs w:val="16"/>
              </w:rPr>
              <w:t>76,578</w:t>
            </w:r>
          </w:p>
        </w:tc>
        <w:tc>
          <w:tcPr>
            <w:tcW w:w="2834" w:type="dxa"/>
            <w:tcBorders>
              <w:top w:val="single" w:sz="4" w:space="0" w:color="BFBFBF" w:themeColor="background1" w:themeShade="BF"/>
              <w:left w:val="nil"/>
              <w:bottom w:val="single" w:sz="4" w:space="0" w:color="BFBFBF" w:themeColor="background1" w:themeShade="BF"/>
              <w:right w:val="nil"/>
            </w:tcBorders>
          </w:tcPr>
          <w:p w14:paraId="15A69D4B" w14:textId="2CCF0E61" w:rsidR="00D65845" w:rsidRPr="00D65845" w:rsidRDefault="00D65845" w:rsidP="00D65845">
            <w:pPr>
              <w:pStyle w:val="TableParagraph"/>
              <w:spacing w:before="50" w:after="50"/>
              <w:ind w:left="66" w:hanging="5"/>
              <w:rPr>
                <w:rFonts w:ascii="Segoe UI" w:hAnsi="Segoe UI" w:cs="Segoe UI"/>
                <w:b/>
                <w:bCs/>
                <w:w w:val="105"/>
                <w:sz w:val="16"/>
                <w:szCs w:val="16"/>
              </w:rPr>
            </w:pPr>
            <w:r w:rsidRPr="00D65845">
              <w:rPr>
                <w:rFonts w:ascii="Segoe UI" w:hAnsi="Segoe UI" w:cs="Segoe UI"/>
                <w:b/>
                <w:bCs/>
                <w:w w:val="105"/>
                <w:sz w:val="16"/>
                <w:szCs w:val="16"/>
              </w:rPr>
              <w:t>Total non-departmental current liabilities</w:t>
            </w:r>
          </w:p>
        </w:tc>
        <w:tc>
          <w:tcPr>
            <w:tcW w:w="710" w:type="dxa"/>
            <w:tcBorders>
              <w:top w:val="single" w:sz="4" w:space="0" w:color="BFBFBF" w:themeColor="background1" w:themeShade="BF"/>
              <w:left w:val="nil"/>
              <w:bottom w:val="single" w:sz="4" w:space="0" w:color="BFBFBF" w:themeColor="background1" w:themeShade="BF"/>
              <w:right w:val="nil"/>
            </w:tcBorders>
          </w:tcPr>
          <w:p w14:paraId="33ECF407" w14:textId="77777777"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p>
        </w:tc>
        <w:tc>
          <w:tcPr>
            <w:tcW w:w="850" w:type="dxa"/>
            <w:tcBorders>
              <w:top w:val="single" w:sz="4" w:space="0" w:color="BFBFBF" w:themeColor="background1" w:themeShade="BF"/>
              <w:left w:val="nil"/>
              <w:bottom w:val="single" w:sz="4" w:space="0" w:color="BFBFBF" w:themeColor="background1" w:themeShade="BF"/>
              <w:right w:val="nil"/>
            </w:tcBorders>
          </w:tcPr>
          <w:p w14:paraId="245A89B6" w14:textId="773661D8"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r w:rsidRPr="00D65845">
              <w:rPr>
                <w:rFonts w:ascii="Segoe UI" w:hAnsi="Segoe UI" w:cs="Segoe UI"/>
                <w:b/>
                <w:bCs/>
                <w:w w:val="110"/>
                <w:sz w:val="16"/>
                <w:szCs w:val="16"/>
              </w:rPr>
              <w:t>34,527</w:t>
            </w:r>
          </w:p>
        </w:tc>
        <w:tc>
          <w:tcPr>
            <w:tcW w:w="1276" w:type="dxa"/>
            <w:tcBorders>
              <w:top w:val="single" w:sz="4" w:space="0" w:color="BFBFBF" w:themeColor="background1" w:themeShade="BF"/>
              <w:left w:val="nil"/>
              <w:bottom w:val="single" w:sz="4" w:space="0" w:color="BFBFBF" w:themeColor="background1" w:themeShade="BF"/>
              <w:right w:val="nil"/>
            </w:tcBorders>
          </w:tcPr>
          <w:p w14:paraId="4061C470" w14:textId="7C5497D9"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r w:rsidRPr="00D65845">
              <w:rPr>
                <w:rFonts w:ascii="Segoe UI" w:hAnsi="Segoe UI" w:cs="Segoe UI"/>
                <w:b/>
                <w:bCs/>
                <w:w w:val="110"/>
                <w:sz w:val="16"/>
                <w:szCs w:val="16"/>
              </w:rPr>
              <w:t>210,753</w:t>
            </w:r>
          </w:p>
        </w:tc>
        <w:tc>
          <w:tcPr>
            <w:tcW w:w="1124" w:type="dxa"/>
            <w:tcBorders>
              <w:top w:val="single" w:sz="4" w:space="0" w:color="BFBFBF" w:themeColor="background1" w:themeShade="BF"/>
              <w:left w:val="nil"/>
              <w:bottom w:val="single" w:sz="4" w:space="0" w:color="BFBFBF" w:themeColor="background1" w:themeShade="BF"/>
              <w:right w:val="nil"/>
            </w:tcBorders>
          </w:tcPr>
          <w:p w14:paraId="01B9D4CF" w14:textId="54524DC0"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r w:rsidRPr="00D65845">
              <w:rPr>
                <w:rFonts w:ascii="Segoe UI" w:hAnsi="Segoe UI" w:cs="Segoe UI"/>
                <w:b/>
                <w:bCs/>
                <w:w w:val="110"/>
                <w:sz w:val="16"/>
                <w:szCs w:val="16"/>
              </w:rPr>
              <w:t>92,000</w:t>
            </w:r>
          </w:p>
        </w:tc>
      </w:tr>
    </w:tbl>
    <w:p w14:paraId="246F81A9" w14:textId="77777777" w:rsidR="00D65845" w:rsidRDefault="00D65845" w:rsidP="00D65845">
      <w:pPr>
        <w:pStyle w:val="Note"/>
      </w:pPr>
      <w:r>
        <w:t>The accompanying notes form part of these financial statements.</w:t>
      </w:r>
    </w:p>
    <w:p w14:paraId="6B8EF875" w14:textId="64CE02F7" w:rsidR="00A74F96" w:rsidRDefault="00D65845" w:rsidP="00D65845">
      <w:pPr>
        <w:pStyle w:val="Note"/>
      </w:pPr>
      <w:r>
        <w:t>For a full understanding of the Crown’s financial position and the results of its operations for the year, refer to the consolidated Financial Statement of the Government for the year ended 30 June 2024.</w:t>
      </w:r>
    </w:p>
    <w:p w14:paraId="1F3EC297" w14:textId="77777777" w:rsidR="00D65845" w:rsidRDefault="00D65845" w:rsidP="00D65845"/>
    <w:p w14:paraId="04412318" w14:textId="4E549E03" w:rsidR="00D65845" w:rsidRDefault="00D65845" w:rsidP="00D65845">
      <w:r w:rsidRPr="00D65845">
        <w:t>The Ministry monitors a number of Crown entities, including Health New Zealand, Pharmac and (until 31 March 2024) Te Aka Whai Ora. Investment in these entities is recorded in the Financial Statements of the Government on a line-by-line basis. No disclosure of investments in Crown entities is made in this schedule.</w:t>
      </w:r>
    </w:p>
    <w:p w14:paraId="64FE9573" w14:textId="77777777" w:rsidR="00D65845" w:rsidRDefault="00D65845" w:rsidP="00D65845"/>
    <w:p w14:paraId="553732E3" w14:textId="77777777" w:rsidR="00D65845" w:rsidRDefault="00D65845" w:rsidP="00D65845">
      <w:pPr>
        <w:sectPr w:rsidR="00D65845" w:rsidSect="000A3324">
          <w:pgSz w:w="11907" w:h="16840" w:code="9"/>
          <w:pgMar w:top="1418" w:right="1701" w:bottom="1134" w:left="1843" w:header="284" w:footer="425" w:gutter="284"/>
          <w:cols w:space="720"/>
        </w:sectPr>
      </w:pPr>
    </w:p>
    <w:p w14:paraId="794B2447" w14:textId="77777777" w:rsidR="00D65845" w:rsidRDefault="00D65845" w:rsidP="00386646">
      <w:pPr>
        <w:pStyle w:val="Heading3"/>
        <w:spacing w:before="0"/>
      </w:pPr>
      <w:r>
        <w:lastRenderedPageBreak/>
        <w:t xml:space="preserve">Schedule of non-departmental contingent liabilities and contingent assets as </w:t>
      </w:r>
      <w:proofErr w:type="gramStart"/>
      <w:r>
        <w:t>at</w:t>
      </w:r>
      <w:proofErr w:type="gramEnd"/>
      <w:r>
        <w:t xml:space="preserve"> 30 June 2024</w:t>
      </w:r>
    </w:p>
    <w:p w14:paraId="7A16AFCD" w14:textId="7289E9A2" w:rsidR="00D65845" w:rsidRDefault="00D65845" w:rsidP="00D65845">
      <w:pPr>
        <w:pStyle w:val="Heading4"/>
      </w:pPr>
      <w:r>
        <w:t>Contingent liabilities</w:t>
      </w:r>
    </w:p>
    <w:tbl>
      <w:tblPr>
        <w:tblW w:w="8190" w:type="dxa"/>
        <w:tblLayout w:type="fixed"/>
        <w:tblCellMar>
          <w:left w:w="0" w:type="dxa"/>
          <w:right w:w="0" w:type="dxa"/>
        </w:tblCellMar>
        <w:tblLook w:val="01E0" w:firstRow="1" w:lastRow="1" w:firstColumn="1" w:lastColumn="1" w:noHBand="0" w:noVBand="0"/>
      </w:tblPr>
      <w:tblGrid>
        <w:gridCol w:w="1276"/>
        <w:gridCol w:w="5108"/>
        <w:gridCol w:w="1806"/>
      </w:tblGrid>
      <w:tr w:rsidR="00D65845" w14:paraId="26412D36" w14:textId="77777777" w:rsidTr="00D65845">
        <w:trPr>
          <w:trHeight w:val="784"/>
        </w:trPr>
        <w:tc>
          <w:tcPr>
            <w:tcW w:w="1276" w:type="dxa"/>
            <w:shd w:val="clear" w:color="auto" w:fill="D9D9D9" w:themeFill="background1" w:themeFillShade="D9"/>
            <w:hideMark/>
          </w:tcPr>
          <w:p w14:paraId="5E867BEB" w14:textId="77777777" w:rsidR="00D65845" w:rsidRDefault="00D65845">
            <w:pPr>
              <w:pStyle w:val="TableParagraph"/>
              <w:spacing w:before="50" w:after="50"/>
              <w:ind w:left="-42" w:right="170" w:firstLine="99"/>
              <w:jc w:val="right"/>
              <w:rPr>
                <w:rFonts w:ascii="Segoe UI" w:hAnsi="Segoe UI" w:cs="Segoe UI"/>
                <w:b/>
                <w:bCs/>
                <w:sz w:val="16"/>
                <w:szCs w:val="16"/>
              </w:rPr>
            </w:pPr>
            <w:r>
              <w:rPr>
                <w:rFonts w:ascii="Segoe UI" w:hAnsi="Segoe UI" w:cs="Segoe UI"/>
                <w:b/>
                <w:bCs/>
                <w:sz w:val="16"/>
                <w:szCs w:val="16"/>
              </w:rPr>
              <w:t xml:space="preserve">Actual </w:t>
            </w:r>
          </w:p>
          <w:p w14:paraId="684CCFA5" w14:textId="6A31E707" w:rsidR="00D65845" w:rsidRDefault="00D65845">
            <w:pPr>
              <w:pStyle w:val="TableParagraph"/>
              <w:spacing w:before="50" w:after="50"/>
              <w:ind w:left="-42" w:right="170" w:firstLine="99"/>
              <w:jc w:val="right"/>
              <w:rPr>
                <w:rFonts w:ascii="Segoe UI" w:hAnsi="Segoe UI" w:cs="Segoe UI"/>
                <w:b/>
                <w:bCs/>
                <w:sz w:val="16"/>
                <w:szCs w:val="16"/>
              </w:rPr>
            </w:pPr>
            <w:r>
              <w:rPr>
                <w:rFonts w:ascii="Segoe UI" w:hAnsi="Segoe UI" w:cs="Segoe UI"/>
                <w:b/>
                <w:bCs/>
                <w:sz w:val="16"/>
                <w:szCs w:val="16"/>
              </w:rPr>
              <w:t>2023</w:t>
            </w:r>
          </w:p>
          <w:p w14:paraId="65C6CEA5" w14:textId="77777777" w:rsidR="00D65845" w:rsidRDefault="00D65845">
            <w:pPr>
              <w:pStyle w:val="TableParagraph"/>
              <w:spacing w:before="50" w:after="50"/>
              <w:ind w:left="-42" w:right="170" w:firstLine="99"/>
              <w:jc w:val="right"/>
              <w:rPr>
                <w:rFonts w:ascii="Segoe UI" w:hAnsi="Segoe UI" w:cs="Segoe UI"/>
                <w:b/>
                <w:bCs/>
                <w:sz w:val="16"/>
                <w:szCs w:val="16"/>
              </w:rPr>
            </w:pPr>
            <w:r>
              <w:rPr>
                <w:rFonts w:ascii="Segoe UI" w:hAnsi="Segoe UI" w:cs="Segoe UI"/>
                <w:b/>
                <w:bCs/>
                <w:sz w:val="16"/>
                <w:szCs w:val="16"/>
              </w:rPr>
              <w:t>$000</w:t>
            </w:r>
          </w:p>
        </w:tc>
        <w:tc>
          <w:tcPr>
            <w:tcW w:w="5108" w:type="dxa"/>
            <w:shd w:val="clear" w:color="auto" w:fill="D9D9D9" w:themeFill="background1" w:themeFillShade="D9"/>
          </w:tcPr>
          <w:p w14:paraId="16F28AC0" w14:textId="77777777" w:rsidR="00D65845" w:rsidRDefault="00D65845">
            <w:pPr>
              <w:pStyle w:val="TableParagraph"/>
              <w:rPr>
                <w:rFonts w:ascii="Times New Roman"/>
                <w:b/>
                <w:bCs/>
                <w:sz w:val="18"/>
              </w:rPr>
            </w:pPr>
          </w:p>
        </w:tc>
        <w:tc>
          <w:tcPr>
            <w:tcW w:w="1806" w:type="dxa"/>
            <w:shd w:val="clear" w:color="auto" w:fill="D9D9D9" w:themeFill="background1" w:themeFillShade="D9"/>
            <w:hideMark/>
          </w:tcPr>
          <w:p w14:paraId="71C1B66C" w14:textId="77777777" w:rsidR="00D65845" w:rsidRDefault="00D65845">
            <w:pPr>
              <w:pStyle w:val="TableParagraph"/>
              <w:spacing w:before="50" w:after="50"/>
              <w:ind w:left="-42" w:right="152" w:firstLine="99"/>
              <w:jc w:val="right"/>
              <w:rPr>
                <w:rFonts w:ascii="Segoe UI" w:hAnsi="Segoe UI" w:cs="Segoe UI"/>
                <w:b/>
                <w:bCs/>
                <w:w w:val="110"/>
                <w:sz w:val="16"/>
                <w:szCs w:val="16"/>
              </w:rPr>
            </w:pPr>
            <w:r>
              <w:rPr>
                <w:rFonts w:ascii="Segoe UI" w:hAnsi="Segoe UI" w:cs="Segoe UI"/>
                <w:b/>
                <w:bCs/>
                <w:w w:val="110"/>
                <w:sz w:val="16"/>
                <w:szCs w:val="16"/>
              </w:rPr>
              <w:t xml:space="preserve">Actual </w:t>
            </w:r>
          </w:p>
          <w:p w14:paraId="2F8042CC" w14:textId="12ABFB44" w:rsidR="00D65845" w:rsidRDefault="00D65845">
            <w:pPr>
              <w:pStyle w:val="TableParagraph"/>
              <w:spacing w:before="50" w:after="5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668F65CC" w14:textId="77777777" w:rsidR="00D65845" w:rsidRDefault="00D65845">
            <w:pPr>
              <w:pStyle w:val="TableParagraph"/>
              <w:spacing w:before="50" w:after="5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r>
      <w:tr w:rsidR="00D65845" w14:paraId="41951F7F" w14:textId="77777777" w:rsidTr="00D65845">
        <w:trPr>
          <w:trHeight w:val="348"/>
        </w:trPr>
        <w:tc>
          <w:tcPr>
            <w:tcW w:w="1276" w:type="dxa"/>
            <w:tcBorders>
              <w:top w:val="nil"/>
              <w:left w:val="nil"/>
              <w:bottom w:val="single" w:sz="4" w:space="0" w:color="BFBFBF" w:themeColor="background1" w:themeShade="BF"/>
              <w:right w:val="nil"/>
            </w:tcBorders>
            <w:hideMark/>
          </w:tcPr>
          <w:p w14:paraId="3625DB8C" w14:textId="42A18335" w:rsidR="00D65845" w:rsidRP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3,610</w:t>
            </w:r>
          </w:p>
        </w:tc>
        <w:tc>
          <w:tcPr>
            <w:tcW w:w="5108" w:type="dxa"/>
            <w:tcBorders>
              <w:top w:val="nil"/>
              <w:left w:val="nil"/>
              <w:bottom w:val="single" w:sz="4" w:space="0" w:color="BFBFBF" w:themeColor="background1" w:themeShade="BF"/>
              <w:right w:val="nil"/>
            </w:tcBorders>
            <w:hideMark/>
          </w:tcPr>
          <w:p w14:paraId="65646246" w14:textId="0D86F075" w:rsidR="00D65845" w:rsidRDefault="00D65845" w:rsidP="00D65845">
            <w:pPr>
              <w:pStyle w:val="TableParagraph"/>
              <w:spacing w:before="50" w:after="50"/>
              <w:ind w:left="66" w:hanging="5"/>
              <w:rPr>
                <w:rFonts w:ascii="Segoe UI" w:hAnsi="Segoe UI" w:cs="Segoe UI"/>
                <w:w w:val="105"/>
                <w:sz w:val="16"/>
                <w:szCs w:val="16"/>
              </w:rPr>
            </w:pPr>
            <w:r w:rsidRPr="00D65845">
              <w:rPr>
                <w:rFonts w:ascii="Segoe UI" w:hAnsi="Segoe UI" w:cs="Segoe UI"/>
                <w:w w:val="105"/>
                <w:sz w:val="16"/>
                <w:szCs w:val="16"/>
              </w:rPr>
              <w:t>Legal proceedings and disputes</w:t>
            </w:r>
          </w:p>
        </w:tc>
        <w:tc>
          <w:tcPr>
            <w:tcW w:w="1806" w:type="dxa"/>
            <w:tcBorders>
              <w:top w:val="nil"/>
              <w:left w:val="nil"/>
              <w:bottom w:val="single" w:sz="4" w:space="0" w:color="BFBFBF" w:themeColor="background1" w:themeShade="BF"/>
              <w:right w:val="nil"/>
            </w:tcBorders>
            <w:hideMark/>
          </w:tcPr>
          <w:p w14:paraId="571AFE28" w14:textId="7D92C3AF" w:rsidR="00D65845" w:rsidRDefault="00D65845" w:rsidP="00D65845">
            <w:pPr>
              <w:pStyle w:val="TableParagraph"/>
              <w:spacing w:before="50" w:after="50"/>
              <w:ind w:left="-42" w:right="152" w:firstLine="99"/>
              <w:jc w:val="right"/>
              <w:rPr>
                <w:rFonts w:ascii="Segoe UI" w:hAnsi="Segoe UI" w:cs="Segoe UI"/>
                <w:w w:val="110"/>
                <w:sz w:val="16"/>
                <w:szCs w:val="16"/>
              </w:rPr>
            </w:pPr>
            <w:r w:rsidRPr="00D65845">
              <w:rPr>
                <w:rFonts w:ascii="Segoe UI" w:hAnsi="Segoe UI" w:cs="Segoe UI"/>
                <w:w w:val="110"/>
                <w:sz w:val="16"/>
                <w:szCs w:val="16"/>
              </w:rPr>
              <w:t>13,610</w:t>
            </w:r>
          </w:p>
        </w:tc>
      </w:tr>
      <w:tr w:rsidR="00D65845" w:rsidRPr="00D65845" w14:paraId="7116F1CA" w14:textId="77777777" w:rsidTr="00D65845">
        <w:trPr>
          <w:trHeight w:val="344"/>
        </w:trPr>
        <w:tc>
          <w:tcPr>
            <w:tcW w:w="1276" w:type="dxa"/>
            <w:tcBorders>
              <w:top w:val="single" w:sz="4" w:space="0" w:color="BFBFBF" w:themeColor="background1" w:themeShade="BF"/>
              <w:left w:val="nil"/>
              <w:bottom w:val="single" w:sz="4" w:space="0" w:color="BFBFBF" w:themeColor="background1" w:themeShade="BF"/>
              <w:right w:val="nil"/>
            </w:tcBorders>
            <w:hideMark/>
          </w:tcPr>
          <w:p w14:paraId="10E6123F" w14:textId="4316FD48"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r w:rsidRPr="00D65845">
              <w:rPr>
                <w:rFonts w:ascii="Segoe UI" w:hAnsi="Segoe UI" w:cs="Segoe UI"/>
                <w:b/>
                <w:bCs/>
                <w:w w:val="110"/>
                <w:sz w:val="16"/>
                <w:szCs w:val="16"/>
              </w:rPr>
              <w:t>3,610</w:t>
            </w:r>
          </w:p>
        </w:tc>
        <w:tc>
          <w:tcPr>
            <w:tcW w:w="5108" w:type="dxa"/>
            <w:tcBorders>
              <w:top w:val="single" w:sz="4" w:space="0" w:color="BFBFBF" w:themeColor="background1" w:themeShade="BF"/>
              <w:left w:val="nil"/>
              <w:bottom w:val="single" w:sz="4" w:space="0" w:color="BFBFBF" w:themeColor="background1" w:themeShade="BF"/>
              <w:right w:val="nil"/>
            </w:tcBorders>
            <w:hideMark/>
          </w:tcPr>
          <w:p w14:paraId="6556BCD2" w14:textId="42BE6F13" w:rsidR="00D65845" w:rsidRPr="00D65845" w:rsidRDefault="00D65845" w:rsidP="00D65845">
            <w:pPr>
              <w:pStyle w:val="TableParagraph"/>
              <w:spacing w:before="50" w:after="50"/>
              <w:ind w:left="66" w:hanging="5"/>
              <w:rPr>
                <w:rFonts w:ascii="Segoe UI" w:hAnsi="Segoe UI" w:cs="Segoe UI"/>
                <w:b/>
                <w:bCs/>
                <w:w w:val="105"/>
                <w:sz w:val="16"/>
                <w:szCs w:val="16"/>
              </w:rPr>
            </w:pPr>
            <w:r w:rsidRPr="00D65845">
              <w:rPr>
                <w:rFonts w:ascii="Segoe UI" w:hAnsi="Segoe UI" w:cs="Segoe UI"/>
                <w:b/>
                <w:bCs/>
                <w:w w:val="105"/>
                <w:sz w:val="16"/>
                <w:szCs w:val="16"/>
              </w:rPr>
              <w:t>Total contingent liabilities</w:t>
            </w:r>
          </w:p>
        </w:tc>
        <w:tc>
          <w:tcPr>
            <w:tcW w:w="1806" w:type="dxa"/>
            <w:tcBorders>
              <w:top w:val="single" w:sz="4" w:space="0" w:color="BFBFBF" w:themeColor="background1" w:themeShade="BF"/>
              <w:left w:val="nil"/>
              <w:bottom w:val="single" w:sz="4" w:space="0" w:color="BFBFBF" w:themeColor="background1" w:themeShade="BF"/>
              <w:right w:val="nil"/>
            </w:tcBorders>
            <w:hideMark/>
          </w:tcPr>
          <w:p w14:paraId="4B96BE7F" w14:textId="16165A11" w:rsidR="00D65845" w:rsidRPr="00D65845" w:rsidRDefault="00D65845" w:rsidP="00D65845">
            <w:pPr>
              <w:pStyle w:val="TableParagraph"/>
              <w:spacing w:before="50" w:after="50"/>
              <w:ind w:left="-42" w:right="152" w:firstLine="99"/>
              <w:jc w:val="right"/>
              <w:rPr>
                <w:rFonts w:ascii="Segoe UI" w:hAnsi="Segoe UI" w:cs="Segoe UI"/>
                <w:b/>
                <w:bCs/>
                <w:w w:val="110"/>
                <w:sz w:val="16"/>
                <w:szCs w:val="16"/>
              </w:rPr>
            </w:pPr>
            <w:r w:rsidRPr="00D65845">
              <w:rPr>
                <w:rFonts w:ascii="Segoe UI" w:hAnsi="Segoe UI" w:cs="Segoe UI"/>
                <w:b/>
                <w:bCs/>
                <w:w w:val="110"/>
                <w:sz w:val="16"/>
                <w:szCs w:val="16"/>
              </w:rPr>
              <w:t>13,610</w:t>
            </w:r>
          </w:p>
        </w:tc>
      </w:tr>
    </w:tbl>
    <w:p w14:paraId="701A6E3C" w14:textId="77777777" w:rsidR="00D65845" w:rsidRDefault="00D65845" w:rsidP="00D65845">
      <w:pPr>
        <w:pStyle w:val="Note"/>
      </w:pPr>
      <w:r>
        <w:t>The accompanying notes form part of these financial statements.</w:t>
      </w:r>
    </w:p>
    <w:p w14:paraId="7164E904" w14:textId="4103D760" w:rsidR="00D65845" w:rsidRDefault="00D65845" w:rsidP="00D65845">
      <w:pPr>
        <w:pStyle w:val="Note"/>
      </w:pPr>
      <w:r>
        <w:t>For a full understanding of the Crown’s financial position and the results of its operations for the year, refer to the consolidated Financial Statement of the Government for the year ended 30 June 2024.</w:t>
      </w:r>
    </w:p>
    <w:p w14:paraId="1B97A9E7" w14:textId="67458750" w:rsidR="00D65845" w:rsidRDefault="00D65845" w:rsidP="00D65845">
      <w:pPr>
        <w:pStyle w:val="Heading4"/>
      </w:pPr>
      <w:r w:rsidRPr="00D65845">
        <w:t>Legal proceedings and disputes</w:t>
      </w:r>
    </w:p>
    <w:p w14:paraId="0DAD1457" w14:textId="77777777" w:rsidR="00D65845" w:rsidRDefault="00D65845" w:rsidP="00D65845">
      <w:r>
        <w:t>Legal claims against the Crown are for compensation in relation to perceived issues regarding treatment and care, or contractual disputes. The Crown is in the process of defending these claims.</w:t>
      </w:r>
    </w:p>
    <w:p w14:paraId="43F20CC6" w14:textId="77777777" w:rsidR="00D65845" w:rsidRDefault="00D65845" w:rsidP="00D65845">
      <w:pPr>
        <w:pStyle w:val="Heading5"/>
      </w:pPr>
      <w:r>
        <w:t>New Zealand College of Midwives class action v Ministry of Health</w:t>
      </w:r>
    </w:p>
    <w:p w14:paraId="47A9E69A" w14:textId="7D451E5B" w:rsidR="00D65845" w:rsidRDefault="00D65845" w:rsidP="00D65845">
      <w:r>
        <w:t>In August 2022, the New Zealand College of Midwives filed class action proceeding against the Ministry on behalf of self-employed midwives over’ contractual issues. The High Court hearing was completed on 13 September 2024. Given the six-week length of the hearing, the decision is not expected for many months.</w:t>
      </w:r>
    </w:p>
    <w:p w14:paraId="5C008513" w14:textId="77777777" w:rsidR="00D65845" w:rsidRDefault="00D65845" w:rsidP="00D65845">
      <w:pPr>
        <w:pStyle w:val="Heading5"/>
      </w:pPr>
      <w:r>
        <w:t>Stent and Brill v Minister for COVID-19 Response</w:t>
      </w:r>
    </w:p>
    <w:p w14:paraId="1AFE0FA8" w14:textId="77777777" w:rsidR="00D65845" w:rsidRDefault="00D65845" w:rsidP="00D65845">
      <w:r>
        <w:t>In December 2022, Stent and Brill filed a claim against the Ministry and the Minister for COVID-19 Response in relation to the COVID-19 restrictions in July 2021. The High Court hearing is set for 10 March 2025.</w:t>
      </w:r>
    </w:p>
    <w:p w14:paraId="1FAB6D22" w14:textId="77777777" w:rsidR="00D65845" w:rsidRDefault="00D65845" w:rsidP="00D65845">
      <w:pPr>
        <w:pStyle w:val="Heading5"/>
      </w:pPr>
      <w:r>
        <w:t>J v Attorney General and others</w:t>
      </w:r>
    </w:p>
    <w:p w14:paraId="0E8687AC" w14:textId="77777777" w:rsidR="00D65845" w:rsidRDefault="00D65845" w:rsidP="00D65845">
      <w:r>
        <w:t xml:space="preserve">The claim was filed for unlawful detention and New Zealand Bill of Rights Act 1990 compensation. The plaintiff’s appeal was dismissed by the Court of Appeal on 20 December 2023. The decision was </w:t>
      </w:r>
      <w:proofErr w:type="gramStart"/>
      <w:r>
        <w:t>appealed</w:t>
      </w:r>
      <w:proofErr w:type="gramEnd"/>
      <w:r>
        <w:t xml:space="preserve"> and the Supreme Court hearing was completed on 24 September 2024. The decision is expected by the end of December 2024.</w:t>
      </w:r>
    </w:p>
    <w:p w14:paraId="5A0F8E8D" w14:textId="77777777" w:rsidR="00D65845" w:rsidRDefault="00D65845" w:rsidP="00D65845">
      <w:pPr>
        <w:pStyle w:val="Heading5"/>
      </w:pPr>
      <w:r>
        <w:t>Safety &amp; Medical Manufacturers Limited v Ministry of Health and Health New Zealand</w:t>
      </w:r>
    </w:p>
    <w:p w14:paraId="2BB428D9" w14:textId="77777777" w:rsidR="00D65845" w:rsidRDefault="00D65845" w:rsidP="00D65845">
      <w:r>
        <w:t>This is a contract dispute relating to the cancellation of an order of masks in 2020 (as part of the COVID-19 response). The contract was transferred to Health New Zealand as part of the 2022 health system reform. No hearing date has been set.</w:t>
      </w:r>
    </w:p>
    <w:p w14:paraId="7A5D9FD2" w14:textId="77777777" w:rsidR="00D65845" w:rsidRDefault="00D65845" w:rsidP="00D65845">
      <w:pPr>
        <w:pStyle w:val="Heading4"/>
        <w:sectPr w:rsidR="00D65845" w:rsidSect="000A3324">
          <w:pgSz w:w="11907" w:h="16840" w:code="9"/>
          <w:pgMar w:top="1418" w:right="1701" w:bottom="1134" w:left="1843" w:header="284" w:footer="425" w:gutter="284"/>
          <w:cols w:space="720"/>
        </w:sectPr>
      </w:pPr>
    </w:p>
    <w:p w14:paraId="3262C7A0" w14:textId="56CFBB9F" w:rsidR="00D65845" w:rsidRDefault="00D65845" w:rsidP="00D65845">
      <w:pPr>
        <w:pStyle w:val="Heading4"/>
        <w:spacing w:before="0"/>
      </w:pPr>
      <w:r>
        <w:lastRenderedPageBreak/>
        <w:t>Unquantifiable contingent liabilities</w:t>
      </w:r>
    </w:p>
    <w:p w14:paraId="64ABFD29" w14:textId="77777777" w:rsidR="00D65845" w:rsidRDefault="00D65845" w:rsidP="00D65845">
      <w:r w:rsidRPr="00D65845">
        <w:t>There are other liabilities which could result from current matters which is currently unquantifiable.</w:t>
      </w:r>
    </w:p>
    <w:p w14:paraId="5A7A5373" w14:textId="77777777" w:rsidR="00D65845" w:rsidRDefault="00D65845" w:rsidP="00D65845">
      <w:pPr>
        <w:pStyle w:val="Heading4"/>
      </w:pPr>
      <w:r>
        <w:t>Contingent assets</w:t>
      </w:r>
    </w:p>
    <w:p w14:paraId="4C03FE83" w14:textId="77777777" w:rsidR="00D65845" w:rsidRDefault="00D65845" w:rsidP="00D65845">
      <w:r>
        <w:t>The Ministry had no contingent assets held on behalf of the Crown as at the balance date (2023: $nil).</w:t>
      </w:r>
    </w:p>
    <w:p w14:paraId="40CEAD28" w14:textId="77777777" w:rsidR="00D65845" w:rsidRDefault="00D65845" w:rsidP="00386646">
      <w:pPr>
        <w:pStyle w:val="Heading3"/>
      </w:pPr>
      <w:r>
        <w:t xml:space="preserve">Schedule of non-departmental commitments as </w:t>
      </w:r>
      <w:proofErr w:type="gramStart"/>
      <w:r>
        <w:t>at</w:t>
      </w:r>
      <w:proofErr w:type="gramEnd"/>
      <w:r>
        <w:t xml:space="preserve"> 30 June 2024</w:t>
      </w:r>
    </w:p>
    <w:p w14:paraId="53D5A8AD" w14:textId="77777777" w:rsidR="00D65845" w:rsidRDefault="00D65845" w:rsidP="00D65845">
      <w:pPr>
        <w:pStyle w:val="Heading4"/>
      </w:pPr>
      <w:r>
        <w:t xml:space="preserve">Capital </w:t>
      </w:r>
      <w:proofErr w:type="gramStart"/>
      <w:r>
        <w:t>commitments</w:t>
      </w:r>
      <w:proofErr w:type="gramEnd"/>
    </w:p>
    <w:p w14:paraId="12A492F0" w14:textId="106608DE" w:rsidR="00D65845" w:rsidRDefault="00D65845" w:rsidP="00D65845">
      <w:r>
        <w:t>The Ministry had no commitments on behalf of the Crown as at the balance date (2023: $nil)</w:t>
      </w:r>
    </w:p>
    <w:p w14:paraId="6F01486D" w14:textId="50CDBF38" w:rsidR="00D65845" w:rsidRDefault="00D65845" w:rsidP="00386646">
      <w:pPr>
        <w:pStyle w:val="Heading3"/>
      </w:pPr>
      <w:r>
        <w:t>Problem Gambling Revenue Report for the year ended 30 June 2024</w:t>
      </w:r>
    </w:p>
    <w:p w14:paraId="44E71105" w14:textId="7850E16E" w:rsidR="00D65845" w:rsidRDefault="00D65845" w:rsidP="00D65845">
      <w:r>
        <w:t>In accordance with the Gambling Act 2003, the Ministry receives an appropriation for problem gambling that over time is intended to be fully funded from the levies Inland Revenue collects from the industry. These services are mainly delivered by Health New Zealand and (up until 31 March 2024) Te Aka Whai Ora. The following report shows the revenue collected to date and actual expenditure.</w:t>
      </w:r>
    </w:p>
    <w:p w14:paraId="5302757F" w14:textId="77777777" w:rsidR="00D65845" w:rsidRDefault="00D65845" w:rsidP="00D65845"/>
    <w:tbl>
      <w:tblPr>
        <w:tblW w:w="8160" w:type="dxa"/>
        <w:tblLayout w:type="fixed"/>
        <w:tblCellMar>
          <w:left w:w="0" w:type="dxa"/>
          <w:right w:w="0" w:type="dxa"/>
        </w:tblCellMar>
        <w:tblLook w:val="01E0" w:firstRow="1" w:lastRow="1" w:firstColumn="1" w:lastColumn="1" w:noHBand="0" w:noVBand="0"/>
      </w:tblPr>
      <w:tblGrid>
        <w:gridCol w:w="1247"/>
        <w:gridCol w:w="3716"/>
        <w:gridCol w:w="3197"/>
      </w:tblGrid>
      <w:tr w:rsidR="00D65845" w14:paraId="484E5EAB" w14:textId="77777777" w:rsidTr="00D65845">
        <w:trPr>
          <w:trHeight w:val="784"/>
        </w:trPr>
        <w:tc>
          <w:tcPr>
            <w:tcW w:w="1247" w:type="dxa"/>
            <w:shd w:val="clear" w:color="auto" w:fill="D9D9D9" w:themeFill="background1" w:themeFillShade="D9"/>
            <w:hideMark/>
          </w:tcPr>
          <w:p w14:paraId="09560FA7" w14:textId="77777777" w:rsidR="00D65845" w:rsidRDefault="00D65845">
            <w:pPr>
              <w:pStyle w:val="TableParagraph"/>
              <w:spacing w:before="50" w:after="50"/>
              <w:ind w:left="-42" w:right="170" w:firstLine="99"/>
              <w:jc w:val="right"/>
              <w:rPr>
                <w:rFonts w:ascii="Segoe UI" w:hAnsi="Segoe UI" w:cs="Segoe UI"/>
                <w:b/>
                <w:bCs/>
                <w:sz w:val="16"/>
                <w:szCs w:val="16"/>
              </w:rPr>
            </w:pPr>
            <w:r>
              <w:rPr>
                <w:rFonts w:ascii="Segoe UI" w:hAnsi="Segoe UI" w:cs="Segoe UI"/>
                <w:b/>
                <w:bCs/>
                <w:sz w:val="16"/>
                <w:szCs w:val="16"/>
              </w:rPr>
              <w:t xml:space="preserve">Actual </w:t>
            </w:r>
          </w:p>
          <w:p w14:paraId="45A33B9B" w14:textId="6283E9EE" w:rsidR="00D65845" w:rsidRDefault="00D65845">
            <w:pPr>
              <w:pStyle w:val="TableParagraph"/>
              <w:spacing w:before="50" w:after="50"/>
              <w:ind w:left="-42" w:right="170" w:firstLine="99"/>
              <w:jc w:val="right"/>
              <w:rPr>
                <w:rFonts w:ascii="Segoe UI" w:hAnsi="Segoe UI" w:cs="Segoe UI"/>
                <w:b/>
                <w:bCs/>
                <w:sz w:val="16"/>
                <w:szCs w:val="16"/>
              </w:rPr>
            </w:pPr>
            <w:r>
              <w:rPr>
                <w:rFonts w:ascii="Segoe UI" w:hAnsi="Segoe UI" w:cs="Segoe UI"/>
                <w:b/>
                <w:bCs/>
                <w:sz w:val="16"/>
                <w:szCs w:val="16"/>
              </w:rPr>
              <w:t>2023</w:t>
            </w:r>
          </w:p>
          <w:p w14:paraId="22327D28" w14:textId="77777777" w:rsidR="00D65845" w:rsidRDefault="00D65845">
            <w:pPr>
              <w:pStyle w:val="TableParagraph"/>
              <w:spacing w:before="50" w:after="50"/>
              <w:ind w:left="-42" w:right="170" w:firstLine="99"/>
              <w:jc w:val="right"/>
              <w:rPr>
                <w:rFonts w:ascii="Segoe UI" w:hAnsi="Segoe UI" w:cs="Segoe UI"/>
                <w:b/>
                <w:bCs/>
                <w:sz w:val="16"/>
                <w:szCs w:val="16"/>
              </w:rPr>
            </w:pPr>
            <w:r>
              <w:rPr>
                <w:rFonts w:ascii="Segoe UI" w:hAnsi="Segoe UI" w:cs="Segoe UI"/>
                <w:b/>
                <w:bCs/>
                <w:sz w:val="16"/>
                <w:szCs w:val="16"/>
              </w:rPr>
              <w:t>$000</w:t>
            </w:r>
          </w:p>
        </w:tc>
        <w:tc>
          <w:tcPr>
            <w:tcW w:w="3716" w:type="dxa"/>
            <w:shd w:val="clear" w:color="auto" w:fill="D9D9D9" w:themeFill="background1" w:themeFillShade="D9"/>
          </w:tcPr>
          <w:p w14:paraId="05F824D4" w14:textId="77777777" w:rsidR="00D65845" w:rsidRDefault="00D65845">
            <w:pPr>
              <w:pStyle w:val="TableParagraph"/>
              <w:rPr>
                <w:rFonts w:ascii="Times New Roman"/>
                <w:b/>
                <w:bCs/>
                <w:sz w:val="18"/>
              </w:rPr>
            </w:pPr>
          </w:p>
        </w:tc>
        <w:tc>
          <w:tcPr>
            <w:tcW w:w="3197" w:type="dxa"/>
            <w:shd w:val="clear" w:color="auto" w:fill="D9D9D9" w:themeFill="background1" w:themeFillShade="D9"/>
            <w:hideMark/>
          </w:tcPr>
          <w:p w14:paraId="1BA97C76" w14:textId="77777777" w:rsidR="00D65845" w:rsidRDefault="00D65845">
            <w:pPr>
              <w:pStyle w:val="TableParagraph"/>
              <w:spacing w:before="50" w:after="50"/>
              <w:ind w:left="-42" w:right="152" w:firstLine="99"/>
              <w:jc w:val="right"/>
              <w:rPr>
                <w:rFonts w:ascii="Segoe UI" w:hAnsi="Segoe UI" w:cs="Segoe UI"/>
                <w:b/>
                <w:bCs/>
                <w:w w:val="110"/>
                <w:sz w:val="16"/>
                <w:szCs w:val="16"/>
              </w:rPr>
            </w:pPr>
            <w:r>
              <w:rPr>
                <w:rFonts w:ascii="Segoe UI" w:hAnsi="Segoe UI" w:cs="Segoe UI"/>
                <w:b/>
                <w:bCs/>
                <w:w w:val="110"/>
                <w:sz w:val="16"/>
                <w:szCs w:val="16"/>
              </w:rPr>
              <w:t xml:space="preserve">Actual </w:t>
            </w:r>
          </w:p>
          <w:p w14:paraId="50186B1F" w14:textId="4642B9FA" w:rsidR="00D65845" w:rsidRDefault="00D65845">
            <w:pPr>
              <w:pStyle w:val="TableParagraph"/>
              <w:spacing w:before="50" w:after="5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53D25D33" w14:textId="77777777" w:rsidR="00D65845" w:rsidRDefault="00D65845">
            <w:pPr>
              <w:pStyle w:val="TableParagraph"/>
              <w:spacing w:before="50" w:after="5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r>
      <w:tr w:rsidR="00D65845" w14:paraId="1F1913D0" w14:textId="77777777" w:rsidTr="00D65845">
        <w:trPr>
          <w:trHeight w:val="354"/>
        </w:trPr>
        <w:tc>
          <w:tcPr>
            <w:tcW w:w="1247" w:type="dxa"/>
          </w:tcPr>
          <w:p w14:paraId="0192AA9B" w14:textId="77777777" w:rsidR="00D65845" w:rsidRDefault="00D65845" w:rsidP="00D65845">
            <w:pPr>
              <w:pStyle w:val="TableParagraph"/>
              <w:spacing w:before="60" w:after="60"/>
              <w:ind w:left="-42" w:right="170" w:firstLine="99"/>
              <w:jc w:val="right"/>
              <w:rPr>
                <w:rFonts w:ascii="Segoe UI" w:hAnsi="Segoe UI" w:cs="Segoe UI"/>
                <w:b/>
                <w:bCs/>
                <w:sz w:val="16"/>
                <w:szCs w:val="16"/>
              </w:rPr>
            </w:pPr>
          </w:p>
        </w:tc>
        <w:tc>
          <w:tcPr>
            <w:tcW w:w="3716" w:type="dxa"/>
            <w:hideMark/>
          </w:tcPr>
          <w:p w14:paraId="72A79FAC" w14:textId="77777777" w:rsidR="00D65845" w:rsidRDefault="00D65845" w:rsidP="00D65845">
            <w:pPr>
              <w:pStyle w:val="TableParagraph"/>
              <w:spacing w:before="60" w:after="60"/>
              <w:ind w:left="66" w:hanging="5"/>
              <w:rPr>
                <w:rFonts w:ascii="Segoe UI" w:hAnsi="Segoe UI" w:cs="Segoe UI"/>
                <w:b/>
                <w:bCs/>
                <w:w w:val="105"/>
                <w:sz w:val="16"/>
                <w:szCs w:val="16"/>
              </w:rPr>
            </w:pPr>
            <w:r>
              <w:rPr>
                <w:rFonts w:ascii="Segoe UI" w:hAnsi="Segoe UI" w:cs="Segoe UI"/>
                <w:b/>
                <w:bCs/>
                <w:w w:val="105"/>
                <w:sz w:val="16"/>
                <w:szCs w:val="16"/>
              </w:rPr>
              <w:t>Problem Gambling</w:t>
            </w:r>
          </w:p>
        </w:tc>
        <w:tc>
          <w:tcPr>
            <w:tcW w:w="3197" w:type="dxa"/>
          </w:tcPr>
          <w:p w14:paraId="23A57F80" w14:textId="77777777" w:rsidR="00D65845" w:rsidRDefault="00D65845" w:rsidP="00D65845">
            <w:pPr>
              <w:pStyle w:val="TableParagraph"/>
              <w:spacing w:before="60" w:after="60"/>
              <w:ind w:left="-42" w:right="152" w:firstLine="99"/>
              <w:jc w:val="right"/>
              <w:rPr>
                <w:rFonts w:ascii="Segoe UI" w:hAnsi="Segoe UI" w:cs="Segoe UI"/>
                <w:b/>
                <w:bCs/>
                <w:w w:val="110"/>
                <w:sz w:val="16"/>
                <w:szCs w:val="16"/>
              </w:rPr>
            </w:pPr>
          </w:p>
        </w:tc>
      </w:tr>
      <w:tr w:rsidR="00D65845" w14:paraId="416887DC" w14:textId="77777777" w:rsidTr="00D65845">
        <w:trPr>
          <w:trHeight w:val="359"/>
        </w:trPr>
        <w:tc>
          <w:tcPr>
            <w:tcW w:w="1247" w:type="dxa"/>
          </w:tcPr>
          <w:p w14:paraId="2019E2E3" w14:textId="2EA66F08" w:rsidR="00D65845" w:rsidRPr="00D65845" w:rsidRDefault="00D65845" w:rsidP="00D65845">
            <w:pPr>
              <w:pStyle w:val="TableParagraph"/>
              <w:spacing w:before="60" w:after="60"/>
              <w:ind w:left="-42" w:right="152" w:firstLine="99"/>
              <w:jc w:val="right"/>
              <w:rPr>
                <w:rFonts w:ascii="Segoe UI" w:hAnsi="Segoe UI" w:cs="Segoe UI"/>
                <w:w w:val="110"/>
                <w:sz w:val="16"/>
                <w:szCs w:val="16"/>
              </w:rPr>
            </w:pPr>
            <w:r w:rsidRPr="00D65845">
              <w:rPr>
                <w:rFonts w:ascii="Segoe UI" w:hAnsi="Segoe UI" w:cs="Segoe UI"/>
                <w:w w:val="110"/>
                <w:sz w:val="16"/>
                <w:szCs w:val="16"/>
              </w:rPr>
              <w:t>(1,172)</w:t>
            </w:r>
          </w:p>
        </w:tc>
        <w:tc>
          <w:tcPr>
            <w:tcW w:w="3716" w:type="dxa"/>
            <w:hideMark/>
          </w:tcPr>
          <w:p w14:paraId="1C21ED84" w14:textId="77777777" w:rsidR="00D65845" w:rsidRDefault="00D65845" w:rsidP="00D65845">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 xml:space="preserve">Balance as </w:t>
            </w:r>
            <w:proofErr w:type="gramStart"/>
            <w:r>
              <w:rPr>
                <w:rFonts w:ascii="Segoe UI" w:hAnsi="Segoe UI" w:cs="Segoe UI"/>
                <w:w w:val="105"/>
                <w:sz w:val="16"/>
                <w:szCs w:val="16"/>
              </w:rPr>
              <w:t>at</w:t>
            </w:r>
            <w:proofErr w:type="gramEnd"/>
            <w:r>
              <w:rPr>
                <w:rFonts w:ascii="Segoe UI" w:hAnsi="Segoe UI" w:cs="Segoe UI"/>
                <w:w w:val="105"/>
                <w:sz w:val="16"/>
                <w:szCs w:val="16"/>
              </w:rPr>
              <w:t xml:space="preserve"> 1 July</w:t>
            </w:r>
          </w:p>
        </w:tc>
        <w:tc>
          <w:tcPr>
            <w:tcW w:w="3197" w:type="dxa"/>
          </w:tcPr>
          <w:p w14:paraId="5CA1ACA1" w14:textId="58A9ED2A" w:rsidR="00D65845" w:rsidRDefault="00D65845" w:rsidP="00D65845">
            <w:pPr>
              <w:pStyle w:val="TableParagraph"/>
              <w:spacing w:before="60" w:after="60"/>
              <w:ind w:left="-42" w:right="152" w:firstLine="99"/>
              <w:jc w:val="right"/>
              <w:rPr>
                <w:rFonts w:ascii="Segoe UI" w:hAnsi="Segoe UI" w:cs="Segoe UI"/>
                <w:w w:val="110"/>
                <w:sz w:val="16"/>
                <w:szCs w:val="16"/>
              </w:rPr>
            </w:pPr>
            <w:r w:rsidRPr="00D65845">
              <w:rPr>
                <w:rFonts w:ascii="Segoe UI" w:hAnsi="Segoe UI" w:cs="Segoe UI"/>
                <w:w w:val="110"/>
                <w:sz w:val="16"/>
                <w:szCs w:val="16"/>
              </w:rPr>
              <w:t>466</w:t>
            </w:r>
          </w:p>
        </w:tc>
      </w:tr>
      <w:tr w:rsidR="00D65845" w14:paraId="71BD919E" w14:textId="77777777" w:rsidTr="00D65845">
        <w:trPr>
          <w:trHeight w:val="359"/>
        </w:trPr>
        <w:tc>
          <w:tcPr>
            <w:tcW w:w="1247" w:type="dxa"/>
          </w:tcPr>
          <w:p w14:paraId="6230E7EC" w14:textId="41FE5315" w:rsidR="00D65845" w:rsidRPr="00D65845" w:rsidRDefault="00D65845" w:rsidP="00D65845">
            <w:pPr>
              <w:pStyle w:val="TableParagraph"/>
              <w:spacing w:before="60" w:after="60"/>
              <w:ind w:left="-42" w:right="152" w:firstLine="99"/>
              <w:jc w:val="right"/>
              <w:rPr>
                <w:rFonts w:ascii="Segoe UI" w:hAnsi="Segoe UI" w:cs="Segoe UI"/>
                <w:w w:val="110"/>
                <w:sz w:val="16"/>
                <w:szCs w:val="16"/>
              </w:rPr>
            </w:pPr>
            <w:r w:rsidRPr="00D65845">
              <w:rPr>
                <w:rFonts w:ascii="Segoe UI" w:hAnsi="Segoe UI" w:cs="Segoe UI"/>
                <w:w w:val="110"/>
                <w:sz w:val="16"/>
                <w:szCs w:val="16"/>
              </w:rPr>
              <w:t>22,327</w:t>
            </w:r>
          </w:p>
        </w:tc>
        <w:tc>
          <w:tcPr>
            <w:tcW w:w="3716" w:type="dxa"/>
            <w:hideMark/>
          </w:tcPr>
          <w:p w14:paraId="093E433F" w14:textId="77777777" w:rsidR="00D65845" w:rsidRDefault="00D65845" w:rsidP="00D65845">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Revenue</w:t>
            </w:r>
          </w:p>
        </w:tc>
        <w:tc>
          <w:tcPr>
            <w:tcW w:w="3197" w:type="dxa"/>
          </w:tcPr>
          <w:p w14:paraId="34A67AB0" w14:textId="09FC4B4A" w:rsidR="00D65845" w:rsidRDefault="00D65845" w:rsidP="00D65845">
            <w:pPr>
              <w:pStyle w:val="TableParagraph"/>
              <w:spacing w:before="60" w:after="60"/>
              <w:ind w:left="-42" w:right="152" w:firstLine="99"/>
              <w:jc w:val="right"/>
              <w:rPr>
                <w:rFonts w:ascii="Segoe UI" w:hAnsi="Segoe UI" w:cs="Segoe UI"/>
                <w:w w:val="110"/>
                <w:sz w:val="16"/>
                <w:szCs w:val="16"/>
              </w:rPr>
            </w:pPr>
            <w:r w:rsidRPr="00D65845">
              <w:rPr>
                <w:rFonts w:ascii="Segoe UI" w:hAnsi="Segoe UI" w:cs="Segoe UI"/>
                <w:w w:val="110"/>
                <w:sz w:val="16"/>
                <w:szCs w:val="16"/>
              </w:rPr>
              <w:t>22,797</w:t>
            </w:r>
          </w:p>
        </w:tc>
      </w:tr>
      <w:tr w:rsidR="00D65845" w14:paraId="48B21BF2" w14:textId="77777777" w:rsidTr="00D65845">
        <w:trPr>
          <w:trHeight w:val="348"/>
        </w:trPr>
        <w:tc>
          <w:tcPr>
            <w:tcW w:w="1247" w:type="dxa"/>
            <w:tcBorders>
              <w:top w:val="nil"/>
              <w:left w:val="nil"/>
              <w:bottom w:val="single" w:sz="4" w:space="0" w:color="BFBFBF" w:themeColor="background1" w:themeShade="BF"/>
              <w:right w:val="nil"/>
            </w:tcBorders>
          </w:tcPr>
          <w:p w14:paraId="108858E1" w14:textId="54C629EA" w:rsidR="00D65845" w:rsidRPr="00D65845" w:rsidRDefault="00D65845" w:rsidP="00D65845">
            <w:pPr>
              <w:pStyle w:val="TableParagraph"/>
              <w:spacing w:before="60" w:after="60"/>
              <w:ind w:left="-42" w:right="152" w:firstLine="99"/>
              <w:jc w:val="right"/>
              <w:rPr>
                <w:rFonts w:ascii="Segoe UI" w:hAnsi="Segoe UI" w:cs="Segoe UI"/>
                <w:w w:val="110"/>
                <w:sz w:val="16"/>
                <w:szCs w:val="16"/>
              </w:rPr>
            </w:pPr>
            <w:r w:rsidRPr="00D65845">
              <w:rPr>
                <w:rFonts w:ascii="Segoe UI" w:hAnsi="Segoe UI" w:cs="Segoe UI"/>
                <w:w w:val="110"/>
                <w:sz w:val="16"/>
                <w:szCs w:val="16"/>
              </w:rPr>
              <w:t>(20,689)</w:t>
            </w:r>
          </w:p>
        </w:tc>
        <w:tc>
          <w:tcPr>
            <w:tcW w:w="3716" w:type="dxa"/>
            <w:tcBorders>
              <w:top w:val="nil"/>
              <w:left w:val="nil"/>
              <w:bottom w:val="single" w:sz="4" w:space="0" w:color="BFBFBF" w:themeColor="background1" w:themeShade="BF"/>
              <w:right w:val="nil"/>
            </w:tcBorders>
            <w:hideMark/>
          </w:tcPr>
          <w:p w14:paraId="59C67A97" w14:textId="77777777" w:rsidR="00D65845" w:rsidRDefault="00D65845" w:rsidP="00D65845">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Expenses</w:t>
            </w:r>
          </w:p>
        </w:tc>
        <w:tc>
          <w:tcPr>
            <w:tcW w:w="3197" w:type="dxa"/>
            <w:tcBorders>
              <w:top w:val="nil"/>
              <w:left w:val="nil"/>
              <w:bottom w:val="single" w:sz="4" w:space="0" w:color="BFBFBF" w:themeColor="background1" w:themeShade="BF"/>
              <w:right w:val="nil"/>
            </w:tcBorders>
          </w:tcPr>
          <w:p w14:paraId="2E59DE4E" w14:textId="2EE0FFFE" w:rsidR="00D65845" w:rsidRDefault="00D65845" w:rsidP="00D65845">
            <w:pPr>
              <w:pStyle w:val="TableParagraph"/>
              <w:spacing w:before="60" w:after="60"/>
              <w:ind w:left="-42" w:right="152" w:firstLine="99"/>
              <w:jc w:val="right"/>
              <w:rPr>
                <w:rFonts w:ascii="Segoe UI" w:hAnsi="Segoe UI" w:cs="Segoe UI"/>
                <w:w w:val="110"/>
                <w:sz w:val="16"/>
                <w:szCs w:val="16"/>
              </w:rPr>
            </w:pPr>
            <w:r w:rsidRPr="00D65845">
              <w:rPr>
                <w:rFonts w:ascii="Segoe UI" w:hAnsi="Segoe UI" w:cs="Segoe UI"/>
                <w:w w:val="110"/>
                <w:sz w:val="16"/>
                <w:szCs w:val="16"/>
              </w:rPr>
              <w:t>(29,422)</w:t>
            </w:r>
          </w:p>
        </w:tc>
      </w:tr>
      <w:tr w:rsidR="00D65845" w:rsidRPr="00D65845" w14:paraId="01AF78C2" w14:textId="77777777" w:rsidTr="00D65845">
        <w:trPr>
          <w:trHeight w:val="344"/>
        </w:trPr>
        <w:tc>
          <w:tcPr>
            <w:tcW w:w="1247" w:type="dxa"/>
            <w:tcBorders>
              <w:top w:val="single" w:sz="4" w:space="0" w:color="BFBFBF" w:themeColor="background1" w:themeShade="BF"/>
              <w:left w:val="nil"/>
              <w:bottom w:val="single" w:sz="4" w:space="0" w:color="BFBFBF" w:themeColor="background1" w:themeShade="BF"/>
              <w:right w:val="nil"/>
            </w:tcBorders>
          </w:tcPr>
          <w:p w14:paraId="73E6E2EF" w14:textId="5142D551" w:rsidR="00D65845" w:rsidRPr="00D65845" w:rsidRDefault="00D65845" w:rsidP="00D65845">
            <w:pPr>
              <w:pStyle w:val="TableParagraph"/>
              <w:spacing w:before="60" w:after="60"/>
              <w:ind w:left="-42" w:right="152" w:firstLine="99"/>
              <w:jc w:val="right"/>
              <w:rPr>
                <w:rFonts w:ascii="Segoe UI" w:hAnsi="Segoe UI" w:cs="Segoe UI"/>
                <w:b/>
                <w:bCs/>
                <w:w w:val="110"/>
                <w:sz w:val="16"/>
                <w:szCs w:val="16"/>
              </w:rPr>
            </w:pPr>
            <w:r w:rsidRPr="00D65845">
              <w:rPr>
                <w:rFonts w:ascii="Segoe UI" w:hAnsi="Segoe UI" w:cs="Segoe UI"/>
                <w:b/>
                <w:bCs/>
                <w:w w:val="110"/>
                <w:sz w:val="16"/>
                <w:szCs w:val="16"/>
              </w:rPr>
              <w:t>466</w:t>
            </w:r>
          </w:p>
        </w:tc>
        <w:tc>
          <w:tcPr>
            <w:tcW w:w="3716" w:type="dxa"/>
            <w:tcBorders>
              <w:top w:val="single" w:sz="4" w:space="0" w:color="BFBFBF" w:themeColor="background1" w:themeShade="BF"/>
              <w:left w:val="nil"/>
              <w:bottom w:val="single" w:sz="4" w:space="0" w:color="BFBFBF" w:themeColor="background1" w:themeShade="BF"/>
              <w:right w:val="nil"/>
            </w:tcBorders>
            <w:hideMark/>
          </w:tcPr>
          <w:p w14:paraId="7B9CEAB9" w14:textId="77777777" w:rsidR="00D65845" w:rsidRPr="00D65845" w:rsidRDefault="00D65845" w:rsidP="00D65845">
            <w:pPr>
              <w:pStyle w:val="TableParagraph"/>
              <w:spacing w:before="60" w:after="60"/>
              <w:ind w:left="66" w:hanging="5"/>
              <w:rPr>
                <w:rFonts w:ascii="Segoe UI" w:hAnsi="Segoe UI" w:cs="Segoe UI"/>
                <w:b/>
                <w:bCs/>
                <w:w w:val="105"/>
                <w:sz w:val="16"/>
                <w:szCs w:val="16"/>
              </w:rPr>
            </w:pPr>
            <w:r w:rsidRPr="00D65845">
              <w:rPr>
                <w:rFonts w:ascii="Segoe UI" w:hAnsi="Segoe UI" w:cs="Segoe UI"/>
                <w:b/>
                <w:bCs/>
                <w:w w:val="105"/>
                <w:sz w:val="16"/>
                <w:szCs w:val="16"/>
              </w:rPr>
              <w:t xml:space="preserve">Balance as </w:t>
            </w:r>
            <w:proofErr w:type="gramStart"/>
            <w:r w:rsidRPr="00D65845">
              <w:rPr>
                <w:rFonts w:ascii="Segoe UI" w:hAnsi="Segoe UI" w:cs="Segoe UI"/>
                <w:b/>
                <w:bCs/>
                <w:w w:val="105"/>
                <w:sz w:val="16"/>
                <w:szCs w:val="16"/>
              </w:rPr>
              <w:t>at</w:t>
            </w:r>
            <w:proofErr w:type="gramEnd"/>
            <w:r w:rsidRPr="00D65845">
              <w:rPr>
                <w:rFonts w:ascii="Segoe UI" w:hAnsi="Segoe UI" w:cs="Segoe UI"/>
                <w:b/>
                <w:bCs/>
                <w:w w:val="105"/>
                <w:sz w:val="16"/>
                <w:szCs w:val="16"/>
              </w:rPr>
              <w:t xml:space="preserve"> 30 June*</w:t>
            </w:r>
          </w:p>
        </w:tc>
        <w:tc>
          <w:tcPr>
            <w:tcW w:w="3197" w:type="dxa"/>
            <w:tcBorders>
              <w:top w:val="single" w:sz="4" w:space="0" w:color="BFBFBF" w:themeColor="background1" w:themeShade="BF"/>
              <w:left w:val="nil"/>
              <w:bottom w:val="single" w:sz="4" w:space="0" w:color="BFBFBF" w:themeColor="background1" w:themeShade="BF"/>
              <w:right w:val="nil"/>
            </w:tcBorders>
          </w:tcPr>
          <w:p w14:paraId="4DE5BDCE" w14:textId="08C99043" w:rsidR="00D65845" w:rsidRPr="00D65845" w:rsidRDefault="00D65845" w:rsidP="00D65845">
            <w:pPr>
              <w:pStyle w:val="TableParagraph"/>
              <w:spacing w:before="60" w:after="60"/>
              <w:ind w:left="-42" w:right="152" w:firstLine="99"/>
              <w:jc w:val="right"/>
              <w:rPr>
                <w:rFonts w:ascii="Segoe UI" w:hAnsi="Segoe UI" w:cs="Segoe UI"/>
                <w:b/>
                <w:bCs/>
                <w:w w:val="110"/>
                <w:sz w:val="16"/>
                <w:szCs w:val="16"/>
              </w:rPr>
            </w:pPr>
            <w:r w:rsidRPr="00D65845">
              <w:rPr>
                <w:rFonts w:ascii="Segoe UI" w:hAnsi="Segoe UI" w:cs="Segoe UI"/>
                <w:b/>
                <w:bCs/>
                <w:w w:val="110"/>
                <w:sz w:val="16"/>
                <w:szCs w:val="16"/>
              </w:rPr>
              <w:t>(6,159)</w:t>
            </w:r>
          </w:p>
        </w:tc>
      </w:tr>
    </w:tbl>
    <w:p w14:paraId="5BCA9E74" w14:textId="1629A99D" w:rsidR="004312D0" w:rsidRDefault="004312D0" w:rsidP="004312D0">
      <w:pPr>
        <w:pStyle w:val="Note"/>
        <w:ind w:left="142" w:hanging="142"/>
      </w:pPr>
      <w:r w:rsidRPr="004312D0">
        <w:t>* The balance represents the accumulated balance of surpluses and deficits incurred in providing problem gambling services; they are not formal assets or liabilities of the Crown.</w:t>
      </w:r>
    </w:p>
    <w:p w14:paraId="05322B0C" w14:textId="47BA93F3" w:rsidR="004312D0" w:rsidRDefault="004312D0" w:rsidP="004312D0">
      <w:pPr>
        <w:pStyle w:val="Note"/>
      </w:pPr>
      <w:r>
        <w:t>The accompanying notes form part of these financial statements.</w:t>
      </w:r>
    </w:p>
    <w:p w14:paraId="21FEC92B" w14:textId="77777777" w:rsidR="004312D0" w:rsidRDefault="004312D0" w:rsidP="004312D0">
      <w:pPr>
        <w:pStyle w:val="Note"/>
      </w:pPr>
      <w:r>
        <w:t>For a full understanding of the Crown’s financial position and the results of its operations for the year, refer to the consolidated Financial Statement of the Government for the year ended 30 June 2024.</w:t>
      </w:r>
    </w:p>
    <w:p w14:paraId="101B3766" w14:textId="77777777" w:rsidR="004312D0" w:rsidRDefault="004312D0" w:rsidP="004312D0"/>
    <w:p w14:paraId="5093E6D5" w14:textId="48C4E3EC" w:rsidR="004312D0" w:rsidRPr="004312D0" w:rsidRDefault="004312D0" w:rsidP="004312D0">
      <w:pPr>
        <w:sectPr w:rsidR="004312D0" w:rsidRPr="004312D0" w:rsidSect="000A3324">
          <w:pgSz w:w="11907" w:h="16840" w:code="9"/>
          <w:pgMar w:top="1418" w:right="1701" w:bottom="1134" w:left="1843" w:header="284" w:footer="425" w:gutter="284"/>
          <w:cols w:space="720"/>
        </w:sectPr>
      </w:pPr>
      <w:r>
        <w:t xml:space="preserve">Revenue is actual levies collected by Inland Revenue based on the </w:t>
      </w:r>
      <w:r w:rsidRPr="004312D0">
        <w:rPr>
          <w:i/>
          <w:iCs/>
        </w:rPr>
        <w:t>Strategy to Prevent and Minimise Gambling Harm: Three-year service plan 2022/23–2024/25</w:t>
      </w:r>
      <w:r>
        <w:t>.</w:t>
      </w:r>
      <w:r>
        <w:rPr>
          <w:rStyle w:val="FootnoteReference"/>
        </w:rPr>
        <w:footnoteReference w:id="47"/>
      </w:r>
    </w:p>
    <w:p w14:paraId="03665D72" w14:textId="77777777" w:rsidR="00873F54" w:rsidRDefault="00873F54" w:rsidP="00873F54">
      <w:pPr>
        <w:pStyle w:val="Heading2"/>
        <w:spacing w:before="0"/>
      </w:pPr>
      <w:bookmarkStart w:id="49" w:name="_Toc180077045"/>
      <w:r>
        <w:lastRenderedPageBreak/>
        <w:t>Notes to the non-departmental statements and schedules</w:t>
      </w:r>
      <w:bookmarkEnd w:id="49"/>
    </w:p>
    <w:p w14:paraId="091B884D" w14:textId="77777777" w:rsidR="00873F54" w:rsidRDefault="00873F54" w:rsidP="00873F54">
      <w:pPr>
        <w:pStyle w:val="Heading4"/>
      </w:pPr>
      <w:r>
        <w:t>Notes index</w:t>
      </w:r>
    </w:p>
    <w:p w14:paraId="0048BA0F" w14:textId="4E838DD0" w:rsidR="00873F54" w:rsidRPr="00873F54" w:rsidRDefault="00873F54" w:rsidP="00CD066D">
      <w:pPr>
        <w:pStyle w:val="Number"/>
        <w:numPr>
          <w:ilvl w:val="0"/>
          <w:numId w:val="38"/>
        </w:numPr>
        <w:ind w:left="426" w:hanging="426"/>
      </w:pPr>
      <w:r w:rsidRPr="00873F54">
        <w:t>Statement of accounting policies</w:t>
      </w:r>
    </w:p>
    <w:p w14:paraId="01167AE4" w14:textId="3F65078D" w:rsidR="00873F54" w:rsidRPr="00873F54" w:rsidRDefault="00873F54" w:rsidP="007123AC">
      <w:pPr>
        <w:pStyle w:val="Number"/>
        <w:ind w:left="426" w:hanging="426"/>
      </w:pPr>
      <w:r w:rsidRPr="00873F54">
        <w:t>Explanation of major variances against budget</w:t>
      </w:r>
    </w:p>
    <w:p w14:paraId="0AC46F54" w14:textId="77777777" w:rsidR="00873F54" w:rsidRDefault="00873F54" w:rsidP="007123AC">
      <w:pPr>
        <w:pStyle w:val="Number"/>
        <w:ind w:left="426" w:hanging="426"/>
      </w:pPr>
      <w:r w:rsidRPr="00873F54">
        <w:t>COVID-19 response expenditure for the year ended 30 June 2024</w:t>
      </w:r>
    </w:p>
    <w:p w14:paraId="4363DBCD" w14:textId="5AE40C35" w:rsidR="00873F54" w:rsidRDefault="00873F54" w:rsidP="007123AC">
      <w:pPr>
        <w:pStyle w:val="Heading3"/>
        <w:numPr>
          <w:ilvl w:val="6"/>
          <w:numId w:val="30"/>
        </w:numPr>
        <w:ind w:left="567" w:hanging="567"/>
      </w:pPr>
      <w:r>
        <w:t>Statement of accounting policies</w:t>
      </w:r>
    </w:p>
    <w:p w14:paraId="68F41E63" w14:textId="77777777" w:rsidR="00873F54" w:rsidRDefault="00873F54" w:rsidP="00873F54">
      <w:pPr>
        <w:pStyle w:val="Heading4"/>
        <w:ind w:right="-143"/>
      </w:pPr>
      <w:r>
        <w:t>Reporting entity</w:t>
      </w:r>
    </w:p>
    <w:p w14:paraId="783EB0C6" w14:textId="3569A379" w:rsidR="00873F54" w:rsidRDefault="00873F54" w:rsidP="00873F54">
      <w:pPr>
        <w:ind w:right="-143"/>
      </w:pPr>
      <w:r>
        <w:t>These non-departmental statements and schedules present</w:t>
      </w:r>
      <w:r w:rsidR="00CD066D">
        <w:t xml:space="preserve"> </w:t>
      </w:r>
      <w:r>
        <w:t>financial information on public funds managed by the Ministry on behalf of the Crown. The financial information is consolidated into the Financial Statements of the Government. Therefore, readers of these schedules should also refer to the Financial Statements of the Government for the year ended 30 June 2024.</w:t>
      </w:r>
    </w:p>
    <w:p w14:paraId="1810A2F4" w14:textId="77777777" w:rsidR="00873F54" w:rsidRDefault="00873F54" w:rsidP="00873F54">
      <w:pPr>
        <w:pStyle w:val="Heading4"/>
        <w:ind w:right="-143"/>
      </w:pPr>
      <w:r>
        <w:t>Basis of preparation</w:t>
      </w:r>
      <w:r>
        <w:tab/>
      </w:r>
    </w:p>
    <w:p w14:paraId="0F73A2FB" w14:textId="75ABAD1D" w:rsidR="00873F54" w:rsidRDefault="00873F54" w:rsidP="00873F54">
      <w:pPr>
        <w:ind w:right="-143"/>
      </w:pPr>
      <w:r>
        <w:t>The non-departmental statements and schedules have been prepared in accordance with the accounting policies of the Financial Statements of the Government, Treasury instructions and Treasury circulars.</w:t>
      </w:r>
    </w:p>
    <w:p w14:paraId="561D34A9" w14:textId="77777777" w:rsidR="00873F54" w:rsidRDefault="00873F54" w:rsidP="00873F54">
      <w:pPr>
        <w:ind w:right="-143"/>
      </w:pPr>
    </w:p>
    <w:p w14:paraId="1A3C04C0" w14:textId="77777777" w:rsidR="00873F54" w:rsidRDefault="00873F54" w:rsidP="00873F54">
      <w:pPr>
        <w:ind w:right="-143"/>
      </w:pPr>
      <w:r>
        <w:t>Measurement and recognition rules applied in the preparation of the non-departmental statements and schedules are consistent with generally accepted accounting practice (Public Benefit Entity Accounting Standards) as appropriate for PBEs.</w:t>
      </w:r>
    </w:p>
    <w:p w14:paraId="6A5A5E85" w14:textId="77777777" w:rsidR="00873F54" w:rsidRDefault="00873F54" w:rsidP="00873F54">
      <w:pPr>
        <w:pStyle w:val="Heading4"/>
        <w:ind w:right="-143"/>
      </w:pPr>
      <w:r w:rsidRPr="00873F54">
        <w:t>Presentation currency and rounding</w:t>
      </w:r>
    </w:p>
    <w:p w14:paraId="5778A6FA" w14:textId="77777777" w:rsidR="00873F54" w:rsidRDefault="00873F54" w:rsidP="00873F54">
      <w:pPr>
        <w:ind w:right="-143"/>
      </w:pPr>
      <w:r w:rsidRPr="00873F54">
        <w:t>The financial statements are presented in New Zealand dollars and all values are rounded to the nearest thousand dollars ($000).</w:t>
      </w:r>
    </w:p>
    <w:p w14:paraId="118C68ED" w14:textId="13287C6D" w:rsidR="00873F54" w:rsidRDefault="00873F54" w:rsidP="00873F54">
      <w:pPr>
        <w:pStyle w:val="Heading4"/>
        <w:ind w:right="-143"/>
      </w:pPr>
      <w:r w:rsidRPr="00873F54">
        <w:t xml:space="preserve">New or amended standards </w:t>
      </w:r>
      <w:proofErr w:type="gramStart"/>
      <w:r w:rsidRPr="00873F54">
        <w:t>adopted</w:t>
      </w:r>
      <w:proofErr w:type="gramEnd"/>
    </w:p>
    <w:p w14:paraId="2740BB1A" w14:textId="77777777" w:rsidR="00873F54" w:rsidRDefault="00873F54" w:rsidP="00873F54">
      <w:pPr>
        <w:ind w:right="-143"/>
      </w:pPr>
      <w:r>
        <w:t>Standards and amendments that have been issued and have been early adopted by the Ministry are as follows.</w:t>
      </w:r>
    </w:p>
    <w:p w14:paraId="7956AE22" w14:textId="77777777" w:rsidR="00873F54" w:rsidRDefault="00873F54" w:rsidP="00873F54">
      <w:pPr>
        <w:pStyle w:val="Heading5"/>
        <w:ind w:right="-143"/>
      </w:pPr>
      <w:r>
        <w:t>Disclosure of Fees for Audit Firms’ Services (Amendments to PBE IPSAS 1)</w:t>
      </w:r>
    </w:p>
    <w:p w14:paraId="32797569" w14:textId="684A3CE6" w:rsidR="00873F54" w:rsidRDefault="00873F54" w:rsidP="00873F54">
      <w:pPr>
        <w:ind w:right="-143"/>
      </w:pPr>
      <w:r>
        <w:t>Amendments to PBE IPSAS 1 Presentation of Financial Reports change the required disclosures for fees relating to services provided by the audit or review provider, including a requirement to disaggregate the fees into specified categories. The amendments to PBE IPSAS 1 aim to address concerns about the quality and consistency of disclosures an entity provides about fees paid to its audit or review firm for different types of services. The enhanced disclosures are expected to improve the transparency and consistency of disclosures about fees paid to an entity’s audit or review firm. This is effective for the year ended 30 June 2025.</w:t>
      </w:r>
    </w:p>
    <w:p w14:paraId="158E6EAE" w14:textId="77777777" w:rsidR="00873F54" w:rsidRDefault="00873F54" w:rsidP="00873F54">
      <w:pPr>
        <w:ind w:right="-143"/>
      </w:pPr>
      <w:r>
        <w:lastRenderedPageBreak/>
        <w:t>The Ministry is already in compliance with this standard.</w:t>
      </w:r>
    </w:p>
    <w:p w14:paraId="4E57A903" w14:textId="77777777" w:rsidR="00873F54" w:rsidRDefault="00873F54" w:rsidP="00873F54">
      <w:pPr>
        <w:pStyle w:val="Heading5"/>
        <w:ind w:right="-143"/>
      </w:pPr>
      <w:r>
        <w:t>PBE IFRS 17 Insurance Contracts</w:t>
      </w:r>
    </w:p>
    <w:p w14:paraId="13FBB6E1" w14:textId="2D894387" w:rsidR="00873F54" w:rsidRDefault="00873F54" w:rsidP="00873F54">
      <w:pPr>
        <w:ind w:right="-143"/>
      </w:pPr>
      <w:r>
        <w:t>This new standard sets out accounting requirements for insurers and other entities that issue insurance contracts and applies to financial reports covering periods beginning on or after 1 January 2026.</w:t>
      </w:r>
    </w:p>
    <w:p w14:paraId="05F052A3" w14:textId="77777777" w:rsidR="00873F54" w:rsidRDefault="00873F54" w:rsidP="00873F54">
      <w:pPr>
        <w:ind w:right="-143"/>
      </w:pPr>
    </w:p>
    <w:p w14:paraId="632C5542" w14:textId="6F9EDA5B" w:rsidR="00873F54" w:rsidRDefault="00873F54" w:rsidP="00873F54">
      <w:pPr>
        <w:ind w:right="-143"/>
      </w:pPr>
      <w:r>
        <w:t>The Ministry has assessed this standard and there are not anticipated to be any impacts on the financial statements as the Ministry does not currently issue insurance contracts.</w:t>
      </w:r>
    </w:p>
    <w:p w14:paraId="34B66C9E" w14:textId="77777777" w:rsidR="00873F54" w:rsidRDefault="00873F54" w:rsidP="00873F54">
      <w:pPr>
        <w:pStyle w:val="Heading4"/>
        <w:ind w:right="-143"/>
      </w:pPr>
      <w:r w:rsidRPr="00873F54">
        <w:t>Other changes in accounting policies</w:t>
      </w:r>
    </w:p>
    <w:p w14:paraId="7BA8C625" w14:textId="77777777" w:rsidR="00873F54" w:rsidRDefault="00873F54" w:rsidP="00873F54">
      <w:pPr>
        <w:ind w:right="-143"/>
      </w:pPr>
      <w:r w:rsidRPr="00873F54">
        <w:t>There have been no other changes in the Ministry’s accounting policies since the date of the last audited financial statements.</w:t>
      </w:r>
    </w:p>
    <w:p w14:paraId="4B939707" w14:textId="77777777" w:rsidR="00873F54" w:rsidRDefault="00873F54" w:rsidP="00873F54">
      <w:pPr>
        <w:pStyle w:val="Heading4"/>
        <w:ind w:right="-143"/>
      </w:pPr>
      <w:r w:rsidRPr="00873F54">
        <w:t>Summary of significant accounting policies</w:t>
      </w:r>
    </w:p>
    <w:p w14:paraId="32C5D778" w14:textId="77777777" w:rsidR="00873F54" w:rsidRDefault="00873F54" w:rsidP="00873F54">
      <w:pPr>
        <w:ind w:right="-143"/>
      </w:pPr>
      <w:r w:rsidRPr="00873F54">
        <w:t>Significant accounting policies are included in the notes to which they relate. Significant accounting policies that do not relate to a specific note are outlined below.</w:t>
      </w:r>
    </w:p>
    <w:p w14:paraId="7E0B7F05" w14:textId="77777777" w:rsidR="00873F54" w:rsidRDefault="00873F54" w:rsidP="00873F54">
      <w:pPr>
        <w:pStyle w:val="Heading4"/>
        <w:ind w:right="-143"/>
      </w:pPr>
      <w:r w:rsidRPr="00873F54">
        <w:t>Revenue and receipts</w:t>
      </w:r>
    </w:p>
    <w:p w14:paraId="7F22DF9F" w14:textId="77777777" w:rsidR="00873F54" w:rsidRDefault="00873F54" w:rsidP="00873F54">
      <w:pPr>
        <w:ind w:right="-143"/>
      </w:pPr>
      <w:r>
        <w:t>Revenue from ACC recoveries and capital charges from Health New Zealand and the New Zealand Blood and Organ Service are recognised when earned and are reported in the financial period to which they relate.</w:t>
      </w:r>
    </w:p>
    <w:p w14:paraId="29DE4AC2" w14:textId="77777777" w:rsidR="00873F54" w:rsidRDefault="00873F54" w:rsidP="00873F54">
      <w:pPr>
        <w:pStyle w:val="Heading4"/>
        <w:ind w:right="-143"/>
      </w:pPr>
      <w:r w:rsidRPr="00873F54">
        <w:t xml:space="preserve">Cash and cash </w:t>
      </w:r>
      <w:proofErr w:type="gramStart"/>
      <w:r w:rsidRPr="00873F54">
        <w:t>equivalents</w:t>
      </w:r>
      <w:proofErr w:type="gramEnd"/>
    </w:p>
    <w:p w14:paraId="3D1A274A" w14:textId="77777777" w:rsidR="00873F54" w:rsidRDefault="00873F54" w:rsidP="00873F54">
      <w:pPr>
        <w:ind w:right="-143"/>
      </w:pPr>
      <w:r w:rsidRPr="00873F54">
        <w:t>Cash and cash equivalents are subject to the expected loss requirements of PBE IFRS 9. However, no loss allowance has been recognised because the estimated loss allowance for credit losses is considered to be nil or trivial.</w:t>
      </w:r>
    </w:p>
    <w:p w14:paraId="062FDD0B" w14:textId="77777777" w:rsidR="00873F54" w:rsidRDefault="00873F54" w:rsidP="00873F54">
      <w:pPr>
        <w:pStyle w:val="Heading4"/>
        <w:ind w:right="-143"/>
      </w:pPr>
      <w:r w:rsidRPr="00873F54">
        <w:t>Debtors and receivables</w:t>
      </w:r>
    </w:p>
    <w:p w14:paraId="49852291" w14:textId="77777777" w:rsidR="00873F54" w:rsidRDefault="00873F54" w:rsidP="00873F54">
      <w:pPr>
        <w:ind w:right="-143"/>
      </w:pPr>
      <w:r>
        <w:t>Receivables from ACC recoveries are measured at amortised cost and recorded at the value of the contract and agreed with ACC, less an allowance for credit losses according to the requirements of PBE IFRS 9. The estimated loss allowance is considered to be nil. Receivables from capital charges are recorded at estimated realisable value.</w:t>
      </w:r>
    </w:p>
    <w:p w14:paraId="7352487D" w14:textId="77777777" w:rsidR="00873F54" w:rsidRDefault="00873F54" w:rsidP="00873F54">
      <w:pPr>
        <w:pStyle w:val="Heading4"/>
        <w:ind w:right="-143"/>
      </w:pPr>
      <w:r w:rsidRPr="00873F54">
        <w:t>Payables</w:t>
      </w:r>
    </w:p>
    <w:p w14:paraId="5D95AFFB" w14:textId="77777777" w:rsidR="00873F54" w:rsidRDefault="00873F54" w:rsidP="00873F54">
      <w:pPr>
        <w:ind w:right="-143"/>
      </w:pPr>
      <w:r w:rsidRPr="00873F54">
        <w:t>Payables are measured at amortised cost and are recorded at the estimated obligation to pay according to the requirements of PBE IFRS 9. Short-term payables are due within 12 months and are recognised at their nominal value unless the effect of discounting is material. Payables due beyond 12 months are subsequently measured at amortised cost using the effective interest method where applicable.</w:t>
      </w:r>
    </w:p>
    <w:p w14:paraId="266B4EF3" w14:textId="77777777" w:rsidR="00873F54" w:rsidRDefault="00873F54" w:rsidP="00873F54">
      <w:pPr>
        <w:pStyle w:val="Heading4"/>
      </w:pPr>
      <w:r w:rsidRPr="00873F54">
        <w:t xml:space="preserve">Accrued </w:t>
      </w:r>
      <w:proofErr w:type="gramStart"/>
      <w:r w:rsidRPr="00873F54">
        <w:t>expenses</w:t>
      </w:r>
      <w:proofErr w:type="gramEnd"/>
    </w:p>
    <w:p w14:paraId="6A7BD9CD" w14:textId="77777777" w:rsidR="00873F54" w:rsidRDefault="00873F54" w:rsidP="00873F54">
      <w:r>
        <w:t xml:space="preserve">Accrued expenses are recorded at either the value of funding entitlements owing under Crown funding </w:t>
      </w:r>
      <w:proofErr w:type="gramStart"/>
      <w:r>
        <w:t>agreements</w:t>
      </w:r>
      <w:proofErr w:type="gramEnd"/>
      <w:r>
        <w:t xml:space="preserve"> or the estimated value of contracts already started but not yet completed.</w:t>
      </w:r>
    </w:p>
    <w:p w14:paraId="33567EED" w14:textId="77777777" w:rsidR="00873F54" w:rsidRDefault="00873F54" w:rsidP="00873F54">
      <w:pPr>
        <w:pStyle w:val="Heading4"/>
      </w:pPr>
      <w:r w:rsidRPr="00873F54">
        <w:lastRenderedPageBreak/>
        <w:t>Goods and services tax</w:t>
      </w:r>
    </w:p>
    <w:p w14:paraId="41EBF201" w14:textId="5E8AA0A1" w:rsidR="00873F54" w:rsidRDefault="00873F54" w:rsidP="00873F54">
      <w:r>
        <w:t>All items in the financial statements, including appropriation statements, are stated exclusive of GST, except for receivables and payables, which are stated on a GST inclusive basis. In accordance with Treasury instructions, GST is returned on revenue received on behalf of the Crown where applicable.</w:t>
      </w:r>
    </w:p>
    <w:p w14:paraId="07413575" w14:textId="77777777" w:rsidR="00873F54" w:rsidRDefault="00873F54" w:rsidP="00873F54"/>
    <w:p w14:paraId="509FF93F" w14:textId="406DAADC" w:rsidR="00873F54" w:rsidRDefault="00873F54" w:rsidP="00873F54">
      <w:r>
        <w:t>Input tax deductions are not claimed on non-departmental expenditure. Instead, the amount of GST applicable to non-departmental expenditure is recognised as a separate expense and eliminated against GST revenue on consolidation of the Financial Statements of the Government.</w:t>
      </w:r>
    </w:p>
    <w:p w14:paraId="0BE6A07B" w14:textId="77777777" w:rsidR="00873F54" w:rsidRDefault="00873F54" w:rsidP="00873F54">
      <w:pPr>
        <w:pStyle w:val="Heading4"/>
      </w:pPr>
      <w:r w:rsidRPr="00873F54">
        <w:t>Commitments</w:t>
      </w:r>
    </w:p>
    <w:p w14:paraId="360BE322" w14:textId="77777777" w:rsidR="00873F54" w:rsidRDefault="00873F54" w:rsidP="00873F54">
      <w:r>
        <w:t>Future expenses and liabilities to be incurred on contracts that have been entered into as at the balance date are disclosed as commitments to the extent that there are equally unperformed obligations.</w:t>
      </w:r>
    </w:p>
    <w:p w14:paraId="7FC80A5C" w14:textId="77777777" w:rsidR="00873F54" w:rsidRDefault="00873F54" w:rsidP="00873F54">
      <w:pPr>
        <w:pStyle w:val="Heading4"/>
      </w:pPr>
      <w:r w:rsidRPr="00873F54">
        <w:t>Budget figures</w:t>
      </w:r>
    </w:p>
    <w:p w14:paraId="31BCD3B3" w14:textId="77777777" w:rsidR="00873F54" w:rsidRDefault="00873F54" w:rsidP="00873F54">
      <w:r>
        <w:t>The budget figures are consistent with the financial information in the 2023/24 Main Estimates for Vote Health. In addition, these financial statements also present the updated budget information reflecting changes made during the year and reported in the 2023/24 Vote Health Supplementary Estimates (revised budget).</w:t>
      </w:r>
    </w:p>
    <w:p w14:paraId="3555035C" w14:textId="77777777" w:rsidR="00873F54" w:rsidRDefault="00873F54" w:rsidP="00873F54">
      <w:pPr>
        <w:pStyle w:val="Heading4"/>
      </w:pPr>
      <w:r w:rsidRPr="00873F54">
        <w:t>Cost accounting policies</w:t>
      </w:r>
    </w:p>
    <w:p w14:paraId="4CD619E2" w14:textId="16F2506C" w:rsidR="00873F54" w:rsidRDefault="00873F54" w:rsidP="00873F54">
      <w:r>
        <w:t>The Ministry has determined the cost of outputs using the cost allocation system outlined below.</w:t>
      </w:r>
    </w:p>
    <w:p w14:paraId="6903F5DB" w14:textId="77777777" w:rsidR="00873F54" w:rsidRDefault="00873F54" w:rsidP="00873F54"/>
    <w:p w14:paraId="4CABDF39" w14:textId="57FBBC5B" w:rsidR="00873F54" w:rsidRDefault="00873F54" w:rsidP="00873F54">
      <w:r>
        <w:t>Direct costs are those costs directly attributed to an output. Indirect costs are those costs that cannot be attributed to a specific output in an economically feasible manner.</w:t>
      </w:r>
    </w:p>
    <w:p w14:paraId="6F75DB2D" w14:textId="77777777" w:rsidR="00873F54" w:rsidRDefault="00873F54" w:rsidP="00873F54"/>
    <w:p w14:paraId="4B5804EE" w14:textId="77777777" w:rsidR="00873F54" w:rsidRDefault="00873F54" w:rsidP="00873F54">
      <w:r>
        <w:t>Direct costs are charged directly to outputs. Indirect costs are charged to outputs based on cost drivers and related activity or usage information. Depreciation and capital charge are on the basis of asset utilisation. Personnel costs are charged on the basis of actual time incurred. Property and other premises costs, such as maintenance, are charged on the basis of floor area occupied for the production of each output. Other indirect costs are assigned to outputs based on the proportion of direct staff costs for each output.</w:t>
      </w:r>
    </w:p>
    <w:p w14:paraId="7F6E787F" w14:textId="77777777" w:rsidR="00873F54" w:rsidRDefault="00873F54" w:rsidP="00873F54">
      <w:pPr>
        <w:pStyle w:val="Heading4"/>
      </w:pPr>
      <w:r w:rsidRPr="00873F54">
        <w:t>Events after the balance date</w:t>
      </w:r>
    </w:p>
    <w:p w14:paraId="20CC800E" w14:textId="77777777" w:rsidR="00873F54" w:rsidRDefault="00873F54" w:rsidP="00873F54">
      <w:r w:rsidRPr="00873F54">
        <w:t>Significant events after balance date are disclosed in note 18 of the Ministry’s Departmental financial statements.</w:t>
      </w:r>
    </w:p>
    <w:p w14:paraId="71A927D8" w14:textId="77777777" w:rsidR="00873F54" w:rsidRDefault="00873F54" w:rsidP="00873F54">
      <w:pPr>
        <w:pStyle w:val="Heading4"/>
      </w:pPr>
      <w:r w:rsidRPr="00873F54">
        <w:t>Appropriation statements</w:t>
      </w:r>
    </w:p>
    <w:p w14:paraId="4900DAAF" w14:textId="77777777" w:rsidR="00873F54" w:rsidRDefault="00873F54" w:rsidP="00873F54">
      <w:r w:rsidRPr="00873F54">
        <w:t>The following statements report information about the expenses and capital expenditure incurred against each appropriation administered by the Ministry for the year ended 30 June 2024. They are prepared on a GST exclusive basis.</w:t>
      </w:r>
    </w:p>
    <w:p w14:paraId="603628BA" w14:textId="77777777" w:rsidR="00873F54" w:rsidRDefault="00873F54" w:rsidP="00873F54"/>
    <w:p w14:paraId="6F5CD83F" w14:textId="77777777" w:rsidR="00873F54" w:rsidRDefault="00873F54" w:rsidP="00873F54">
      <w:pPr>
        <w:sectPr w:rsidR="00873F54" w:rsidSect="000A3324">
          <w:pgSz w:w="11907" w:h="16840" w:code="9"/>
          <w:pgMar w:top="1418" w:right="1701" w:bottom="1134" w:left="1843" w:header="284" w:footer="425" w:gutter="284"/>
          <w:cols w:space="720"/>
        </w:sectPr>
      </w:pPr>
    </w:p>
    <w:p w14:paraId="48CD82A8" w14:textId="77777777" w:rsidR="00873F54" w:rsidRDefault="0068431B" w:rsidP="0068431B">
      <w:pPr>
        <w:pStyle w:val="Heading3"/>
        <w:spacing w:before="0"/>
      </w:pPr>
      <w:r w:rsidRPr="0068431B">
        <w:lastRenderedPageBreak/>
        <w:t>Statement of budgeted and actual expenses and capital expenditure incurred against appropriations for the year ended 30 June 2024</w:t>
      </w:r>
    </w:p>
    <w:tbl>
      <w:tblPr>
        <w:tblW w:w="9210" w:type="dxa"/>
        <w:tblLayout w:type="fixed"/>
        <w:tblCellMar>
          <w:left w:w="0" w:type="dxa"/>
          <w:right w:w="0" w:type="dxa"/>
        </w:tblCellMar>
        <w:tblLook w:val="01E0" w:firstRow="1" w:lastRow="1" w:firstColumn="1" w:lastColumn="1" w:noHBand="0" w:noVBand="0"/>
      </w:tblPr>
      <w:tblGrid>
        <w:gridCol w:w="1133"/>
        <w:gridCol w:w="2635"/>
        <w:gridCol w:w="709"/>
        <w:gridCol w:w="1181"/>
        <w:gridCol w:w="1158"/>
        <w:gridCol w:w="1119"/>
        <w:gridCol w:w="1275"/>
      </w:tblGrid>
      <w:tr w:rsidR="0068431B" w14:paraId="5BE6F669" w14:textId="77777777" w:rsidTr="00CD066D">
        <w:trPr>
          <w:trHeight w:val="909"/>
        </w:trPr>
        <w:tc>
          <w:tcPr>
            <w:tcW w:w="1133" w:type="dxa"/>
            <w:shd w:val="clear" w:color="auto" w:fill="D9D9D9" w:themeFill="background1" w:themeFillShade="D9"/>
            <w:hideMark/>
          </w:tcPr>
          <w:p w14:paraId="78D1F040" w14:textId="77777777" w:rsidR="0068431B" w:rsidRDefault="0068431B">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Actual expenditure</w:t>
            </w:r>
          </w:p>
          <w:p w14:paraId="28FAB9AB" w14:textId="71A41678" w:rsidR="0068431B" w:rsidRDefault="0068431B">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2023</w:t>
            </w:r>
          </w:p>
          <w:p w14:paraId="35B196AF" w14:textId="77777777" w:rsidR="0068431B" w:rsidRDefault="0068431B">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2635" w:type="dxa"/>
            <w:shd w:val="clear" w:color="auto" w:fill="D9D9D9" w:themeFill="background1" w:themeFillShade="D9"/>
          </w:tcPr>
          <w:p w14:paraId="78EE8EF0" w14:textId="77777777" w:rsidR="0068431B" w:rsidRDefault="0068431B">
            <w:pPr>
              <w:pStyle w:val="TableParagraph"/>
              <w:spacing w:before="60" w:after="60"/>
              <w:ind w:left="66" w:hanging="5"/>
              <w:rPr>
                <w:rFonts w:ascii="Segoe UI" w:hAnsi="Segoe UI" w:cs="Segoe UI"/>
                <w:b/>
                <w:bCs/>
                <w:w w:val="105"/>
                <w:sz w:val="16"/>
                <w:szCs w:val="16"/>
              </w:rPr>
            </w:pPr>
            <w:r>
              <w:rPr>
                <w:rFonts w:ascii="Segoe UI" w:hAnsi="Segoe UI" w:cs="Segoe UI"/>
                <w:b/>
                <w:bCs/>
                <w:w w:val="105"/>
                <w:sz w:val="16"/>
                <w:szCs w:val="16"/>
              </w:rPr>
              <w:br/>
            </w:r>
          </w:p>
          <w:p w14:paraId="72EE8572" w14:textId="77777777" w:rsidR="0068431B" w:rsidRDefault="0068431B">
            <w:pPr>
              <w:pStyle w:val="TableParagraph"/>
              <w:spacing w:before="60" w:after="60"/>
              <w:ind w:left="66" w:hanging="5"/>
              <w:rPr>
                <w:rFonts w:ascii="Segoe UI" w:hAnsi="Segoe UI" w:cs="Segoe UI"/>
                <w:b/>
                <w:bCs/>
                <w:w w:val="105"/>
                <w:sz w:val="16"/>
                <w:szCs w:val="16"/>
              </w:rPr>
            </w:pPr>
          </w:p>
          <w:p w14:paraId="438254C9" w14:textId="77777777" w:rsidR="0068431B" w:rsidRDefault="0068431B">
            <w:pPr>
              <w:pStyle w:val="TableParagraph"/>
              <w:spacing w:before="60" w:after="60"/>
              <w:ind w:left="66" w:hanging="5"/>
              <w:rPr>
                <w:rFonts w:ascii="Segoe UI" w:hAnsi="Segoe UI" w:cs="Segoe UI"/>
                <w:b/>
                <w:bCs/>
                <w:w w:val="105"/>
                <w:sz w:val="16"/>
                <w:szCs w:val="16"/>
              </w:rPr>
            </w:pPr>
            <w:r>
              <w:rPr>
                <w:rFonts w:ascii="Segoe UI" w:hAnsi="Segoe UI" w:cs="Segoe UI"/>
                <w:b/>
                <w:bCs/>
                <w:w w:val="105"/>
                <w:sz w:val="16"/>
                <w:szCs w:val="16"/>
              </w:rPr>
              <w:t>Appropriation title</w:t>
            </w:r>
          </w:p>
        </w:tc>
        <w:tc>
          <w:tcPr>
            <w:tcW w:w="709" w:type="dxa"/>
            <w:shd w:val="clear" w:color="auto" w:fill="D9D9D9" w:themeFill="background1" w:themeFillShade="D9"/>
          </w:tcPr>
          <w:p w14:paraId="79FB6BEC" w14:textId="77777777" w:rsidR="0068431B" w:rsidRDefault="0068431B">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br/>
            </w:r>
          </w:p>
          <w:p w14:paraId="3D6832D2" w14:textId="77777777" w:rsidR="0068431B" w:rsidRDefault="0068431B">
            <w:pPr>
              <w:pStyle w:val="TableParagraph"/>
              <w:spacing w:before="60" w:after="60"/>
              <w:ind w:left="-42" w:right="152" w:firstLine="99"/>
              <w:jc w:val="right"/>
              <w:rPr>
                <w:rFonts w:ascii="Segoe UI" w:hAnsi="Segoe UI" w:cs="Segoe UI"/>
                <w:b/>
                <w:bCs/>
                <w:w w:val="110"/>
                <w:sz w:val="16"/>
                <w:szCs w:val="16"/>
              </w:rPr>
            </w:pPr>
          </w:p>
          <w:p w14:paraId="61728651" w14:textId="77777777" w:rsidR="0068431B" w:rsidRDefault="0068431B">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Note</w:t>
            </w:r>
          </w:p>
        </w:tc>
        <w:tc>
          <w:tcPr>
            <w:tcW w:w="1181" w:type="dxa"/>
            <w:shd w:val="clear" w:color="auto" w:fill="D9D9D9" w:themeFill="background1" w:themeFillShade="D9"/>
            <w:hideMark/>
          </w:tcPr>
          <w:p w14:paraId="0197BE13" w14:textId="77777777" w:rsidR="0068431B" w:rsidRDefault="0068431B">
            <w:pPr>
              <w:pStyle w:val="TableParagraph"/>
              <w:spacing w:before="60" w:after="60" w:line="295" w:lineRule="auto"/>
              <w:ind w:left="-42" w:right="152" w:firstLine="99"/>
              <w:jc w:val="right"/>
              <w:rPr>
                <w:rFonts w:ascii="Segoe UI" w:hAnsi="Segoe UI" w:cs="Segoe UI"/>
                <w:b/>
                <w:bCs/>
                <w:w w:val="110"/>
                <w:sz w:val="16"/>
                <w:szCs w:val="16"/>
              </w:rPr>
            </w:pPr>
            <w:r>
              <w:rPr>
                <w:rFonts w:ascii="Segoe UI" w:hAnsi="Segoe UI" w:cs="Segoe UI"/>
                <w:b/>
                <w:bCs/>
                <w:w w:val="110"/>
                <w:sz w:val="16"/>
                <w:szCs w:val="16"/>
              </w:rPr>
              <w:t>Actual expenditure</w:t>
            </w:r>
          </w:p>
          <w:p w14:paraId="3563A0EA" w14:textId="548B9268" w:rsidR="0068431B" w:rsidRDefault="0068431B">
            <w:pPr>
              <w:pStyle w:val="TableParagraph"/>
              <w:spacing w:before="60" w:after="60" w:line="163" w:lineRule="exact"/>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4A210BD2" w14:textId="77777777" w:rsidR="0068431B" w:rsidRDefault="0068431B">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158" w:type="dxa"/>
            <w:shd w:val="clear" w:color="auto" w:fill="D9D9D9" w:themeFill="background1" w:themeFillShade="D9"/>
            <w:hideMark/>
          </w:tcPr>
          <w:p w14:paraId="70CF6249" w14:textId="77777777" w:rsidR="0068431B" w:rsidRDefault="0068431B">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Unaudited</w:t>
            </w:r>
            <w:r>
              <w:rPr>
                <w:rFonts w:ascii="Segoe UI" w:hAnsi="Segoe UI" w:cs="Segoe UI"/>
                <w:b/>
                <w:bCs/>
                <w:w w:val="110"/>
                <w:sz w:val="16"/>
                <w:szCs w:val="16"/>
              </w:rPr>
              <w:br/>
              <w:t xml:space="preserve">budget </w:t>
            </w:r>
          </w:p>
          <w:p w14:paraId="5EFA730B" w14:textId="0A46986D" w:rsidR="0068431B" w:rsidRDefault="0068431B">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491C55D2" w14:textId="77777777" w:rsidR="0068431B" w:rsidRDefault="0068431B">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119" w:type="dxa"/>
            <w:shd w:val="clear" w:color="auto" w:fill="D9D9D9" w:themeFill="background1" w:themeFillShade="D9"/>
            <w:hideMark/>
          </w:tcPr>
          <w:p w14:paraId="5F15378C" w14:textId="77777777" w:rsidR="0068431B" w:rsidRDefault="0068431B">
            <w:pPr>
              <w:pStyle w:val="TableParagraph"/>
              <w:spacing w:before="60" w:after="60" w:line="280" w:lineRule="auto"/>
              <w:ind w:left="-42" w:right="152" w:firstLine="99"/>
              <w:jc w:val="right"/>
              <w:rPr>
                <w:rFonts w:ascii="Segoe UI" w:hAnsi="Segoe UI" w:cs="Segoe UI"/>
                <w:b/>
                <w:bCs/>
                <w:w w:val="110"/>
                <w:sz w:val="16"/>
                <w:szCs w:val="16"/>
              </w:rPr>
            </w:pPr>
            <w:r>
              <w:rPr>
                <w:rFonts w:ascii="Segoe UI" w:hAnsi="Segoe UI" w:cs="Segoe UI"/>
                <w:b/>
                <w:bCs/>
                <w:w w:val="110"/>
                <w:sz w:val="16"/>
                <w:szCs w:val="16"/>
              </w:rPr>
              <w:t>Revised budget*</w:t>
            </w:r>
          </w:p>
          <w:p w14:paraId="4C00E308" w14:textId="5A133908" w:rsidR="0068431B" w:rsidRDefault="0068431B">
            <w:pPr>
              <w:pStyle w:val="TableParagraph"/>
              <w:spacing w:before="60" w:after="60" w:line="170" w:lineRule="exact"/>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59127655" w14:textId="77777777" w:rsidR="0068431B" w:rsidRDefault="0068431B">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275" w:type="dxa"/>
            <w:shd w:val="clear" w:color="auto" w:fill="D9D9D9" w:themeFill="background1" w:themeFillShade="D9"/>
            <w:vAlign w:val="bottom"/>
            <w:hideMark/>
          </w:tcPr>
          <w:p w14:paraId="34527F35" w14:textId="77777777" w:rsidR="0068431B" w:rsidRDefault="0068431B" w:rsidP="00CD066D">
            <w:pPr>
              <w:pStyle w:val="TableParagraph"/>
              <w:spacing w:before="60" w:after="60"/>
              <w:ind w:left="-40" w:right="153" w:firstLine="96"/>
              <w:jc w:val="right"/>
              <w:rPr>
                <w:rFonts w:ascii="Segoe UI" w:hAnsi="Segoe UI" w:cs="Segoe UI"/>
                <w:b/>
                <w:bCs/>
                <w:w w:val="110"/>
                <w:sz w:val="16"/>
                <w:szCs w:val="16"/>
              </w:rPr>
            </w:pPr>
            <w:r>
              <w:rPr>
                <w:rFonts w:ascii="Segoe UI" w:hAnsi="Segoe UI" w:cs="Segoe UI"/>
                <w:b/>
                <w:bCs/>
                <w:w w:val="110"/>
                <w:sz w:val="16"/>
                <w:szCs w:val="16"/>
              </w:rPr>
              <w:t>Location of end-of-year performance information^</w:t>
            </w:r>
          </w:p>
        </w:tc>
      </w:tr>
      <w:tr w:rsidR="0068431B" w:rsidRPr="007359E3" w14:paraId="53F24C52" w14:textId="77777777" w:rsidTr="0068431B">
        <w:trPr>
          <w:trHeight w:val="340"/>
        </w:trPr>
        <w:tc>
          <w:tcPr>
            <w:tcW w:w="1133" w:type="dxa"/>
          </w:tcPr>
          <w:p w14:paraId="4687F209" w14:textId="77777777" w:rsidR="0068431B" w:rsidRPr="007359E3" w:rsidRDefault="0068431B" w:rsidP="007359E3">
            <w:pPr>
              <w:pStyle w:val="TableParagraph"/>
              <w:spacing w:before="60" w:after="60"/>
              <w:ind w:left="-42" w:right="170" w:firstLine="99"/>
              <w:jc w:val="right"/>
              <w:rPr>
                <w:rFonts w:ascii="Segoe UI" w:hAnsi="Segoe UI" w:cs="Segoe UI"/>
                <w:b/>
                <w:bCs/>
                <w:sz w:val="16"/>
                <w:szCs w:val="16"/>
              </w:rPr>
            </w:pPr>
          </w:p>
        </w:tc>
        <w:tc>
          <w:tcPr>
            <w:tcW w:w="2635" w:type="dxa"/>
          </w:tcPr>
          <w:p w14:paraId="685D1F94" w14:textId="45B32224" w:rsidR="0068431B" w:rsidRPr="007359E3" w:rsidRDefault="0068431B" w:rsidP="007359E3">
            <w:pPr>
              <w:pStyle w:val="TableParagraph"/>
              <w:spacing w:before="60" w:after="60"/>
              <w:ind w:left="66" w:hanging="5"/>
              <w:rPr>
                <w:rFonts w:ascii="Segoe UI" w:hAnsi="Segoe UI" w:cs="Segoe UI"/>
                <w:b/>
                <w:bCs/>
                <w:w w:val="105"/>
                <w:sz w:val="16"/>
                <w:szCs w:val="16"/>
              </w:rPr>
            </w:pPr>
            <w:r w:rsidRPr="007359E3">
              <w:rPr>
                <w:rFonts w:ascii="Segoe UI" w:hAnsi="Segoe UI" w:cs="Segoe UI"/>
                <w:b/>
                <w:bCs/>
                <w:w w:val="105"/>
                <w:sz w:val="16"/>
                <w:szCs w:val="16"/>
              </w:rPr>
              <w:t>Multi-category expenses</w:t>
            </w:r>
          </w:p>
        </w:tc>
        <w:tc>
          <w:tcPr>
            <w:tcW w:w="709" w:type="dxa"/>
          </w:tcPr>
          <w:p w14:paraId="57916893" w14:textId="77777777" w:rsidR="0068431B" w:rsidRPr="007359E3" w:rsidRDefault="0068431B" w:rsidP="007359E3">
            <w:pPr>
              <w:pStyle w:val="TableParagraph"/>
              <w:spacing w:before="60" w:after="60"/>
              <w:ind w:left="-42" w:right="152" w:firstLine="99"/>
              <w:jc w:val="right"/>
              <w:rPr>
                <w:rFonts w:ascii="Segoe UI" w:hAnsi="Segoe UI" w:cs="Segoe UI"/>
                <w:b/>
                <w:bCs/>
                <w:w w:val="110"/>
                <w:sz w:val="16"/>
                <w:szCs w:val="16"/>
              </w:rPr>
            </w:pPr>
          </w:p>
        </w:tc>
        <w:tc>
          <w:tcPr>
            <w:tcW w:w="1181" w:type="dxa"/>
          </w:tcPr>
          <w:p w14:paraId="0065BA41" w14:textId="77777777" w:rsidR="0068431B" w:rsidRPr="007359E3" w:rsidRDefault="0068431B" w:rsidP="007359E3">
            <w:pPr>
              <w:pStyle w:val="TableParagraph"/>
              <w:spacing w:before="60" w:after="60"/>
              <w:ind w:left="-42" w:right="152" w:firstLine="99"/>
              <w:jc w:val="right"/>
              <w:rPr>
                <w:rFonts w:ascii="Segoe UI" w:hAnsi="Segoe UI" w:cs="Segoe UI"/>
                <w:b/>
                <w:bCs/>
                <w:w w:val="110"/>
                <w:sz w:val="16"/>
                <w:szCs w:val="16"/>
              </w:rPr>
            </w:pPr>
          </w:p>
        </w:tc>
        <w:tc>
          <w:tcPr>
            <w:tcW w:w="1158" w:type="dxa"/>
          </w:tcPr>
          <w:p w14:paraId="59A703D6" w14:textId="77777777" w:rsidR="0068431B" w:rsidRPr="007359E3" w:rsidRDefault="0068431B" w:rsidP="007359E3">
            <w:pPr>
              <w:pStyle w:val="TableParagraph"/>
              <w:spacing w:before="60" w:after="60"/>
              <w:ind w:left="-42" w:right="152" w:firstLine="99"/>
              <w:jc w:val="right"/>
              <w:rPr>
                <w:rFonts w:ascii="Segoe UI" w:hAnsi="Segoe UI" w:cs="Segoe UI"/>
                <w:b/>
                <w:bCs/>
                <w:w w:val="110"/>
                <w:sz w:val="16"/>
                <w:szCs w:val="16"/>
              </w:rPr>
            </w:pPr>
          </w:p>
        </w:tc>
        <w:tc>
          <w:tcPr>
            <w:tcW w:w="1119" w:type="dxa"/>
          </w:tcPr>
          <w:p w14:paraId="774B19BC" w14:textId="77777777" w:rsidR="0068431B" w:rsidRPr="007359E3" w:rsidRDefault="0068431B" w:rsidP="007359E3">
            <w:pPr>
              <w:pStyle w:val="TableParagraph"/>
              <w:spacing w:before="60" w:after="60"/>
              <w:ind w:left="-42" w:right="152" w:firstLine="99"/>
              <w:jc w:val="right"/>
              <w:rPr>
                <w:rFonts w:ascii="Segoe UI" w:hAnsi="Segoe UI" w:cs="Segoe UI"/>
                <w:b/>
                <w:bCs/>
                <w:w w:val="110"/>
                <w:sz w:val="16"/>
                <w:szCs w:val="16"/>
              </w:rPr>
            </w:pPr>
          </w:p>
        </w:tc>
        <w:tc>
          <w:tcPr>
            <w:tcW w:w="1275" w:type="dxa"/>
          </w:tcPr>
          <w:p w14:paraId="1727263A" w14:textId="77777777" w:rsidR="0068431B" w:rsidRPr="007359E3" w:rsidRDefault="0068431B" w:rsidP="007359E3">
            <w:pPr>
              <w:pStyle w:val="TableParagraph"/>
              <w:spacing w:before="60" w:after="60"/>
              <w:ind w:left="-42" w:right="152" w:firstLine="99"/>
              <w:jc w:val="right"/>
              <w:rPr>
                <w:rFonts w:ascii="Segoe UI" w:hAnsi="Segoe UI" w:cs="Segoe UI"/>
                <w:b/>
                <w:bCs/>
                <w:w w:val="110"/>
                <w:sz w:val="16"/>
                <w:szCs w:val="16"/>
              </w:rPr>
            </w:pPr>
          </w:p>
        </w:tc>
      </w:tr>
      <w:tr w:rsidR="0068431B" w:rsidRPr="007359E3" w14:paraId="578378EC" w14:textId="77777777" w:rsidTr="0068431B">
        <w:trPr>
          <w:trHeight w:val="340"/>
        </w:trPr>
        <w:tc>
          <w:tcPr>
            <w:tcW w:w="1133" w:type="dxa"/>
          </w:tcPr>
          <w:p w14:paraId="1166CA0C" w14:textId="26AD7010" w:rsidR="0068431B" w:rsidRPr="007359E3" w:rsidRDefault="0068431B" w:rsidP="007359E3">
            <w:pPr>
              <w:pStyle w:val="TableParagraph"/>
              <w:spacing w:before="60" w:after="60"/>
              <w:ind w:left="-42" w:right="170" w:firstLine="99"/>
              <w:jc w:val="right"/>
              <w:rPr>
                <w:rFonts w:ascii="Segoe UI" w:hAnsi="Segoe UI" w:cs="Segoe UI"/>
                <w:b/>
                <w:bCs/>
                <w:sz w:val="16"/>
                <w:szCs w:val="16"/>
              </w:rPr>
            </w:pPr>
            <w:r w:rsidRPr="007359E3">
              <w:rPr>
                <w:rFonts w:ascii="Segoe UI" w:hAnsi="Segoe UI" w:cs="Segoe UI"/>
                <w:b/>
                <w:bCs/>
                <w:sz w:val="16"/>
                <w:szCs w:val="16"/>
              </w:rPr>
              <w:t>228,711</w:t>
            </w:r>
          </w:p>
        </w:tc>
        <w:tc>
          <w:tcPr>
            <w:tcW w:w="2635" w:type="dxa"/>
          </w:tcPr>
          <w:p w14:paraId="2F61E32F" w14:textId="04319D44" w:rsidR="0068431B" w:rsidRPr="007359E3" w:rsidRDefault="0068431B" w:rsidP="007359E3">
            <w:pPr>
              <w:pStyle w:val="TableParagraph"/>
              <w:spacing w:before="60" w:after="60"/>
              <w:ind w:left="66" w:hanging="5"/>
              <w:rPr>
                <w:rFonts w:ascii="Segoe UI" w:hAnsi="Segoe UI" w:cs="Segoe UI"/>
                <w:b/>
                <w:bCs/>
                <w:w w:val="105"/>
                <w:sz w:val="16"/>
                <w:szCs w:val="16"/>
              </w:rPr>
            </w:pPr>
            <w:r w:rsidRPr="007359E3">
              <w:rPr>
                <w:rFonts w:ascii="Segoe UI" w:hAnsi="Segoe UI" w:cs="Segoe UI"/>
                <w:b/>
                <w:bCs/>
                <w:w w:val="105"/>
                <w:sz w:val="16"/>
                <w:szCs w:val="16"/>
              </w:rPr>
              <w:t>Stewardship of the New Zealand health system MCA</w:t>
            </w:r>
          </w:p>
        </w:tc>
        <w:tc>
          <w:tcPr>
            <w:tcW w:w="709" w:type="dxa"/>
          </w:tcPr>
          <w:p w14:paraId="59555E16" w14:textId="77777777" w:rsidR="0068431B" w:rsidRPr="007359E3" w:rsidRDefault="0068431B" w:rsidP="007359E3">
            <w:pPr>
              <w:pStyle w:val="TableParagraph"/>
              <w:spacing w:before="60" w:after="60"/>
              <w:ind w:left="-42" w:right="152" w:firstLine="99"/>
              <w:jc w:val="right"/>
              <w:rPr>
                <w:rFonts w:ascii="Segoe UI" w:hAnsi="Segoe UI" w:cs="Segoe UI"/>
                <w:b/>
                <w:bCs/>
                <w:w w:val="110"/>
                <w:sz w:val="16"/>
                <w:szCs w:val="16"/>
              </w:rPr>
            </w:pPr>
          </w:p>
        </w:tc>
        <w:tc>
          <w:tcPr>
            <w:tcW w:w="1181" w:type="dxa"/>
          </w:tcPr>
          <w:p w14:paraId="3B074DEE" w14:textId="635D3A50" w:rsidR="0068431B" w:rsidRPr="007359E3" w:rsidRDefault="0068431B" w:rsidP="007359E3">
            <w:pPr>
              <w:pStyle w:val="TableParagraph"/>
              <w:spacing w:before="60" w:after="60"/>
              <w:ind w:left="-42" w:right="170" w:firstLine="99"/>
              <w:jc w:val="right"/>
              <w:rPr>
                <w:rFonts w:ascii="Segoe UI" w:hAnsi="Segoe UI" w:cs="Segoe UI"/>
                <w:b/>
                <w:bCs/>
                <w:sz w:val="16"/>
                <w:szCs w:val="16"/>
              </w:rPr>
            </w:pPr>
            <w:r w:rsidRPr="007359E3">
              <w:rPr>
                <w:rFonts w:ascii="Segoe UI" w:hAnsi="Segoe UI" w:cs="Segoe UI"/>
                <w:b/>
                <w:bCs/>
                <w:sz w:val="16"/>
                <w:szCs w:val="16"/>
              </w:rPr>
              <w:t>269,070</w:t>
            </w:r>
          </w:p>
        </w:tc>
        <w:tc>
          <w:tcPr>
            <w:tcW w:w="1158" w:type="dxa"/>
          </w:tcPr>
          <w:p w14:paraId="2245786F" w14:textId="0A930634" w:rsidR="0068431B" w:rsidRPr="007359E3" w:rsidRDefault="0068431B" w:rsidP="007359E3">
            <w:pPr>
              <w:pStyle w:val="TableParagraph"/>
              <w:spacing w:before="60" w:after="60"/>
              <w:ind w:left="-42" w:right="170" w:firstLine="99"/>
              <w:jc w:val="right"/>
              <w:rPr>
                <w:rFonts w:ascii="Segoe UI" w:hAnsi="Segoe UI" w:cs="Segoe UI"/>
                <w:b/>
                <w:bCs/>
                <w:sz w:val="16"/>
                <w:szCs w:val="16"/>
              </w:rPr>
            </w:pPr>
            <w:r w:rsidRPr="007359E3">
              <w:rPr>
                <w:rFonts w:ascii="Segoe UI" w:hAnsi="Segoe UI" w:cs="Segoe UI"/>
                <w:b/>
                <w:bCs/>
                <w:sz w:val="16"/>
                <w:szCs w:val="16"/>
              </w:rPr>
              <w:t>237,759</w:t>
            </w:r>
          </w:p>
        </w:tc>
        <w:tc>
          <w:tcPr>
            <w:tcW w:w="1119" w:type="dxa"/>
          </w:tcPr>
          <w:p w14:paraId="5E29ED0D" w14:textId="4561A506" w:rsidR="0068431B" w:rsidRPr="007359E3" w:rsidRDefault="0068431B" w:rsidP="007359E3">
            <w:pPr>
              <w:pStyle w:val="TableParagraph"/>
              <w:spacing w:before="60" w:after="60"/>
              <w:ind w:left="-42" w:right="170" w:firstLine="99"/>
              <w:jc w:val="right"/>
              <w:rPr>
                <w:rFonts w:ascii="Segoe UI" w:hAnsi="Segoe UI" w:cs="Segoe UI"/>
                <w:b/>
                <w:bCs/>
                <w:sz w:val="16"/>
                <w:szCs w:val="16"/>
              </w:rPr>
            </w:pPr>
            <w:r w:rsidRPr="007359E3">
              <w:rPr>
                <w:rFonts w:ascii="Segoe UI" w:hAnsi="Segoe UI" w:cs="Segoe UI"/>
                <w:b/>
                <w:bCs/>
                <w:sz w:val="16"/>
                <w:szCs w:val="16"/>
              </w:rPr>
              <w:t>286,046</w:t>
            </w:r>
          </w:p>
        </w:tc>
        <w:tc>
          <w:tcPr>
            <w:tcW w:w="1275" w:type="dxa"/>
          </w:tcPr>
          <w:p w14:paraId="0977E471" w14:textId="77777777" w:rsidR="0068431B" w:rsidRPr="007359E3" w:rsidRDefault="0068431B" w:rsidP="007359E3">
            <w:pPr>
              <w:pStyle w:val="TableParagraph"/>
              <w:spacing w:before="60" w:after="60"/>
              <w:ind w:left="-42" w:right="152" w:firstLine="99"/>
              <w:jc w:val="right"/>
              <w:rPr>
                <w:rFonts w:ascii="Segoe UI" w:hAnsi="Segoe UI" w:cs="Segoe UI"/>
                <w:b/>
                <w:bCs/>
                <w:w w:val="110"/>
                <w:sz w:val="16"/>
                <w:szCs w:val="16"/>
              </w:rPr>
            </w:pPr>
          </w:p>
        </w:tc>
      </w:tr>
      <w:tr w:rsidR="0068431B" w14:paraId="7D45F0DB" w14:textId="77777777" w:rsidTr="0068431B">
        <w:trPr>
          <w:trHeight w:val="340"/>
        </w:trPr>
        <w:tc>
          <w:tcPr>
            <w:tcW w:w="1133" w:type="dxa"/>
          </w:tcPr>
          <w:p w14:paraId="69C2E693" w14:textId="77777777" w:rsidR="0068431B" w:rsidRDefault="0068431B" w:rsidP="007359E3">
            <w:pPr>
              <w:pStyle w:val="TableParagraph"/>
              <w:spacing w:before="60" w:after="60"/>
              <w:ind w:left="-42" w:right="170" w:firstLine="99"/>
              <w:jc w:val="right"/>
              <w:rPr>
                <w:rFonts w:ascii="Segoe UI" w:hAnsi="Segoe UI" w:cs="Segoe UI"/>
                <w:i/>
                <w:iCs/>
                <w:sz w:val="16"/>
                <w:szCs w:val="16"/>
              </w:rPr>
            </w:pPr>
          </w:p>
        </w:tc>
        <w:tc>
          <w:tcPr>
            <w:tcW w:w="2635" w:type="dxa"/>
          </w:tcPr>
          <w:p w14:paraId="7514845E" w14:textId="7E6AF98A" w:rsidR="0068431B" w:rsidRPr="007359E3" w:rsidRDefault="0068431B" w:rsidP="007359E3">
            <w:pPr>
              <w:pStyle w:val="TableParagraph"/>
              <w:spacing w:before="60" w:after="60"/>
              <w:ind w:left="66" w:hanging="5"/>
              <w:rPr>
                <w:rFonts w:ascii="Segoe UI" w:hAnsi="Segoe UI" w:cs="Segoe UI"/>
                <w:i/>
                <w:iCs/>
                <w:w w:val="105"/>
                <w:sz w:val="16"/>
                <w:szCs w:val="16"/>
              </w:rPr>
            </w:pPr>
            <w:r w:rsidRPr="007359E3">
              <w:rPr>
                <w:rFonts w:ascii="Segoe UI" w:hAnsi="Segoe UI" w:cs="Segoe UI"/>
                <w:i/>
                <w:iCs/>
                <w:w w:val="105"/>
                <w:sz w:val="16"/>
                <w:szCs w:val="16"/>
              </w:rPr>
              <w:t>Departmental output expenses</w:t>
            </w:r>
          </w:p>
        </w:tc>
        <w:tc>
          <w:tcPr>
            <w:tcW w:w="709" w:type="dxa"/>
          </w:tcPr>
          <w:p w14:paraId="2F270ABA" w14:textId="77777777" w:rsidR="0068431B" w:rsidRDefault="0068431B" w:rsidP="007359E3">
            <w:pPr>
              <w:pStyle w:val="TableParagraph"/>
              <w:spacing w:before="60" w:after="60"/>
              <w:ind w:left="-42" w:right="152" w:firstLine="99"/>
              <w:jc w:val="right"/>
              <w:rPr>
                <w:rFonts w:ascii="Segoe UI" w:hAnsi="Segoe UI" w:cs="Segoe UI"/>
                <w:i/>
                <w:iCs/>
                <w:w w:val="110"/>
                <w:sz w:val="16"/>
                <w:szCs w:val="16"/>
              </w:rPr>
            </w:pPr>
          </w:p>
        </w:tc>
        <w:tc>
          <w:tcPr>
            <w:tcW w:w="1181" w:type="dxa"/>
          </w:tcPr>
          <w:p w14:paraId="07D34FB9" w14:textId="77777777" w:rsidR="0068431B" w:rsidRPr="0068431B" w:rsidRDefault="0068431B" w:rsidP="007359E3">
            <w:pPr>
              <w:pStyle w:val="TableParagraph"/>
              <w:spacing w:before="60" w:after="60"/>
              <w:ind w:left="-42" w:right="170" w:firstLine="99"/>
              <w:jc w:val="right"/>
              <w:rPr>
                <w:rFonts w:ascii="Segoe UI" w:hAnsi="Segoe UI" w:cs="Segoe UI"/>
                <w:sz w:val="16"/>
                <w:szCs w:val="16"/>
              </w:rPr>
            </w:pPr>
          </w:p>
        </w:tc>
        <w:tc>
          <w:tcPr>
            <w:tcW w:w="1158" w:type="dxa"/>
          </w:tcPr>
          <w:p w14:paraId="50A630FE" w14:textId="77777777" w:rsidR="0068431B" w:rsidRPr="0068431B" w:rsidRDefault="0068431B" w:rsidP="007359E3">
            <w:pPr>
              <w:pStyle w:val="TableParagraph"/>
              <w:spacing w:before="60" w:after="60"/>
              <w:ind w:left="-42" w:right="170" w:firstLine="99"/>
              <w:jc w:val="right"/>
              <w:rPr>
                <w:rFonts w:ascii="Segoe UI" w:hAnsi="Segoe UI" w:cs="Segoe UI"/>
                <w:sz w:val="16"/>
                <w:szCs w:val="16"/>
              </w:rPr>
            </w:pPr>
          </w:p>
        </w:tc>
        <w:tc>
          <w:tcPr>
            <w:tcW w:w="1119" w:type="dxa"/>
          </w:tcPr>
          <w:p w14:paraId="12B25060" w14:textId="77777777" w:rsidR="0068431B" w:rsidRPr="0068431B" w:rsidRDefault="0068431B" w:rsidP="007359E3">
            <w:pPr>
              <w:pStyle w:val="TableParagraph"/>
              <w:spacing w:before="60" w:after="60"/>
              <w:ind w:left="-42" w:right="170" w:firstLine="99"/>
              <w:jc w:val="right"/>
              <w:rPr>
                <w:rFonts w:ascii="Segoe UI" w:hAnsi="Segoe UI" w:cs="Segoe UI"/>
                <w:sz w:val="16"/>
                <w:szCs w:val="16"/>
              </w:rPr>
            </w:pPr>
          </w:p>
        </w:tc>
        <w:tc>
          <w:tcPr>
            <w:tcW w:w="1275" w:type="dxa"/>
          </w:tcPr>
          <w:p w14:paraId="5DC22D05" w14:textId="77777777" w:rsidR="0068431B" w:rsidRDefault="0068431B" w:rsidP="007359E3">
            <w:pPr>
              <w:pStyle w:val="TableParagraph"/>
              <w:spacing w:before="60" w:after="60"/>
              <w:ind w:left="-42" w:right="152" w:firstLine="99"/>
              <w:jc w:val="right"/>
              <w:rPr>
                <w:rFonts w:ascii="Segoe UI" w:hAnsi="Segoe UI" w:cs="Segoe UI"/>
                <w:i/>
                <w:iCs/>
                <w:w w:val="110"/>
                <w:sz w:val="16"/>
                <w:szCs w:val="16"/>
              </w:rPr>
            </w:pPr>
          </w:p>
        </w:tc>
      </w:tr>
      <w:tr w:rsidR="007359E3" w14:paraId="6CA6B84B" w14:textId="77777777" w:rsidTr="0068431B">
        <w:trPr>
          <w:trHeight w:val="340"/>
        </w:trPr>
        <w:tc>
          <w:tcPr>
            <w:tcW w:w="1133" w:type="dxa"/>
          </w:tcPr>
          <w:p w14:paraId="7F35EBCE" w14:textId="0706FF44" w:rsidR="007359E3"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19,158</w:t>
            </w:r>
          </w:p>
        </w:tc>
        <w:tc>
          <w:tcPr>
            <w:tcW w:w="2635" w:type="dxa"/>
          </w:tcPr>
          <w:p w14:paraId="52A42D8E" w14:textId="68F41A0B" w:rsidR="007359E3" w:rsidRPr="0068431B" w:rsidRDefault="007359E3" w:rsidP="007359E3">
            <w:pPr>
              <w:pStyle w:val="TableParagraph"/>
              <w:spacing w:before="60" w:after="60"/>
              <w:ind w:left="66" w:hanging="5"/>
              <w:rPr>
                <w:rFonts w:ascii="Segoe UI" w:hAnsi="Segoe UI" w:cs="Segoe UI"/>
                <w:w w:val="105"/>
                <w:sz w:val="16"/>
                <w:szCs w:val="16"/>
              </w:rPr>
            </w:pPr>
            <w:r w:rsidRPr="0068431B">
              <w:rPr>
                <w:rFonts w:ascii="Segoe UI" w:hAnsi="Segoe UI" w:cs="Segoe UI"/>
                <w:w w:val="105"/>
                <w:sz w:val="16"/>
                <w:szCs w:val="16"/>
              </w:rPr>
              <w:t>Equity, evidence and outcomes</w:t>
            </w:r>
          </w:p>
        </w:tc>
        <w:tc>
          <w:tcPr>
            <w:tcW w:w="709" w:type="dxa"/>
          </w:tcPr>
          <w:p w14:paraId="7F7473D4" w14:textId="77777777" w:rsidR="007359E3" w:rsidRDefault="007359E3" w:rsidP="007359E3">
            <w:pPr>
              <w:pStyle w:val="TableParagraph"/>
              <w:spacing w:before="60" w:after="60"/>
              <w:ind w:left="-42" w:right="152" w:firstLine="99"/>
              <w:jc w:val="right"/>
              <w:rPr>
                <w:rFonts w:ascii="Segoe UI" w:hAnsi="Segoe UI" w:cs="Segoe UI"/>
                <w:w w:val="110"/>
                <w:sz w:val="16"/>
                <w:szCs w:val="16"/>
              </w:rPr>
            </w:pPr>
          </w:p>
        </w:tc>
        <w:tc>
          <w:tcPr>
            <w:tcW w:w="1181" w:type="dxa"/>
          </w:tcPr>
          <w:p w14:paraId="318C84A7" w14:textId="1526576B" w:rsidR="007359E3" w:rsidRPr="0068431B"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23,432</w:t>
            </w:r>
          </w:p>
        </w:tc>
        <w:tc>
          <w:tcPr>
            <w:tcW w:w="1158" w:type="dxa"/>
          </w:tcPr>
          <w:p w14:paraId="76C9BF39" w14:textId="7AF45FA9" w:rsidR="007359E3" w:rsidRPr="0068431B"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15,563</w:t>
            </w:r>
          </w:p>
        </w:tc>
        <w:tc>
          <w:tcPr>
            <w:tcW w:w="1119" w:type="dxa"/>
          </w:tcPr>
          <w:p w14:paraId="34B9F5A1" w14:textId="0C06D4A7" w:rsidR="007359E3" w:rsidRPr="0068431B"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22,394</w:t>
            </w:r>
          </w:p>
        </w:tc>
        <w:tc>
          <w:tcPr>
            <w:tcW w:w="1275" w:type="dxa"/>
          </w:tcPr>
          <w:p w14:paraId="5D10E825" w14:textId="3662F012" w:rsidR="007359E3" w:rsidRPr="007359E3" w:rsidRDefault="007359E3" w:rsidP="007359E3">
            <w:pPr>
              <w:pStyle w:val="TableParagraph"/>
              <w:spacing w:before="60" w:after="60"/>
              <w:ind w:left="-42" w:right="170" w:firstLine="99"/>
              <w:jc w:val="right"/>
              <w:rPr>
                <w:rFonts w:ascii="Segoe UI" w:hAnsi="Segoe UI" w:cs="Segoe UI"/>
                <w:sz w:val="16"/>
                <w:szCs w:val="16"/>
              </w:rPr>
            </w:pPr>
            <w:r w:rsidRPr="007359E3">
              <w:rPr>
                <w:rFonts w:ascii="Segoe UI" w:hAnsi="Segoe UI" w:cs="Segoe UI"/>
                <w:sz w:val="16"/>
                <w:szCs w:val="16"/>
              </w:rPr>
              <w:t>1</w:t>
            </w:r>
          </w:p>
        </w:tc>
      </w:tr>
      <w:tr w:rsidR="007359E3" w14:paraId="538A1303" w14:textId="77777777" w:rsidTr="0068431B">
        <w:trPr>
          <w:trHeight w:val="340"/>
        </w:trPr>
        <w:tc>
          <w:tcPr>
            <w:tcW w:w="1133" w:type="dxa"/>
          </w:tcPr>
          <w:p w14:paraId="52F901D1" w14:textId="327B77D2" w:rsidR="007359E3"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44,737</w:t>
            </w:r>
          </w:p>
        </w:tc>
        <w:tc>
          <w:tcPr>
            <w:tcW w:w="2635" w:type="dxa"/>
          </w:tcPr>
          <w:p w14:paraId="35C79069" w14:textId="7797FC06" w:rsidR="007359E3" w:rsidRPr="0068431B" w:rsidRDefault="007359E3" w:rsidP="007359E3">
            <w:pPr>
              <w:pStyle w:val="TableParagraph"/>
              <w:spacing w:before="60" w:after="60"/>
              <w:ind w:left="66" w:hanging="5"/>
              <w:rPr>
                <w:rFonts w:ascii="Segoe UI" w:hAnsi="Segoe UI" w:cs="Segoe UI"/>
                <w:w w:val="105"/>
                <w:sz w:val="16"/>
                <w:szCs w:val="16"/>
              </w:rPr>
            </w:pPr>
            <w:r w:rsidRPr="0068431B">
              <w:rPr>
                <w:rFonts w:ascii="Segoe UI" w:hAnsi="Segoe UI" w:cs="Segoe UI"/>
                <w:w w:val="105"/>
                <w:sz w:val="16"/>
                <w:szCs w:val="16"/>
              </w:rPr>
              <w:t>Policy advice and related services</w:t>
            </w:r>
          </w:p>
        </w:tc>
        <w:tc>
          <w:tcPr>
            <w:tcW w:w="709" w:type="dxa"/>
          </w:tcPr>
          <w:p w14:paraId="43FBCBAF" w14:textId="77777777" w:rsidR="007359E3" w:rsidRDefault="007359E3" w:rsidP="007359E3">
            <w:pPr>
              <w:pStyle w:val="TableParagraph"/>
              <w:spacing w:before="60" w:after="60"/>
              <w:ind w:left="-42" w:right="152" w:firstLine="99"/>
              <w:jc w:val="right"/>
              <w:rPr>
                <w:rFonts w:ascii="Segoe UI" w:hAnsi="Segoe UI" w:cs="Segoe UI"/>
                <w:w w:val="110"/>
                <w:sz w:val="16"/>
                <w:szCs w:val="16"/>
              </w:rPr>
            </w:pPr>
          </w:p>
        </w:tc>
        <w:tc>
          <w:tcPr>
            <w:tcW w:w="1181" w:type="dxa"/>
          </w:tcPr>
          <w:p w14:paraId="2DC1D39D" w14:textId="7D18C0B0" w:rsidR="007359E3" w:rsidRPr="0068431B"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43,456</w:t>
            </w:r>
          </w:p>
        </w:tc>
        <w:tc>
          <w:tcPr>
            <w:tcW w:w="1158" w:type="dxa"/>
          </w:tcPr>
          <w:p w14:paraId="7FDFFC1B" w14:textId="39A51EB8" w:rsidR="007359E3" w:rsidRPr="0068431B"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31,630</w:t>
            </w:r>
          </w:p>
        </w:tc>
        <w:tc>
          <w:tcPr>
            <w:tcW w:w="1119" w:type="dxa"/>
          </w:tcPr>
          <w:p w14:paraId="4ED7A25A" w14:textId="0E983936" w:rsidR="007359E3" w:rsidRPr="0068431B"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44,169</w:t>
            </w:r>
          </w:p>
        </w:tc>
        <w:tc>
          <w:tcPr>
            <w:tcW w:w="1275" w:type="dxa"/>
          </w:tcPr>
          <w:p w14:paraId="417C2AFD" w14:textId="0CA0BA0F" w:rsidR="007359E3" w:rsidRPr="007359E3" w:rsidRDefault="007359E3" w:rsidP="007359E3">
            <w:pPr>
              <w:pStyle w:val="TableParagraph"/>
              <w:spacing w:before="60" w:after="60"/>
              <w:ind w:left="-42" w:right="170" w:firstLine="99"/>
              <w:jc w:val="right"/>
              <w:rPr>
                <w:rFonts w:ascii="Segoe UI" w:hAnsi="Segoe UI" w:cs="Segoe UI"/>
                <w:sz w:val="16"/>
                <w:szCs w:val="16"/>
              </w:rPr>
            </w:pPr>
            <w:r w:rsidRPr="007359E3">
              <w:rPr>
                <w:rFonts w:ascii="Segoe UI" w:hAnsi="Segoe UI" w:cs="Segoe UI"/>
                <w:sz w:val="16"/>
                <w:szCs w:val="16"/>
              </w:rPr>
              <w:t>1</w:t>
            </w:r>
          </w:p>
        </w:tc>
      </w:tr>
      <w:tr w:rsidR="007359E3" w14:paraId="1579CA35" w14:textId="77777777" w:rsidTr="0068431B">
        <w:trPr>
          <w:trHeight w:val="340"/>
        </w:trPr>
        <w:tc>
          <w:tcPr>
            <w:tcW w:w="1133" w:type="dxa"/>
          </w:tcPr>
          <w:p w14:paraId="73083187" w14:textId="45B08765" w:rsidR="007359E3"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85,963</w:t>
            </w:r>
          </w:p>
        </w:tc>
        <w:tc>
          <w:tcPr>
            <w:tcW w:w="2635" w:type="dxa"/>
          </w:tcPr>
          <w:p w14:paraId="1C610746" w14:textId="1CAC5ED4" w:rsidR="007359E3" w:rsidRPr="0068431B" w:rsidRDefault="007359E3" w:rsidP="007359E3">
            <w:pPr>
              <w:pStyle w:val="TableParagraph"/>
              <w:spacing w:before="60" w:after="60"/>
              <w:ind w:left="66" w:hanging="5"/>
              <w:rPr>
                <w:rFonts w:ascii="Segoe UI" w:hAnsi="Segoe UI" w:cs="Segoe UI"/>
                <w:w w:val="105"/>
                <w:sz w:val="16"/>
                <w:szCs w:val="16"/>
              </w:rPr>
            </w:pPr>
            <w:r w:rsidRPr="0068431B">
              <w:rPr>
                <w:rFonts w:ascii="Segoe UI" w:hAnsi="Segoe UI" w:cs="Segoe UI"/>
                <w:w w:val="105"/>
                <w:sz w:val="16"/>
                <w:szCs w:val="16"/>
              </w:rPr>
              <w:t>Public health and population health leadership</w:t>
            </w:r>
          </w:p>
        </w:tc>
        <w:tc>
          <w:tcPr>
            <w:tcW w:w="709" w:type="dxa"/>
          </w:tcPr>
          <w:p w14:paraId="5160CC64" w14:textId="77777777" w:rsidR="007359E3" w:rsidRDefault="007359E3" w:rsidP="007359E3">
            <w:pPr>
              <w:pStyle w:val="TableParagraph"/>
              <w:spacing w:before="60" w:after="60"/>
              <w:ind w:left="-42" w:right="152" w:firstLine="99"/>
              <w:jc w:val="right"/>
              <w:rPr>
                <w:rFonts w:ascii="Segoe UI" w:hAnsi="Segoe UI" w:cs="Segoe UI"/>
                <w:w w:val="110"/>
                <w:sz w:val="16"/>
                <w:szCs w:val="16"/>
              </w:rPr>
            </w:pPr>
          </w:p>
        </w:tc>
        <w:tc>
          <w:tcPr>
            <w:tcW w:w="1181" w:type="dxa"/>
          </w:tcPr>
          <w:p w14:paraId="098DE881" w14:textId="00D78139" w:rsidR="007359E3" w:rsidRPr="0068431B"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125,443</w:t>
            </w:r>
          </w:p>
        </w:tc>
        <w:tc>
          <w:tcPr>
            <w:tcW w:w="1158" w:type="dxa"/>
          </w:tcPr>
          <w:p w14:paraId="241D5DFA" w14:textId="66850873" w:rsidR="007359E3" w:rsidRPr="0068431B"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107,224</w:t>
            </w:r>
          </w:p>
        </w:tc>
        <w:tc>
          <w:tcPr>
            <w:tcW w:w="1119" w:type="dxa"/>
          </w:tcPr>
          <w:p w14:paraId="15AB13BE" w14:textId="18A20C15" w:rsidR="007359E3" w:rsidRPr="0068431B"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139,864</w:t>
            </w:r>
          </w:p>
        </w:tc>
        <w:tc>
          <w:tcPr>
            <w:tcW w:w="1275" w:type="dxa"/>
          </w:tcPr>
          <w:p w14:paraId="5F212448" w14:textId="0D0E8AEC" w:rsidR="007359E3" w:rsidRPr="007359E3" w:rsidRDefault="007359E3" w:rsidP="007359E3">
            <w:pPr>
              <w:pStyle w:val="TableParagraph"/>
              <w:spacing w:before="60" w:after="60"/>
              <w:ind w:left="-42" w:right="170" w:firstLine="99"/>
              <w:jc w:val="right"/>
              <w:rPr>
                <w:rFonts w:ascii="Segoe UI" w:hAnsi="Segoe UI" w:cs="Segoe UI"/>
                <w:sz w:val="16"/>
                <w:szCs w:val="16"/>
              </w:rPr>
            </w:pPr>
            <w:r w:rsidRPr="007359E3">
              <w:rPr>
                <w:rFonts w:ascii="Segoe UI" w:hAnsi="Segoe UI" w:cs="Segoe UI"/>
                <w:sz w:val="16"/>
                <w:szCs w:val="16"/>
              </w:rPr>
              <w:t>1</w:t>
            </w:r>
          </w:p>
        </w:tc>
      </w:tr>
      <w:tr w:rsidR="007359E3" w14:paraId="224C9C0A" w14:textId="77777777" w:rsidTr="0068431B">
        <w:trPr>
          <w:trHeight w:val="340"/>
        </w:trPr>
        <w:tc>
          <w:tcPr>
            <w:tcW w:w="1133" w:type="dxa"/>
          </w:tcPr>
          <w:p w14:paraId="7C4F03E1" w14:textId="2047168E" w:rsidR="007359E3"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65,891</w:t>
            </w:r>
          </w:p>
        </w:tc>
        <w:tc>
          <w:tcPr>
            <w:tcW w:w="2635" w:type="dxa"/>
          </w:tcPr>
          <w:p w14:paraId="7E54CA84" w14:textId="1BBEAD2E" w:rsidR="007359E3" w:rsidRPr="0068431B" w:rsidRDefault="007359E3" w:rsidP="007359E3">
            <w:pPr>
              <w:pStyle w:val="TableParagraph"/>
              <w:spacing w:before="60" w:after="60"/>
              <w:ind w:left="66" w:hanging="5"/>
              <w:rPr>
                <w:rFonts w:ascii="Segoe UI" w:hAnsi="Segoe UI" w:cs="Segoe UI"/>
                <w:w w:val="105"/>
                <w:sz w:val="16"/>
                <w:szCs w:val="16"/>
              </w:rPr>
            </w:pPr>
            <w:r w:rsidRPr="0068431B">
              <w:rPr>
                <w:rFonts w:ascii="Segoe UI" w:hAnsi="Segoe UI" w:cs="Segoe UI"/>
                <w:w w:val="105"/>
                <w:sz w:val="16"/>
                <w:szCs w:val="16"/>
              </w:rPr>
              <w:t>Regulatory and enforcement services</w:t>
            </w:r>
          </w:p>
        </w:tc>
        <w:tc>
          <w:tcPr>
            <w:tcW w:w="709" w:type="dxa"/>
          </w:tcPr>
          <w:p w14:paraId="15EA2CDB" w14:textId="77777777" w:rsidR="007359E3" w:rsidRDefault="007359E3" w:rsidP="007359E3">
            <w:pPr>
              <w:pStyle w:val="TableParagraph"/>
              <w:spacing w:before="60" w:after="60"/>
              <w:ind w:left="-42" w:right="152" w:firstLine="99"/>
              <w:jc w:val="right"/>
              <w:rPr>
                <w:rFonts w:ascii="Segoe UI" w:hAnsi="Segoe UI" w:cs="Segoe UI"/>
                <w:w w:val="110"/>
                <w:sz w:val="16"/>
                <w:szCs w:val="16"/>
              </w:rPr>
            </w:pPr>
          </w:p>
        </w:tc>
        <w:tc>
          <w:tcPr>
            <w:tcW w:w="1181" w:type="dxa"/>
          </w:tcPr>
          <w:p w14:paraId="53C78D9F" w14:textId="1BB63A94" w:rsidR="007359E3" w:rsidRPr="0068431B"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61,814</w:t>
            </w:r>
          </w:p>
        </w:tc>
        <w:tc>
          <w:tcPr>
            <w:tcW w:w="1158" w:type="dxa"/>
          </w:tcPr>
          <w:p w14:paraId="2990F237" w14:textId="38F1F50A" w:rsidR="007359E3" w:rsidRPr="0068431B"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55,088</w:t>
            </w:r>
          </w:p>
        </w:tc>
        <w:tc>
          <w:tcPr>
            <w:tcW w:w="1119" w:type="dxa"/>
          </w:tcPr>
          <w:p w14:paraId="38A8FF93" w14:textId="35526018" w:rsidR="007359E3" w:rsidRPr="0068431B"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61,573</w:t>
            </w:r>
          </w:p>
        </w:tc>
        <w:tc>
          <w:tcPr>
            <w:tcW w:w="1275" w:type="dxa"/>
          </w:tcPr>
          <w:p w14:paraId="46616AD7" w14:textId="01F43F6D" w:rsidR="007359E3" w:rsidRPr="007359E3" w:rsidRDefault="007359E3" w:rsidP="007359E3">
            <w:pPr>
              <w:pStyle w:val="TableParagraph"/>
              <w:spacing w:before="60" w:after="60"/>
              <w:ind w:left="-42" w:right="170" w:firstLine="99"/>
              <w:jc w:val="right"/>
              <w:rPr>
                <w:rFonts w:ascii="Segoe UI" w:hAnsi="Segoe UI" w:cs="Segoe UI"/>
                <w:sz w:val="16"/>
                <w:szCs w:val="16"/>
              </w:rPr>
            </w:pPr>
            <w:r w:rsidRPr="007359E3">
              <w:rPr>
                <w:rFonts w:ascii="Segoe UI" w:hAnsi="Segoe UI" w:cs="Segoe UI"/>
                <w:sz w:val="16"/>
                <w:szCs w:val="16"/>
              </w:rPr>
              <w:t>1</w:t>
            </w:r>
          </w:p>
        </w:tc>
      </w:tr>
      <w:tr w:rsidR="007359E3" w14:paraId="2ED3087F" w14:textId="77777777" w:rsidTr="0068431B">
        <w:trPr>
          <w:trHeight w:val="340"/>
        </w:trPr>
        <w:tc>
          <w:tcPr>
            <w:tcW w:w="1133" w:type="dxa"/>
          </w:tcPr>
          <w:p w14:paraId="700AEE9E" w14:textId="6239141C" w:rsidR="007359E3"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12,962</w:t>
            </w:r>
          </w:p>
        </w:tc>
        <w:tc>
          <w:tcPr>
            <w:tcW w:w="2635" w:type="dxa"/>
          </w:tcPr>
          <w:p w14:paraId="6E710C12" w14:textId="7D068018" w:rsidR="007359E3" w:rsidRPr="0068431B" w:rsidRDefault="007359E3" w:rsidP="007359E3">
            <w:pPr>
              <w:pStyle w:val="TableParagraph"/>
              <w:spacing w:before="60" w:after="60"/>
              <w:ind w:left="66" w:hanging="5"/>
              <w:rPr>
                <w:rFonts w:ascii="Segoe UI" w:hAnsi="Segoe UI" w:cs="Segoe UI"/>
                <w:w w:val="105"/>
                <w:sz w:val="16"/>
                <w:szCs w:val="16"/>
              </w:rPr>
            </w:pPr>
            <w:r w:rsidRPr="0068431B">
              <w:rPr>
                <w:rFonts w:ascii="Segoe UI" w:hAnsi="Segoe UI" w:cs="Segoe UI"/>
                <w:w w:val="105"/>
                <w:sz w:val="16"/>
                <w:szCs w:val="16"/>
              </w:rPr>
              <w:t>Sector performance and monitoring</w:t>
            </w:r>
          </w:p>
        </w:tc>
        <w:tc>
          <w:tcPr>
            <w:tcW w:w="709" w:type="dxa"/>
          </w:tcPr>
          <w:p w14:paraId="01E9054E" w14:textId="77777777" w:rsidR="007359E3" w:rsidRDefault="007359E3" w:rsidP="007359E3">
            <w:pPr>
              <w:pStyle w:val="TableParagraph"/>
              <w:spacing w:before="60" w:after="60"/>
              <w:ind w:left="-42" w:right="152" w:firstLine="99"/>
              <w:jc w:val="right"/>
              <w:rPr>
                <w:rFonts w:ascii="Segoe UI" w:hAnsi="Segoe UI" w:cs="Segoe UI"/>
                <w:w w:val="110"/>
                <w:sz w:val="16"/>
                <w:szCs w:val="16"/>
              </w:rPr>
            </w:pPr>
          </w:p>
        </w:tc>
        <w:tc>
          <w:tcPr>
            <w:tcW w:w="1181" w:type="dxa"/>
          </w:tcPr>
          <w:p w14:paraId="637D3110" w14:textId="343D3BEE" w:rsidR="007359E3" w:rsidRPr="0068431B"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14,925</w:t>
            </w:r>
          </w:p>
        </w:tc>
        <w:tc>
          <w:tcPr>
            <w:tcW w:w="1158" w:type="dxa"/>
          </w:tcPr>
          <w:p w14:paraId="54D027B4" w14:textId="2C30F0AE" w:rsidR="007359E3" w:rsidRPr="0068431B"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28,254</w:t>
            </w:r>
          </w:p>
        </w:tc>
        <w:tc>
          <w:tcPr>
            <w:tcW w:w="1119" w:type="dxa"/>
          </w:tcPr>
          <w:p w14:paraId="508FFCA8" w14:textId="6C8E072B" w:rsidR="007359E3" w:rsidRPr="0068431B"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18,046</w:t>
            </w:r>
          </w:p>
        </w:tc>
        <w:tc>
          <w:tcPr>
            <w:tcW w:w="1275" w:type="dxa"/>
          </w:tcPr>
          <w:p w14:paraId="3EDC91D2" w14:textId="1231FB36" w:rsidR="007359E3" w:rsidRPr="007359E3" w:rsidRDefault="007359E3" w:rsidP="007359E3">
            <w:pPr>
              <w:pStyle w:val="TableParagraph"/>
              <w:spacing w:before="60" w:after="60"/>
              <w:ind w:left="-42" w:right="170" w:firstLine="99"/>
              <w:jc w:val="right"/>
              <w:rPr>
                <w:rFonts w:ascii="Segoe UI" w:hAnsi="Segoe UI" w:cs="Segoe UI"/>
                <w:sz w:val="16"/>
                <w:szCs w:val="16"/>
              </w:rPr>
            </w:pPr>
            <w:r w:rsidRPr="007359E3">
              <w:rPr>
                <w:rFonts w:ascii="Segoe UI" w:hAnsi="Segoe UI" w:cs="Segoe UI"/>
                <w:sz w:val="16"/>
                <w:szCs w:val="16"/>
              </w:rPr>
              <w:t>1</w:t>
            </w:r>
          </w:p>
        </w:tc>
      </w:tr>
      <w:tr w:rsidR="0068431B" w:rsidRPr="007359E3" w14:paraId="0FA2CAB9" w14:textId="77777777" w:rsidTr="0068431B">
        <w:trPr>
          <w:trHeight w:val="340"/>
        </w:trPr>
        <w:tc>
          <w:tcPr>
            <w:tcW w:w="1133" w:type="dxa"/>
          </w:tcPr>
          <w:p w14:paraId="70F9B67E" w14:textId="42C55DCC" w:rsidR="0068431B" w:rsidRPr="007359E3" w:rsidRDefault="0068431B" w:rsidP="007359E3">
            <w:pPr>
              <w:pStyle w:val="TableParagraph"/>
              <w:spacing w:before="60" w:after="60"/>
              <w:ind w:left="-42" w:right="170" w:firstLine="99"/>
              <w:jc w:val="right"/>
              <w:rPr>
                <w:rFonts w:ascii="Segoe UI" w:hAnsi="Segoe UI" w:cs="Segoe UI"/>
                <w:b/>
                <w:bCs/>
                <w:sz w:val="16"/>
                <w:szCs w:val="16"/>
              </w:rPr>
            </w:pPr>
            <w:r w:rsidRPr="007359E3">
              <w:rPr>
                <w:rFonts w:ascii="Segoe UI" w:hAnsi="Segoe UI" w:cs="Segoe UI"/>
                <w:b/>
                <w:bCs/>
                <w:sz w:val="16"/>
                <w:szCs w:val="16"/>
              </w:rPr>
              <w:t>903,880</w:t>
            </w:r>
          </w:p>
        </w:tc>
        <w:tc>
          <w:tcPr>
            <w:tcW w:w="2635" w:type="dxa"/>
          </w:tcPr>
          <w:p w14:paraId="36DAEF1E" w14:textId="7D6D165F" w:rsidR="0068431B" w:rsidRPr="007359E3" w:rsidRDefault="0068431B" w:rsidP="007359E3">
            <w:pPr>
              <w:pStyle w:val="TableParagraph"/>
              <w:spacing w:before="60" w:after="60"/>
              <w:ind w:left="66" w:hanging="5"/>
              <w:rPr>
                <w:rFonts w:ascii="Segoe UI" w:hAnsi="Segoe UI" w:cs="Segoe UI"/>
                <w:b/>
                <w:bCs/>
                <w:w w:val="105"/>
                <w:sz w:val="16"/>
                <w:szCs w:val="16"/>
              </w:rPr>
            </w:pPr>
            <w:r w:rsidRPr="007359E3">
              <w:rPr>
                <w:rFonts w:ascii="Segoe UI" w:hAnsi="Segoe UI" w:cs="Segoe UI"/>
                <w:b/>
                <w:bCs/>
                <w:w w:val="105"/>
                <w:sz w:val="16"/>
                <w:szCs w:val="16"/>
              </w:rPr>
              <w:t>Implementing the COVID-19 vaccine strategy MCA</w:t>
            </w:r>
          </w:p>
        </w:tc>
        <w:tc>
          <w:tcPr>
            <w:tcW w:w="709" w:type="dxa"/>
          </w:tcPr>
          <w:p w14:paraId="081428BE" w14:textId="1B416D59" w:rsidR="0068431B" w:rsidRPr="007359E3" w:rsidRDefault="0068431B" w:rsidP="007359E3">
            <w:pPr>
              <w:pStyle w:val="TableParagraph"/>
              <w:spacing w:before="60" w:after="60"/>
              <w:ind w:left="-42" w:right="170" w:firstLine="99"/>
              <w:jc w:val="right"/>
              <w:rPr>
                <w:rFonts w:ascii="Segoe UI" w:hAnsi="Segoe UI" w:cs="Segoe UI"/>
                <w:b/>
                <w:bCs/>
                <w:sz w:val="16"/>
                <w:szCs w:val="16"/>
              </w:rPr>
            </w:pPr>
            <w:r w:rsidRPr="007359E3">
              <w:rPr>
                <w:rFonts w:ascii="Segoe UI" w:hAnsi="Segoe UI" w:cs="Segoe UI"/>
                <w:b/>
                <w:bCs/>
                <w:sz w:val="16"/>
                <w:szCs w:val="16"/>
              </w:rPr>
              <w:t>3</w:t>
            </w:r>
          </w:p>
        </w:tc>
        <w:tc>
          <w:tcPr>
            <w:tcW w:w="1181" w:type="dxa"/>
          </w:tcPr>
          <w:p w14:paraId="086BC882" w14:textId="1FB5F329" w:rsidR="0068431B" w:rsidRPr="007359E3" w:rsidRDefault="0068431B" w:rsidP="007359E3">
            <w:pPr>
              <w:pStyle w:val="TableParagraph"/>
              <w:spacing w:before="60" w:after="60"/>
              <w:ind w:left="-42" w:right="170" w:firstLine="99"/>
              <w:jc w:val="right"/>
              <w:rPr>
                <w:rFonts w:ascii="Segoe UI" w:hAnsi="Segoe UI" w:cs="Segoe UI"/>
                <w:b/>
                <w:bCs/>
                <w:sz w:val="16"/>
                <w:szCs w:val="16"/>
              </w:rPr>
            </w:pPr>
            <w:r w:rsidRPr="007359E3">
              <w:rPr>
                <w:rFonts w:ascii="Segoe UI" w:hAnsi="Segoe UI" w:cs="Segoe UI"/>
                <w:b/>
                <w:bCs/>
                <w:sz w:val="16"/>
                <w:szCs w:val="16"/>
              </w:rPr>
              <w:t>70,287</w:t>
            </w:r>
          </w:p>
        </w:tc>
        <w:tc>
          <w:tcPr>
            <w:tcW w:w="1158" w:type="dxa"/>
          </w:tcPr>
          <w:p w14:paraId="29F7E1A5" w14:textId="223E2D29" w:rsidR="0068431B" w:rsidRPr="007359E3" w:rsidRDefault="0068431B" w:rsidP="007359E3">
            <w:pPr>
              <w:pStyle w:val="TableParagraph"/>
              <w:spacing w:before="60" w:after="60"/>
              <w:ind w:left="-42" w:right="170" w:firstLine="99"/>
              <w:jc w:val="right"/>
              <w:rPr>
                <w:rFonts w:ascii="Segoe UI" w:hAnsi="Segoe UI" w:cs="Segoe UI"/>
                <w:b/>
                <w:bCs/>
                <w:sz w:val="16"/>
                <w:szCs w:val="16"/>
              </w:rPr>
            </w:pPr>
            <w:r w:rsidRPr="007359E3">
              <w:rPr>
                <w:rFonts w:ascii="Segoe UI" w:hAnsi="Segoe UI" w:cs="Segoe UI"/>
                <w:b/>
                <w:bCs/>
                <w:sz w:val="16"/>
                <w:szCs w:val="16"/>
              </w:rPr>
              <w:t>295,118</w:t>
            </w:r>
          </w:p>
        </w:tc>
        <w:tc>
          <w:tcPr>
            <w:tcW w:w="1119" w:type="dxa"/>
          </w:tcPr>
          <w:p w14:paraId="2598362F" w14:textId="46573963" w:rsidR="0068431B" w:rsidRPr="007359E3" w:rsidRDefault="0068431B" w:rsidP="007359E3">
            <w:pPr>
              <w:pStyle w:val="TableParagraph"/>
              <w:spacing w:before="60" w:after="60"/>
              <w:ind w:left="-42" w:right="170" w:firstLine="99"/>
              <w:jc w:val="right"/>
              <w:rPr>
                <w:rFonts w:ascii="Segoe UI" w:hAnsi="Segoe UI" w:cs="Segoe UI"/>
                <w:b/>
                <w:bCs/>
                <w:sz w:val="16"/>
                <w:szCs w:val="16"/>
              </w:rPr>
            </w:pPr>
            <w:r w:rsidRPr="007359E3">
              <w:rPr>
                <w:rFonts w:ascii="Segoe UI" w:hAnsi="Segoe UI" w:cs="Segoe UI"/>
                <w:b/>
                <w:bCs/>
                <w:sz w:val="16"/>
                <w:szCs w:val="16"/>
              </w:rPr>
              <w:t>105,287</w:t>
            </w:r>
          </w:p>
        </w:tc>
        <w:tc>
          <w:tcPr>
            <w:tcW w:w="1275" w:type="dxa"/>
          </w:tcPr>
          <w:p w14:paraId="5B63683D" w14:textId="77777777" w:rsidR="0068431B" w:rsidRPr="007359E3" w:rsidRDefault="0068431B" w:rsidP="007359E3">
            <w:pPr>
              <w:pStyle w:val="TableParagraph"/>
              <w:spacing w:before="60" w:after="60"/>
              <w:ind w:left="-42" w:right="170" w:firstLine="99"/>
              <w:jc w:val="right"/>
              <w:rPr>
                <w:rFonts w:ascii="Segoe UI" w:hAnsi="Segoe UI" w:cs="Segoe UI"/>
                <w:sz w:val="16"/>
                <w:szCs w:val="16"/>
              </w:rPr>
            </w:pPr>
          </w:p>
        </w:tc>
      </w:tr>
      <w:tr w:rsidR="0068431B" w14:paraId="6F55D7AF" w14:textId="77777777" w:rsidTr="0068431B">
        <w:trPr>
          <w:trHeight w:val="340"/>
        </w:trPr>
        <w:tc>
          <w:tcPr>
            <w:tcW w:w="1133" w:type="dxa"/>
          </w:tcPr>
          <w:p w14:paraId="7347D786" w14:textId="77777777" w:rsidR="0068431B" w:rsidRPr="0068431B" w:rsidRDefault="0068431B" w:rsidP="007359E3">
            <w:pPr>
              <w:pStyle w:val="TableParagraph"/>
              <w:spacing w:before="60" w:after="60"/>
              <w:ind w:left="-42" w:right="170" w:firstLine="99"/>
              <w:jc w:val="right"/>
              <w:rPr>
                <w:rFonts w:ascii="Segoe UI" w:hAnsi="Segoe UI" w:cs="Segoe UI"/>
                <w:sz w:val="16"/>
                <w:szCs w:val="16"/>
              </w:rPr>
            </w:pPr>
          </w:p>
        </w:tc>
        <w:tc>
          <w:tcPr>
            <w:tcW w:w="2635" w:type="dxa"/>
          </w:tcPr>
          <w:p w14:paraId="262411FD" w14:textId="222C40CD" w:rsidR="0068431B" w:rsidRPr="0068431B" w:rsidRDefault="0068431B" w:rsidP="007359E3">
            <w:pPr>
              <w:pStyle w:val="TableParagraph"/>
              <w:spacing w:before="60" w:after="60"/>
              <w:ind w:left="66" w:hanging="5"/>
              <w:rPr>
                <w:rFonts w:ascii="Segoe UI" w:hAnsi="Segoe UI" w:cs="Segoe UI"/>
                <w:i/>
                <w:iCs/>
                <w:w w:val="105"/>
                <w:sz w:val="16"/>
                <w:szCs w:val="16"/>
              </w:rPr>
            </w:pPr>
            <w:r w:rsidRPr="0068431B">
              <w:rPr>
                <w:rFonts w:ascii="Segoe UI" w:hAnsi="Segoe UI" w:cs="Segoe UI"/>
                <w:i/>
                <w:iCs/>
                <w:w w:val="105"/>
                <w:sz w:val="16"/>
                <w:szCs w:val="16"/>
              </w:rPr>
              <w:t>Non-departmental output expenses</w:t>
            </w:r>
          </w:p>
        </w:tc>
        <w:tc>
          <w:tcPr>
            <w:tcW w:w="709" w:type="dxa"/>
          </w:tcPr>
          <w:p w14:paraId="50D2D660" w14:textId="77777777" w:rsidR="0068431B" w:rsidRPr="007359E3" w:rsidRDefault="0068431B" w:rsidP="007359E3">
            <w:pPr>
              <w:pStyle w:val="TableParagraph"/>
              <w:spacing w:before="60" w:after="60"/>
              <w:ind w:left="-42" w:right="170" w:firstLine="99"/>
              <w:jc w:val="right"/>
              <w:rPr>
                <w:rFonts w:ascii="Segoe UI" w:hAnsi="Segoe UI" w:cs="Segoe UI"/>
                <w:b/>
                <w:bCs/>
                <w:sz w:val="16"/>
                <w:szCs w:val="16"/>
              </w:rPr>
            </w:pPr>
          </w:p>
        </w:tc>
        <w:tc>
          <w:tcPr>
            <w:tcW w:w="1181" w:type="dxa"/>
          </w:tcPr>
          <w:p w14:paraId="4376F4F2" w14:textId="77777777" w:rsidR="0068431B" w:rsidRPr="0068431B" w:rsidRDefault="0068431B" w:rsidP="007359E3">
            <w:pPr>
              <w:pStyle w:val="TableParagraph"/>
              <w:spacing w:before="60" w:after="60"/>
              <w:ind w:left="-42" w:right="170" w:firstLine="99"/>
              <w:jc w:val="right"/>
              <w:rPr>
                <w:rFonts w:ascii="Segoe UI" w:hAnsi="Segoe UI" w:cs="Segoe UI"/>
                <w:sz w:val="16"/>
                <w:szCs w:val="16"/>
              </w:rPr>
            </w:pPr>
          </w:p>
        </w:tc>
        <w:tc>
          <w:tcPr>
            <w:tcW w:w="1158" w:type="dxa"/>
          </w:tcPr>
          <w:p w14:paraId="459FBA1C" w14:textId="77777777" w:rsidR="0068431B" w:rsidRPr="0068431B" w:rsidRDefault="0068431B" w:rsidP="007359E3">
            <w:pPr>
              <w:pStyle w:val="TableParagraph"/>
              <w:spacing w:before="60" w:after="60"/>
              <w:ind w:left="-42" w:right="170" w:firstLine="99"/>
              <w:jc w:val="right"/>
              <w:rPr>
                <w:rFonts w:ascii="Segoe UI" w:hAnsi="Segoe UI" w:cs="Segoe UI"/>
                <w:sz w:val="16"/>
                <w:szCs w:val="16"/>
              </w:rPr>
            </w:pPr>
          </w:p>
        </w:tc>
        <w:tc>
          <w:tcPr>
            <w:tcW w:w="1119" w:type="dxa"/>
          </w:tcPr>
          <w:p w14:paraId="1BB3A7FB" w14:textId="77777777" w:rsidR="0068431B" w:rsidRPr="0068431B" w:rsidRDefault="0068431B" w:rsidP="007359E3">
            <w:pPr>
              <w:pStyle w:val="TableParagraph"/>
              <w:spacing w:before="60" w:after="60"/>
              <w:ind w:left="-42" w:right="170" w:firstLine="99"/>
              <w:jc w:val="right"/>
              <w:rPr>
                <w:rFonts w:ascii="Segoe UI" w:hAnsi="Segoe UI" w:cs="Segoe UI"/>
                <w:sz w:val="16"/>
                <w:szCs w:val="16"/>
              </w:rPr>
            </w:pPr>
          </w:p>
        </w:tc>
        <w:tc>
          <w:tcPr>
            <w:tcW w:w="1275" w:type="dxa"/>
          </w:tcPr>
          <w:p w14:paraId="563FF98F" w14:textId="77777777" w:rsidR="0068431B" w:rsidRPr="007359E3" w:rsidRDefault="0068431B" w:rsidP="007359E3">
            <w:pPr>
              <w:pStyle w:val="TableParagraph"/>
              <w:spacing w:before="60" w:after="60"/>
              <w:ind w:left="-42" w:right="170" w:firstLine="99"/>
              <w:jc w:val="right"/>
              <w:rPr>
                <w:rFonts w:ascii="Segoe UI" w:hAnsi="Segoe UI" w:cs="Segoe UI"/>
                <w:sz w:val="16"/>
                <w:szCs w:val="16"/>
              </w:rPr>
            </w:pPr>
          </w:p>
        </w:tc>
      </w:tr>
      <w:tr w:rsidR="007359E3" w14:paraId="07D5F10B" w14:textId="77777777" w:rsidTr="0068431B">
        <w:trPr>
          <w:trHeight w:val="340"/>
        </w:trPr>
        <w:tc>
          <w:tcPr>
            <w:tcW w:w="1133" w:type="dxa"/>
          </w:tcPr>
          <w:p w14:paraId="4B4054A0" w14:textId="366E8C8E" w:rsidR="007359E3"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301,794</w:t>
            </w:r>
          </w:p>
        </w:tc>
        <w:tc>
          <w:tcPr>
            <w:tcW w:w="2635" w:type="dxa"/>
          </w:tcPr>
          <w:p w14:paraId="7DFB684C" w14:textId="559A2136" w:rsidR="007359E3" w:rsidRDefault="007359E3" w:rsidP="007359E3">
            <w:pPr>
              <w:pStyle w:val="TableParagraph"/>
              <w:spacing w:before="60" w:after="60"/>
              <w:ind w:left="66" w:hanging="5"/>
              <w:rPr>
                <w:rFonts w:ascii="Segoe UI" w:hAnsi="Segoe UI" w:cs="Segoe UI"/>
                <w:w w:val="105"/>
                <w:sz w:val="16"/>
                <w:szCs w:val="16"/>
              </w:rPr>
            </w:pPr>
            <w:r w:rsidRPr="0068431B">
              <w:rPr>
                <w:rFonts w:ascii="Segoe UI" w:hAnsi="Segoe UI" w:cs="Segoe UI"/>
                <w:w w:val="105"/>
                <w:sz w:val="16"/>
                <w:szCs w:val="16"/>
              </w:rPr>
              <w:t>Implementing the COVID-19 immunisation programme</w:t>
            </w:r>
          </w:p>
        </w:tc>
        <w:tc>
          <w:tcPr>
            <w:tcW w:w="709" w:type="dxa"/>
          </w:tcPr>
          <w:p w14:paraId="30DD1436" w14:textId="77777777" w:rsidR="007359E3" w:rsidRPr="007359E3" w:rsidRDefault="007359E3" w:rsidP="007359E3">
            <w:pPr>
              <w:pStyle w:val="TableParagraph"/>
              <w:spacing w:before="60" w:after="60"/>
              <w:ind w:left="-42" w:right="170" w:firstLine="99"/>
              <w:jc w:val="right"/>
              <w:rPr>
                <w:rFonts w:ascii="Segoe UI" w:hAnsi="Segoe UI" w:cs="Segoe UI"/>
                <w:b/>
                <w:bCs/>
                <w:sz w:val="16"/>
                <w:szCs w:val="16"/>
              </w:rPr>
            </w:pPr>
          </w:p>
        </w:tc>
        <w:tc>
          <w:tcPr>
            <w:tcW w:w="1181" w:type="dxa"/>
          </w:tcPr>
          <w:p w14:paraId="2C5D24F9" w14:textId="65DE36E6" w:rsidR="007359E3" w:rsidRPr="0068431B"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70,287</w:t>
            </w:r>
          </w:p>
        </w:tc>
        <w:tc>
          <w:tcPr>
            <w:tcW w:w="1158" w:type="dxa"/>
          </w:tcPr>
          <w:p w14:paraId="0C6037A2" w14:textId="18ECF3E4" w:rsidR="007359E3" w:rsidRPr="0068431B"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129,918</w:t>
            </w:r>
          </w:p>
        </w:tc>
        <w:tc>
          <w:tcPr>
            <w:tcW w:w="1119" w:type="dxa"/>
          </w:tcPr>
          <w:p w14:paraId="6242E6CA" w14:textId="55553F9A" w:rsidR="007359E3" w:rsidRPr="0068431B"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105,287</w:t>
            </w:r>
          </w:p>
        </w:tc>
        <w:tc>
          <w:tcPr>
            <w:tcW w:w="1275" w:type="dxa"/>
          </w:tcPr>
          <w:p w14:paraId="3B9CC247" w14:textId="08B1569A" w:rsidR="007359E3" w:rsidRPr="007359E3" w:rsidRDefault="007359E3" w:rsidP="007359E3">
            <w:pPr>
              <w:pStyle w:val="TableParagraph"/>
              <w:spacing w:before="60" w:after="60"/>
              <w:ind w:left="-42" w:right="170" w:firstLine="99"/>
              <w:jc w:val="right"/>
              <w:rPr>
                <w:rFonts w:ascii="Segoe UI" w:hAnsi="Segoe UI" w:cs="Segoe UI"/>
                <w:sz w:val="16"/>
                <w:szCs w:val="16"/>
              </w:rPr>
            </w:pPr>
            <w:r w:rsidRPr="007359E3">
              <w:rPr>
                <w:rFonts w:ascii="Segoe UI" w:hAnsi="Segoe UI" w:cs="Segoe UI"/>
                <w:sz w:val="16"/>
                <w:szCs w:val="16"/>
              </w:rPr>
              <w:t>5</w:t>
            </w:r>
          </w:p>
        </w:tc>
      </w:tr>
      <w:tr w:rsidR="007359E3" w14:paraId="39EF3319" w14:textId="77777777" w:rsidTr="0068431B">
        <w:trPr>
          <w:trHeight w:val="340"/>
        </w:trPr>
        <w:tc>
          <w:tcPr>
            <w:tcW w:w="1133" w:type="dxa"/>
          </w:tcPr>
          <w:p w14:paraId="358CDEE8" w14:textId="4A12F45C" w:rsidR="007359E3"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602,086</w:t>
            </w:r>
          </w:p>
        </w:tc>
        <w:tc>
          <w:tcPr>
            <w:tcW w:w="2635" w:type="dxa"/>
          </w:tcPr>
          <w:p w14:paraId="78502EB0" w14:textId="14F8F32E" w:rsidR="007359E3" w:rsidRDefault="007359E3" w:rsidP="007359E3">
            <w:pPr>
              <w:pStyle w:val="TableParagraph"/>
              <w:spacing w:before="60" w:after="60"/>
              <w:ind w:left="66" w:hanging="5"/>
              <w:rPr>
                <w:rFonts w:ascii="Segoe UI" w:hAnsi="Segoe UI" w:cs="Segoe UI"/>
                <w:w w:val="105"/>
                <w:sz w:val="16"/>
                <w:szCs w:val="16"/>
              </w:rPr>
            </w:pPr>
            <w:r w:rsidRPr="0068431B">
              <w:rPr>
                <w:rFonts w:ascii="Segoe UI" w:hAnsi="Segoe UI" w:cs="Segoe UI"/>
                <w:w w:val="105"/>
                <w:sz w:val="16"/>
                <w:szCs w:val="16"/>
              </w:rPr>
              <w:t>Purchasing potential and proven COVID-19 vaccines and other therapeutics</w:t>
            </w:r>
          </w:p>
        </w:tc>
        <w:tc>
          <w:tcPr>
            <w:tcW w:w="709" w:type="dxa"/>
          </w:tcPr>
          <w:p w14:paraId="371C0FEC" w14:textId="77777777" w:rsidR="007359E3" w:rsidRPr="007359E3" w:rsidRDefault="007359E3" w:rsidP="007359E3">
            <w:pPr>
              <w:pStyle w:val="TableParagraph"/>
              <w:spacing w:before="60" w:after="60"/>
              <w:ind w:left="-42" w:right="170" w:firstLine="99"/>
              <w:jc w:val="right"/>
              <w:rPr>
                <w:rFonts w:ascii="Segoe UI" w:hAnsi="Segoe UI" w:cs="Segoe UI"/>
                <w:b/>
                <w:bCs/>
                <w:sz w:val="16"/>
                <w:szCs w:val="16"/>
              </w:rPr>
            </w:pPr>
          </w:p>
        </w:tc>
        <w:tc>
          <w:tcPr>
            <w:tcW w:w="1181" w:type="dxa"/>
          </w:tcPr>
          <w:p w14:paraId="4A9B9F7C" w14:textId="4275E59D" w:rsidR="007359E3" w:rsidRPr="0068431B"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w:t>
            </w:r>
          </w:p>
        </w:tc>
        <w:tc>
          <w:tcPr>
            <w:tcW w:w="1158" w:type="dxa"/>
          </w:tcPr>
          <w:p w14:paraId="4F422E37" w14:textId="3FF69CBD" w:rsidR="007359E3" w:rsidRPr="0068431B"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165,200</w:t>
            </w:r>
          </w:p>
        </w:tc>
        <w:tc>
          <w:tcPr>
            <w:tcW w:w="1119" w:type="dxa"/>
          </w:tcPr>
          <w:p w14:paraId="38F3C979" w14:textId="72E7DD4B" w:rsidR="007359E3" w:rsidRPr="0068431B" w:rsidRDefault="007359E3"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w:t>
            </w:r>
          </w:p>
        </w:tc>
        <w:tc>
          <w:tcPr>
            <w:tcW w:w="1275" w:type="dxa"/>
          </w:tcPr>
          <w:p w14:paraId="7B850A75" w14:textId="1654037A" w:rsidR="007359E3" w:rsidRPr="007359E3" w:rsidRDefault="007359E3" w:rsidP="007359E3">
            <w:pPr>
              <w:pStyle w:val="TableParagraph"/>
              <w:spacing w:before="60" w:after="60"/>
              <w:ind w:left="-42" w:right="170" w:firstLine="99"/>
              <w:jc w:val="right"/>
              <w:rPr>
                <w:rFonts w:ascii="Segoe UI" w:hAnsi="Segoe UI" w:cs="Segoe UI"/>
                <w:sz w:val="16"/>
                <w:szCs w:val="16"/>
              </w:rPr>
            </w:pPr>
            <w:r w:rsidRPr="007359E3">
              <w:rPr>
                <w:rFonts w:ascii="Segoe UI" w:hAnsi="Segoe UI" w:cs="Segoe UI"/>
                <w:sz w:val="16"/>
                <w:szCs w:val="16"/>
              </w:rPr>
              <w:t>2, 5</w:t>
            </w:r>
          </w:p>
        </w:tc>
      </w:tr>
      <w:tr w:rsidR="0068431B" w:rsidRPr="007359E3" w14:paraId="611E8E89" w14:textId="77777777" w:rsidTr="0068431B">
        <w:trPr>
          <w:trHeight w:val="340"/>
        </w:trPr>
        <w:tc>
          <w:tcPr>
            <w:tcW w:w="1133" w:type="dxa"/>
          </w:tcPr>
          <w:p w14:paraId="28882505" w14:textId="54353FEB" w:rsidR="0068431B" w:rsidRPr="007359E3" w:rsidRDefault="0068431B" w:rsidP="007359E3">
            <w:pPr>
              <w:pStyle w:val="TableParagraph"/>
              <w:spacing w:before="60" w:after="60"/>
              <w:ind w:left="-42" w:right="170" w:firstLine="99"/>
              <w:jc w:val="right"/>
              <w:rPr>
                <w:rFonts w:ascii="Segoe UI" w:hAnsi="Segoe UI" w:cs="Segoe UI"/>
                <w:b/>
                <w:bCs/>
                <w:sz w:val="16"/>
                <w:szCs w:val="16"/>
              </w:rPr>
            </w:pPr>
            <w:r w:rsidRPr="007359E3">
              <w:rPr>
                <w:rFonts w:ascii="Segoe UI" w:hAnsi="Segoe UI" w:cs="Segoe UI"/>
                <w:b/>
                <w:bCs/>
                <w:sz w:val="16"/>
                <w:szCs w:val="16"/>
              </w:rPr>
              <w:t>1,180,815</w:t>
            </w:r>
          </w:p>
        </w:tc>
        <w:tc>
          <w:tcPr>
            <w:tcW w:w="2635" w:type="dxa"/>
          </w:tcPr>
          <w:p w14:paraId="0A00E99E" w14:textId="2D95E808" w:rsidR="0068431B" w:rsidRPr="007359E3" w:rsidRDefault="0068431B" w:rsidP="007359E3">
            <w:pPr>
              <w:pStyle w:val="TableParagraph"/>
              <w:spacing w:before="60" w:after="60"/>
              <w:ind w:left="66" w:hanging="5"/>
              <w:rPr>
                <w:rFonts w:ascii="Segoe UI" w:hAnsi="Segoe UI" w:cs="Segoe UI"/>
                <w:b/>
                <w:bCs/>
                <w:w w:val="105"/>
                <w:sz w:val="16"/>
                <w:szCs w:val="16"/>
              </w:rPr>
            </w:pPr>
            <w:r w:rsidRPr="007359E3">
              <w:rPr>
                <w:rFonts w:ascii="Segoe UI" w:hAnsi="Segoe UI" w:cs="Segoe UI"/>
                <w:b/>
                <w:bCs/>
                <w:w w:val="105"/>
                <w:sz w:val="16"/>
                <w:szCs w:val="16"/>
              </w:rPr>
              <w:t>National response to COVID-19 across the health sector MCA</w:t>
            </w:r>
          </w:p>
        </w:tc>
        <w:tc>
          <w:tcPr>
            <w:tcW w:w="709" w:type="dxa"/>
          </w:tcPr>
          <w:p w14:paraId="600EF9BC" w14:textId="44216FE5" w:rsidR="0068431B" w:rsidRPr="007359E3" w:rsidRDefault="0068431B" w:rsidP="007359E3">
            <w:pPr>
              <w:pStyle w:val="TableParagraph"/>
              <w:spacing w:before="60" w:after="60"/>
              <w:ind w:left="-42" w:right="170" w:firstLine="99"/>
              <w:jc w:val="right"/>
              <w:rPr>
                <w:rFonts w:ascii="Segoe UI" w:hAnsi="Segoe UI" w:cs="Segoe UI"/>
                <w:b/>
                <w:bCs/>
                <w:sz w:val="16"/>
                <w:szCs w:val="16"/>
              </w:rPr>
            </w:pPr>
            <w:r w:rsidRPr="007359E3">
              <w:rPr>
                <w:rFonts w:ascii="Segoe UI" w:hAnsi="Segoe UI" w:cs="Segoe UI"/>
                <w:b/>
                <w:bCs/>
                <w:sz w:val="16"/>
                <w:szCs w:val="16"/>
              </w:rPr>
              <w:t>3</w:t>
            </w:r>
          </w:p>
        </w:tc>
        <w:tc>
          <w:tcPr>
            <w:tcW w:w="1181" w:type="dxa"/>
          </w:tcPr>
          <w:p w14:paraId="398F8900" w14:textId="51CE8286" w:rsidR="0068431B" w:rsidRPr="007359E3" w:rsidRDefault="0068431B" w:rsidP="007359E3">
            <w:pPr>
              <w:pStyle w:val="TableParagraph"/>
              <w:spacing w:before="60" w:after="60"/>
              <w:ind w:left="-42" w:right="170" w:firstLine="99"/>
              <w:jc w:val="right"/>
              <w:rPr>
                <w:rFonts w:ascii="Segoe UI" w:hAnsi="Segoe UI" w:cs="Segoe UI"/>
                <w:b/>
                <w:bCs/>
                <w:sz w:val="16"/>
                <w:szCs w:val="16"/>
              </w:rPr>
            </w:pPr>
            <w:r w:rsidRPr="007359E3">
              <w:rPr>
                <w:rFonts w:ascii="Segoe UI" w:hAnsi="Segoe UI" w:cs="Segoe UI"/>
                <w:b/>
                <w:bCs/>
                <w:sz w:val="16"/>
                <w:szCs w:val="16"/>
              </w:rPr>
              <w:t>177,448</w:t>
            </w:r>
          </w:p>
        </w:tc>
        <w:tc>
          <w:tcPr>
            <w:tcW w:w="1158" w:type="dxa"/>
          </w:tcPr>
          <w:p w14:paraId="52878776" w14:textId="7A7242D1" w:rsidR="0068431B" w:rsidRPr="007359E3" w:rsidRDefault="0068431B" w:rsidP="007359E3">
            <w:pPr>
              <w:pStyle w:val="TableParagraph"/>
              <w:spacing w:before="60" w:after="60"/>
              <w:ind w:left="-42" w:right="170" w:firstLine="99"/>
              <w:jc w:val="right"/>
              <w:rPr>
                <w:rFonts w:ascii="Segoe UI" w:hAnsi="Segoe UI" w:cs="Segoe UI"/>
                <w:b/>
                <w:bCs/>
                <w:sz w:val="16"/>
                <w:szCs w:val="16"/>
              </w:rPr>
            </w:pPr>
            <w:r w:rsidRPr="007359E3">
              <w:rPr>
                <w:rFonts w:ascii="Segoe UI" w:hAnsi="Segoe UI" w:cs="Segoe UI"/>
                <w:b/>
                <w:bCs/>
                <w:sz w:val="16"/>
                <w:szCs w:val="16"/>
              </w:rPr>
              <w:t>–</w:t>
            </w:r>
          </w:p>
        </w:tc>
        <w:tc>
          <w:tcPr>
            <w:tcW w:w="1119" w:type="dxa"/>
          </w:tcPr>
          <w:p w14:paraId="34649821" w14:textId="0C7A3A99" w:rsidR="0068431B" w:rsidRPr="007359E3" w:rsidRDefault="0068431B" w:rsidP="007359E3">
            <w:pPr>
              <w:pStyle w:val="TableParagraph"/>
              <w:spacing w:before="60" w:after="60"/>
              <w:ind w:left="-42" w:right="170" w:firstLine="99"/>
              <w:jc w:val="right"/>
              <w:rPr>
                <w:rFonts w:ascii="Segoe UI" w:hAnsi="Segoe UI" w:cs="Segoe UI"/>
                <w:b/>
                <w:bCs/>
                <w:sz w:val="16"/>
                <w:szCs w:val="16"/>
              </w:rPr>
            </w:pPr>
            <w:r w:rsidRPr="007359E3">
              <w:rPr>
                <w:rFonts w:ascii="Segoe UI" w:hAnsi="Segoe UI" w:cs="Segoe UI"/>
                <w:b/>
                <w:bCs/>
                <w:sz w:val="16"/>
                <w:szCs w:val="16"/>
              </w:rPr>
              <w:t>210,961</w:t>
            </w:r>
          </w:p>
        </w:tc>
        <w:tc>
          <w:tcPr>
            <w:tcW w:w="1275" w:type="dxa"/>
          </w:tcPr>
          <w:p w14:paraId="122CF0CC" w14:textId="604C432A" w:rsidR="0068431B" w:rsidRPr="007359E3" w:rsidRDefault="0068431B" w:rsidP="007359E3">
            <w:pPr>
              <w:pStyle w:val="TableParagraph"/>
              <w:spacing w:before="60" w:after="60"/>
              <w:ind w:left="-42" w:right="152" w:firstLine="99"/>
              <w:jc w:val="right"/>
              <w:rPr>
                <w:rFonts w:ascii="Segoe UI" w:hAnsi="Segoe UI" w:cs="Segoe UI"/>
                <w:b/>
                <w:bCs/>
                <w:w w:val="110"/>
                <w:sz w:val="16"/>
                <w:szCs w:val="16"/>
              </w:rPr>
            </w:pPr>
          </w:p>
        </w:tc>
      </w:tr>
      <w:tr w:rsidR="0068431B" w:rsidRPr="007359E3" w14:paraId="0232B841" w14:textId="77777777" w:rsidTr="0068431B">
        <w:trPr>
          <w:trHeight w:val="340"/>
        </w:trPr>
        <w:tc>
          <w:tcPr>
            <w:tcW w:w="1133" w:type="dxa"/>
          </w:tcPr>
          <w:p w14:paraId="6C4F0219" w14:textId="1B6245F6" w:rsidR="0068431B" w:rsidRPr="007359E3" w:rsidRDefault="0068431B" w:rsidP="007359E3">
            <w:pPr>
              <w:pStyle w:val="TableParagraph"/>
              <w:spacing w:before="60" w:after="60"/>
              <w:ind w:left="-42" w:right="170" w:firstLine="99"/>
              <w:jc w:val="right"/>
              <w:rPr>
                <w:rFonts w:ascii="Segoe UI" w:hAnsi="Segoe UI" w:cs="Segoe UI"/>
                <w:i/>
                <w:iCs/>
                <w:sz w:val="16"/>
                <w:szCs w:val="16"/>
              </w:rPr>
            </w:pPr>
          </w:p>
        </w:tc>
        <w:tc>
          <w:tcPr>
            <w:tcW w:w="2635" w:type="dxa"/>
          </w:tcPr>
          <w:p w14:paraId="2E105B3D" w14:textId="6AF336D9" w:rsidR="0068431B" w:rsidRPr="007359E3" w:rsidRDefault="0068431B" w:rsidP="007359E3">
            <w:pPr>
              <w:pStyle w:val="TableParagraph"/>
              <w:spacing w:before="60" w:after="60"/>
              <w:ind w:left="66" w:hanging="5"/>
              <w:rPr>
                <w:rFonts w:ascii="Segoe UI" w:hAnsi="Segoe UI" w:cs="Segoe UI"/>
                <w:i/>
                <w:iCs/>
                <w:w w:val="105"/>
                <w:sz w:val="16"/>
                <w:szCs w:val="16"/>
              </w:rPr>
            </w:pPr>
            <w:r w:rsidRPr="007359E3">
              <w:rPr>
                <w:rFonts w:ascii="Segoe UI" w:hAnsi="Segoe UI" w:cs="Segoe UI"/>
                <w:i/>
                <w:iCs/>
                <w:w w:val="105"/>
                <w:sz w:val="16"/>
                <w:szCs w:val="16"/>
              </w:rPr>
              <w:t>Departmental output expenses</w:t>
            </w:r>
          </w:p>
        </w:tc>
        <w:tc>
          <w:tcPr>
            <w:tcW w:w="709" w:type="dxa"/>
          </w:tcPr>
          <w:p w14:paraId="44890B33" w14:textId="77777777" w:rsidR="0068431B" w:rsidRPr="007359E3" w:rsidRDefault="0068431B" w:rsidP="007359E3">
            <w:pPr>
              <w:pStyle w:val="TableParagraph"/>
              <w:spacing w:before="60" w:after="60"/>
              <w:ind w:left="-42" w:right="152" w:firstLine="99"/>
              <w:jc w:val="right"/>
              <w:rPr>
                <w:rFonts w:ascii="Segoe UI" w:hAnsi="Segoe UI" w:cs="Segoe UI"/>
                <w:i/>
                <w:iCs/>
                <w:w w:val="110"/>
                <w:sz w:val="16"/>
                <w:szCs w:val="16"/>
              </w:rPr>
            </w:pPr>
          </w:p>
        </w:tc>
        <w:tc>
          <w:tcPr>
            <w:tcW w:w="1181" w:type="dxa"/>
          </w:tcPr>
          <w:p w14:paraId="587F8DC6" w14:textId="6D049E69" w:rsidR="0068431B" w:rsidRPr="007359E3" w:rsidRDefault="0068431B" w:rsidP="007359E3">
            <w:pPr>
              <w:pStyle w:val="TableParagraph"/>
              <w:spacing w:before="60" w:after="60"/>
              <w:ind w:left="-42" w:right="170" w:firstLine="99"/>
              <w:jc w:val="right"/>
              <w:rPr>
                <w:rFonts w:ascii="Segoe UI" w:hAnsi="Segoe UI" w:cs="Segoe UI"/>
                <w:i/>
                <w:iCs/>
                <w:sz w:val="16"/>
                <w:szCs w:val="16"/>
              </w:rPr>
            </w:pPr>
          </w:p>
        </w:tc>
        <w:tc>
          <w:tcPr>
            <w:tcW w:w="1158" w:type="dxa"/>
          </w:tcPr>
          <w:p w14:paraId="306ED480" w14:textId="1EF6616F" w:rsidR="0068431B" w:rsidRPr="007359E3" w:rsidRDefault="0068431B" w:rsidP="007359E3">
            <w:pPr>
              <w:pStyle w:val="TableParagraph"/>
              <w:spacing w:before="60" w:after="60"/>
              <w:ind w:left="-42" w:right="170" w:firstLine="99"/>
              <w:jc w:val="right"/>
              <w:rPr>
                <w:rFonts w:ascii="Segoe UI" w:hAnsi="Segoe UI" w:cs="Segoe UI"/>
                <w:i/>
                <w:iCs/>
                <w:sz w:val="16"/>
                <w:szCs w:val="16"/>
              </w:rPr>
            </w:pPr>
          </w:p>
        </w:tc>
        <w:tc>
          <w:tcPr>
            <w:tcW w:w="1119" w:type="dxa"/>
          </w:tcPr>
          <w:p w14:paraId="26DAF7BC" w14:textId="3C8394F5" w:rsidR="0068431B" w:rsidRPr="007359E3" w:rsidRDefault="0068431B" w:rsidP="007359E3">
            <w:pPr>
              <w:pStyle w:val="TableParagraph"/>
              <w:spacing w:before="60" w:after="60"/>
              <w:ind w:left="-42" w:right="170" w:firstLine="99"/>
              <w:jc w:val="right"/>
              <w:rPr>
                <w:rFonts w:ascii="Segoe UI" w:hAnsi="Segoe UI" w:cs="Segoe UI"/>
                <w:i/>
                <w:iCs/>
                <w:sz w:val="16"/>
                <w:szCs w:val="16"/>
              </w:rPr>
            </w:pPr>
          </w:p>
        </w:tc>
        <w:tc>
          <w:tcPr>
            <w:tcW w:w="1275" w:type="dxa"/>
          </w:tcPr>
          <w:p w14:paraId="395EBAD8" w14:textId="7B95CA6C" w:rsidR="0068431B" w:rsidRPr="007359E3" w:rsidRDefault="0068431B" w:rsidP="007359E3">
            <w:pPr>
              <w:pStyle w:val="TableParagraph"/>
              <w:spacing w:before="60" w:after="60"/>
              <w:ind w:left="-42" w:right="152" w:firstLine="99"/>
              <w:jc w:val="right"/>
              <w:rPr>
                <w:rFonts w:ascii="Segoe UI" w:hAnsi="Segoe UI" w:cs="Segoe UI"/>
                <w:i/>
                <w:iCs/>
                <w:w w:val="110"/>
                <w:sz w:val="16"/>
                <w:szCs w:val="16"/>
              </w:rPr>
            </w:pPr>
          </w:p>
        </w:tc>
      </w:tr>
      <w:tr w:rsidR="0068431B" w14:paraId="2B003BE8" w14:textId="77777777" w:rsidTr="0068431B">
        <w:trPr>
          <w:trHeight w:val="340"/>
        </w:trPr>
        <w:tc>
          <w:tcPr>
            <w:tcW w:w="1133" w:type="dxa"/>
          </w:tcPr>
          <w:p w14:paraId="6ED34989" w14:textId="4BB92550" w:rsidR="0068431B" w:rsidRPr="0068431B" w:rsidRDefault="0068431B"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40,471</w:t>
            </w:r>
          </w:p>
        </w:tc>
        <w:tc>
          <w:tcPr>
            <w:tcW w:w="2635" w:type="dxa"/>
          </w:tcPr>
          <w:p w14:paraId="3AB90841" w14:textId="0F8C08AA" w:rsidR="0068431B" w:rsidRPr="0068431B" w:rsidRDefault="0068431B" w:rsidP="007359E3">
            <w:pPr>
              <w:pStyle w:val="TableParagraph"/>
              <w:spacing w:before="60" w:after="60"/>
              <w:ind w:left="66" w:hanging="5"/>
              <w:rPr>
                <w:rFonts w:ascii="Segoe UI" w:hAnsi="Segoe UI" w:cs="Segoe UI"/>
                <w:w w:val="105"/>
                <w:sz w:val="16"/>
                <w:szCs w:val="16"/>
              </w:rPr>
            </w:pPr>
            <w:r w:rsidRPr="0068431B">
              <w:rPr>
                <w:rFonts w:ascii="Segoe UI" w:hAnsi="Segoe UI" w:cs="Segoe UI"/>
                <w:w w:val="105"/>
                <w:sz w:val="16"/>
                <w:szCs w:val="16"/>
              </w:rPr>
              <w:t>National health response to COVID-19</w:t>
            </w:r>
          </w:p>
        </w:tc>
        <w:tc>
          <w:tcPr>
            <w:tcW w:w="709" w:type="dxa"/>
          </w:tcPr>
          <w:p w14:paraId="677E7D5A" w14:textId="353E1D93" w:rsidR="0068431B" w:rsidRDefault="0068431B" w:rsidP="007359E3">
            <w:pPr>
              <w:pStyle w:val="TableParagraph"/>
              <w:spacing w:before="60" w:after="60"/>
              <w:ind w:left="-42" w:right="152" w:firstLine="99"/>
              <w:jc w:val="right"/>
              <w:rPr>
                <w:rFonts w:ascii="Segoe UI" w:hAnsi="Segoe UI" w:cs="Segoe UI"/>
                <w:b/>
                <w:bCs/>
                <w:w w:val="110"/>
                <w:sz w:val="16"/>
                <w:szCs w:val="16"/>
              </w:rPr>
            </w:pPr>
          </w:p>
        </w:tc>
        <w:tc>
          <w:tcPr>
            <w:tcW w:w="1181" w:type="dxa"/>
          </w:tcPr>
          <w:p w14:paraId="7A9BDA6E" w14:textId="3B38336B" w:rsidR="0068431B" w:rsidRPr="0068431B" w:rsidRDefault="0068431B"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w:t>
            </w:r>
          </w:p>
        </w:tc>
        <w:tc>
          <w:tcPr>
            <w:tcW w:w="1158" w:type="dxa"/>
          </w:tcPr>
          <w:p w14:paraId="4817AE03" w14:textId="76195986" w:rsidR="0068431B" w:rsidRPr="0068431B" w:rsidRDefault="0068431B"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w:t>
            </w:r>
          </w:p>
        </w:tc>
        <w:tc>
          <w:tcPr>
            <w:tcW w:w="1119" w:type="dxa"/>
          </w:tcPr>
          <w:p w14:paraId="4F7B9343" w14:textId="458C58B9" w:rsidR="0068431B" w:rsidRPr="0068431B" w:rsidRDefault="0068431B"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10</w:t>
            </w:r>
          </w:p>
        </w:tc>
        <w:tc>
          <w:tcPr>
            <w:tcW w:w="1275" w:type="dxa"/>
          </w:tcPr>
          <w:p w14:paraId="52CD59F0" w14:textId="7F6FCBC6" w:rsidR="0068431B" w:rsidRDefault="007359E3" w:rsidP="007359E3">
            <w:pPr>
              <w:pStyle w:val="TableParagraph"/>
              <w:spacing w:before="60" w:after="60"/>
              <w:ind w:left="-42" w:right="152" w:firstLine="99"/>
              <w:jc w:val="right"/>
              <w:rPr>
                <w:rFonts w:ascii="Segoe UI" w:hAnsi="Segoe UI" w:cs="Segoe UI"/>
                <w:b/>
                <w:bCs/>
                <w:w w:val="110"/>
                <w:sz w:val="16"/>
                <w:szCs w:val="16"/>
              </w:rPr>
            </w:pPr>
            <w:r w:rsidRPr="007359E3">
              <w:rPr>
                <w:rFonts w:ascii="Segoe UI" w:hAnsi="Segoe UI" w:cs="Segoe UI"/>
                <w:sz w:val="16"/>
                <w:szCs w:val="16"/>
              </w:rPr>
              <w:t>1</w:t>
            </w:r>
          </w:p>
        </w:tc>
      </w:tr>
      <w:tr w:rsidR="0068431B" w:rsidRPr="007359E3" w14:paraId="74A093A9" w14:textId="77777777" w:rsidTr="007359E3">
        <w:trPr>
          <w:trHeight w:val="340"/>
        </w:trPr>
        <w:tc>
          <w:tcPr>
            <w:tcW w:w="1133" w:type="dxa"/>
          </w:tcPr>
          <w:p w14:paraId="43070674" w14:textId="2C71096A" w:rsidR="0068431B" w:rsidRPr="007359E3" w:rsidRDefault="0068431B" w:rsidP="007359E3">
            <w:pPr>
              <w:pStyle w:val="TableParagraph"/>
              <w:spacing w:before="60" w:after="60"/>
              <w:ind w:left="-42" w:right="170" w:firstLine="99"/>
              <w:jc w:val="right"/>
              <w:rPr>
                <w:rFonts w:ascii="Segoe UI" w:hAnsi="Segoe UI" w:cs="Segoe UI"/>
                <w:i/>
                <w:iCs/>
                <w:sz w:val="16"/>
                <w:szCs w:val="16"/>
              </w:rPr>
            </w:pPr>
          </w:p>
        </w:tc>
        <w:tc>
          <w:tcPr>
            <w:tcW w:w="2635" w:type="dxa"/>
          </w:tcPr>
          <w:p w14:paraId="7F8F5B71" w14:textId="71789E32" w:rsidR="0068431B" w:rsidRPr="007359E3" w:rsidRDefault="0068431B" w:rsidP="007359E3">
            <w:pPr>
              <w:pStyle w:val="TableParagraph"/>
              <w:spacing w:before="60" w:after="60"/>
              <w:ind w:left="66" w:hanging="5"/>
              <w:rPr>
                <w:rFonts w:ascii="Segoe UI" w:hAnsi="Segoe UI" w:cs="Segoe UI"/>
                <w:i/>
                <w:iCs/>
                <w:w w:val="105"/>
                <w:sz w:val="16"/>
                <w:szCs w:val="16"/>
              </w:rPr>
            </w:pPr>
            <w:r w:rsidRPr="007359E3">
              <w:rPr>
                <w:rFonts w:ascii="Segoe UI" w:hAnsi="Segoe UI" w:cs="Segoe UI"/>
                <w:i/>
                <w:iCs/>
                <w:w w:val="105"/>
                <w:sz w:val="16"/>
                <w:szCs w:val="16"/>
              </w:rPr>
              <w:t>Non-departmental output expenses</w:t>
            </w:r>
          </w:p>
        </w:tc>
        <w:tc>
          <w:tcPr>
            <w:tcW w:w="709" w:type="dxa"/>
          </w:tcPr>
          <w:p w14:paraId="39B3ECF2" w14:textId="77777777" w:rsidR="0068431B" w:rsidRPr="007359E3" w:rsidRDefault="0068431B" w:rsidP="007359E3">
            <w:pPr>
              <w:pStyle w:val="TableParagraph"/>
              <w:spacing w:before="60" w:after="60"/>
              <w:ind w:left="-42" w:right="152" w:firstLine="99"/>
              <w:jc w:val="right"/>
              <w:rPr>
                <w:rFonts w:ascii="Segoe UI" w:hAnsi="Segoe UI" w:cs="Segoe UI"/>
                <w:i/>
                <w:iCs/>
                <w:w w:val="110"/>
                <w:sz w:val="16"/>
                <w:szCs w:val="16"/>
              </w:rPr>
            </w:pPr>
          </w:p>
        </w:tc>
        <w:tc>
          <w:tcPr>
            <w:tcW w:w="1181" w:type="dxa"/>
          </w:tcPr>
          <w:p w14:paraId="4695D329" w14:textId="77777777" w:rsidR="0068431B" w:rsidRPr="007359E3" w:rsidRDefault="0068431B" w:rsidP="007359E3">
            <w:pPr>
              <w:pStyle w:val="TableParagraph"/>
              <w:spacing w:before="60" w:after="60"/>
              <w:ind w:left="-42" w:right="170" w:firstLine="99"/>
              <w:jc w:val="right"/>
              <w:rPr>
                <w:rFonts w:ascii="Segoe UI" w:hAnsi="Segoe UI" w:cs="Segoe UI"/>
                <w:i/>
                <w:iCs/>
                <w:sz w:val="16"/>
                <w:szCs w:val="16"/>
              </w:rPr>
            </w:pPr>
          </w:p>
        </w:tc>
        <w:tc>
          <w:tcPr>
            <w:tcW w:w="1158" w:type="dxa"/>
          </w:tcPr>
          <w:p w14:paraId="7CD29E2A" w14:textId="77777777" w:rsidR="0068431B" w:rsidRPr="007359E3" w:rsidRDefault="0068431B" w:rsidP="007359E3">
            <w:pPr>
              <w:pStyle w:val="TableParagraph"/>
              <w:spacing w:before="60" w:after="60"/>
              <w:ind w:left="-42" w:right="170" w:firstLine="99"/>
              <w:jc w:val="right"/>
              <w:rPr>
                <w:rFonts w:ascii="Segoe UI" w:hAnsi="Segoe UI" w:cs="Segoe UI"/>
                <w:i/>
                <w:iCs/>
                <w:sz w:val="16"/>
                <w:szCs w:val="16"/>
              </w:rPr>
            </w:pPr>
          </w:p>
        </w:tc>
        <w:tc>
          <w:tcPr>
            <w:tcW w:w="1119" w:type="dxa"/>
          </w:tcPr>
          <w:p w14:paraId="370A9C08" w14:textId="77777777" w:rsidR="0068431B" w:rsidRPr="007359E3" w:rsidRDefault="0068431B" w:rsidP="007359E3">
            <w:pPr>
              <w:pStyle w:val="TableParagraph"/>
              <w:spacing w:before="60" w:after="60"/>
              <w:ind w:left="-42" w:right="170" w:firstLine="99"/>
              <w:jc w:val="right"/>
              <w:rPr>
                <w:rFonts w:ascii="Segoe UI" w:hAnsi="Segoe UI" w:cs="Segoe UI"/>
                <w:i/>
                <w:iCs/>
                <w:sz w:val="16"/>
                <w:szCs w:val="16"/>
              </w:rPr>
            </w:pPr>
          </w:p>
        </w:tc>
        <w:tc>
          <w:tcPr>
            <w:tcW w:w="1275" w:type="dxa"/>
          </w:tcPr>
          <w:p w14:paraId="2D10B29A" w14:textId="77777777" w:rsidR="0068431B" w:rsidRPr="007359E3" w:rsidRDefault="0068431B" w:rsidP="007359E3">
            <w:pPr>
              <w:pStyle w:val="TableParagraph"/>
              <w:spacing w:before="60" w:after="60"/>
              <w:ind w:left="-42" w:right="152" w:firstLine="99"/>
              <w:jc w:val="right"/>
              <w:rPr>
                <w:rFonts w:ascii="Segoe UI" w:hAnsi="Segoe UI" w:cs="Segoe UI"/>
                <w:i/>
                <w:iCs/>
                <w:w w:val="110"/>
                <w:sz w:val="16"/>
                <w:szCs w:val="16"/>
              </w:rPr>
            </w:pPr>
          </w:p>
        </w:tc>
      </w:tr>
      <w:tr w:rsidR="0068431B" w14:paraId="2F60C1B8" w14:textId="77777777" w:rsidTr="007359E3">
        <w:trPr>
          <w:trHeight w:val="340"/>
        </w:trPr>
        <w:tc>
          <w:tcPr>
            <w:tcW w:w="1133" w:type="dxa"/>
            <w:tcBorders>
              <w:bottom w:val="single" w:sz="4" w:space="0" w:color="A6A6A6" w:themeColor="background1" w:themeShade="A6"/>
            </w:tcBorders>
          </w:tcPr>
          <w:p w14:paraId="4F4DB2CE" w14:textId="0782F104" w:rsidR="0068431B" w:rsidRDefault="0068431B"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1,140,344</w:t>
            </w:r>
          </w:p>
        </w:tc>
        <w:tc>
          <w:tcPr>
            <w:tcW w:w="2635" w:type="dxa"/>
            <w:tcBorders>
              <w:bottom w:val="single" w:sz="4" w:space="0" w:color="A6A6A6" w:themeColor="background1" w:themeShade="A6"/>
            </w:tcBorders>
          </w:tcPr>
          <w:p w14:paraId="72D15EC7" w14:textId="289DE7DD" w:rsidR="0068431B" w:rsidRDefault="0068431B" w:rsidP="007359E3">
            <w:pPr>
              <w:pStyle w:val="TableParagraph"/>
              <w:spacing w:before="60" w:after="60"/>
              <w:ind w:left="66" w:hanging="5"/>
              <w:rPr>
                <w:rFonts w:ascii="Segoe UI" w:hAnsi="Segoe UI" w:cs="Segoe UI"/>
                <w:w w:val="105"/>
                <w:sz w:val="16"/>
                <w:szCs w:val="16"/>
              </w:rPr>
            </w:pPr>
            <w:r w:rsidRPr="0068431B">
              <w:rPr>
                <w:rFonts w:ascii="Segoe UI" w:hAnsi="Segoe UI" w:cs="Segoe UI"/>
                <w:w w:val="105"/>
                <w:sz w:val="16"/>
                <w:szCs w:val="16"/>
              </w:rPr>
              <w:t>COVID-19 public health response</w:t>
            </w:r>
          </w:p>
        </w:tc>
        <w:tc>
          <w:tcPr>
            <w:tcW w:w="709" w:type="dxa"/>
            <w:tcBorders>
              <w:bottom w:val="single" w:sz="4" w:space="0" w:color="A6A6A6" w:themeColor="background1" w:themeShade="A6"/>
            </w:tcBorders>
          </w:tcPr>
          <w:p w14:paraId="652DDF3E" w14:textId="77777777" w:rsidR="0068431B" w:rsidRDefault="0068431B" w:rsidP="007359E3">
            <w:pPr>
              <w:pStyle w:val="TableParagraph"/>
              <w:spacing w:before="60" w:after="60"/>
              <w:ind w:left="-42" w:right="152" w:firstLine="99"/>
              <w:jc w:val="right"/>
              <w:rPr>
                <w:rFonts w:ascii="Segoe UI" w:hAnsi="Segoe UI" w:cs="Segoe UI"/>
                <w:w w:val="110"/>
                <w:sz w:val="16"/>
                <w:szCs w:val="16"/>
              </w:rPr>
            </w:pPr>
          </w:p>
        </w:tc>
        <w:tc>
          <w:tcPr>
            <w:tcW w:w="1181" w:type="dxa"/>
            <w:tcBorders>
              <w:bottom w:val="single" w:sz="4" w:space="0" w:color="A6A6A6" w:themeColor="background1" w:themeShade="A6"/>
            </w:tcBorders>
          </w:tcPr>
          <w:p w14:paraId="2BDA3D8B" w14:textId="3074DDB1" w:rsidR="0068431B" w:rsidRPr="0068431B" w:rsidRDefault="0068431B"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177,448</w:t>
            </w:r>
          </w:p>
        </w:tc>
        <w:tc>
          <w:tcPr>
            <w:tcW w:w="1158" w:type="dxa"/>
            <w:tcBorders>
              <w:bottom w:val="single" w:sz="4" w:space="0" w:color="A6A6A6" w:themeColor="background1" w:themeShade="A6"/>
            </w:tcBorders>
          </w:tcPr>
          <w:p w14:paraId="6E77C62D" w14:textId="0E69AD1D" w:rsidR="0068431B" w:rsidRPr="0068431B" w:rsidRDefault="0068431B"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w:t>
            </w:r>
          </w:p>
        </w:tc>
        <w:tc>
          <w:tcPr>
            <w:tcW w:w="1119" w:type="dxa"/>
            <w:tcBorders>
              <w:bottom w:val="single" w:sz="4" w:space="0" w:color="A6A6A6" w:themeColor="background1" w:themeShade="A6"/>
            </w:tcBorders>
          </w:tcPr>
          <w:p w14:paraId="03FA8D89" w14:textId="0722F4E6" w:rsidR="0068431B" w:rsidRPr="0068431B" w:rsidRDefault="0068431B" w:rsidP="007359E3">
            <w:pPr>
              <w:pStyle w:val="TableParagraph"/>
              <w:spacing w:before="60" w:after="60"/>
              <w:ind w:left="-42" w:right="170" w:firstLine="99"/>
              <w:jc w:val="right"/>
              <w:rPr>
                <w:rFonts w:ascii="Segoe UI" w:hAnsi="Segoe UI" w:cs="Segoe UI"/>
                <w:sz w:val="16"/>
                <w:szCs w:val="16"/>
              </w:rPr>
            </w:pPr>
            <w:r w:rsidRPr="0068431B">
              <w:rPr>
                <w:rFonts w:ascii="Segoe UI" w:hAnsi="Segoe UI" w:cs="Segoe UI"/>
                <w:sz w:val="16"/>
                <w:szCs w:val="16"/>
              </w:rPr>
              <w:t>210,951</w:t>
            </w:r>
          </w:p>
        </w:tc>
        <w:tc>
          <w:tcPr>
            <w:tcW w:w="1275" w:type="dxa"/>
            <w:tcBorders>
              <w:bottom w:val="single" w:sz="4" w:space="0" w:color="A6A6A6" w:themeColor="background1" w:themeShade="A6"/>
            </w:tcBorders>
          </w:tcPr>
          <w:p w14:paraId="3E146483" w14:textId="34214018" w:rsidR="0068431B" w:rsidRDefault="007359E3" w:rsidP="007359E3">
            <w:pPr>
              <w:pStyle w:val="TableParagraph"/>
              <w:spacing w:before="60" w:after="60"/>
              <w:ind w:left="-42" w:right="152" w:firstLine="99"/>
              <w:jc w:val="right"/>
              <w:rPr>
                <w:rFonts w:ascii="Segoe UI" w:hAnsi="Segoe UI" w:cs="Segoe UI"/>
                <w:w w:val="110"/>
                <w:sz w:val="16"/>
                <w:szCs w:val="16"/>
              </w:rPr>
            </w:pPr>
            <w:r w:rsidRPr="007359E3">
              <w:rPr>
                <w:rFonts w:ascii="Segoe UI" w:hAnsi="Segoe UI" w:cs="Segoe UI"/>
                <w:sz w:val="16"/>
                <w:szCs w:val="16"/>
              </w:rPr>
              <w:t>1, 2</w:t>
            </w:r>
          </w:p>
        </w:tc>
      </w:tr>
      <w:tr w:rsidR="00CD066D" w:rsidRPr="0068431B" w14:paraId="5C110D5C" w14:textId="77777777" w:rsidTr="007359E3">
        <w:trPr>
          <w:trHeight w:val="340"/>
        </w:trPr>
        <w:tc>
          <w:tcPr>
            <w:tcW w:w="1133" w:type="dxa"/>
            <w:tcBorders>
              <w:top w:val="single" w:sz="4" w:space="0" w:color="A6A6A6" w:themeColor="background1" w:themeShade="A6"/>
            </w:tcBorders>
          </w:tcPr>
          <w:p w14:paraId="2DF4784D" w14:textId="2847D845" w:rsidR="00CD066D" w:rsidRPr="0068431B" w:rsidRDefault="00CD066D" w:rsidP="00CD066D">
            <w:pPr>
              <w:pStyle w:val="TableParagraph"/>
              <w:spacing w:before="60" w:after="60"/>
              <w:ind w:left="-42" w:right="170" w:firstLine="99"/>
              <w:jc w:val="right"/>
              <w:rPr>
                <w:rFonts w:ascii="Segoe UI" w:hAnsi="Segoe UI" w:cs="Segoe UI"/>
                <w:b/>
                <w:bCs/>
                <w:sz w:val="16"/>
                <w:szCs w:val="16"/>
              </w:rPr>
            </w:pPr>
            <w:r w:rsidRPr="0068431B">
              <w:rPr>
                <w:rFonts w:ascii="Segoe UI" w:hAnsi="Segoe UI" w:cs="Segoe UI"/>
                <w:b/>
                <w:bCs/>
                <w:sz w:val="16"/>
                <w:szCs w:val="16"/>
              </w:rPr>
              <w:t>269,182</w:t>
            </w:r>
            <w:r w:rsidRPr="0068431B">
              <w:rPr>
                <w:rFonts w:ascii="Segoe UI" w:hAnsi="Segoe UI" w:cs="Segoe UI"/>
                <w:b/>
                <w:bCs/>
                <w:sz w:val="16"/>
                <w:szCs w:val="16"/>
                <w:vertAlign w:val="superscript"/>
              </w:rPr>
              <w:t>€</w:t>
            </w:r>
          </w:p>
        </w:tc>
        <w:tc>
          <w:tcPr>
            <w:tcW w:w="2635" w:type="dxa"/>
            <w:tcBorders>
              <w:top w:val="single" w:sz="4" w:space="0" w:color="A6A6A6" w:themeColor="background1" w:themeShade="A6"/>
            </w:tcBorders>
          </w:tcPr>
          <w:p w14:paraId="16B7EE41" w14:textId="62EAD219" w:rsidR="00CD066D" w:rsidRPr="0068431B" w:rsidRDefault="00CD066D" w:rsidP="00CD066D">
            <w:pPr>
              <w:pStyle w:val="TableParagraph"/>
              <w:spacing w:before="60" w:after="60"/>
              <w:ind w:left="66" w:hanging="5"/>
              <w:rPr>
                <w:rFonts w:ascii="Segoe UI" w:hAnsi="Segoe UI" w:cs="Segoe UI"/>
                <w:b/>
                <w:bCs/>
                <w:w w:val="105"/>
                <w:sz w:val="16"/>
                <w:szCs w:val="16"/>
              </w:rPr>
            </w:pPr>
            <w:r w:rsidRPr="0068431B">
              <w:rPr>
                <w:rFonts w:ascii="Segoe UI" w:hAnsi="Segoe UI" w:cs="Segoe UI"/>
                <w:b/>
                <w:bCs/>
                <w:w w:val="105"/>
                <w:sz w:val="16"/>
                <w:szCs w:val="16"/>
              </w:rPr>
              <w:t>Total multi-category departmental output expenses</w:t>
            </w:r>
          </w:p>
        </w:tc>
        <w:tc>
          <w:tcPr>
            <w:tcW w:w="709" w:type="dxa"/>
            <w:tcBorders>
              <w:top w:val="single" w:sz="4" w:space="0" w:color="A6A6A6" w:themeColor="background1" w:themeShade="A6"/>
            </w:tcBorders>
          </w:tcPr>
          <w:p w14:paraId="293BE3A5" w14:textId="77777777" w:rsidR="00CD066D" w:rsidRPr="0068431B" w:rsidRDefault="00CD066D" w:rsidP="00CD066D">
            <w:pPr>
              <w:pStyle w:val="TableParagraph"/>
              <w:spacing w:before="60" w:after="60"/>
              <w:ind w:left="-42" w:right="152" w:firstLine="99"/>
              <w:jc w:val="right"/>
              <w:rPr>
                <w:rFonts w:ascii="Segoe UI" w:hAnsi="Segoe UI" w:cs="Segoe UI"/>
                <w:b/>
                <w:bCs/>
                <w:w w:val="110"/>
                <w:sz w:val="16"/>
                <w:szCs w:val="16"/>
              </w:rPr>
            </w:pPr>
          </w:p>
        </w:tc>
        <w:tc>
          <w:tcPr>
            <w:tcW w:w="1181" w:type="dxa"/>
            <w:tcBorders>
              <w:top w:val="single" w:sz="4" w:space="0" w:color="A6A6A6" w:themeColor="background1" w:themeShade="A6"/>
            </w:tcBorders>
          </w:tcPr>
          <w:p w14:paraId="7998F4F9" w14:textId="3902DD6D" w:rsidR="00CD066D" w:rsidRPr="0068431B" w:rsidRDefault="00CD066D" w:rsidP="00CD066D">
            <w:pPr>
              <w:pStyle w:val="TableParagraph"/>
              <w:spacing w:before="60" w:after="60"/>
              <w:ind w:left="-42" w:right="170" w:firstLine="99"/>
              <w:jc w:val="right"/>
              <w:rPr>
                <w:rFonts w:ascii="Segoe UI" w:hAnsi="Segoe UI" w:cs="Segoe UI"/>
                <w:sz w:val="16"/>
                <w:szCs w:val="16"/>
              </w:rPr>
            </w:pPr>
            <w:r w:rsidRPr="0068431B">
              <w:rPr>
                <w:rFonts w:ascii="Segoe UI" w:hAnsi="Segoe UI" w:cs="Segoe UI"/>
                <w:b/>
                <w:bCs/>
                <w:sz w:val="16"/>
                <w:szCs w:val="16"/>
              </w:rPr>
              <w:t>269,070</w:t>
            </w:r>
          </w:p>
        </w:tc>
        <w:tc>
          <w:tcPr>
            <w:tcW w:w="1158" w:type="dxa"/>
            <w:tcBorders>
              <w:top w:val="single" w:sz="4" w:space="0" w:color="A6A6A6" w:themeColor="background1" w:themeShade="A6"/>
            </w:tcBorders>
          </w:tcPr>
          <w:p w14:paraId="7BFAF1F5" w14:textId="3DF565EE" w:rsidR="00CD066D" w:rsidRPr="0068431B" w:rsidRDefault="00CD066D" w:rsidP="00CD066D">
            <w:pPr>
              <w:pStyle w:val="TableParagraph"/>
              <w:spacing w:before="60" w:after="60"/>
              <w:ind w:left="-42" w:right="170" w:firstLine="99"/>
              <w:jc w:val="right"/>
              <w:rPr>
                <w:rFonts w:ascii="Segoe UI" w:hAnsi="Segoe UI" w:cs="Segoe UI"/>
                <w:b/>
                <w:bCs/>
                <w:sz w:val="16"/>
                <w:szCs w:val="16"/>
              </w:rPr>
            </w:pPr>
            <w:r w:rsidRPr="0068431B">
              <w:rPr>
                <w:rFonts w:ascii="Segoe UI" w:hAnsi="Segoe UI" w:cs="Segoe UI"/>
                <w:b/>
                <w:bCs/>
                <w:sz w:val="16"/>
                <w:szCs w:val="16"/>
              </w:rPr>
              <w:t>237,759</w:t>
            </w:r>
          </w:p>
        </w:tc>
        <w:tc>
          <w:tcPr>
            <w:tcW w:w="1119" w:type="dxa"/>
            <w:tcBorders>
              <w:top w:val="single" w:sz="4" w:space="0" w:color="A6A6A6" w:themeColor="background1" w:themeShade="A6"/>
            </w:tcBorders>
          </w:tcPr>
          <w:p w14:paraId="65214DCC" w14:textId="0A54324E" w:rsidR="00CD066D" w:rsidRPr="0068431B" w:rsidRDefault="00CD066D" w:rsidP="00CD066D">
            <w:pPr>
              <w:pStyle w:val="TableParagraph"/>
              <w:spacing w:before="60" w:after="60"/>
              <w:ind w:left="-42" w:right="170" w:firstLine="99"/>
              <w:jc w:val="right"/>
              <w:rPr>
                <w:rFonts w:ascii="Segoe UI" w:hAnsi="Segoe UI" w:cs="Segoe UI"/>
                <w:b/>
                <w:bCs/>
                <w:sz w:val="16"/>
                <w:szCs w:val="16"/>
              </w:rPr>
            </w:pPr>
            <w:r w:rsidRPr="0068431B">
              <w:rPr>
                <w:rFonts w:ascii="Segoe UI" w:hAnsi="Segoe UI" w:cs="Segoe UI"/>
                <w:b/>
                <w:bCs/>
                <w:sz w:val="16"/>
                <w:szCs w:val="16"/>
              </w:rPr>
              <w:t>286,056</w:t>
            </w:r>
          </w:p>
        </w:tc>
        <w:tc>
          <w:tcPr>
            <w:tcW w:w="1275" w:type="dxa"/>
            <w:tcBorders>
              <w:top w:val="single" w:sz="4" w:space="0" w:color="A6A6A6" w:themeColor="background1" w:themeShade="A6"/>
            </w:tcBorders>
          </w:tcPr>
          <w:p w14:paraId="49B26672" w14:textId="6CA68946" w:rsidR="00CD066D" w:rsidRPr="0068431B" w:rsidRDefault="00CD066D" w:rsidP="00CD066D">
            <w:pPr>
              <w:pStyle w:val="TableParagraph"/>
              <w:spacing w:before="60" w:after="60"/>
              <w:ind w:left="-42" w:right="170" w:firstLine="99"/>
              <w:jc w:val="right"/>
              <w:rPr>
                <w:rFonts w:ascii="Segoe UI" w:hAnsi="Segoe UI" w:cs="Segoe UI"/>
                <w:b/>
                <w:bCs/>
                <w:sz w:val="16"/>
                <w:szCs w:val="16"/>
              </w:rPr>
            </w:pPr>
          </w:p>
        </w:tc>
      </w:tr>
      <w:tr w:rsidR="00CD066D" w:rsidRPr="0068431B" w14:paraId="14F40869" w14:textId="77777777" w:rsidTr="007359E3">
        <w:trPr>
          <w:trHeight w:val="340"/>
        </w:trPr>
        <w:tc>
          <w:tcPr>
            <w:tcW w:w="1133" w:type="dxa"/>
            <w:tcBorders>
              <w:bottom w:val="single" w:sz="4" w:space="0" w:color="A6A6A6" w:themeColor="background1" w:themeShade="A6"/>
            </w:tcBorders>
          </w:tcPr>
          <w:p w14:paraId="153A7C7C" w14:textId="539BEC10" w:rsidR="00CD066D" w:rsidRPr="0068431B" w:rsidRDefault="00CD066D" w:rsidP="00CD066D">
            <w:pPr>
              <w:pStyle w:val="TableParagraph"/>
              <w:spacing w:before="60" w:after="60"/>
              <w:ind w:left="-42" w:right="170" w:firstLine="99"/>
              <w:jc w:val="right"/>
              <w:rPr>
                <w:rFonts w:ascii="Segoe UI" w:hAnsi="Segoe UI" w:cs="Segoe UI"/>
                <w:b/>
                <w:bCs/>
                <w:sz w:val="16"/>
                <w:szCs w:val="16"/>
              </w:rPr>
            </w:pPr>
            <w:r w:rsidRPr="0068431B">
              <w:rPr>
                <w:rFonts w:ascii="Segoe UI" w:hAnsi="Segoe UI" w:cs="Segoe UI"/>
                <w:b/>
                <w:bCs/>
                <w:sz w:val="16"/>
                <w:szCs w:val="16"/>
              </w:rPr>
              <w:t>2,044,224</w:t>
            </w:r>
          </w:p>
        </w:tc>
        <w:tc>
          <w:tcPr>
            <w:tcW w:w="2635" w:type="dxa"/>
            <w:tcBorders>
              <w:bottom w:val="single" w:sz="4" w:space="0" w:color="A6A6A6" w:themeColor="background1" w:themeShade="A6"/>
            </w:tcBorders>
          </w:tcPr>
          <w:p w14:paraId="7FC65066" w14:textId="4380DA77" w:rsidR="00CD066D" w:rsidRPr="0068431B" w:rsidRDefault="00CD066D" w:rsidP="00CD066D">
            <w:pPr>
              <w:pStyle w:val="TableParagraph"/>
              <w:spacing w:before="60" w:after="60"/>
              <w:ind w:left="66" w:hanging="5"/>
              <w:rPr>
                <w:rFonts w:ascii="Segoe UI" w:hAnsi="Segoe UI" w:cs="Segoe UI"/>
                <w:b/>
                <w:bCs/>
                <w:w w:val="105"/>
                <w:sz w:val="16"/>
                <w:szCs w:val="16"/>
              </w:rPr>
            </w:pPr>
            <w:r w:rsidRPr="0068431B">
              <w:rPr>
                <w:rFonts w:ascii="Segoe UI" w:hAnsi="Segoe UI" w:cs="Segoe UI"/>
                <w:b/>
                <w:bCs/>
                <w:w w:val="105"/>
                <w:sz w:val="16"/>
                <w:szCs w:val="16"/>
              </w:rPr>
              <w:t>Total multi-category non- departmental output expenses</w:t>
            </w:r>
          </w:p>
        </w:tc>
        <w:tc>
          <w:tcPr>
            <w:tcW w:w="709" w:type="dxa"/>
            <w:tcBorders>
              <w:bottom w:val="single" w:sz="4" w:space="0" w:color="A6A6A6" w:themeColor="background1" w:themeShade="A6"/>
            </w:tcBorders>
          </w:tcPr>
          <w:p w14:paraId="76075176" w14:textId="77777777" w:rsidR="00CD066D" w:rsidRPr="0068431B" w:rsidRDefault="00CD066D" w:rsidP="00CD066D">
            <w:pPr>
              <w:pStyle w:val="TableParagraph"/>
              <w:spacing w:before="60" w:after="60"/>
              <w:ind w:left="-42" w:right="152" w:firstLine="99"/>
              <w:jc w:val="right"/>
              <w:rPr>
                <w:rFonts w:ascii="Segoe UI" w:hAnsi="Segoe UI" w:cs="Segoe UI"/>
                <w:b/>
                <w:bCs/>
                <w:w w:val="110"/>
                <w:sz w:val="16"/>
                <w:szCs w:val="16"/>
              </w:rPr>
            </w:pPr>
          </w:p>
        </w:tc>
        <w:tc>
          <w:tcPr>
            <w:tcW w:w="1181" w:type="dxa"/>
            <w:tcBorders>
              <w:bottom w:val="single" w:sz="4" w:space="0" w:color="A6A6A6" w:themeColor="background1" w:themeShade="A6"/>
            </w:tcBorders>
          </w:tcPr>
          <w:p w14:paraId="11CD182D" w14:textId="5B1AA1D1" w:rsidR="00CD066D" w:rsidRPr="0068431B" w:rsidRDefault="00CD066D" w:rsidP="00CD066D">
            <w:pPr>
              <w:pStyle w:val="TableParagraph"/>
              <w:spacing w:before="60" w:after="60"/>
              <w:ind w:left="-42" w:right="170" w:firstLine="99"/>
              <w:jc w:val="right"/>
              <w:rPr>
                <w:rFonts w:ascii="Segoe UI" w:hAnsi="Segoe UI" w:cs="Segoe UI"/>
                <w:sz w:val="16"/>
                <w:szCs w:val="16"/>
              </w:rPr>
            </w:pPr>
            <w:r w:rsidRPr="0068431B">
              <w:rPr>
                <w:rFonts w:ascii="Segoe UI" w:hAnsi="Segoe UI" w:cs="Segoe UI"/>
                <w:b/>
                <w:bCs/>
                <w:sz w:val="16"/>
                <w:szCs w:val="16"/>
              </w:rPr>
              <w:t>247,735</w:t>
            </w:r>
          </w:p>
        </w:tc>
        <w:tc>
          <w:tcPr>
            <w:tcW w:w="1158" w:type="dxa"/>
            <w:tcBorders>
              <w:bottom w:val="single" w:sz="4" w:space="0" w:color="A6A6A6" w:themeColor="background1" w:themeShade="A6"/>
            </w:tcBorders>
          </w:tcPr>
          <w:p w14:paraId="04253704" w14:textId="27BEB3B5" w:rsidR="00CD066D" w:rsidRPr="0068431B" w:rsidRDefault="00CD066D" w:rsidP="00CD066D">
            <w:pPr>
              <w:pStyle w:val="TableParagraph"/>
              <w:spacing w:before="60" w:after="60"/>
              <w:ind w:left="-42" w:right="170" w:firstLine="99"/>
              <w:jc w:val="right"/>
              <w:rPr>
                <w:rFonts w:ascii="Segoe UI" w:hAnsi="Segoe UI" w:cs="Segoe UI"/>
                <w:b/>
                <w:bCs/>
                <w:sz w:val="16"/>
                <w:szCs w:val="16"/>
              </w:rPr>
            </w:pPr>
            <w:r w:rsidRPr="0068431B">
              <w:rPr>
                <w:rFonts w:ascii="Segoe UI" w:hAnsi="Segoe UI" w:cs="Segoe UI"/>
                <w:b/>
                <w:bCs/>
                <w:sz w:val="16"/>
                <w:szCs w:val="16"/>
              </w:rPr>
              <w:t>295,118</w:t>
            </w:r>
          </w:p>
        </w:tc>
        <w:tc>
          <w:tcPr>
            <w:tcW w:w="1119" w:type="dxa"/>
            <w:tcBorders>
              <w:bottom w:val="single" w:sz="4" w:space="0" w:color="A6A6A6" w:themeColor="background1" w:themeShade="A6"/>
            </w:tcBorders>
          </w:tcPr>
          <w:p w14:paraId="22BC3E91" w14:textId="5A00E5FE" w:rsidR="00CD066D" w:rsidRPr="0068431B" w:rsidRDefault="00CD066D" w:rsidP="00CD066D">
            <w:pPr>
              <w:pStyle w:val="TableParagraph"/>
              <w:spacing w:before="60" w:after="60"/>
              <w:ind w:left="-42" w:right="170" w:firstLine="99"/>
              <w:jc w:val="right"/>
              <w:rPr>
                <w:rFonts w:ascii="Segoe UI" w:hAnsi="Segoe UI" w:cs="Segoe UI"/>
                <w:b/>
                <w:bCs/>
                <w:sz w:val="16"/>
                <w:szCs w:val="16"/>
              </w:rPr>
            </w:pPr>
            <w:r w:rsidRPr="0068431B">
              <w:rPr>
                <w:rFonts w:ascii="Segoe UI" w:hAnsi="Segoe UI" w:cs="Segoe UI"/>
                <w:b/>
                <w:bCs/>
                <w:sz w:val="16"/>
                <w:szCs w:val="16"/>
              </w:rPr>
              <w:t>316,238</w:t>
            </w:r>
          </w:p>
        </w:tc>
        <w:tc>
          <w:tcPr>
            <w:tcW w:w="1275" w:type="dxa"/>
            <w:tcBorders>
              <w:bottom w:val="single" w:sz="4" w:space="0" w:color="A6A6A6" w:themeColor="background1" w:themeShade="A6"/>
            </w:tcBorders>
          </w:tcPr>
          <w:p w14:paraId="2AB8F74D" w14:textId="2F53F7CC" w:rsidR="00CD066D" w:rsidRPr="0068431B" w:rsidRDefault="00CD066D" w:rsidP="00CD066D">
            <w:pPr>
              <w:pStyle w:val="TableParagraph"/>
              <w:spacing w:before="60" w:after="60"/>
              <w:ind w:left="-42" w:right="170" w:firstLine="99"/>
              <w:jc w:val="right"/>
              <w:rPr>
                <w:rFonts w:ascii="Segoe UI" w:hAnsi="Segoe UI" w:cs="Segoe UI"/>
                <w:b/>
                <w:bCs/>
                <w:sz w:val="16"/>
                <w:szCs w:val="16"/>
              </w:rPr>
            </w:pPr>
          </w:p>
        </w:tc>
      </w:tr>
      <w:tr w:rsidR="00CD066D" w:rsidRPr="0068431B" w14:paraId="06742F65" w14:textId="77777777" w:rsidTr="007359E3">
        <w:trPr>
          <w:trHeight w:val="340"/>
        </w:trPr>
        <w:tc>
          <w:tcPr>
            <w:tcW w:w="1133" w:type="dxa"/>
            <w:tcBorders>
              <w:top w:val="single" w:sz="4" w:space="0" w:color="A6A6A6" w:themeColor="background1" w:themeShade="A6"/>
              <w:bottom w:val="single" w:sz="4" w:space="0" w:color="A6A6A6" w:themeColor="background1" w:themeShade="A6"/>
            </w:tcBorders>
          </w:tcPr>
          <w:p w14:paraId="70F369E6" w14:textId="435A2EB9" w:rsidR="00CD066D" w:rsidRPr="0068431B" w:rsidRDefault="00CD066D" w:rsidP="00CD066D">
            <w:pPr>
              <w:pStyle w:val="TableParagraph"/>
              <w:spacing w:before="60" w:after="60"/>
              <w:ind w:left="-42" w:right="170" w:firstLine="99"/>
              <w:jc w:val="right"/>
              <w:rPr>
                <w:rFonts w:ascii="Segoe UI" w:hAnsi="Segoe UI" w:cs="Segoe UI"/>
                <w:b/>
                <w:bCs/>
                <w:sz w:val="16"/>
                <w:szCs w:val="16"/>
              </w:rPr>
            </w:pPr>
            <w:r w:rsidRPr="0068431B">
              <w:rPr>
                <w:rFonts w:ascii="Segoe UI" w:hAnsi="Segoe UI" w:cs="Segoe UI"/>
                <w:b/>
                <w:bCs/>
                <w:sz w:val="16"/>
                <w:szCs w:val="16"/>
              </w:rPr>
              <w:t>2,313,406</w:t>
            </w:r>
          </w:p>
        </w:tc>
        <w:tc>
          <w:tcPr>
            <w:tcW w:w="2635" w:type="dxa"/>
            <w:tcBorders>
              <w:top w:val="single" w:sz="4" w:space="0" w:color="A6A6A6" w:themeColor="background1" w:themeShade="A6"/>
              <w:bottom w:val="single" w:sz="4" w:space="0" w:color="A6A6A6" w:themeColor="background1" w:themeShade="A6"/>
            </w:tcBorders>
          </w:tcPr>
          <w:p w14:paraId="4532A0E1" w14:textId="524AC145" w:rsidR="00CD066D" w:rsidRPr="0068431B" w:rsidRDefault="00CD066D" w:rsidP="00CD066D">
            <w:pPr>
              <w:pStyle w:val="TableParagraph"/>
              <w:spacing w:before="60" w:after="60"/>
              <w:ind w:left="66" w:hanging="5"/>
              <w:rPr>
                <w:rFonts w:ascii="Segoe UI" w:hAnsi="Segoe UI" w:cs="Segoe UI"/>
                <w:b/>
                <w:bCs/>
                <w:w w:val="105"/>
                <w:sz w:val="16"/>
                <w:szCs w:val="16"/>
              </w:rPr>
            </w:pPr>
            <w:r w:rsidRPr="0068431B">
              <w:rPr>
                <w:rFonts w:ascii="Segoe UI" w:hAnsi="Segoe UI" w:cs="Segoe UI"/>
                <w:b/>
                <w:bCs/>
                <w:w w:val="105"/>
                <w:sz w:val="16"/>
                <w:szCs w:val="16"/>
              </w:rPr>
              <w:t>Total multi-category output expenses</w:t>
            </w:r>
          </w:p>
        </w:tc>
        <w:tc>
          <w:tcPr>
            <w:tcW w:w="709" w:type="dxa"/>
            <w:tcBorders>
              <w:top w:val="single" w:sz="4" w:space="0" w:color="A6A6A6" w:themeColor="background1" w:themeShade="A6"/>
              <w:bottom w:val="single" w:sz="4" w:space="0" w:color="A6A6A6" w:themeColor="background1" w:themeShade="A6"/>
            </w:tcBorders>
          </w:tcPr>
          <w:p w14:paraId="4252A92F" w14:textId="77777777" w:rsidR="00CD066D" w:rsidRPr="0068431B" w:rsidRDefault="00CD066D" w:rsidP="00CD066D">
            <w:pPr>
              <w:pStyle w:val="TableParagraph"/>
              <w:spacing w:before="60" w:after="60"/>
              <w:ind w:left="-42" w:right="152" w:firstLine="99"/>
              <w:jc w:val="right"/>
              <w:rPr>
                <w:rFonts w:ascii="Segoe UI" w:hAnsi="Segoe UI" w:cs="Segoe UI"/>
                <w:b/>
                <w:bCs/>
                <w:w w:val="110"/>
                <w:sz w:val="16"/>
                <w:szCs w:val="16"/>
              </w:rPr>
            </w:pPr>
          </w:p>
        </w:tc>
        <w:tc>
          <w:tcPr>
            <w:tcW w:w="1181" w:type="dxa"/>
            <w:tcBorders>
              <w:top w:val="single" w:sz="4" w:space="0" w:color="A6A6A6" w:themeColor="background1" w:themeShade="A6"/>
              <w:bottom w:val="single" w:sz="4" w:space="0" w:color="A6A6A6" w:themeColor="background1" w:themeShade="A6"/>
            </w:tcBorders>
          </w:tcPr>
          <w:p w14:paraId="78315AEB" w14:textId="6F8426CC" w:rsidR="00CD066D" w:rsidRPr="0068431B" w:rsidRDefault="00CD066D" w:rsidP="00CD066D">
            <w:pPr>
              <w:pStyle w:val="TableParagraph"/>
              <w:spacing w:before="60" w:after="60"/>
              <w:ind w:left="-42" w:right="170" w:firstLine="99"/>
              <w:jc w:val="right"/>
              <w:rPr>
                <w:rFonts w:ascii="Segoe UI" w:hAnsi="Segoe UI" w:cs="Segoe UI"/>
                <w:sz w:val="16"/>
                <w:szCs w:val="16"/>
              </w:rPr>
            </w:pPr>
            <w:r w:rsidRPr="0068431B">
              <w:rPr>
                <w:rFonts w:ascii="Segoe UI" w:hAnsi="Segoe UI" w:cs="Segoe UI"/>
                <w:b/>
                <w:bCs/>
                <w:sz w:val="16"/>
                <w:szCs w:val="16"/>
              </w:rPr>
              <w:t>516,805</w:t>
            </w:r>
          </w:p>
        </w:tc>
        <w:tc>
          <w:tcPr>
            <w:tcW w:w="1158" w:type="dxa"/>
            <w:tcBorders>
              <w:top w:val="single" w:sz="4" w:space="0" w:color="A6A6A6" w:themeColor="background1" w:themeShade="A6"/>
              <w:bottom w:val="single" w:sz="4" w:space="0" w:color="A6A6A6" w:themeColor="background1" w:themeShade="A6"/>
            </w:tcBorders>
          </w:tcPr>
          <w:p w14:paraId="1879EA53" w14:textId="3BD16508" w:rsidR="00CD066D" w:rsidRPr="0068431B" w:rsidRDefault="00CD066D" w:rsidP="00CD066D">
            <w:pPr>
              <w:pStyle w:val="TableParagraph"/>
              <w:spacing w:before="60" w:after="60"/>
              <w:ind w:left="-42" w:right="170" w:firstLine="99"/>
              <w:jc w:val="right"/>
              <w:rPr>
                <w:rFonts w:ascii="Segoe UI" w:hAnsi="Segoe UI" w:cs="Segoe UI"/>
                <w:b/>
                <w:bCs/>
                <w:sz w:val="16"/>
                <w:szCs w:val="16"/>
              </w:rPr>
            </w:pPr>
            <w:r w:rsidRPr="0068431B">
              <w:rPr>
                <w:rFonts w:ascii="Segoe UI" w:hAnsi="Segoe UI" w:cs="Segoe UI"/>
                <w:b/>
                <w:bCs/>
                <w:sz w:val="16"/>
                <w:szCs w:val="16"/>
              </w:rPr>
              <w:t>532,877</w:t>
            </w:r>
          </w:p>
        </w:tc>
        <w:tc>
          <w:tcPr>
            <w:tcW w:w="1119" w:type="dxa"/>
            <w:tcBorders>
              <w:top w:val="single" w:sz="4" w:space="0" w:color="A6A6A6" w:themeColor="background1" w:themeShade="A6"/>
              <w:bottom w:val="single" w:sz="4" w:space="0" w:color="A6A6A6" w:themeColor="background1" w:themeShade="A6"/>
            </w:tcBorders>
          </w:tcPr>
          <w:p w14:paraId="181F3CDC" w14:textId="6B1DC6BC" w:rsidR="00CD066D" w:rsidRPr="0068431B" w:rsidRDefault="00CD066D" w:rsidP="00CD066D">
            <w:pPr>
              <w:pStyle w:val="TableParagraph"/>
              <w:spacing w:before="60" w:after="60"/>
              <w:ind w:left="-42" w:right="170" w:firstLine="99"/>
              <w:jc w:val="right"/>
              <w:rPr>
                <w:rFonts w:ascii="Segoe UI" w:hAnsi="Segoe UI" w:cs="Segoe UI"/>
                <w:b/>
                <w:bCs/>
                <w:sz w:val="16"/>
                <w:szCs w:val="16"/>
              </w:rPr>
            </w:pPr>
            <w:r w:rsidRPr="0068431B">
              <w:rPr>
                <w:rFonts w:ascii="Segoe UI" w:hAnsi="Segoe UI" w:cs="Segoe UI"/>
                <w:b/>
                <w:bCs/>
                <w:sz w:val="16"/>
                <w:szCs w:val="16"/>
              </w:rPr>
              <w:t>602,294</w:t>
            </w:r>
          </w:p>
        </w:tc>
        <w:tc>
          <w:tcPr>
            <w:tcW w:w="1275" w:type="dxa"/>
            <w:tcBorders>
              <w:top w:val="single" w:sz="4" w:space="0" w:color="A6A6A6" w:themeColor="background1" w:themeShade="A6"/>
              <w:bottom w:val="single" w:sz="4" w:space="0" w:color="A6A6A6" w:themeColor="background1" w:themeShade="A6"/>
            </w:tcBorders>
          </w:tcPr>
          <w:p w14:paraId="016E7B13" w14:textId="6C47AB92" w:rsidR="00CD066D" w:rsidRPr="0068431B" w:rsidRDefault="00CD066D" w:rsidP="00CD066D">
            <w:pPr>
              <w:pStyle w:val="TableParagraph"/>
              <w:spacing w:before="60" w:after="60"/>
              <w:ind w:left="-42" w:right="170" w:firstLine="99"/>
              <w:jc w:val="right"/>
              <w:rPr>
                <w:rFonts w:ascii="Segoe UI" w:hAnsi="Segoe UI" w:cs="Segoe UI"/>
                <w:b/>
                <w:bCs/>
                <w:sz w:val="16"/>
                <w:szCs w:val="16"/>
              </w:rPr>
            </w:pPr>
          </w:p>
        </w:tc>
      </w:tr>
      <w:tr w:rsidR="00CD066D" w:rsidRPr="0068431B" w14:paraId="207DB686" w14:textId="77777777" w:rsidTr="007359E3">
        <w:trPr>
          <w:trHeight w:val="340"/>
        </w:trPr>
        <w:tc>
          <w:tcPr>
            <w:tcW w:w="1133" w:type="dxa"/>
            <w:tcBorders>
              <w:top w:val="single" w:sz="4" w:space="0" w:color="A6A6A6" w:themeColor="background1" w:themeShade="A6"/>
              <w:bottom w:val="single" w:sz="4" w:space="0" w:color="A6A6A6" w:themeColor="background1" w:themeShade="A6"/>
            </w:tcBorders>
          </w:tcPr>
          <w:p w14:paraId="730EA5D3" w14:textId="409684A3" w:rsidR="00CD066D" w:rsidRPr="0068431B" w:rsidRDefault="00CD066D" w:rsidP="00CD066D">
            <w:pPr>
              <w:pStyle w:val="TableParagraph"/>
              <w:spacing w:before="60" w:after="60"/>
              <w:ind w:left="-42" w:right="170" w:firstLine="99"/>
              <w:jc w:val="right"/>
              <w:rPr>
                <w:rFonts w:ascii="Segoe UI" w:hAnsi="Segoe UI" w:cs="Segoe UI"/>
                <w:b/>
                <w:bCs/>
                <w:sz w:val="16"/>
                <w:szCs w:val="16"/>
              </w:rPr>
            </w:pPr>
            <w:r w:rsidRPr="0068431B">
              <w:rPr>
                <w:rFonts w:ascii="Segoe UI" w:hAnsi="Segoe UI" w:cs="Segoe UI"/>
                <w:b/>
                <w:bCs/>
                <w:sz w:val="16"/>
                <w:szCs w:val="16"/>
              </w:rPr>
              <w:t>269,182</w:t>
            </w:r>
            <w:r w:rsidRPr="0068431B">
              <w:rPr>
                <w:rFonts w:ascii="Segoe UI" w:hAnsi="Segoe UI" w:cs="Segoe UI"/>
                <w:b/>
                <w:bCs/>
                <w:sz w:val="16"/>
                <w:szCs w:val="16"/>
                <w:vertAlign w:val="superscript"/>
              </w:rPr>
              <w:t>€</w:t>
            </w:r>
          </w:p>
        </w:tc>
        <w:tc>
          <w:tcPr>
            <w:tcW w:w="2635" w:type="dxa"/>
            <w:tcBorders>
              <w:top w:val="single" w:sz="4" w:space="0" w:color="A6A6A6" w:themeColor="background1" w:themeShade="A6"/>
              <w:bottom w:val="single" w:sz="4" w:space="0" w:color="A6A6A6" w:themeColor="background1" w:themeShade="A6"/>
            </w:tcBorders>
          </w:tcPr>
          <w:p w14:paraId="13FC8631" w14:textId="31E95572" w:rsidR="00CD066D" w:rsidRPr="0068431B" w:rsidRDefault="00CD066D" w:rsidP="00CD066D">
            <w:pPr>
              <w:pStyle w:val="TableParagraph"/>
              <w:spacing w:before="60" w:after="60"/>
              <w:ind w:left="66" w:hanging="5"/>
              <w:rPr>
                <w:rFonts w:ascii="Segoe UI" w:hAnsi="Segoe UI" w:cs="Segoe UI"/>
                <w:b/>
                <w:bCs/>
                <w:w w:val="105"/>
                <w:sz w:val="16"/>
                <w:szCs w:val="16"/>
              </w:rPr>
            </w:pPr>
            <w:r w:rsidRPr="0068431B">
              <w:rPr>
                <w:rFonts w:ascii="Segoe UI" w:hAnsi="Segoe UI" w:cs="Segoe UI"/>
                <w:b/>
                <w:bCs/>
                <w:w w:val="105"/>
                <w:sz w:val="16"/>
                <w:szCs w:val="16"/>
              </w:rPr>
              <w:t>Total departmental output appropriation</w:t>
            </w:r>
          </w:p>
        </w:tc>
        <w:tc>
          <w:tcPr>
            <w:tcW w:w="709" w:type="dxa"/>
            <w:tcBorders>
              <w:top w:val="single" w:sz="4" w:space="0" w:color="A6A6A6" w:themeColor="background1" w:themeShade="A6"/>
              <w:bottom w:val="single" w:sz="4" w:space="0" w:color="A6A6A6" w:themeColor="background1" w:themeShade="A6"/>
            </w:tcBorders>
          </w:tcPr>
          <w:p w14:paraId="59B4C710" w14:textId="77777777" w:rsidR="00CD066D" w:rsidRPr="0068431B" w:rsidRDefault="00CD066D" w:rsidP="00CD066D">
            <w:pPr>
              <w:pStyle w:val="TableParagraph"/>
              <w:spacing w:before="60" w:after="60"/>
              <w:ind w:left="-42" w:right="152" w:firstLine="99"/>
              <w:jc w:val="right"/>
              <w:rPr>
                <w:rFonts w:ascii="Segoe UI" w:hAnsi="Segoe UI" w:cs="Segoe UI"/>
                <w:b/>
                <w:bCs/>
                <w:w w:val="110"/>
                <w:sz w:val="16"/>
                <w:szCs w:val="16"/>
              </w:rPr>
            </w:pPr>
          </w:p>
        </w:tc>
        <w:tc>
          <w:tcPr>
            <w:tcW w:w="1181" w:type="dxa"/>
            <w:tcBorders>
              <w:top w:val="single" w:sz="4" w:space="0" w:color="A6A6A6" w:themeColor="background1" w:themeShade="A6"/>
              <w:bottom w:val="single" w:sz="4" w:space="0" w:color="A6A6A6" w:themeColor="background1" w:themeShade="A6"/>
            </w:tcBorders>
          </w:tcPr>
          <w:p w14:paraId="074592AC" w14:textId="705E0A89" w:rsidR="00CD066D" w:rsidRPr="0068431B" w:rsidRDefault="00CD066D" w:rsidP="00CD066D">
            <w:pPr>
              <w:pStyle w:val="TableParagraph"/>
              <w:spacing w:before="60" w:after="60"/>
              <w:ind w:left="-42" w:right="170" w:firstLine="99"/>
              <w:jc w:val="right"/>
              <w:rPr>
                <w:rFonts w:ascii="Segoe UI" w:hAnsi="Segoe UI" w:cs="Segoe UI"/>
                <w:sz w:val="16"/>
                <w:szCs w:val="16"/>
              </w:rPr>
            </w:pPr>
            <w:r w:rsidRPr="0068431B">
              <w:rPr>
                <w:rFonts w:ascii="Segoe UI" w:hAnsi="Segoe UI" w:cs="Segoe UI"/>
                <w:b/>
                <w:bCs/>
                <w:sz w:val="16"/>
                <w:szCs w:val="16"/>
              </w:rPr>
              <w:t>269,070</w:t>
            </w:r>
          </w:p>
        </w:tc>
        <w:tc>
          <w:tcPr>
            <w:tcW w:w="1158" w:type="dxa"/>
            <w:tcBorders>
              <w:top w:val="single" w:sz="4" w:space="0" w:color="A6A6A6" w:themeColor="background1" w:themeShade="A6"/>
              <w:bottom w:val="single" w:sz="4" w:space="0" w:color="A6A6A6" w:themeColor="background1" w:themeShade="A6"/>
            </w:tcBorders>
          </w:tcPr>
          <w:p w14:paraId="13188C81" w14:textId="62C72DDE" w:rsidR="00CD066D" w:rsidRPr="0068431B" w:rsidRDefault="00CD066D" w:rsidP="00CD066D">
            <w:pPr>
              <w:pStyle w:val="TableParagraph"/>
              <w:spacing w:before="60" w:after="60"/>
              <w:ind w:left="-42" w:right="170" w:firstLine="99"/>
              <w:jc w:val="right"/>
              <w:rPr>
                <w:rFonts w:ascii="Segoe UI" w:hAnsi="Segoe UI" w:cs="Segoe UI"/>
                <w:b/>
                <w:bCs/>
                <w:sz w:val="16"/>
                <w:szCs w:val="16"/>
              </w:rPr>
            </w:pPr>
            <w:r w:rsidRPr="0068431B">
              <w:rPr>
                <w:rFonts w:ascii="Segoe UI" w:hAnsi="Segoe UI" w:cs="Segoe UI"/>
                <w:b/>
                <w:bCs/>
                <w:sz w:val="16"/>
                <w:szCs w:val="16"/>
              </w:rPr>
              <w:t>237,759</w:t>
            </w:r>
          </w:p>
        </w:tc>
        <w:tc>
          <w:tcPr>
            <w:tcW w:w="1119" w:type="dxa"/>
            <w:tcBorders>
              <w:top w:val="single" w:sz="4" w:space="0" w:color="A6A6A6" w:themeColor="background1" w:themeShade="A6"/>
              <w:bottom w:val="single" w:sz="4" w:space="0" w:color="A6A6A6" w:themeColor="background1" w:themeShade="A6"/>
            </w:tcBorders>
          </w:tcPr>
          <w:p w14:paraId="2FD2F74C" w14:textId="0E37807B" w:rsidR="00CD066D" w:rsidRPr="0068431B" w:rsidRDefault="00CD066D" w:rsidP="00CD066D">
            <w:pPr>
              <w:pStyle w:val="TableParagraph"/>
              <w:spacing w:before="60" w:after="60"/>
              <w:ind w:left="-42" w:right="170" w:firstLine="99"/>
              <w:jc w:val="right"/>
              <w:rPr>
                <w:rFonts w:ascii="Segoe UI" w:hAnsi="Segoe UI" w:cs="Segoe UI"/>
                <w:b/>
                <w:bCs/>
                <w:sz w:val="16"/>
                <w:szCs w:val="16"/>
              </w:rPr>
            </w:pPr>
            <w:r w:rsidRPr="0068431B">
              <w:rPr>
                <w:rFonts w:ascii="Segoe UI" w:hAnsi="Segoe UI" w:cs="Segoe UI"/>
                <w:b/>
                <w:bCs/>
                <w:sz w:val="16"/>
                <w:szCs w:val="16"/>
              </w:rPr>
              <w:t>286,056</w:t>
            </w:r>
          </w:p>
        </w:tc>
        <w:tc>
          <w:tcPr>
            <w:tcW w:w="1275" w:type="dxa"/>
            <w:tcBorders>
              <w:top w:val="single" w:sz="4" w:space="0" w:color="A6A6A6" w:themeColor="background1" w:themeShade="A6"/>
              <w:bottom w:val="single" w:sz="4" w:space="0" w:color="A6A6A6" w:themeColor="background1" w:themeShade="A6"/>
            </w:tcBorders>
          </w:tcPr>
          <w:p w14:paraId="4B65EE8F" w14:textId="78E6D4C6" w:rsidR="00CD066D" w:rsidRPr="0068431B" w:rsidRDefault="00CD066D" w:rsidP="00CD066D">
            <w:pPr>
              <w:pStyle w:val="TableParagraph"/>
              <w:spacing w:before="60" w:after="60"/>
              <w:ind w:left="-42" w:right="170" w:firstLine="99"/>
              <w:jc w:val="right"/>
              <w:rPr>
                <w:rFonts w:ascii="Segoe UI" w:hAnsi="Segoe UI" w:cs="Segoe UI"/>
                <w:b/>
                <w:bCs/>
                <w:sz w:val="16"/>
                <w:szCs w:val="16"/>
              </w:rPr>
            </w:pPr>
          </w:p>
        </w:tc>
      </w:tr>
    </w:tbl>
    <w:p w14:paraId="34AFD6AF" w14:textId="77777777" w:rsidR="002C5722" w:rsidRDefault="002C5722" w:rsidP="006A0C3B">
      <w:pPr>
        <w:rPr>
          <w:highlight w:val="yellow"/>
        </w:rPr>
      </w:pPr>
    </w:p>
    <w:p w14:paraId="1BAC9E06" w14:textId="77777777" w:rsidR="007359E3" w:rsidRDefault="007359E3" w:rsidP="007359E3">
      <w:pPr>
        <w:rPr>
          <w:highlight w:val="yellow"/>
        </w:rPr>
        <w:sectPr w:rsidR="007359E3" w:rsidSect="000A3324">
          <w:pgSz w:w="11907" w:h="16840" w:code="9"/>
          <w:pgMar w:top="1418" w:right="1701" w:bottom="1134" w:left="1843" w:header="284" w:footer="425" w:gutter="284"/>
          <w:cols w:space="720"/>
        </w:sectPr>
      </w:pPr>
    </w:p>
    <w:tbl>
      <w:tblPr>
        <w:tblW w:w="9210" w:type="dxa"/>
        <w:tblLayout w:type="fixed"/>
        <w:tblCellMar>
          <w:left w:w="0" w:type="dxa"/>
          <w:right w:w="0" w:type="dxa"/>
        </w:tblCellMar>
        <w:tblLook w:val="01E0" w:firstRow="1" w:lastRow="1" w:firstColumn="1" w:lastColumn="1" w:noHBand="0" w:noVBand="0"/>
      </w:tblPr>
      <w:tblGrid>
        <w:gridCol w:w="1133"/>
        <w:gridCol w:w="2635"/>
        <w:gridCol w:w="709"/>
        <w:gridCol w:w="1181"/>
        <w:gridCol w:w="1158"/>
        <w:gridCol w:w="1119"/>
        <w:gridCol w:w="1275"/>
      </w:tblGrid>
      <w:tr w:rsidR="007359E3" w14:paraId="07C4EB2A" w14:textId="77777777" w:rsidTr="006A0C3B">
        <w:trPr>
          <w:trHeight w:val="909"/>
        </w:trPr>
        <w:tc>
          <w:tcPr>
            <w:tcW w:w="1133" w:type="dxa"/>
            <w:shd w:val="clear" w:color="auto" w:fill="D9D9D9" w:themeFill="background1" w:themeFillShade="D9"/>
            <w:hideMark/>
          </w:tcPr>
          <w:p w14:paraId="027DA25A" w14:textId="77777777" w:rsidR="007359E3" w:rsidRDefault="007359E3" w:rsidP="006A0C3B">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lastRenderedPageBreak/>
              <w:t>Actual expenditure</w:t>
            </w:r>
          </w:p>
          <w:p w14:paraId="28C9FC16" w14:textId="77777777" w:rsidR="007359E3" w:rsidRDefault="007359E3" w:rsidP="006A0C3B">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2023</w:t>
            </w:r>
          </w:p>
          <w:p w14:paraId="67D8A3F8" w14:textId="77777777" w:rsidR="007359E3" w:rsidRDefault="007359E3" w:rsidP="006A0C3B">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2635" w:type="dxa"/>
            <w:shd w:val="clear" w:color="auto" w:fill="D9D9D9" w:themeFill="background1" w:themeFillShade="D9"/>
          </w:tcPr>
          <w:p w14:paraId="7D1758FA" w14:textId="77777777" w:rsidR="007359E3" w:rsidRDefault="007359E3" w:rsidP="006A0C3B">
            <w:pPr>
              <w:pStyle w:val="TableParagraph"/>
              <w:spacing w:before="60" w:after="60"/>
              <w:ind w:left="66" w:hanging="5"/>
              <w:rPr>
                <w:rFonts w:ascii="Segoe UI" w:hAnsi="Segoe UI" w:cs="Segoe UI"/>
                <w:b/>
                <w:bCs/>
                <w:w w:val="105"/>
                <w:sz w:val="16"/>
                <w:szCs w:val="16"/>
              </w:rPr>
            </w:pPr>
            <w:r>
              <w:rPr>
                <w:rFonts w:ascii="Segoe UI" w:hAnsi="Segoe UI" w:cs="Segoe UI"/>
                <w:b/>
                <w:bCs/>
                <w:w w:val="105"/>
                <w:sz w:val="16"/>
                <w:szCs w:val="16"/>
              </w:rPr>
              <w:br/>
            </w:r>
          </w:p>
          <w:p w14:paraId="03BD60A4" w14:textId="77777777" w:rsidR="007359E3" w:rsidRDefault="007359E3" w:rsidP="006A0C3B">
            <w:pPr>
              <w:pStyle w:val="TableParagraph"/>
              <w:spacing w:before="60" w:after="60"/>
              <w:ind w:left="66" w:hanging="5"/>
              <w:rPr>
                <w:rFonts w:ascii="Segoe UI" w:hAnsi="Segoe UI" w:cs="Segoe UI"/>
                <w:b/>
                <w:bCs/>
                <w:w w:val="105"/>
                <w:sz w:val="16"/>
                <w:szCs w:val="16"/>
              </w:rPr>
            </w:pPr>
          </w:p>
          <w:p w14:paraId="133123C3" w14:textId="77777777" w:rsidR="007359E3" w:rsidRDefault="007359E3" w:rsidP="006A0C3B">
            <w:pPr>
              <w:pStyle w:val="TableParagraph"/>
              <w:spacing w:before="60" w:after="60"/>
              <w:ind w:left="66" w:hanging="5"/>
              <w:rPr>
                <w:rFonts w:ascii="Segoe UI" w:hAnsi="Segoe UI" w:cs="Segoe UI"/>
                <w:b/>
                <w:bCs/>
                <w:w w:val="105"/>
                <w:sz w:val="16"/>
                <w:szCs w:val="16"/>
              </w:rPr>
            </w:pPr>
            <w:r>
              <w:rPr>
                <w:rFonts w:ascii="Segoe UI" w:hAnsi="Segoe UI" w:cs="Segoe UI"/>
                <w:b/>
                <w:bCs/>
                <w:w w:val="105"/>
                <w:sz w:val="16"/>
                <w:szCs w:val="16"/>
              </w:rPr>
              <w:t>Appropriation title</w:t>
            </w:r>
          </w:p>
        </w:tc>
        <w:tc>
          <w:tcPr>
            <w:tcW w:w="709" w:type="dxa"/>
            <w:shd w:val="clear" w:color="auto" w:fill="D9D9D9" w:themeFill="background1" w:themeFillShade="D9"/>
          </w:tcPr>
          <w:p w14:paraId="5F359B72" w14:textId="77777777" w:rsidR="007359E3" w:rsidRDefault="007359E3" w:rsidP="006A0C3B">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br/>
            </w:r>
          </w:p>
          <w:p w14:paraId="269959AE" w14:textId="77777777" w:rsidR="007359E3" w:rsidRDefault="007359E3" w:rsidP="006A0C3B">
            <w:pPr>
              <w:pStyle w:val="TableParagraph"/>
              <w:spacing w:before="60" w:after="60"/>
              <w:ind w:left="-42" w:right="152" w:firstLine="99"/>
              <w:jc w:val="right"/>
              <w:rPr>
                <w:rFonts w:ascii="Segoe UI" w:hAnsi="Segoe UI" w:cs="Segoe UI"/>
                <w:b/>
                <w:bCs/>
                <w:w w:val="110"/>
                <w:sz w:val="16"/>
                <w:szCs w:val="16"/>
              </w:rPr>
            </w:pPr>
          </w:p>
          <w:p w14:paraId="641225F3" w14:textId="77777777" w:rsidR="007359E3" w:rsidRDefault="007359E3" w:rsidP="006A0C3B">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Note</w:t>
            </w:r>
          </w:p>
        </w:tc>
        <w:tc>
          <w:tcPr>
            <w:tcW w:w="1181" w:type="dxa"/>
            <w:shd w:val="clear" w:color="auto" w:fill="D9D9D9" w:themeFill="background1" w:themeFillShade="D9"/>
            <w:hideMark/>
          </w:tcPr>
          <w:p w14:paraId="2746CEE5" w14:textId="77777777" w:rsidR="007359E3" w:rsidRDefault="007359E3" w:rsidP="006A0C3B">
            <w:pPr>
              <w:pStyle w:val="TableParagraph"/>
              <w:spacing w:before="60" w:after="60" w:line="295" w:lineRule="auto"/>
              <w:ind w:left="-42" w:right="152" w:firstLine="99"/>
              <w:jc w:val="right"/>
              <w:rPr>
                <w:rFonts w:ascii="Segoe UI" w:hAnsi="Segoe UI" w:cs="Segoe UI"/>
                <w:b/>
                <w:bCs/>
                <w:w w:val="110"/>
                <w:sz w:val="16"/>
                <w:szCs w:val="16"/>
              </w:rPr>
            </w:pPr>
            <w:r>
              <w:rPr>
                <w:rFonts w:ascii="Segoe UI" w:hAnsi="Segoe UI" w:cs="Segoe UI"/>
                <w:b/>
                <w:bCs/>
                <w:w w:val="110"/>
                <w:sz w:val="16"/>
                <w:szCs w:val="16"/>
              </w:rPr>
              <w:t>Actual expenditure</w:t>
            </w:r>
          </w:p>
          <w:p w14:paraId="627BE515" w14:textId="77777777" w:rsidR="007359E3" w:rsidRDefault="007359E3" w:rsidP="006A0C3B">
            <w:pPr>
              <w:pStyle w:val="TableParagraph"/>
              <w:spacing w:before="60" w:after="60" w:line="163" w:lineRule="exact"/>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461031D1" w14:textId="77777777" w:rsidR="007359E3" w:rsidRDefault="007359E3" w:rsidP="006A0C3B">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158" w:type="dxa"/>
            <w:shd w:val="clear" w:color="auto" w:fill="D9D9D9" w:themeFill="background1" w:themeFillShade="D9"/>
            <w:hideMark/>
          </w:tcPr>
          <w:p w14:paraId="7653FAEF" w14:textId="77777777" w:rsidR="007359E3" w:rsidRDefault="007359E3" w:rsidP="006A0C3B">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Unaudited</w:t>
            </w:r>
            <w:r>
              <w:rPr>
                <w:rFonts w:ascii="Segoe UI" w:hAnsi="Segoe UI" w:cs="Segoe UI"/>
                <w:b/>
                <w:bCs/>
                <w:w w:val="110"/>
                <w:sz w:val="16"/>
                <w:szCs w:val="16"/>
              </w:rPr>
              <w:br/>
              <w:t xml:space="preserve">budget </w:t>
            </w:r>
          </w:p>
          <w:p w14:paraId="0ECEA521" w14:textId="77777777" w:rsidR="007359E3" w:rsidRDefault="007359E3" w:rsidP="006A0C3B">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28A191AC" w14:textId="77777777" w:rsidR="007359E3" w:rsidRDefault="007359E3" w:rsidP="006A0C3B">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119" w:type="dxa"/>
            <w:shd w:val="clear" w:color="auto" w:fill="D9D9D9" w:themeFill="background1" w:themeFillShade="D9"/>
            <w:hideMark/>
          </w:tcPr>
          <w:p w14:paraId="595E2D2E" w14:textId="77777777" w:rsidR="007359E3" w:rsidRDefault="007359E3" w:rsidP="006A0C3B">
            <w:pPr>
              <w:pStyle w:val="TableParagraph"/>
              <w:spacing w:before="60" w:after="60" w:line="280" w:lineRule="auto"/>
              <w:ind w:left="-42" w:right="152" w:firstLine="99"/>
              <w:jc w:val="right"/>
              <w:rPr>
                <w:rFonts w:ascii="Segoe UI" w:hAnsi="Segoe UI" w:cs="Segoe UI"/>
                <w:b/>
                <w:bCs/>
                <w:w w:val="110"/>
                <w:sz w:val="16"/>
                <w:szCs w:val="16"/>
              </w:rPr>
            </w:pPr>
            <w:r>
              <w:rPr>
                <w:rFonts w:ascii="Segoe UI" w:hAnsi="Segoe UI" w:cs="Segoe UI"/>
                <w:b/>
                <w:bCs/>
                <w:w w:val="110"/>
                <w:sz w:val="16"/>
                <w:szCs w:val="16"/>
              </w:rPr>
              <w:t>Revised budget*</w:t>
            </w:r>
          </w:p>
          <w:p w14:paraId="0CF8124F" w14:textId="77777777" w:rsidR="007359E3" w:rsidRDefault="007359E3" w:rsidP="006A0C3B">
            <w:pPr>
              <w:pStyle w:val="TableParagraph"/>
              <w:spacing w:before="60" w:after="60" w:line="170" w:lineRule="exact"/>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23E316F3" w14:textId="77777777" w:rsidR="007359E3" w:rsidRDefault="007359E3" w:rsidP="006A0C3B">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275" w:type="dxa"/>
            <w:shd w:val="clear" w:color="auto" w:fill="D9D9D9" w:themeFill="background1" w:themeFillShade="D9"/>
            <w:hideMark/>
          </w:tcPr>
          <w:p w14:paraId="59F42F3C" w14:textId="77777777" w:rsidR="007359E3" w:rsidRDefault="007359E3" w:rsidP="006A0C3B">
            <w:pPr>
              <w:pStyle w:val="TableParagraph"/>
              <w:spacing w:before="60"/>
              <w:ind w:left="-40" w:right="153" w:firstLine="96"/>
              <w:jc w:val="right"/>
              <w:rPr>
                <w:rFonts w:ascii="Segoe UI" w:hAnsi="Segoe UI" w:cs="Segoe UI"/>
                <w:b/>
                <w:bCs/>
                <w:w w:val="110"/>
                <w:sz w:val="16"/>
                <w:szCs w:val="16"/>
              </w:rPr>
            </w:pPr>
            <w:r>
              <w:rPr>
                <w:rFonts w:ascii="Segoe UI" w:hAnsi="Segoe UI" w:cs="Segoe UI"/>
                <w:b/>
                <w:bCs/>
                <w:w w:val="110"/>
                <w:sz w:val="16"/>
                <w:szCs w:val="16"/>
              </w:rPr>
              <w:t>Location of end-of-year performance information^</w:t>
            </w:r>
          </w:p>
        </w:tc>
      </w:tr>
      <w:tr w:rsidR="00F030EA" w:rsidRPr="007359E3" w14:paraId="77A9C5EC" w14:textId="77777777" w:rsidTr="006A0C3B">
        <w:trPr>
          <w:trHeight w:val="340"/>
        </w:trPr>
        <w:tc>
          <w:tcPr>
            <w:tcW w:w="1133" w:type="dxa"/>
          </w:tcPr>
          <w:p w14:paraId="287E5FFC" w14:textId="77777777" w:rsidR="00F030EA" w:rsidRPr="007359E3" w:rsidRDefault="00F030EA" w:rsidP="00F030EA">
            <w:pPr>
              <w:pStyle w:val="TableParagraph"/>
              <w:spacing w:before="60" w:after="60"/>
              <w:ind w:left="-42" w:right="170" w:firstLine="99"/>
              <w:jc w:val="right"/>
              <w:rPr>
                <w:rFonts w:ascii="Segoe UI" w:hAnsi="Segoe UI" w:cs="Segoe UI"/>
                <w:b/>
                <w:bCs/>
                <w:sz w:val="16"/>
                <w:szCs w:val="16"/>
              </w:rPr>
            </w:pPr>
          </w:p>
        </w:tc>
        <w:tc>
          <w:tcPr>
            <w:tcW w:w="2635" w:type="dxa"/>
          </w:tcPr>
          <w:p w14:paraId="13350318" w14:textId="54D14B83" w:rsidR="00F030EA" w:rsidRPr="00F030EA" w:rsidRDefault="00F030EA" w:rsidP="00F030EA">
            <w:pPr>
              <w:pStyle w:val="TableParagraph"/>
              <w:spacing w:before="60" w:after="60"/>
              <w:ind w:left="66" w:hanging="5"/>
              <w:rPr>
                <w:rFonts w:ascii="Segoe UI" w:hAnsi="Segoe UI" w:cs="Segoe UI"/>
                <w:b/>
                <w:bCs/>
                <w:w w:val="105"/>
                <w:sz w:val="16"/>
                <w:szCs w:val="16"/>
              </w:rPr>
            </w:pPr>
            <w:r w:rsidRPr="00F030EA">
              <w:rPr>
                <w:rFonts w:ascii="Segoe UI" w:hAnsi="Segoe UI" w:cs="Segoe UI"/>
                <w:b/>
                <w:bCs/>
                <w:w w:val="105"/>
                <w:sz w:val="16"/>
                <w:szCs w:val="16"/>
              </w:rPr>
              <w:t>Departmental capital expenditure</w:t>
            </w:r>
          </w:p>
        </w:tc>
        <w:tc>
          <w:tcPr>
            <w:tcW w:w="709" w:type="dxa"/>
          </w:tcPr>
          <w:p w14:paraId="73C45A33" w14:textId="77777777" w:rsidR="00F030EA" w:rsidRPr="007359E3" w:rsidRDefault="00F030EA" w:rsidP="00F030EA">
            <w:pPr>
              <w:pStyle w:val="TableParagraph"/>
              <w:spacing w:before="60" w:after="60"/>
              <w:ind w:left="-42" w:right="152" w:firstLine="99"/>
              <w:jc w:val="right"/>
              <w:rPr>
                <w:rFonts w:ascii="Segoe UI" w:hAnsi="Segoe UI" w:cs="Segoe UI"/>
                <w:b/>
                <w:bCs/>
                <w:w w:val="110"/>
                <w:sz w:val="16"/>
                <w:szCs w:val="16"/>
              </w:rPr>
            </w:pPr>
          </w:p>
        </w:tc>
        <w:tc>
          <w:tcPr>
            <w:tcW w:w="1181" w:type="dxa"/>
          </w:tcPr>
          <w:p w14:paraId="4EC5565B" w14:textId="77777777" w:rsidR="00F030EA" w:rsidRPr="007359E3" w:rsidRDefault="00F030EA" w:rsidP="00F030EA">
            <w:pPr>
              <w:pStyle w:val="TableParagraph"/>
              <w:spacing w:before="60" w:after="60"/>
              <w:ind w:left="-42" w:right="152" w:firstLine="99"/>
              <w:jc w:val="right"/>
              <w:rPr>
                <w:rFonts w:ascii="Segoe UI" w:hAnsi="Segoe UI" w:cs="Segoe UI"/>
                <w:b/>
                <w:bCs/>
                <w:w w:val="110"/>
                <w:sz w:val="16"/>
                <w:szCs w:val="16"/>
              </w:rPr>
            </w:pPr>
          </w:p>
        </w:tc>
        <w:tc>
          <w:tcPr>
            <w:tcW w:w="1158" w:type="dxa"/>
          </w:tcPr>
          <w:p w14:paraId="038EB668" w14:textId="77777777" w:rsidR="00F030EA" w:rsidRPr="007359E3" w:rsidRDefault="00F030EA" w:rsidP="00F030EA">
            <w:pPr>
              <w:pStyle w:val="TableParagraph"/>
              <w:spacing w:before="60" w:after="60"/>
              <w:ind w:left="-42" w:right="152" w:firstLine="99"/>
              <w:jc w:val="right"/>
              <w:rPr>
                <w:rFonts w:ascii="Segoe UI" w:hAnsi="Segoe UI" w:cs="Segoe UI"/>
                <w:b/>
                <w:bCs/>
                <w:w w:val="110"/>
                <w:sz w:val="16"/>
                <w:szCs w:val="16"/>
              </w:rPr>
            </w:pPr>
          </w:p>
        </w:tc>
        <w:tc>
          <w:tcPr>
            <w:tcW w:w="1119" w:type="dxa"/>
          </w:tcPr>
          <w:p w14:paraId="14F862FD" w14:textId="77777777" w:rsidR="00F030EA" w:rsidRPr="007359E3" w:rsidRDefault="00F030EA" w:rsidP="00F030EA">
            <w:pPr>
              <w:pStyle w:val="TableParagraph"/>
              <w:spacing w:before="60" w:after="60"/>
              <w:ind w:left="-42" w:right="152" w:firstLine="99"/>
              <w:jc w:val="right"/>
              <w:rPr>
                <w:rFonts w:ascii="Segoe UI" w:hAnsi="Segoe UI" w:cs="Segoe UI"/>
                <w:b/>
                <w:bCs/>
                <w:w w:val="110"/>
                <w:sz w:val="16"/>
                <w:szCs w:val="16"/>
              </w:rPr>
            </w:pPr>
          </w:p>
        </w:tc>
        <w:tc>
          <w:tcPr>
            <w:tcW w:w="1275" w:type="dxa"/>
          </w:tcPr>
          <w:p w14:paraId="17FA4806" w14:textId="77777777" w:rsidR="00F030EA" w:rsidRPr="007359E3" w:rsidRDefault="00F030EA" w:rsidP="00F030EA">
            <w:pPr>
              <w:pStyle w:val="TableParagraph"/>
              <w:spacing w:before="60" w:after="60"/>
              <w:ind w:left="-42" w:right="152" w:firstLine="99"/>
              <w:jc w:val="right"/>
              <w:rPr>
                <w:rFonts w:ascii="Segoe UI" w:hAnsi="Segoe UI" w:cs="Segoe UI"/>
                <w:b/>
                <w:bCs/>
                <w:w w:val="110"/>
                <w:sz w:val="16"/>
                <w:szCs w:val="16"/>
              </w:rPr>
            </w:pPr>
          </w:p>
        </w:tc>
      </w:tr>
      <w:tr w:rsidR="00F030EA" w:rsidRPr="007359E3" w14:paraId="0BA0E874" w14:textId="77777777" w:rsidTr="00F030EA">
        <w:trPr>
          <w:trHeight w:val="340"/>
        </w:trPr>
        <w:tc>
          <w:tcPr>
            <w:tcW w:w="1133" w:type="dxa"/>
            <w:tcBorders>
              <w:bottom w:val="single" w:sz="4" w:space="0" w:color="A6A6A6" w:themeColor="background1" w:themeShade="A6"/>
            </w:tcBorders>
          </w:tcPr>
          <w:p w14:paraId="471AF455" w14:textId="6FF5DD7C" w:rsidR="00F030EA" w:rsidRPr="00F030EA"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1,320</w:t>
            </w:r>
          </w:p>
        </w:tc>
        <w:tc>
          <w:tcPr>
            <w:tcW w:w="2635" w:type="dxa"/>
            <w:tcBorders>
              <w:bottom w:val="single" w:sz="4" w:space="0" w:color="A6A6A6" w:themeColor="background1" w:themeShade="A6"/>
            </w:tcBorders>
          </w:tcPr>
          <w:p w14:paraId="701C359F" w14:textId="7C4AD04E" w:rsidR="00F030EA" w:rsidRPr="00F030EA" w:rsidRDefault="00F030EA" w:rsidP="00F030EA">
            <w:pPr>
              <w:pStyle w:val="TableParagraph"/>
              <w:spacing w:before="60" w:after="60"/>
              <w:ind w:left="66" w:hanging="5"/>
              <w:rPr>
                <w:rFonts w:ascii="Segoe UI" w:hAnsi="Segoe UI" w:cs="Segoe UI"/>
                <w:w w:val="105"/>
                <w:sz w:val="16"/>
                <w:szCs w:val="16"/>
              </w:rPr>
            </w:pPr>
            <w:r w:rsidRPr="00F030EA">
              <w:rPr>
                <w:rFonts w:ascii="Segoe UI" w:hAnsi="Segoe UI" w:cs="Segoe UI"/>
                <w:w w:val="105"/>
                <w:sz w:val="16"/>
                <w:szCs w:val="16"/>
              </w:rPr>
              <w:t>Ministry of Health — capital expenditure permanent legislative authority</w:t>
            </w:r>
          </w:p>
        </w:tc>
        <w:tc>
          <w:tcPr>
            <w:tcW w:w="709" w:type="dxa"/>
            <w:tcBorders>
              <w:bottom w:val="single" w:sz="4" w:space="0" w:color="A6A6A6" w:themeColor="background1" w:themeShade="A6"/>
            </w:tcBorders>
          </w:tcPr>
          <w:p w14:paraId="0541FF50" w14:textId="77777777" w:rsidR="00F030EA" w:rsidRPr="007359E3" w:rsidRDefault="00F030EA" w:rsidP="00F030EA">
            <w:pPr>
              <w:pStyle w:val="TableParagraph"/>
              <w:spacing w:before="60" w:after="60"/>
              <w:ind w:left="-42" w:right="152" w:firstLine="99"/>
              <w:jc w:val="right"/>
              <w:rPr>
                <w:rFonts w:ascii="Segoe UI" w:hAnsi="Segoe UI" w:cs="Segoe UI"/>
                <w:b/>
                <w:bCs/>
                <w:w w:val="110"/>
                <w:sz w:val="16"/>
                <w:szCs w:val="16"/>
              </w:rPr>
            </w:pPr>
          </w:p>
        </w:tc>
        <w:tc>
          <w:tcPr>
            <w:tcW w:w="1181" w:type="dxa"/>
            <w:tcBorders>
              <w:bottom w:val="single" w:sz="4" w:space="0" w:color="A6A6A6" w:themeColor="background1" w:themeShade="A6"/>
            </w:tcBorders>
          </w:tcPr>
          <w:p w14:paraId="4FEC5EED" w14:textId="6BAA4D3C" w:rsidR="00F030EA" w:rsidRPr="00F030EA"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2,082</w:t>
            </w:r>
          </w:p>
        </w:tc>
        <w:tc>
          <w:tcPr>
            <w:tcW w:w="1158" w:type="dxa"/>
            <w:tcBorders>
              <w:bottom w:val="single" w:sz="4" w:space="0" w:color="A6A6A6" w:themeColor="background1" w:themeShade="A6"/>
            </w:tcBorders>
          </w:tcPr>
          <w:p w14:paraId="3A029326" w14:textId="7F61D5E1" w:rsidR="00F030EA" w:rsidRPr="00F030EA"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1,600</w:t>
            </w:r>
          </w:p>
        </w:tc>
        <w:tc>
          <w:tcPr>
            <w:tcW w:w="1119" w:type="dxa"/>
            <w:tcBorders>
              <w:bottom w:val="single" w:sz="4" w:space="0" w:color="A6A6A6" w:themeColor="background1" w:themeShade="A6"/>
            </w:tcBorders>
          </w:tcPr>
          <w:p w14:paraId="0FD3E59C" w14:textId="675705E8" w:rsidR="00F030EA" w:rsidRPr="00F030EA"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2,000</w:t>
            </w:r>
          </w:p>
        </w:tc>
        <w:tc>
          <w:tcPr>
            <w:tcW w:w="1275" w:type="dxa"/>
            <w:tcBorders>
              <w:bottom w:val="single" w:sz="4" w:space="0" w:color="A6A6A6" w:themeColor="background1" w:themeShade="A6"/>
            </w:tcBorders>
          </w:tcPr>
          <w:p w14:paraId="4F1C4C1E" w14:textId="108A8826" w:rsidR="00F030EA" w:rsidRPr="00F030EA" w:rsidRDefault="00F030EA" w:rsidP="00F030EA">
            <w:pPr>
              <w:pStyle w:val="TableParagraph"/>
              <w:spacing w:before="60" w:after="60"/>
              <w:ind w:left="-42" w:right="152" w:firstLine="99"/>
              <w:jc w:val="right"/>
              <w:rPr>
                <w:rFonts w:ascii="Segoe UI" w:hAnsi="Segoe UI" w:cs="Segoe UI"/>
                <w:sz w:val="16"/>
                <w:szCs w:val="16"/>
              </w:rPr>
            </w:pPr>
            <w:r w:rsidRPr="00F030EA">
              <w:rPr>
                <w:rFonts w:ascii="Segoe UI" w:hAnsi="Segoe UI" w:cs="Segoe UI"/>
                <w:sz w:val="16"/>
                <w:szCs w:val="16"/>
              </w:rPr>
              <w:t>1</w:t>
            </w:r>
          </w:p>
        </w:tc>
      </w:tr>
      <w:tr w:rsidR="00F030EA" w:rsidRPr="00F030EA" w14:paraId="69F5F071" w14:textId="77777777" w:rsidTr="00F030EA">
        <w:trPr>
          <w:trHeight w:val="340"/>
        </w:trPr>
        <w:tc>
          <w:tcPr>
            <w:tcW w:w="1133" w:type="dxa"/>
            <w:tcBorders>
              <w:top w:val="single" w:sz="4" w:space="0" w:color="A6A6A6" w:themeColor="background1" w:themeShade="A6"/>
              <w:bottom w:val="single" w:sz="4" w:space="0" w:color="A6A6A6" w:themeColor="background1" w:themeShade="A6"/>
            </w:tcBorders>
          </w:tcPr>
          <w:p w14:paraId="37025D8B" w14:textId="463EBE2E" w:rsidR="00F030EA" w:rsidRPr="00F030EA" w:rsidRDefault="00F030EA" w:rsidP="00F030EA">
            <w:pPr>
              <w:pStyle w:val="TableParagraph"/>
              <w:spacing w:before="60" w:after="60"/>
              <w:ind w:left="-42" w:right="170" w:firstLine="99"/>
              <w:jc w:val="right"/>
              <w:rPr>
                <w:rFonts w:ascii="Segoe UI" w:hAnsi="Segoe UI" w:cs="Segoe UI"/>
                <w:b/>
                <w:bCs/>
                <w:sz w:val="16"/>
                <w:szCs w:val="16"/>
              </w:rPr>
            </w:pPr>
            <w:r w:rsidRPr="00F030EA">
              <w:rPr>
                <w:rFonts w:ascii="Segoe UI" w:hAnsi="Segoe UI" w:cs="Segoe UI"/>
                <w:b/>
                <w:bCs/>
                <w:sz w:val="16"/>
                <w:szCs w:val="16"/>
              </w:rPr>
              <w:t>1,320</w:t>
            </w:r>
          </w:p>
        </w:tc>
        <w:tc>
          <w:tcPr>
            <w:tcW w:w="2635" w:type="dxa"/>
            <w:tcBorders>
              <w:top w:val="single" w:sz="4" w:space="0" w:color="A6A6A6" w:themeColor="background1" w:themeShade="A6"/>
              <w:bottom w:val="single" w:sz="4" w:space="0" w:color="A6A6A6" w:themeColor="background1" w:themeShade="A6"/>
            </w:tcBorders>
          </w:tcPr>
          <w:p w14:paraId="70CB6832" w14:textId="68128164" w:rsidR="00F030EA" w:rsidRPr="00F030EA" w:rsidRDefault="00F030EA" w:rsidP="00F030EA">
            <w:pPr>
              <w:pStyle w:val="TableParagraph"/>
              <w:spacing w:before="60" w:after="60"/>
              <w:ind w:left="66" w:hanging="5"/>
              <w:rPr>
                <w:rFonts w:ascii="Segoe UI" w:hAnsi="Segoe UI" w:cs="Segoe UI"/>
                <w:b/>
                <w:bCs/>
                <w:w w:val="105"/>
                <w:sz w:val="16"/>
                <w:szCs w:val="16"/>
              </w:rPr>
            </w:pPr>
            <w:r w:rsidRPr="00F030EA">
              <w:rPr>
                <w:rFonts w:ascii="Segoe UI" w:hAnsi="Segoe UI" w:cs="Segoe UI"/>
                <w:b/>
                <w:bCs/>
                <w:w w:val="105"/>
                <w:sz w:val="16"/>
                <w:szCs w:val="16"/>
              </w:rPr>
              <w:t>Total departmental capital expenditure</w:t>
            </w:r>
          </w:p>
        </w:tc>
        <w:tc>
          <w:tcPr>
            <w:tcW w:w="709" w:type="dxa"/>
            <w:tcBorders>
              <w:top w:val="single" w:sz="4" w:space="0" w:color="A6A6A6" w:themeColor="background1" w:themeShade="A6"/>
              <w:bottom w:val="single" w:sz="4" w:space="0" w:color="A6A6A6" w:themeColor="background1" w:themeShade="A6"/>
            </w:tcBorders>
          </w:tcPr>
          <w:p w14:paraId="46694A0A" w14:textId="77777777" w:rsidR="00F030EA" w:rsidRPr="00F030EA" w:rsidRDefault="00F030EA" w:rsidP="00F030EA">
            <w:pPr>
              <w:pStyle w:val="TableParagraph"/>
              <w:spacing w:before="60" w:after="60"/>
              <w:ind w:left="-42" w:right="152" w:firstLine="99"/>
              <w:jc w:val="right"/>
              <w:rPr>
                <w:rFonts w:ascii="Segoe UI" w:hAnsi="Segoe UI" w:cs="Segoe UI"/>
                <w:b/>
                <w:bCs/>
                <w:i/>
                <w:iCs/>
                <w:w w:val="110"/>
                <w:sz w:val="16"/>
                <w:szCs w:val="16"/>
              </w:rPr>
            </w:pPr>
          </w:p>
        </w:tc>
        <w:tc>
          <w:tcPr>
            <w:tcW w:w="1181" w:type="dxa"/>
            <w:tcBorders>
              <w:top w:val="single" w:sz="4" w:space="0" w:color="A6A6A6" w:themeColor="background1" w:themeShade="A6"/>
              <w:bottom w:val="single" w:sz="4" w:space="0" w:color="A6A6A6" w:themeColor="background1" w:themeShade="A6"/>
            </w:tcBorders>
          </w:tcPr>
          <w:p w14:paraId="504A2F7C" w14:textId="2D95DEBD" w:rsidR="00F030EA" w:rsidRPr="00F030EA" w:rsidRDefault="00F030EA" w:rsidP="00F030EA">
            <w:pPr>
              <w:pStyle w:val="TableParagraph"/>
              <w:spacing w:before="60" w:after="60"/>
              <w:ind w:left="-42" w:right="170" w:firstLine="99"/>
              <w:jc w:val="right"/>
              <w:rPr>
                <w:rFonts w:ascii="Segoe UI" w:hAnsi="Segoe UI" w:cs="Segoe UI"/>
                <w:b/>
                <w:bCs/>
                <w:sz w:val="16"/>
                <w:szCs w:val="16"/>
              </w:rPr>
            </w:pPr>
            <w:r w:rsidRPr="00F030EA">
              <w:rPr>
                <w:rFonts w:ascii="Segoe UI" w:hAnsi="Segoe UI" w:cs="Segoe UI"/>
                <w:b/>
                <w:bCs/>
                <w:sz w:val="16"/>
                <w:szCs w:val="16"/>
              </w:rPr>
              <w:t>2,082</w:t>
            </w:r>
          </w:p>
        </w:tc>
        <w:tc>
          <w:tcPr>
            <w:tcW w:w="1158" w:type="dxa"/>
            <w:tcBorders>
              <w:top w:val="single" w:sz="4" w:space="0" w:color="A6A6A6" w:themeColor="background1" w:themeShade="A6"/>
              <w:bottom w:val="single" w:sz="4" w:space="0" w:color="A6A6A6" w:themeColor="background1" w:themeShade="A6"/>
            </w:tcBorders>
          </w:tcPr>
          <w:p w14:paraId="490C7752" w14:textId="698ED6B1" w:rsidR="00F030EA" w:rsidRPr="00F030EA" w:rsidRDefault="00F030EA" w:rsidP="00F030EA">
            <w:pPr>
              <w:pStyle w:val="TableParagraph"/>
              <w:spacing w:before="60" w:after="60"/>
              <w:ind w:left="-42" w:right="170" w:firstLine="99"/>
              <w:jc w:val="right"/>
              <w:rPr>
                <w:rFonts w:ascii="Segoe UI" w:hAnsi="Segoe UI" w:cs="Segoe UI"/>
                <w:b/>
                <w:bCs/>
                <w:sz w:val="16"/>
                <w:szCs w:val="16"/>
              </w:rPr>
            </w:pPr>
            <w:r w:rsidRPr="00F030EA">
              <w:rPr>
                <w:rFonts w:ascii="Segoe UI" w:hAnsi="Segoe UI" w:cs="Segoe UI"/>
                <w:b/>
                <w:bCs/>
                <w:sz w:val="16"/>
                <w:szCs w:val="16"/>
              </w:rPr>
              <w:t>1,600</w:t>
            </w:r>
          </w:p>
        </w:tc>
        <w:tc>
          <w:tcPr>
            <w:tcW w:w="1119" w:type="dxa"/>
            <w:tcBorders>
              <w:top w:val="single" w:sz="4" w:space="0" w:color="A6A6A6" w:themeColor="background1" w:themeShade="A6"/>
              <w:bottom w:val="single" w:sz="4" w:space="0" w:color="A6A6A6" w:themeColor="background1" w:themeShade="A6"/>
            </w:tcBorders>
          </w:tcPr>
          <w:p w14:paraId="7E4A655E" w14:textId="27CF42EE" w:rsidR="00F030EA" w:rsidRPr="00F030EA" w:rsidRDefault="00F030EA" w:rsidP="00F030EA">
            <w:pPr>
              <w:pStyle w:val="TableParagraph"/>
              <w:spacing w:before="60" w:after="60"/>
              <w:ind w:left="-42" w:right="170" w:firstLine="99"/>
              <w:jc w:val="right"/>
              <w:rPr>
                <w:rFonts w:ascii="Segoe UI" w:hAnsi="Segoe UI" w:cs="Segoe UI"/>
                <w:b/>
                <w:bCs/>
                <w:sz w:val="16"/>
                <w:szCs w:val="16"/>
              </w:rPr>
            </w:pPr>
            <w:r w:rsidRPr="00F030EA">
              <w:rPr>
                <w:rFonts w:ascii="Segoe UI" w:hAnsi="Segoe UI" w:cs="Segoe UI"/>
                <w:b/>
                <w:bCs/>
                <w:sz w:val="16"/>
                <w:szCs w:val="16"/>
              </w:rPr>
              <w:t>2,000</w:t>
            </w:r>
          </w:p>
        </w:tc>
        <w:tc>
          <w:tcPr>
            <w:tcW w:w="1275" w:type="dxa"/>
            <w:tcBorders>
              <w:top w:val="single" w:sz="4" w:space="0" w:color="A6A6A6" w:themeColor="background1" w:themeShade="A6"/>
              <w:bottom w:val="single" w:sz="4" w:space="0" w:color="A6A6A6" w:themeColor="background1" w:themeShade="A6"/>
            </w:tcBorders>
          </w:tcPr>
          <w:p w14:paraId="071FCC86" w14:textId="77777777" w:rsidR="00F030EA" w:rsidRPr="00F030EA" w:rsidRDefault="00F030EA" w:rsidP="00F030EA">
            <w:pPr>
              <w:pStyle w:val="TableParagraph"/>
              <w:spacing w:before="60" w:after="60"/>
              <w:ind w:left="-42" w:right="152" w:firstLine="99"/>
              <w:jc w:val="right"/>
              <w:rPr>
                <w:rFonts w:ascii="Segoe UI" w:hAnsi="Segoe UI" w:cs="Segoe UI"/>
                <w:b/>
                <w:bCs/>
                <w:sz w:val="16"/>
                <w:szCs w:val="16"/>
              </w:rPr>
            </w:pPr>
          </w:p>
        </w:tc>
      </w:tr>
      <w:tr w:rsidR="00F030EA" w14:paraId="4F9C386C" w14:textId="77777777" w:rsidTr="00F030EA">
        <w:trPr>
          <w:trHeight w:val="340"/>
        </w:trPr>
        <w:tc>
          <w:tcPr>
            <w:tcW w:w="1133" w:type="dxa"/>
            <w:tcBorders>
              <w:top w:val="single" w:sz="4" w:space="0" w:color="A6A6A6" w:themeColor="background1" w:themeShade="A6"/>
            </w:tcBorders>
          </w:tcPr>
          <w:p w14:paraId="1B160EFF" w14:textId="0C54A562" w:rsidR="00F030EA" w:rsidRDefault="00F030EA" w:rsidP="00F030EA">
            <w:pPr>
              <w:pStyle w:val="TableParagraph"/>
              <w:spacing w:before="60" w:after="60"/>
              <w:ind w:left="-42" w:right="170" w:firstLine="99"/>
              <w:jc w:val="right"/>
              <w:rPr>
                <w:rFonts w:ascii="Segoe UI" w:hAnsi="Segoe UI" w:cs="Segoe UI"/>
                <w:sz w:val="16"/>
                <w:szCs w:val="16"/>
              </w:rPr>
            </w:pPr>
          </w:p>
        </w:tc>
        <w:tc>
          <w:tcPr>
            <w:tcW w:w="2635" w:type="dxa"/>
            <w:tcBorders>
              <w:top w:val="single" w:sz="4" w:space="0" w:color="A6A6A6" w:themeColor="background1" w:themeShade="A6"/>
            </w:tcBorders>
          </w:tcPr>
          <w:p w14:paraId="384A0E5A" w14:textId="28FACA9F" w:rsidR="00F030EA" w:rsidRPr="00F030EA" w:rsidRDefault="00F030EA" w:rsidP="00F030EA">
            <w:pPr>
              <w:pStyle w:val="TableParagraph"/>
              <w:spacing w:before="60" w:after="60"/>
              <w:ind w:left="66" w:hanging="5"/>
              <w:rPr>
                <w:rFonts w:ascii="Segoe UI" w:hAnsi="Segoe UI" w:cs="Segoe UI"/>
                <w:b/>
                <w:bCs/>
                <w:w w:val="105"/>
                <w:sz w:val="16"/>
                <w:szCs w:val="16"/>
              </w:rPr>
            </w:pPr>
            <w:r w:rsidRPr="00F030EA">
              <w:rPr>
                <w:rFonts w:ascii="Segoe UI" w:hAnsi="Segoe UI" w:cs="Segoe UI"/>
                <w:b/>
                <w:bCs/>
                <w:w w:val="105"/>
                <w:sz w:val="16"/>
                <w:szCs w:val="16"/>
              </w:rPr>
              <w:t>Non-departmental output expenses</w:t>
            </w:r>
          </w:p>
        </w:tc>
        <w:tc>
          <w:tcPr>
            <w:tcW w:w="709" w:type="dxa"/>
            <w:tcBorders>
              <w:top w:val="single" w:sz="4" w:space="0" w:color="A6A6A6" w:themeColor="background1" w:themeShade="A6"/>
            </w:tcBorders>
          </w:tcPr>
          <w:p w14:paraId="0C1551A3" w14:textId="77777777" w:rsidR="00F030EA" w:rsidRDefault="00F030EA" w:rsidP="00F030EA">
            <w:pPr>
              <w:pStyle w:val="TableParagraph"/>
              <w:spacing w:before="60" w:after="60"/>
              <w:ind w:left="-42" w:right="152" w:firstLine="99"/>
              <w:jc w:val="right"/>
              <w:rPr>
                <w:rFonts w:ascii="Segoe UI" w:hAnsi="Segoe UI" w:cs="Segoe UI"/>
                <w:w w:val="110"/>
                <w:sz w:val="16"/>
                <w:szCs w:val="16"/>
              </w:rPr>
            </w:pPr>
          </w:p>
        </w:tc>
        <w:tc>
          <w:tcPr>
            <w:tcW w:w="1181" w:type="dxa"/>
            <w:tcBorders>
              <w:top w:val="single" w:sz="4" w:space="0" w:color="A6A6A6" w:themeColor="background1" w:themeShade="A6"/>
            </w:tcBorders>
          </w:tcPr>
          <w:p w14:paraId="28E9A3DF" w14:textId="18ADB493" w:rsidR="00F030EA" w:rsidRPr="0068431B" w:rsidRDefault="00F030EA" w:rsidP="00F030EA">
            <w:pPr>
              <w:pStyle w:val="TableParagraph"/>
              <w:spacing w:before="60" w:after="60"/>
              <w:ind w:left="-42" w:right="170" w:firstLine="99"/>
              <w:jc w:val="right"/>
              <w:rPr>
                <w:rFonts w:ascii="Segoe UI" w:hAnsi="Segoe UI" w:cs="Segoe UI"/>
                <w:sz w:val="16"/>
                <w:szCs w:val="16"/>
              </w:rPr>
            </w:pPr>
          </w:p>
        </w:tc>
        <w:tc>
          <w:tcPr>
            <w:tcW w:w="1158" w:type="dxa"/>
            <w:tcBorders>
              <w:top w:val="single" w:sz="4" w:space="0" w:color="A6A6A6" w:themeColor="background1" w:themeShade="A6"/>
            </w:tcBorders>
          </w:tcPr>
          <w:p w14:paraId="26406AB2" w14:textId="143A391C" w:rsidR="00F030EA" w:rsidRPr="0068431B" w:rsidRDefault="00F030EA" w:rsidP="00F030EA">
            <w:pPr>
              <w:pStyle w:val="TableParagraph"/>
              <w:spacing w:before="60" w:after="60"/>
              <w:ind w:left="-42" w:right="170" w:firstLine="99"/>
              <w:jc w:val="right"/>
              <w:rPr>
                <w:rFonts w:ascii="Segoe UI" w:hAnsi="Segoe UI" w:cs="Segoe UI"/>
                <w:sz w:val="16"/>
                <w:szCs w:val="16"/>
              </w:rPr>
            </w:pPr>
          </w:p>
        </w:tc>
        <w:tc>
          <w:tcPr>
            <w:tcW w:w="1119" w:type="dxa"/>
            <w:tcBorders>
              <w:top w:val="single" w:sz="4" w:space="0" w:color="A6A6A6" w:themeColor="background1" w:themeShade="A6"/>
            </w:tcBorders>
          </w:tcPr>
          <w:p w14:paraId="1049E97C" w14:textId="69F918D3" w:rsidR="00F030EA" w:rsidRPr="0068431B" w:rsidRDefault="00F030EA" w:rsidP="00F030EA">
            <w:pPr>
              <w:pStyle w:val="TableParagraph"/>
              <w:spacing w:before="60" w:after="60"/>
              <w:ind w:left="-42" w:right="170" w:firstLine="99"/>
              <w:jc w:val="right"/>
              <w:rPr>
                <w:rFonts w:ascii="Segoe UI" w:hAnsi="Segoe UI" w:cs="Segoe UI"/>
                <w:sz w:val="16"/>
                <w:szCs w:val="16"/>
              </w:rPr>
            </w:pPr>
          </w:p>
        </w:tc>
        <w:tc>
          <w:tcPr>
            <w:tcW w:w="1275" w:type="dxa"/>
            <w:tcBorders>
              <w:top w:val="single" w:sz="4" w:space="0" w:color="A6A6A6" w:themeColor="background1" w:themeShade="A6"/>
            </w:tcBorders>
          </w:tcPr>
          <w:p w14:paraId="7E8F0413" w14:textId="4EA6A447" w:rsidR="00F030EA" w:rsidRPr="007359E3" w:rsidRDefault="00F030EA" w:rsidP="00F030EA">
            <w:pPr>
              <w:pStyle w:val="TableParagraph"/>
              <w:spacing w:before="60" w:after="60"/>
              <w:ind w:left="-42" w:right="170" w:firstLine="99"/>
              <w:jc w:val="right"/>
              <w:rPr>
                <w:rFonts w:ascii="Segoe UI" w:hAnsi="Segoe UI" w:cs="Segoe UI"/>
                <w:sz w:val="16"/>
                <w:szCs w:val="16"/>
              </w:rPr>
            </w:pPr>
          </w:p>
        </w:tc>
      </w:tr>
      <w:tr w:rsidR="00F030EA" w14:paraId="7AB0F720" w14:textId="77777777" w:rsidTr="006A0C3B">
        <w:trPr>
          <w:trHeight w:val="340"/>
        </w:trPr>
        <w:tc>
          <w:tcPr>
            <w:tcW w:w="1133" w:type="dxa"/>
          </w:tcPr>
          <w:p w14:paraId="372D7A40" w14:textId="7012C658" w:rsidR="00F030EA"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2,023</w:t>
            </w:r>
          </w:p>
        </w:tc>
        <w:tc>
          <w:tcPr>
            <w:tcW w:w="2635" w:type="dxa"/>
          </w:tcPr>
          <w:p w14:paraId="66B7BC1E" w14:textId="383C01D1" w:rsidR="00F030EA" w:rsidRPr="0068431B" w:rsidRDefault="00F030EA" w:rsidP="00F030EA">
            <w:pPr>
              <w:pStyle w:val="TableParagraph"/>
              <w:spacing w:before="60" w:after="60"/>
              <w:ind w:left="66" w:hanging="5"/>
              <w:rPr>
                <w:rFonts w:ascii="Segoe UI" w:hAnsi="Segoe UI" w:cs="Segoe UI"/>
                <w:w w:val="105"/>
                <w:sz w:val="16"/>
                <w:szCs w:val="16"/>
              </w:rPr>
            </w:pPr>
            <w:r w:rsidRPr="00F030EA">
              <w:rPr>
                <w:rFonts w:ascii="Segoe UI" w:hAnsi="Segoe UI" w:cs="Segoe UI"/>
                <w:w w:val="105"/>
                <w:sz w:val="16"/>
                <w:szCs w:val="16"/>
              </w:rPr>
              <w:t>Aged Care Commissioner</w:t>
            </w:r>
          </w:p>
        </w:tc>
        <w:tc>
          <w:tcPr>
            <w:tcW w:w="709" w:type="dxa"/>
          </w:tcPr>
          <w:p w14:paraId="31B8C70E" w14:textId="77777777" w:rsidR="00F030EA" w:rsidRDefault="00F030EA" w:rsidP="00F030EA">
            <w:pPr>
              <w:pStyle w:val="TableParagraph"/>
              <w:spacing w:before="60" w:after="60"/>
              <w:ind w:left="-42" w:right="152" w:firstLine="99"/>
              <w:jc w:val="right"/>
              <w:rPr>
                <w:rFonts w:ascii="Segoe UI" w:hAnsi="Segoe UI" w:cs="Segoe UI"/>
                <w:w w:val="110"/>
                <w:sz w:val="16"/>
                <w:szCs w:val="16"/>
              </w:rPr>
            </w:pPr>
          </w:p>
        </w:tc>
        <w:tc>
          <w:tcPr>
            <w:tcW w:w="1181" w:type="dxa"/>
          </w:tcPr>
          <w:p w14:paraId="18B93D1A" w14:textId="55477D40"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2,104</w:t>
            </w:r>
          </w:p>
        </w:tc>
        <w:tc>
          <w:tcPr>
            <w:tcW w:w="1158" w:type="dxa"/>
          </w:tcPr>
          <w:p w14:paraId="1569E032" w14:textId="329CE375"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2,023</w:t>
            </w:r>
          </w:p>
        </w:tc>
        <w:tc>
          <w:tcPr>
            <w:tcW w:w="1119" w:type="dxa"/>
          </w:tcPr>
          <w:p w14:paraId="19CA9829" w14:textId="47CEC5DD"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2,104</w:t>
            </w:r>
          </w:p>
        </w:tc>
        <w:tc>
          <w:tcPr>
            <w:tcW w:w="1275" w:type="dxa"/>
          </w:tcPr>
          <w:p w14:paraId="0C3C2701" w14:textId="62897843" w:rsidR="00F030EA" w:rsidRPr="007359E3"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6</w:t>
            </w:r>
          </w:p>
        </w:tc>
      </w:tr>
      <w:tr w:rsidR="00F030EA" w14:paraId="0445F5B4" w14:textId="77777777" w:rsidTr="006A0C3B">
        <w:trPr>
          <w:trHeight w:val="340"/>
        </w:trPr>
        <w:tc>
          <w:tcPr>
            <w:tcW w:w="1133" w:type="dxa"/>
          </w:tcPr>
          <w:p w14:paraId="72057571" w14:textId="1B5023CB" w:rsidR="00F030EA"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217,572</w:t>
            </w:r>
          </w:p>
        </w:tc>
        <w:tc>
          <w:tcPr>
            <w:tcW w:w="2635" w:type="dxa"/>
          </w:tcPr>
          <w:p w14:paraId="567762C4" w14:textId="711E7069" w:rsidR="00F030EA" w:rsidRPr="0068431B" w:rsidRDefault="00F030EA" w:rsidP="00F030EA">
            <w:pPr>
              <w:pStyle w:val="TableParagraph"/>
              <w:spacing w:before="60" w:after="60"/>
              <w:ind w:left="66" w:hanging="5"/>
              <w:rPr>
                <w:rFonts w:ascii="Segoe UI" w:hAnsi="Segoe UI" w:cs="Segoe UI"/>
                <w:w w:val="105"/>
                <w:sz w:val="16"/>
                <w:szCs w:val="16"/>
              </w:rPr>
            </w:pPr>
            <w:r w:rsidRPr="00F030EA">
              <w:rPr>
                <w:rFonts w:ascii="Segoe UI" w:hAnsi="Segoe UI" w:cs="Segoe UI"/>
                <w:w w:val="105"/>
                <w:sz w:val="16"/>
                <w:szCs w:val="16"/>
              </w:rPr>
              <w:t>Delivering hauora Māori health services</w:t>
            </w:r>
          </w:p>
        </w:tc>
        <w:tc>
          <w:tcPr>
            <w:tcW w:w="709" w:type="dxa"/>
          </w:tcPr>
          <w:p w14:paraId="3D14D6A4" w14:textId="77777777" w:rsidR="00F030EA" w:rsidRDefault="00F030EA" w:rsidP="00F030EA">
            <w:pPr>
              <w:pStyle w:val="TableParagraph"/>
              <w:spacing w:before="60" w:after="60"/>
              <w:ind w:left="-42" w:right="152" w:firstLine="99"/>
              <w:jc w:val="right"/>
              <w:rPr>
                <w:rFonts w:ascii="Segoe UI" w:hAnsi="Segoe UI" w:cs="Segoe UI"/>
                <w:w w:val="110"/>
                <w:sz w:val="16"/>
                <w:szCs w:val="16"/>
              </w:rPr>
            </w:pPr>
          </w:p>
        </w:tc>
        <w:tc>
          <w:tcPr>
            <w:tcW w:w="1181" w:type="dxa"/>
          </w:tcPr>
          <w:p w14:paraId="637B1875" w14:textId="4ED79F65"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704,106</w:t>
            </w:r>
          </w:p>
        </w:tc>
        <w:tc>
          <w:tcPr>
            <w:tcW w:w="1158" w:type="dxa"/>
          </w:tcPr>
          <w:p w14:paraId="04663A44" w14:textId="410AC59A"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615,540</w:t>
            </w:r>
          </w:p>
        </w:tc>
        <w:tc>
          <w:tcPr>
            <w:tcW w:w="1119" w:type="dxa"/>
          </w:tcPr>
          <w:p w14:paraId="60D5FC8C" w14:textId="554B6B9A"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704,106</w:t>
            </w:r>
          </w:p>
        </w:tc>
        <w:tc>
          <w:tcPr>
            <w:tcW w:w="1275" w:type="dxa"/>
          </w:tcPr>
          <w:p w14:paraId="0C466965" w14:textId="496BD7CC" w:rsidR="00F030EA" w:rsidRPr="007359E3"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2, 3</w:t>
            </w:r>
          </w:p>
        </w:tc>
      </w:tr>
      <w:tr w:rsidR="00F030EA" w14:paraId="3E6F7B3A" w14:textId="77777777" w:rsidTr="006A0C3B">
        <w:trPr>
          <w:trHeight w:val="340"/>
        </w:trPr>
        <w:tc>
          <w:tcPr>
            <w:tcW w:w="1133" w:type="dxa"/>
          </w:tcPr>
          <w:p w14:paraId="0AEF9BBD" w14:textId="6C79E61B" w:rsidR="00F030EA"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12,917,202</w:t>
            </w:r>
          </w:p>
        </w:tc>
        <w:tc>
          <w:tcPr>
            <w:tcW w:w="2635" w:type="dxa"/>
          </w:tcPr>
          <w:p w14:paraId="25364E9E" w14:textId="37CB62E8" w:rsidR="00F030EA" w:rsidRPr="0068431B" w:rsidRDefault="00F030EA" w:rsidP="00F030EA">
            <w:pPr>
              <w:pStyle w:val="TableParagraph"/>
              <w:spacing w:before="60" w:after="60"/>
              <w:ind w:left="66" w:hanging="5"/>
              <w:rPr>
                <w:rFonts w:ascii="Segoe UI" w:hAnsi="Segoe UI" w:cs="Segoe UI"/>
                <w:w w:val="105"/>
                <w:sz w:val="16"/>
                <w:szCs w:val="16"/>
              </w:rPr>
            </w:pPr>
            <w:r w:rsidRPr="00F030EA">
              <w:rPr>
                <w:rFonts w:ascii="Segoe UI" w:hAnsi="Segoe UI" w:cs="Segoe UI"/>
                <w:w w:val="105"/>
                <w:sz w:val="16"/>
                <w:szCs w:val="16"/>
              </w:rPr>
              <w:t>Delivering hospital and specialist services</w:t>
            </w:r>
          </w:p>
        </w:tc>
        <w:tc>
          <w:tcPr>
            <w:tcW w:w="709" w:type="dxa"/>
          </w:tcPr>
          <w:p w14:paraId="2F72DCA4" w14:textId="494299AE" w:rsidR="00F030EA" w:rsidRDefault="00F030EA" w:rsidP="00F030EA">
            <w:pPr>
              <w:pStyle w:val="TableParagraph"/>
              <w:spacing w:before="60" w:after="60"/>
              <w:ind w:left="-42" w:right="152" w:firstLine="99"/>
              <w:jc w:val="right"/>
              <w:rPr>
                <w:rFonts w:ascii="Segoe UI" w:hAnsi="Segoe UI" w:cs="Segoe UI"/>
                <w:w w:val="110"/>
                <w:sz w:val="16"/>
                <w:szCs w:val="16"/>
              </w:rPr>
            </w:pPr>
            <w:r>
              <w:rPr>
                <w:spacing w:val="-5"/>
                <w:sz w:val="16"/>
              </w:rPr>
              <w:t>2.6</w:t>
            </w:r>
          </w:p>
        </w:tc>
        <w:tc>
          <w:tcPr>
            <w:tcW w:w="1181" w:type="dxa"/>
          </w:tcPr>
          <w:p w14:paraId="64873FDD" w14:textId="1B0E899F"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14,381,833</w:t>
            </w:r>
          </w:p>
        </w:tc>
        <w:tc>
          <w:tcPr>
            <w:tcW w:w="1158" w:type="dxa"/>
          </w:tcPr>
          <w:p w14:paraId="33A9FBA5" w14:textId="17C25156"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12,720,434</w:t>
            </w:r>
          </w:p>
        </w:tc>
        <w:tc>
          <w:tcPr>
            <w:tcW w:w="1119" w:type="dxa"/>
          </w:tcPr>
          <w:p w14:paraId="1B27B42C" w14:textId="14B7090A"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14,389,512</w:t>
            </w:r>
          </w:p>
        </w:tc>
        <w:tc>
          <w:tcPr>
            <w:tcW w:w="1275" w:type="dxa"/>
          </w:tcPr>
          <w:p w14:paraId="5D37BD8C" w14:textId="4CE29255" w:rsidR="00F030EA" w:rsidRPr="007359E3"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2</w:t>
            </w:r>
          </w:p>
        </w:tc>
      </w:tr>
      <w:tr w:rsidR="00F030EA" w14:paraId="6EBFA48F" w14:textId="77777777" w:rsidTr="006A0C3B">
        <w:trPr>
          <w:trHeight w:val="340"/>
        </w:trPr>
        <w:tc>
          <w:tcPr>
            <w:tcW w:w="1133" w:type="dxa"/>
          </w:tcPr>
          <w:p w14:paraId="55D731F7" w14:textId="1B7D7EF7" w:rsidR="00F030EA"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8,199,205</w:t>
            </w:r>
          </w:p>
        </w:tc>
        <w:tc>
          <w:tcPr>
            <w:tcW w:w="2635" w:type="dxa"/>
          </w:tcPr>
          <w:p w14:paraId="3BA4BF07" w14:textId="109E3461" w:rsidR="00F030EA" w:rsidRPr="0068431B" w:rsidRDefault="00F030EA" w:rsidP="00F030EA">
            <w:pPr>
              <w:pStyle w:val="TableParagraph"/>
              <w:spacing w:before="60" w:after="60"/>
              <w:ind w:left="66" w:hanging="5"/>
              <w:rPr>
                <w:rFonts w:ascii="Segoe UI" w:hAnsi="Segoe UI" w:cs="Segoe UI"/>
                <w:w w:val="105"/>
                <w:sz w:val="16"/>
                <w:szCs w:val="16"/>
              </w:rPr>
            </w:pPr>
            <w:r w:rsidRPr="00F030EA">
              <w:rPr>
                <w:rFonts w:ascii="Segoe UI" w:hAnsi="Segoe UI" w:cs="Segoe UI"/>
                <w:w w:val="105"/>
                <w:sz w:val="16"/>
                <w:szCs w:val="16"/>
              </w:rPr>
              <w:t>Delivering primary, community, public and population health services</w:t>
            </w:r>
          </w:p>
        </w:tc>
        <w:tc>
          <w:tcPr>
            <w:tcW w:w="709" w:type="dxa"/>
          </w:tcPr>
          <w:p w14:paraId="3A413168" w14:textId="2B14AE95" w:rsidR="00F030EA" w:rsidRDefault="00F030EA" w:rsidP="00F030EA">
            <w:pPr>
              <w:pStyle w:val="TableParagraph"/>
              <w:spacing w:before="60" w:after="60"/>
              <w:ind w:left="-42" w:right="152" w:firstLine="99"/>
              <w:jc w:val="right"/>
              <w:rPr>
                <w:rFonts w:ascii="Segoe UI" w:hAnsi="Segoe UI" w:cs="Segoe UI"/>
                <w:w w:val="110"/>
                <w:sz w:val="16"/>
                <w:szCs w:val="16"/>
              </w:rPr>
            </w:pPr>
            <w:r>
              <w:rPr>
                <w:spacing w:val="-5"/>
                <w:sz w:val="16"/>
              </w:rPr>
              <w:t>2.7</w:t>
            </w:r>
          </w:p>
        </w:tc>
        <w:tc>
          <w:tcPr>
            <w:tcW w:w="1181" w:type="dxa"/>
          </w:tcPr>
          <w:p w14:paraId="72112FA8" w14:textId="537A4C97"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8,668,148</w:t>
            </w:r>
          </w:p>
        </w:tc>
        <w:tc>
          <w:tcPr>
            <w:tcW w:w="1158" w:type="dxa"/>
          </w:tcPr>
          <w:p w14:paraId="185E27CF" w14:textId="15D91B1E"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8,158,369</w:t>
            </w:r>
          </w:p>
        </w:tc>
        <w:tc>
          <w:tcPr>
            <w:tcW w:w="1119" w:type="dxa"/>
          </w:tcPr>
          <w:p w14:paraId="6F29F9B4" w14:textId="44F214B5"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8,668,148</w:t>
            </w:r>
          </w:p>
        </w:tc>
        <w:tc>
          <w:tcPr>
            <w:tcW w:w="1275" w:type="dxa"/>
          </w:tcPr>
          <w:p w14:paraId="385D4F80" w14:textId="1611302F" w:rsidR="00F030EA" w:rsidRPr="007359E3"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2</w:t>
            </w:r>
          </w:p>
        </w:tc>
      </w:tr>
      <w:tr w:rsidR="00F030EA" w:rsidRPr="007359E3" w14:paraId="0CC89BE9" w14:textId="77777777" w:rsidTr="006A0C3B">
        <w:trPr>
          <w:trHeight w:val="340"/>
        </w:trPr>
        <w:tc>
          <w:tcPr>
            <w:tcW w:w="1133" w:type="dxa"/>
          </w:tcPr>
          <w:p w14:paraId="4918F198" w14:textId="387C8599" w:rsidR="00F030EA" w:rsidRPr="00F030EA"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39,296</w:t>
            </w:r>
          </w:p>
        </w:tc>
        <w:tc>
          <w:tcPr>
            <w:tcW w:w="2635" w:type="dxa"/>
          </w:tcPr>
          <w:p w14:paraId="5CF92092" w14:textId="204C1567" w:rsidR="00F030EA" w:rsidRPr="00F030EA" w:rsidRDefault="00F030EA" w:rsidP="00F030EA">
            <w:pPr>
              <w:pStyle w:val="TableParagraph"/>
              <w:spacing w:before="60" w:after="60"/>
              <w:ind w:left="66" w:hanging="5"/>
              <w:rPr>
                <w:rFonts w:ascii="Segoe UI" w:hAnsi="Segoe UI" w:cs="Segoe UI"/>
                <w:w w:val="105"/>
                <w:sz w:val="16"/>
                <w:szCs w:val="16"/>
              </w:rPr>
            </w:pPr>
            <w:r w:rsidRPr="00F030EA">
              <w:rPr>
                <w:rFonts w:ascii="Segoe UI" w:hAnsi="Segoe UI" w:cs="Segoe UI"/>
                <w:w w:val="105"/>
                <w:sz w:val="16"/>
                <w:szCs w:val="16"/>
              </w:rPr>
              <w:t>Monitoring and protecting health and disability consumer interests</w:t>
            </w:r>
          </w:p>
        </w:tc>
        <w:tc>
          <w:tcPr>
            <w:tcW w:w="709" w:type="dxa"/>
          </w:tcPr>
          <w:p w14:paraId="5C635E66" w14:textId="2B6D8602" w:rsidR="00F030EA" w:rsidRPr="007359E3" w:rsidRDefault="00F030EA" w:rsidP="00F030EA">
            <w:pPr>
              <w:pStyle w:val="TableParagraph"/>
              <w:spacing w:before="60" w:after="60"/>
              <w:ind w:left="-42" w:right="170" w:firstLine="99"/>
              <w:jc w:val="right"/>
              <w:rPr>
                <w:rFonts w:ascii="Segoe UI" w:hAnsi="Segoe UI" w:cs="Segoe UI"/>
                <w:b/>
                <w:bCs/>
                <w:sz w:val="16"/>
                <w:szCs w:val="16"/>
              </w:rPr>
            </w:pPr>
          </w:p>
        </w:tc>
        <w:tc>
          <w:tcPr>
            <w:tcW w:w="1181" w:type="dxa"/>
          </w:tcPr>
          <w:p w14:paraId="6B295554" w14:textId="2C72390B" w:rsidR="00F030EA" w:rsidRPr="00F030EA"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41,123</w:t>
            </w:r>
          </w:p>
        </w:tc>
        <w:tc>
          <w:tcPr>
            <w:tcW w:w="1158" w:type="dxa"/>
          </w:tcPr>
          <w:p w14:paraId="2BBB7566" w14:textId="350316CA" w:rsidR="00F030EA" w:rsidRPr="00F030EA"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39,551</w:t>
            </w:r>
          </w:p>
        </w:tc>
        <w:tc>
          <w:tcPr>
            <w:tcW w:w="1119" w:type="dxa"/>
          </w:tcPr>
          <w:p w14:paraId="51938386" w14:textId="528E1B46" w:rsidR="00F030EA" w:rsidRPr="00F030EA"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41,123</w:t>
            </w:r>
          </w:p>
        </w:tc>
        <w:tc>
          <w:tcPr>
            <w:tcW w:w="1275" w:type="dxa"/>
          </w:tcPr>
          <w:p w14:paraId="232991BC" w14:textId="30B928BE" w:rsidR="00F030EA" w:rsidRPr="007359E3"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4, 6</w:t>
            </w:r>
          </w:p>
        </w:tc>
      </w:tr>
      <w:tr w:rsidR="00F030EA" w14:paraId="5315B01C" w14:textId="77777777" w:rsidTr="006A0C3B">
        <w:trPr>
          <w:trHeight w:val="340"/>
        </w:trPr>
        <w:tc>
          <w:tcPr>
            <w:tcW w:w="1133" w:type="dxa"/>
          </w:tcPr>
          <w:p w14:paraId="0711FF7B" w14:textId="1C1E1D72"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29,347</w:t>
            </w:r>
          </w:p>
        </w:tc>
        <w:tc>
          <w:tcPr>
            <w:tcW w:w="2635" w:type="dxa"/>
          </w:tcPr>
          <w:p w14:paraId="5882D03F" w14:textId="21DDD1AF" w:rsidR="00F030EA" w:rsidRPr="00F030EA" w:rsidRDefault="00F030EA" w:rsidP="00F030EA">
            <w:pPr>
              <w:pStyle w:val="TableParagraph"/>
              <w:spacing w:before="60" w:after="60"/>
              <w:ind w:left="66" w:hanging="5"/>
              <w:rPr>
                <w:rFonts w:ascii="Segoe UI" w:hAnsi="Segoe UI" w:cs="Segoe UI"/>
                <w:w w:val="105"/>
                <w:sz w:val="16"/>
                <w:szCs w:val="16"/>
              </w:rPr>
            </w:pPr>
            <w:r w:rsidRPr="00F030EA">
              <w:rPr>
                <w:rFonts w:ascii="Segoe UI" w:hAnsi="Segoe UI" w:cs="Segoe UI"/>
                <w:w w:val="105"/>
                <w:sz w:val="16"/>
                <w:szCs w:val="16"/>
              </w:rPr>
              <w:t>National management of pharmaceuticals</w:t>
            </w:r>
          </w:p>
        </w:tc>
        <w:tc>
          <w:tcPr>
            <w:tcW w:w="709" w:type="dxa"/>
          </w:tcPr>
          <w:p w14:paraId="2D7BF46D" w14:textId="77777777" w:rsidR="00F030EA" w:rsidRPr="007359E3" w:rsidRDefault="00F030EA" w:rsidP="00F030EA">
            <w:pPr>
              <w:pStyle w:val="TableParagraph"/>
              <w:spacing w:before="60" w:after="60"/>
              <w:ind w:left="-42" w:right="170" w:firstLine="99"/>
              <w:jc w:val="right"/>
              <w:rPr>
                <w:rFonts w:ascii="Segoe UI" w:hAnsi="Segoe UI" w:cs="Segoe UI"/>
                <w:b/>
                <w:bCs/>
                <w:sz w:val="16"/>
                <w:szCs w:val="16"/>
              </w:rPr>
            </w:pPr>
          </w:p>
        </w:tc>
        <w:tc>
          <w:tcPr>
            <w:tcW w:w="1181" w:type="dxa"/>
          </w:tcPr>
          <w:p w14:paraId="075CD6E3" w14:textId="4A5CD278"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29,907</w:t>
            </w:r>
          </w:p>
        </w:tc>
        <w:tc>
          <w:tcPr>
            <w:tcW w:w="1158" w:type="dxa"/>
          </w:tcPr>
          <w:p w14:paraId="0FAC7B6A" w14:textId="66033071"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28,372</w:t>
            </w:r>
          </w:p>
        </w:tc>
        <w:tc>
          <w:tcPr>
            <w:tcW w:w="1119" w:type="dxa"/>
          </w:tcPr>
          <w:p w14:paraId="670746C8" w14:textId="236639A4"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29,907</w:t>
            </w:r>
          </w:p>
        </w:tc>
        <w:tc>
          <w:tcPr>
            <w:tcW w:w="1275" w:type="dxa"/>
          </w:tcPr>
          <w:p w14:paraId="1D33461E" w14:textId="23BE1335" w:rsidR="00F030EA" w:rsidRPr="007359E3"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5</w:t>
            </w:r>
          </w:p>
        </w:tc>
      </w:tr>
      <w:tr w:rsidR="00F030EA" w14:paraId="6C616F5E" w14:textId="77777777" w:rsidTr="006A0C3B">
        <w:trPr>
          <w:trHeight w:val="340"/>
        </w:trPr>
        <w:tc>
          <w:tcPr>
            <w:tcW w:w="1133" w:type="dxa"/>
          </w:tcPr>
          <w:p w14:paraId="0211F964" w14:textId="4A5C503E" w:rsidR="00F030EA"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1,186,000</w:t>
            </w:r>
          </w:p>
        </w:tc>
        <w:tc>
          <w:tcPr>
            <w:tcW w:w="2635" w:type="dxa"/>
          </w:tcPr>
          <w:p w14:paraId="0699354B" w14:textId="55C1E211" w:rsidR="00F030EA" w:rsidRDefault="00F030EA" w:rsidP="00F030EA">
            <w:pPr>
              <w:pStyle w:val="TableParagraph"/>
              <w:spacing w:before="60" w:after="60"/>
              <w:ind w:left="66" w:hanging="5"/>
              <w:rPr>
                <w:rFonts w:ascii="Segoe UI" w:hAnsi="Segoe UI" w:cs="Segoe UI"/>
                <w:w w:val="105"/>
                <w:sz w:val="16"/>
                <w:szCs w:val="16"/>
              </w:rPr>
            </w:pPr>
            <w:r w:rsidRPr="00F030EA">
              <w:rPr>
                <w:rFonts w:ascii="Segoe UI" w:hAnsi="Segoe UI" w:cs="Segoe UI"/>
                <w:w w:val="105"/>
                <w:sz w:val="16"/>
                <w:szCs w:val="16"/>
              </w:rPr>
              <w:t>National pharmaceuticals purchasing</w:t>
            </w:r>
          </w:p>
        </w:tc>
        <w:tc>
          <w:tcPr>
            <w:tcW w:w="709" w:type="dxa"/>
          </w:tcPr>
          <w:p w14:paraId="3E9E280F" w14:textId="4DF3AECC" w:rsidR="00F030EA" w:rsidRPr="007359E3" w:rsidRDefault="00F030EA" w:rsidP="00F030EA">
            <w:pPr>
              <w:pStyle w:val="TableParagraph"/>
              <w:spacing w:before="60" w:after="60"/>
              <w:ind w:left="-42" w:right="170" w:firstLine="99"/>
              <w:jc w:val="right"/>
              <w:rPr>
                <w:rFonts w:ascii="Segoe UI" w:hAnsi="Segoe UI" w:cs="Segoe UI"/>
                <w:b/>
                <w:bCs/>
                <w:sz w:val="16"/>
                <w:szCs w:val="16"/>
              </w:rPr>
            </w:pPr>
            <w:r>
              <w:rPr>
                <w:spacing w:val="-5"/>
                <w:sz w:val="16"/>
              </w:rPr>
              <w:t>2.3</w:t>
            </w:r>
          </w:p>
        </w:tc>
        <w:tc>
          <w:tcPr>
            <w:tcW w:w="1181" w:type="dxa"/>
          </w:tcPr>
          <w:p w14:paraId="54739F8E" w14:textId="18859A15"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1,806,211</w:t>
            </w:r>
          </w:p>
        </w:tc>
        <w:tc>
          <w:tcPr>
            <w:tcW w:w="1158" w:type="dxa"/>
          </w:tcPr>
          <w:p w14:paraId="72BCEC84" w14:textId="5874E687"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1,311,000</w:t>
            </w:r>
          </w:p>
        </w:tc>
        <w:tc>
          <w:tcPr>
            <w:tcW w:w="1119" w:type="dxa"/>
          </w:tcPr>
          <w:p w14:paraId="54CA6D4D" w14:textId="17BCAD26"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1,806,211</w:t>
            </w:r>
          </w:p>
        </w:tc>
        <w:tc>
          <w:tcPr>
            <w:tcW w:w="1275" w:type="dxa"/>
          </w:tcPr>
          <w:p w14:paraId="74D00BCB" w14:textId="3C4B580E" w:rsidR="00F030EA" w:rsidRPr="007359E3"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5</w:t>
            </w:r>
          </w:p>
        </w:tc>
      </w:tr>
      <w:tr w:rsidR="00F030EA" w14:paraId="5C0A623A" w14:textId="77777777" w:rsidTr="006A0C3B">
        <w:trPr>
          <w:trHeight w:val="340"/>
        </w:trPr>
        <w:tc>
          <w:tcPr>
            <w:tcW w:w="1133" w:type="dxa"/>
          </w:tcPr>
          <w:p w14:paraId="70FA5677" w14:textId="527F2C58" w:rsidR="00F030EA"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20,384</w:t>
            </w:r>
          </w:p>
        </w:tc>
        <w:tc>
          <w:tcPr>
            <w:tcW w:w="2635" w:type="dxa"/>
          </w:tcPr>
          <w:p w14:paraId="4ED41408" w14:textId="0A0A888F" w:rsidR="00F030EA" w:rsidRDefault="00F030EA" w:rsidP="00F030EA">
            <w:pPr>
              <w:pStyle w:val="TableParagraph"/>
              <w:spacing w:before="60" w:after="60"/>
              <w:ind w:left="66" w:hanging="5"/>
              <w:rPr>
                <w:rFonts w:ascii="Segoe UI" w:hAnsi="Segoe UI" w:cs="Segoe UI"/>
                <w:w w:val="105"/>
                <w:sz w:val="16"/>
                <w:szCs w:val="16"/>
              </w:rPr>
            </w:pPr>
            <w:r w:rsidRPr="00F030EA">
              <w:rPr>
                <w:rFonts w:ascii="Segoe UI" w:hAnsi="Segoe UI" w:cs="Segoe UI"/>
                <w:w w:val="105"/>
                <w:sz w:val="16"/>
                <w:szCs w:val="16"/>
              </w:rPr>
              <w:t>Problem gambling services</w:t>
            </w:r>
          </w:p>
        </w:tc>
        <w:tc>
          <w:tcPr>
            <w:tcW w:w="709" w:type="dxa"/>
          </w:tcPr>
          <w:p w14:paraId="39115A0A" w14:textId="77777777" w:rsidR="00F030EA" w:rsidRPr="007359E3" w:rsidRDefault="00F030EA" w:rsidP="00F030EA">
            <w:pPr>
              <w:pStyle w:val="TableParagraph"/>
              <w:spacing w:before="60" w:after="60"/>
              <w:ind w:left="-42" w:right="170" w:firstLine="99"/>
              <w:jc w:val="right"/>
              <w:rPr>
                <w:rFonts w:ascii="Segoe UI" w:hAnsi="Segoe UI" w:cs="Segoe UI"/>
                <w:b/>
                <w:bCs/>
                <w:sz w:val="16"/>
                <w:szCs w:val="16"/>
              </w:rPr>
            </w:pPr>
          </w:p>
        </w:tc>
        <w:tc>
          <w:tcPr>
            <w:tcW w:w="1181" w:type="dxa"/>
          </w:tcPr>
          <w:p w14:paraId="69B7F105" w14:textId="317DF557"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28,898</w:t>
            </w:r>
          </w:p>
        </w:tc>
        <w:tc>
          <w:tcPr>
            <w:tcW w:w="1158" w:type="dxa"/>
          </w:tcPr>
          <w:p w14:paraId="50A64048" w14:textId="4839E5CB"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26,027</w:t>
            </w:r>
          </w:p>
        </w:tc>
        <w:tc>
          <w:tcPr>
            <w:tcW w:w="1119" w:type="dxa"/>
          </w:tcPr>
          <w:p w14:paraId="14FCE07A" w14:textId="703178C1"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29,557</w:t>
            </w:r>
          </w:p>
        </w:tc>
        <w:tc>
          <w:tcPr>
            <w:tcW w:w="1275" w:type="dxa"/>
          </w:tcPr>
          <w:p w14:paraId="443C6563" w14:textId="34F2866A" w:rsidR="00F030EA" w:rsidRPr="007359E3"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2</w:t>
            </w:r>
          </w:p>
        </w:tc>
      </w:tr>
      <w:tr w:rsidR="00F030EA" w:rsidRPr="007359E3" w14:paraId="015B248C" w14:textId="77777777" w:rsidTr="00F030EA">
        <w:trPr>
          <w:trHeight w:val="340"/>
        </w:trPr>
        <w:tc>
          <w:tcPr>
            <w:tcW w:w="1133" w:type="dxa"/>
            <w:tcBorders>
              <w:bottom w:val="single" w:sz="4" w:space="0" w:color="A6A6A6" w:themeColor="background1" w:themeShade="A6"/>
            </w:tcBorders>
          </w:tcPr>
          <w:p w14:paraId="15672E0E" w14:textId="73D5134B" w:rsidR="00F030EA" w:rsidRPr="00F030EA"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527</w:t>
            </w:r>
          </w:p>
        </w:tc>
        <w:tc>
          <w:tcPr>
            <w:tcW w:w="2635" w:type="dxa"/>
            <w:tcBorders>
              <w:bottom w:val="single" w:sz="4" w:space="0" w:color="A6A6A6" w:themeColor="background1" w:themeShade="A6"/>
            </w:tcBorders>
          </w:tcPr>
          <w:p w14:paraId="325E808A" w14:textId="51259C62" w:rsidR="00F030EA" w:rsidRPr="00F030EA" w:rsidRDefault="00F030EA" w:rsidP="00F030EA">
            <w:pPr>
              <w:pStyle w:val="TableParagraph"/>
              <w:spacing w:before="60" w:after="60"/>
              <w:ind w:left="66" w:hanging="5"/>
              <w:rPr>
                <w:rFonts w:ascii="Segoe UI" w:hAnsi="Segoe UI" w:cs="Segoe UI"/>
                <w:w w:val="105"/>
                <w:sz w:val="16"/>
                <w:szCs w:val="16"/>
              </w:rPr>
            </w:pPr>
            <w:r w:rsidRPr="00F030EA">
              <w:rPr>
                <w:rFonts w:ascii="Segoe UI" w:hAnsi="Segoe UI" w:cs="Segoe UI"/>
                <w:w w:val="105"/>
                <w:sz w:val="16"/>
                <w:szCs w:val="16"/>
              </w:rPr>
              <w:t>Strengthening international health systems#</w:t>
            </w:r>
          </w:p>
        </w:tc>
        <w:tc>
          <w:tcPr>
            <w:tcW w:w="709" w:type="dxa"/>
            <w:tcBorders>
              <w:bottom w:val="single" w:sz="4" w:space="0" w:color="A6A6A6" w:themeColor="background1" w:themeShade="A6"/>
            </w:tcBorders>
          </w:tcPr>
          <w:p w14:paraId="6E760379" w14:textId="0924BFCC" w:rsidR="00F030EA" w:rsidRPr="007359E3" w:rsidRDefault="00F030EA" w:rsidP="00F030EA">
            <w:pPr>
              <w:pStyle w:val="TableParagraph"/>
              <w:spacing w:before="60" w:after="60"/>
              <w:ind w:left="-42" w:right="170" w:firstLine="99"/>
              <w:jc w:val="right"/>
              <w:rPr>
                <w:rFonts w:ascii="Segoe UI" w:hAnsi="Segoe UI" w:cs="Segoe UI"/>
                <w:b/>
                <w:bCs/>
                <w:sz w:val="16"/>
                <w:szCs w:val="16"/>
              </w:rPr>
            </w:pPr>
          </w:p>
        </w:tc>
        <w:tc>
          <w:tcPr>
            <w:tcW w:w="1181" w:type="dxa"/>
            <w:tcBorders>
              <w:bottom w:val="single" w:sz="4" w:space="0" w:color="A6A6A6" w:themeColor="background1" w:themeShade="A6"/>
            </w:tcBorders>
          </w:tcPr>
          <w:p w14:paraId="407034E4" w14:textId="571B658D" w:rsidR="00F030EA" w:rsidRPr="00F030EA"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w:t>
            </w:r>
          </w:p>
        </w:tc>
        <w:tc>
          <w:tcPr>
            <w:tcW w:w="1158" w:type="dxa"/>
            <w:tcBorders>
              <w:bottom w:val="single" w:sz="4" w:space="0" w:color="A6A6A6" w:themeColor="background1" w:themeShade="A6"/>
            </w:tcBorders>
          </w:tcPr>
          <w:p w14:paraId="2BA9D317" w14:textId="5113B248" w:rsidR="00F030EA" w:rsidRPr="00F030EA"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w:t>
            </w:r>
          </w:p>
        </w:tc>
        <w:tc>
          <w:tcPr>
            <w:tcW w:w="1119" w:type="dxa"/>
            <w:tcBorders>
              <w:bottom w:val="single" w:sz="4" w:space="0" w:color="A6A6A6" w:themeColor="background1" w:themeShade="A6"/>
            </w:tcBorders>
          </w:tcPr>
          <w:p w14:paraId="2D13DF0A" w14:textId="7BAB48BF" w:rsidR="00F030EA" w:rsidRPr="00F030EA"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w:t>
            </w:r>
          </w:p>
        </w:tc>
        <w:tc>
          <w:tcPr>
            <w:tcW w:w="1275" w:type="dxa"/>
            <w:tcBorders>
              <w:bottom w:val="single" w:sz="4" w:space="0" w:color="A6A6A6" w:themeColor="background1" w:themeShade="A6"/>
            </w:tcBorders>
          </w:tcPr>
          <w:p w14:paraId="6E60599F" w14:textId="7512CA5C" w:rsidR="00F030EA" w:rsidRPr="00F030EA" w:rsidRDefault="00F030EA" w:rsidP="00F030EA">
            <w:pPr>
              <w:pStyle w:val="TableParagraph"/>
              <w:spacing w:before="60" w:after="60"/>
              <w:ind w:left="-42" w:right="152" w:firstLine="99"/>
              <w:jc w:val="right"/>
              <w:rPr>
                <w:rFonts w:ascii="Segoe UI" w:hAnsi="Segoe UI" w:cs="Segoe UI"/>
                <w:sz w:val="16"/>
                <w:szCs w:val="16"/>
              </w:rPr>
            </w:pPr>
            <w:r w:rsidRPr="00F030EA">
              <w:rPr>
                <w:rFonts w:ascii="Segoe UI" w:hAnsi="Segoe UI" w:cs="Segoe UI"/>
                <w:sz w:val="16"/>
                <w:szCs w:val="16"/>
              </w:rPr>
              <w:t>N/A</w:t>
            </w:r>
          </w:p>
        </w:tc>
      </w:tr>
      <w:tr w:rsidR="00F030EA" w:rsidRPr="00F030EA" w14:paraId="25B717DF" w14:textId="77777777" w:rsidTr="00F030EA">
        <w:trPr>
          <w:trHeight w:val="340"/>
        </w:trPr>
        <w:tc>
          <w:tcPr>
            <w:tcW w:w="1133" w:type="dxa"/>
            <w:tcBorders>
              <w:top w:val="single" w:sz="4" w:space="0" w:color="A6A6A6" w:themeColor="background1" w:themeShade="A6"/>
              <w:bottom w:val="single" w:sz="4" w:space="0" w:color="A6A6A6" w:themeColor="background1" w:themeShade="A6"/>
            </w:tcBorders>
          </w:tcPr>
          <w:p w14:paraId="2095C509" w14:textId="50521097" w:rsidR="00F030EA" w:rsidRPr="00F030EA" w:rsidRDefault="00F030EA" w:rsidP="00F030EA">
            <w:pPr>
              <w:pStyle w:val="TableParagraph"/>
              <w:spacing w:before="60" w:after="60"/>
              <w:ind w:left="-42" w:right="170" w:firstLine="99"/>
              <w:jc w:val="right"/>
              <w:rPr>
                <w:rFonts w:ascii="Segoe UI" w:hAnsi="Segoe UI" w:cs="Segoe UI"/>
                <w:b/>
                <w:bCs/>
                <w:sz w:val="16"/>
                <w:szCs w:val="16"/>
              </w:rPr>
            </w:pPr>
            <w:r w:rsidRPr="00F030EA">
              <w:rPr>
                <w:rFonts w:ascii="Segoe UI" w:hAnsi="Segoe UI" w:cs="Segoe UI"/>
                <w:b/>
                <w:bCs/>
                <w:sz w:val="16"/>
                <w:szCs w:val="16"/>
              </w:rPr>
              <w:t>22,611,556</w:t>
            </w:r>
          </w:p>
        </w:tc>
        <w:tc>
          <w:tcPr>
            <w:tcW w:w="2635" w:type="dxa"/>
            <w:tcBorders>
              <w:top w:val="single" w:sz="4" w:space="0" w:color="A6A6A6" w:themeColor="background1" w:themeShade="A6"/>
              <w:bottom w:val="single" w:sz="4" w:space="0" w:color="A6A6A6" w:themeColor="background1" w:themeShade="A6"/>
            </w:tcBorders>
          </w:tcPr>
          <w:p w14:paraId="2CB4AA43" w14:textId="2AED2B8D" w:rsidR="00F030EA" w:rsidRPr="00F030EA" w:rsidRDefault="00F030EA" w:rsidP="00F030EA">
            <w:pPr>
              <w:pStyle w:val="TableParagraph"/>
              <w:spacing w:before="60" w:after="60"/>
              <w:ind w:left="66" w:hanging="5"/>
              <w:rPr>
                <w:rFonts w:ascii="Segoe UI" w:hAnsi="Segoe UI" w:cs="Segoe UI"/>
                <w:b/>
                <w:bCs/>
                <w:w w:val="105"/>
                <w:sz w:val="16"/>
                <w:szCs w:val="16"/>
              </w:rPr>
            </w:pPr>
            <w:r w:rsidRPr="00F030EA">
              <w:rPr>
                <w:rFonts w:ascii="Segoe UI" w:hAnsi="Segoe UI" w:cs="Segoe UI"/>
                <w:b/>
                <w:bCs/>
                <w:w w:val="105"/>
                <w:sz w:val="16"/>
                <w:szCs w:val="16"/>
              </w:rPr>
              <w:t>Total non-departmental excluding multi-category output expenses</w:t>
            </w:r>
          </w:p>
        </w:tc>
        <w:tc>
          <w:tcPr>
            <w:tcW w:w="709" w:type="dxa"/>
            <w:tcBorders>
              <w:top w:val="single" w:sz="4" w:space="0" w:color="A6A6A6" w:themeColor="background1" w:themeShade="A6"/>
              <w:bottom w:val="single" w:sz="4" w:space="0" w:color="A6A6A6" w:themeColor="background1" w:themeShade="A6"/>
            </w:tcBorders>
          </w:tcPr>
          <w:p w14:paraId="29F48FF7" w14:textId="77777777" w:rsidR="00F030EA" w:rsidRPr="00F030EA" w:rsidRDefault="00F030EA" w:rsidP="00F030EA">
            <w:pPr>
              <w:pStyle w:val="TableParagraph"/>
              <w:spacing w:before="60" w:after="60"/>
              <w:ind w:left="-42" w:right="152" w:firstLine="99"/>
              <w:jc w:val="right"/>
              <w:rPr>
                <w:rFonts w:ascii="Segoe UI" w:hAnsi="Segoe UI" w:cs="Segoe UI"/>
                <w:b/>
                <w:bCs/>
                <w:i/>
                <w:iCs/>
                <w:w w:val="110"/>
                <w:sz w:val="16"/>
                <w:szCs w:val="16"/>
              </w:rPr>
            </w:pPr>
          </w:p>
        </w:tc>
        <w:tc>
          <w:tcPr>
            <w:tcW w:w="1181" w:type="dxa"/>
            <w:tcBorders>
              <w:top w:val="single" w:sz="4" w:space="0" w:color="A6A6A6" w:themeColor="background1" w:themeShade="A6"/>
              <w:bottom w:val="single" w:sz="4" w:space="0" w:color="A6A6A6" w:themeColor="background1" w:themeShade="A6"/>
            </w:tcBorders>
          </w:tcPr>
          <w:p w14:paraId="2643BABB" w14:textId="6CEA18BD" w:rsidR="00F030EA" w:rsidRPr="00F030EA" w:rsidRDefault="00F030EA" w:rsidP="00F030EA">
            <w:pPr>
              <w:pStyle w:val="TableParagraph"/>
              <w:spacing w:before="60" w:after="60"/>
              <w:ind w:left="-42" w:right="170" w:firstLine="99"/>
              <w:jc w:val="right"/>
              <w:rPr>
                <w:rFonts w:ascii="Segoe UI" w:hAnsi="Segoe UI" w:cs="Segoe UI"/>
                <w:b/>
                <w:bCs/>
                <w:sz w:val="16"/>
                <w:szCs w:val="16"/>
              </w:rPr>
            </w:pPr>
            <w:r w:rsidRPr="00F030EA">
              <w:rPr>
                <w:rFonts w:ascii="Segoe UI" w:hAnsi="Segoe UI" w:cs="Segoe UI"/>
                <w:b/>
                <w:bCs/>
                <w:sz w:val="16"/>
                <w:szCs w:val="16"/>
              </w:rPr>
              <w:t>25,662,330</w:t>
            </w:r>
          </w:p>
        </w:tc>
        <w:tc>
          <w:tcPr>
            <w:tcW w:w="1158" w:type="dxa"/>
            <w:tcBorders>
              <w:top w:val="single" w:sz="4" w:space="0" w:color="A6A6A6" w:themeColor="background1" w:themeShade="A6"/>
              <w:bottom w:val="single" w:sz="4" w:space="0" w:color="A6A6A6" w:themeColor="background1" w:themeShade="A6"/>
            </w:tcBorders>
          </w:tcPr>
          <w:p w14:paraId="0F5F586A" w14:textId="6BC40B76" w:rsidR="00F030EA" w:rsidRPr="00F030EA" w:rsidRDefault="00F030EA" w:rsidP="00F030EA">
            <w:pPr>
              <w:pStyle w:val="TableParagraph"/>
              <w:spacing w:before="60" w:after="60"/>
              <w:ind w:left="-42" w:right="170" w:firstLine="99"/>
              <w:jc w:val="right"/>
              <w:rPr>
                <w:rFonts w:ascii="Segoe UI" w:hAnsi="Segoe UI" w:cs="Segoe UI"/>
                <w:b/>
                <w:bCs/>
                <w:sz w:val="16"/>
                <w:szCs w:val="16"/>
              </w:rPr>
            </w:pPr>
            <w:r w:rsidRPr="00F030EA">
              <w:rPr>
                <w:rFonts w:ascii="Segoe UI" w:hAnsi="Segoe UI" w:cs="Segoe UI"/>
                <w:b/>
                <w:bCs/>
                <w:sz w:val="16"/>
                <w:szCs w:val="16"/>
              </w:rPr>
              <w:t>22,901,316</w:t>
            </w:r>
          </w:p>
        </w:tc>
        <w:tc>
          <w:tcPr>
            <w:tcW w:w="1119" w:type="dxa"/>
            <w:tcBorders>
              <w:top w:val="single" w:sz="4" w:space="0" w:color="A6A6A6" w:themeColor="background1" w:themeShade="A6"/>
              <w:bottom w:val="single" w:sz="4" w:space="0" w:color="A6A6A6" w:themeColor="background1" w:themeShade="A6"/>
            </w:tcBorders>
          </w:tcPr>
          <w:p w14:paraId="57CF8661" w14:textId="5AF890FF" w:rsidR="00F030EA" w:rsidRPr="00F030EA" w:rsidRDefault="00F030EA" w:rsidP="00F030EA">
            <w:pPr>
              <w:pStyle w:val="TableParagraph"/>
              <w:spacing w:before="60" w:after="60"/>
              <w:ind w:left="-42" w:right="170" w:firstLine="99"/>
              <w:jc w:val="right"/>
              <w:rPr>
                <w:rFonts w:ascii="Segoe UI" w:hAnsi="Segoe UI" w:cs="Segoe UI"/>
                <w:b/>
                <w:bCs/>
                <w:sz w:val="16"/>
                <w:szCs w:val="16"/>
              </w:rPr>
            </w:pPr>
            <w:r w:rsidRPr="00F030EA">
              <w:rPr>
                <w:rFonts w:ascii="Segoe UI" w:hAnsi="Segoe UI" w:cs="Segoe UI"/>
                <w:b/>
                <w:bCs/>
                <w:sz w:val="16"/>
                <w:szCs w:val="16"/>
              </w:rPr>
              <w:t>25,670,668</w:t>
            </w:r>
          </w:p>
        </w:tc>
        <w:tc>
          <w:tcPr>
            <w:tcW w:w="1275" w:type="dxa"/>
            <w:tcBorders>
              <w:top w:val="single" w:sz="4" w:space="0" w:color="A6A6A6" w:themeColor="background1" w:themeShade="A6"/>
              <w:bottom w:val="single" w:sz="4" w:space="0" w:color="A6A6A6" w:themeColor="background1" w:themeShade="A6"/>
            </w:tcBorders>
          </w:tcPr>
          <w:p w14:paraId="4F630B58" w14:textId="77777777" w:rsidR="00F030EA" w:rsidRPr="00F030EA" w:rsidRDefault="00F030EA" w:rsidP="00F030EA">
            <w:pPr>
              <w:pStyle w:val="TableParagraph"/>
              <w:spacing w:before="60" w:after="60"/>
              <w:ind w:left="-42" w:right="152" w:firstLine="99"/>
              <w:jc w:val="right"/>
              <w:rPr>
                <w:rFonts w:ascii="Segoe UI" w:hAnsi="Segoe UI" w:cs="Segoe UI"/>
                <w:b/>
                <w:bCs/>
                <w:sz w:val="16"/>
                <w:szCs w:val="16"/>
              </w:rPr>
            </w:pPr>
          </w:p>
        </w:tc>
      </w:tr>
      <w:tr w:rsidR="00F030EA" w:rsidRPr="00F030EA" w14:paraId="6849E9C8" w14:textId="77777777" w:rsidTr="00F030EA">
        <w:trPr>
          <w:trHeight w:val="340"/>
        </w:trPr>
        <w:tc>
          <w:tcPr>
            <w:tcW w:w="1133" w:type="dxa"/>
            <w:tcBorders>
              <w:top w:val="single" w:sz="4" w:space="0" w:color="A6A6A6" w:themeColor="background1" w:themeShade="A6"/>
            </w:tcBorders>
          </w:tcPr>
          <w:p w14:paraId="7C1B84E0" w14:textId="416E1BDB" w:rsidR="00F030EA" w:rsidRPr="00F030EA" w:rsidRDefault="00F030EA" w:rsidP="00F030EA">
            <w:pPr>
              <w:pStyle w:val="TableParagraph"/>
              <w:spacing w:before="60" w:after="60"/>
              <w:ind w:left="-42" w:right="170" w:firstLine="99"/>
              <w:jc w:val="right"/>
              <w:rPr>
                <w:rFonts w:ascii="Segoe UI" w:hAnsi="Segoe UI" w:cs="Segoe UI"/>
                <w:b/>
                <w:bCs/>
                <w:sz w:val="16"/>
                <w:szCs w:val="16"/>
              </w:rPr>
            </w:pPr>
          </w:p>
        </w:tc>
        <w:tc>
          <w:tcPr>
            <w:tcW w:w="2635" w:type="dxa"/>
            <w:tcBorders>
              <w:top w:val="single" w:sz="4" w:space="0" w:color="A6A6A6" w:themeColor="background1" w:themeShade="A6"/>
            </w:tcBorders>
          </w:tcPr>
          <w:p w14:paraId="46C56E6D" w14:textId="67AC92CB" w:rsidR="00F030EA" w:rsidRPr="00F030EA" w:rsidRDefault="00F030EA" w:rsidP="00F030EA">
            <w:pPr>
              <w:pStyle w:val="TableParagraph"/>
              <w:spacing w:before="60" w:after="60"/>
              <w:ind w:left="66" w:hanging="5"/>
              <w:rPr>
                <w:rFonts w:ascii="Segoe UI" w:hAnsi="Segoe UI" w:cs="Segoe UI"/>
                <w:b/>
                <w:bCs/>
                <w:w w:val="105"/>
                <w:sz w:val="16"/>
                <w:szCs w:val="16"/>
              </w:rPr>
            </w:pPr>
            <w:r w:rsidRPr="00F030EA">
              <w:rPr>
                <w:rFonts w:ascii="Segoe UI" w:hAnsi="Segoe UI" w:cs="Segoe UI"/>
                <w:b/>
                <w:bCs/>
                <w:w w:val="105"/>
                <w:sz w:val="16"/>
                <w:szCs w:val="16"/>
              </w:rPr>
              <w:t>Non-departmental other expenses</w:t>
            </w:r>
          </w:p>
        </w:tc>
        <w:tc>
          <w:tcPr>
            <w:tcW w:w="709" w:type="dxa"/>
            <w:tcBorders>
              <w:top w:val="single" w:sz="4" w:space="0" w:color="A6A6A6" w:themeColor="background1" w:themeShade="A6"/>
            </w:tcBorders>
          </w:tcPr>
          <w:p w14:paraId="1F2A188D" w14:textId="77777777" w:rsidR="00F030EA" w:rsidRPr="00F030EA" w:rsidRDefault="00F030EA" w:rsidP="00F030EA">
            <w:pPr>
              <w:pStyle w:val="TableParagraph"/>
              <w:spacing w:before="60" w:after="60"/>
              <w:ind w:left="-42" w:right="152" w:firstLine="99"/>
              <w:jc w:val="right"/>
              <w:rPr>
                <w:rFonts w:ascii="Segoe UI" w:hAnsi="Segoe UI" w:cs="Segoe UI"/>
                <w:b/>
                <w:bCs/>
                <w:w w:val="110"/>
                <w:sz w:val="16"/>
                <w:szCs w:val="16"/>
              </w:rPr>
            </w:pPr>
          </w:p>
        </w:tc>
        <w:tc>
          <w:tcPr>
            <w:tcW w:w="1181" w:type="dxa"/>
            <w:tcBorders>
              <w:top w:val="single" w:sz="4" w:space="0" w:color="A6A6A6" w:themeColor="background1" w:themeShade="A6"/>
            </w:tcBorders>
          </w:tcPr>
          <w:p w14:paraId="2CFCA19B" w14:textId="76D48115" w:rsidR="00F030EA" w:rsidRPr="00F030EA" w:rsidRDefault="00F030EA" w:rsidP="00F030EA">
            <w:pPr>
              <w:pStyle w:val="TableParagraph"/>
              <w:spacing w:before="60" w:after="60"/>
              <w:ind w:left="-42" w:right="170" w:firstLine="99"/>
              <w:jc w:val="right"/>
              <w:rPr>
                <w:rFonts w:ascii="Segoe UI" w:hAnsi="Segoe UI" w:cs="Segoe UI"/>
                <w:b/>
                <w:bCs/>
                <w:sz w:val="16"/>
                <w:szCs w:val="16"/>
              </w:rPr>
            </w:pPr>
          </w:p>
        </w:tc>
        <w:tc>
          <w:tcPr>
            <w:tcW w:w="1158" w:type="dxa"/>
            <w:tcBorders>
              <w:top w:val="single" w:sz="4" w:space="0" w:color="A6A6A6" w:themeColor="background1" w:themeShade="A6"/>
            </w:tcBorders>
          </w:tcPr>
          <w:p w14:paraId="72D07C9D" w14:textId="1327BEEF" w:rsidR="00F030EA" w:rsidRPr="00F030EA" w:rsidRDefault="00F030EA" w:rsidP="00F030EA">
            <w:pPr>
              <w:pStyle w:val="TableParagraph"/>
              <w:spacing w:before="60" w:after="60"/>
              <w:ind w:left="-42" w:right="170" w:firstLine="99"/>
              <w:jc w:val="right"/>
              <w:rPr>
                <w:rFonts w:ascii="Segoe UI" w:hAnsi="Segoe UI" w:cs="Segoe UI"/>
                <w:b/>
                <w:bCs/>
                <w:sz w:val="16"/>
                <w:szCs w:val="16"/>
              </w:rPr>
            </w:pPr>
          </w:p>
        </w:tc>
        <w:tc>
          <w:tcPr>
            <w:tcW w:w="1119" w:type="dxa"/>
            <w:tcBorders>
              <w:top w:val="single" w:sz="4" w:space="0" w:color="A6A6A6" w:themeColor="background1" w:themeShade="A6"/>
            </w:tcBorders>
          </w:tcPr>
          <w:p w14:paraId="434993E9" w14:textId="0B6DECF2" w:rsidR="00F030EA" w:rsidRPr="00F030EA" w:rsidRDefault="00F030EA" w:rsidP="00F030EA">
            <w:pPr>
              <w:pStyle w:val="TableParagraph"/>
              <w:spacing w:before="60" w:after="60"/>
              <w:ind w:left="-42" w:right="170" w:firstLine="99"/>
              <w:jc w:val="right"/>
              <w:rPr>
                <w:rFonts w:ascii="Segoe UI" w:hAnsi="Segoe UI" w:cs="Segoe UI"/>
                <w:b/>
                <w:bCs/>
                <w:sz w:val="16"/>
                <w:szCs w:val="16"/>
              </w:rPr>
            </w:pPr>
          </w:p>
        </w:tc>
        <w:tc>
          <w:tcPr>
            <w:tcW w:w="1275" w:type="dxa"/>
            <w:tcBorders>
              <w:top w:val="single" w:sz="4" w:space="0" w:color="A6A6A6" w:themeColor="background1" w:themeShade="A6"/>
            </w:tcBorders>
          </w:tcPr>
          <w:p w14:paraId="78BC3BAA" w14:textId="32553F66" w:rsidR="00F030EA" w:rsidRPr="00F030EA" w:rsidRDefault="00F030EA" w:rsidP="00F030EA">
            <w:pPr>
              <w:pStyle w:val="TableParagraph"/>
              <w:spacing w:before="60" w:after="60"/>
              <w:ind w:left="-42" w:right="152" w:firstLine="99"/>
              <w:jc w:val="right"/>
              <w:rPr>
                <w:rFonts w:ascii="Segoe UI" w:hAnsi="Segoe UI" w:cs="Segoe UI"/>
                <w:b/>
                <w:bCs/>
                <w:sz w:val="16"/>
                <w:szCs w:val="16"/>
              </w:rPr>
            </w:pPr>
          </w:p>
        </w:tc>
      </w:tr>
      <w:tr w:rsidR="00F030EA" w14:paraId="5976C88A" w14:textId="77777777" w:rsidTr="006A0C3B">
        <w:trPr>
          <w:trHeight w:val="340"/>
        </w:trPr>
        <w:tc>
          <w:tcPr>
            <w:tcW w:w="1133" w:type="dxa"/>
          </w:tcPr>
          <w:p w14:paraId="08B47108" w14:textId="775363DE"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2,277</w:t>
            </w:r>
          </w:p>
        </w:tc>
        <w:tc>
          <w:tcPr>
            <w:tcW w:w="2635" w:type="dxa"/>
          </w:tcPr>
          <w:p w14:paraId="0D6100CC" w14:textId="62885607" w:rsidR="00F030EA" w:rsidRPr="0068431B" w:rsidRDefault="00F030EA" w:rsidP="00F030EA">
            <w:pPr>
              <w:pStyle w:val="TableParagraph"/>
              <w:spacing w:before="60" w:after="60"/>
              <w:ind w:left="66" w:hanging="5"/>
              <w:rPr>
                <w:rFonts w:ascii="Segoe UI" w:hAnsi="Segoe UI" w:cs="Segoe UI"/>
                <w:w w:val="105"/>
                <w:sz w:val="16"/>
                <w:szCs w:val="16"/>
              </w:rPr>
            </w:pPr>
            <w:r w:rsidRPr="00F030EA">
              <w:rPr>
                <w:rFonts w:ascii="Segoe UI" w:hAnsi="Segoe UI" w:cs="Segoe UI"/>
                <w:w w:val="105"/>
                <w:sz w:val="16"/>
                <w:szCs w:val="16"/>
              </w:rPr>
              <w:t>International health organisations</w:t>
            </w:r>
          </w:p>
        </w:tc>
        <w:tc>
          <w:tcPr>
            <w:tcW w:w="709" w:type="dxa"/>
          </w:tcPr>
          <w:p w14:paraId="5D68511F" w14:textId="77777777" w:rsidR="00F030EA" w:rsidRDefault="00F030EA" w:rsidP="00F030EA">
            <w:pPr>
              <w:pStyle w:val="TableParagraph"/>
              <w:spacing w:before="60" w:after="60"/>
              <w:ind w:left="-42" w:right="152" w:firstLine="99"/>
              <w:jc w:val="right"/>
              <w:rPr>
                <w:rFonts w:ascii="Segoe UI" w:hAnsi="Segoe UI" w:cs="Segoe UI"/>
                <w:b/>
                <w:bCs/>
                <w:w w:val="110"/>
                <w:sz w:val="16"/>
                <w:szCs w:val="16"/>
              </w:rPr>
            </w:pPr>
          </w:p>
        </w:tc>
        <w:tc>
          <w:tcPr>
            <w:tcW w:w="1181" w:type="dxa"/>
          </w:tcPr>
          <w:p w14:paraId="05FD0940" w14:textId="0CDF6C78"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2,707</w:t>
            </w:r>
          </w:p>
        </w:tc>
        <w:tc>
          <w:tcPr>
            <w:tcW w:w="1158" w:type="dxa"/>
          </w:tcPr>
          <w:p w14:paraId="5758A0CF" w14:textId="7250E54C"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2,230</w:t>
            </w:r>
          </w:p>
        </w:tc>
        <w:tc>
          <w:tcPr>
            <w:tcW w:w="1119" w:type="dxa"/>
          </w:tcPr>
          <w:p w14:paraId="7E1E06C1" w14:textId="24798D2C"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2,730</w:t>
            </w:r>
          </w:p>
        </w:tc>
        <w:tc>
          <w:tcPr>
            <w:tcW w:w="1275" w:type="dxa"/>
          </w:tcPr>
          <w:p w14:paraId="60F606FB" w14:textId="66298E80" w:rsidR="00F030EA" w:rsidRPr="00F030EA" w:rsidRDefault="00F030EA" w:rsidP="00F030EA">
            <w:pPr>
              <w:pStyle w:val="TableParagraph"/>
              <w:spacing w:before="60" w:after="60"/>
              <w:ind w:left="-42" w:right="152" w:firstLine="99"/>
              <w:jc w:val="right"/>
              <w:rPr>
                <w:rFonts w:ascii="Segoe UI" w:hAnsi="Segoe UI" w:cs="Segoe UI"/>
                <w:sz w:val="16"/>
                <w:szCs w:val="16"/>
              </w:rPr>
            </w:pPr>
            <w:r w:rsidRPr="00F030EA">
              <w:rPr>
                <w:rFonts w:ascii="Segoe UI" w:hAnsi="Segoe UI" w:cs="Segoe UI"/>
                <w:sz w:val="16"/>
                <w:szCs w:val="16"/>
              </w:rPr>
              <w:t>7</w:t>
            </w:r>
          </w:p>
        </w:tc>
      </w:tr>
      <w:tr w:rsidR="00F030EA" w14:paraId="01FD195F" w14:textId="77777777" w:rsidTr="006A0C3B">
        <w:trPr>
          <w:trHeight w:val="340"/>
        </w:trPr>
        <w:tc>
          <w:tcPr>
            <w:tcW w:w="1133" w:type="dxa"/>
          </w:tcPr>
          <w:p w14:paraId="3CF82B8D" w14:textId="552B34E2"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1,947</w:t>
            </w:r>
          </w:p>
        </w:tc>
        <w:tc>
          <w:tcPr>
            <w:tcW w:w="2635" w:type="dxa"/>
          </w:tcPr>
          <w:p w14:paraId="17AB9CC3" w14:textId="2359340B" w:rsidR="00F030EA" w:rsidRPr="0068431B" w:rsidRDefault="00F030EA" w:rsidP="00F030EA">
            <w:pPr>
              <w:pStyle w:val="TableParagraph"/>
              <w:spacing w:before="60" w:after="60"/>
              <w:ind w:left="66" w:hanging="5"/>
              <w:rPr>
                <w:rFonts w:ascii="Segoe UI" w:hAnsi="Segoe UI" w:cs="Segoe UI"/>
                <w:w w:val="105"/>
                <w:sz w:val="16"/>
                <w:szCs w:val="16"/>
              </w:rPr>
            </w:pPr>
            <w:r w:rsidRPr="00F030EA">
              <w:rPr>
                <w:rFonts w:ascii="Segoe UI" w:hAnsi="Segoe UI" w:cs="Segoe UI"/>
                <w:w w:val="105"/>
                <w:sz w:val="16"/>
                <w:szCs w:val="16"/>
              </w:rPr>
              <w:t>Legal expenses</w:t>
            </w:r>
          </w:p>
        </w:tc>
        <w:tc>
          <w:tcPr>
            <w:tcW w:w="709" w:type="dxa"/>
          </w:tcPr>
          <w:p w14:paraId="2DA9A4D4" w14:textId="77777777" w:rsidR="00F030EA" w:rsidRDefault="00F030EA" w:rsidP="00F030EA">
            <w:pPr>
              <w:pStyle w:val="TableParagraph"/>
              <w:spacing w:before="60" w:after="60"/>
              <w:ind w:left="-42" w:right="152" w:firstLine="99"/>
              <w:jc w:val="right"/>
              <w:rPr>
                <w:rFonts w:ascii="Segoe UI" w:hAnsi="Segoe UI" w:cs="Segoe UI"/>
                <w:b/>
                <w:bCs/>
                <w:w w:val="110"/>
                <w:sz w:val="16"/>
                <w:szCs w:val="16"/>
              </w:rPr>
            </w:pPr>
          </w:p>
        </w:tc>
        <w:tc>
          <w:tcPr>
            <w:tcW w:w="1181" w:type="dxa"/>
          </w:tcPr>
          <w:p w14:paraId="60253780" w14:textId="634CA335"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1,574</w:t>
            </w:r>
          </w:p>
        </w:tc>
        <w:tc>
          <w:tcPr>
            <w:tcW w:w="1158" w:type="dxa"/>
          </w:tcPr>
          <w:p w14:paraId="0ECF0537" w14:textId="0E1E18E0"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1,208</w:t>
            </w:r>
          </w:p>
        </w:tc>
        <w:tc>
          <w:tcPr>
            <w:tcW w:w="1119" w:type="dxa"/>
          </w:tcPr>
          <w:p w14:paraId="3707CF0C" w14:textId="33ACFD14"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1,808</w:t>
            </w:r>
          </w:p>
        </w:tc>
        <w:tc>
          <w:tcPr>
            <w:tcW w:w="1275" w:type="dxa"/>
          </w:tcPr>
          <w:p w14:paraId="419EBE73" w14:textId="0E75A87C" w:rsidR="00F030EA" w:rsidRPr="00F030EA" w:rsidRDefault="00F030EA" w:rsidP="00F030EA">
            <w:pPr>
              <w:pStyle w:val="TableParagraph"/>
              <w:spacing w:before="60" w:after="60"/>
              <w:ind w:left="-42" w:right="152" w:firstLine="99"/>
              <w:jc w:val="right"/>
              <w:rPr>
                <w:rFonts w:ascii="Segoe UI" w:hAnsi="Segoe UI" w:cs="Segoe UI"/>
                <w:sz w:val="16"/>
                <w:szCs w:val="16"/>
              </w:rPr>
            </w:pPr>
            <w:r w:rsidRPr="00F030EA">
              <w:rPr>
                <w:rFonts w:ascii="Segoe UI" w:hAnsi="Segoe UI" w:cs="Segoe UI"/>
                <w:sz w:val="16"/>
                <w:szCs w:val="16"/>
              </w:rPr>
              <w:t>7</w:t>
            </w:r>
          </w:p>
        </w:tc>
      </w:tr>
      <w:tr w:rsidR="00F030EA" w14:paraId="7133C122" w14:textId="77777777" w:rsidTr="00F030EA">
        <w:trPr>
          <w:trHeight w:val="340"/>
        </w:trPr>
        <w:tc>
          <w:tcPr>
            <w:tcW w:w="1133" w:type="dxa"/>
            <w:tcBorders>
              <w:bottom w:val="single" w:sz="4" w:space="0" w:color="A6A6A6" w:themeColor="background1" w:themeShade="A6"/>
            </w:tcBorders>
          </w:tcPr>
          <w:p w14:paraId="65C311F3" w14:textId="7598980B"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w:t>
            </w:r>
          </w:p>
        </w:tc>
        <w:tc>
          <w:tcPr>
            <w:tcW w:w="2635" w:type="dxa"/>
            <w:tcBorders>
              <w:bottom w:val="single" w:sz="4" w:space="0" w:color="A6A6A6" w:themeColor="background1" w:themeShade="A6"/>
            </w:tcBorders>
          </w:tcPr>
          <w:p w14:paraId="07947937" w14:textId="302E5A3F" w:rsidR="00F030EA" w:rsidRPr="0068431B" w:rsidRDefault="00F030EA" w:rsidP="00F030EA">
            <w:pPr>
              <w:pStyle w:val="TableParagraph"/>
              <w:spacing w:before="60" w:after="60"/>
              <w:ind w:left="66" w:hanging="5"/>
              <w:rPr>
                <w:rFonts w:ascii="Segoe UI" w:hAnsi="Segoe UI" w:cs="Segoe UI"/>
                <w:w w:val="105"/>
                <w:sz w:val="16"/>
                <w:szCs w:val="16"/>
              </w:rPr>
            </w:pPr>
            <w:r w:rsidRPr="00F030EA">
              <w:rPr>
                <w:rFonts w:ascii="Segoe UI" w:hAnsi="Segoe UI" w:cs="Segoe UI"/>
                <w:w w:val="105"/>
                <w:sz w:val="16"/>
                <w:szCs w:val="16"/>
              </w:rPr>
              <w:t>Loss on sale of Crown-owned assets</w:t>
            </w:r>
          </w:p>
        </w:tc>
        <w:tc>
          <w:tcPr>
            <w:tcW w:w="709" w:type="dxa"/>
            <w:tcBorders>
              <w:bottom w:val="single" w:sz="4" w:space="0" w:color="A6A6A6" w:themeColor="background1" w:themeShade="A6"/>
            </w:tcBorders>
          </w:tcPr>
          <w:p w14:paraId="65FAE69B" w14:textId="77777777" w:rsidR="00F030EA" w:rsidRDefault="00F030EA" w:rsidP="00F030EA">
            <w:pPr>
              <w:pStyle w:val="TableParagraph"/>
              <w:spacing w:before="60" w:after="60"/>
              <w:ind w:left="-42" w:right="152" w:firstLine="99"/>
              <w:jc w:val="right"/>
              <w:rPr>
                <w:rFonts w:ascii="Segoe UI" w:hAnsi="Segoe UI" w:cs="Segoe UI"/>
                <w:b/>
                <w:bCs/>
                <w:w w:val="110"/>
                <w:sz w:val="16"/>
                <w:szCs w:val="16"/>
              </w:rPr>
            </w:pPr>
          </w:p>
        </w:tc>
        <w:tc>
          <w:tcPr>
            <w:tcW w:w="1181" w:type="dxa"/>
            <w:tcBorders>
              <w:bottom w:val="single" w:sz="4" w:space="0" w:color="A6A6A6" w:themeColor="background1" w:themeShade="A6"/>
            </w:tcBorders>
          </w:tcPr>
          <w:p w14:paraId="656DA7EA" w14:textId="52CD43B6"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650</w:t>
            </w:r>
          </w:p>
        </w:tc>
        <w:tc>
          <w:tcPr>
            <w:tcW w:w="1158" w:type="dxa"/>
            <w:tcBorders>
              <w:bottom w:val="single" w:sz="4" w:space="0" w:color="A6A6A6" w:themeColor="background1" w:themeShade="A6"/>
            </w:tcBorders>
          </w:tcPr>
          <w:p w14:paraId="3ACFB385" w14:textId="27AB6C78"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w:t>
            </w:r>
          </w:p>
        </w:tc>
        <w:tc>
          <w:tcPr>
            <w:tcW w:w="1119" w:type="dxa"/>
            <w:tcBorders>
              <w:bottom w:val="single" w:sz="4" w:space="0" w:color="A6A6A6" w:themeColor="background1" w:themeShade="A6"/>
            </w:tcBorders>
          </w:tcPr>
          <w:p w14:paraId="4D26C44A" w14:textId="766CF8C7" w:rsidR="00F030EA" w:rsidRPr="0068431B" w:rsidRDefault="00F030EA" w:rsidP="00F030EA">
            <w:pPr>
              <w:pStyle w:val="TableParagraph"/>
              <w:spacing w:before="60" w:after="60"/>
              <w:ind w:left="-42" w:right="170" w:firstLine="99"/>
              <w:jc w:val="right"/>
              <w:rPr>
                <w:rFonts w:ascii="Segoe UI" w:hAnsi="Segoe UI" w:cs="Segoe UI"/>
                <w:sz w:val="16"/>
                <w:szCs w:val="16"/>
              </w:rPr>
            </w:pPr>
            <w:r w:rsidRPr="00F030EA">
              <w:rPr>
                <w:rFonts w:ascii="Segoe UI" w:hAnsi="Segoe UI" w:cs="Segoe UI"/>
                <w:sz w:val="16"/>
                <w:szCs w:val="16"/>
              </w:rPr>
              <w:t>750</w:t>
            </w:r>
          </w:p>
        </w:tc>
        <w:tc>
          <w:tcPr>
            <w:tcW w:w="1275" w:type="dxa"/>
            <w:tcBorders>
              <w:bottom w:val="single" w:sz="4" w:space="0" w:color="A6A6A6" w:themeColor="background1" w:themeShade="A6"/>
            </w:tcBorders>
          </w:tcPr>
          <w:p w14:paraId="634535F4" w14:textId="4D90EB8B" w:rsidR="00F030EA" w:rsidRPr="00F030EA" w:rsidRDefault="00F030EA" w:rsidP="00F030EA">
            <w:pPr>
              <w:pStyle w:val="TableParagraph"/>
              <w:spacing w:before="60" w:after="60"/>
              <w:ind w:left="-42" w:right="152" w:firstLine="99"/>
              <w:jc w:val="right"/>
              <w:rPr>
                <w:rFonts w:ascii="Segoe UI" w:hAnsi="Segoe UI" w:cs="Segoe UI"/>
                <w:sz w:val="16"/>
                <w:szCs w:val="16"/>
              </w:rPr>
            </w:pPr>
            <w:r w:rsidRPr="00F030EA">
              <w:rPr>
                <w:rFonts w:ascii="Segoe UI" w:hAnsi="Segoe UI" w:cs="Segoe UI"/>
                <w:sz w:val="16"/>
                <w:szCs w:val="16"/>
              </w:rPr>
              <w:t>7</w:t>
            </w:r>
          </w:p>
        </w:tc>
      </w:tr>
      <w:tr w:rsidR="00F030EA" w:rsidRPr="00F030EA" w14:paraId="36F09082" w14:textId="77777777" w:rsidTr="00F030EA">
        <w:trPr>
          <w:trHeight w:val="340"/>
        </w:trPr>
        <w:tc>
          <w:tcPr>
            <w:tcW w:w="1133" w:type="dxa"/>
            <w:tcBorders>
              <w:top w:val="single" w:sz="4" w:space="0" w:color="A6A6A6" w:themeColor="background1" w:themeShade="A6"/>
              <w:bottom w:val="single" w:sz="4" w:space="0" w:color="A6A6A6" w:themeColor="background1" w:themeShade="A6"/>
            </w:tcBorders>
          </w:tcPr>
          <w:p w14:paraId="698519FA" w14:textId="7A0DC4F2" w:rsidR="00F030EA" w:rsidRPr="00F030EA" w:rsidRDefault="00F030EA" w:rsidP="00F030EA">
            <w:pPr>
              <w:pStyle w:val="TableParagraph"/>
              <w:spacing w:before="60" w:after="60"/>
              <w:ind w:left="-42" w:right="170" w:firstLine="99"/>
              <w:jc w:val="right"/>
              <w:rPr>
                <w:rFonts w:ascii="Segoe UI" w:hAnsi="Segoe UI" w:cs="Segoe UI"/>
                <w:b/>
                <w:bCs/>
                <w:sz w:val="16"/>
                <w:szCs w:val="16"/>
              </w:rPr>
            </w:pPr>
            <w:r w:rsidRPr="00F030EA">
              <w:rPr>
                <w:rFonts w:ascii="Segoe UI" w:hAnsi="Segoe UI" w:cs="Segoe UI"/>
                <w:b/>
                <w:bCs/>
                <w:sz w:val="16"/>
                <w:szCs w:val="16"/>
              </w:rPr>
              <w:t>4,224</w:t>
            </w:r>
          </w:p>
        </w:tc>
        <w:tc>
          <w:tcPr>
            <w:tcW w:w="2635" w:type="dxa"/>
            <w:tcBorders>
              <w:top w:val="single" w:sz="4" w:space="0" w:color="A6A6A6" w:themeColor="background1" w:themeShade="A6"/>
              <w:bottom w:val="single" w:sz="4" w:space="0" w:color="A6A6A6" w:themeColor="background1" w:themeShade="A6"/>
            </w:tcBorders>
          </w:tcPr>
          <w:p w14:paraId="324289ED" w14:textId="7D48EAF7" w:rsidR="00F030EA" w:rsidRPr="00F030EA" w:rsidRDefault="00F030EA" w:rsidP="00F030EA">
            <w:pPr>
              <w:pStyle w:val="TableParagraph"/>
              <w:spacing w:before="60" w:after="60"/>
              <w:ind w:left="66" w:hanging="5"/>
              <w:rPr>
                <w:rFonts w:ascii="Segoe UI" w:hAnsi="Segoe UI" w:cs="Segoe UI"/>
                <w:b/>
                <w:bCs/>
                <w:w w:val="105"/>
                <w:sz w:val="16"/>
                <w:szCs w:val="16"/>
              </w:rPr>
            </w:pPr>
            <w:r w:rsidRPr="00F030EA">
              <w:rPr>
                <w:rFonts w:ascii="Segoe UI" w:hAnsi="Segoe UI" w:cs="Segoe UI"/>
                <w:b/>
                <w:bCs/>
                <w:w w:val="105"/>
                <w:sz w:val="16"/>
                <w:szCs w:val="16"/>
              </w:rPr>
              <w:t>Total non-departmental other expenses</w:t>
            </w:r>
          </w:p>
        </w:tc>
        <w:tc>
          <w:tcPr>
            <w:tcW w:w="709" w:type="dxa"/>
            <w:tcBorders>
              <w:top w:val="single" w:sz="4" w:space="0" w:color="A6A6A6" w:themeColor="background1" w:themeShade="A6"/>
              <w:bottom w:val="single" w:sz="4" w:space="0" w:color="A6A6A6" w:themeColor="background1" w:themeShade="A6"/>
            </w:tcBorders>
          </w:tcPr>
          <w:p w14:paraId="3DB21779" w14:textId="77777777" w:rsidR="00F030EA" w:rsidRPr="00F030EA" w:rsidRDefault="00F030EA" w:rsidP="00F030EA">
            <w:pPr>
              <w:pStyle w:val="TableParagraph"/>
              <w:spacing w:before="60" w:after="60"/>
              <w:ind w:left="-42" w:right="152" w:firstLine="99"/>
              <w:jc w:val="right"/>
              <w:rPr>
                <w:rFonts w:ascii="Segoe UI" w:hAnsi="Segoe UI" w:cs="Segoe UI"/>
                <w:b/>
                <w:bCs/>
                <w:w w:val="110"/>
                <w:sz w:val="16"/>
                <w:szCs w:val="16"/>
              </w:rPr>
            </w:pPr>
          </w:p>
        </w:tc>
        <w:tc>
          <w:tcPr>
            <w:tcW w:w="1181" w:type="dxa"/>
            <w:tcBorders>
              <w:top w:val="single" w:sz="4" w:space="0" w:color="A6A6A6" w:themeColor="background1" w:themeShade="A6"/>
              <w:bottom w:val="single" w:sz="4" w:space="0" w:color="A6A6A6" w:themeColor="background1" w:themeShade="A6"/>
            </w:tcBorders>
          </w:tcPr>
          <w:p w14:paraId="743B56A5" w14:textId="4BA91A13" w:rsidR="00F030EA" w:rsidRPr="00F030EA" w:rsidRDefault="00F030EA" w:rsidP="00F030EA">
            <w:pPr>
              <w:pStyle w:val="TableParagraph"/>
              <w:spacing w:before="60" w:after="60"/>
              <w:ind w:left="-42" w:right="170" w:firstLine="99"/>
              <w:jc w:val="right"/>
              <w:rPr>
                <w:rFonts w:ascii="Segoe UI" w:hAnsi="Segoe UI" w:cs="Segoe UI"/>
                <w:b/>
                <w:bCs/>
                <w:sz w:val="16"/>
                <w:szCs w:val="16"/>
              </w:rPr>
            </w:pPr>
            <w:r w:rsidRPr="00F030EA">
              <w:rPr>
                <w:rFonts w:ascii="Segoe UI" w:hAnsi="Segoe UI" w:cs="Segoe UI"/>
                <w:b/>
                <w:bCs/>
                <w:sz w:val="16"/>
                <w:szCs w:val="16"/>
              </w:rPr>
              <w:t>4,931</w:t>
            </w:r>
          </w:p>
        </w:tc>
        <w:tc>
          <w:tcPr>
            <w:tcW w:w="1158" w:type="dxa"/>
            <w:tcBorders>
              <w:top w:val="single" w:sz="4" w:space="0" w:color="A6A6A6" w:themeColor="background1" w:themeShade="A6"/>
              <w:bottom w:val="single" w:sz="4" w:space="0" w:color="A6A6A6" w:themeColor="background1" w:themeShade="A6"/>
            </w:tcBorders>
          </w:tcPr>
          <w:p w14:paraId="2377E20B" w14:textId="315A17EE" w:rsidR="00F030EA" w:rsidRPr="00F030EA" w:rsidRDefault="00F030EA" w:rsidP="00F030EA">
            <w:pPr>
              <w:pStyle w:val="TableParagraph"/>
              <w:spacing w:before="60" w:after="60"/>
              <w:ind w:left="-42" w:right="170" w:firstLine="99"/>
              <w:jc w:val="right"/>
              <w:rPr>
                <w:rFonts w:ascii="Segoe UI" w:hAnsi="Segoe UI" w:cs="Segoe UI"/>
                <w:b/>
                <w:bCs/>
                <w:sz w:val="16"/>
                <w:szCs w:val="16"/>
              </w:rPr>
            </w:pPr>
            <w:r w:rsidRPr="00F030EA">
              <w:rPr>
                <w:rFonts w:ascii="Segoe UI" w:hAnsi="Segoe UI" w:cs="Segoe UI"/>
                <w:b/>
                <w:bCs/>
                <w:sz w:val="16"/>
                <w:szCs w:val="16"/>
              </w:rPr>
              <w:t>3,438</w:t>
            </w:r>
          </w:p>
        </w:tc>
        <w:tc>
          <w:tcPr>
            <w:tcW w:w="1119" w:type="dxa"/>
            <w:tcBorders>
              <w:top w:val="single" w:sz="4" w:space="0" w:color="A6A6A6" w:themeColor="background1" w:themeShade="A6"/>
              <w:bottom w:val="single" w:sz="4" w:space="0" w:color="A6A6A6" w:themeColor="background1" w:themeShade="A6"/>
            </w:tcBorders>
          </w:tcPr>
          <w:p w14:paraId="49277B44" w14:textId="6854D4CF" w:rsidR="00F030EA" w:rsidRPr="00F030EA" w:rsidRDefault="00F030EA" w:rsidP="00F030EA">
            <w:pPr>
              <w:pStyle w:val="TableParagraph"/>
              <w:spacing w:before="60" w:after="60"/>
              <w:ind w:left="-42" w:right="170" w:firstLine="99"/>
              <w:jc w:val="right"/>
              <w:rPr>
                <w:rFonts w:ascii="Segoe UI" w:hAnsi="Segoe UI" w:cs="Segoe UI"/>
                <w:b/>
                <w:bCs/>
                <w:sz w:val="16"/>
                <w:szCs w:val="16"/>
              </w:rPr>
            </w:pPr>
            <w:r w:rsidRPr="00F030EA">
              <w:rPr>
                <w:rFonts w:ascii="Segoe UI" w:hAnsi="Segoe UI" w:cs="Segoe UI"/>
                <w:b/>
                <w:bCs/>
                <w:sz w:val="16"/>
                <w:szCs w:val="16"/>
              </w:rPr>
              <w:t>5,288</w:t>
            </w:r>
          </w:p>
        </w:tc>
        <w:tc>
          <w:tcPr>
            <w:tcW w:w="1275" w:type="dxa"/>
            <w:tcBorders>
              <w:top w:val="single" w:sz="4" w:space="0" w:color="A6A6A6" w:themeColor="background1" w:themeShade="A6"/>
              <w:bottom w:val="single" w:sz="4" w:space="0" w:color="A6A6A6" w:themeColor="background1" w:themeShade="A6"/>
            </w:tcBorders>
          </w:tcPr>
          <w:p w14:paraId="0AB0AD2F" w14:textId="77777777" w:rsidR="00F030EA" w:rsidRPr="00F030EA" w:rsidRDefault="00F030EA" w:rsidP="00F030EA">
            <w:pPr>
              <w:pStyle w:val="TableParagraph"/>
              <w:spacing w:before="60" w:after="60"/>
              <w:ind w:left="-42" w:right="152" w:firstLine="99"/>
              <w:jc w:val="right"/>
              <w:rPr>
                <w:rFonts w:ascii="Segoe UI" w:hAnsi="Segoe UI" w:cs="Segoe UI"/>
                <w:b/>
                <w:bCs/>
                <w:sz w:val="16"/>
                <w:szCs w:val="16"/>
              </w:rPr>
            </w:pPr>
          </w:p>
        </w:tc>
      </w:tr>
      <w:tr w:rsidR="00F030EA" w:rsidRPr="00F030EA" w14:paraId="596359D7" w14:textId="77777777" w:rsidTr="00F030EA">
        <w:trPr>
          <w:trHeight w:val="340"/>
        </w:trPr>
        <w:tc>
          <w:tcPr>
            <w:tcW w:w="1133" w:type="dxa"/>
            <w:tcBorders>
              <w:top w:val="single" w:sz="4" w:space="0" w:color="A6A6A6" w:themeColor="background1" w:themeShade="A6"/>
              <w:bottom w:val="single" w:sz="4" w:space="0" w:color="A6A6A6" w:themeColor="background1" w:themeShade="A6"/>
            </w:tcBorders>
          </w:tcPr>
          <w:p w14:paraId="45E49A0D" w14:textId="7D4967EE" w:rsidR="00F030EA" w:rsidRPr="00F030EA" w:rsidRDefault="00F030EA" w:rsidP="00F030EA">
            <w:pPr>
              <w:pStyle w:val="TableParagraph"/>
              <w:spacing w:before="60" w:after="60"/>
              <w:ind w:left="-42" w:right="170" w:firstLine="99"/>
              <w:jc w:val="right"/>
              <w:rPr>
                <w:rFonts w:ascii="Segoe UI" w:hAnsi="Segoe UI" w:cs="Segoe UI"/>
                <w:b/>
                <w:bCs/>
                <w:sz w:val="16"/>
                <w:szCs w:val="16"/>
              </w:rPr>
            </w:pPr>
            <w:r w:rsidRPr="00F030EA">
              <w:rPr>
                <w:rFonts w:ascii="Segoe UI" w:hAnsi="Segoe UI" w:cs="Segoe UI"/>
                <w:b/>
                <w:bCs/>
                <w:sz w:val="16"/>
                <w:szCs w:val="16"/>
              </w:rPr>
              <w:t>24,660,004</w:t>
            </w:r>
          </w:p>
        </w:tc>
        <w:tc>
          <w:tcPr>
            <w:tcW w:w="2635" w:type="dxa"/>
            <w:tcBorders>
              <w:top w:val="single" w:sz="4" w:space="0" w:color="A6A6A6" w:themeColor="background1" w:themeShade="A6"/>
              <w:bottom w:val="single" w:sz="4" w:space="0" w:color="A6A6A6" w:themeColor="background1" w:themeShade="A6"/>
            </w:tcBorders>
          </w:tcPr>
          <w:p w14:paraId="6DF6C1DB" w14:textId="716AFBE4" w:rsidR="00F030EA" w:rsidRPr="00F030EA" w:rsidRDefault="00F030EA" w:rsidP="00F030EA">
            <w:pPr>
              <w:pStyle w:val="TableParagraph"/>
              <w:spacing w:before="60" w:after="60"/>
              <w:ind w:left="66" w:hanging="5"/>
              <w:rPr>
                <w:rFonts w:ascii="Segoe UI" w:hAnsi="Segoe UI" w:cs="Segoe UI"/>
                <w:b/>
                <w:bCs/>
                <w:w w:val="105"/>
                <w:sz w:val="16"/>
                <w:szCs w:val="16"/>
              </w:rPr>
            </w:pPr>
            <w:r w:rsidRPr="00F030EA">
              <w:rPr>
                <w:rFonts w:ascii="Segoe UI" w:hAnsi="Segoe UI" w:cs="Segoe UI"/>
                <w:b/>
                <w:bCs/>
                <w:w w:val="105"/>
                <w:sz w:val="16"/>
                <w:szCs w:val="16"/>
              </w:rPr>
              <w:t>Total non-departmental including multi-category output expenses</w:t>
            </w:r>
          </w:p>
        </w:tc>
        <w:tc>
          <w:tcPr>
            <w:tcW w:w="709" w:type="dxa"/>
            <w:tcBorders>
              <w:top w:val="single" w:sz="4" w:space="0" w:color="A6A6A6" w:themeColor="background1" w:themeShade="A6"/>
              <w:bottom w:val="single" w:sz="4" w:space="0" w:color="A6A6A6" w:themeColor="background1" w:themeShade="A6"/>
            </w:tcBorders>
          </w:tcPr>
          <w:p w14:paraId="2E77E64C" w14:textId="77777777" w:rsidR="00F030EA" w:rsidRPr="00F030EA" w:rsidRDefault="00F030EA" w:rsidP="00F030EA">
            <w:pPr>
              <w:pStyle w:val="TableParagraph"/>
              <w:spacing w:before="60" w:after="60"/>
              <w:ind w:left="-42" w:right="152" w:firstLine="99"/>
              <w:jc w:val="right"/>
              <w:rPr>
                <w:rFonts w:ascii="Segoe UI" w:hAnsi="Segoe UI" w:cs="Segoe UI"/>
                <w:b/>
                <w:bCs/>
                <w:w w:val="110"/>
                <w:sz w:val="16"/>
                <w:szCs w:val="16"/>
              </w:rPr>
            </w:pPr>
          </w:p>
        </w:tc>
        <w:tc>
          <w:tcPr>
            <w:tcW w:w="1181" w:type="dxa"/>
            <w:tcBorders>
              <w:top w:val="single" w:sz="4" w:space="0" w:color="A6A6A6" w:themeColor="background1" w:themeShade="A6"/>
              <w:bottom w:val="single" w:sz="4" w:space="0" w:color="A6A6A6" w:themeColor="background1" w:themeShade="A6"/>
            </w:tcBorders>
          </w:tcPr>
          <w:p w14:paraId="48CAAF46" w14:textId="1974F0C1" w:rsidR="00F030EA" w:rsidRPr="00F030EA" w:rsidRDefault="00F030EA" w:rsidP="00F030EA">
            <w:pPr>
              <w:pStyle w:val="TableParagraph"/>
              <w:spacing w:before="60" w:after="60"/>
              <w:ind w:left="-42" w:right="170" w:firstLine="99"/>
              <w:jc w:val="right"/>
              <w:rPr>
                <w:rFonts w:ascii="Segoe UI" w:hAnsi="Segoe UI" w:cs="Segoe UI"/>
                <w:b/>
                <w:bCs/>
                <w:sz w:val="16"/>
                <w:szCs w:val="16"/>
              </w:rPr>
            </w:pPr>
            <w:r w:rsidRPr="00F030EA">
              <w:rPr>
                <w:rFonts w:ascii="Segoe UI" w:hAnsi="Segoe UI" w:cs="Segoe UI"/>
                <w:b/>
                <w:bCs/>
                <w:sz w:val="16"/>
                <w:szCs w:val="16"/>
              </w:rPr>
              <w:t>25,914,996</w:t>
            </w:r>
          </w:p>
        </w:tc>
        <w:tc>
          <w:tcPr>
            <w:tcW w:w="1158" w:type="dxa"/>
            <w:tcBorders>
              <w:top w:val="single" w:sz="4" w:space="0" w:color="A6A6A6" w:themeColor="background1" w:themeShade="A6"/>
              <w:bottom w:val="single" w:sz="4" w:space="0" w:color="A6A6A6" w:themeColor="background1" w:themeShade="A6"/>
            </w:tcBorders>
          </w:tcPr>
          <w:p w14:paraId="22B2FD14" w14:textId="3644D0A4" w:rsidR="00F030EA" w:rsidRPr="00F030EA" w:rsidRDefault="00F030EA" w:rsidP="00F030EA">
            <w:pPr>
              <w:pStyle w:val="TableParagraph"/>
              <w:spacing w:before="60" w:after="60"/>
              <w:ind w:left="-42" w:right="170" w:firstLine="99"/>
              <w:jc w:val="right"/>
              <w:rPr>
                <w:rFonts w:ascii="Segoe UI" w:hAnsi="Segoe UI" w:cs="Segoe UI"/>
                <w:b/>
                <w:bCs/>
                <w:sz w:val="16"/>
                <w:szCs w:val="16"/>
              </w:rPr>
            </w:pPr>
            <w:r w:rsidRPr="00F030EA">
              <w:rPr>
                <w:rFonts w:ascii="Segoe UI" w:hAnsi="Segoe UI" w:cs="Segoe UI"/>
                <w:b/>
                <w:bCs/>
                <w:sz w:val="16"/>
                <w:szCs w:val="16"/>
              </w:rPr>
              <w:t>23,199,872¥</w:t>
            </w:r>
          </w:p>
        </w:tc>
        <w:tc>
          <w:tcPr>
            <w:tcW w:w="1119" w:type="dxa"/>
            <w:tcBorders>
              <w:top w:val="single" w:sz="4" w:space="0" w:color="A6A6A6" w:themeColor="background1" w:themeShade="A6"/>
              <w:bottom w:val="single" w:sz="4" w:space="0" w:color="A6A6A6" w:themeColor="background1" w:themeShade="A6"/>
            </w:tcBorders>
          </w:tcPr>
          <w:p w14:paraId="47A3AA47" w14:textId="0904E3B8" w:rsidR="00F030EA" w:rsidRPr="00F030EA" w:rsidRDefault="00F030EA" w:rsidP="00F030EA">
            <w:pPr>
              <w:pStyle w:val="TableParagraph"/>
              <w:spacing w:before="60" w:after="60"/>
              <w:ind w:left="-42" w:right="170" w:firstLine="99"/>
              <w:jc w:val="right"/>
              <w:rPr>
                <w:rFonts w:ascii="Segoe UI" w:hAnsi="Segoe UI" w:cs="Segoe UI"/>
                <w:b/>
                <w:bCs/>
                <w:sz w:val="16"/>
                <w:szCs w:val="16"/>
              </w:rPr>
            </w:pPr>
            <w:r w:rsidRPr="00F030EA">
              <w:rPr>
                <w:rFonts w:ascii="Segoe UI" w:hAnsi="Segoe UI" w:cs="Segoe UI"/>
                <w:b/>
                <w:bCs/>
                <w:sz w:val="16"/>
                <w:szCs w:val="16"/>
              </w:rPr>
              <w:t>25,992,194</w:t>
            </w:r>
          </w:p>
        </w:tc>
        <w:tc>
          <w:tcPr>
            <w:tcW w:w="1275" w:type="dxa"/>
            <w:tcBorders>
              <w:top w:val="single" w:sz="4" w:space="0" w:color="A6A6A6" w:themeColor="background1" w:themeShade="A6"/>
              <w:bottom w:val="single" w:sz="4" w:space="0" w:color="A6A6A6" w:themeColor="background1" w:themeShade="A6"/>
            </w:tcBorders>
          </w:tcPr>
          <w:p w14:paraId="6CC8409B" w14:textId="77777777" w:rsidR="00F030EA" w:rsidRPr="00F030EA" w:rsidRDefault="00F030EA" w:rsidP="00F030EA">
            <w:pPr>
              <w:pStyle w:val="TableParagraph"/>
              <w:spacing w:before="60" w:after="60"/>
              <w:ind w:left="-42" w:right="152" w:firstLine="99"/>
              <w:jc w:val="right"/>
              <w:rPr>
                <w:rFonts w:ascii="Segoe UI" w:hAnsi="Segoe UI" w:cs="Segoe UI"/>
                <w:b/>
                <w:bCs/>
                <w:sz w:val="16"/>
                <w:szCs w:val="16"/>
              </w:rPr>
            </w:pPr>
          </w:p>
        </w:tc>
      </w:tr>
    </w:tbl>
    <w:p w14:paraId="63B9C1A1" w14:textId="77777777" w:rsidR="007359E3" w:rsidRDefault="007359E3" w:rsidP="007359E3">
      <w:pPr>
        <w:rPr>
          <w:highlight w:val="yellow"/>
        </w:rPr>
      </w:pPr>
    </w:p>
    <w:p w14:paraId="2795D786" w14:textId="77777777" w:rsidR="006A0C3B" w:rsidRDefault="006A0C3B" w:rsidP="006A0C3B">
      <w:pPr>
        <w:ind w:firstLine="567"/>
        <w:rPr>
          <w:highlight w:val="yellow"/>
        </w:rPr>
        <w:sectPr w:rsidR="006A0C3B" w:rsidSect="000A3324">
          <w:pgSz w:w="11907" w:h="16840" w:code="9"/>
          <w:pgMar w:top="1418" w:right="1701" w:bottom="1134" w:left="1843" w:header="284" w:footer="425" w:gutter="284"/>
          <w:cols w:space="720"/>
        </w:sectPr>
      </w:pPr>
    </w:p>
    <w:tbl>
      <w:tblPr>
        <w:tblW w:w="9210" w:type="dxa"/>
        <w:tblLayout w:type="fixed"/>
        <w:tblCellMar>
          <w:left w:w="0" w:type="dxa"/>
          <w:right w:w="0" w:type="dxa"/>
        </w:tblCellMar>
        <w:tblLook w:val="01E0" w:firstRow="1" w:lastRow="1" w:firstColumn="1" w:lastColumn="1" w:noHBand="0" w:noVBand="0"/>
      </w:tblPr>
      <w:tblGrid>
        <w:gridCol w:w="1133"/>
        <w:gridCol w:w="2635"/>
        <w:gridCol w:w="709"/>
        <w:gridCol w:w="1181"/>
        <w:gridCol w:w="1158"/>
        <w:gridCol w:w="1119"/>
        <w:gridCol w:w="1275"/>
      </w:tblGrid>
      <w:tr w:rsidR="006A0C3B" w14:paraId="18442468" w14:textId="77777777" w:rsidTr="006A0C3B">
        <w:trPr>
          <w:trHeight w:val="909"/>
        </w:trPr>
        <w:tc>
          <w:tcPr>
            <w:tcW w:w="1133" w:type="dxa"/>
            <w:shd w:val="clear" w:color="auto" w:fill="D9D9D9" w:themeFill="background1" w:themeFillShade="D9"/>
            <w:hideMark/>
          </w:tcPr>
          <w:p w14:paraId="5F0CEE3A" w14:textId="77777777" w:rsidR="006A0C3B" w:rsidRDefault="006A0C3B" w:rsidP="006A0C3B">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lastRenderedPageBreak/>
              <w:t>Actual expenditure</w:t>
            </w:r>
          </w:p>
          <w:p w14:paraId="0E1C08EE" w14:textId="77777777" w:rsidR="006A0C3B" w:rsidRDefault="006A0C3B" w:rsidP="006A0C3B">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2023</w:t>
            </w:r>
          </w:p>
          <w:p w14:paraId="648F4E7A" w14:textId="77777777" w:rsidR="006A0C3B" w:rsidRDefault="006A0C3B" w:rsidP="006A0C3B">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2635" w:type="dxa"/>
            <w:shd w:val="clear" w:color="auto" w:fill="D9D9D9" w:themeFill="background1" w:themeFillShade="D9"/>
          </w:tcPr>
          <w:p w14:paraId="68C28B1D" w14:textId="77777777" w:rsidR="006A0C3B" w:rsidRDefault="006A0C3B" w:rsidP="006A0C3B">
            <w:pPr>
              <w:pStyle w:val="TableParagraph"/>
              <w:spacing w:before="60" w:after="60"/>
              <w:ind w:left="66" w:hanging="5"/>
              <w:rPr>
                <w:rFonts w:ascii="Segoe UI" w:hAnsi="Segoe UI" w:cs="Segoe UI"/>
                <w:b/>
                <w:bCs/>
                <w:w w:val="105"/>
                <w:sz w:val="16"/>
                <w:szCs w:val="16"/>
              </w:rPr>
            </w:pPr>
            <w:r>
              <w:rPr>
                <w:rFonts w:ascii="Segoe UI" w:hAnsi="Segoe UI" w:cs="Segoe UI"/>
                <w:b/>
                <w:bCs/>
                <w:w w:val="105"/>
                <w:sz w:val="16"/>
                <w:szCs w:val="16"/>
              </w:rPr>
              <w:br/>
            </w:r>
          </w:p>
          <w:p w14:paraId="0A5FCDDA" w14:textId="77777777" w:rsidR="006A0C3B" w:rsidRDefault="006A0C3B" w:rsidP="006A0C3B">
            <w:pPr>
              <w:pStyle w:val="TableParagraph"/>
              <w:spacing w:before="60" w:after="60"/>
              <w:ind w:left="66" w:hanging="5"/>
              <w:rPr>
                <w:rFonts w:ascii="Segoe UI" w:hAnsi="Segoe UI" w:cs="Segoe UI"/>
                <w:b/>
                <w:bCs/>
                <w:w w:val="105"/>
                <w:sz w:val="16"/>
                <w:szCs w:val="16"/>
              </w:rPr>
            </w:pPr>
          </w:p>
          <w:p w14:paraId="1868D068" w14:textId="77777777" w:rsidR="006A0C3B" w:rsidRDefault="006A0C3B" w:rsidP="006A0C3B">
            <w:pPr>
              <w:pStyle w:val="TableParagraph"/>
              <w:spacing w:before="60" w:after="60"/>
              <w:ind w:left="66" w:hanging="5"/>
              <w:rPr>
                <w:rFonts w:ascii="Segoe UI" w:hAnsi="Segoe UI" w:cs="Segoe UI"/>
                <w:b/>
                <w:bCs/>
                <w:w w:val="105"/>
                <w:sz w:val="16"/>
                <w:szCs w:val="16"/>
              </w:rPr>
            </w:pPr>
            <w:r>
              <w:rPr>
                <w:rFonts w:ascii="Segoe UI" w:hAnsi="Segoe UI" w:cs="Segoe UI"/>
                <w:b/>
                <w:bCs/>
                <w:w w:val="105"/>
                <w:sz w:val="16"/>
                <w:szCs w:val="16"/>
              </w:rPr>
              <w:t>Appropriation title</w:t>
            </w:r>
          </w:p>
        </w:tc>
        <w:tc>
          <w:tcPr>
            <w:tcW w:w="709" w:type="dxa"/>
            <w:shd w:val="clear" w:color="auto" w:fill="D9D9D9" w:themeFill="background1" w:themeFillShade="D9"/>
          </w:tcPr>
          <w:p w14:paraId="080FDFB4" w14:textId="77777777" w:rsidR="006A0C3B" w:rsidRDefault="006A0C3B" w:rsidP="006A0C3B">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br/>
            </w:r>
          </w:p>
          <w:p w14:paraId="6405BF86" w14:textId="77777777" w:rsidR="006A0C3B" w:rsidRDefault="006A0C3B" w:rsidP="006A0C3B">
            <w:pPr>
              <w:pStyle w:val="TableParagraph"/>
              <w:spacing w:before="60" w:after="60"/>
              <w:ind w:left="-42" w:right="152" w:firstLine="99"/>
              <w:jc w:val="right"/>
              <w:rPr>
                <w:rFonts w:ascii="Segoe UI" w:hAnsi="Segoe UI" w:cs="Segoe UI"/>
                <w:b/>
                <w:bCs/>
                <w:w w:val="110"/>
                <w:sz w:val="16"/>
                <w:szCs w:val="16"/>
              </w:rPr>
            </w:pPr>
          </w:p>
          <w:p w14:paraId="4B916E4A" w14:textId="77777777" w:rsidR="006A0C3B" w:rsidRDefault="006A0C3B" w:rsidP="006A0C3B">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Note</w:t>
            </w:r>
          </w:p>
        </w:tc>
        <w:tc>
          <w:tcPr>
            <w:tcW w:w="1181" w:type="dxa"/>
            <w:shd w:val="clear" w:color="auto" w:fill="D9D9D9" w:themeFill="background1" w:themeFillShade="D9"/>
            <w:hideMark/>
          </w:tcPr>
          <w:p w14:paraId="2540FB54" w14:textId="77777777" w:rsidR="006A0C3B" w:rsidRDefault="006A0C3B" w:rsidP="006A0C3B">
            <w:pPr>
              <w:pStyle w:val="TableParagraph"/>
              <w:spacing w:before="60" w:after="60" w:line="295" w:lineRule="auto"/>
              <w:ind w:left="-42" w:right="152" w:firstLine="99"/>
              <w:jc w:val="right"/>
              <w:rPr>
                <w:rFonts w:ascii="Segoe UI" w:hAnsi="Segoe UI" w:cs="Segoe UI"/>
                <w:b/>
                <w:bCs/>
                <w:w w:val="110"/>
                <w:sz w:val="16"/>
                <w:szCs w:val="16"/>
              </w:rPr>
            </w:pPr>
            <w:r>
              <w:rPr>
                <w:rFonts w:ascii="Segoe UI" w:hAnsi="Segoe UI" w:cs="Segoe UI"/>
                <w:b/>
                <w:bCs/>
                <w:w w:val="110"/>
                <w:sz w:val="16"/>
                <w:szCs w:val="16"/>
              </w:rPr>
              <w:t>Actual expenditure</w:t>
            </w:r>
          </w:p>
          <w:p w14:paraId="48F69550" w14:textId="77777777" w:rsidR="006A0C3B" w:rsidRDefault="006A0C3B" w:rsidP="006A0C3B">
            <w:pPr>
              <w:pStyle w:val="TableParagraph"/>
              <w:spacing w:before="60" w:after="60" w:line="163" w:lineRule="exact"/>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36CB0910" w14:textId="77777777" w:rsidR="006A0C3B" w:rsidRDefault="006A0C3B" w:rsidP="006A0C3B">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158" w:type="dxa"/>
            <w:shd w:val="clear" w:color="auto" w:fill="D9D9D9" w:themeFill="background1" w:themeFillShade="D9"/>
            <w:hideMark/>
          </w:tcPr>
          <w:p w14:paraId="26276CFA" w14:textId="77777777" w:rsidR="006A0C3B" w:rsidRDefault="006A0C3B" w:rsidP="006A0C3B">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Unaudited</w:t>
            </w:r>
            <w:r>
              <w:rPr>
                <w:rFonts w:ascii="Segoe UI" w:hAnsi="Segoe UI" w:cs="Segoe UI"/>
                <w:b/>
                <w:bCs/>
                <w:w w:val="110"/>
                <w:sz w:val="16"/>
                <w:szCs w:val="16"/>
              </w:rPr>
              <w:br/>
              <w:t xml:space="preserve">budget </w:t>
            </w:r>
          </w:p>
          <w:p w14:paraId="518C7535" w14:textId="77777777" w:rsidR="006A0C3B" w:rsidRDefault="006A0C3B" w:rsidP="006A0C3B">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1479498C" w14:textId="77777777" w:rsidR="006A0C3B" w:rsidRDefault="006A0C3B" w:rsidP="006A0C3B">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119" w:type="dxa"/>
            <w:shd w:val="clear" w:color="auto" w:fill="D9D9D9" w:themeFill="background1" w:themeFillShade="D9"/>
            <w:hideMark/>
          </w:tcPr>
          <w:p w14:paraId="0C074ACB" w14:textId="77777777" w:rsidR="006A0C3B" w:rsidRDefault="006A0C3B" w:rsidP="006A0C3B">
            <w:pPr>
              <w:pStyle w:val="TableParagraph"/>
              <w:spacing w:before="60" w:after="60" w:line="280" w:lineRule="auto"/>
              <w:ind w:left="-42" w:right="152" w:firstLine="99"/>
              <w:jc w:val="right"/>
              <w:rPr>
                <w:rFonts w:ascii="Segoe UI" w:hAnsi="Segoe UI" w:cs="Segoe UI"/>
                <w:b/>
                <w:bCs/>
                <w:w w:val="110"/>
                <w:sz w:val="16"/>
                <w:szCs w:val="16"/>
              </w:rPr>
            </w:pPr>
            <w:r>
              <w:rPr>
                <w:rFonts w:ascii="Segoe UI" w:hAnsi="Segoe UI" w:cs="Segoe UI"/>
                <w:b/>
                <w:bCs/>
                <w:w w:val="110"/>
                <w:sz w:val="16"/>
                <w:szCs w:val="16"/>
              </w:rPr>
              <w:t>Revised budget*</w:t>
            </w:r>
          </w:p>
          <w:p w14:paraId="0ECCF370" w14:textId="77777777" w:rsidR="006A0C3B" w:rsidRDefault="006A0C3B" w:rsidP="006A0C3B">
            <w:pPr>
              <w:pStyle w:val="TableParagraph"/>
              <w:spacing w:before="60" w:after="60" w:line="170" w:lineRule="exact"/>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67A3D12C" w14:textId="77777777" w:rsidR="006A0C3B" w:rsidRDefault="006A0C3B" w:rsidP="006A0C3B">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275" w:type="dxa"/>
            <w:shd w:val="clear" w:color="auto" w:fill="D9D9D9" w:themeFill="background1" w:themeFillShade="D9"/>
            <w:hideMark/>
          </w:tcPr>
          <w:p w14:paraId="129C7BC0" w14:textId="77777777" w:rsidR="006A0C3B" w:rsidRDefault="006A0C3B" w:rsidP="006A0C3B">
            <w:pPr>
              <w:pStyle w:val="TableParagraph"/>
              <w:spacing w:before="60"/>
              <w:ind w:left="-40" w:right="153" w:firstLine="96"/>
              <w:jc w:val="right"/>
              <w:rPr>
                <w:rFonts w:ascii="Segoe UI" w:hAnsi="Segoe UI" w:cs="Segoe UI"/>
                <w:b/>
                <w:bCs/>
                <w:w w:val="110"/>
                <w:sz w:val="16"/>
                <w:szCs w:val="16"/>
              </w:rPr>
            </w:pPr>
            <w:r>
              <w:rPr>
                <w:rFonts w:ascii="Segoe UI" w:hAnsi="Segoe UI" w:cs="Segoe UI"/>
                <w:b/>
                <w:bCs/>
                <w:w w:val="110"/>
                <w:sz w:val="16"/>
                <w:szCs w:val="16"/>
              </w:rPr>
              <w:t>Location of end-of-year performance information^</w:t>
            </w:r>
          </w:p>
        </w:tc>
      </w:tr>
      <w:tr w:rsidR="006A0C3B" w:rsidRPr="006A0C3B" w14:paraId="5A813936" w14:textId="77777777" w:rsidTr="006A0C3B">
        <w:trPr>
          <w:trHeight w:val="340"/>
        </w:trPr>
        <w:tc>
          <w:tcPr>
            <w:tcW w:w="1133" w:type="dxa"/>
          </w:tcPr>
          <w:p w14:paraId="09357157" w14:textId="77777777" w:rsidR="006A0C3B" w:rsidRPr="006A0C3B" w:rsidRDefault="006A0C3B" w:rsidP="006A0C3B">
            <w:pPr>
              <w:pStyle w:val="TableParagraph"/>
              <w:spacing w:before="60" w:after="60"/>
              <w:ind w:left="-42" w:right="170" w:firstLine="99"/>
              <w:jc w:val="right"/>
              <w:rPr>
                <w:rFonts w:ascii="Segoe UI" w:hAnsi="Segoe UI" w:cs="Segoe UI"/>
                <w:b/>
                <w:bCs/>
                <w:sz w:val="16"/>
                <w:szCs w:val="16"/>
              </w:rPr>
            </w:pPr>
          </w:p>
        </w:tc>
        <w:tc>
          <w:tcPr>
            <w:tcW w:w="2635" w:type="dxa"/>
          </w:tcPr>
          <w:p w14:paraId="6249DBFD" w14:textId="17D3AAC7" w:rsidR="006A0C3B" w:rsidRPr="006A0C3B" w:rsidRDefault="006A0C3B" w:rsidP="006A0C3B">
            <w:pPr>
              <w:pStyle w:val="TableParagraph"/>
              <w:spacing w:before="60" w:after="60"/>
              <w:ind w:left="66" w:hanging="5"/>
              <w:rPr>
                <w:rFonts w:ascii="Segoe UI" w:hAnsi="Segoe UI" w:cs="Segoe UI"/>
                <w:b/>
                <w:bCs/>
                <w:w w:val="105"/>
                <w:sz w:val="16"/>
                <w:szCs w:val="16"/>
              </w:rPr>
            </w:pPr>
            <w:r w:rsidRPr="006A0C3B">
              <w:rPr>
                <w:rFonts w:ascii="Segoe UI" w:hAnsi="Segoe UI" w:cs="Segoe UI"/>
                <w:b/>
                <w:bCs/>
                <w:w w:val="105"/>
                <w:sz w:val="16"/>
                <w:szCs w:val="16"/>
              </w:rPr>
              <w:t>Non-departmental capital expenditure</w:t>
            </w:r>
          </w:p>
        </w:tc>
        <w:tc>
          <w:tcPr>
            <w:tcW w:w="709" w:type="dxa"/>
          </w:tcPr>
          <w:p w14:paraId="46895A64" w14:textId="77777777" w:rsidR="006A0C3B" w:rsidRPr="006A0C3B" w:rsidRDefault="006A0C3B" w:rsidP="006A0C3B">
            <w:pPr>
              <w:pStyle w:val="TableParagraph"/>
              <w:spacing w:before="60" w:after="60"/>
              <w:ind w:left="-42" w:right="170" w:firstLine="99"/>
              <w:jc w:val="right"/>
              <w:rPr>
                <w:rFonts w:ascii="Segoe UI" w:hAnsi="Segoe UI" w:cs="Segoe UI"/>
                <w:b/>
                <w:bCs/>
                <w:sz w:val="16"/>
                <w:szCs w:val="16"/>
              </w:rPr>
            </w:pPr>
          </w:p>
        </w:tc>
        <w:tc>
          <w:tcPr>
            <w:tcW w:w="1181" w:type="dxa"/>
          </w:tcPr>
          <w:p w14:paraId="1E5D943C" w14:textId="77777777" w:rsidR="006A0C3B" w:rsidRPr="006A0C3B" w:rsidRDefault="006A0C3B" w:rsidP="006A0C3B">
            <w:pPr>
              <w:pStyle w:val="TableParagraph"/>
              <w:spacing w:before="60" w:after="60"/>
              <w:ind w:left="-42" w:right="170" w:firstLine="99"/>
              <w:jc w:val="right"/>
              <w:rPr>
                <w:rFonts w:ascii="Segoe UI" w:hAnsi="Segoe UI" w:cs="Segoe UI"/>
                <w:b/>
                <w:bCs/>
                <w:sz w:val="16"/>
                <w:szCs w:val="16"/>
              </w:rPr>
            </w:pPr>
          </w:p>
        </w:tc>
        <w:tc>
          <w:tcPr>
            <w:tcW w:w="1158" w:type="dxa"/>
          </w:tcPr>
          <w:p w14:paraId="070C767A" w14:textId="77777777" w:rsidR="006A0C3B" w:rsidRPr="006A0C3B" w:rsidRDefault="006A0C3B" w:rsidP="006A0C3B">
            <w:pPr>
              <w:pStyle w:val="TableParagraph"/>
              <w:spacing w:before="60" w:after="60"/>
              <w:ind w:left="-42" w:right="170" w:firstLine="99"/>
              <w:jc w:val="right"/>
              <w:rPr>
                <w:rFonts w:ascii="Segoe UI" w:hAnsi="Segoe UI" w:cs="Segoe UI"/>
                <w:b/>
                <w:bCs/>
                <w:sz w:val="16"/>
                <w:szCs w:val="16"/>
              </w:rPr>
            </w:pPr>
          </w:p>
        </w:tc>
        <w:tc>
          <w:tcPr>
            <w:tcW w:w="1119" w:type="dxa"/>
          </w:tcPr>
          <w:p w14:paraId="0429CE09" w14:textId="77777777" w:rsidR="006A0C3B" w:rsidRPr="006A0C3B" w:rsidRDefault="006A0C3B" w:rsidP="006A0C3B">
            <w:pPr>
              <w:pStyle w:val="TableParagraph"/>
              <w:spacing w:before="60" w:after="60"/>
              <w:ind w:left="-42" w:right="170" w:firstLine="99"/>
              <w:jc w:val="right"/>
              <w:rPr>
                <w:rFonts w:ascii="Segoe UI" w:hAnsi="Segoe UI" w:cs="Segoe UI"/>
                <w:b/>
                <w:bCs/>
                <w:sz w:val="16"/>
                <w:szCs w:val="16"/>
              </w:rPr>
            </w:pPr>
          </w:p>
        </w:tc>
        <w:tc>
          <w:tcPr>
            <w:tcW w:w="1275" w:type="dxa"/>
          </w:tcPr>
          <w:p w14:paraId="52D1ED16" w14:textId="77777777" w:rsidR="006A0C3B" w:rsidRPr="006A0C3B" w:rsidRDefault="006A0C3B" w:rsidP="006A0C3B">
            <w:pPr>
              <w:pStyle w:val="TableParagraph"/>
              <w:spacing w:before="60" w:after="60"/>
              <w:ind w:left="-42" w:right="170" w:firstLine="99"/>
              <w:jc w:val="right"/>
              <w:rPr>
                <w:rFonts w:ascii="Segoe UI" w:hAnsi="Segoe UI" w:cs="Segoe UI"/>
                <w:b/>
                <w:bCs/>
                <w:sz w:val="16"/>
                <w:szCs w:val="16"/>
              </w:rPr>
            </w:pPr>
          </w:p>
        </w:tc>
      </w:tr>
      <w:tr w:rsidR="006A0C3B" w:rsidRPr="007359E3" w14:paraId="662CAD8B" w14:textId="77777777" w:rsidTr="006A0C3B">
        <w:trPr>
          <w:trHeight w:val="340"/>
        </w:trPr>
        <w:tc>
          <w:tcPr>
            <w:tcW w:w="1133" w:type="dxa"/>
          </w:tcPr>
          <w:p w14:paraId="2A7CACC0" w14:textId="2E4B4081" w:rsidR="006A0C3B" w:rsidRPr="00F030EA"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23,181</w:t>
            </w:r>
          </w:p>
        </w:tc>
        <w:tc>
          <w:tcPr>
            <w:tcW w:w="2635" w:type="dxa"/>
          </w:tcPr>
          <w:p w14:paraId="0BFC1D51" w14:textId="17F64EC9" w:rsidR="006A0C3B" w:rsidRPr="00F030EA" w:rsidRDefault="006A0C3B" w:rsidP="006A0C3B">
            <w:pPr>
              <w:pStyle w:val="TableParagraph"/>
              <w:spacing w:before="60" w:after="60"/>
              <w:ind w:left="66" w:hanging="5"/>
              <w:rPr>
                <w:rFonts w:ascii="Segoe UI" w:hAnsi="Segoe UI" w:cs="Segoe UI"/>
                <w:w w:val="105"/>
                <w:sz w:val="16"/>
                <w:szCs w:val="16"/>
              </w:rPr>
            </w:pPr>
            <w:r w:rsidRPr="006A0C3B">
              <w:rPr>
                <w:rFonts w:ascii="Segoe UI" w:hAnsi="Segoe UI" w:cs="Segoe UI"/>
                <w:w w:val="105"/>
                <w:sz w:val="16"/>
                <w:szCs w:val="16"/>
              </w:rPr>
              <w:t>Capital investment for services to the health sector</w:t>
            </w:r>
          </w:p>
        </w:tc>
        <w:tc>
          <w:tcPr>
            <w:tcW w:w="709" w:type="dxa"/>
          </w:tcPr>
          <w:p w14:paraId="61FD5E8D" w14:textId="77777777" w:rsidR="006A0C3B" w:rsidRPr="006A0C3B" w:rsidRDefault="006A0C3B" w:rsidP="006A0C3B">
            <w:pPr>
              <w:pStyle w:val="TableParagraph"/>
              <w:spacing w:before="60" w:after="60"/>
              <w:ind w:left="-42" w:right="170" w:firstLine="99"/>
              <w:jc w:val="right"/>
              <w:rPr>
                <w:rFonts w:ascii="Segoe UI" w:hAnsi="Segoe UI" w:cs="Segoe UI"/>
                <w:sz w:val="16"/>
                <w:szCs w:val="16"/>
              </w:rPr>
            </w:pPr>
          </w:p>
        </w:tc>
        <w:tc>
          <w:tcPr>
            <w:tcW w:w="1181" w:type="dxa"/>
          </w:tcPr>
          <w:p w14:paraId="502134EB" w14:textId="5F393827" w:rsidR="006A0C3B" w:rsidRPr="00F030EA"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10,916</w:t>
            </w:r>
          </w:p>
        </w:tc>
        <w:tc>
          <w:tcPr>
            <w:tcW w:w="1158" w:type="dxa"/>
          </w:tcPr>
          <w:p w14:paraId="24F7F237" w14:textId="312C26C8" w:rsidR="006A0C3B" w:rsidRPr="00F030EA"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10,800</w:t>
            </w:r>
          </w:p>
        </w:tc>
        <w:tc>
          <w:tcPr>
            <w:tcW w:w="1119" w:type="dxa"/>
          </w:tcPr>
          <w:p w14:paraId="5713EF76" w14:textId="05D88EBE" w:rsidR="006A0C3B" w:rsidRPr="00F030EA"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10,916</w:t>
            </w:r>
          </w:p>
        </w:tc>
        <w:tc>
          <w:tcPr>
            <w:tcW w:w="1275" w:type="dxa"/>
          </w:tcPr>
          <w:p w14:paraId="32D666A6" w14:textId="5FE8B875" w:rsidR="006A0C3B" w:rsidRPr="00F030EA"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2</w:t>
            </w:r>
          </w:p>
        </w:tc>
      </w:tr>
      <w:tr w:rsidR="006A0C3B" w:rsidRPr="00F030EA" w14:paraId="2E649B5B" w14:textId="77777777" w:rsidTr="006A0C3B">
        <w:trPr>
          <w:trHeight w:val="340"/>
        </w:trPr>
        <w:tc>
          <w:tcPr>
            <w:tcW w:w="1133" w:type="dxa"/>
          </w:tcPr>
          <w:p w14:paraId="5B0A9306" w14:textId="7DF94B80" w:rsidR="006A0C3B" w:rsidRPr="006A0C3B"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1,591,596</w:t>
            </w:r>
          </w:p>
        </w:tc>
        <w:tc>
          <w:tcPr>
            <w:tcW w:w="2635" w:type="dxa"/>
          </w:tcPr>
          <w:p w14:paraId="3FB72BBD" w14:textId="5FD25606" w:rsidR="006A0C3B" w:rsidRPr="006A0C3B" w:rsidRDefault="006A0C3B" w:rsidP="006A0C3B">
            <w:pPr>
              <w:pStyle w:val="TableParagraph"/>
              <w:spacing w:before="60" w:after="60"/>
              <w:ind w:left="66" w:hanging="5"/>
              <w:rPr>
                <w:rFonts w:ascii="Segoe UI" w:hAnsi="Segoe UI" w:cs="Segoe UI"/>
                <w:w w:val="105"/>
                <w:sz w:val="16"/>
                <w:szCs w:val="16"/>
              </w:rPr>
            </w:pPr>
            <w:r w:rsidRPr="006A0C3B">
              <w:rPr>
                <w:rFonts w:ascii="Segoe UI" w:hAnsi="Segoe UI" w:cs="Segoe UI"/>
                <w:w w:val="105"/>
                <w:sz w:val="16"/>
                <w:szCs w:val="16"/>
              </w:rPr>
              <w:t>Health capital envelope 2022– 2027 (MYA)</w:t>
            </w:r>
          </w:p>
        </w:tc>
        <w:tc>
          <w:tcPr>
            <w:tcW w:w="709" w:type="dxa"/>
          </w:tcPr>
          <w:p w14:paraId="7115D457" w14:textId="233B0D02" w:rsidR="006A0C3B" w:rsidRPr="006A0C3B"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2.8</w:t>
            </w:r>
          </w:p>
        </w:tc>
        <w:tc>
          <w:tcPr>
            <w:tcW w:w="1181" w:type="dxa"/>
          </w:tcPr>
          <w:p w14:paraId="6D7FEFE9" w14:textId="2B6EBDA0" w:rsidR="006A0C3B" w:rsidRPr="006A0C3B"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521,594</w:t>
            </w:r>
          </w:p>
        </w:tc>
        <w:tc>
          <w:tcPr>
            <w:tcW w:w="1158" w:type="dxa"/>
          </w:tcPr>
          <w:p w14:paraId="6023A378" w14:textId="526D69EE" w:rsidR="006A0C3B" w:rsidRPr="006A0C3B"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989,543</w:t>
            </w:r>
          </w:p>
        </w:tc>
        <w:tc>
          <w:tcPr>
            <w:tcW w:w="1119" w:type="dxa"/>
          </w:tcPr>
          <w:p w14:paraId="52432D1A" w14:textId="4A85C240" w:rsidR="006A0C3B" w:rsidRPr="006A0C3B"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950,000</w:t>
            </w:r>
          </w:p>
        </w:tc>
        <w:tc>
          <w:tcPr>
            <w:tcW w:w="1275" w:type="dxa"/>
          </w:tcPr>
          <w:p w14:paraId="7626179B" w14:textId="0879F595" w:rsidR="006A0C3B" w:rsidRPr="006A0C3B"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2</w:t>
            </w:r>
          </w:p>
        </w:tc>
      </w:tr>
      <w:tr w:rsidR="006A0C3B" w14:paraId="085C04F8" w14:textId="77777777" w:rsidTr="006A0C3B">
        <w:trPr>
          <w:trHeight w:val="340"/>
        </w:trPr>
        <w:tc>
          <w:tcPr>
            <w:tcW w:w="1133" w:type="dxa"/>
          </w:tcPr>
          <w:p w14:paraId="64A8CA3F" w14:textId="49CF10EC" w:rsidR="006A0C3B"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62,606</w:t>
            </w:r>
          </w:p>
        </w:tc>
        <w:tc>
          <w:tcPr>
            <w:tcW w:w="2635" w:type="dxa"/>
          </w:tcPr>
          <w:p w14:paraId="3A63CB13" w14:textId="27C905A1" w:rsidR="006A0C3B" w:rsidRPr="006A0C3B" w:rsidRDefault="006A0C3B" w:rsidP="006A0C3B">
            <w:pPr>
              <w:pStyle w:val="TableParagraph"/>
              <w:spacing w:before="60" w:after="60"/>
              <w:ind w:left="66" w:hanging="5"/>
              <w:rPr>
                <w:rFonts w:ascii="Segoe UI" w:hAnsi="Segoe UI" w:cs="Segoe UI"/>
                <w:w w:val="105"/>
                <w:sz w:val="16"/>
                <w:szCs w:val="16"/>
              </w:rPr>
            </w:pPr>
            <w:r w:rsidRPr="006A0C3B">
              <w:rPr>
                <w:rFonts w:ascii="Segoe UI" w:hAnsi="Segoe UI" w:cs="Segoe UI"/>
                <w:w w:val="105"/>
                <w:sz w:val="16"/>
                <w:szCs w:val="16"/>
              </w:rPr>
              <w:t>New Dunedin hospital 2021-2026 (MYA)</w:t>
            </w:r>
          </w:p>
        </w:tc>
        <w:tc>
          <w:tcPr>
            <w:tcW w:w="709" w:type="dxa"/>
          </w:tcPr>
          <w:p w14:paraId="217258DE" w14:textId="65E9A76F" w:rsidR="006A0C3B" w:rsidRPr="006A0C3B"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2.9</w:t>
            </w:r>
          </w:p>
        </w:tc>
        <w:tc>
          <w:tcPr>
            <w:tcW w:w="1181" w:type="dxa"/>
          </w:tcPr>
          <w:p w14:paraId="3AC802A2" w14:textId="4FC94522" w:rsidR="006A0C3B" w:rsidRPr="0068431B"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100,080</w:t>
            </w:r>
          </w:p>
        </w:tc>
        <w:tc>
          <w:tcPr>
            <w:tcW w:w="1158" w:type="dxa"/>
          </w:tcPr>
          <w:p w14:paraId="2619CD5B" w14:textId="776E1432" w:rsidR="006A0C3B" w:rsidRPr="0068431B"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208,000</w:t>
            </w:r>
          </w:p>
        </w:tc>
        <w:tc>
          <w:tcPr>
            <w:tcW w:w="1119" w:type="dxa"/>
          </w:tcPr>
          <w:p w14:paraId="46E7E0FE" w14:textId="5509C31D" w:rsidR="006A0C3B" w:rsidRPr="0068431B"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156,871</w:t>
            </w:r>
          </w:p>
        </w:tc>
        <w:tc>
          <w:tcPr>
            <w:tcW w:w="1275" w:type="dxa"/>
          </w:tcPr>
          <w:p w14:paraId="48AF4E4F" w14:textId="728F2099" w:rsidR="006A0C3B" w:rsidRPr="007359E3"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2</w:t>
            </w:r>
          </w:p>
        </w:tc>
      </w:tr>
      <w:tr w:rsidR="006A0C3B" w14:paraId="46A981C1" w14:textId="77777777" w:rsidTr="006A0C3B">
        <w:trPr>
          <w:trHeight w:val="340"/>
        </w:trPr>
        <w:tc>
          <w:tcPr>
            <w:tcW w:w="1133" w:type="dxa"/>
          </w:tcPr>
          <w:p w14:paraId="4D375085" w14:textId="77E29174" w:rsidR="006A0C3B"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w:t>
            </w:r>
          </w:p>
        </w:tc>
        <w:tc>
          <w:tcPr>
            <w:tcW w:w="2635" w:type="dxa"/>
          </w:tcPr>
          <w:p w14:paraId="5E18E185" w14:textId="49F3035B" w:rsidR="006A0C3B" w:rsidRPr="0068431B" w:rsidRDefault="006A0C3B" w:rsidP="006A0C3B">
            <w:pPr>
              <w:pStyle w:val="TableParagraph"/>
              <w:spacing w:before="60" w:after="60"/>
              <w:ind w:left="66" w:hanging="5"/>
              <w:rPr>
                <w:rFonts w:ascii="Segoe UI" w:hAnsi="Segoe UI" w:cs="Segoe UI"/>
                <w:w w:val="105"/>
                <w:sz w:val="16"/>
                <w:szCs w:val="16"/>
              </w:rPr>
            </w:pPr>
            <w:r w:rsidRPr="006A0C3B">
              <w:rPr>
                <w:rFonts w:ascii="Segoe UI" w:hAnsi="Segoe UI" w:cs="Segoe UI"/>
                <w:w w:val="105"/>
                <w:sz w:val="16"/>
                <w:szCs w:val="16"/>
              </w:rPr>
              <w:t>Remediation and resolution of Holidays Act 2003 historical claims</w:t>
            </w:r>
          </w:p>
        </w:tc>
        <w:tc>
          <w:tcPr>
            <w:tcW w:w="709" w:type="dxa"/>
          </w:tcPr>
          <w:p w14:paraId="7B909809" w14:textId="0AD48969" w:rsidR="006A0C3B" w:rsidRPr="006A0C3B"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2.10</w:t>
            </w:r>
          </w:p>
        </w:tc>
        <w:tc>
          <w:tcPr>
            <w:tcW w:w="1181" w:type="dxa"/>
          </w:tcPr>
          <w:p w14:paraId="7525809C" w14:textId="16A84256" w:rsidR="006A0C3B" w:rsidRPr="0068431B"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285,836</w:t>
            </w:r>
          </w:p>
        </w:tc>
        <w:tc>
          <w:tcPr>
            <w:tcW w:w="1158" w:type="dxa"/>
          </w:tcPr>
          <w:p w14:paraId="3AC3DDE1" w14:textId="500591C4" w:rsidR="006A0C3B" w:rsidRPr="0068431B"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1,642,330</w:t>
            </w:r>
          </w:p>
        </w:tc>
        <w:tc>
          <w:tcPr>
            <w:tcW w:w="1119" w:type="dxa"/>
          </w:tcPr>
          <w:p w14:paraId="0723C84C" w14:textId="00B5F2B6" w:rsidR="006A0C3B" w:rsidRPr="0068431B"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572,314</w:t>
            </w:r>
          </w:p>
        </w:tc>
        <w:tc>
          <w:tcPr>
            <w:tcW w:w="1275" w:type="dxa"/>
          </w:tcPr>
          <w:p w14:paraId="02C7D0FF" w14:textId="5F2CCFCF" w:rsidR="006A0C3B" w:rsidRPr="007359E3"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2, 8</w:t>
            </w:r>
          </w:p>
        </w:tc>
      </w:tr>
      <w:tr w:rsidR="006A0C3B" w14:paraId="294F9792" w14:textId="77777777" w:rsidTr="006A0C3B">
        <w:trPr>
          <w:trHeight w:val="340"/>
        </w:trPr>
        <w:tc>
          <w:tcPr>
            <w:tcW w:w="1133" w:type="dxa"/>
          </w:tcPr>
          <w:p w14:paraId="6FE3AF04" w14:textId="552D3208" w:rsidR="006A0C3B"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20,000</w:t>
            </w:r>
          </w:p>
        </w:tc>
        <w:tc>
          <w:tcPr>
            <w:tcW w:w="2635" w:type="dxa"/>
          </w:tcPr>
          <w:p w14:paraId="0CBE1E7F" w14:textId="41E54F8C" w:rsidR="006A0C3B" w:rsidRPr="0068431B" w:rsidRDefault="006A0C3B" w:rsidP="006A0C3B">
            <w:pPr>
              <w:pStyle w:val="TableParagraph"/>
              <w:spacing w:before="60" w:after="60"/>
              <w:ind w:left="66" w:hanging="5"/>
              <w:rPr>
                <w:rFonts w:ascii="Segoe UI" w:hAnsi="Segoe UI" w:cs="Segoe UI"/>
                <w:w w:val="105"/>
                <w:sz w:val="16"/>
                <w:szCs w:val="16"/>
              </w:rPr>
            </w:pPr>
            <w:r w:rsidRPr="006A0C3B">
              <w:rPr>
                <w:rFonts w:ascii="Segoe UI" w:hAnsi="Segoe UI" w:cs="Segoe UI"/>
                <w:w w:val="105"/>
                <w:sz w:val="16"/>
                <w:szCs w:val="16"/>
              </w:rPr>
              <w:t>Residential care loans – payments</w:t>
            </w:r>
          </w:p>
        </w:tc>
        <w:tc>
          <w:tcPr>
            <w:tcW w:w="709" w:type="dxa"/>
          </w:tcPr>
          <w:p w14:paraId="74A4B34B" w14:textId="77777777" w:rsidR="006A0C3B" w:rsidRPr="006A0C3B" w:rsidRDefault="006A0C3B" w:rsidP="006A0C3B">
            <w:pPr>
              <w:pStyle w:val="TableParagraph"/>
              <w:spacing w:before="60" w:after="60"/>
              <w:ind w:left="-42" w:right="170" w:firstLine="99"/>
              <w:jc w:val="right"/>
              <w:rPr>
                <w:rFonts w:ascii="Segoe UI" w:hAnsi="Segoe UI" w:cs="Segoe UI"/>
                <w:sz w:val="16"/>
                <w:szCs w:val="16"/>
              </w:rPr>
            </w:pPr>
          </w:p>
        </w:tc>
        <w:tc>
          <w:tcPr>
            <w:tcW w:w="1181" w:type="dxa"/>
          </w:tcPr>
          <w:p w14:paraId="6D7F372F" w14:textId="15298441" w:rsidR="006A0C3B" w:rsidRPr="0068431B"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30,309</w:t>
            </w:r>
          </w:p>
        </w:tc>
        <w:tc>
          <w:tcPr>
            <w:tcW w:w="1158" w:type="dxa"/>
          </w:tcPr>
          <w:p w14:paraId="4474F87D" w14:textId="74C375A5" w:rsidR="006A0C3B" w:rsidRPr="0068431B"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20,000</w:t>
            </w:r>
          </w:p>
        </w:tc>
        <w:tc>
          <w:tcPr>
            <w:tcW w:w="1119" w:type="dxa"/>
          </w:tcPr>
          <w:p w14:paraId="566DBB56" w14:textId="09853873" w:rsidR="006A0C3B" w:rsidRPr="0068431B"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32,000</w:t>
            </w:r>
          </w:p>
        </w:tc>
        <w:tc>
          <w:tcPr>
            <w:tcW w:w="1275" w:type="dxa"/>
          </w:tcPr>
          <w:p w14:paraId="4AB8A99C" w14:textId="56D350D8" w:rsidR="006A0C3B" w:rsidRPr="007359E3"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7</w:t>
            </w:r>
          </w:p>
        </w:tc>
      </w:tr>
      <w:tr w:rsidR="006A0C3B" w14:paraId="21CF9185" w14:textId="77777777" w:rsidTr="006A0C3B">
        <w:trPr>
          <w:trHeight w:val="340"/>
        </w:trPr>
        <w:tc>
          <w:tcPr>
            <w:tcW w:w="1133" w:type="dxa"/>
            <w:tcBorders>
              <w:bottom w:val="single" w:sz="4" w:space="0" w:color="A6A6A6" w:themeColor="background1" w:themeShade="A6"/>
            </w:tcBorders>
          </w:tcPr>
          <w:p w14:paraId="6D7683F8" w14:textId="03D149BC" w:rsidR="006A0C3B"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w:t>
            </w:r>
          </w:p>
        </w:tc>
        <w:tc>
          <w:tcPr>
            <w:tcW w:w="2635" w:type="dxa"/>
            <w:tcBorders>
              <w:bottom w:val="single" w:sz="4" w:space="0" w:color="A6A6A6" w:themeColor="background1" w:themeShade="A6"/>
            </w:tcBorders>
          </w:tcPr>
          <w:p w14:paraId="76B1A951" w14:textId="0F066DEB" w:rsidR="006A0C3B" w:rsidRPr="0068431B" w:rsidRDefault="006A0C3B" w:rsidP="006A0C3B">
            <w:pPr>
              <w:pStyle w:val="TableParagraph"/>
              <w:spacing w:before="60" w:after="60"/>
              <w:ind w:left="66" w:hanging="5"/>
              <w:rPr>
                <w:rFonts w:ascii="Segoe UI" w:hAnsi="Segoe UI" w:cs="Segoe UI"/>
                <w:w w:val="105"/>
                <w:sz w:val="16"/>
                <w:szCs w:val="16"/>
              </w:rPr>
            </w:pPr>
            <w:r w:rsidRPr="006A0C3B">
              <w:rPr>
                <w:rFonts w:ascii="Segoe UI" w:hAnsi="Segoe UI" w:cs="Segoe UI"/>
                <w:w w:val="105"/>
                <w:sz w:val="16"/>
                <w:szCs w:val="16"/>
              </w:rPr>
              <w:t>Standby credit to support health system liquidity</w:t>
            </w:r>
          </w:p>
        </w:tc>
        <w:tc>
          <w:tcPr>
            <w:tcW w:w="709" w:type="dxa"/>
            <w:tcBorders>
              <w:bottom w:val="single" w:sz="4" w:space="0" w:color="A6A6A6" w:themeColor="background1" w:themeShade="A6"/>
            </w:tcBorders>
          </w:tcPr>
          <w:p w14:paraId="18B97BBE" w14:textId="3BA907CC" w:rsidR="006A0C3B" w:rsidRPr="006A0C3B" w:rsidRDefault="006A0C3B" w:rsidP="006A0C3B">
            <w:pPr>
              <w:pStyle w:val="TableParagraph"/>
              <w:spacing w:before="60" w:after="60"/>
              <w:ind w:left="-42" w:right="170" w:firstLine="99"/>
              <w:jc w:val="right"/>
              <w:rPr>
                <w:rFonts w:ascii="Segoe UI" w:hAnsi="Segoe UI" w:cs="Segoe UI"/>
                <w:sz w:val="16"/>
                <w:szCs w:val="16"/>
              </w:rPr>
            </w:pPr>
          </w:p>
        </w:tc>
        <w:tc>
          <w:tcPr>
            <w:tcW w:w="1181" w:type="dxa"/>
            <w:tcBorders>
              <w:bottom w:val="single" w:sz="4" w:space="0" w:color="A6A6A6" w:themeColor="background1" w:themeShade="A6"/>
            </w:tcBorders>
          </w:tcPr>
          <w:p w14:paraId="1ECCF07B" w14:textId="04B381D4" w:rsidR="006A0C3B" w:rsidRPr="0068431B"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w:t>
            </w:r>
          </w:p>
        </w:tc>
        <w:tc>
          <w:tcPr>
            <w:tcW w:w="1158" w:type="dxa"/>
            <w:tcBorders>
              <w:bottom w:val="single" w:sz="4" w:space="0" w:color="A6A6A6" w:themeColor="background1" w:themeShade="A6"/>
            </w:tcBorders>
          </w:tcPr>
          <w:p w14:paraId="37326AF6" w14:textId="758850FE" w:rsidR="006A0C3B" w:rsidRPr="0068431B"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200,000</w:t>
            </w:r>
          </w:p>
        </w:tc>
        <w:tc>
          <w:tcPr>
            <w:tcW w:w="1119" w:type="dxa"/>
            <w:tcBorders>
              <w:bottom w:val="single" w:sz="4" w:space="0" w:color="A6A6A6" w:themeColor="background1" w:themeShade="A6"/>
            </w:tcBorders>
          </w:tcPr>
          <w:p w14:paraId="243E35C3" w14:textId="09981C35" w:rsidR="006A0C3B" w:rsidRPr="0068431B"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200,000</w:t>
            </w:r>
          </w:p>
        </w:tc>
        <w:tc>
          <w:tcPr>
            <w:tcW w:w="1275" w:type="dxa"/>
            <w:tcBorders>
              <w:bottom w:val="single" w:sz="4" w:space="0" w:color="A6A6A6" w:themeColor="background1" w:themeShade="A6"/>
            </w:tcBorders>
          </w:tcPr>
          <w:p w14:paraId="01A13DE1" w14:textId="2B7EE184" w:rsidR="006A0C3B" w:rsidRPr="007359E3" w:rsidRDefault="006A0C3B" w:rsidP="006A0C3B">
            <w:pPr>
              <w:pStyle w:val="TableParagraph"/>
              <w:spacing w:before="60" w:after="60"/>
              <w:ind w:left="-42" w:right="170" w:firstLine="99"/>
              <w:jc w:val="right"/>
              <w:rPr>
                <w:rFonts w:ascii="Segoe UI" w:hAnsi="Segoe UI" w:cs="Segoe UI"/>
                <w:sz w:val="16"/>
                <w:szCs w:val="16"/>
              </w:rPr>
            </w:pPr>
            <w:r w:rsidRPr="006A0C3B">
              <w:rPr>
                <w:rFonts w:ascii="Segoe UI" w:hAnsi="Segoe UI" w:cs="Segoe UI"/>
                <w:sz w:val="16"/>
                <w:szCs w:val="16"/>
              </w:rPr>
              <w:t>2</w:t>
            </w:r>
          </w:p>
        </w:tc>
      </w:tr>
      <w:tr w:rsidR="006A0C3B" w:rsidRPr="006A0C3B" w14:paraId="6354DE51" w14:textId="77777777" w:rsidTr="006A0C3B">
        <w:trPr>
          <w:trHeight w:val="340"/>
        </w:trPr>
        <w:tc>
          <w:tcPr>
            <w:tcW w:w="1133" w:type="dxa"/>
            <w:tcBorders>
              <w:top w:val="single" w:sz="4" w:space="0" w:color="A6A6A6" w:themeColor="background1" w:themeShade="A6"/>
              <w:bottom w:val="single" w:sz="4" w:space="0" w:color="A6A6A6" w:themeColor="background1" w:themeShade="A6"/>
            </w:tcBorders>
          </w:tcPr>
          <w:p w14:paraId="330E584F" w14:textId="3D9E4AA3" w:rsidR="006A0C3B" w:rsidRPr="006A0C3B" w:rsidRDefault="006A0C3B" w:rsidP="006A0C3B">
            <w:pPr>
              <w:pStyle w:val="TableParagraph"/>
              <w:spacing w:before="60" w:after="60"/>
              <w:ind w:left="-42" w:right="170" w:firstLine="99"/>
              <w:jc w:val="right"/>
              <w:rPr>
                <w:rFonts w:ascii="Segoe UI" w:hAnsi="Segoe UI" w:cs="Segoe UI"/>
                <w:b/>
                <w:bCs/>
                <w:sz w:val="16"/>
                <w:szCs w:val="16"/>
              </w:rPr>
            </w:pPr>
            <w:r w:rsidRPr="006A0C3B">
              <w:rPr>
                <w:rFonts w:ascii="Segoe UI" w:hAnsi="Segoe UI" w:cs="Segoe UI"/>
                <w:b/>
                <w:bCs/>
                <w:sz w:val="16"/>
                <w:szCs w:val="16"/>
              </w:rPr>
              <w:t>1,697,383</w:t>
            </w:r>
          </w:p>
        </w:tc>
        <w:tc>
          <w:tcPr>
            <w:tcW w:w="2635" w:type="dxa"/>
            <w:tcBorders>
              <w:top w:val="single" w:sz="4" w:space="0" w:color="A6A6A6" w:themeColor="background1" w:themeShade="A6"/>
              <w:bottom w:val="single" w:sz="4" w:space="0" w:color="A6A6A6" w:themeColor="background1" w:themeShade="A6"/>
            </w:tcBorders>
          </w:tcPr>
          <w:p w14:paraId="485EAE7F" w14:textId="7CA22634" w:rsidR="006A0C3B" w:rsidRPr="006A0C3B" w:rsidRDefault="006A0C3B" w:rsidP="006A0C3B">
            <w:pPr>
              <w:pStyle w:val="TableParagraph"/>
              <w:spacing w:before="60" w:after="60"/>
              <w:ind w:left="66" w:hanging="5"/>
              <w:rPr>
                <w:rFonts w:ascii="Segoe UI" w:hAnsi="Segoe UI" w:cs="Segoe UI"/>
                <w:b/>
                <w:bCs/>
                <w:w w:val="105"/>
                <w:sz w:val="16"/>
                <w:szCs w:val="16"/>
              </w:rPr>
            </w:pPr>
            <w:r w:rsidRPr="006A0C3B">
              <w:rPr>
                <w:rFonts w:ascii="Segoe UI" w:hAnsi="Segoe UI" w:cs="Segoe UI"/>
                <w:b/>
                <w:bCs/>
                <w:w w:val="105"/>
                <w:sz w:val="16"/>
                <w:szCs w:val="16"/>
              </w:rPr>
              <w:t>Total non-departmental capital expenditure</w:t>
            </w:r>
          </w:p>
        </w:tc>
        <w:tc>
          <w:tcPr>
            <w:tcW w:w="709" w:type="dxa"/>
            <w:tcBorders>
              <w:top w:val="single" w:sz="4" w:space="0" w:color="A6A6A6" w:themeColor="background1" w:themeShade="A6"/>
              <w:bottom w:val="single" w:sz="4" w:space="0" w:color="A6A6A6" w:themeColor="background1" w:themeShade="A6"/>
            </w:tcBorders>
          </w:tcPr>
          <w:p w14:paraId="73590D85" w14:textId="3EF7BEF6" w:rsidR="006A0C3B" w:rsidRPr="006A0C3B" w:rsidRDefault="006A0C3B" w:rsidP="006A0C3B">
            <w:pPr>
              <w:pStyle w:val="TableParagraph"/>
              <w:spacing w:before="60" w:after="60"/>
              <w:ind w:left="-42" w:right="170" w:firstLine="99"/>
              <w:jc w:val="right"/>
              <w:rPr>
                <w:rFonts w:ascii="Segoe UI" w:hAnsi="Segoe UI" w:cs="Segoe UI"/>
                <w:b/>
                <w:bCs/>
                <w:sz w:val="16"/>
                <w:szCs w:val="16"/>
              </w:rPr>
            </w:pPr>
          </w:p>
        </w:tc>
        <w:tc>
          <w:tcPr>
            <w:tcW w:w="1181" w:type="dxa"/>
            <w:tcBorders>
              <w:top w:val="single" w:sz="4" w:space="0" w:color="A6A6A6" w:themeColor="background1" w:themeShade="A6"/>
              <w:bottom w:val="single" w:sz="4" w:space="0" w:color="A6A6A6" w:themeColor="background1" w:themeShade="A6"/>
            </w:tcBorders>
          </w:tcPr>
          <w:p w14:paraId="3A68A57F" w14:textId="73A094AB" w:rsidR="006A0C3B" w:rsidRPr="006A0C3B" w:rsidRDefault="006A0C3B" w:rsidP="006A0C3B">
            <w:pPr>
              <w:pStyle w:val="TableParagraph"/>
              <w:spacing w:before="60" w:after="60"/>
              <w:ind w:left="-42" w:right="170" w:firstLine="99"/>
              <w:jc w:val="right"/>
              <w:rPr>
                <w:rFonts w:ascii="Segoe UI" w:hAnsi="Segoe UI" w:cs="Segoe UI"/>
                <w:b/>
                <w:bCs/>
                <w:sz w:val="16"/>
                <w:szCs w:val="16"/>
              </w:rPr>
            </w:pPr>
            <w:r w:rsidRPr="006A0C3B">
              <w:rPr>
                <w:rFonts w:ascii="Segoe UI" w:hAnsi="Segoe UI" w:cs="Segoe UI"/>
                <w:b/>
                <w:bCs/>
                <w:sz w:val="16"/>
                <w:szCs w:val="16"/>
              </w:rPr>
              <w:t>948,735</w:t>
            </w:r>
          </w:p>
        </w:tc>
        <w:tc>
          <w:tcPr>
            <w:tcW w:w="1158" w:type="dxa"/>
            <w:tcBorders>
              <w:top w:val="single" w:sz="4" w:space="0" w:color="A6A6A6" w:themeColor="background1" w:themeShade="A6"/>
              <w:bottom w:val="single" w:sz="4" w:space="0" w:color="A6A6A6" w:themeColor="background1" w:themeShade="A6"/>
            </w:tcBorders>
          </w:tcPr>
          <w:p w14:paraId="5BA1CE7B" w14:textId="72746705" w:rsidR="006A0C3B" w:rsidRPr="006A0C3B" w:rsidRDefault="006A0C3B" w:rsidP="006A0C3B">
            <w:pPr>
              <w:pStyle w:val="TableParagraph"/>
              <w:spacing w:before="60" w:after="60"/>
              <w:ind w:left="-42" w:right="170" w:firstLine="99"/>
              <w:jc w:val="right"/>
              <w:rPr>
                <w:rFonts w:ascii="Segoe UI" w:hAnsi="Segoe UI" w:cs="Segoe UI"/>
                <w:b/>
                <w:bCs/>
                <w:sz w:val="16"/>
                <w:szCs w:val="16"/>
              </w:rPr>
            </w:pPr>
            <w:r w:rsidRPr="006A0C3B">
              <w:rPr>
                <w:rFonts w:ascii="Segoe UI" w:hAnsi="Segoe UI" w:cs="Segoe UI"/>
                <w:b/>
                <w:bCs/>
                <w:sz w:val="16"/>
                <w:szCs w:val="16"/>
              </w:rPr>
              <w:t>3,070,673</w:t>
            </w:r>
          </w:p>
        </w:tc>
        <w:tc>
          <w:tcPr>
            <w:tcW w:w="1119" w:type="dxa"/>
            <w:tcBorders>
              <w:top w:val="single" w:sz="4" w:space="0" w:color="A6A6A6" w:themeColor="background1" w:themeShade="A6"/>
              <w:bottom w:val="single" w:sz="4" w:space="0" w:color="A6A6A6" w:themeColor="background1" w:themeShade="A6"/>
            </w:tcBorders>
          </w:tcPr>
          <w:p w14:paraId="697B1A40" w14:textId="76A1113E" w:rsidR="006A0C3B" w:rsidRPr="006A0C3B" w:rsidRDefault="006A0C3B" w:rsidP="006A0C3B">
            <w:pPr>
              <w:pStyle w:val="TableParagraph"/>
              <w:spacing w:before="60" w:after="60"/>
              <w:ind w:left="-42" w:right="170" w:firstLine="99"/>
              <w:jc w:val="right"/>
              <w:rPr>
                <w:rFonts w:ascii="Segoe UI" w:hAnsi="Segoe UI" w:cs="Segoe UI"/>
                <w:b/>
                <w:bCs/>
                <w:sz w:val="16"/>
                <w:szCs w:val="16"/>
              </w:rPr>
            </w:pPr>
            <w:r w:rsidRPr="006A0C3B">
              <w:rPr>
                <w:rFonts w:ascii="Segoe UI" w:hAnsi="Segoe UI" w:cs="Segoe UI"/>
                <w:b/>
                <w:bCs/>
                <w:sz w:val="16"/>
                <w:szCs w:val="16"/>
              </w:rPr>
              <w:t>1,922,101</w:t>
            </w:r>
          </w:p>
        </w:tc>
        <w:tc>
          <w:tcPr>
            <w:tcW w:w="1275" w:type="dxa"/>
            <w:tcBorders>
              <w:top w:val="single" w:sz="4" w:space="0" w:color="A6A6A6" w:themeColor="background1" w:themeShade="A6"/>
              <w:bottom w:val="single" w:sz="4" w:space="0" w:color="A6A6A6" w:themeColor="background1" w:themeShade="A6"/>
            </w:tcBorders>
          </w:tcPr>
          <w:p w14:paraId="32AAF3B9" w14:textId="50B536F5" w:rsidR="006A0C3B" w:rsidRPr="006A0C3B" w:rsidRDefault="006A0C3B" w:rsidP="006A0C3B">
            <w:pPr>
              <w:pStyle w:val="TableParagraph"/>
              <w:spacing w:before="60" w:after="60"/>
              <w:ind w:left="-42" w:right="170" w:firstLine="99"/>
              <w:jc w:val="right"/>
              <w:rPr>
                <w:rFonts w:ascii="Segoe UI" w:hAnsi="Segoe UI" w:cs="Segoe UI"/>
                <w:b/>
                <w:bCs/>
                <w:sz w:val="16"/>
                <w:szCs w:val="16"/>
              </w:rPr>
            </w:pPr>
          </w:p>
        </w:tc>
      </w:tr>
      <w:tr w:rsidR="006A0C3B" w:rsidRPr="006A0C3B" w14:paraId="33DE1EE5" w14:textId="77777777" w:rsidTr="006A0C3B">
        <w:trPr>
          <w:trHeight w:val="340"/>
        </w:trPr>
        <w:tc>
          <w:tcPr>
            <w:tcW w:w="1133" w:type="dxa"/>
            <w:tcBorders>
              <w:top w:val="single" w:sz="4" w:space="0" w:color="A6A6A6" w:themeColor="background1" w:themeShade="A6"/>
              <w:bottom w:val="single" w:sz="4" w:space="0" w:color="A6A6A6" w:themeColor="background1" w:themeShade="A6"/>
            </w:tcBorders>
          </w:tcPr>
          <w:p w14:paraId="49E1A8A9" w14:textId="1C1F5D0E" w:rsidR="006A0C3B" w:rsidRPr="006A0C3B" w:rsidRDefault="006A0C3B" w:rsidP="006A0C3B">
            <w:pPr>
              <w:pStyle w:val="TableParagraph"/>
              <w:spacing w:before="60" w:after="60"/>
              <w:ind w:left="-42" w:right="170" w:firstLine="99"/>
              <w:jc w:val="right"/>
              <w:rPr>
                <w:rFonts w:ascii="Segoe UI" w:hAnsi="Segoe UI" w:cs="Segoe UI"/>
                <w:b/>
                <w:bCs/>
                <w:sz w:val="16"/>
                <w:szCs w:val="16"/>
              </w:rPr>
            </w:pPr>
            <w:r w:rsidRPr="006A0C3B">
              <w:rPr>
                <w:rFonts w:ascii="Segoe UI" w:hAnsi="Segoe UI" w:cs="Segoe UI"/>
                <w:b/>
                <w:bCs/>
                <w:sz w:val="16"/>
                <w:szCs w:val="16"/>
              </w:rPr>
              <w:t>26,357,387</w:t>
            </w:r>
          </w:p>
        </w:tc>
        <w:tc>
          <w:tcPr>
            <w:tcW w:w="2635" w:type="dxa"/>
            <w:tcBorders>
              <w:top w:val="single" w:sz="4" w:space="0" w:color="A6A6A6" w:themeColor="background1" w:themeShade="A6"/>
              <w:bottom w:val="single" w:sz="4" w:space="0" w:color="A6A6A6" w:themeColor="background1" w:themeShade="A6"/>
            </w:tcBorders>
          </w:tcPr>
          <w:p w14:paraId="71103010" w14:textId="7A419A5B" w:rsidR="006A0C3B" w:rsidRPr="006A0C3B" w:rsidRDefault="006A0C3B" w:rsidP="006A0C3B">
            <w:pPr>
              <w:pStyle w:val="TableParagraph"/>
              <w:spacing w:before="60" w:after="60"/>
              <w:ind w:left="66" w:hanging="5"/>
              <w:rPr>
                <w:rFonts w:ascii="Segoe UI" w:hAnsi="Segoe UI" w:cs="Segoe UI"/>
                <w:b/>
                <w:bCs/>
                <w:w w:val="105"/>
                <w:sz w:val="16"/>
                <w:szCs w:val="16"/>
              </w:rPr>
            </w:pPr>
            <w:r w:rsidRPr="006A0C3B">
              <w:rPr>
                <w:rFonts w:ascii="Segoe UI" w:hAnsi="Segoe UI" w:cs="Segoe UI"/>
                <w:b/>
                <w:bCs/>
                <w:w w:val="105"/>
                <w:sz w:val="16"/>
                <w:szCs w:val="16"/>
              </w:rPr>
              <w:t>Total non-departmental appropriations</w:t>
            </w:r>
          </w:p>
        </w:tc>
        <w:tc>
          <w:tcPr>
            <w:tcW w:w="709" w:type="dxa"/>
            <w:tcBorders>
              <w:top w:val="single" w:sz="4" w:space="0" w:color="A6A6A6" w:themeColor="background1" w:themeShade="A6"/>
              <w:bottom w:val="single" w:sz="4" w:space="0" w:color="A6A6A6" w:themeColor="background1" w:themeShade="A6"/>
            </w:tcBorders>
          </w:tcPr>
          <w:p w14:paraId="1510B965" w14:textId="77777777" w:rsidR="006A0C3B" w:rsidRPr="006A0C3B" w:rsidRDefault="006A0C3B" w:rsidP="006A0C3B">
            <w:pPr>
              <w:pStyle w:val="TableParagraph"/>
              <w:spacing w:before="60" w:after="60"/>
              <w:ind w:left="-42" w:right="170" w:firstLine="99"/>
              <w:jc w:val="right"/>
              <w:rPr>
                <w:rFonts w:ascii="Segoe UI" w:hAnsi="Segoe UI" w:cs="Segoe UI"/>
                <w:b/>
                <w:bCs/>
                <w:sz w:val="16"/>
                <w:szCs w:val="16"/>
              </w:rPr>
            </w:pPr>
          </w:p>
        </w:tc>
        <w:tc>
          <w:tcPr>
            <w:tcW w:w="1181" w:type="dxa"/>
            <w:tcBorders>
              <w:top w:val="single" w:sz="4" w:space="0" w:color="A6A6A6" w:themeColor="background1" w:themeShade="A6"/>
              <w:bottom w:val="single" w:sz="4" w:space="0" w:color="A6A6A6" w:themeColor="background1" w:themeShade="A6"/>
            </w:tcBorders>
          </w:tcPr>
          <w:p w14:paraId="3DA51A9A" w14:textId="41CB7EB5" w:rsidR="006A0C3B" w:rsidRPr="006A0C3B" w:rsidRDefault="006A0C3B" w:rsidP="006A0C3B">
            <w:pPr>
              <w:pStyle w:val="TableParagraph"/>
              <w:spacing w:before="60" w:after="60"/>
              <w:ind w:left="-42" w:right="170" w:firstLine="99"/>
              <w:jc w:val="right"/>
              <w:rPr>
                <w:rFonts w:ascii="Segoe UI" w:hAnsi="Segoe UI" w:cs="Segoe UI"/>
                <w:b/>
                <w:bCs/>
                <w:sz w:val="16"/>
                <w:szCs w:val="16"/>
              </w:rPr>
            </w:pPr>
            <w:r w:rsidRPr="006A0C3B">
              <w:rPr>
                <w:rFonts w:ascii="Segoe UI" w:hAnsi="Segoe UI" w:cs="Segoe UI"/>
                <w:b/>
                <w:bCs/>
                <w:sz w:val="16"/>
                <w:szCs w:val="16"/>
              </w:rPr>
              <w:t>26,863,731</w:t>
            </w:r>
          </w:p>
        </w:tc>
        <w:tc>
          <w:tcPr>
            <w:tcW w:w="1158" w:type="dxa"/>
            <w:tcBorders>
              <w:top w:val="single" w:sz="4" w:space="0" w:color="A6A6A6" w:themeColor="background1" w:themeShade="A6"/>
              <w:bottom w:val="single" w:sz="4" w:space="0" w:color="A6A6A6" w:themeColor="background1" w:themeShade="A6"/>
            </w:tcBorders>
          </w:tcPr>
          <w:p w14:paraId="01FA67A8" w14:textId="36C8C417" w:rsidR="006A0C3B" w:rsidRPr="006A0C3B" w:rsidRDefault="006A0C3B" w:rsidP="006A0C3B">
            <w:pPr>
              <w:pStyle w:val="TableParagraph"/>
              <w:spacing w:before="60" w:after="60"/>
              <w:ind w:left="-42" w:right="170" w:firstLine="99"/>
              <w:jc w:val="right"/>
              <w:rPr>
                <w:rFonts w:ascii="Segoe UI" w:hAnsi="Segoe UI" w:cs="Segoe UI"/>
                <w:b/>
                <w:bCs/>
                <w:sz w:val="16"/>
                <w:szCs w:val="16"/>
              </w:rPr>
            </w:pPr>
            <w:r w:rsidRPr="006A0C3B">
              <w:rPr>
                <w:rFonts w:ascii="Segoe UI" w:hAnsi="Segoe UI" w:cs="Segoe UI"/>
                <w:b/>
                <w:bCs/>
                <w:sz w:val="16"/>
                <w:szCs w:val="16"/>
              </w:rPr>
              <w:t>26,270,545</w:t>
            </w:r>
          </w:p>
        </w:tc>
        <w:tc>
          <w:tcPr>
            <w:tcW w:w="1119" w:type="dxa"/>
            <w:tcBorders>
              <w:top w:val="single" w:sz="4" w:space="0" w:color="A6A6A6" w:themeColor="background1" w:themeShade="A6"/>
              <w:bottom w:val="single" w:sz="4" w:space="0" w:color="A6A6A6" w:themeColor="background1" w:themeShade="A6"/>
            </w:tcBorders>
          </w:tcPr>
          <w:p w14:paraId="7E67461C" w14:textId="4F177421" w:rsidR="006A0C3B" w:rsidRPr="006A0C3B" w:rsidRDefault="006A0C3B" w:rsidP="006A0C3B">
            <w:pPr>
              <w:pStyle w:val="TableParagraph"/>
              <w:spacing w:before="60" w:after="60"/>
              <w:ind w:left="-42" w:right="170" w:firstLine="99"/>
              <w:jc w:val="right"/>
              <w:rPr>
                <w:rFonts w:ascii="Segoe UI" w:hAnsi="Segoe UI" w:cs="Segoe UI"/>
                <w:b/>
                <w:bCs/>
                <w:sz w:val="16"/>
                <w:szCs w:val="16"/>
              </w:rPr>
            </w:pPr>
            <w:r w:rsidRPr="006A0C3B">
              <w:rPr>
                <w:rFonts w:ascii="Segoe UI" w:hAnsi="Segoe UI" w:cs="Segoe UI"/>
                <w:b/>
                <w:bCs/>
                <w:sz w:val="16"/>
                <w:szCs w:val="16"/>
              </w:rPr>
              <w:t>27,914,295</w:t>
            </w:r>
          </w:p>
        </w:tc>
        <w:tc>
          <w:tcPr>
            <w:tcW w:w="1275" w:type="dxa"/>
            <w:tcBorders>
              <w:top w:val="single" w:sz="4" w:space="0" w:color="A6A6A6" w:themeColor="background1" w:themeShade="A6"/>
              <w:bottom w:val="single" w:sz="4" w:space="0" w:color="A6A6A6" w:themeColor="background1" w:themeShade="A6"/>
            </w:tcBorders>
          </w:tcPr>
          <w:p w14:paraId="5AF99536" w14:textId="22262E7F" w:rsidR="006A0C3B" w:rsidRPr="006A0C3B" w:rsidRDefault="006A0C3B" w:rsidP="006A0C3B">
            <w:pPr>
              <w:pStyle w:val="TableParagraph"/>
              <w:spacing w:before="60" w:after="60"/>
              <w:ind w:left="-42" w:right="170" w:firstLine="99"/>
              <w:jc w:val="right"/>
              <w:rPr>
                <w:rFonts w:ascii="Segoe UI" w:hAnsi="Segoe UI" w:cs="Segoe UI"/>
                <w:b/>
                <w:bCs/>
                <w:sz w:val="16"/>
                <w:szCs w:val="16"/>
              </w:rPr>
            </w:pPr>
          </w:p>
        </w:tc>
      </w:tr>
      <w:tr w:rsidR="006A0C3B" w:rsidRPr="006A0C3B" w14:paraId="16975D5B" w14:textId="77777777" w:rsidTr="006A0C3B">
        <w:trPr>
          <w:trHeight w:val="340"/>
        </w:trPr>
        <w:tc>
          <w:tcPr>
            <w:tcW w:w="1133" w:type="dxa"/>
            <w:tcBorders>
              <w:top w:val="single" w:sz="4" w:space="0" w:color="A6A6A6" w:themeColor="background1" w:themeShade="A6"/>
              <w:bottom w:val="single" w:sz="4" w:space="0" w:color="A6A6A6" w:themeColor="background1" w:themeShade="A6"/>
            </w:tcBorders>
          </w:tcPr>
          <w:p w14:paraId="6B540EB5" w14:textId="51CF04A8" w:rsidR="006A0C3B" w:rsidRPr="006A0C3B" w:rsidRDefault="006A0C3B" w:rsidP="006A0C3B">
            <w:pPr>
              <w:pStyle w:val="TableParagraph"/>
              <w:spacing w:before="60" w:after="60"/>
              <w:ind w:left="-42" w:right="170" w:firstLine="99"/>
              <w:jc w:val="right"/>
              <w:rPr>
                <w:rFonts w:ascii="Segoe UI" w:hAnsi="Segoe UI" w:cs="Segoe UI"/>
                <w:b/>
                <w:bCs/>
                <w:sz w:val="16"/>
                <w:szCs w:val="16"/>
              </w:rPr>
            </w:pPr>
            <w:r w:rsidRPr="006A0C3B">
              <w:rPr>
                <w:rFonts w:ascii="Segoe UI" w:hAnsi="Segoe UI" w:cs="Segoe UI"/>
                <w:b/>
                <w:bCs/>
                <w:sz w:val="16"/>
                <w:szCs w:val="16"/>
              </w:rPr>
              <w:t>26,627,889</w:t>
            </w:r>
          </w:p>
        </w:tc>
        <w:tc>
          <w:tcPr>
            <w:tcW w:w="2635" w:type="dxa"/>
            <w:tcBorders>
              <w:top w:val="single" w:sz="4" w:space="0" w:color="A6A6A6" w:themeColor="background1" w:themeShade="A6"/>
              <w:bottom w:val="single" w:sz="4" w:space="0" w:color="A6A6A6" w:themeColor="background1" w:themeShade="A6"/>
            </w:tcBorders>
          </w:tcPr>
          <w:p w14:paraId="12C51597" w14:textId="0DF285BD" w:rsidR="006A0C3B" w:rsidRPr="006A0C3B" w:rsidRDefault="006A0C3B" w:rsidP="006A0C3B">
            <w:pPr>
              <w:pStyle w:val="TableParagraph"/>
              <w:spacing w:before="60" w:after="60"/>
              <w:ind w:left="66" w:hanging="5"/>
              <w:rPr>
                <w:rFonts w:ascii="Segoe UI" w:hAnsi="Segoe UI" w:cs="Segoe UI"/>
                <w:b/>
                <w:bCs/>
                <w:w w:val="105"/>
                <w:sz w:val="16"/>
                <w:szCs w:val="16"/>
              </w:rPr>
            </w:pPr>
            <w:r w:rsidRPr="006A0C3B">
              <w:rPr>
                <w:rFonts w:ascii="Segoe UI" w:hAnsi="Segoe UI" w:cs="Segoe UI"/>
                <w:b/>
                <w:bCs/>
                <w:w w:val="105"/>
                <w:sz w:val="16"/>
                <w:szCs w:val="16"/>
              </w:rPr>
              <w:t>Total Vote: Health</w:t>
            </w:r>
          </w:p>
        </w:tc>
        <w:tc>
          <w:tcPr>
            <w:tcW w:w="709" w:type="dxa"/>
            <w:tcBorders>
              <w:top w:val="single" w:sz="4" w:space="0" w:color="A6A6A6" w:themeColor="background1" w:themeShade="A6"/>
              <w:bottom w:val="single" w:sz="4" w:space="0" w:color="A6A6A6" w:themeColor="background1" w:themeShade="A6"/>
            </w:tcBorders>
          </w:tcPr>
          <w:p w14:paraId="2DDA019F" w14:textId="77777777" w:rsidR="006A0C3B" w:rsidRPr="006A0C3B" w:rsidRDefault="006A0C3B" w:rsidP="006A0C3B">
            <w:pPr>
              <w:pStyle w:val="TableParagraph"/>
              <w:spacing w:before="60" w:after="60"/>
              <w:ind w:left="-42" w:right="170" w:firstLine="99"/>
              <w:jc w:val="right"/>
              <w:rPr>
                <w:rFonts w:ascii="Segoe UI" w:hAnsi="Segoe UI" w:cs="Segoe UI"/>
                <w:b/>
                <w:bCs/>
                <w:sz w:val="16"/>
                <w:szCs w:val="16"/>
              </w:rPr>
            </w:pPr>
          </w:p>
        </w:tc>
        <w:tc>
          <w:tcPr>
            <w:tcW w:w="1181" w:type="dxa"/>
            <w:tcBorders>
              <w:top w:val="single" w:sz="4" w:space="0" w:color="A6A6A6" w:themeColor="background1" w:themeShade="A6"/>
              <w:bottom w:val="single" w:sz="4" w:space="0" w:color="A6A6A6" w:themeColor="background1" w:themeShade="A6"/>
            </w:tcBorders>
          </w:tcPr>
          <w:p w14:paraId="1F7CFA58" w14:textId="2C015BEF" w:rsidR="006A0C3B" w:rsidRPr="006A0C3B" w:rsidRDefault="006A0C3B" w:rsidP="006A0C3B">
            <w:pPr>
              <w:pStyle w:val="TableParagraph"/>
              <w:spacing w:before="60" w:after="60"/>
              <w:ind w:left="-42" w:right="170" w:firstLine="99"/>
              <w:jc w:val="right"/>
              <w:rPr>
                <w:rFonts w:ascii="Segoe UI" w:hAnsi="Segoe UI" w:cs="Segoe UI"/>
                <w:b/>
                <w:bCs/>
                <w:sz w:val="16"/>
                <w:szCs w:val="16"/>
              </w:rPr>
            </w:pPr>
            <w:r w:rsidRPr="006A0C3B">
              <w:rPr>
                <w:rFonts w:ascii="Segoe UI" w:hAnsi="Segoe UI" w:cs="Segoe UI"/>
                <w:b/>
                <w:bCs/>
                <w:sz w:val="16"/>
                <w:szCs w:val="16"/>
              </w:rPr>
              <w:t>27,134,883</w:t>
            </w:r>
          </w:p>
        </w:tc>
        <w:tc>
          <w:tcPr>
            <w:tcW w:w="1158" w:type="dxa"/>
            <w:tcBorders>
              <w:top w:val="single" w:sz="4" w:space="0" w:color="A6A6A6" w:themeColor="background1" w:themeShade="A6"/>
              <w:bottom w:val="single" w:sz="4" w:space="0" w:color="A6A6A6" w:themeColor="background1" w:themeShade="A6"/>
            </w:tcBorders>
          </w:tcPr>
          <w:p w14:paraId="189CC3AF" w14:textId="4B30A31C" w:rsidR="006A0C3B" w:rsidRPr="006A0C3B" w:rsidRDefault="006A0C3B" w:rsidP="006A0C3B">
            <w:pPr>
              <w:pStyle w:val="TableParagraph"/>
              <w:spacing w:before="60" w:after="60"/>
              <w:ind w:left="-42" w:right="170" w:firstLine="99"/>
              <w:jc w:val="right"/>
              <w:rPr>
                <w:rFonts w:ascii="Segoe UI" w:hAnsi="Segoe UI" w:cs="Segoe UI"/>
                <w:b/>
                <w:bCs/>
                <w:sz w:val="16"/>
                <w:szCs w:val="16"/>
              </w:rPr>
            </w:pPr>
            <w:r w:rsidRPr="006A0C3B">
              <w:rPr>
                <w:rFonts w:ascii="Segoe UI" w:hAnsi="Segoe UI" w:cs="Segoe UI"/>
                <w:b/>
                <w:bCs/>
                <w:sz w:val="16"/>
                <w:szCs w:val="16"/>
              </w:rPr>
              <w:t>26,509,904</w:t>
            </w:r>
          </w:p>
        </w:tc>
        <w:tc>
          <w:tcPr>
            <w:tcW w:w="1119" w:type="dxa"/>
            <w:tcBorders>
              <w:top w:val="single" w:sz="4" w:space="0" w:color="A6A6A6" w:themeColor="background1" w:themeShade="A6"/>
              <w:bottom w:val="single" w:sz="4" w:space="0" w:color="A6A6A6" w:themeColor="background1" w:themeShade="A6"/>
            </w:tcBorders>
          </w:tcPr>
          <w:p w14:paraId="510BCF83" w14:textId="23EE475C" w:rsidR="006A0C3B" w:rsidRPr="006A0C3B" w:rsidRDefault="006A0C3B" w:rsidP="006A0C3B">
            <w:pPr>
              <w:pStyle w:val="TableParagraph"/>
              <w:spacing w:before="60" w:after="60"/>
              <w:ind w:left="-42" w:right="170" w:firstLine="99"/>
              <w:jc w:val="right"/>
              <w:rPr>
                <w:rFonts w:ascii="Segoe UI" w:hAnsi="Segoe UI" w:cs="Segoe UI"/>
                <w:b/>
                <w:bCs/>
                <w:sz w:val="16"/>
                <w:szCs w:val="16"/>
              </w:rPr>
            </w:pPr>
            <w:r w:rsidRPr="006A0C3B">
              <w:rPr>
                <w:rFonts w:ascii="Segoe UI" w:hAnsi="Segoe UI" w:cs="Segoe UI"/>
                <w:b/>
                <w:bCs/>
                <w:sz w:val="16"/>
                <w:szCs w:val="16"/>
              </w:rPr>
              <w:t>28,202,351</w:t>
            </w:r>
          </w:p>
        </w:tc>
        <w:tc>
          <w:tcPr>
            <w:tcW w:w="1275" w:type="dxa"/>
            <w:tcBorders>
              <w:top w:val="single" w:sz="4" w:space="0" w:color="A6A6A6" w:themeColor="background1" w:themeShade="A6"/>
              <w:bottom w:val="single" w:sz="4" w:space="0" w:color="A6A6A6" w:themeColor="background1" w:themeShade="A6"/>
            </w:tcBorders>
          </w:tcPr>
          <w:p w14:paraId="4D24C49B" w14:textId="7E380DAC" w:rsidR="006A0C3B" w:rsidRPr="006A0C3B" w:rsidRDefault="006A0C3B" w:rsidP="006A0C3B">
            <w:pPr>
              <w:pStyle w:val="TableParagraph"/>
              <w:spacing w:before="60" w:after="60"/>
              <w:ind w:left="-42" w:right="170" w:firstLine="99"/>
              <w:jc w:val="right"/>
              <w:rPr>
                <w:rFonts w:ascii="Segoe UI" w:hAnsi="Segoe UI" w:cs="Segoe UI"/>
                <w:b/>
                <w:bCs/>
                <w:sz w:val="16"/>
                <w:szCs w:val="16"/>
              </w:rPr>
            </w:pPr>
          </w:p>
        </w:tc>
      </w:tr>
    </w:tbl>
    <w:p w14:paraId="5C9AB3B1" w14:textId="33B1F07C" w:rsidR="006A0C3B" w:rsidRDefault="006A0C3B" w:rsidP="006A0C3B">
      <w:pPr>
        <w:pStyle w:val="Note"/>
        <w:ind w:left="224" w:hanging="196"/>
      </w:pPr>
      <w:r>
        <w:t>*  These are the total approved appropriations from the 2023/24 Vote Health Supplementary Estimates, adjusted for any transfers under section 26A of the Public Finance Act 1989.</w:t>
      </w:r>
    </w:p>
    <w:p w14:paraId="35EC7394" w14:textId="4C638EB3" w:rsidR="006A0C3B" w:rsidRDefault="006A0C3B" w:rsidP="006A0C3B">
      <w:pPr>
        <w:pStyle w:val="Note"/>
        <w:ind w:left="224" w:hanging="196"/>
      </w:pPr>
      <w:r>
        <w:t>€  The total department output expenditure including multi-category appropriations encompasses expenditure for an administration and use of appropriations.</w:t>
      </w:r>
    </w:p>
    <w:p w14:paraId="4B1ACC48" w14:textId="22665813" w:rsidR="006A0C3B" w:rsidRDefault="006A0C3B" w:rsidP="006A0C3B">
      <w:pPr>
        <w:pStyle w:val="Note"/>
        <w:ind w:left="224" w:hanging="196"/>
      </w:pPr>
      <w:r>
        <w:t>¥  The statement of non-departmental expenses includes funding allocated through Budget 2022 contingency drawdown to address price and demographic cost pressures.</w:t>
      </w:r>
    </w:p>
    <w:p w14:paraId="5E1BC5FD" w14:textId="4B4D8BB8" w:rsidR="006A0C3B" w:rsidRDefault="006A0C3B" w:rsidP="006A0C3B">
      <w:pPr>
        <w:pStyle w:val="Note"/>
        <w:ind w:left="224" w:hanging="196"/>
      </w:pPr>
      <w:r>
        <w:t>#  These appropriations have now been disestablished.</w:t>
      </w:r>
    </w:p>
    <w:p w14:paraId="6A8760F6" w14:textId="78F6023C" w:rsidR="006A0C3B" w:rsidRDefault="006A0C3B" w:rsidP="006A0C3B">
      <w:pPr>
        <w:pStyle w:val="Note"/>
        <w:ind w:left="224" w:hanging="196"/>
      </w:pPr>
      <w:r>
        <w:t>^  The numbers in this column represent where the end-of-year performance information has been reported for each appropriation administered by the Ministry, as detailed below:</w:t>
      </w:r>
    </w:p>
    <w:p w14:paraId="669FA657" w14:textId="0904A958" w:rsidR="006A0C3B" w:rsidRPr="006A0C3B" w:rsidRDefault="006A0C3B" w:rsidP="007123AC">
      <w:pPr>
        <w:pStyle w:val="Number"/>
        <w:numPr>
          <w:ilvl w:val="0"/>
          <w:numId w:val="29"/>
        </w:numPr>
        <w:spacing w:before="60"/>
        <w:ind w:left="462" w:hanging="238"/>
        <w:rPr>
          <w:sz w:val="17"/>
          <w:szCs w:val="17"/>
        </w:rPr>
      </w:pPr>
      <w:r w:rsidRPr="006A0C3B">
        <w:rPr>
          <w:sz w:val="17"/>
          <w:szCs w:val="17"/>
        </w:rPr>
        <w:t>The ‘Our performance outcomes’ section of this annual report.</w:t>
      </w:r>
    </w:p>
    <w:p w14:paraId="15BD43CE" w14:textId="44277C72" w:rsidR="006A0C3B" w:rsidRPr="006A0C3B" w:rsidRDefault="006A0C3B" w:rsidP="007123AC">
      <w:pPr>
        <w:pStyle w:val="Number"/>
        <w:numPr>
          <w:ilvl w:val="0"/>
          <w:numId w:val="29"/>
        </w:numPr>
        <w:spacing w:before="60"/>
        <w:ind w:left="462" w:hanging="238"/>
        <w:rPr>
          <w:sz w:val="17"/>
          <w:szCs w:val="17"/>
        </w:rPr>
      </w:pPr>
      <w:r w:rsidRPr="006A0C3B">
        <w:rPr>
          <w:sz w:val="17"/>
          <w:szCs w:val="17"/>
        </w:rPr>
        <w:t>Health New Zealand annual report.</w:t>
      </w:r>
    </w:p>
    <w:p w14:paraId="18DEF467" w14:textId="26FD272D" w:rsidR="006A0C3B" w:rsidRPr="006A0C3B" w:rsidRDefault="006A0C3B" w:rsidP="007123AC">
      <w:pPr>
        <w:pStyle w:val="Number"/>
        <w:numPr>
          <w:ilvl w:val="0"/>
          <w:numId w:val="29"/>
        </w:numPr>
        <w:spacing w:before="60"/>
        <w:ind w:left="462" w:hanging="238"/>
        <w:rPr>
          <w:sz w:val="17"/>
          <w:szCs w:val="17"/>
        </w:rPr>
      </w:pPr>
      <w:r w:rsidRPr="006A0C3B">
        <w:rPr>
          <w:sz w:val="17"/>
          <w:szCs w:val="17"/>
        </w:rPr>
        <w:t>Te Aka Whai Ora annual report.</w:t>
      </w:r>
    </w:p>
    <w:p w14:paraId="3C52E098" w14:textId="4D8BD4D7" w:rsidR="006A0C3B" w:rsidRPr="006A0C3B" w:rsidRDefault="006A0C3B" w:rsidP="007123AC">
      <w:pPr>
        <w:pStyle w:val="Number"/>
        <w:numPr>
          <w:ilvl w:val="0"/>
          <w:numId w:val="29"/>
        </w:numPr>
        <w:spacing w:before="60"/>
        <w:ind w:left="462" w:hanging="238"/>
        <w:rPr>
          <w:sz w:val="17"/>
          <w:szCs w:val="17"/>
        </w:rPr>
      </w:pPr>
      <w:r w:rsidRPr="006A0C3B">
        <w:rPr>
          <w:sz w:val="17"/>
          <w:szCs w:val="17"/>
        </w:rPr>
        <w:t>Health Quality &amp; Safety Commission’s annual report.</w:t>
      </w:r>
    </w:p>
    <w:p w14:paraId="527F0481" w14:textId="26967B24" w:rsidR="006A0C3B" w:rsidRPr="006A0C3B" w:rsidRDefault="006A0C3B" w:rsidP="007123AC">
      <w:pPr>
        <w:pStyle w:val="Number"/>
        <w:numPr>
          <w:ilvl w:val="0"/>
          <w:numId w:val="29"/>
        </w:numPr>
        <w:spacing w:before="60"/>
        <w:ind w:left="462" w:hanging="238"/>
        <w:rPr>
          <w:sz w:val="17"/>
          <w:szCs w:val="17"/>
        </w:rPr>
      </w:pPr>
      <w:r w:rsidRPr="006A0C3B">
        <w:rPr>
          <w:sz w:val="17"/>
          <w:szCs w:val="17"/>
        </w:rPr>
        <w:t>Pharmac annual report.</w:t>
      </w:r>
    </w:p>
    <w:p w14:paraId="6DDCA82B" w14:textId="2AB0BA7A" w:rsidR="006A0C3B" w:rsidRPr="006A0C3B" w:rsidRDefault="006A0C3B" w:rsidP="007123AC">
      <w:pPr>
        <w:pStyle w:val="Number"/>
        <w:numPr>
          <w:ilvl w:val="0"/>
          <w:numId w:val="29"/>
        </w:numPr>
        <w:spacing w:before="60"/>
        <w:ind w:left="462" w:hanging="238"/>
        <w:rPr>
          <w:sz w:val="17"/>
          <w:szCs w:val="17"/>
        </w:rPr>
      </w:pPr>
      <w:r w:rsidRPr="006A0C3B">
        <w:rPr>
          <w:sz w:val="17"/>
          <w:szCs w:val="17"/>
        </w:rPr>
        <w:t>Health and Disability Commissioner’s annual report.</w:t>
      </w:r>
    </w:p>
    <w:p w14:paraId="452C7B9F" w14:textId="5803C479" w:rsidR="006A0C3B" w:rsidRPr="006A0C3B" w:rsidRDefault="006A0C3B" w:rsidP="007123AC">
      <w:pPr>
        <w:pStyle w:val="Number"/>
        <w:numPr>
          <w:ilvl w:val="0"/>
          <w:numId w:val="29"/>
        </w:numPr>
        <w:spacing w:before="60"/>
        <w:ind w:left="462" w:hanging="238"/>
        <w:rPr>
          <w:sz w:val="17"/>
          <w:szCs w:val="17"/>
        </w:rPr>
      </w:pPr>
      <w:r w:rsidRPr="006A0C3B">
        <w:rPr>
          <w:sz w:val="17"/>
          <w:szCs w:val="17"/>
        </w:rPr>
        <w:t>Exemptions granted under section 15D of the Public Finance Act 1989.</w:t>
      </w:r>
    </w:p>
    <w:p w14:paraId="76E7BB5C" w14:textId="77777777" w:rsidR="006A0C3B" w:rsidRDefault="006A0C3B" w:rsidP="007123AC">
      <w:pPr>
        <w:pStyle w:val="Number"/>
        <w:numPr>
          <w:ilvl w:val="0"/>
          <w:numId w:val="29"/>
        </w:numPr>
        <w:spacing w:before="60"/>
        <w:ind w:left="462" w:hanging="238"/>
        <w:rPr>
          <w:sz w:val="17"/>
          <w:szCs w:val="17"/>
        </w:rPr>
      </w:pPr>
      <w:r w:rsidRPr="006A0C3B">
        <w:rPr>
          <w:sz w:val="17"/>
          <w:szCs w:val="17"/>
        </w:rPr>
        <w:t>New Zealand Blood and Organ Service’s annual report.</w:t>
      </w:r>
    </w:p>
    <w:p w14:paraId="60D3E52F" w14:textId="77777777" w:rsidR="006A0C3B" w:rsidRDefault="006A0C3B" w:rsidP="006A0C3B">
      <w:pPr>
        <w:pStyle w:val="Number"/>
        <w:numPr>
          <w:ilvl w:val="0"/>
          <w:numId w:val="0"/>
        </w:numPr>
        <w:spacing w:before="60"/>
        <w:ind w:left="567" w:hanging="567"/>
        <w:rPr>
          <w:sz w:val="17"/>
          <w:szCs w:val="17"/>
        </w:rPr>
      </w:pPr>
    </w:p>
    <w:p w14:paraId="36752665" w14:textId="77777777" w:rsidR="006A0C3B" w:rsidRDefault="006A0C3B" w:rsidP="006A0C3B">
      <w:pPr>
        <w:pStyle w:val="Number"/>
        <w:numPr>
          <w:ilvl w:val="0"/>
          <w:numId w:val="0"/>
        </w:numPr>
        <w:spacing w:before="60"/>
        <w:ind w:left="567" w:hanging="567"/>
        <w:rPr>
          <w:sz w:val="17"/>
          <w:szCs w:val="17"/>
        </w:rPr>
      </w:pPr>
    </w:p>
    <w:p w14:paraId="3623E4EA" w14:textId="77777777" w:rsidR="006A0C3B" w:rsidRDefault="006A0C3B" w:rsidP="006A0C3B">
      <w:pPr>
        <w:pStyle w:val="Number"/>
        <w:numPr>
          <w:ilvl w:val="0"/>
          <w:numId w:val="0"/>
        </w:numPr>
        <w:spacing w:before="60"/>
        <w:ind w:left="567" w:hanging="567"/>
        <w:rPr>
          <w:sz w:val="17"/>
          <w:szCs w:val="17"/>
        </w:rPr>
        <w:sectPr w:rsidR="006A0C3B" w:rsidSect="000A3324">
          <w:pgSz w:w="11907" w:h="16840" w:code="9"/>
          <w:pgMar w:top="1418" w:right="1701" w:bottom="1134" w:left="1843" w:header="284" w:footer="425" w:gutter="284"/>
          <w:cols w:space="720"/>
        </w:sectPr>
      </w:pPr>
    </w:p>
    <w:p w14:paraId="14FDA5AB" w14:textId="40A130E2" w:rsidR="006A0C3B" w:rsidRPr="006A0C3B" w:rsidRDefault="006A0C3B" w:rsidP="007123AC">
      <w:pPr>
        <w:pStyle w:val="Heading3"/>
        <w:numPr>
          <w:ilvl w:val="6"/>
          <w:numId w:val="31"/>
        </w:numPr>
        <w:spacing w:before="0"/>
        <w:ind w:left="567" w:hanging="567"/>
      </w:pPr>
      <w:r w:rsidRPr="006A0C3B">
        <w:lastRenderedPageBreak/>
        <w:t>Explanation of major variances against budget</w:t>
      </w:r>
    </w:p>
    <w:p w14:paraId="6A109948" w14:textId="77777777" w:rsidR="006A0C3B" w:rsidRDefault="006A0C3B" w:rsidP="006A0C3B">
      <w:r w:rsidRPr="006A0C3B">
        <w:t>Explanations for major variances from the Ministry’s non-departmental appropriations against the unaudited budget are as follows.</w:t>
      </w:r>
    </w:p>
    <w:p w14:paraId="7EA58D95" w14:textId="77777777" w:rsidR="006A0C3B" w:rsidRPr="006A0C3B" w:rsidRDefault="006A0C3B" w:rsidP="006A0C3B">
      <w:pPr>
        <w:pStyle w:val="Heading4"/>
      </w:pPr>
      <w:r w:rsidRPr="006A0C3B">
        <w:t>Schedule of non-departmental assets and liabilities</w:t>
      </w:r>
    </w:p>
    <w:p w14:paraId="02DE5812" w14:textId="77777777" w:rsidR="006A0C3B" w:rsidRDefault="006A0C3B" w:rsidP="006A0C3B">
      <w:pPr>
        <w:pStyle w:val="Heading5"/>
      </w:pPr>
      <w:r>
        <w:t>2.1</w:t>
      </w:r>
      <w:r>
        <w:tab/>
        <w:t xml:space="preserve">Services </w:t>
      </w:r>
      <w:r w:rsidRPr="006A0C3B">
        <w:t>from Health New Zealand</w:t>
      </w:r>
    </w:p>
    <w:p w14:paraId="6539764E" w14:textId="77777777" w:rsidR="006A0C3B" w:rsidRDefault="006A0C3B" w:rsidP="006A0C3B">
      <w:r>
        <w:t>Services from Health New Zealand were $1.262 billion higher than budget mainly due to:</w:t>
      </w:r>
    </w:p>
    <w:p w14:paraId="687C89BE" w14:textId="514A3482" w:rsidR="006A0C3B" w:rsidRDefault="006A0C3B" w:rsidP="006A0C3B">
      <w:pPr>
        <w:pStyle w:val="Bullet"/>
      </w:pPr>
      <w:r>
        <w:t xml:space="preserve">$685.842 million of additional funding for the settlement of the nurses’ pay equity </w:t>
      </w:r>
      <w:proofErr w:type="gramStart"/>
      <w:r>
        <w:t>claim</w:t>
      </w:r>
      <w:proofErr w:type="gramEnd"/>
    </w:p>
    <w:p w14:paraId="0CBD1E16" w14:textId="285866C4" w:rsidR="006A0C3B" w:rsidRDefault="006A0C3B" w:rsidP="006A0C3B">
      <w:pPr>
        <w:pStyle w:val="Bullet"/>
      </w:pPr>
      <w:r>
        <w:t xml:space="preserve">$110 million carried forward from 2022/23 to help clear the backlog of planned care that arose during the height of the COVID-19 </w:t>
      </w:r>
      <w:proofErr w:type="gramStart"/>
      <w:r>
        <w:t>pandemic</w:t>
      </w:r>
      <w:proofErr w:type="gramEnd"/>
    </w:p>
    <w:p w14:paraId="4E37E039" w14:textId="45DF61B5" w:rsidR="006A0C3B" w:rsidRDefault="006A0C3B" w:rsidP="006A0C3B">
      <w:pPr>
        <w:pStyle w:val="Bullet"/>
      </w:pPr>
      <w:r>
        <w:t xml:space="preserve">$54.550 million for a technical adjustment to fund changes in Health New Zealand’s capital charge payments following the revaluation of the </w:t>
      </w:r>
      <w:proofErr w:type="gramStart"/>
      <w:r>
        <w:t>assets</w:t>
      </w:r>
      <w:proofErr w:type="gramEnd"/>
    </w:p>
    <w:p w14:paraId="50A1C751" w14:textId="0C4C0628" w:rsidR="006A0C3B" w:rsidRDefault="006A0C3B" w:rsidP="006A0C3B">
      <w:pPr>
        <w:pStyle w:val="Bullet"/>
      </w:pPr>
      <w:r>
        <w:t xml:space="preserve">$19.828 million of additional funding to support the investment in data and digital priority areas that enable improvements in health system </w:t>
      </w:r>
      <w:proofErr w:type="gramStart"/>
      <w:r>
        <w:t>performance</w:t>
      </w:r>
      <w:proofErr w:type="gramEnd"/>
    </w:p>
    <w:p w14:paraId="69685BBE" w14:textId="4A4099C1" w:rsidR="006A0C3B" w:rsidRDefault="006A0C3B" w:rsidP="006A0C3B">
      <w:pPr>
        <w:pStyle w:val="Bullet"/>
      </w:pPr>
      <w:r>
        <w:t xml:space="preserve">$55.506 million of additional funding to close the pay gap across mental health and addiction and other government-funded residential care and health </w:t>
      </w:r>
      <w:proofErr w:type="gramStart"/>
      <w:r>
        <w:t>services</w:t>
      </w:r>
      <w:proofErr w:type="gramEnd"/>
    </w:p>
    <w:p w14:paraId="639488C0" w14:textId="717748D6" w:rsidR="006A0C3B" w:rsidRDefault="006A0C3B" w:rsidP="006A0C3B">
      <w:pPr>
        <w:pStyle w:val="Bullet"/>
      </w:pPr>
      <w:r>
        <w:t xml:space="preserve">$43.570 million carried forward from 2022/23 for the Cyber Security and Hira tranche 1 programmes, reflecting the rephasing of the </w:t>
      </w:r>
      <w:proofErr w:type="gramStart"/>
      <w:r>
        <w:t>programme</w:t>
      </w:r>
      <w:proofErr w:type="gramEnd"/>
    </w:p>
    <w:p w14:paraId="2C5B335D" w14:textId="77777777" w:rsidR="006A0C3B" w:rsidRDefault="006A0C3B" w:rsidP="006A0C3B">
      <w:pPr>
        <w:pStyle w:val="Bullet"/>
      </w:pPr>
      <w:r>
        <w:t>$19.030 million of additional funding to implement the pay equity extension for identified employees in community and iwi organisations who undertake social work or work that is substantially similar.</w:t>
      </w:r>
    </w:p>
    <w:p w14:paraId="3CE23657" w14:textId="77777777" w:rsidR="006A0C3B" w:rsidRDefault="006A0C3B" w:rsidP="006A0C3B">
      <w:pPr>
        <w:pStyle w:val="Heading5"/>
      </w:pPr>
      <w:r>
        <w:t>2.2</w:t>
      </w:r>
      <w:r>
        <w:tab/>
      </w:r>
      <w:r w:rsidRPr="006A0C3B">
        <w:t>Services from Te Aka Whai Ora</w:t>
      </w:r>
    </w:p>
    <w:p w14:paraId="7E3A112D" w14:textId="06422486" w:rsidR="006A0C3B" w:rsidRDefault="006A0C3B" w:rsidP="006A0C3B">
      <w:r>
        <w:t>Services from Te Aka Whai Ora were $152.218 million lower than budget reflecting the legislation changes to disestablish Te Aka Whai Ora. As of 1 April 2024, a small number of staff from Te Aka Whai Ora and their functions were transferred to the Ministry. All remaining staff were transferred to Health New Zealand, along with the funding.</w:t>
      </w:r>
    </w:p>
    <w:p w14:paraId="327FD50A" w14:textId="77777777" w:rsidR="006A0C3B" w:rsidRDefault="006A0C3B" w:rsidP="006A0C3B"/>
    <w:p w14:paraId="7F78A4AA" w14:textId="77777777" w:rsidR="006A0C3B" w:rsidRDefault="006A0C3B" w:rsidP="006A0C3B">
      <w:r>
        <w:t>The financial impact of the final decision for services to be provided by Health New Zealand from 1 April 2024 were not reflected in the final budget, as the changes were still being finalised at the time when forecast budgets were closed.</w:t>
      </w:r>
    </w:p>
    <w:p w14:paraId="25384E29" w14:textId="77777777" w:rsidR="006A0C3B" w:rsidRDefault="006A0C3B" w:rsidP="006A0C3B">
      <w:pPr>
        <w:pStyle w:val="Heading5"/>
      </w:pPr>
      <w:r>
        <w:t>2.3</w:t>
      </w:r>
      <w:r>
        <w:tab/>
        <w:t>Services from Pharmaceutical Management Agency Limited</w:t>
      </w:r>
    </w:p>
    <w:p w14:paraId="44D3EEFB" w14:textId="77777777" w:rsidR="006A0C3B" w:rsidRDefault="006A0C3B" w:rsidP="006A0C3B">
      <w:r>
        <w:t>Services from Pharmaceutical Management Agency Limited (Pharmac) were $495.611 million higher than budget mainly due to an increase in funding in the National Pharmaceuticals Purchasing appropriation:</w:t>
      </w:r>
    </w:p>
    <w:p w14:paraId="7974C76F" w14:textId="600AECF9" w:rsidR="006A0C3B" w:rsidRDefault="006A0C3B" w:rsidP="006A0C3B">
      <w:pPr>
        <w:pStyle w:val="Bullet"/>
      </w:pPr>
      <w:r>
        <w:t xml:space="preserve">$449.631 million for a fiscally neutral transfer from the Implementing the COVID-19 Vaccine Strategy MCA to transition the COVID-19 vaccine funding into the combined pharmaceutical budget managed by </w:t>
      </w:r>
      <w:proofErr w:type="gramStart"/>
      <w:r>
        <w:t>Pharmac</w:t>
      </w:r>
      <w:proofErr w:type="gramEnd"/>
    </w:p>
    <w:p w14:paraId="1B9ABF85" w14:textId="77777777" w:rsidR="006A0C3B" w:rsidRDefault="006A0C3B" w:rsidP="006A0C3B">
      <w:pPr>
        <w:pStyle w:val="Bullet"/>
      </w:pPr>
      <w:r>
        <w:t xml:space="preserve">$45.580 million of additional fund, including $21.800 million transferred from the Delivering Primary, Community, Public, and Population Health Services appropriation and $23.780 million provided through Budget 2024, to allow for an </w:t>
      </w:r>
      <w:r>
        <w:lastRenderedPageBreak/>
        <w:t>increase in demand for medicines resulting from the removal of the $5 prescription co-payments for all New Zealanders over the age of 14 years.</w:t>
      </w:r>
    </w:p>
    <w:p w14:paraId="6EF9D339" w14:textId="77777777" w:rsidR="006A0C3B" w:rsidRDefault="006A0C3B" w:rsidP="006A0C3B">
      <w:pPr>
        <w:pStyle w:val="Heading5"/>
      </w:pPr>
      <w:r>
        <w:t>2.4</w:t>
      </w:r>
      <w:r>
        <w:tab/>
        <w:t xml:space="preserve">Crown entities accrued </w:t>
      </w:r>
      <w:proofErr w:type="gramStart"/>
      <w:r>
        <w:t>liabilities</w:t>
      </w:r>
      <w:proofErr w:type="gramEnd"/>
    </w:p>
    <w:p w14:paraId="012927A6" w14:textId="77777777" w:rsidR="006A0C3B" w:rsidRDefault="006A0C3B" w:rsidP="006A0C3B">
      <w:r>
        <w:t>Crown entities accrued liabilities were $82.407 million lower than budget due to the timing of capital payments claims from Health New Zealand.</w:t>
      </w:r>
    </w:p>
    <w:p w14:paraId="22E2BB30" w14:textId="77777777" w:rsidR="006A0C3B" w:rsidRDefault="006A0C3B" w:rsidP="006A0C3B">
      <w:pPr>
        <w:pStyle w:val="Heading5"/>
      </w:pPr>
      <w:r>
        <w:t>2.5</w:t>
      </w:r>
      <w:r>
        <w:tab/>
        <w:t>Other accrued liabilities</w:t>
      </w:r>
    </w:p>
    <w:p w14:paraId="2C9E3725" w14:textId="3ADD49E6" w:rsidR="006A0C3B" w:rsidRDefault="006A0C3B" w:rsidP="006A0C3B">
      <w:r>
        <w:t>Other accrued liabilities were $94.394 million lower than budget mainly as majority of the non-departmental payments were made to Crown entities. This has resulted in a reduction in the other accrued liabilities. This information was not known at</w:t>
      </w:r>
      <w:r w:rsidR="00CD066D">
        <w:t xml:space="preserve"> </w:t>
      </w:r>
      <w:r>
        <w:t>the time of completing the 2023/24 Main Estimates and was therefore not included in the forecast. The final revised budget (Supplementary Estimates 2023/24) was adjusted to reflect the change.</w:t>
      </w:r>
    </w:p>
    <w:p w14:paraId="1E10122E" w14:textId="258638BC" w:rsidR="006A0C3B" w:rsidRDefault="006A0C3B" w:rsidP="006A0C3B">
      <w:pPr>
        <w:pStyle w:val="Heading4"/>
      </w:pPr>
      <w:r w:rsidRPr="006A0C3B">
        <w:t>Schedule of non-departmental expenses and capital expenditure against appropriations</w:t>
      </w:r>
    </w:p>
    <w:p w14:paraId="7725B6F1" w14:textId="77777777" w:rsidR="006A0C3B" w:rsidRDefault="006A0C3B" w:rsidP="006A0C3B">
      <w:pPr>
        <w:pStyle w:val="Heading5"/>
      </w:pPr>
      <w:r>
        <w:t>2.6</w:t>
      </w:r>
      <w:r>
        <w:tab/>
        <w:t xml:space="preserve">Delivering hospital and specialist </w:t>
      </w:r>
      <w:proofErr w:type="gramStart"/>
      <w:r>
        <w:t>services</w:t>
      </w:r>
      <w:proofErr w:type="gramEnd"/>
    </w:p>
    <w:p w14:paraId="7CE82D10" w14:textId="77777777" w:rsidR="006A0C3B" w:rsidRDefault="006A0C3B" w:rsidP="006A0C3B">
      <w:r>
        <w:t>Delivering hospital and specialist services was $1.661 billion higher than the revised budget mainly due to:</w:t>
      </w:r>
    </w:p>
    <w:p w14:paraId="7215C635" w14:textId="286BE12F" w:rsidR="006A0C3B" w:rsidRDefault="006A0C3B" w:rsidP="006A0C3B">
      <w:pPr>
        <w:pStyle w:val="Bullet"/>
      </w:pPr>
      <w:r>
        <w:t xml:space="preserve">$764.719 million of additional funding through Budget 2022 contingency drawdown to address price and demographic cost </w:t>
      </w:r>
      <w:proofErr w:type="gramStart"/>
      <w:r>
        <w:t>pressures</w:t>
      </w:r>
      <w:proofErr w:type="gramEnd"/>
    </w:p>
    <w:p w14:paraId="4861C1C9" w14:textId="20B45D80" w:rsidR="006A0C3B" w:rsidRDefault="006A0C3B" w:rsidP="006A0C3B">
      <w:pPr>
        <w:pStyle w:val="Bullet"/>
      </w:pPr>
      <w:r>
        <w:t xml:space="preserve">$685.842 million of additional funding for the settlement of the nurses’ pay equity </w:t>
      </w:r>
      <w:proofErr w:type="gramStart"/>
      <w:r>
        <w:t>claim</w:t>
      </w:r>
      <w:proofErr w:type="gramEnd"/>
    </w:p>
    <w:p w14:paraId="69541076" w14:textId="6C61743F" w:rsidR="006A0C3B" w:rsidRDefault="006A0C3B" w:rsidP="006A0C3B">
      <w:pPr>
        <w:pStyle w:val="Bullet"/>
      </w:pPr>
      <w:r>
        <w:t xml:space="preserve">$110 million carried forward from 2022/23 to help clear the backlog of planned care that arose during the height of the COVID-19 </w:t>
      </w:r>
      <w:proofErr w:type="gramStart"/>
      <w:r>
        <w:t>pandemic</w:t>
      </w:r>
      <w:proofErr w:type="gramEnd"/>
    </w:p>
    <w:p w14:paraId="590873E7" w14:textId="5B56C56F" w:rsidR="006A0C3B" w:rsidRDefault="006A0C3B" w:rsidP="006A0C3B">
      <w:pPr>
        <w:pStyle w:val="Bullet"/>
      </w:pPr>
      <w:r>
        <w:t xml:space="preserve">$54.550 million for a technical adjustment to fund changes in Health New Zealand’s capital charge payments following the revaluation of the </w:t>
      </w:r>
      <w:proofErr w:type="gramStart"/>
      <w:r>
        <w:t>assets</w:t>
      </w:r>
      <w:proofErr w:type="gramEnd"/>
    </w:p>
    <w:p w14:paraId="7EA5B041" w14:textId="77777777" w:rsidR="006A0C3B" w:rsidRDefault="006A0C3B" w:rsidP="006A0C3B">
      <w:pPr>
        <w:pStyle w:val="Bullet"/>
      </w:pPr>
      <w:r>
        <w:t>$19.828 million of additional funding to support the investment in data and digital priority areas that enable improvements in health system performance.</w:t>
      </w:r>
    </w:p>
    <w:p w14:paraId="56752BC3" w14:textId="77777777" w:rsidR="00A904C6" w:rsidRDefault="00A904C6" w:rsidP="00A904C6">
      <w:pPr>
        <w:pStyle w:val="Heading5"/>
      </w:pPr>
      <w:r>
        <w:t>2.7</w:t>
      </w:r>
      <w:r>
        <w:tab/>
        <w:t xml:space="preserve">Delivering primary, community, public and </w:t>
      </w:r>
      <w:proofErr w:type="gramStart"/>
      <w:r>
        <w:t>population</w:t>
      </w:r>
      <w:proofErr w:type="gramEnd"/>
    </w:p>
    <w:p w14:paraId="342BE018" w14:textId="3B6FCAF6" w:rsidR="00A904C6" w:rsidRDefault="00A904C6" w:rsidP="00A904C6">
      <w:r>
        <w:t>Delivering primary, community, public and population health services was $509.779 million higher than budget mainly due to:</w:t>
      </w:r>
    </w:p>
    <w:p w14:paraId="1240C466" w14:textId="4316BBE1" w:rsidR="00A904C6" w:rsidRDefault="00A904C6" w:rsidP="00A904C6">
      <w:pPr>
        <w:pStyle w:val="Bullet"/>
      </w:pPr>
      <w:r>
        <w:t xml:space="preserve">$494.980 million of additional funding through Budget 2022 contingency drawdown to address price and demographic cost </w:t>
      </w:r>
      <w:proofErr w:type="gramStart"/>
      <w:r>
        <w:t>pressures</w:t>
      </w:r>
      <w:proofErr w:type="gramEnd"/>
    </w:p>
    <w:p w14:paraId="59BB4210" w14:textId="293B4E1A" w:rsidR="00A904C6" w:rsidRDefault="00A904C6" w:rsidP="00A904C6">
      <w:pPr>
        <w:pStyle w:val="Bullet"/>
      </w:pPr>
      <w:r>
        <w:t xml:space="preserve">$55.506 million of additional funding to close the pay gap across mental health and addiction and other government-funded residential care and health </w:t>
      </w:r>
      <w:proofErr w:type="gramStart"/>
      <w:r>
        <w:t>services</w:t>
      </w:r>
      <w:proofErr w:type="gramEnd"/>
    </w:p>
    <w:p w14:paraId="7FE244D0" w14:textId="7CF18F14" w:rsidR="00A904C6" w:rsidRDefault="00A904C6" w:rsidP="00A904C6">
      <w:pPr>
        <w:pStyle w:val="Bullet"/>
      </w:pPr>
      <w:r>
        <w:t>$43.570 million carried forward from 2022/23 for the Cyber Security and Hira tranche 1 programmes, reflecting the rephasing of the programme.</w:t>
      </w:r>
    </w:p>
    <w:p w14:paraId="0E353209" w14:textId="77777777" w:rsidR="00CD066D" w:rsidRDefault="00CD066D" w:rsidP="00A904C6"/>
    <w:p w14:paraId="2676DA12" w14:textId="5668D160" w:rsidR="00A904C6" w:rsidRDefault="00A904C6" w:rsidP="00A904C6">
      <w:r>
        <w:t>This increase was partly offset by:</w:t>
      </w:r>
    </w:p>
    <w:p w14:paraId="3898BDC8" w14:textId="6EC5D134" w:rsidR="00A904C6" w:rsidRDefault="00A904C6" w:rsidP="00A904C6">
      <w:pPr>
        <w:pStyle w:val="Bullet"/>
      </w:pPr>
      <w:r>
        <w:t xml:space="preserve">$25 million for a fiscally neutral transfer to the Delivering Hauora Māori services appropriation to enable the Winter Wellness Immunisation programme to be </w:t>
      </w:r>
      <w:r>
        <w:lastRenderedPageBreak/>
        <w:t xml:space="preserve">delivered through the Whānau Ora Commissioning Agency and hauora Māori </w:t>
      </w:r>
      <w:proofErr w:type="gramStart"/>
      <w:r>
        <w:t>partners</w:t>
      </w:r>
      <w:proofErr w:type="gramEnd"/>
    </w:p>
    <w:p w14:paraId="077B54EA" w14:textId="73A470BB" w:rsidR="00A904C6" w:rsidRDefault="00A904C6" w:rsidP="000A1102">
      <w:pPr>
        <w:pStyle w:val="Bullet"/>
      </w:pPr>
      <w:r>
        <w:t>$21.800 million for a fiscally neutral transfer to the National Pharmaceuticals Purchasing appropriation to allow for</w:t>
      </w:r>
      <w:r w:rsidR="000A1102">
        <w:t xml:space="preserve"> </w:t>
      </w:r>
      <w:r>
        <w:t xml:space="preserve">an increase in demand for medicines resulting from the removal of the $5 prescription co-payments for all New Zealanders over the age of 14 </w:t>
      </w:r>
      <w:proofErr w:type="gramStart"/>
      <w:r>
        <w:t>years</w:t>
      </w:r>
      <w:proofErr w:type="gramEnd"/>
    </w:p>
    <w:p w14:paraId="217539E0" w14:textId="5C67F41C" w:rsidR="00A904C6" w:rsidRDefault="00A904C6" w:rsidP="00A904C6">
      <w:pPr>
        <w:pStyle w:val="Bullet"/>
      </w:pPr>
      <w:r>
        <w:t xml:space="preserve">$17.250 million for a fiscally neutral transfer to the Delivering Hauora Māori services appropriation to enable the commissioning of te ao Māori models of maternity and early years </w:t>
      </w:r>
      <w:proofErr w:type="gramStart"/>
      <w:r>
        <w:t>care</w:t>
      </w:r>
      <w:proofErr w:type="gramEnd"/>
    </w:p>
    <w:p w14:paraId="293A07F0" w14:textId="524D434D" w:rsidR="00A904C6" w:rsidRDefault="00A904C6" w:rsidP="00A904C6">
      <w:pPr>
        <w:pStyle w:val="Bullet"/>
      </w:pPr>
      <w:r>
        <w:t xml:space="preserve">$12.879 million for a fiscally neutral transfer to the Delivering Hauora Māori services appropriation to fund the Māori Kaiāwhina roles as part of the comprehensive primary care </w:t>
      </w:r>
      <w:proofErr w:type="gramStart"/>
      <w:r>
        <w:t>teams</w:t>
      </w:r>
      <w:proofErr w:type="gramEnd"/>
    </w:p>
    <w:p w14:paraId="324F598E" w14:textId="3AA64F08" w:rsidR="00A904C6" w:rsidRDefault="00A904C6" w:rsidP="00A904C6">
      <w:pPr>
        <w:pStyle w:val="Bullet"/>
      </w:pPr>
      <w:r>
        <w:t>$10 million for a transfer to 2024/25 for the Breast Screen Aotearoa Critical Infrastructure Replacement programme, reflecting the rephasing of the programme.</w:t>
      </w:r>
    </w:p>
    <w:p w14:paraId="292B6E7C" w14:textId="77777777" w:rsidR="00A904C6" w:rsidRDefault="00A904C6" w:rsidP="00A904C6">
      <w:pPr>
        <w:pStyle w:val="Heading5"/>
      </w:pPr>
      <w:r>
        <w:t>2.8</w:t>
      </w:r>
      <w:r>
        <w:tab/>
        <w:t>Health capital envelope 2022–2027 (MYA)</w:t>
      </w:r>
    </w:p>
    <w:p w14:paraId="115C0B7A" w14:textId="77777777" w:rsidR="006A0C3B" w:rsidRDefault="00A904C6" w:rsidP="00A904C6">
      <w:r>
        <w:t>The health capital envelope multi-year appropriation (MYA) was established from 1 July 2022 for the provision or purchase of health sector assets, providing capital to health sector Crown entities or agencies for new investments. The health capital envelope was $467.949 million lower than budget, which is mainly reflecting phasing of projects from the updated capital expenditure plans by Health New Zealand. As this is an MYA, any underspends or overspends against forecast are moved across to the next year.</w:t>
      </w:r>
    </w:p>
    <w:p w14:paraId="284C79E1" w14:textId="77777777" w:rsidR="00A904C6" w:rsidRDefault="00A904C6" w:rsidP="00A904C6">
      <w:pPr>
        <w:pStyle w:val="Heading5"/>
      </w:pPr>
      <w:r>
        <w:t>2.9</w:t>
      </w:r>
      <w:r>
        <w:tab/>
        <w:t>New Dunedin hospital 2021-2026 (MYA)</w:t>
      </w:r>
    </w:p>
    <w:p w14:paraId="18EC69F6" w14:textId="4F3C5F25" w:rsidR="00A904C6" w:rsidRDefault="00A904C6" w:rsidP="00A904C6">
      <w:r>
        <w:t>The New Dunedin Hospital 2021-2026 was established as an MYA last financial year to fund capital expenditure on the construction of the new Dunedin hospital and associated projects. Under an MYA any surpluses or deficits are moved across to the next year.</w:t>
      </w:r>
    </w:p>
    <w:p w14:paraId="5A1AE86E" w14:textId="77777777" w:rsidR="00A904C6" w:rsidRDefault="00A904C6" w:rsidP="00A904C6"/>
    <w:p w14:paraId="40A9B5D8" w14:textId="77777777" w:rsidR="00A904C6" w:rsidRDefault="00A904C6" w:rsidP="00A904C6">
      <w:r>
        <w:t>The actual expenditure is less than budget by $107.920 million partly due to resets in the design of the new Dunedin hospital and rephasing of the budgets across the financial years. The budget was subsequently adjusted in 2023/24 Supplementary Estimates.</w:t>
      </w:r>
    </w:p>
    <w:p w14:paraId="49B1F124" w14:textId="77777777" w:rsidR="00A904C6" w:rsidRDefault="00A904C6" w:rsidP="00A904C6">
      <w:pPr>
        <w:pStyle w:val="Heading5"/>
      </w:pPr>
      <w:r>
        <w:t>2.10</w:t>
      </w:r>
      <w:r>
        <w:tab/>
        <w:t>Remediation and resolution of Holidays Act 2003 historical claims</w:t>
      </w:r>
    </w:p>
    <w:p w14:paraId="4A7CCB78" w14:textId="5553A392" w:rsidR="00A904C6" w:rsidRDefault="00A904C6" w:rsidP="00A904C6">
      <w:r>
        <w:t>This appropriation provides funding to Health New Zealand (including its subsidiaries and associates) and the New Zealand Blood and Organ Service for resolution of claims from historical non-compliance with the Holidays Act 2003.</w:t>
      </w:r>
    </w:p>
    <w:p w14:paraId="04B6E931" w14:textId="77777777" w:rsidR="00A904C6" w:rsidRDefault="00A904C6" w:rsidP="00A904C6"/>
    <w:p w14:paraId="7E029837" w14:textId="77777777" w:rsidR="00A904C6" w:rsidRDefault="00A904C6" w:rsidP="00A904C6">
      <w:r>
        <w:t>The actual expenditure is less than budget by $1.356 billion as the finalisation of remediation has taken longer than planned and expenditure incurred reflects the phased approach to remediation across the Health New Zealand districts. The appropriation was adjusted in the 2023/24 Supplementary Estimates to reflect the forecast changes, and that any remaining unspent funding in 2023/24 would be approved as an in-</w:t>
      </w:r>
      <w:proofErr w:type="gramStart"/>
      <w:r>
        <w:t>principle</w:t>
      </w:r>
      <w:proofErr w:type="gramEnd"/>
      <w:r>
        <w:t xml:space="preserve"> expense transfer into 2024/25. The final transfer value will be confirmed in the October 2024 Baseline Update.</w:t>
      </w:r>
    </w:p>
    <w:p w14:paraId="58C29788" w14:textId="77777777" w:rsidR="00A904C6" w:rsidRDefault="00A904C6" w:rsidP="00A904C6"/>
    <w:p w14:paraId="68481F64" w14:textId="77777777" w:rsidR="00A904C6" w:rsidRDefault="00A904C6" w:rsidP="00A904C6"/>
    <w:p w14:paraId="6BA36F96" w14:textId="3C3C16EC" w:rsidR="00A904C6" w:rsidRPr="006A0C3B" w:rsidRDefault="00A904C6" w:rsidP="00A904C6">
      <w:pPr>
        <w:sectPr w:rsidR="00A904C6" w:rsidRPr="006A0C3B" w:rsidSect="000A3324">
          <w:pgSz w:w="11907" w:h="16840" w:code="9"/>
          <w:pgMar w:top="1418" w:right="1701" w:bottom="1134" w:left="1843" w:header="284" w:footer="425" w:gutter="284"/>
          <w:cols w:space="720"/>
        </w:sectPr>
      </w:pPr>
    </w:p>
    <w:p w14:paraId="59872865" w14:textId="25258A51" w:rsidR="00A904C6" w:rsidRDefault="00A904C6" w:rsidP="007123AC">
      <w:pPr>
        <w:pStyle w:val="Heading3"/>
        <w:numPr>
          <w:ilvl w:val="6"/>
          <w:numId w:val="31"/>
        </w:numPr>
        <w:spacing w:before="0"/>
        <w:ind w:left="567" w:hanging="567"/>
      </w:pPr>
      <w:r>
        <w:lastRenderedPageBreak/>
        <w:t>COVID-19 response expenditure for the year ended 30 June 2024</w:t>
      </w:r>
    </w:p>
    <w:p w14:paraId="3125946B" w14:textId="2C37FD19" w:rsidR="00A904C6" w:rsidRDefault="00A904C6" w:rsidP="00A904C6">
      <w:r>
        <w:t>In March 2020, the World Health Organization declared the outbreak of coronavirus (COVID-19) pandemic. In response to the pandemic, total funding of $10.737 billion has been appropriated to Vote Health for 2019/20 and outyears.</w:t>
      </w:r>
    </w:p>
    <w:p w14:paraId="7AF58058" w14:textId="77777777" w:rsidR="00A904C6" w:rsidRDefault="00A904C6" w:rsidP="00A904C6"/>
    <w:p w14:paraId="7AE9B479" w14:textId="6ABD70D2" w:rsidR="00A904C6" w:rsidRDefault="00A904C6" w:rsidP="00A904C6">
      <w:r>
        <w:t>Total expenditure for the year ended 30 June 2024 across Vote Health is $697.767 million. All 2023/24 expenditure was managed by both Health New Zealand and Pharmac through non-departmental expenditure appropriations. Underspends totalling $68.502 million will be returned to the Crown.</w:t>
      </w:r>
    </w:p>
    <w:p w14:paraId="009E1384" w14:textId="77777777" w:rsidR="00A904C6" w:rsidRDefault="00A904C6" w:rsidP="00A904C6"/>
    <w:p w14:paraId="72BD7D3D" w14:textId="77777777" w:rsidR="00A904C6" w:rsidRDefault="00A904C6" w:rsidP="00A904C6">
      <w:r>
        <w:t>Key spending on initiatives during 2023/24 includes:</w:t>
      </w:r>
    </w:p>
    <w:p w14:paraId="6A7A93F4" w14:textId="4ED9B075" w:rsidR="00A904C6" w:rsidRDefault="00A904C6" w:rsidP="00A904C6">
      <w:pPr>
        <w:pStyle w:val="Bullet"/>
      </w:pPr>
      <w:r>
        <w:t>$450.031 million – for the purchase of COVID-19 Vaccines and COVAX</w:t>
      </w:r>
      <w:r>
        <w:rPr>
          <w:rStyle w:val="FootnoteReference"/>
        </w:rPr>
        <w:footnoteReference w:id="48"/>
      </w:r>
      <w:r>
        <w:t xml:space="preserve"> agreement</w:t>
      </w:r>
    </w:p>
    <w:p w14:paraId="7B8AEF26" w14:textId="38FD30F6" w:rsidR="00A904C6" w:rsidRPr="00A904C6" w:rsidRDefault="00A904C6" w:rsidP="00A904C6">
      <w:pPr>
        <w:pStyle w:val="Bullet"/>
      </w:pPr>
      <w:r w:rsidRPr="00A904C6">
        <w:t xml:space="preserve">$70.287 million – for Health New Zealand’s delivery of the immunisation programme in administering the vaccine, the cost of technology to support vaccine delivery, costs associated with delivering equitable outcomes and the costs associated with public information campaigns on the </w:t>
      </w:r>
      <w:proofErr w:type="gramStart"/>
      <w:r w:rsidRPr="00A904C6">
        <w:t>vaccine</w:t>
      </w:r>
      <w:proofErr w:type="gramEnd"/>
    </w:p>
    <w:p w14:paraId="493E8B3F" w14:textId="77777777" w:rsidR="00A904C6" w:rsidRDefault="00A904C6" w:rsidP="00A904C6">
      <w:pPr>
        <w:pStyle w:val="Bullet"/>
      </w:pPr>
      <w:r w:rsidRPr="00A904C6">
        <w:t>$177.448 million – for Health New Zealand’s COVID-19 response covering testing, community care and all other response activities. Health New Zealand Response,</w:t>
      </w:r>
    </w:p>
    <w:p w14:paraId="1F3BEE43" w14:textId="6A735B86" w:rsidR="00A904C6" w:rsidRDefault="00A904C6" w:rsidP="00A904C6">
      <w:pPr>
        <w:pStyle w:val="Heading3"/>
      </w:pPr>
      <w:r w:rsidRPr="00A904C6">
        <w:t>Statement of departmental capital injections for the year ended 30 June 2024</w:t>
      </w:r>
    </w:p>
    <w:tbl>
      <w:tblPr>
        <w:tblW w:w="8295" w:type="dxa"/>
        <w:tblLayout w:type="fixed"/>
        <w:tblCellMar>
          <w:left w:w="0" w:type="dxa"/>
          <w:right w:w="0" w:type="dxa"/>
        </w:tblCellMar>
        <w:tblLook w:val="01E0" w:firstRow="1" w:lastRow="1" w:firstColumn="1" w:lastColumn="1" w:noHBand="0" w:noVBand="0"/>
      </w:tblPr>
      <w:tblGrid>
        <w:gridCol w:w="1682"/>
        <w:gridCol w:w="3423"/>
        <w:gridCol w:w="1466"/>
        <w:gridCol w:w="7"/>
        <w:gridCol w:w="1710"/>
        <w:gridCol w:w="7"/>
      </w:tblGrid>
      <w:tr w:rsidR="00A904C6" w14:paraId="18A267C4" w14:textId="77777777" w:rsidTr="00A904C6">
        <w:trPr>
          <w:gridAfter w:val="1"/>
          <w:wAfter w:w="7" w:type="dxa"/>
          <w:trHeight w:val="1004"/>
        </w:trPr>
        <w:tc>
          <w:tcPr>
            <w:tcW w:w="1682" w:type="dxa"/>
            <w:shd w:val="clear" w:color="auto" w:fill="D9D9D9" w:themeFill="background1" w:themeFillShade="D9"/>
            <w:hideMark/>
          </w:tcPr>
          <w:p w14:paraId="6EAF3063" w14:textId="77777777" w:rsidR="00A904C6" w:rsidRDefault="00A904C6">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Actual capital</w:t>
            </w:r>
            <w:r>
              <w:rPr>
                <w:rFonts w:ascii="Segoe UI" w:hAnsi="Segoe UI" w:cs="Segoe UI"/>
                <w:b/>
                <w:bCs/>
                <w:sz w:val="16"/>
                <w:szCs w:val="16"/>
              </w:rPr>
              <w:br/>
              <w:t>injections</w:t>
            </w:r>
          </w:p>
          <w:p w14:paraId="51E02EA4" w14:textId="3F22B3CB" w:rsidR="00A904C6" w:rsidRDefault="00A904C6">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2023</w:t>
            </w:r>
          </w:p>
          <w:p w14:paraId="206A19FA" w14:textId="77777777" w:rsidR="00A904C6" w:rsidRDefault="00A904C6">
            <w:pPr>
              <w:pStyle w:val="TableParagraph"/>
              <w:spacing w:before="60" w:after="60"/>
              <w:ind w:left="-42" w:right="170" w:firstLine="99"/>
              <w:jc w:val="right"/>
              <w:rPr>
                <w:rFonts w:ascii="Segoe UI" w:hAnsi="Segoe UI" w:cs="Segoe UI"/>
                <w:b/>
                <w:bCs/>
                <w:sz w:val="16"/>
                <w:szCs w:val="16"/>
              </w:rPr>
            </w:pPr>
            <w:r>
              <w:rPr>
                <w:rFonts w:ascii="Segoe UI" w:hAnsi="Segoe UI" w:cs="Segoe UI"/>
                <w:b/>
                <w:bCs/>
                <w:sz w:val="16"/>
                <w:szCs w:val="16"/>
              </w:rPr>
              <w:t>$000</w:t>
            </w:r>
          </w:p>
        </w:tc>
        <w:tc>
          <w:tcPr>
            <w:tcW w:w="4889" w:type="dxa"/>
            <w:gridSpan w:val="2"/>
            <w:shd w:val="clear" w:color="auto" w:fill="D9D9D9" w:themeFill="background1" w:themeFillShade="D9"/>
            <w:hideMark/>
          </w:tcPr>
          <w:p w14:paraId="217361D7" w14:textId="77777777" w:rsidR="00A904C6" w:rsidRDefault="00A904C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Actual capital</w:t>
            </w:r>
            <w:r>
              <w:rPr>
                <w:rFonts w:ascii="Segoe UI" w:hAnsi="Segoe UI" w:cs="Segoe UI"/>
                <w:b/>
                <w:bCs/>
                <w:w w:val="110"/>
                <w:sz w:val="16"/>
                <w:szCs w:val="16"/>
              </w:rPr>
              <w:br/>
              <w:t>injections</w:t>
            </w:r>
          </w:p>
          <w:p w14:paraId="627D3CA9" w14:textId="20B8E81C" w:rsidR="00A904C6" w:rsidRDefault="00A904C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798D0B23" w14:textId="77777777" w:rsidR="00A904C6" w:rsidRDefault="00A904C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717" w:type="dxa"/>
            <w:gridSpan w:val="2"/>
            <w:shd w:val="clear" w:color="auto" w:fill="D9D9D9" w:themeFill="background1" w:themeFillShade="D9"/>
            <w:hideMark/>
          </w:tcPr>
          <w:p w14:paraId="32F14590" w14:textId="77777777" w:rsidR="00A904C6" w:rsidRDefault="00A904C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Approved appropriation</w:t>
            </w:r>
          </w:p>
          <w:p w14:paraId="6D0664ED" w14:textId="41BC8872" w:rsidR="00A904C6" w:rsidRDefault="00A904C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2024</w:t>
            </w:r>
          </w:p>
          <w:p w14:paraId="295ABA1B" w14:textId="77777777" w:rsidR="00A904C6" w:rsidRDefault="00A904C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r>
      <w:tr w:rsidR="00A904C6" w14:paraId="7FC73984" w14:textId="77777777" w:rsidTr="00A904C6">
        <w:trPr>
          <w:trHeight w:val="354"/>
        </w:trPr>
        <w:tc>
          <w:tcPr>
            <w:tcW w:w="1682" w:type="dxa"/>
          </w:tcPr>
          <w:p w14:paraId="29738865" w14:textId="77777777" w:rsidR="00A904C6" w:rsidRDefault="00A904C6">
            <w:pPr>
              <w:pStyle w:val="TableParagraph"/>
              <w:spacing w:before="60" w:after="60"/>
              <w:ind w:left="-42" w:right="170" w:firstLine="99"/>
              <w:jc w:val="right"/>
              <w:rPr>
                <w:rFonts w:ascii="Segoe UI" w:hAnsi="Segoe UI" w:cs="Segoe UI"/>
                <w:sz w:val="16"/>
                <w:szCs w:val="16"/>
              </w:rPr>
            </w:pPr>
          </w:p>
        </w:tc>
        <w:tc>
          <w:tcPr>
            <w:tcW w:w="3423" w:type="dxa"/>
            <w:hideMark/>
          </w:tcPr>
          <w:p w14:paraId="50445B63" w14:textId="77777777" w:rsidR="00A904C6" w:rsidRDefault="00A904C6">
            <w:pPr>
              <w:pStyle w:val="TableParagraph"/>
              <w:spacing w:before="60" w:after="60"/>
              <w:ind w:left="-42" w:right="152" w:firstLine="99"/>
              <w:rPr>
                <w:rFonts w:ascii="Segoe UI" w:hAnsi="Segoe UI" w:cs="Segoe UI"/>
                <w:w w:val="110"/>
                <w:sz w:val="16"/>
                <w:szCs w:val="16"/>
              </w:rPr>
            </w:pPr>
            <w:r>
              <w:rPr>
                <w:rFonts w:ascii="Segoe UI" w:hAnsi="Segoe UI" w:cs="Segoe UI"/>
                <w:w w:val="110"/>
                <w:sz w:val="16"/>
                <w:szCs w:val="16"/>
              </w:rPr>
              <w:t>Vote: Health</w:t>
            </w:r>
          </w:p>
        </w:tc>
        <w:tc>
          <w:tcPr>
            <w:tcW w:w="1473" w:type="dxa"/>
            <w:gridSpan w:val="2"/>
          </w:tcPr>
          <w:p w14:paraId="6972D6DB" w14:textId="77777777" w:rsidR="00A904C6" w:rsidRDefault="00A904C6">
            <w:pPr>
              <w:pStyle w:val="TableParagraph"/>
              <w:spacing w:before="60" w:after="60"/>
              <w:ind w:left="-42" w:right="152" w:firstLine="99"/>
              <w:jc w:val="right"/>
              <w:rPr>
                <w:rFonts w:ascii="Segoe UI" w:hAnsi="Segoe UI" w:cs="Segoe UI"/>
                <w:w w:val="110"/>
                <w:sz w:val="16"/>
                <w:szCs w:val="16"/>
              </w:rPr>
            </w:pPr>
          </w:p>
        </w:tc>
        <w:tc>
          <w:tcPr>
            <w:tcW w:w="1717" w:type="dxa"/>
            <w:gridSpan w:val="2"/>
          </w:tcPr>
          <w:p w14:paraId="75A96CFE" w14:textId="77777777" w:rsidR="00A904C6" w:rsidRDefault="00A904C6">
            <w:pPr>
              <w:pStyle w:val="TableParagraph"/>
              <w:spacing w:line="20" w:lineRule="exact"/>
              <w:ind w:left="-42" w:right="152" w:firstLine="99"/>
              <w:jc w:val="right"/>
              <w:rPr>
                <w:rFonts w:ascii="Segoe UI" w:hAnsi="Segoe UI" w:cs="Segoe UI"/>
                <w:w w:val="110"/>
                <w:sz w:val="16"/>
                <w:szCs w:val="16"/>
              </w:rPr>
            </w:pPr>
          </w:p>
        </w:tc>
      </w:tr>
      <w:tr w:rsidR="00A904C6" w14:paraId="7D71398F" w14:textId="77777777" w:rsidTr="00A904C6">
        <w:trPr>
          <w:trHeight w:val="348"/>
        </w:trPr>
        <w:tc>
          <w:tcPr>
            <w:tcW w:w="1682" w:type="dxa"/>
            <w:tcBorders>
              <w:top w:val="nil"/>
              <w:left w:val="nil"/>
              <w:bottom w:val="single" w:sz="4" w:space="0" w:color="A6A6A6" w:themeColor="background1" w:themeShade="A6"/>
              <w:right w:val="nil"/>
            </w:tcBorders>
            <w:hideMark/>
          </w:tcPr>
          <w:p w14:paraId="18F676DD" w14:textId="0DFD37E9" w:rsidR="00A904C6" w:rsidRDefault="00A904C6">
            <w:pPr>
              <w:pStyle w:val="TableParagraph"/>
              <w:spacing w:before="60" w:after="60"/>
              <w:ind w:left="-42" w:right="170" w:firstLine="99"/>
              <w:jc w:val="right"/>
              <w:rPr>
                <w:rFonts w:ascii="Segoe UI" w:hAnsi="Segoe UI" w:cs="Segoe UI"/>
                <w:sz w:val="16"/>
                <w:szCs w:val="16"/>
              </w:rPr>
            </w:pPr>
            <w:r>
              <w:rPr>
                <w:rFonts w:ascii="Segoe UI" w:hAnsi="Segoe UI" w:cs="Segoe UI"/>
                <w:sz w:val="16"/>
                <w:szCs w:val="16"/>
              </w:rPr>
              <w:t>943</w:t>
            </w:r>
          </w:p>
        </w:tc>
        <w:tc>
          <w:tcPr>
            <w:tcW w:w="3423" w:type="dxa"/>
            <w:tcBorders>
              <w:top w:val="nil"/>
              <w:left w:val="nil"/>
              <w:bottom w:val="single" w:sz="4" w:space="0" w:color="A6A6A6" w:themeColor="background1" w:themeShade="A6"/>
              <w:right w:val="nil"/>
            </w:tcBorders>
            <w:hideMark/>
          </w:tcPr>
          <w:p w14:paraId="423AC424" w14:textId="77777777" w:rsidR="00A904C6" w:rsidRDefault="00A904C6">
            <w:pPr>
              <w:pStyle w:val="TableParagraph"/>
              <w:spacing w:before="60" w:after="60"/>
              <w:ind w:left="-42" w:right="152" w:firstLine="99"/>
              <w:rPr>
                <w:rFonts w:ascii="Segoe UI" w:hAnsi="Segoe UI" w:cs="Segoe UI"/>
                <w:w w:val="110"/>
                <w:sz w:val="16"/>
                <w:szCs w:val="16"/>
              </w:rPr>
            </w:pPr>
            <w:r>
              <w:rPr>
                <w:rFonts w:ascii="Segoe UI" w:hAnsi="Segoe UI" w:cs="Segoe UI"/>
                <w:w w:val="110"/>
                <w:sz w:val="16"/>
                <w:szCs w:val="16"/>
              </w:rPr>
              <w:t>Ministry of Health — capital injection</w:t>
            </w:r>
          </w:p>
        </w:tc>
        <w:tc>
          <w:tcPr>
            <w:tcW w:w="1473" w:type="dxa"/>
            <w:gridSpan w:val="2"/>
            <w:tcBorders>
              <w:top w:val="nil"/>
              <w:left w:val="nil"/>
              <w:bottom w:val="single" w:sz="4" w:space="0" w:color="A6A6A6" w:themeColor="background1" w:themeShade="A6"/>
              <w:right w:val="nil"/>
            </w:tcBorders>
            <w:hideMark/>
          </w:tcPr>
          <w:p w14:paraId="63837A55" w14:textId="03FAC367" w:rsidR="00A904C6" w:rsidRDefault="00A904C6">
            <w:pPr>
              <w:pStyle w:val="TableParagraph"/>
              <w:spacing w:before="60" w:after="60"/>
              <w:ind w:left="-42" w:right="152" w:firstLine="99"/>
              <w:jc w:val="right"/>
              <w:rPr>
                <w:rFonts w:ascii="Segoe UI" w:hAnsi="Segoe UI" w:cs="Segoe UI"/>
                <w:w w:val="110"/>
                <w:sz w:val="16"/>
                <w:szCs w:val="16"/>
              </w:rPr>
            </w:pPr>
            <w:r>
              <w:rPr>
                <w:rFonts w:ascii="Segoe UI" w:hAnsi="Segoe UI" w:cs="Segoe UI"/>
                <w:w w:val="110"/>
                <w:sz w:val="16"/>
                <w:szCs w:val="16"/>
              </w:rPr>
              <w:t>-</w:t>
            </w:r>
          </w:p>
        </w:tc>
        <w:tc>
          <w:tcPr>
            <w:tcW w:w="1717" w:type="dxa"/>
            <w:gridSpan w:val="2"/>
            <w:tcBorders>
              <w:top w:val="nil"/>
              <w:left w:val="nil"/>
              <w:bottom w:val="single" w:sz="4" w:space="0" w:color="A6A6A6" w:themeColor="background1" w:themeShade="A6"/>
              <w:right w:val="nil"/>
            </w:tcBorders>
            <w:hideMark/>
          </w:tcPr>
          <w:p w14:paraId="45F9063D" w14:textId="357A505C" w:rsidR="00A904C6" w:rsidRDefault="00A904C6">
            <w:pPr>
              <w:pStyle w:val="TableParagraph"/>
              <w:spacing w:before="45"/>
              <w:ind w:left="-42" w:right="152" w:firstLine="99"/>
              <w:jc w:val="right"/>
              <w:rPr>
                <w:rFonts w:ascii="Segoe UI" w:hAnsi="Segoe UI" w:cs="Segoe UI"/>
                <w:w w:val="110"/>
                <w:sz w:val="16"/>
                <w:szCs w:val="16"/>
              </w:rPr>
            </w:pPr>
            <w:r>
              <w:rPr>
                <w:rFonts w:ascii="Segoe UI" w:hAnsi="Segoe UI" w:cs="Segoe UI"/>
                <w:w w:val="110"/>
                <w:sz w:val="16"/>
                <w:szCs w:val="16"/>
              </w:rPr>
              <w:t>-</w:t>
            </w:r>
          </w:p>
        </w:tc>
      </w:tr>
    </w:tbl>
    <w:p w14:paraId="59B82E7B" w14:textId="77777777" w:rsidR="00A904C6" w:rsidRDefault="00A904C6" w:rsidP="00A904C6">
      <w:pPr>
        <w:pStyle w:val="Heading3"/>
      </w:pPr>
      <w:r>
        <w:t>Statement of departmental capital injections without, or in excess of, authority for the year ended 30 June 2024</w:t>
      </w:r>
    </w:p>
    <w:p w14:paraId="7CA51D0E" w14:textId="77777777" w:rsidR="00A904C6" w:rsidRDefault="00A904C6" w:rsidP="00A904C6">
      <w:pPr>
        <w:sectPr w:rsidR="00A904C6" w:rsidSect="000A3324">
          <w:pgSz w:w="11907" w:h="16840" w:code="9"/>
          <w:pgMar w:top="1418" w:right="1701" w:bottom="1134" w:left="1843" w:header="284" w:footer="425" w:gutter="284"/>
          <w:cols w:space="720"/>
        </w:sectPr>
      </w:pPr>
      <w:r>
        <w:t>The Ministry has not received any capital injections during the year without, or in excess, of authority.</w:t>
      </w:r>
    </w:p>
    <w:p w14:paraId="3B6DA975" w14:textId="77777777" w:rsidR="00A904C6" w:rsidRDefault="00A904C6" w:rsidP="00A904C6">
      <w:pPr>
        <w:pStyle w:val="Heading3"/>
        <w:spacing w:before="0"/>
      </w:pPr>
      <w:r>
        <w:lastRenderedPageBreak/>
        <w:t>Statement of budgeted and actual expenses and capital expenditure incurred against appropriations for the year ended 30 June 2024</w:t>
      </w:r>
    </w:p>
    <w:p w14:paraId="790ABD39" w14:textId="0F3F825C" w:rsidR="00A904C6" w:rsidRDefault="00A904C6" w:rsidP="00A904C6">
      <w:r>
        <w:t>Transfers under section 26A of the Public Finance Act 1989 for Vote Health</w:t>
      </w:r>
    </w:p>
    <w:p w14:paraId="1278C1EB" w14:textId="77777777" w:rsidR="00A904C6" w:rsidRDefault="00A904C6" w:rsidP="00A904C6"/>
    <w:p w14:paraId="2C0A3E1A" w14:textId="0ECA4C9F" w:rsidR="00A904C6" w:rsidRDefault="00A904C6" w:rsidP="00A904C6">
      <w:r>
        <w:t>There were no appropriation transfers or adjustments made in the Supplementary Estimates under section 26A of the Public Finance Act 1989.</w:t>
      </w:r>
    </w:p>
    <w:p w14:paraId="01EA2950" w14:textId="77777777" w:rsidR="00A904C6" w:rsidRDefault="00A904C6" w:rsidP="00A904C6"/>
    <w:p w14:paraId="1FFD31CE" w14:textId="77777777" w:rsidR="00A904C6" w:rsidRDefault="00A904C6" w:rsidP="00A904C6">
      <w:r>
        <w:t>Statement of expenses and capital expenditure incurred without, or in excess of, appropriation or other authority for the year ended 30 June 2024</w:t>
      </w:r>
    </w:p>
    <w:p w14:paraId="182577F6" w14:textId="3DB40B38" w:rsidR="00A904C6" w:rsidRDefault="00A904C6" w:rsidP="00A904C6">
      <w:pPr>
        <w:pStyle w:val="Heading5"/>
      </w:pPr>
      <w:r>
        <w:t xml:space="preserve">Expenses and capital expenditure incurred in excess of </w:t>
      </w:r>
      <w:proofErr w:type="gramStart"/>
      <w:r>
        <w:t>appropriation</w:t>
      </w:r>
      <w:proofErr w:type="gramEnd"/>
    </w:p>
    <w:tbl>
      <w:tblPr>
        <w:tblW w:w="8370" w:type="dxa"/>
        <w:tblLayout w:type="fixed"/>
        <w:tblCellMar>
          <w:left w:w="0" w:type="dxa"/>
          <w:right w:w="0" w:type="dxa"/>
        </w:tblCellMar>
        <w:tblLook w:val="01E0" w:firstRow="1" w:lastRow="1" w:firstColumn="1" w:lastColumn="1" w:noHBand="0" w:noVBand="0"/>
      </w:tblPr>
      <w:tblGrid>
        <w:gridCol w:w="3400"/>
        <w:gridCol w:w="1576"/>
        <w:gridCol w:w="1667"/>
        <w:gridCol w:w="1727"/>
      </w:tblGrid>
      <w:tr w:rsidR="00A904C6" w14:paraId="6CE6A14B" w14:textId="77777777" w:rsidTr="00A904C6">
        <w:trPr>
          <w:trHeight w:val="1004"/>
        </w:trPr>
        <w:tc>
          <w:tcPr>
            <w:tcW w:w="3400" w:type="dxa"/>
            <w:shd w:val="clear" w:color="auto" w:fill="D9D9D9" w:themeFill="background1" w:themeFillShade="D9"/>
          </w:tcPr>
          <w:p w14:paraId="2E390B7A" w14:textId="77777777" w:rsidR="00A904C6" w:rsidRDefault="00A904C6">
            <w:pPr>
              <w:pStyle w:val="TableParagraph"/>
              <w:tabs>
                <w:tab w:val="left" w:pos="3733"/>
              </w:tabs>
              <w:spacing w:line="20" w:lineRule="exact"/>
              <w:ind w:left="-19"/>
              <w:rPr>
                <w:rFonts w:ascii="Arial"/>
                <w:sz w:val="2"/>
              </w:rPr>
            </w:pPr>
            <w:r>
              <w:rPr>
                <w:rFonts w:ascii="Arial"/>
                <w:sz w:val="2"/>
              </w:rPr>
              <w:tab/>
            </w:r>
          </w:p>
          <w:p w14:paraId="5D7A15C5" w14:textId="77777777" w:rsidR="00A904C6" w:rsidRDefault="00A904C6">
            <w:pPr>
              <w:pStyle w:val="TableParagraph"/>
              <w:rPr>
                <w:rFonts w:ascii="Arial"/>
                <w:b/>
                <w:sz w:val="20"/>
              </w:rPr>
            </w:pPr>
          </w:p>
          <w:p w14:paraId="2FA2073A" w14:textId="77777777" w:rsidR="00A904C6" w:rsidRDefault="00A904C6">
            <w:pPr>
              <w:pStyle w:val="TableParagraph"/>
              <w:rPr>
                <w:rFonts w:ascii="Arial"/>
                <w:b/>
                <w:sz w:val="20"/>
              </w:rPr>
            </w:pPr>
          </w:p>
          <w:p w14:paraId="75FBFBAE" w14:textId="77777777" w:rsidR="00A904C6" w:rsidRDefault="00A904C6">
            <w:pPr>
              <w:pStyle w:val="TableParagraph"/>
              <w:rPr>
                <w:rFonts w:ascii="Arial"/>
                <w:b/>
                <w:sz w:val="20"/>
              </w:rPr>
            </w:pPr>
          </w:p>
          <w:p w14:paraId="5EF34A94" w14:textId="77777777" w:rsidR="00A904C6" w:rsidRDefault="00A904C6">
            <w:pPr>
              <w:pStyle w:val="TableParagraph"/>
              <w:spacing w:before="6"/>
              <w:rPr>
                <w:rFonts w:ascii="Arial"/>
                <w:b/>
                <w:sz w:val="25"/>
              </w:rPr>
            </w:pPr>
          </w:p>
          <w:p w14:paraId="36810016" w14:textId="77777777" w:rsidR="00A904C6" w:rsidRDefault="00A904C6">
            <w:pPr>
              <w:pStyle w:val="TableParagraph"/>
              <w:tabs>
                <w:tab w:val="left" w:pos="3733"/>
              </w:tabs>
              <w:spacing w:line="20" w:lineRule="exact"/>
              <w:ind w:left="-19"/>
              <w:rPr>
                <w:rFonts w:ascii="Arial"/>
                <w:sz w:val="2"/>
              </w:rPr>
            </w:pPr>
            <w:r>
              <w:rPr>
                <w:rFonts w:ascii="Arial"/>
                <w:sz w:val="2"/>
              </w:rPr>
              <w:tab/>
            </w:r>
          </w:p>
        </w:tc>
        <w:tc>
          <w:tcPr>
            <w:tcW w:w="1576" w:type="dxa"/>
            <w:shd w:val="clear" w:color="auto" w:fill="D9D9D9" w:themeFill="background1" w:themeFillShade="D9"/>
          </w:tcPr>
          <w:p w14:paraId="0DED0A30" w14:textId="22780CE2" w:rsidR="00A904C6" w:rsidRDefault="00CD066D">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br/>
            </w:r>
            <w:r w:rsidR="00A904C6">
              <w:rPr>
                <w:rFonts w:ascii="Segoe UI" w:hAnsi="Segoe UI" w:cs="Segoe UI"/>
                <w:b/>
                <w:bCs/>
                <w:w w:val="110"/>
                <w:sz w:val="16"/>
                <w:szCs w:val="16"/>
              </w:rPr>
              <w:t>Expenditure</w:t>
            </w:r>
          </w:p>
          <w:p w14:paraId="59AC7DC5" w14:textId="406F526C" w:rsidR="00A904C6" w:rsidRDefault="00A904C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w:t>
            </w:r>
            <w:r w:rsidR="00CD066D">
              <w:rPr>
                <w:rFonts w:ascii="Segoe UI" w:hAnsi="Segoe UI" w:cs="Segoe UI"/>
                <w:b/>
                <w:bCs/>
                <w:w w:val="110"/>
                <w:sz w:val="16"/>
                <w:szCs w:val="16"/>
              </w:rPr>
              <w:t>4</w:t>
            </w:r>
          </w:p>
          <w:p w14:paraId="4AECC5F0" w14:textId="77777777" w:rsidR="00A904C6" w:rsidRDefault="00A904C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667" w:type="dxa"/>
            <w:shd w:val="clear" w:color="auto" w:fill="D9D9D9" w:themeFill="background1" w:themeFillShade="D9"/>
            <w:hideMark/>
          </w:tcPr>
          <w:p w14:paraId="7872756E" w14:textId="77777777" w:rsidR="00A904C6" w:rsidRDefault="00A904C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Approved appropriation</w:t>
            </w:r>
          </w:p>
          <w:p w14:paraId="5A0FF6B8" w14:textId="37A1600F" w:rsidR="00A904C6" w:rsidRDefault="00A904C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w:t>
            </w:r>
            <w:r w:rsidR="00CD066D">
              <w:rPr>
                <w:rFonts w:ascii="Segoe UI" w:hAnsi="Segoe UI" w:cs="Segoe UI"/>
                <w:b/>
                <w:bCs/>
                <w:w w:val="110"/>
                <w:sz w:val="16"/>
                <w:szCs w:val="16"/>
              </w:rPr>
              <w:t>4</w:t>
            </w:r>
          </w:p>
          <w:p w14:paraId="3178D121" w14:textId="77777777" w:rsidR="00A904C6" w:rsidRDefault="00A904C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c>
          <w:tcPr>
            <w:tcW w:w="1727" w:type="dxa"/>
            <w:shd w:val="clear" w:color="auto" w:fill="D9D9D9" w:themeFill="background1" w:themeFillShade="D9"/>
            <w:hideMark/>
          </w:tcPr>
          <w:p w14:paraId="02FBA221" w14:textId="77777777" w:rsidR="00A904C6" w:rsidRDefault="00A904C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Unappropriated expenditure</w:t>
            </w:r>
          </w:p>
          <w:p w14:paraId="0A8775E0" w14:textId="1EFB1C44" w:rsidR="00A904C6" w:rsidRDefault="00A904C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202</w:t>
            </w:r>
            <w:r w:rsidR="00CD066D">
              <w:rPr>
                <w:rFonts w:ascii="Segoe UI" w:hAnsi="Segoe UI" w:cs="Segoe UI"/>
                <w:b/>
                <w:bCs/>
                <w:w w:val="110"/>
                <w:sz w:val="16"/>
                <w:szCs w:val="16"/>
              </w:rPr>
              <w:t>4</w:t>
            </w:r>
          </w:p>
          <w:p w14:paraId="09C1DA76" w14:textId="77777777" w:rsidR="00A904C6" w:rsidRDefault="00A904C6">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t>$000</w:t>
            </w:r>
          </w:p>
        </w:tc>
      </w:tr>
      <w:tr w:rsidR="00A904C6" w14:paraId="440BE2F3" w14:textId="77777777" w:rsidTr="00A904C6">
        <w:trPr>
          <w:trHeight w:val="334"/>
        </w:trPr>
        <w:tc>
          <w:tcPr>
            <w:tcW w:w="3400" w:type="dxa"/>
            <w:hideMark/>
          </w:tcPr>
          <w:p w14:paraId="66C6B348" w14:textId="77777777" w:rsidR="00A904C6" w:rsidRDefault="00A904C6">
            <w:pPr>
              <w:pStyle w:val="TableParagraph"/>
              <w:spacing w:before="60" w:after="60"/>
              <w:ind w:left="66" w:hanging="5"/>
              <w:rPr>
                <w:rFonts w:ascii="Segoe UI" w:hAnsi="Segoe UI" w:cs="Segoe UI"/>
                <w:b/>
                <w:bCs/>
                <w:w w:val="105"/>
                <w:sz w:val="16"/>
                <w:szCs w:val="16"/>
              </w:rPr>
            </w:pPr>
            <w:r>
              <w:rPr>
                <w:rFonts w:ascii="Segoe UI" w:hAnsi="Segoe UI" w:cs="Segoe UI"/>
                <w:b/>
                <w:bCs/>
                <w:w w:val="105"/>
                <w:sz w:val="16"/>
                <w:szCs w:val="16"/>
              </w:rPr>
              <w:t>Non-departmental other expenses</w:t>
            </w:r>
          </w:p>
        </w:tc>
        <w:tc>
          <w:tcPr>
            <w:tcW w:w="1576" w:type="dxa"/>
          </w:tcPr>
          <w:p w14:paraId="6FD8BFD3" w14:textId="77777777" w:rsidR="00A904C6" w:rsidRDefault="00A904C6">
            <w:pPr>
              <w:pStyle w:val="TableParagraph"/>
              <w:spacing w:before="60" w:after="60"/>
              <w:ind w:left="-42" w:right="152" w:firstLine="99"/>
              <w:jc w:val="right"/>
              <w:rPr>
                <w:rFonts w:ascii="Segoe UI" w:hAnsi="Segoe UI" w:cs="Segoe UI"/>
                <w:b/>
                <w:bCs/>
                <w:w w:val="110"/>
                <w:sz w:val="16"/>
                <w:szCs w:val="16"/>
              </w:rPr>
            </w:pPr>
          </w:p>
        </w:tc>
        <w:tc>
          <w:tcPr>
            <w:tcW w:w="1667" w:type="dxa"/>
          </w:tcPr>
          <w:p w14:paraId="6943E65B" w14:textId="77777777" w:rsidR="00A904C6" w:rsidRDefault="00A904C6">
            <w:pPr>
              <w:pStyle w:val="TableParagraph"/>
              <w:spacing w:before="60" w:after="60"/>
              <w:ind w:left="-42" w:right="152" w:firstLine="99"/>
              <w:jc w:val="right"/>
              <w:rPr>
                <w:rFonts w:ascii="Segoe UI" w:hAnsi="Segoe UI" w:cs="Segoe UI"/>
                <w:b/>
                <w:bCs/>
                <w:w w:val="110"/>
                <w:sz w:val="16"/>
                <w:szCs w:val="16"/>
              </w:rPr>
            </w:pPr>
          </w:p>
        </w:tc>
        <w:tc>
          <w:tcPr>
            <w:tcW w:w="1727" w:type="dxa"/>
          </w:tcPr>
          <w:p w14:paraId="6CE90FB1" w14:textId="77777777" w:rsidR="00A904C6" w:rsidRDefault="00A904C6">
            <w:pPr>
              <w:pStyle w:val="TableParagraph"/>
              <w:spacing w:before="60" w:after="60"/>
              <w:ind w:left="-42" w:right="152" w:firstLine="99"/>
              <w:jc w:val="right"/>
              <w:rPr>
                <w:rFonts w:ascii="Segoe UI" w:hAnsi="Segoe UI" w:cs="Segoe UI"/>
                <w:b/>
                <w:bCs/>
                <w:w w:val="110"/>
                <w:sz w:val="16"/>
                <w:szCs w:val="16"/>
              </w:rPr>
            </w:pPr>
          </w:p>
        </w:tc>
      </w:tr>
      <w:tr w:rsidR="00A904C6" w14:paraId="35EAA641" w14:textId="77777777" w:rsidTr="00A904C6">
        <w:trPr>
          <w:trHeight w:val="348"/>
        </w:trPr>
        <w:tc>
          <w:tcPr>
            <w:tcW w:w="3400" w:type="dxa"/>
            <w:tcBorders>
              <w:top w:val="nil"/>
              <w:left w:val="nil"/>
              <w:bottom w:val="single" w:sz="4" w:space="0" w:color="A6A6A6" w:themeColor="background1" w:themeShade="A6"/>
              <w:right w:val="nil"/>
            </w:tcBorders>
            <w:hideMark/>
          </w:tcPr>
          <w:p w14:paraId="5122CD2A" w14:textId="77777777" w:rsidR="00A904C6" w:rsidRDefault="00A904C6" w:rsidP="00A904C6">
            <w:pPr>
              <w:pStyle w:val="TableParagraph"/>
              <w:spacing w:before="60" w:after="60"/>
              <w:ind w:left="66" w:hanging="5"/>
              <w:rPr>
                <w:rFonts w:ascii="Segoe UI" w:hAnsi="Segoe UI" w:cs="Segoe UI"/>
                <w:w w:val="105"/>
                <w:sz w:val="16"/>
                <w:szCs w:val="16"/>
              </w:rPr>
            </w:pPr>
            <w:r>
              <w:rPr>
                <w:rFonts w:ascii="Segoe UI" w:hAnsi="Segoe UI" w:cs="Segoe UI"/>
                <w:w w:val="105"/>
                <w:sz w:val="16"/>
                <w:szCs w:val="16"/>
              </w:rPr>
              <w:t>Legal expenses</w:t>
            </w:r>
          </w:p>
        </w:tc>
        <w:tc>
          <w:tcPr>
            <w:tcW w:w="1576" w:type="dxa"/>
            <w:tcBorders>
              <w:top w:val="nil"/>
              <w:left w:val="nil"/>
              <w:bottom w:val="single" w:sz="4" w:space="0" w:color="A6A6A6" w:themeColor="background1" w:themeShade="A6"/>
              <w:right w:val="nil"/>
            </w:tcBorders>
            <w:hideMark/>
          </w:tcPr>
          <w:p w14:paraId="3F25A298" w14:textId="3C02A5E5" w:rsidR="00A904C6" w:rsidRPr="00A904C6" w:rsidRDefault="00A904C6" w:rsidP="00A904C6">
            <w:pPr>
              <w:pStyle w:val="TableParagraph"/>
              <w:spacing w:before="60" w:after="60"/>
              <w:ind w:left="-42" w:right="170" w:firstLine="99"/>
              <w:jc w:val="right"/>
              <w:rPr>
                <w:rFonts w:ascii="Segoe UI" w:hAnsi="Segoe UI" w:cs="Segoe UI"/>
                <w:sz w:val="16"/>
                <w:szCs w:val="16"/>
              </w:rPr>
            </w:pPr>
            <w:r w:rsidRPr="00A904C6">
              <w:rPr>
                <w:rFonts w:ascii="Segoe UI" w:hAnsi="Segoe UI" w:cs="Segoe UI"/>
                <w:sz w:val="16"/>
                <w:szCs w:val="16"/>
              </w:rPr>
              <w:t>1,586*</w:t>
            </w:r>
          </w:p>
        </w:tc>
        <w:tc>
          <w:tcPr>
            <w:tcW w:w="1667" w:type="dxa"/>
            <w:tcBorders>
              <w:top w:val="nil"/>
              <w:left w:val="nil"/>
              <w:bottom w:val="single" w:sz="4" w:space="0" w:color="A6A6A6" w:themeColor="background1" w:themeShade="A6"/>
              <w:right w:val="nil"/>
            </w:tcBorders>
            <w:hideMark/>
          </w:tcPr>
          <w:p w14:paraId="21DB6EFF" w14:textId="255DD446" w:rsidR="00A904C6" w:rsidRPr="00A904C6" w:rsidRDefault="00A904C6" w:rsidP="00A904C6">
            <w:pPr>
              <w:pStyle w:val="TableParagraph"/>
              <w:spacing w:before="60" w:after="60"/>
              <w:ind w:left="-42" w:right="170" w:firstLine="99"/>
              <w:jc w:val="right"/>
              <w:rPr>
                <w:rFonts w:ascii="Segoe UI" w:hAnsi="Segoe UI" w:cs="Segoe UI"/>
                <w:sz w:val="16"/>
                <w:szCs w:val="16"/>
              </w:rPr>
            </w:pPr>
            <w:r w:rsidRPr="00A904C6">
              <w:rPr>
                <w:rFonts w:ascii="Segoe UI" w:hAnsi="Segoe UI" w:cs="Segoe UI"/>
                <w:sz w:val="16"/>
                <w:szCs w:val="16"/>
              </w:rPr>
              <w:t>1,208*</w:t>
            </w:r>
          </w:p>
        </w:tc>
        <w:tc>
          <w:tcPr>
            <w:tcW w:w="1727" w:type="dxa"/>
            <w:tcBorders>
              <w:top w:val="nil"/>
              <w:left w:val="nil"/>
              <w:bottom w:val="single" w:sz="4" w:space="0" w:color="A6A6A6" w:themeColor="background1" w:themeShade="A6"/>
              <w:right w:val="nil"/>
            </w:tcBorders>
            <w:hideMark/>
          </w:tcPr>
          <w:p w14:paraId="7A3DF4F0" w14:textId="2F948FCB" w:rsidR="00A904C6" w:rsidRPr="00A904C6" w:rsidRDefault="00A904C6" w:rsidP="00A904C6">
            <w:pPr>
              <w:pStyle w:val="TableParagraph"/>
              <w:spacing w:before="60" w:after="60"/>
              <w:ind w:left="-42" w:right="170" w:firstLine="99"/>
              <w:jc w:val="right"/>
              <w:rPr>
                <w:rFonts w:ascii="Segoe UI" w:hAnsi="Segoe UI" w:cs="Segoe UI"/>
                <w:sz w:val="16"/>
                <w:szCs w:val="16"/>
              </w:rPr>
            </w:pPr>
            <w:r w:rsidRPr="00A904C6">
              <w:rPr>
                <w:rFonts w:ascii="Segoe UI" w:hAnsi="Segoe UI" w:cs="Segoe UI"/>
                <w:sz w:val="16"/>
                <w:szCs w:val="16"/>
              </w:rPr>
              <w:t>378*</w:t>
            </w:r>
          </w:p>
        </w:tc>
      </w:tr>
    </w:tbl>
    <w:p w14:paraId="176EFCD7" w14:textId="77777777" w:rsidR="00A904C6" w:rsidRDefault="00A904C6" w:rsidP="00A904C6">
      <w:pPr>
        <w:pStyle w:val="Note"/>
      </w:pPr>
      <w:r>
        <w:t xml:space="preserve">* The figures are reflected as </w:t>
      </w:r>
      <w:proofErr w:type="gramStart"/>
      <w:r>
        <w:t>at</w:t>
      </w:r>
      <w:proofErr w:type="gramEnd"/>
      <w:r>
        <w:t xml:space="preserve"> 31 March 2024.</w:t>
      </w:r>
    </w:p>
    <w:p w14:paraId="2F29BDA2" w14:textId="77777777" w:rsidR="00A904C6" w:rsidRDefault="00A904C6" w:rsidP="00A904C6"/>
    <w:p w14:paraId="17E692A2" w14:textId="6F5CB0D0" w:rsidR="00A904C6" w:rsidRDefault="00A904C6" w:rsidP="00A904C6">
      <w:r>
        <w:t>This expenditure relates to the defence and settlement of health-related or disability-related legal claims against the Crown.</w:t>
      </w:r>
    </w:p>
    <w:p w14:paraId="51F807E8" w14:textId="77777777" w:rsidR="00A904C6" w:rsidRDefault="00A904C6" w:rsidP="00A904C6"/>
    <w:p w14:paraId="0394121E" w14:textId="63301210" w:rsidR="00A904C6" w:rsidRDefault="00A904C6" w:rsidP="00A904C6">
      <w:r>
        <w:t>In March 2024, the Ministry recorded an expense of $1.586 million against the Non-Departmental Other Expense – Legal Expenses appropriation that has total recorded authority of $1.208 million, resulting in technical unappropriated expenditure for the month of $378,000.</w:t>
      </w:r>
    </w:p>
    <w:p w14:paraId="4280307B" w14:textId="77777777" w:rsidR="00A904C6" w:rsidRDefault="00A904C6" w:rsidP="00A904C6"/>
    <w:p w14:paraId="0D8612B6" w14:textId="331005FD" w:rsidR="00A904C6" w:rsidRDefault="00A904C6" w:rsidP="00A904C6">
      <w:r>
        <w:t>In the March 2024 Baseline Update, the Ministry sought a change in this appropriation to increase it, reflecting a forecast increase in legal costs for 2023/24. It was expected that the changes would be approved prior to the end of March 2024 before the appropriation was breached, however the change to the appropriation was approved later than anticipated, on the 3 April 2024. As the increase to appropriation was approved after the expenditure was incurred, the Ministry had expenditure that exceeded the appropriation in the month of March 2024.</w:t>
      </w:r>
    </w:p>
    <w:p w14:paraId="08C29B46" w14:textId="77777777" w:rsidR="00A904C6" w:rsidRDefault="00A904C6" w:rsidP="00A904C6"/>
    <w:p w14:paraId="139B141D" w14:textId="77777777" w:rsidR="00A904C6" w:rsidRDefault="00A904C6" w:rsidP="00A904C6">
      <w:r>
        <w:t>The additional authority for subsequent expenditure to be incurred was authorised under imprest supply and included in the Supplementary Estimates of Appropriations 2023/24 in Vote Health. There was no further unappropriated expenditure for the remainder of the 2023/24.</w:t>
      </w:r>
    </w:p>
    <w:p w14:paraId="3CAC6012" w14:textId="77777777" w:rsidR="00A904C6" w:rsidRDefault="00A904C6" w:rsidP="00A904C6">
      <w:pPr>
        <w:pStyle w:val="Heading5"/>
      </w:pPr>
      <w:r>
        <w:t xml:space="preserve">Expenses and capital expenditure incurred without appropriation or outside scope or period of </w:t>
      </w:r>
      <w:proofErr w:type="gramStart"/>
      <w:r>
        <w:t>appropriation</w:t>
      </w:r>
      <w:proofErr w:type="gramEnd"/>
    </w:p>
    <w:p w14:paraId="269F5A29" w14:textId="77777777" w:rsidR="00A904C6" w:rsidRDefault="00A904C6" w:rsidP="00A904C6">
      <w:pPr>
        <w:sectPr w:rsidR="00A904C6" w:rsidSect="000A3324">
          <w:pgSz w:w="11907" w:h="16840" w:code="9"/>
          <w:pgMar w:top="1418" w:right="1701" w:bottom="1134" w:left="1843" w:header="284" w:footer="425" w:gutter="284"/>
          <w:cols w:space="720"/>
        </w:sectPr>
      </w:pPr>
      <w:r>
        <w:t>Nil.</w:t>
      </w:r>
    </w:p>
    <w:p w14:paraId="40B039C9" w14:textId="2C0DC981" w:rsidR="00A904C6" w:rsidRDefault="00A904C6" w:rsidP="00A904C6">
      <w:pPr>
        <w:pStyle w:val="Heading1"/>
      </w:pPr>
      <w:bookmarkStart w:id="50" w:name="_Toc180077046"/>
      <w:r w:rsidRPr="00A904C6">
        <w:lastRenderedPageBreak/>
        <w:t>Appendices</w:t>
      </w:r>
      <w:r>
        <w:t xml:space="preserve"> </w:t>
      </w:r>
      <w:r w:rsidR="00DA365D">
        <w:t>–</w:t>
      </w:r>
      <w:r w:rsidRPr="00A904C6">
        <w:t xml:space="preserve"> Ngā āpitihanga</w:t>
      </w:r>
      <w:bookmarkEnd w:id="50"/>
    </w:p>
    <w:p w14:paraId="0E14C214" w14:textId="77777777" w:rsidR="00A904C6" w:rsidRDefault="00A904C6" w:rsidP="00A904C6">
      <w:pPr>
        <w:pStyle w:val="Heading2"/>
      </w:pPr>
      <w:bookmarkStart w:id="51" w:name="_Toc180077047"/>
      <w:r>
        <w:t>Appendix 1: Legal and regulatory framework</w:t>
      </w:r>
      <w:bookmarkEnd w:id="51"/>
    </w:p>
    <w:p w14:paraId="197226A5" w14:textId="77777777" w:rsidR="00A904C6" w:rsidRDefault="00A904C6" w:rsidP="00A904C6">
      <w:r>
        <w:t>The Ministry is responsible for overseeing the legal and regulatory framework of the health and disability system in Aotearoa New Zealand.</w:t>
      </w:r>
    </w:p>
    <w:p w14:paraId="209CC907" w14:textId="77777777" w:rsidR="00A904C6" w:rsidRDefault="00A904C6" w:rsidP="00A904C6"/>
    <w:p w14:paraId="7EC5655A" w14:textId="01A403A7" w:rsidR="00A904C6" w:rsidRDefault="00A904C6" w:rsidP="00A904C6">
      <w:r>
        <w:t>By administering a wide range of regulations and legislative tools, we keep the system safe, equitable and relevant. Regulating the health and disability system helps provide assurance to all New Zealanders that the system is fair and that the services offered can be trusted.</w:t>
      </w:r>
    </w:p>
    <w:p w14:paraId="0C2CD7BE" w14:textId="77777777" w:rsidR="00A904C6" w:rsidRDefault="00A904C6" w:rsidP="00A904C6"/>
    <w:p w14:paraId="273C85CE" w14:textId="77777777" w:rsidR="00A904C6" w:rsidRDefault="00A904C6" w:rsidP="00A904C6">
      <w:r>
        <w:t>Here we summarise the main pieces of legislation we administer within the health and disability system.</w:t>
      </w:r>
    </w:p>
    <w:p w14:paraId="74AC4BDF" w14:textId="77777777" w:rsidR="00A904C6" w:rsidRDefault="00A904C6" w:rsidP="00A904C6">
      <w:pPr>
        <w:pStyle w:val="Heading3"/>
      </w:pPr>
      <w:r>
        <w:t>Legislation administered by the Ministry of Health</w:t>
      </w:r>
    </w:p>
    <w:p w14:paraId="32EF2587" w14:textId="10E7A2E0" w:rsidR="00A904C6" w:rsidRDefault="00A904C6" w:rsidP="00A904C6">
      <w:r>
        <w:t>In 2023/24, the Ministry administered over 30 pieces of legislation, steering the national health and disability system:</w:t>
      </w:r>
    </w:p>
    <w:p w14:paraId="78B36DB8" w14:textId="1A70866B" w:rsidR="00A904C6" w:rsidRDefault="00A904C6" w:rsidP="00A904C6">
      <w:pPr>
        <w:pStyle w:val="Bullet"/>
      </w:pPr>
      <w:r>
        <w:t>Burial and Cremation Act 1964</w:t>
      </w:r>
    </w:p>
    <w:p w14:paraId="16852AC6" w14:textId="39803B29" w:rsidR="00A904C6" w:rsidRDefault="00A904C6" w:rsidP="00A904C6">
      <w:pPr>
        <w:pStyle w:val="Bullet"/>
      </w:pPr>
      <w:r>
        <w:t>Cancer Registry Act 1993</w:t>
      </w:r>
    </w:p>
    <w:p w14:paraId="0DC6BC62" w14:textId="49480E36" w:rsidR="00A904C6" w:rsidRDefault="00A904C6" w:rsidP="00A904C6">
      <w:pPr>
        <w:pStyle w:val="Bullet"/>
      </w:pPr>
      <w:r>
        <w:t>Contraception, Sterilisation, and Abortion Act 1977</w:t>
      </w:r>
    </w:p>
    <w:p w14:paraId="1C35B5E6" w14:textId="1BBA1FB9" w:rsidR="00A904C6" w:rsidRDefault="00A904C6" w:rsidP="00A904C6">
      <w:pPr>
        <w:pStyle w:val="Bullet"/>
      </w:pPr>
      <w:r>
        <w:t>Compensation for Live Organ Donors Act 2016</w:t>
      </w:r>
    </w:p>
    <w:p w14:paraId="538FF82B" w14:textId="1350B3F5" w:rsidR="00A904C6" w:rsidRDefault="00A904C6" w:rsidP="00A904C6">
      <w:pPr>
        <w:pStyle w:val="Bullet"/>
      </w:pPr>
      <w:r>
        <w:t>COVID-19 Public Health Response Act 2020</w:t>
      </w:r>
    </w:p>
    <w:p w14:paraId="55306BA0" w14:textId="173A8BC0" w:rsidR="00A904C6" w:rsidRDefault="00A904C6" w:rsidP="00A904C6">
      <w:pPr>
        <w:pStyle w:val="Bullet"/>
      </w:pPr>
      <w:r>
        <w:t>Disabled Persons Community Welfare Act 1975 (Part 2A)</w:t>
      </w:r>
      <w:r w:rsidR="007123AC">
        <w:rPr>
          <w:rStyle w:val="FootnoteReference"/>
        </w:rPr>
        <w:footnoteReference w:id="49"/>
      </w:r>
    </w:p>
    <w:p w14:paraId="3D9DC971" w14:textId="56E338AE" w:rsidR="00A904C6" w:rsidRDefault="00A904C6" w:rsidP="00A904C6">
      <w:pPr>
        <w:pStyle w:val="Bullet"/>
      </w:pPr>
      <w:r>
        <w:t>End of Life Choice Act 2019</w:t>
      </w:r>
    </w:p>
    <w:p w14:paraId="6945D89A" w14:textId="6ECC3840" w:rsidR="00A904C6" w:rsidRDefault="00A904C6" w:rsidP="00A904C6">
      <w:pPr>
        <w:pStyle w:val="Bullet"/>
      </w:pPr>
      <w:r>
        <w:t>Epidemic Preparedness Act 2006</w:t>
      </w:r>
    </w:p>
    <w:p w14:paraId="37938302" w14:textId="24E75F2A" w:rsidR="00A904C6" w:rsidRDefault="00A904C6" w:rsidP="00A904C6">
      <w:pPr>
        <w:pStyle w:val="Bullet"/>
      </w:pPr>
      <w:r>
        <w:t>Health Act 1956</w:t>
      </w:r>
    </w:p>
    <w:p w14:paraId="3115AF41" w14:textId="189BF1CB" w:rsidR="00A904C6" w:rsidRDefault="00A904C6" w:rsidP="00A904C6">
      <w:pPr>
        <w:pStyle w:val="Bullet"/>
      </w:pPr>
      <w:r>
        <w:t>Health and Disability Commissioner Act 1994</w:t>
      </w:r>
    </w:p>
    <w:p w14:paraId="27F12E0D" w14:textId="5F25D240" w:rsidR="00A904C6" w:rsidRDefault="00A904C6" w:rsidP="00A904C6">
      <w:pPr>
        <w:pStyle w:val="Bullet"/>
      </w:pPr>
      <w:r>
        <w:t>Health and Disability Services (Safety) Act 2001</w:t>
      </w:r>
    </w:p>
    <w:p w14:paraId="6A806F9A" w14:textId="3F55F4A9" w:rsidR="00A904C6" w:rsidRDefault="00A904C6" w:rsidP="00A904C6">
      <w:pPr>
        <w:pStyle w:val="Bullet"/>
      </w:pPr>
      <w:r>
        <w:t>Health Benefits (Reciprocity with Australia) Act 1999</w:t>
      </w:r>
    </w:p>
    <w:p w14:paraId="5C4660B4" w14:textId="77ECC635" w:rsidR="00A904C6" w:rsidRDefault="00A904C6" w:rsidP="00A904C6">
      <w:pPr>
        <w:pStyle w:val="Bullet"/>
      </w:pPr>
      <w:r>
        <w:t>Health Benefits (Reciprocity with the United Kingdom) Act 1982</w:t>
      </w:r>
    </w:p>
    <w:p w14:paraId="12F8B99A" w14:textId="455F0E2E" w:rsidR="00A904C6" w:rsidRDefault="00A904C6" w:rsidP="00A904C6">
      <w:pPr>
        <w:pStyle w:val="Bullet"/>
      </w:pPr>
      <w:r>
        <w:t>Health Practitioners Competence Assurance Act 2003</w:t>
      </w:r>
    </w:p>
    <w:p w14:paraId="6AF5051C" w14:textId="3A07F509" w:rsidR="00A904C6" w:rsidRDefault="00A904C6" w:rsidP="00A904C6">
      <w:pPr>
        <w:pStyle w:val="Bullet"/>
      </w:pPr>
      <w:r>
        <w:t>Health Research Council Act 1990</w:t>
      </w:r>
    </w:p>
    <w:p w14:paraId="54D1FDE7" w14:textId="4CB49A56" w:rsidR="00A904C6" w:rsidRDefault="00A904C6" w:rsidP="00A904C6">
      <w:pPr>
        <w:pStyle w:val="Bullet"/>
      </w:pPr>
      <w:r>
        <w:t>Health Sector (Transfers) Act 1993</w:t>
      </w:r>
    </w:p>
    <w:p w14:paraId="17067524" w14:textId="304AEE07" w:rsidR="00A904C6" w:rsidRDefault="00A904C6" w:rsidP="00A904C6">
      <w:pPr>
        <w:pStyle w:val="Bullet"/>
      </w:pPr>
      <w:r>
        <w:lastRenderedPageBreak/>
        <w:t>Home and Community Support (Payment for Travel Between Clients) Settlement Act 2016</w:t>
      </w:r>
    </w:p>
    <w:p w14:paraId="6DC8A0F8" w14:textId="3779B660" w:rsidR="00A904C6" w:rsidRDefault="00A904C6" w:rsidP="00A904C6">
      <w:pPr>
        <w:pStyle w:val="Bullet"/>
      </w:pPr>
      <w:r>
        <w:t>Human Assisted Reproductive Technology Act 2004 (in conjunction with the Ministry of Justice)</w:t>
      </w:r>
    </w:p>
    <w:p w14:paraId="44D44174" w14:textId="62C49E65" w:rsidR="00A904C6" w:rsidRDefault="00A904C6" w:rsidP="00A904C6">
      <w:pPr>
        <w:pStyle w:val="Bullet"/>
      </w:pPr>
      <w:r>
        <w:t>Human Tissue Act 2008</w:t>
      </w:r>
    </w:p>
    <w:p w14:paraId="1DDFE69E" w14:textId="28E648D2" w:rsidR="00A904C6" w:rsidRDefault="00A904C6" w:rsidP="00A904C6">
      <w:pPr>
        <w:pStyle w:val="Bullet"/>
      </w:pPr>
      <w:r>
        <w:t>Intellectual Disability (Compulsory Care and Rehabilitation) Act 2003</w:t>
      </w:r>
    </w:p>
    <w:p w14:paraId="319F0F52" w14:textId="6FD6928C" w:rsidR="00A904C6" w:rsidRDefault="00A904C6" w:rsidP="00A904C6">
      <w:pPr>
        <w:pStyle w:val="Bullet"/>
      </w:pPr>
      <w:r>
        <w:t>Medicines Act 1981</w:t>
      </w:r>
    </w:p>
    <w:p w14:paraId="3E1B810D" w14:textId="4A41B66F" w:rsidR="00A904C6" w:rsidRDefault="00A904C6" w:rsidP="00A904C6">
      <w:pPr>
        <w:pStyle w:val="Bullet"/>
      </w:pPr>
      <w:r>
        <w:t>Mental Health (Compulsory Assessment and Treatment) Act 1992</w:t>
      </w:r>
    </w:p>
    <w:p w14:paraId="304B16F4" w14:textId="77777777" w:rsidR="00A904C6" w:rsidRDefault="00A904C6" w:rsidP="00A904C6">
      <w:pPr>
        <w:pStyle w:val="Bullet"/>
      </w:pPr>
      <w:r>
        <w:t>Mental Health and Wellbeing Commission Act 2020</w:t>
      </w:r>
    </w:p>
    <w:p w14:paraId="3E21A5B6" w14:textId="1FAF70F7" w:rsidR="007123AC" w:rsidRDefault="007123AC" w:rsidP="007123AC">
      <w:pPr>
        <w:pStyle w:val="Bullet"/>
      </w:pPr>
      <w:r>
        <w:t>Misuse of Drugs Act 1975</w:t>
      </w:r>
    </w:p>
    <w:p w14:paraId="2BDEFB9A" w14:textId="5627321F" w:rsidR="007123AC" w:rsidRDefault="007123AC" w:rsidP="007123AC">
      <w:pPr>
        <w:pStyle w:val="Bullet"/>
      </w:pPr>
      <w:r>
        <w:t>Pae Ora (Healthy Futures) Act 2022</w:t>
      </w:r>
    </w:p>
    <w:p w14:paraId="24671D89" w14:textId="6B58033A" w:rsidR="007123AC" w:rsidRDefault="007123AC" w:rsidP="007123AC">
      <w:pPr>
        <w:pStyle w:val="Bullet"/>
      </w:pPr>
      <w:r>
        <w:t>Psychoactive Substances Act 2013</w:t>
      </w:r>
    </w:p>
    <w:p w14:paraId="22E4DB66" w14:textId="28F79E1B" w:rsidR="007123AC" w:rsidRDefault="007123AC" w:rsidP="007123AC">
      <w:pPr>
        <w:pStyle w:val="Bullet"/>
      </w:pPr>
      <w:r>
        <w:t>Radiation Safety Act 2016</w:t>
      </w:r>
    </w:p>
    <w:p w14:paraId="40C1AE99" w14:textId="4E9A0E00" w:rsidR="007123AC" w:rsidRDefault="007123AC" w:rsidP="007123AC">
      <w:pPr>
        <w:pStyle w:val="Bullet"/>
      </w:pPr>
      <w:r>
        <w:t>Residential Care and Disability Support Services Act 2018</w:t>
      </w:r>
    </w:p>
    <w:p w14:paraId="6153F58D" w14:textId="3F529A82" w:rsidR="007123AC" w:rsidRDefault="007123AC" w:rsidP="007123AC">
      <w:pPr>
        <w:pStyle w:val="Bullet"/>
      </w:pPr>
      <w:r>
        <w:t>Smokefree Environments and Regulated Products Act 1990</w:t>
      </w:r>
    </w:p>
    <w:p w14:paraId="6D00177C" w14:textId="5938E888" w:rsidR="007123AC" w:rsidRDefault="007123AC" w:rsidP="007123AC">
      <w:pPr>
        <w:pStyle w:val="Bullet"/>
      </w:pPr>
      <w:r>
        <w:t>Substance Addiction (Compulsory Assessment and Treatment) Act 2017</w:t>
      </w:r>
    </w:p>
    <w:p w14:paraId="3791D427" w14:textId="0FA42542" w:rsidR="007123AC" w:rsidRDefault="007123AC" w:rsidP="007123AC">
      <w:pPr>
        <w:pStyle w:val="Bullet"/>
      </w:pPr>
      <w:r>
        <w:t>Support Workers (Pay Equity) Settlements Act 2017</w:t>
      </w:r>
    </w:p>
    <w:p w14:paraId="5FA71389" w14:textId="77777777" w:rsidR="007123AC" w:rsidRDefault="007123AC" w:rsidP="007123AC">
      <w:pPr>
        <w:pStyle w:val="Bullet"/>
        <w:numPr>
          <w:ilvl w:val="0"/>
          <w:numId w:val="0"/>
        </w:numPr>
        <w:ind w:left="284" w:hanging="284"/>
      </w:pPr>
      <w:r>
        <w:t>•</w:t>
      </w:r>
      <w:r>
        <w:tab/>
        <w:t>Therapeutic Products Act 2023.</w:t>
      </w:r>
    </w:p>
    <w:p w14:paraId="52AF3FB8" w14:textId="77777777" w:rsidR="007123AC" w:rsidRDefault="007123AC" w:rsidP="007123AC">
      <w:pPr>
        <w:pStyle w:val="Heading3"/>
      </w:pPr>
      <w:r>
        <w:t>Statutory reporting requirements</w:t>
      </w:r>
    </w:p>
    <w:p w14:paraId="282C5288" w14:textId="77777777" w:rsidR="007123AC" w:rsidRDefault="007123AC" w:rsidP="007123AC">
      <w:pPr>
        <w:pStyle w:val="Heading4"/>
      </w:pPr>
      <w:r>
        <w:t>Health Act 1956</w:t>
      </w:r>
    </w:p>
    <w:p w14:paraId="4766F955" w14:textId="0A12A69D" w:rsidR="007123AC" w:rsidRDefault="007123AC" w:rsidP="007123AC">
      <w:r>
        <w:t>The Health Act 1956 sets out the roles and responsibilities of individuals to safeguard public health, including the Minister of Health, the Director of Public Health and designated officers for public health. It includes provisions for environmental health, infectious diseases, health emergencies and the National Cervical Screening Programme.</w:t>
      </w:r>
    </w:p>
    <w:p w14:paraId="088E8EF5" w14:textId="77777777" w:rsidR="007123AC" w:rsidRDefault="007123AC" w:rsidP="007123AC"/>
    <w:p w14:paraId="5478081F" w14:textId="600F1023" w:rsidR="007123AC" w:rsidRDefault="007123AC" w:rsidP="007123AC">
      <w:r>
        <w:t>The Health Act 1956 requires the Director-General of Health to report every year on the current state of public health.</w:t>
      </w:r>
    </w:p>
    <w:p w14:paraId="3CEB0554" w14:textId="77777777" w:rsidR="007123AC" w:rsidRDefault="007123AC" w:rsidP="007123AC"/>
    <w:p w14:paraId="1BDC69BA" w14:textId="1F382F99" w:rsidR="007123AC" w:rsidRDefault="007123AC" w:rsidP="007123AC">
      <w:r>
        <w:t>The Minister of Health tables a Health and Independence Report each year in Parliament. The Minister must table the report by the 12th sitting day of the House of Representatives after the date on which the Minister received the report.</w:t>
      </w:r>
    </w:p>
    <w:p w14:paraId="4986D061" w14:textId="77777777" w:rsidR="007123AC" w:rsidRDefault="007123AC" w:rsidP="007123AC"/>
    <w:p w14:paraId="71D0BD97" w14:textId="77777777" w:rsidR="007123AC" w:rsidRDefault="007123AC" w:rsidP="007123AC">
      <w:r>
        <w:t>The Health Act 1956 also requires the Director-General of Health to report before 1 July each year on the quality of drinking-water in Aotearoa New Zealand. The public can access the most recent report through the Ministry’s website.</w:t>
      </w:r>
    </w:p>
    <w:p w14:paraId="70062C75" w14:textId="77777777" w:rsidR="007123AC" w:rsidRDefault="007123AC" w:rsidP="007123AC">
      <w:pPr>
        <w:pStyle w:val="Heading4"/>
      </w:pPr>
      <w:r>
        <w:t>Pae Ora (Healthy Futures) Act 2022</w:t>
      </w:r>
    </w:p>
    <w:p w14:paraId="37E48635" w14:textId="77777777" w:rsidR="007123AC" w:rsidRDefault="007123AC" w:rsidP="007123AC">
      <w:r>
        <w:t>The Pae Ora (Healthy Futures) Act 2022 (Pae Ora Act) took effect on 1 July 2022. It provides for the public funding and provision of services in order to:</w:t>
      </w:r>
    </w:p>
    <w:p w14:paraId="54FD62EA" w14:textId="1B6C2D3B" w:rsidR="007123AC" w:rsidRDefault="007123AC" w:rsidP="007123AC">
      <w:pPr>
        <w:pStyle w:val="Bullet"/>
      </w:pPr>
      <w:r>
        <w:t>protect, promote, and improve the health of all New Zealanders</w:t>
      </w:r>
    </w:p>
    <w:p w14:paraId="17C885AC" w14:textId="1DE36518" w:rsidR="007123AC" w:rsidRDefault="007123AC" w:rsidP="007123AC">
      <w:pPr>
        <w:pStyle w:val="Bullet"/>
      </w:pPr>
      <w:r>
        <w:lastRenderedPageBreak/>
        <w:t xml:space="preserve">achieve equity in health outcomes among Aotearoa New Zealand’s population groups, including by striving to eliminate health disparities, in particular for </w:t>
      </w:r>
      <w:proofErr w:type="gramStart"/>
      <w:r>
        <w:t>Māori</w:t>
      </w:r>
      <w:proofErr w:type="gramEnd"/>
    </w:p>
    <w:p w14:paraId="64BFCF6B" w14:textId="77777777" w:rsidR="007123AC" w:rsidRDefault="007123AC" w:rsidP="007123AC">
      <w:pPr>
        <w:pStyle w:val="Bullet"/>
      </w:pPr>
      <w:r>
        <w:t xml:space="preserve">build towards pae ora (healthy futures) for all New Zealanders. </w:t>
      </w:r>
    </w:p>
    <w:p w14:paraId="68CF140F" w14:textId="77777777" w:rsidR="007123AC" w:rsidRDefault="007123AC" w:rsidP="007123AC"/>
    <w:p w14:paraId="02BCE916" w14:textId="2D852AFE" w:rsidR="007123AC" w:rsidRDefault="007123AC" w:rsidP="007123AC">
      <w:r>
        <w:t>It also provides for health sector entities.</w:t>
      </w:r>
    </w:p>
    <w:p w14:paraId="24469D0D" w14:textId="149D5994" w:rsidR="007123AC" w:rsidRDefault="007123AC" w:rsidP="007123AC">
      <w:pPr>
        <w:pStyle w:val="Bullet"/>
      </w:pPr>
      <w:r>
        <w:t>Health New Zealand, as the national organisation to lead and coordinate delivery of health services across the country.</w:t>
      </w:r>
    </w:p>
    <w:p w14:paraId="4403CE12" w14:textId="65453BBF" w:rsidR="007123AC" w:rsidRDefault="007123AC" w:rsidP="007123AC">
      <w:pPr>
        <w:pStyle w:val="Bullet"/>
      </w:pPr>
      <w:r>
        <w:t>Pharmac, which is to secure for eligible people in need of pharmaceuticals, the best health outcomes that are reasonably achievable from pharmaceutical treatment and from within the amount of funding provided.</w:t>
      </w:r>
    </w:p>
    <w:p w14:paraId="61056AEB" w14:textId="47A4B81E" w:rsidR="007123AC" w:rsidRDefault="007123AC" w:rsidP="007123AC">
      <w:pPr>
        <w:pStyle w:val="Bullet"/>
      </w:pPr>
      <w:r>
        <w:t>New Zealand Blood and Organ Service, which manages the donation, collection, processing, and supply of blood and controlled human substances, and provides oversight and clinical governance of the organ donation system, to provide support to the transplantation system.</w:t>
      </w:r>
    </w:p>
    <w:p w14:paraId="27E3A62B" w14:textId="2AAF31EF" w:rsidR="007123AC" w:rsidRDefault="007123AC" w:rsidP="007123AC">
      <w:pPr>
        <w:pStyle w:val="Bullet"/>
      </w:pPr>
      <w:r>
        <w:t>Health Quality &amp; Safety Commission, which has responsibility for leading and co-ordinating work across the health sector for the purposes of monitoring and improving the quality and safety of services; and helping providers to improve the quality and safety of services.</w:t>
      </w:r>
    </w:p>
    <w:p w14:paraId="79B05A52" w14:textId="77777777" w:rsidR="007123AC" w:rsidRDefault="007123AC" w:rsidP="007123AC"/>
    <w:p w14:paraId="4867D1BE" w14:textId="77777777" w:rsidR="007123AC" w:rsidRDefault="007123AC" w:rsidP="007123AC">
      <w:r>
        <w:t>The Pae Ora Act establishes iwi-Māori partnership boards to represent local Māori perspectives on the needs and aspirations of Māori with respect to planning and decision-making for health services at the local level.</w:t>
      </w:r>
    </w:p>
    <w:p w14:paraId="06A8EFEE" w14:textId="77777777" w:rsidR="007123AC" w:rsidRDefault="007123AC" w:rsidP="007123AC"/>
    <w:p w14:paraId="58D70207" w14:textId="318056CD" w:rsidR="007123AC" w:rsidRDefault="007123AC" w:rsidP="007123AC">
      <w:r>
        <w:t>Health New Zealand must prepare an annual performance report against the New Zealand Health Plan made under the Pae Ora Act. In addition, it must prepare an annual report assessing progress against the priority outcomes set out in any locality plan.</w:t>
      </w:r>
    </w:p>
    <w:p w14:paraId="238ED110" w14:textId="77777777" w:rsidR="007123AC" w:rsidRDefault="007123AC" w:rsidP="007123AC"/>
    <w:p w14:paraId="4B75A434" w14:textId="77777777" w:rsidR="007123AC" w:rsidRDefault="007123AC" w:rsidP="007123AC">
      <w:r>
        <w:t>The Director-General of Health must, at least once every five years, review the operation and effectiveness of the Pae Ora Act.</w:t>
      </w:r>
    </w:p>
    <w:p w14:paraId="7B293AAD" w14:textId="77777777" w:rsidR="007123AC" w:rsidRDefault="007123AC" w:rsidP="007123AC">
      <w:pPr>
        <w:pStyle w:val="Heading4"/>
      </w:pPr>
      <w:r>
        <w:t>Public Finance Act 1989</w:t>
      </w:r>
    </w:p>
    <w:p w14:paraId="77BCEC3D" w14:textId="2E304E9C" w:rsidR="007123AC" w:rsidRDefault="007123AC" w:rsidP="007123AC">
      <w:r>
        <w:t>Section 19B of the Public Finance Act 1989 requires the Minister of Health to report every year on end-of-year performance information on any Vote Health appropriations that third-party health sector service providers with direct funding from the Ministry deliver, where that information is not covered in other reporting to Parliament.</w:t>
      </w:r>
    </w:p>
    <w:p w14:paraId="7B314E97" w14:textId="77777777" w:rsidR="007123AC" w:rsidRDefault="007123AC" w:rsidP="007123AC"/>
    <w:p w14:paraId="25BFE7DB" w14:textId="0E44856D" w:rsidR="007123AC" w:rsidRDefault="007123AC" w:rsidP="007123AC">
      <w:r>
        <w:t>The Minister of Health is responsible for presenting the Vote Health report on selected non-departmental appropriations for the previous financial year (1 July – 30 June) to Parliament within four months of the end of the financial year. If Parliament is not in session during this time, the tabling process must occur as soon as possible after the start of the next session of Parliament.</w:t>
      </w:r>
    </w:p>
    <w:p w14:paraId="4E2E9499" w14:textId="77777777" w:rsidR="007123AC" w:rsidRDefault="007123AC" w:rsidP="007123AC">
      <w:pPr>
        <w:pStyle w:val="Heading4"/>
      </w:pPr>
      <w:r>
        <w:t>Public Service Act 2020</w:t>
      </w:r>
    </w:p>
    <w:p w14:paraId="6C079BD4" w14:textId="77777777" w:rsidR="007123AC" w:rsidRDefault="007123AC" w:rsidP="007123AC">
      <w:r>
        <w:t>The Border Executive Board was established under the Public Service Act 2020 as an Interdepartmental Executive Board. Its purpose is to ensure the delivery of a safe, integrated and effective border system for Aotearoa New Zealand.</w:t>
      </w:r>
    </w:p>
    <w:p w14:paraId="7EA8AD70" w14:textId="2D24F67E" w:rsidR="007123AC" w:rsidRDefault="007123AC" w:rsidP="007123AC">
      <w:pPr>
        <w:rPr>
          <w:rStyle w:val="Hyperlink"/>
        </w:rPr>
      </w:pPr>
      <w:r>
        <w:lastRenderedPageBreak/>
        <w:t xml:space="preserve">The New Zealand Customs Service hosts the Border Executive Board. The Ministry’s Chief Executive is one of the Board’s six members. For more information about the Border Executive Board, including membership and publications, please visit </w:t>
      </w:r>
      <w:hyperlink r:id="rId49" w:history="1">
        <w:r w:rsidRPr="007123AC">
          <w:rPr>
            <w:rStyle w:val="Hyperlink"/>
          </w:rPr>
          <w:t>customs.govt.nz/about-us/border-executive-board/about-the-border-executive-board/</w:t>
        </w:r>
      </w:hyperlink>
    </w:p>
    <w:p w14:paraId="025D19F1" w14:textId="77777777" w:rsidR="007123AC" w:rsidRDefault="007123AC" w:rsidP="007123AC">
      <w:pPr>
        <w:pStyle w:val="Heading3"/>
      </w:pPr>
      <w:r>
        <w:t>Other regulatory roles and obligations</w:t>
      </w:r>
    </w:p>
    <w:p w14:paraId="44FE4B32" w14:textId="1B8CB8E5" w:rsidR="007123AC" w:rsidRDefault="007123AC" w:rsidP="007123AC">
      <w:r>
        <w:t>In addition to administering the legislation outlined above, key roles within our organisation (such as the Directors of Public Health and Mental Health) have specific statutory powers and functions contained in other pieces of legislation that we do not administer:</w:t>
      </w:r>
    </w:p>
    <w:p w14:paraId="3C5ECFF3" w14:textId="45CDD646" w:rsidR="007123AC" w:rsidRDefault="007123AC" w:rsidP="007123AC">
      <w:pPr>
        <w:pStyle w:val="Bullet"/>
      </w:pPr>
      <w:r>
        <w:t>Biosecurity Act 1993</w:t>
      </w:r>
    </w:p>
    <w:p w14:paraId="1C5C73BF" w14:textId="5B641AB0" w:rsidR="007123AC" w:rsidRDefault="007123AC" w:rsidP="007123AC">
      <w:pPr>
        <w:pStyle w:val="Bullet"/>
      </w:pPr>
      <w:r>
        <w:t>Civil Defence Emergency Management Act 2002</w:t>
      </w:r>
    </w:p>
    <w:p w14:paraId="21D13164" w14:textId="5E0610C9" w:rsidR="007123AC" w:rsidRDefault="007123AC" w:rsidP="007123AC">
      <w:pPr>
        <w:pStyle w:val="Bullet"/>
      </w:pPr>
      <w:r>
        <w:t>Education and Training Act 2020</w:t>
      </w:r>
    </w:p>
    <w:p w14:paraId="71609C59" w14:textId="18F29D2A" w:rsidR="007123AC" w:rsidRDefault="007123AC" w:rsidP="007123AC">
      <w:pPr>
        <w:pStyle w:val="Bullet"/>
      </w:pPr>
      <w:r>
        <w:t>Food Act 2014</w:t>
      </w:r>
    </w:p>
    <w:p w14:paraId="225AE610" w14:textId="1A4087F0" w:rsidR="007123AC" w:rsidRDefault="007123AC" w:rsidP="007123AC">
      <w:pPr>
        <w:pStyle w:val="Bullet"/>
      </w:pPr>
      <w:r>
        <w:t>Gambling Act 2003</w:t>
      </w:r>
    </w:p>
    <w:p w14:paraId="1438C4AA" w14:textId="2F22C3E5" w:rsidR="007123AC" w:rsidRDefault="007123AC" w:rsidP="007123AC">
      <w:pPr>
        <w:pStyle w:val="Bullet"/>
      </w:pPr>
      <w:r>
        <w:t>Hazardous Substances and New Organisms Act 1996</w:t>
      </w:r>
    </w:p>
    <w:p w14:paraId="60DD60DB" w14:textId="243F454E" w:rsidR="007123AC" w:rsidRDefault="007123AC" w:rsidP="007123AC">
      <w:pPr>
        <w:pStyle w:val="Bullet"/>
      </w:pPr>
      <w:r>
        <w:t>Local Government Act 1974</w:t>
      </w:r>
    </w:p>
    <w:p w14:paraId="27D9AD1E" w14:textId="3BA53B37" w:rsidR="007123AC" w:rsidRDefault="007123AC" w:rsidP="007123AC">
      <w:pPr>
        <w:pStyle w:val="Bullet"/>
      </w:pPr>
      <w:r>
        <w:t>Local Government Act 2002</w:t>
      </w:r>
    </w:p>
    <w:p w14:paraId="64D31F87" w14:textId="66201F46" w:rsidR="007123AC" w:rsidRDefault="007123AC" w:rsidP="007123AC">
      <w:pPr>
        <w:pStyle w:val="Bullet"/>
      </w:pPr>
      <w:r>
        <w:t>Maritime Security Act 2004</w:t>
      </w:r>
    </w:p>
    <w:p w14:paraId="126D70C3" w14:textId="30C089F0" w:rsidR="007123AC" w:rsidRDefault="007123AC" w:rsidP="007123AC">
      <w:pPr>
        <w:pStyle w:val="Bullet"/>
      </w:pPr>
      <w:r>
        <w:t>Prostitution Reform Act 2003</w:t>
      </w:r>
    </w:p>
    <w:p w14:paraId="0B8B9FD7" w14:textId="744BB00F" w:rsidR="007123AC" w:rsidRDefault="007123AC" w:rsidP="007123AC">
      <w:pPr>
        <w:pStyle w:val="Bullet"/>
      </w:pPr>
      <w:r>
        <w:t>Public Service Act 2020</w:t>
      </w:r>
    </w:p>
    <w:p w14:paraId="067FBB06" w14:textId="5B601BE6" w:rsidR="007123AC" w:rsidRDefault="007123AC" w:rsidP="007123AC">
      <w:pPr>
        <w:pStyle w:val="Bullet"/>
      </w:pPr>
      <w:r>
        <w:t>Sale and Supply of Alcohol Act 2012</w:t>
      </w:r>
    </w:p>
    <w:p w14:paraId="6D368655" w14:textId="5A79E00F" w:rsidR="007123AC" w:rsidRDefault="007123AC" w:rsidP="007123AC">
      <w:pPr>
        <w:pStyle w:val="Bullet"/>
      </w:pPr>
      <w:r>
        <w:t>Social Security Act 2018</w:t>
      </w:r>
    </w:p>
    <w:p w14:paraId="5FCC4AB6" w14:textId="520FF568" w:rsidR="007123AC" w:rsidRDefault="007123AC" w:rsidP="007123AC">
      <w:pPr>
        <w:pStyle w:val="Bullet"/>
      </w:pPr>
      <w:r>
        <w:t>Victims’ Rights Act 2002</w:t>
      </w:r>
    </w:p>
    <w:p w14:paraId="3B5B0E3F" w14:textId="2FA026D2" w:rsidR="007123AC" w:rsidRDefault="007123AC" w:rsidP="007123AC">
      <w:pPr>
        <w:pStyle w:val="Bullet"/>
      </w:pPr>
      <w:r>
        <w:t>Waste Minimisation Act 2008.</w:t>
      </w:r>
    </w:p>
    <w:p w14:paraId="08460D9F" w14:textId="77777777" w:rsidR="007123AC" w:rsidRDefault="007123AC" w:rsidP="007123AC"/>
    <w:p w14:paraId="4E7C84A2" w14:textId="77777777" w:rsidR="007123AC" w:rsidRDefault="007123AC" w:rsidP="007123AC">
      <w:r>
        <w:t>Please note, the legislation listed above are examples illustrating where these powers and functions can be found. This list may not be exhaustive.</w:t>
      </w:r>
    </w:p>
    <w:p w14:paraId="2BE6DADB" w14:textId="77777777" w:rsidR="007123AC" w:rsidRDefault="007123AC" w:rsidP="007123AC">
      <w:pPr>
        <w:pStyle w:val="Heading3"/>
      </w:pPr>
      <w:r>
        <w:t>Additional statutory reporting requirements</w:t>
      </w:r>
    </w:p>
    <w:p w14:paraId="1646E59A" w14:textId="77777777" w:rsidR="007123AC" w:rsidRDefault="007123AC" w:rsidP="007123AC">
      <w:r>
        <w:t>The Minister of Finance has not specified any additional reporting requirements.</w:t>
      </w:r>
    </w:p>
    <w:p w14:paraId="2FDB912D" w14:textId="77777777" w:rsidR="007123AC" w:rsidRDefault="007123AC" w:rsidP="007123AC">
      <w:pPr>
        <w:pStyle w:val="Heading3"/>
      </w:pPr>
      <w:r>
        <w:t>International compliance</w:t>
      </w:r>
    </w:p>
    <w:p w14:paraId="155D37F7" w14:textId="14E52623" w:rsidR="007123AC" w:rsidRDefault="007123AC" w:rsidP="007123AC">
      <w:r>
        <w:t>The Ministry helps the New Zealand Government to comply with international obligations by actively supporting and participating in international organisations (such as the World Health Organization).</w:t>
      </w:r>
    </w:p>
    <w:p w14:paraId="35F4C5E3" w14:textId="77777777" w:rsidR="007123AC" w:rsidRDefault="007123AC" w:rsidP="007123AC"/>
    <w:p w14:paraId="5F7FC9BF" w14:textId="77777777" w:rsidR="007123AC" w:rsidRDefault="007123AC" w:rsidP="007123AC">
      <w:r>
        <w:t>The Ministry also ensures Aotearoa New Zealand complies with international requirements, such as the International Health Regulations (2005) and the Framework Convention on Tobacco Control, as well as a range of United Nations conventions.</w:t>
      </w:r>
    </w:p>
    <w:p w14:paraId="4BB40A7A" w14:textId="77777777" w:rsidR="007123AC" w:rsidRDefault="007123AC" w:rsidP="007123AC">
      <w:pPr>
        <w:pStyle w:val="Heading3"/>
      </w:pPr>
      <w:r>
        <w:lastRenderedPageBreak/>
        <w:t>Web resources</w:t>
      </w:r>
    </w:p>
    <w:p w14:paraId="5502B77F" w14:textId="5AEAB71E" w:rsidR="007123AC" w:rsidRDefault="007123AC" w:rsidP="007123AC">
      <w:r>
        <w:t xml:space="preserve">To search and access publications we produce, please refer to </w:t>
      </w:r>
      <w:hyperlink r:id="rId50" w:history="1">
        <w:r w:rsidRPr="007123AC">
          <w:rPr>
            <w:rStyle w:val="Hyperlink"/>
          </w:rPr>
          <w:t>health.govt.nz/publications</w:t>
        </w:r>
      </w:hyperlink>
      <w:r>
        <w:t>.</w:t>
      </w:r>
    </w:p>
    <w:p w14:paraId="158A996E" w14:textId="77777777" w:rsidR="007123AC" w:rsidRDefault="007123AC" w:rsidP="007123AC"/>
    <w:p w14:paraId="6446606C" w14:textId="082DC371" w:rsidR="007123AC" w:rsidRDefault="007123AC" w:rsidP="007123AC">
      <w:r>
        <w:t xml:space="preserve">For information on regulations administered by the Ministry, please refer to </w:t>
      </w:r>
      <w:hyperlink r:id="rId51" w:history="1">
        <w:r w:rsidRPr="007123AC">
          <w:rPr>
            <w:rStyle w:val="Hyperlink"/>
          </w:rPr>
          <w:t>health.govt.nz/regulation-legislation</w:t>
        </w:r>
      </w:hyperlink>
      <w:r>
        <w:t>.</w:t>
      </w:r>
    </w:p>
    <w:p w14:paraId="2CA417EE" w14:textId="77777777" w:rsidR="007123AC" w:rsidRDefault="007123AC" w:rsidP="007123AC"/>
    <w:p w14:paraId="481DC401" w14:textId="77777777" w:rsidR="007123AC" w:rsidRDefault="007123AC" w:rsidP="007123AC">
      <w:r>
        <w:t xml:space="preserve">To view searchable copies of all of the Acts and associated regulations administered by the Ministry, please visit </w:t>
      </w:r>
      <w:hyperlink r:id="rId52" w:history="1">
        <w:r w:rsidRPr="007123AC">
          <w:rPr>
            <w:rStyle w:val="Hyperlink"/>
          </w:rPr>
          <w:t>legislation.govt.nz</w:t>
        </w:r>
      </w:hyperlink>
      <w:r>
        <w:t>.</w:t>
      </w:r>
    </w:p>
    <w:p w14:paraId="3316F299" w14:textId="77777777" w:rsidR="0088520D" w:rsidRDefault="0088520D" w:rsidP="007123AC"/>
    <w:p w14:paraId="5ECDB683" w14:textId="77777777" w:rsidR="0088520D" w:rsidRDefault="0088520D" w:rsidP="007123AC"/>
    <w:p w14:paraId="652FB30A" w14:textId="77777777" w:rsidR="0088520D" w:rsidRDefault="0088520D" w:rsidP="007123AC">
      <w:pPr>
        <w:sectPr w:rsidR="0088520D" w:rsidSect="000A3324">
          <w:pgSz w:w="11907" w:h="16840" w:code="9"/>
          <w:pgMar w:top="1418" w:right="1701" w:bottom="1134" w:left="1843" w:header="284" w:footer="425" w:gutter="284"/>
          <w:cols w:space="720"/>
        </w:sectPr>
      </w:pPr>
    </w:p>
    <w:p w14:paraId="01970415" w14:textId="77777777" w:rsidR="0088520D" w:rsidRDefault="0088520D" w:rsidP="0088520D">
      <w:pPr>
        <w:pStyle w:val="Heading2"/>
        <w:spacing w:before="0"/>
      </w:pPr>
      <w:bookmarkStart w:id="52" w:name="_Toc180077048"/>
      <w:r>
        <w:lastRenderedPageBreak/>
        <w:t>Appendix 2: Delegation of functions or powers</w:t>
      </w:r>
      <w:bookmarkEnd w:id="52"/>
    </w:p>
    <w:p w14:paraId="48A3962D" w14:textId="77777777" w:rsidR="0088520D" w:rsidRDefault="0088520D" w:rsidP="0088520D">
      <w:r>
        <w:t>The Public Service Act 2020 requires government departments to state where their chief executive’s functions or powers have been delegated to a person outside the public service. In addition to disclosing any delegations of functions or duties, our annual report must give a detailed description and assessment of how effectively the delegated function or power was performed or exercised.</w:t>
      </w:r>
    </w:p>
    <w:p w14:paraId="12E9A5E3" w14:textId="77777777" w:rsidR="0088520D" w:rsidRDefault="0088520D" w:rsidP="0088520D"/>
    <w:p w14:paraId="76CF0988" w14:textId="77777777" w:rsidR="0088520D" w:rsidRDefault="0088520D" w:rsidP="0088520D">
      <w:r>
        <w:t>The following table provides the information and assessments that the legislation requires.</w:t>
      </w:r>
    </w:p>
    <w:p w14:paraId="072BB70C" w14:textId="456BDC85" w:rsidR="0088520D" w:rsidRDefault="0088520D" w:rsidP="0088520D">
      <w:pPr>
        <w:pStyle w:val="Heading5"/>
      </w:pPr>
      <w:r>
        <w:t>Delegation of functions or powers</w:t>
      </w:r>
    </w:p>
    <w:tbl>
      <w:tblPr>
        <w:tblW w:w="8080" w:type="dxa"/>
        <w:tblLayout w:type="fixed"/>
        <w:tblCellMar>
          <w:left w:w="0" w:type="dxa"/>
          <w:right w:w="0" w:type="dxa"/>
        </w:tblCellMar>
        <w:tblLook w:val="01E0" w:firstRow="1" w:lastRow="1" w:firstColumn="1" w:lastColumn="1" w:noHBand="0" w:noVBand="0"/>
      </w:tblPr>
      <w:tblGrid>
        <w:gridCol w:w="1701"/>
        <w:gridCol w:w="3969"/>
        <w:gridCol w:w="2410"/>
      </w:tblGrid>
      <w:tr w:rsidR="0088520D" w14:paraId="1E27C613" w14:textId="77777777" w:rsidTr="00CD066D">
        <w:trPr>
          <w:trHeight w:val="1119"/>
        </w:trPr>
        <w:tc>
          <w:tcPr>
            <w:tcW w:w="1701" w:type="dxa"/>
            <w:shd w:val="clear" w:color="auto" w:fill="D9D9D9" w:themeFill="background1" w:themeFillShade="D9"/>
            <w:hideMark/>
          </w:tcPr>
          <w:p w14:paraId="03D451B1" w14:textId="77777777" w:rsidR="0088520D" w:rsidRDefault="0088520D">
            <w:pPr>
              <w:pStyle w:val="TableText"/>
              <w:ind w:left="57" w:right="113"/>
              <w:rPr>
                <w:b/>
                <w:bCs/>
                <w:w w:val="105"/>
              </w:rPr>
            </w:pPr>
            <w:r>
              <w:rPr>
                <w:b/>
                <w:bCs/>
                <w:w w:val="105"/>
              </w:rPr>
              <w:t>Person delegated to</w:t>
            </w:r>
          </w:p>
        </w:tc>
        <w:tc>
          <w:tcPr>
            <w:tcW w:w="3969" w:type="dxa"/>
            <w:shd w:val="clear" w:color="auto" w:fill="D9D9D9" w:themeFill="background1" w:themeFillShade="D9"/>
            <w:hideMark/>
          </w:tcPr>
          <w:p w14:paraId="034E9FF6" w14:textId="77777777" w:rsidR="0088520D" w:rsidRDefault="0088520D">
            <w:pPr>
              <w:pStyle w:val="TableText"/>
              <w:ind w:left="57" w:right="113"/>
              <w:rPr>
                <w:b/>
                <w:bCs/>
                <w:w w:val="105"/>
              </w:rPr>
            </w:pPr>
            <w:r>
              <w:rPr>
                <w:b/>
                <w:bCs/>
                <w:w w:val="105"/>
              </w:rPr>
              <w:t>Function or power delegated</w:t>
            </w:r>
          </w:p>
        </w:tc>
        <w:tc>
          <w:tcPr>
            <w:tcW w:w="2410" w:type="dxa"/>
            <w:shd w:val="clear" w:color="auto" w:fill="D9D9D9" w:themeFill="background1" w:themeFillShade="D9"/>
            <w:hideMark/>
          </w:tcPr>
          <w:p w14:paraId="7A5B5DBB" w14:textId="77777777" w:rsidR="0088520D" w:rsidRDefault="0088520D">
            <w:pPr>
              <w:pStyle w:val="TableText"/>
              <w:ind w:left="57" w:right="113"/>
              <w:rPr>
                <w:b/>
                <w:bCs/>
                <w:w w:val="105"/>
              </w:rPr>
            </w:pPr>
            <w:r>
              <w:rPr>
                <w:b/>
                <w:bCs/>
                <w:w w:val="105"/>
              </w:rPr>
              <w:t>Assessment of how effectively the delegated function or power was performed or exercised</w:t>
            </w:r>
          </w:p>
        </w:tc>
      </w:tr>
      <w:tr w:rsidR="0088520D" w14:paraId="724BEA61" w14:textId="77777777" w:rsidTr="00CD066D">
        <w:trPr>
          <w:trHeight w:val="1710"/>
        </w:trPr>
        <w:tc>
          <w:tcPr>
            <w:tcW w:w="1701" w:type="dxa"/>
            <w:tcBorders>
              <w:top w:val="nil"/>
              <w:left w:val="nil"/>
              <w:bottom w:val="single" w:sz="4" w:space="0" w:color="A6A6A6" w:themeColor="background1" w:themeShade="A6"/>
              <w:right w:val="nil"/>
            </w:tcBorders>
            <w:hideMark/>
          </w:tcPr>
          <w:p w14:paraId="76E68A1C" w14:textId="77777777" w:rsidR="0088520D" w:rsidRDefault="0088520D">
            <w:pPr>
              <w:pStyle w:val="TableText"/>
              <w:ind w:left="57" w:right="113"/>
              <w:rPr>
                <w:w w:val="105"/>
              </w:rPr>
            </w:pPr>
            <w:r>
              <w:rPr>
                <w:w w:val="105"/>
              </w:rPr>
              <w:t>Police Commissioner</w:t>
            </w:r>
          </w:p>
        </w:tc>
        <w:tc>
          <w:tcPr>
            <w:tcW w:w="3969" w:type="dxa"/>
            <w:tcBorders>
              <w:top w:val="nil"/>
              <w:left w:val="nil"/>
              <w:bottom w:val="single" w:sz="4" w:space="0" w:color="A6A6A6" w:themeColor="background1" w:themeShade="A6"/>
              <w:right w:val="nil"/>
            </w:tcBorders>
            <w:hideMark/>
          </w:tcPr>
          <w:p w14:paraId="02461D14" w14:textId="6D6E0E4E" w:rsidR="0088520D" w:rsidRDefault="0088520D">
            <w:pPr>
              <w:pStyle w:val="TableText"/>
              <w:ind w:left="57" w:right="113"/>
              <w:rPr>
                <w:w w:val="105"/>
              </w:rPr>
            </w:pPr>
            <w:r w:rsidRPr="0088520D">
              <w:rPr>
                <w:w w:val="105"/>
              </w:rPr>
              <w:t>The power to appoint enforcement officers under section 18 of the COVID-19 Public Health Response Act 2020 (the 2020 Act). These appointments are only for the purpose of authorising enforcement officers to assist with the enforcement of any Alert Level boundary mandated by Order made under the 2020 Act.</w:t>
            </w:r>
          </w:p>
        </w:tc>
        <w:tc>
          <w:tcPr>
            <w:tcW w:w="2410" w:type="dxa"/>
            <w:tcBorders>
              <w:top w:val="nil"/>
              <w:left w:val="nil"/>
              <w:bottom w:val="single" w:sz="4" w:space="0" w:color="A6A6A6" w:themeColor="background1" w:themeShade="A6"/>
              <w:right w:val="nil"/>
            </w:tcBorders>
            <w:hideMark/>
          </w:tcPr>
          <w:p w14:paraId="56D63213" w14:textId="5EEE0CCD" w:rsidR="0088520D" w:rsidRDefault="0088520D">
            <w:pPr>
              <w:pStyle w:val="TableText"/>
              <w:ind w:left="57" w:right="113"/>
              <w:rPr>
                <w:w w:val="105"/>
              </w:rPr>
            </w:pPr>
            <w:r w:rsidRPr="0088520D">
              <w:rPr>
                <w:w w:val="105"/>
              </w:rPr>
              <w:t>The delegation of power was not used in 2023/2024.</w:t>
            </w:r>
          </w:p>
        </w:tc>
      </w:tr>
    </w:tbl>
    <w:p w14:paraId="05516595" w14:textId="77777777" w:rsidR="0088520D" w:rsidRPr="0088520D" w:rsidRDefault="0088520D" w:rsidP="0088520D"/>
    <w:p w14:paraId="77C7444F" w14:textId="77777777" w:rsidR="0088520D" w:rsidRDefault="0088520D" w:rsidP="0088520D"/>
    <w:p w14:paraId="7F77AA05" w14:textId="77777777" w:rsidR="0088520D" w:rsidRDefault="0088520D" w:rsidP="0088520D">
      <w:pPr>
        <w:sectPr w:rsidR="0088520D" w:rsidSect="000A3324">
          <w:pgSz w:w="11907" w:h="16840" w:code="9"/>
          <w:pgMar w:top="1418" w:right="1701" w:bottom="1134" w:left="1843" w:header="284" w:footer="425" w:gutter="284"/>
          <w:cols w:space="720"/>
        </w:sectPr>
      </w:pPr>
    </w:p>
    <w:p w14:paraId="479FEDAD" w14:textId="77777777" w:rsidR="0088520D" w:rsidRDefault="0088520D" w:rsidP="0088520D">
      <w:pPr>
        <w:pStyle w:val="Heading2"/>
        <w:spacing w:before="0"/>
      </w:pPr>
      <w:bookmarkStart w:id="53" w:name="_Toc180077049"/>
      <w:r>
        <w:lastRenderedPageBreak/>
        <w:t>Appendix 3: Substance Addiction (Compulsory Assessment and Treatment) Act 2017</w:t>
      </w:r>
      <w:bookmarkEnd w:id="53"/>
    </w:p>
    <w:p w14:paraId="3B59B7AF" w14:textId="77777777" w:rsidR="0088520D" w:rsidRDefault="0088520D" w:rsidP="0088520D">
      <w:r>
        <w:t>In February 2018, the Substance Addiction (Compulsory Assessment and Treatment) Act 2017 (the Substance Addiction Act) came into effect, replacing the Alcoholism and Drug Addiction Act 1966.</w:t>
      </w:r>
    </w:p>
    <w:p w14:paraId="22BDB4EA" w14:textId="77777777" w:rsidR="0088520D" w:rsidRDefault="0088520D" w:rsidP="0088520D"/>
    <w:p w14:paraId="4EC612CD" w14:textId="4C6710A0" w:rsidR="00CD486A" w:rsidRDefault="00CD486A" w:rsidP="00CD486A">
      <w:r>
        <w:t>The purpose of the Substance Addiction Act is to help people with a severe substance addiction (or addictions) who have an impaired decision-making capacity to engage in voluntary (or compulsory) addiction treatment services.</w:t>
      </w:r>
    </w:p>
    <w:p w14:paraId="28F59EF2" w14:textId="77777777" w:rsidR="00CD486A" w:rsidRDefault="00CD486A" w:rsidP="00CD486A"/>
    <w:p w14:paraId="1FCC34E4" w14:textId="3F112392" w:rsidR="00CD486A" w:rsidRDefault="00CD486A" w:rsidP="00CD486A">
      <w:r>
        <w:t>The Substance Addiction Act has been developed to be better equipped to protect the human rights and cultural needs of patients and their whānau. It places greater emphasis on mana-enhancing and health-based approaches to substance addiction treatment.</w:t>
      </w:r>
    </w:p>
    <w:p w14:paraId="249AEE23" w14:textId="77777777" w:rsidR="00CD486A" w:rsidRDefault="00CD486A" w:rsidP="00CD486A"/>
    <w:p w14:paraId="7815D050" w14:textId="66AE69FD" w:rsidR="00CD486A" w:rsidRDefault="00CD486A" w:rsidP="00CD486A">
      <w:r>
        <w:t>Under section 119 of the Substance Addiction Act, we are required to disclose in our annual report the following information relating to patients.</w:t>
      </w:r>
    </w:p>
    <w:p w14:paraId="4C24EE5E" w14:textId="77777777" w:rsidR="00CD486A" w:rsidRDefault="00CD486A" w:rsidP="00CD486A"/>
    <w:p w14:paraId="77E583D2" w14:textId="2D25DCB3" w:rsidR="00CD486A" w:rsidRDefault="00CD486A" w:rsidP="00CD486A">
      <w:r>
        <w:t>The data below has been extracted from PRIMHD</w:t>
      </w:r>
      <w:r w:rsidR="004B6891">
        <w:rPr>
          <w:rStyle w:val="FootnoteReference"/>
        </w:rPr>
        <w:footnoteReference w:id="50"/>
      </w:r>
      <w:r>
        <w:t xml:space="preserve"> on 5 August 2024 and covers activities that occurred from 1 July 2023 to 30 June 2024.</w:t>
      </w:r>
      <w:r w:rsidR="004B6891">
        <w:rPr>
          <w:rStyle w:val="FootnoteReference"/>
        </w:rPr>
        <w:footnoteReference w:id="51"/>
      </w:r>
    </w:p>
    <w:p w14:paraId="1486116D" w14:textId="77777777" w:rsidR="00CD486A" w:rsidRDefault="00CD486A" w:rsidP="00CD486A"/>
    <w:p w14:paraId="3AFF0BBF" w14:textId="3FD975B9" w:rsidR="00CD486A" w:rsidRDefault="00CD486A" w:rsidP="00CD486A">
      <w:r>
        <w:t>Over this period:</w:t>
      </w:r>
    </w:p>
    <w:p w14:paraId="65726CFC" w14:textId="0D3AAC20" w:rsidR="00CD486A" w:rsidRDefault="00CD486A" w:rsidP="00CD486A">
      <w:pPr>
        <w:pStyle w:val="Bullet"/>
      </w:pPr>
      <w:r>
        <w:t>28 people were detained under the Substance Addiction Act</w:t>
      </w:r>
    </w:p>
    <w:p w14:paraId="71CBEE23" w14:textId="1363CE53" w:rsidR="00CD486A" w:rsidRDefault="00CD486A" w:rsidP="00CD486A">
      <w:pPr>
        <w:pStyle w:val="Bullet"/>
      </w:pPr>
      <w:r>
        <w:t xml:space="preserve">32 compulsory treatment orders were </w:t>
      </w:r>
      <w:proofErr w:type="gramStart"/>
      <w:r>
        <w:t>made</w:t>
      </w:r>
      <w:proofErr w:type="gramEnd"/>
    </w:p>
    <w:p w14:paraId="377BB8D0" w14:textId="4A33186B" w:rsidR="00CD486A" w:rsidRDefault="00CD486A" w:rsidP="00CD486A">
      <w:pPr>
        <w:pStyle w:val="Bullet"/>
      </w:pPr>
      <w:r>
        <w:t xml:space="preserve">19 compulsory treatment orders were </w:t>
      </w:r>
      <w:proofErr w:type="gramStart"/>
      <w:r>
        <w:t>extended</w:t>
      </w:r>
      <w:proofErr w:type="gramEnd"/>
    </w:p>
    <w:p w14:paraId="206DE665" w14:textId="1F8C9ADD" w:rsidR="00CD486A" w:rsidRDefault="00CD486A" w:rsidP="00CD486A">
      <w:pPr>
        <w:pStyle w:val="Bullet"/>
      </w:pPr>
      <w:r>
        <w:t xml:space="preserve">27 discharged patients chose voluntary residential treatment and out-patient </w:t>
      </w:r>
      <w:proofErr w:type="gramStart"/>
      <w:r>
        <w:t>services</w:t>
      </w:r>
      <w:proofErr w:type="gramEnd"/>
    </w:p>
    <w:p w14:paraId="2CAB4EFC" w14:textId="77777777" w:rsidR="00F15B4B" w:rsidRDefault="00CD486A" w:rsidP="00CD486A">
      <w:pPr>
        <w:pStyle w:val="Bullet"/>
        <w:sectPr w:rsidR="00F15B4B" w:rsidSect="000A3324">
          <w:pgSz w:w="11907" w:h="16840" w:code="9"/>
          <w:pgMar w:top="1418" w:right="1701" w:bottom="1134" w:left="1843" w:header="284" w:footer="425" w:gutter="284"/>
          <w:cols w:space="720"/>
        </w:sectPr>
      </w:pPr>
      <w:r>
        <w:t>for individuals for whom compulsory treatment orders were made (or extended), the average length of detention was just over 11 weeks (81 days).</w:t>
      </w:r>
    </w:p>
    <w:p w14:paraId="2C7560C1" w14:textId="77777777" w:rsidR="0088520D" w:rsidRDefault="00F15B4B" w:rsidP="00F15B4B">
      <w:r w:rsidRPr="00F15B4B">
        <w:lastRenderedPageBreak/>
        <w:t>The following table shows the number of individuals detained under the Substance Addiction Act in 2023/24 by the duration of their detention (measured in weeks).</w:t>
      </w:r>
    </w:p>
    <w:p w14:paraId="4273D540" w14:textId="77777777" w:rsidR="00F15B4B" w:rsidRDefault="00F15B4B" w:rsidP="00F15B4B"/>
    <w:tbl>
      <w:tblPr>
        <w:tblW w:w="8070" w:type="dxa"/>
        <w:tblInd w:w="7" w:type="dxa"/>
        <w:tblLayout w:type="fixed"/>
        <w:tblCellMar>
          <w:left w:w="0" w:type="dxa"/>
          <w:right w:w="0" w:type="dxa"/>
        </w:tblCellMar>
        <w:tblLook w:val="01E0" w:firstRow="1" w:lastRow="1" w:firstColumn="1" w:lastColumn="1" w:noHBand="0" w:noVBand="0"/>
      </w:tblPr>
      <w:tblGrid>
        <w:gridCol w:w="4035"/>
        <w:gridCol w:w="4035"/>
      </w:tblGrid>
      <w:tr w:rsidR="00F15B4B" w14:paraId="7E66A0BD" w14:textId="77777777" w:rsidTr="00F15B4B">
        <w:trPr>
          <w:trHeight w:val="416"/>
        </w:trPr>
        <w:tc>
          <w:tcPr>
            <w:tcW w:w="4035" w:type="dxa"/>
            <w:shd w:val="clear" w:color="auto" w:fill="D9D9D9" w:themeFill="background1" w:themeFillShade="D9"/>
            <w:hideMark/>
          </w:tcPr>
          <w:p w14:paraId="4E4C06E2" w14:textId="735883F0" w:rsidR="00F15B4B" w:rsidRDefault="00F15B4B">
            <w:pPr>
              <w:pStyle w:val="TableText"/>
              <w:ind w:left="57" w:right="57"/>
              <w:rPr>
                <w:b/>
                <w:bCs/>
              </w:rPr>
            </w:pPr>
            <w:bookmarkStart w:id="54" w:name="_Hlk179818041"/>
            <w:r>
              <w:rPr>
                <w:b/>
                <w:bCs/>
              </w:rPr>
              <w:t>Number of weeks of detention</w:t>
            </w:r>
            <w:r w:rsidR="00FF445D">
              <w:rPr>
                <w:rStyle w:val="FootnoteReference"/>
                <w:b/>
                <w:bCs/>
              </w:rPr>
              <w:footnoteReference w:id="52"/>
            </w:r>
          </w:p>
        </w:tc>
        <w:tc>
          <w:tcPr>
            <w:tcW w:w="4035" w:type="dxa"/>
            <w:shd w:val="clear" w:color="auto" w:fill="D9D9D9" w:themeFill="background1" w:themeFillShade="D9"/>
            <w:hideMark/>
          </w:tcPr>
          <w:p w14:paraId="55B0E5A4" w14:textId="77777777" w:rsidR="00F15B4B" w:rsidRDefault="00F15B4B">
            <w:pPr>
              <w:pStyle w:val="TableText"/>
              <w:ind w:left="57" w:right="57"/>
              <w:rPr>
                <w:b/>
                <w:bCs/>
              </w:rPr>
            </w:pPr>
            <w:r>
              <w:rPr>
                <w:b/>
                <w:bCs/>
              </w:rPr>
              <w:t>Number of individuals</w:t>
            </w:r>
          </w:p>
        </w:tc>
      </w:tr>
      <w:bookmarkEnd w:id="54"/>
      <w:tr w:rsidR="00F15B4B" w14:paraId="766381D8" w14:textId="77777777" w:rsidTr="00F15B4B">
        <w:trPr>
          <w:trHeight w:val="344"/>
        </w:trPr>
        <w:tc>
          <w:tcPr>
            <w:tcW w:w="4035" w:type="dxa"/>
            <w:tcBorders>
              <w:top w:val="nil"/>
              <w:left w:val="nil"/>
              <w:bottom w:val="single" w:sz="4" w:space="0" w:color="A6A6A6" w:themeColor="background1" w:themeShade="A6"/>
              <w:right w:val="nil"/>
            </w:tcBorders>
            <w:hideMark/>
          </w:tcPr>
          <w:p w14:paraId="42315C89" w14:textId="77777777" w:rsidR="00F15B4B" w:rsidRDefault="00F15B4B" w:rsidP="00F15B4B">
            <w:pPr>
              <w:pStyle w:val="TableText"/>
              <w:ind w:left="57" w:right="57"/>
            </w:pPr>
            <w:r>
              <w:t>0</w:t>
            </w:r>
          </w:p>
        </w:tc>
        <w:tc>
          <w:tcPr>
            <w:tcW w:w="4035" w:type="dxa"/>
            <w:tcBorders>
              <w:top w:val="nil"/>
              <w:left w:val="nil"/>
              <w:bottom w:val="single" w:sz="4" w:space="0" w:color="A6A6A6" w:themeColor="background1" w:themeShade="A6"/>
              <w:right w:val="nil"/>
            </w:tcBorders>
            <w:hideMark/>
          </w:tcPr>
          <w:p w14:paraId="7AB7C091" w14:textId="131F0C90" w:rsidR="00F15B4B" w:rsidRDefault="00F15B4B" w:rsidP="00F15B4B">
            <w:pPr>
              <w:pStyle w:val="TableText"/>
              <w:ind w:left="57" w:right="57"/>
            </w:pPr>
            <w:r w:rsidRPr="00F15B4B">
              <w:t>0</w:t>
            </w:r>
          </w:p>
        </w:tc>
      </w:tr>
      <w:tr w:rsidR="00F15B4B" w14:paraId="644D6CB9" w14:textId="77777777" w:rsidTr="00F15B4B">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62792F62" w14:textId="77777777" w:rsidR="00F15B4B" w:rsidRDefault="00F15B4B" w:rsidP="00F15B4B">
            <w:pPr>
              <w:pStyle w:val="TableText"/>
              <w:ind w:left="57" w:right="57"/>
            </w:pPr>
            <w:r>
              <w:t>0–1</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5E1B9C70" w14:textId="745640A9" w:rsidR="00F15B4B" w:rsidRDefault="00F15B4B" w:rsidP="00F15B4B">
            <w:pPr>
              <w:pStyle w:val="TableText"/>
              <w:ind w:left="57" w:right="57"/>
            </w:pPr>
            <w:r w:rsidRPr="00F15B4B">
              <w:t>1</w:t>
            </w:r>
          </w:p>
        </w:tc>
      </w:tr>
      <w:tr w:rsidR="00F15B4B" w14:paraId="6F707DF3" w14:textId="77777777" w:rsidTr="00F15B4B">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0950CE9A" w14:textId="77777777" w:rsidR="00F15B4B" w:rsidRDefault="00F15B4B" w:rsidP="00F15B4B">
            <w:pPr>
              <w:pStyle w:val="TableText"/>
              <w:ind w:left="57" w:right="57"/>
            </w:pPr>
            <w:r>
              <w:t>1–2</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7C1291CE" w14:textId="693B35B7" w:rsidR="00F15B4B" w:rsidRDefault="00F15B4B" w:rsidP="00F15B4B">
            <w:pPr>
              <w:pStyle w:val="TableText"/>
              <w:ind w:left="57" w:right="57"/>
            </w:pPr>
            <w:r w:rsidRPr="00F15B4B">
              <w:t>0</w:t>
            </w:r>
          </w:p>
        </w:tc>
      </w:tr>
      <w:tr w:rsidR="00F15B4B" w14:paraId="57442B70" w14:textId="77777777" w:rsidTr="00F15B4B">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499CC5B1" w14:textId="77777777" w:rsidR="00F15B4B" w:rsidRDefault="00F15B4B" w:rsidP="00F15B4B">
            <w:pPr>
              <w:pStyle w:val="TableText"/>
              <w:ind w:left="57" w:right="57"/>
            </w:pPr>
            <w:r>
              <w:t>2–3</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1E58FF3B" w14:textId="561AAB2C" w:rsidR="00F15B4B" w:rsidRDefault="00F15B4B" w:rsidP="00F15B4B">
            <w:pPr>
              <w:pStyle w:val="TableText"/>
              <w:ind w:left="57" w:right="57"/>
            </w:pPr>
            <w:r w:rsidRPr="00F15B4B">
              <w:t>0</w:t>
            </w:r>
          </w:p>
        </w:tc>
      </w:tr>
      <w:tr w:rsidR="00F15B4B" w14:paraId="2494D276" w14:textId="77777777" w:rsidTr="00F15B4B">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6D433995" w14:textId="77777777" w:rsidR="00F15B4B" w:rsidRDefault="00F15B4B" w:rsidP="00F15B4B">
            <w:pPr>
              <w:pStyle w:val="TableText"/>
              <w:ind w:left="57" w:right="57"/>
            </w:pPr>
            <w:r>
              <w:t>3–4</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4704F76C" w14:textId="360C0AFD" w:rsidR="00F15B4B" w:rsidRDefault="00F15B4B" w:rsidP="00F15B4B">
            <w:pPr>
              <w:pStyle w:val="TableText"/>
              <w:ind w:left="57" w:right="57"/>
            </w:pPr>
            <w:r w:rsidRPr="00F15B4B">
              <w:t>1</w:t>
            </w:r>
          </w:p>
        </w:tc>
      </w:tr>
      <w:tr w:rsidR="00F15B4B" w14:paraId="3F290EFA" w14:textId="77777777" w:rsidTr="00F15B4B">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7C5AC5BE" w14:textId="77777777" w:rsidR="00F15B4B" w:rsidRDefault="00F15B4B" w:rsidP="00F15B4B">
            <w:pPr>
              <w:pStyle w:val="TableText"/>
              <w:ind w:left="57" w:right="57"/>
            </w:pPr>
            <w:r>
              <w:t>4–5</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4160F1CD" w14:textId="4A26992D" w:rsidR="00F15B4B" w:rsidRDefault="00F15B4B" w:rsidP="00F15B4B">
            <w:pPr>
              <w:pStyle w:val="TableText"/>
              <w:ind w:left="57" w:right="57"/>
            </w:pPr>
            <w:r w:rsidRPr="00F15B4B">
              <w:t>1</w:t>
            </w:r>
          </w:p>
        </w:tc>
      </w:tr>
      <w:tr w:rsidR="00F15B4B" w14:paraId="72650BF5" w14:textId="77777777" w:rsidTr="00F15B4B">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25306DEE" w14:textId="77777777" w:rsidR="00F15B4B" w:rsidRDefault="00F15B4B" w:rsidP="00F15B4B">
            <w:pPr>
              <w:pStyle w:val="TableText"/>
              <w:ind w:left="57" w:right="57"/>
            </w:pPr>
            <w:r>
              <w:t>5–6</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4DF60685" w14:textId="3AD11BE8" w:rsidR="00F15B4B" w:rsidRDefault="00F15B4B" w:rsidP="00F15B4B">
            <w:pPr>
              <w:pStyle w:val="TableText"/>
              <w:ind w:left="57" w:right="57"/>
            </w:pPr>
            <w:r w:rsidRPr="00F15B4B">
              <w:t>1</w:t>
            </w:r>
          </w:p>
        </w:tc>
      </w:tr>
      <w:tr w:rsidR="00F15B4B" w14:paraId="752F5541" w14:textId="77777777" w:rsidTr="00F15B4B">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2988A892" w14:textId="77777777" w:rsidR="00F15B4B" w:rsidRDefault="00F15B4B" w:rsidP="00F15B4B">
            <w:pPr>
              <w:pStyle w:val="TableText"/>
              <w:ind w:left="57" w:right="57"/>
            </w:pPr>
            <w:r>
              <w:t>6–7</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7AB7B889" w14:textId="4250A007" w:rsidR="00F15B4B" w:rsidRDefault="00F15B4B" w:rsidP="00F15B4B">
            <w:pPr>
              <w:pStyle w:val="TableText"/>
              <w:ind w:left="57" w:right="57"/>
            </w:pPr>
            <w:r w:rsidRPr="00F15B4B">
              <w:t>0</w:t>
            </w:r>
          </w:p>
        </w:tc>
      </w:tr>
      <w:tr w:rsidR="00F15B4B" w14:paraId="11B1B657" w14:textId="77777777" w:rsidTr="00F15B4B">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33E697A0" w14:textId="77777777" w:rsidR="00F15B4B" w:rsidRDefault="00F15B4B" w:rsidP="00F15B4B">
            <w:pPr>
              <w:pStyle w:val="TableText"/>
              <w:ind w:left="57" w:right="57"/>
            </w:pPr>
            <w:r>
              <w:t>7–8</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30539617" w14:textId="756F3525" w:rsidR="00F15B4B" w:rsidRDefault="00F15B4B" w:rsidP="00F15B4B">
            <w:pPr>
              <w:pStyle w:val="TableText"/>
              <w:ind w:left="57" w:right="57"/>
            </w:pPr>
            <w:r w:rsidRPr="00F15B4B">
              <w:t>3</w:t>
            </w:r>
          </w:p>
        </w:tc>
      </w:tr>
      <w:tr w:rsidR="00F15B4B" w14:paraId="29D438D8" w14:textId="77777777" w:rsidTr="00F15B4B">
        <w:trPr>
          <w:trHeight w:val="344"/>
        </w:trPr>
        <w:tc>
          <w:tcPr>
            <w:tcW w:w="4035" w:type="dxa"/>
            <w:tcBorders>
              <w:top w:val="single" w:sz="4" w:space="0" w:color="A6A6A6" w:themeColor="background1" w:themeShade="A6"/>
              <w:left w:val="nil"/>
              <w:bottom w:val="single" w:sz="4" w:space="0" w:color="A6A6A6" w:themeColor="background1" w:themeShade="A6"/>
              <w:right w:val="nil"/>
            </w:tcBorders>
            <w:hideMark/>
          </w:tcPr>
          <w:p w14:paraId="69ACF41B" w14:textId="203DC2C5" w:rsidR="00F15B4B" w:rsidRDefault="00F15B4B" w:rsidP="00F15B4B">
            <w:pPr>
              <w:pStyle w:val="TableText"/>
              <w:ind w:left="57" w:right="57"/>
            </w:pPr>
            <w:r w:rsidRPr="00F15B4B">
              <w:t>Greater than 8</w:t>
            </w:r>
          </w:p>
        </w:tc>
        <w:tc>
          <w:tcPr>
            <w:tcW w:w="4035" w:type="dxa"/>
            <w:tcBorders>
              <w:top w:val="single" w:sz="4" w:space="0" w:color="A6A6A6" w:themeColor="background1" w:themeShade="A6"/>
              <w:left w:val="nil"/>
              <w:bottom w:val="single" w:sz="4" w:space="0" w:color="A6A6A6" w:themeColor="background1" w:themeShade="A6"/>
              <w:right w:val="nil"/>
            </w:tcBorders>
            <w:hideMark/>
          </w:tcPr>
          <w:p w14:paraId="2B1D9B1C" w14:textId="0B90E0B5" w:rsidR="00F15B4B" w:rsidRDefault="00F15B4B" w:rsidP="00F15B4B">
            <w:pPr>
              <w:pStyle w:val="TableText"/>
              <w:ind w:left="57" w:right="57"/>
            </w:pPr>
            <w:r w:rsidRPr="00F15B4B">
              <w:t>19</w:t>
            </w:r>
          </w:p>
        </w:tc>
      </w:tr>
    </w:tbl>
    <w:p w14:paraId="65F6EEA1" w14:textId="77777777" w:rsidR="00F15B4B" w:rsidRDefault="00F15B4B" w:rsidP="00F15B4B"/>
    <w:p w14:paraId="65DF8DC4" w14:textId="77777777" w:rsidR="00F15B4B" w:rsidRDefault="00F15B4B" w:rsidP="00F15B4B">
      <w:r>
        <w:t>Among these patients:</w:t>
      </w:r>
    </w:p>
    <w:p w14:paraId="4C4E8B38" w14:textId="69F7F3BA" w:rsidR="00F15B4B" w:rsidRDefault="00F15B4B" w:rsidP="00F15B4B">
      <w:pPr>
        <w:pStyle w:val="Bullet"/>
      </w:pPr>
      <w:r>
        <w:t>26.9% were detained for up to, and including, eight weeks, which is within the first period of compulsory treatment set out in the Substance Addiction Act</w:t>
      </w:r>
    </w:p>
    <w:p w14:paraId="7C3FB636" w14:textId="14B75F35" w:rsidR="00F15B4B" w:rsidRDefault="00F15B4B" w:rsidP="00F15B4B">
      <w:pPr>
        <w:pStyle w:val="Bullet"/>
      </w:pPr>
      <w:r>
        <w:t>73.1% of patients were detained for a period of between 8 and 16 weeks, requiring a compulsory treatment order extension.</w:t>
      </w:r>
    </w:p>
    <w:p w14:paraId="073FAC91" w14:textId="77777777" w:rsidR="00F15B4B" w:rsidRDefault="00F15B4B" w:rsidP="00F15B4B"/>
    <w:p w14:paraId="333E31C6" w14:textId="59CC21F5" w:rsidR="00F15B4B" w:rsidRDefault="00F15B4B" w:rsidP="00F15B4B">
      <w:r>
        <w:t>Data extracted from PRIMHD shows that among service users who were discharged from the Substance Addiction Act from 1 July 2023 to 30 June 2024:</w:t>
      </w:r>
    </w:p>
    <w:p w14:paraId="74085204" w14:textId="1B60FAA4" w:rsidR="00F15B4B" w:rsidRDefault="00F15B4B" w:rsidP="00F15B4B">
      <w:pPr>
        <w:pStyle w:val="Bullet"/>
      </w:pPr>
      <w:r>
        <w:t xml:space="preserve">46.7% received additional inpatient </w:t>
      </w:r>
      <w:proofErr w:type="gramStart"/>
      <w:r>
        <w:t>care</w:t>
      </w:r>
      <w:proofErr w:type="gramEnd"/>
    </w:p>
    <w:p w14:paraId="7E3F6287" w14:textId="21E1F155" w:rsidR="00F15B4B" w:rsidRDefault="00F15B4B" w:rsidP="00F15B4B">
      <w:pPr>
        <w:pStyle w:val="Bullet"/>
      </w:pPr>
      <w:r>
        <w:t xml:space="preserve">86.7% engaged with individual treatments in outpatient </w:t>
      </w:r>
      <w:proofErr w:type="gramStart"/>
      <w:r>
        <w:t>services</w:t>
      </w:r>
      <w:proofErr w:type="gramEnd"/>
    </w:p>
    <w:p w14:paraId="60B3D7A4" w14:textId="74BE0189" w:rsidR="00F15B4B" w:rsidRDefault="00F15B4B" w:rsidP="00F15B4B">
      <w:pPr>
        <w:pStyle w:val="Bullet"/>
      </w:pPr>
      <w:r>
        <w:t xml:space="preserve">36.7% had family meetings </w:t>
      </w:r>
      <w:proofErr w:type="gramStart"/>
      <w:r>
        <w:t>arranged</w:t>
      </w:r>
      <w:proofErr w:type="gramEnd"/>
    </w:p>
    <w:p w14:paraId="6E649F7E" w14:textId="1CDD92A8" w:rsidR="00F15B4B" w:rsidRDefault="00F15B4B" w:rsidP="00F15B4B">
      <w:pPr>
        <w:pStyle w:val="Bullet"/>
      </w:pPr>
      <w:r>
        <w:t>93.3% had Supplementary Consumer Records</w:t>
      </w:r>
    </w:p>
    <w:p w14:paraId="25479AB6" w14:textId="4881B9BF" w:rsidR="00F15B4B" w:rsidRDefault="00F15B4B" w:rsidP="00F15B4B">
      <w:pPr>
        <w:pStyle w:val="Bullet"/>
      </w:pPr>
      <w:r>
        <w:t>90.0% had wellness plans.</w:t>
      </w:r>
    </w:p>
    <w:p w14:paraId="5AA00358" w14:textId="77777777" w:rsidR="00F15B4B" w:rsidRDefault="00F15B4B" w:rsidP="00F15B4B"/>
    <w:p w14:paraId="47070E5C" w14:textId="47AD3F61" w:rsidR="00F15B4B" w:rsidRDefault="00F15B4B" w:rsidP="00F15B4B">
      <w:r>
        <w:t>Please note, if an individual using these services was discharged in late June 2024, they are unlikely to have had enough time to engage with outpatient services during the reporting period.</w:t>
      </w:r>
    </w:p>
    <w:p w14:paraId="5C65421B" w14:textId="77777777" w:rsidR="00F15B4B" w:rsidRDefault="00F15B4B" w:rsidP="00F15B4B"/>
    <w:p w14:paraId="6717EBB3" w14:textId="33A5E5CB" w:rsidR="00F15B4B" w:rsidRDefault="00F15B4B" w:rsidP="00F15B4B">
      <w:r>
        <w:t>For this reason, it may be difficult to draw meaningful conclusions about a service user’s recovery journey from the information above.</w:t>
      </w:r>
    </w:p>
    <w:p w14:paraId="7E6D6A5E" w14:textId="0D33E2A4" w:rsidR="00F15B4B" w:rsidRDefault="00F15B4B" w:rsidP="00F15B4B"/>
    <w:p w14:paraId="77892BC6" w14:textId="77777777" w:rsidR="00FF445D" w:rsidRDefault="00FF445D" w:rsidP="00F15B4B">
      <w:pPr>
        <w:sectPr w:rsidR="00FF445D" w:rsidSect="000A3324">
          <w:pgSz w:w="11907" w:h="16840" w:code="9"/>
          <w:pgMar w:top="1418" w:right="1701" w:bottom="1134" w:left="1843" w:header="284" w:footer="425" w:gutter="284"/>
          <w:cols w:space="720"/>
        </w:sectPr>
      </w:pPr>
    </w:p>
    <w:p w14:paraId="0B1F962F" w14:textId="77777777" w:rsidR="00FF445D" w:rsidRDefault="00FF445D" w:rsidP="00FF445D">
      <w:pPr>
        <w:pStyle w:val="Heading2"/>
        <w:spacing w:before="0"/>
      </w:pPr>
      <w:bookmarkStart w:id="55" w:name="_Toc180077050"/>
      <w:r>
        <w:lastRenderedPageBreak/>
        <w:t>Appendix 4: Committees</w:t>
      </w:r>
      <w:bookmarkEnd w:id="55"/>
    </w:p>
    <w:p w14:paraId="1A8A6B66" w14:textId="57013F69" w:rsidR="00FF445D" w:rsidRDefault="00FF445D" w:rsidP="00FF445D">
      <w:r>
        <w:t>The Ministry is required by legislation to include information about committees.</w:t>
      </w:r>
    </w:p>
    <w:p w14:paraId="65EA8904" w14:textId="7197518A" w:rsidR="00FF445D" w:rsidRDefault="00FF445D" w:rsidP="00FF445D"/>
    <w:p w14:paraId="4DC7A794" w14:textId="77777777" w:rsidR="00FF445D" w:rsidRDefault="00FF445D" w:rsidP="00FF445D">
      <w:r>
        <w:t>Under section 87 of the Pae Ora (Healthy Futures) Act 2022 (the Pae Ora Act), the Minister of Health has authority to establish any committee that the Minister considers necessary for any purpose relating to the Pae Ora Act, its administration or any services. For each committee, the Ministry is required to give the following information in the annual report:</w:t>
      </w:r>
    </w:p>
    <w:p w14:paraId="7F74C914" w14:textId="794BD3DD" w:rsidR="00FF445D" w:rsidRDefault="00FF445D" w:rsidP="00FF445D">
      <w:pPr>
        <w:pStyle w:val="Bullet"/>
      </w:pPr>
      <w:r>
        <w:t>the name of the committee</w:t>
      </w:r>
    </w:p>
    <w:p w14:paraId="3E530F2F" w14:textId="73C18AE7" w:rsidR="00FF445D" w:rsidRDefault="00FF445D" w:rsidP="00FF445D">
      <w:pPr>
        <w:pStyle w:val="Bullet"/>
      </w:pPr>
      <w:r>
        <w:t>the names of the chairperson and members of the committee</w:t>
      </w:r>
    </w:p>
    <w:p w14:paraId="137A4EED" w14:textId="44DDA2B8" w:rsidR="00FF445D" w:rsidRDefault="00FF445D" w:rsidP="00FF445D">
      <w:pPr>
        <w:pStyle w:val="Bullet"/>
      </w:pPr>
      <w:r>
        <w:t>a declaration of whether any committee has not reported to the Minister in the period covered by the annual report.</w:t>
      </w:r>
    </w:p>
    <w:p w14:paraId="0C3CB991" w14:textId="77777777" w:rsidR="00FF445D" w:rsidRDefault="00FF445D" w:rsidP="00FF445D"/>
    <w:p w14:paraId="56328D33" w14:textId="10A7967E" w:rsidR="00FF445D" w:rsidRDefault="00FF445D" w:rsidP="00FF445D">
      <w:r>
        <w:t>A committee established by the Minister under section 11 of the New Zealand Public Health and Disability Act 2000 continues as if it were established under section 87 of the Pae Ora Act.</w:t>
      </w:r>
    </w:p>
    <w:p w14:paraId="084516B3" w14:textId="77777777" w:rsidR="00FF445D" w:rsidRDefault="00FF445D" w:rsidP="00FF445D"/>
    <w:p w14:paraId="6C5FB2B8" w14:textId="5D8489F9" w:rsidR="00FF445D" w:rsidRDefault="00FF445D" w:rsidP="00FF445D">
      <w:r>
        <w:t>The Human Assisted Reproductive Technology Act 2004 requires that we publish the chair and membership of the committees associated with this Act in our annual reports. The ethics committees below have been established to provide advice to the Minister of Health.</w:t>
      </w:r>
    </w:p>
    <w:p w14:paraId="40ADF118" w14:textId="77777777" w:rsidR="00FF445D" w:rsidRDefault="00FF445D" w:rsidP="00FF445D"/>
    <w:p w14:paraId="55201B56" w14:textId="281D115D" w:rsidR="00FF445D" w:rsidRDefault="00FF445D" w:rsidP="00FF445D">
      <w:r>
        <w:t>Set out in the following tables is information for the year to 30 June 2024 to meet these requirements.</w:t>
      </w:r>
    </w:p>
    <w:p w14:paraId="645E78EB" w14:textId="5FD963D5" w:rsidR="00FF445D" w:rsidRDefault="004C3776" w:rsidP="004C3776">
      <w:pPr>
        <w:pStyle w:val="Heading5"/>
      </w:pPr>
      <w:r w:rsidRPr="004C3776">
        <w:t>Committees established under the Pae Ora Act</w:t>
      </w:r>
    </w:p>
    <w:tbl>
      <w:tblPr>
        <w:tblStyle w:val="TableGrid"/>
        <w:tblW w:w="8505"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555"/>
        <w:gridCol w:w="2479"/>
        <w:gridCol w:w="3196"/>
        <w:gridCol w:w="1275"/>
      </w:tblGrid>
      <w:tr w:rsidR="00FF445D" w:rsidRPr="00FF445D" w14:paraId="478BAA28" w14:textId="77777777" w:rsidTr="004C3776">
        <w:trPr>
          <w:tblHeader/>
        </w:trPr>
        <w:tc>
          <w:tcPr>
            <w:tcW w:w="1555" w:type="dxa"/>
            <w:tcBorders>
              <w:top w:val="nil"/>
              <w:bottom w:val="nil"/>
            </w:tcBorders>
            <w:shd w:val="clear" w:color="auto" w:fill="D9D9D9" w:themeFill="background1" w:themeFillShade="D9"/>
          </w:tcPr>
          <w:p w14:paraId="4903E346" w14:textId="2BDF79B7" w:rsidR="00FF445D" w:rsidRPr="00FF445D" w:rsidRDefault="00FF445D" w:rsidP="00C03600">
            <w:pPr>
              <w:pStyle w:val="TableText"/>
              <w:rPr>
                <w:b/>
                <w:bCs/>
              </w:rPr>
            </w:pPr>
            <w:r w:rsidRPr="00FF445D">
              <w:rPr>
                <w:b/>
                <w:bCs/>
              </w:rPr>
              <w:t>Name of the committee</w:t>
            </w:r>
          </w:p>
        </w:tc>
        <w:tc>
          <w:tcPr>
            <w:tcW w:w="2479" w:type="dxa"/>
            <w:tcBorders>
              <w:top w:val="nil"/>
              <w:bottom w:val="nil"/>
            </w:tcBorders>
            <w:shd w:val="clear" w:color="auto" w:fill="D9D9D9" w:themeFill="background1" w:themeFillShade="D9"/>
          </w:tcPr>
          <w:p w14:paraId="3532D3E4" w14:textId="7C5D0462" w:rsidR="00FF445D" w:rsidRPr="00FF445D" w:rsidRDefault="00FF445D" w:rsidP="00C03600">
            <w:pPr>
              <w:pStyle w:val="TableText"/>
              <w:rPr>
                <w:b/>
                <w:bCs/>
              </w:rPr>
            </w:pPr>
            <w:r w:rsidRPr="00FF445D">
              <w:rPr>
                <w:b/>
                <w:bCs/>
              </w:rPr>
              <w:t>Membership</w:t>
            </w:r>
          </w:p>
        </w:tc>
        <w:tc>
          <w:tcPr>
            <w:tcW w:w="3196" w:type="dxa"/>
            <w:tcBorders>
              <w:top w:val="nil"/>
              <w:bottom w:val="nil"/>
            </w:tcBorders>
            <w:shd w:val="clear" w:color="auto" w:fill="D9D9D9" w:themeFill="background1" w:themeFillShade="D9"/>
          </w:tcPr>
          <w:p w14:paraId="79F79509" w14:textId="13141306" w:rsidR="00FF445D" w:rsidRPr="00FF445D" w:rsidRDefault="00FF445D" w:rsidP="00C03600">
            <w:pPr>
              <w:pStyle w:val="TableText"/>
              <w:rPr>
                <w:b/>
                <w:bCs/>
              </w:rPr>
            </w:pPr>
            <w:r w:rsidRPr="00FF445D">
              <w:rPr>
                <w:b/>
                <w:bCs/>
              </w:rPr>
              <w:t>Purpose</w:t>
            </w:r>
          </w:p>
        </w:tc>
        <w:tc>
          <w:tcPr>
            <w:tcW w:w="1275" w:type="dxa"/>
            <w:tcBorders>
              <w:top w:val="nil"/>
              <w:bottom w:val="nil"/>
            </w:tcBorders>
            <w:shd w:val="clear" w:color="auto" w:fill="D9D9D9" w:themeFill="background1" w:themeFillShade="D9"/>
          </w:tcPr>
          <w:p w14:paraId="2A1D77DA" w14:textId="042A8F0C" w:rsidR="00FF445D" w:rsidRPr="00FF445D" w:rsidRDefault="00FF445D" w:rsidP="00C03600">
            <w:pPr>
              <w:pStyle w:val="TableText"/>
              <w:rPr>
                <w:b/>
                <w:bCs/>
              </w:rPr>
            </w:pPr>
            <w:r w:rsidRPr="00FF445D">
              <w:rPr>
                <w:b/>
                <w:bCs/>
              </w:rPr>
              <w:t>Reported to the Minister in 2023/24</w:t>
            </w:r>
          </w:p>
        </w:tc>
      </w:tr>
      <w:tr w:rsidR="00FF445D" w14:paraId="753D08A7" w14:textId="77777777" w:rsidTr="004C3776">
        <w:tc>
          <w:tcPr>
            <w:tcW w:w="1555" w:type="dxa"/>
            <w:tcBorders>
              <w:top w:val="nil"/>
            </w:tcBorders>
          </w:tcPr>
          <w:p w14:paraId="540B90B4" w14:textId="50FC069E" w:rsidR="00FF445D" w:rsidRPr="00FF445D" w:rsidRDefault="00FF445D" w:rsidP="00C03600">
            <w:pPr>
              <w:pStyle w:val="TableText"/>
            </w:pPr>
            <w:r w:rsidRPr="00FF445D">
              <w:t>Health Workforce and System Efficiencies Committee</w:t>
            </w:r>
          </w:p>
        </w:tc>
        <w:tc>
          <w:tcPr>
            <w:tcW w:w="2479" w:type="dxa"/>
            <w:tcBorders>
              <w:top w:val="nil"/>
            </w:tcBorders>
          </w:tcPr>
          <w:p w14:paraId="36738DA6" w14:textId="77777777" w:rsidR="00FF445D" w:rsidRDefault="00FF445D" w:rsidP="00C03600">
            <w:pPr>
              <w:pStyle w:val="TableText"/>
            </w:pPr>
            <w:r w:rsidRPr="00FF445D">
              <w:t xml:space="preserve">Dr Andrew Connolly (Chair) </w:t>
            </w:r>
          </w:p>
          <w:p w14:paraId="6F96AA72" w14:textId="5CE0C85D" w:rsidR="00FF445D" w:rsidRPr="00FF445D" w:rsidRDefault="00FF445D" w:rsidP="00C03600">
            <w:pPr>
              <w:pStyle w:val="TableText"/>
            </w:pPr>
            <w:r w:rsidRPr="00FF445D">
              <w:t>Margareth Broodkoorn</w:t>
            </w:r>
          </w:p>
          <w:p w14:paraId="0215C976" w14:textId="77777777" w:rsidR="00FF445D" w:rsidRPr="00FF445D" w:rsidRDefault="00FF445D" w:rsidP="00C03600">
            <w:pPr>
              <w:pStyle w:val="TableText"/>
            </w:pPr>
            <w:r w:rsidRPr="00FF445D">
              <w:t>Dr Bryan Betty</w:t>
            </w:r>
          </w:p>
          <w:p w14:paraId="5ABB30DE" w14:textId="18DE52AA" w:rsidR="00FF445D" w:rsidRPr="00FF445D" w:rsidRDefault="00FF445D" w:rsidP="00C03600">
            <w:pPr>
              <w:pStyle w:val="TableText"/>
            </w:pPr>
            <w:r w:rsidRPr="00FF445D">
              <w:t>Dr Gary Hopgood</w:t>
            </w:r>
          </w:p>
        </w:tc>
        <w:tc>
          <w:tcPr>
            <w:tcW w:w="3196" w:type="dxa"/>
            <w:tcBorders>
              <w:top w:val="nil"/>
            </w:tcBorders>
          </w:tcPr>
          <w:p w14:paraId="5A4E8891" w14:textId="24161057" w:rsidR="00FF445D" w:rsidRPr="00FF445D" w:rsidRDefault="00FF445D" w:rsidP="00C03600">
            <w:pPr>
              <w:pStyle w:val="TableText"/>
            </w:pPr>
            <w:r w:rsidRPr="00FF445D">
              <w:t xml:space="preserve">The Health Workforce and System Efficiencies Committee was established in April 2024 and replaced the Health Workforce Advisory Committee. The committee provides advice to the Minister of </w:t>
            </w:r>
            <w:proofErr w:type="gramStart"/>
            <w:r w:rsidRPr="00FF445D">
              <w:t>Health on health</w:t>
            </w:r>
            <w:proofErr w:type="gramEnd"/>
            <w:r w:rsidRPr="00FF445D">
              <w:t xml:space="preserve"> workforce matters, including strategic direction, and emerging issues and risks.</w:t>
            </w:r>
          </w:p>
        </w:tc>
        <w:tc>
          <w:tcPr>
            <w:tcW w:w="1275" w:type="dxa"/>
            <w:tcBorders>
              <w:top w:val="nil"/>
            </w:tcBorders>
          </w:tcPr>
          <w:p w14:paraId="11DA0D4D" w14:textId="7D7D9625" w:rsidR="00FF445D" w:rsidRPr="00FF445D" w:rsidRDefault="00FF445D" w:rsidP="00C03600">
            <w:pPr>
              <w:pStyle w:val="TableText"/>
            </w:pPr>
            <w:r w:rsidRPr="00FF445D">
              <w:t>No</w:t>
            </w:r>
          </w:p>
        </w:tc>
      </w:tr>
      <w:tr w:rsidR="00FF445D" w14:paraId="1D5063F1" w14:textId="77777777" w:rsidTr="004C3776">
        <w:tc>
          <w:tcPr>
            <w:tcW w:w="1555" w:type="dxa"/>
          </w:tcPr>
          <w:p w14:paraId="4181EC06" w14:textId="00DDB8C7" w:rsidR="00FF445D" w:rsidRDefault="00FF445D" w:rsidP="00C03600">
            <w:pPr>
              <w:pStyle w:val="TableText"/>
            </w:pPr>
            <w:r w:rsidRPr="00FF445D">
              <w:t>Ministerial Advisory Committee for Health Reform Implementation</w:t>
            </w:r>
          </w:p>
        </w:tc>
        <w:tc>
          <w:tcPr>
            <w:tcW w:w="2479" w:type="dxa"/>
          </w:tcPr>
          <w:p w14:paraId="66C9736D" w14:textId="77777777" w:rsidR="00FF445D" w:rsidRDefault="00FF445D" w:rsidP="00704067">
            <w:pPr>
              <w:pStyle w:val="TableText"/>
            </w:pPr>
            <w:r w:rsidRPr="00FF445D">
              <w:t xml:space="preserve">Sue Suckling (Chair) </w:t>
            </w:r>
          </w:p>
          <w:p w14:paraId="6C3D7387" w14:textId="77777777" w:rsidR="00C03600" w:rsidRDefault="00FF445D" w:rsidP="00704067">
            <w:pPr>
              <w:pStyle w:val="TableText"/>
            </w:pPr>
            <w:r w:rsidRPr="00FF445D">
              <w:t>Dr Andrew Connolly</w:t>
            </w:r>
          </w:p>
          <w:p w14:paraId="0ACC2B53" w14:textId="77777777" w:rsidR="00C03600" w:rsidRDefault="00FF445D" w:rsidP="00704067">
            <w:pPr>
              <w:pStyle w:val="TableText"/>
            </w:pPr>
            <w:r w:rsidRPr="00FF445D">
              <w:t xml:space="preserve">Parekawhia McLean </w:t>
            </w:r>
          </w:p>
          <w:p w14:paraId="2D630E19" w14:textId="0C85F9C8" w:rsidR="00FF445D" w:rsidRDefault="00FF445D" w:rsidP="00704067">
            <w:pPr>
              <w:pStyle w:val="TableText"/>
            </w:pPr>
            <w:r w:rsidRPr="00FF445D">
              <w:t xml:space="preserve">Cathy Scott </w:t>
            </w:r>
          </w:p>
          <w:p w14:paraId="550663FD" w14:textId="06EC2C10" w:rsidR="00FF445D" w:rsidRPr="00FF445D" w:rsidRDefault="00FF445D" w:rsidP="00704067">
            <w:pPr>
              <w:pStyle w:val="TableText"/>
            </w:pPr>
            <w:r w:rsidRPr="00FF445D">
              <w:t>Margareth Broodkoorn</w:t>
            </w:r>
          </w:p>
          <w:p w14:paraId="304877AD" w14:textId="7136B581" w:rsidR="00FF445D" w:rsidRDefault="00FF445D" w:rsidP="00704067">
            <w:pPr>
              <w:pStyle w:val="TableText"/>
            </w:pPr>
            <w:r>
              <w:t>Dr</w:t>
            </w:r>
            <w:r w:rsidRPr="00FF445D">
              <w:t xml:space="preserve"> </w:t>
            </w:r>
            <w:r>
              <w:t>Deborah</w:t>
            </w:r>
            <w:r w:rsidRPr="00FF445D">
              <w:t xml:space="preserve"> Ryan</w:t>
            </w:r>
          </w:p>
        </w:tc>
        <w:tc>
          <w:tcPr>
            <w:tcW w:w="3196" w:type="dxa"/>
          </w:tcPr>
          <w:p w14:paraId="6723E4FD" w14:textId="19263079" w:rsidR="00FF445D" w:rsidRDefault="00FF445D" w:rsidP="00C03600">
            <w:pPr>
              <w:pStyle w:val="TableText"/>
            </w:pPr>
            <w:r w:rsidRPr="00FF445D">
              <w:t>The Ministerial Advisory Committee for Health Reform Implementation provided the Minister of Health with independent advice on progress towards, and consistency with,</w:t>
            </w:r>
            <w:r>
              <w:t xml:space="preserve"> the health reform objectives. This committee was disestablished on</w:t>
            </w:r>
            <w:r w:rsidRPr="00FF445D">
              <w:t xml:space="preserve"> 1 </w:t>
            </w:r>
            <w:r>
              <w:t>March</w:t>
            </w:r>
            <w:r w:rsidRPr="00FF445D">
              <w:t xml:space="preserve"> </w:t>
            </w:r>
            <w:r>
              <w:t>2024</w:t>
            </w:r>
            <w:r w:rsidRPr="00FF445D">
              <w:t xml:space="preserve"> </w:t>
            </w:r>
            <w:r>
              <w:t>following</w:t>
            </w:r>
            <w:r w:rsidRPr="00FF445D">
              <w:t xml:space="preserve"> </w:t>
            </w:r>
            <w:r>
              <w:t>completion of its final report.</w:t>
            </w:r>
          </w:p>
        </w:tc>
        <w:tc>
          <w:tcPr>
            <w:tcW w:w="1275" w:type="dxa"/>
          </w:tcPr>
          <w:p w14:paraId="6714A024" w14:textId="3B9F1C4D" w:rsidR="00FF445D" w:rsidRDefault="00FF445D" w:rsidP="00C03600">
            <w:pPr>
              <w:pStyle w:val="TableText"/>
            </w:pPr>
            <w:r w:rsidRPr="00FF445D">
              <w:t>Yes</w:t>
            </w:r>
          </w:p>
        </w:tc>
      </w:tr>
      <w:tr w:rsidR="00C03600" w14:paraId="27F8CB2B" w14:textId="77777777" w:rsidTr="004C3776">
        <w:tc>
          <w:tcPr>
            <w:tcW w:w="1555" w:type="dxa"/>
          </w:tcPr>
          <w:p w14:paraId="3016C661" w14:textId="0549E31B" w:rsidR="00C03600" w:rsidRDefault="00C03600" w:rsidP="00C03600">
            <w:pPr>
              <w:pStyle w:val="TableText"/>
            </w:pPr>
            <w:r w:rsidRPr="00C03600">
              <w:lastRenderedPageBreak/>
              <w:t>Hauora Māori Advisory Committee</w:t>
            </w:r>
          </w:p>
        </w:tc>
        <w:tc>
          <w:tcPr>
            <w:tcW w:w="2479" w:type="dxa"/>
          </w:tcPr>
          <w:p w14:paraId="1EEC7538" w14:textId="77777777" w:rsidR="00C03600" w:rsidRDefault="00C03600" w:rsidP="00704067">
            <w:pPr>
              <w:pStyle w:val="TableText"/>
            </w:pPr>
            <w:r w:rsidRPr="00C03600">
              <w:t xml:space="preserve">Parekawhia McLean (Chair) </w:t>
            </w:r>
          </w:p>
          <w:p w14:paraId="7E9A390E" w14:textId="07FD63DB" w:rsidR="00C03600" w:rsidRPr="00C03600" w:rsidRDefault="00C03600" w:rsidP="00704067">
            <w:pPr>
              <w:pStyle w:val="TableText"/>
            </w:pPr>
            <w:r w:rsidRPr="00C03600">
              <w:t>Rāhui Papa</w:t>
            </w:r>
          </w:p>
          <w:p w14:paraId="4F7810DE" w14:textId="77777777" w:rsidR="00C03600" w:rsidRDefault="00C03600" w:rsidP="00704067">
            <w:pPr>
              <w:pStyle w:val="TableText"/>
            </w:pPr>
            <w:r w:rsidRPr="00C03600">
              <w:t xml:space="preserve">Tā Mark Solomon </w:t>
            </w:r>
          </w:p>
          <w:p w14:paraId="4B8E8CE9" w14:textId="77777777" w:rsidR="00C03600" w:rsidRDefault="00C03600" w:rsidP="00704067">
            <w:pPr>
              <w:pStyle w:val="TableText"/>
            </w:pPr>
            <w:r w:rsidRPr="00C03600">
              <w:t xml:space="preserve">Dr Matire Harwood </w:t>
            </w:r>
          </w:p>
          <w:p w14:paraId="7D8BBB67" w14:textId="4C2BE8CB" w:rsidR="00C03600" w:rsidRPr="00C03600" w:rsidRDefault="00C03600" w:rsidP="00704067">
            <w:pPr>
              <w:pStyle w:val="TableText"/>
            </w:pPr>
            <w:r w:rsidRPr="00C03600">
              <w:t>Dr Jim Mather</w:t>
            </w:r>
          </w:p>
          <w:p w14:paraId="17B9BCA2" w14:textId="77777777" w:rsidR="00C03600" w:rsidRDefault="00C03600" w:rsidP="00704067">
            <w:pPr>
              <w:pStyle w:val="TableText"/>
            </w:pPr>
            <w:r w:rsidRPr="00C03600">
              <w:t xml:space="preserve">Margareth Broodkoorn </w:t>
            </w:r>
          </w:p>
          <w:p w14:paraId="46AAD6B7" w14:textId="77777777" w:rsidR="00C03600" w:rsidRDefault="00C03600" w:rsidP="00704067">
            <w:pPr>
              <w:pStyle w:val="TableText"/>
            </w:pPr>
            <w:r w:rsidRPr="00C03600">
              <w:t>Lisa Tumahai</w:t>
            </w:r>
          </w:p>
          <w:p w14:paraId="74C5490F" w14:textId="7CC5ADD6" w:rsidR="00C03600" w:rsidRPr="00C03600" w:rsidRDefault="00C03600" w:rsidP="00704067">
            <w:pPr>
              <w:pStyle w:val="TableText"/>
            </w:pPr>
            <w:r w:rsidRPr="00C03600">
              <w:t>Amohaere Houkamau</w:t>
            </w:r>
          </w:p>
        </w:tc>
        <w:tc>
          <w:tcPr>
            <w:tcW w:w="3196" w:type="dxa"/>
          </w:tcPr>
          <w:p w14:paraId="4F90ABC6" w14:textId="313A69C9" w:rsidR="00C03600" w:rsidRDefault="00C03600" w:rsidP="00C03600">
            <w:pPr>
              <w:pStyle w:val="TableText"/>
            </w:pPr>
            <w:r w:rsidRPr="00C03600">
              <w:t xml:space="preserve">The Hauora Māori Advisory Committee advises the Minister of Health on any matter relating </w:t>
            </w:r>
            <w:r>
              <w:t xml:space="preserve">to hauora Māori that the Minister </w:t>
            </w:r>
            <w:r w:rsidRPr="00C03600">
              <w:t>requests.</w:t>
            </w:r>
          </w:p>
        </w:tc>
        <w:tc>
          <w:tcPr>
            <w:tcW w:w="1275" w:type="dxa"/>
          </w:tcPr>
          <w:p w14:paraId="7C1AB759" w14:textId="28F9182A" w:rsidR="00C03600" w:rsidRDefault="00C03600" w:rsidP="00C03600">
            <w:pPr>
              <w:pStyle w:val="TableText"/>
            </w:pPr>
            <w:r w:rsidRPr="00C03600">
              <w:t>Yes</w:t>
            </w:r>
          </w:p>
        </w:tc>
      </w:tr>
      <w:tr w:rsidR="00C03600" w14:paraId="50020487" w14:textId="77777777" w:rsidTr="004C3776">
        <w:tc>
          <w:tcPr>
            <w:tcW w:w="1555" w:type="dxa"/>
          </w:tcPr>
          <w:p w14:paraId="0E96F196" w14:textId="2BEA064F" w:rsidR="00C03600" w:rsidRDefault="00C03600" w:rsidP="00C03600">
            <w:pPr>
              <w:pStyle w:val="TableText"/>
            </w:pPr>
            <w:r w:rsidRPr="00C03600">
              <w:t>Public Health Advisory Committee (PHAC)</w:t>
            </w:r>
          </w:p>
        </w:tc>
        <w:tc>
          <w:tcPr>
            <w:tcW w:w="2479" w:type="dxa"/>
          </w:tcPr>
          <w:p w14:paraId="39C3F0E4" w14:textId="77777777" w:rsidR="00C03600" w:rsidRDefault="00C03600" w:rsidP="00704067">
            <w:pPr>
              <w:pStyle w:val="TableText"/>
            </w:pPr>
            <w:r w:rsidRPr="00C03600">
              <w:t xml:space="preserve">Kevin Hague (Chair) </w:t>
            </w:r>
          </w:p>
          <w:p w14:paraId="4C00C669" w14:textId="7059A2B5" w:rsidR="00C03600" w:rsidRPr="00C03600" w:rsidRDefault="00C03600" w:rsidP="00704067">
            <w:pPr>
              <w:pStyle w:val="TableText"/>
            </w:pPr>
            <w:r w:rsidRPr="00C03600">
              <w:t>Beverly Te Huia</w:t>
            </w:r>
          </w:p>
          <w:p w14:paraId="54C88F72" w14:textId="77777777" w:rsidR="00C03600" w:rsidRPr="00C03600" w:rsidRDefault="00C03600" w:rsidP="00704067">
            <w:pPr>
              <w:pStyle w:val="TableText"/>
            </w:pPr>
            <w:r w:rsidRPr="00C03600">
              <w:t>Associate Professor Jason Gurney</w:t>
            </w:r>
          </w:p>
          <w:p w14:paraId="2D33F86F" w14:textId="77777777" w:rsidR="00C03600" w:rsidRPr="00C03600" w:rsidRDefault="00C03600" w:rsidP="00704067">
            <w:pPr>
              <w:pStyle w:val="TableText"/>
            </w:pPr>
            <w:r w:rsidRPr="00C03600">
              <w:t>Associate Professor Ruth Cunningham</w:t>
            </w:r>
          </w:p>
          <w:p w14:paraId="4FBECD79" w14:textId="3DCE8301" w:rsidR="00C03600" w:rsidRDefault="00C03600" w:rsidP="00704067">
            <w:pPr>
              <w:pStyle w:val="TableText"/>
            </w:pPr>
            <w:r>
              <w:t>Professor</w:t>
            </w:r>
            <w:r w:rsidRPr="00C03600">
              <w:t xml:space="preserve"> </w:t>
            </w:r>
            <w:r>
              <w:t>Peter</w:t>
            </w:r>
            <w:r w:rsidRPr="00C03600">
              <w:t xml:space="preserve"> Crampton</w:t>
            </w:r>
          </w:p>
        </w:tc>
        <w:tc>
          <w:tcPr>
            <w:tcW w:w="3196" w:type="dxa"/>
          </w:tcPr>
          <w:p w14:paraId="65DD8DD2" w14:textId="36849E8C" w:rsidR="00C03600" w:rsidRDefault="00C03600" w:rsidP="00C03600">
            <w:pPr>
              <w:pStyle w:val="TableText"/>
            </w:pPr>
            <w:r w:rsidRPr="00C03600">
              <w:t xml:space="preserve">The PHAC provides independent advice to the Minister and Associate Ministers of Health, the Public Health Agency and Health New Zealand on public health </w:t>
            </w:r>
            <w:r>
              <w:t xml:space="preserve">issues, including factors underlying </w:t>
            </w:r>
            <w:r w:rsidRPr="00C03600">
              <w:t>the health of people, whānau and communities.</w:t>
            </w:r>
          </w:p>
        </w:tc>
        <w:tc>
          <w:tcPr>
            <w:tcW w:w="1275" w:type="dxa"/>
          </w:tcPr>
          <w:p w14:paraId="7F969C95" w14:textId="18C32AE4" w:rsidR="00C03600" w:rsidRDefault="00C03600" w:rsidP="00C03600">
            <w:pPr>
              <w:pStyle w:val="TableText"/>
            </w:pPr>
            <w:r w:rsidRPr="00C03600">
              <w:t>Yes</w:t>
            </w:r>
          </w:p>
        </w:tc>
      </w:tr>
      <w:tr w:rsidR="00C03600" w14:paraId="6FC6FD9B" w14:textId="77777777" w:rsidTr="004C3776">
        <w:tc>
          <w:tcPr>
            <w:tcW w:w="1555" w:type="dxa"/>
          </w:tcPr>
          <w:p w14:paraId="78748761" w14:textId="5EE963CF" w:rsidR="00C03600" w:rsidRDefault="00C03600" w:rsidP="00C03600">
            <w:pPr>
              <w:pStyle w:val="TableText"/>
            </w:pPr>
            <w:r w:rsidRPr="00C03600">
              <w:t xml:space="preserve">Health and </w:t>
            </w:r>
            <w:r>
              <w:t>Disability</w:t>
            </w:r>
            <w:r w:rsidRPr="00C03600">
              <w:t xml:space="preserve"> </w:t>
            </w:r>
            <w:r>
              <w:t xml:space="preserve">Ethics </w:t>
            </w:r>
            <w:r w:rsidRPr="00C03600">
              <w:t>Committee – Northern A</w:t>
            </w:r>
          </w:p>
        </w:tc>
        <w:tc>
          <w:tcPr>
            <w:tcW w:w="2479" w:type="dxa"/>
          </w:tcPr>
          <w:p w14:paraId="07C66236" w14:textId="77777777" w:rsidR="00C03600" w:rsidRDefault="00C03600" w:rsidP="00704067">
            <w:pPr>
              <w:pStyle w:val="TableText"/>
            </w:pPr>
            <w:r w:rsidRPr="00C03600">
              <w:t xml:space="preserve">Catherine Garvey (Chair) </w:t>
            </w:r>
          </w:p>
          <w:p w14:paraId="3AA6D331" w14:textId="2CFD2D7A" w:rsidR="00C03600" w:rsidRPr="00C03600" w:rsidRDefault="00C03600" w:rsidP="00704067">
            <w:pPr>
              <w:pStyle w:val="TableText"/>
            </w:pPr>
            <w:r w:rsidRPr="00C03600">
              <w:t>Dr Kate Parker</w:t>
            </w:r>
          </w:p>
          <w:p w14:paraId="2D00D438" w14:textId="77777777" w:rsidR="00C03600" w:rsidRPr="00C03600" w:rsidRDefault="00C03600" w:rsidP="00704067">
            <w:pPr>
              <w:pStyle w:val="TableText"/>
            </w:pPr>
            <w:r w:rsidRPr="00C03600">
              <w:t>Dr Andrea Forde</w:t>
            </w:r>
          </w:p>
          <w:p w14:paraId="01C225D7" w14:textId="77777777" w:rsidR="00704067" w:rsidRDefault="00C03600" w:rsidP="00704067">
            <w:pPr>
              <w:pStyle w:val="TableText"/>
            </w:pPr>
            <w:r w:rsidRPr="00C03600">
              <w:t xml:space="preserve">Dr Sotera Catapang </w:t>
            </w:r>
          </w:p>
          <w:p w14:paraId="75DA6007" w14:textId="77777777" w:rsidR="00704067" w:rsidRDefault="00C03600" w:rsidP="00704067">
            <w:pPr>
              <w:pStyle w:val="TableText"/>
            </w:pPr>
            <w:r w:rsidRPr="00C03600">
              <w:t xml:space="preserve">Jonathan Darby </w:t>
            </w:r>
          </w:p>
          <w:p w14:paraId="13DA44E2" w14:textId="10325458" w:rsidR="00C03600" w:rsidRDefault="00C03600" w:rsidP="00704067">
            <w:pPr>
              <w:pStyle w:val="TableText"/>
            </w:pPr>
            <w:r w:rsidRPr="00C03600">
              <w:t>Jade Scott</w:t>
            </w:r>
          </w:p>
          <w:p w14:paraId="297A9A5D" w14:textId="55A2D5E4" w:rsidR="00C03600" w:rsidRPr="00704067" w:rsidRDefault="00C03600" w:rsidP="00704067">
            <w:pPr>
              <w:pStyle w:val="TableText"/>
            </w:pPr>
            <w:r w:rsidRPr="00C03600">
              <w:t>Liang Derek Chang</w:t>
            </w:r>
          </w:p>
        </w:tc>
        <w:tc>
          <w:tcPr>
            <w:tcW w:w="3196" w:type="dxa"/>
          </w:tcPr>
          <w:p w14:paraId="5F809AA7" w14:textId="0021AB09" w:rsidR="00C03600" w:rsidRDefault="00C03600" w:rsidP="00C03600">
            <w:pPr>
              <w:pStyle w:val="TableText"/>
            </w:pPr>
            <w:r w:rsidRPr="00C03600">
              <w:t>The health and disability ethics committees are a group of four research ethics committees: Northern A, Northern B, Central and Southern. Their purpose is to check that health and disability research (such as clinical trials) being conducted meets, or exceeds, ethical standards established</w:t>
            </w:r>
            <w:r>
              <w:t xml:space="preserve"> </w:t>
            </w:r>
            <w:r w:rsidRPr="00C03600">
              <w:t>by the National Ethics Advisory</w:t>
            </w:r>
            <w:r>
              <w:t xml:space="preserve"> </w:t>
            </w:r>
            <w:r w:rsidRPr="00C03600">
              <w:t>Committee.</w:t>
            </w:r>
          </w:p>
        </w:tc>
        <w:tc>
          <w:tcPr>
            <w:tcW w:w="1275" w:type="dxa"/>
          </w:tcPr>
          <w:p w14:paraId="63B9F3B3" w14:textId="2059273A" w:rsidR="00C03600" w:rsidRDefault="00C03600" w:rsidP="00C03600">
            <w:pPr>
              <w:pStyle w:val="TableText"/>
            </w:pPr>
            <w:r w:rsidRPr="00C03600">
              <w:t>No</w:t>
            </w:r>
          </w:p>
        </w:tc>
      </w:tr>
      <w:tr w:rsidR="00C03600" w14:paraId="5674BB5D" w14:textId="77777777" w:rsidTr="004C3776">
        <w:tc>
          <w:tcPr>
            <w:tcW w:w="1555" w:type="dxa"/>
          </w:tcPr>
          <w:p w14:paraId="3FFC0C82" w14:textId="5F8C5586" w:rsidR="00C03600" w:rsidRDefault="00C03600" w:rsidP="00C03600">
            <w:pPr>
              <w:pStyle w:val="TableText"/>
            </w:pPr>
            <w:r w:rsidRPr="00C03600">
              <w:t xml:space="preserve">Health and </w:t>
            </w:r>
            <w:r>
              <w:t>Disability</w:t>
            </w:r>
            <w:r w:rsidRPr="00C03600">
              <w:t xml:space="preserve"> </w:t>
            </w:r>
            <w:r>
              <w:t xml:space="preserve">Ethics </w:t>
            </w:r>
            <w:r w:rsidRPr="00C03600">
              <w:t>Committee – Northern B</w:t>
            </w:r>
          </w:p>
        </w:tc>
        <w:tc>
          <w:tcPr>
            <w:tcW w:w="2479" w:type="dxa"/>
          </w:tcPr>
          <w:p w14:paraId="1207558D" w14:textId="77777777" w:rsidR="00C03600" w:rsidRDefault="00C03600" w:rsidP="00704067">
            <w:pPr>
              <w:pStyle w:val="TableText"/>
            </w:pPr>
            <w:r w:rsidRPr="00C03600">
              <w:t xml:space="preserve">Kate O’Connor (Chair) </w:t>
            </w:r>
          </w:p>
          <w:p w14:paraId="25B9DB96" w14:textId="26AB3B1C" w:rsidR="00C03600" w:rsidRPr="00C03600" w:rsidRDefault="00C03600" w:rsidP="00704067">
            <w:pPr>
              <w:pStyle w:val="TableText"/>
            </w:pPr>
            <w:r w:rsidRPr="00C03600">
              <w:t>Leesa Russell</w:t>
            </w:r>
          </w:p>
          <w:p w14:paraId="6629BE2A" w14:textId="77777777" w:rsidR="00C03600" w:rsidRPr="00C03600" w:rsidRDefault="00C03600" w:rsidP="00704067">
            <w:pPr>
              <w:pStyle w:val="TableText"/>
            </w:pPr>
            <w:r w:rsidRPr="00C03600">
              <w:t>Joan Pettit</w:t>
            </w:r>
          </w:p>
          <w:p w14:paraId="572C08ED" w14:textId="77777777" w:rsidR="00704067" w:rsidRDefault="00C03600" w:rsidP="00704067">
            <w:pPr>
              <w:pStyle w:val="TableText"/>
            </w:pPr>
            <w:r w:rsidRPr="00C03600">
              <w:t xml:space="preserve">Dr Amber Parry-Strong </w:t>
            </w:r>
          </w:p>
          <w:p w14:paraId="6A7145B2" w14:textId="62F474A7" w:rsidR="00C03600" w:rsidRPr="00C03600" w:rsidRDefault="00C03600" w:rsidP="00704067">
            <w:pPr>
              <w:pStyle w:val="TableText"/>
            </w:pPr>
            <w:r w:rsidRPr="00C03600">
              <w:t>Barry Taylor</w:t>
            </w:r>
          </w:p>
          <w:p w14:paraId="168BA1D9" w14:textId="77777777" w:rsidR="00C03600" w:rsidRPr="00C03600" w:rsidRDefault="00C03600" w:rsidP="00704067">
            <w:pPr>
              <w:pStyle w:val="TableText"/>
            </w:pPr>
            <w:r w:rsidRPr="00C03600">
              <w:t>Alice McCarthy</w:t>
            </w:r>
          </w:p>
          <w:p w14:paraId="6CA1D8C9" w14:textId="77777777" w:rsidR="00C03600" w:rsidRDefault="00C03600" w:rsidP="00704067">
            <w:pPr>
              <w:pStyle w:val="TableText"/>
            </w:pPr>
            <w:r w:rsidRPr="00C03600">
              <w:t xml:space="preserve">Maakere Marr </w:t>
            </w:r>
          </w:p>
          <w:p w14:paraId="4378B1F7" w14:textId="4B8FF474" w:rsidR="00C03600" w:rsidRDefault="00C03600" w:rsidP="00704067">
            <w:pPr>
              <w:pStyle w:val="TableText"/>
            </w:pPr>
            <w:r>
              <w:t>Ewe</w:t>
            </w:r>
            <w:r w:rsidRPr="00C03600">
              <w:t xml:space="preserve"> </w:t>
            </w:r>
            <w:r>
              <w:t>Leong</w:t>
            </w:r>
            <w:r w:rsidRPr="00C03600">
              <w:t xml:space="preserve"> Lim</w:t>
            </w:r>
          </w:p>
        </w:tc>
        <w:tc>
          <w:tcPr>
            <w:tcW w:w="3196" w:type="dxa"/>
          </w:tcPr>
          <w:p w14:paraId="0850294D" w14:textId="187CD313" w:rsidR="00C03600" w:rsidRDefault="00C03600" w:rsidP="00C03600">
            <w:pPr>
              <w:pStyle w:val="TableText"/>
            </w:pPr>
            <w:r w:rsidRPr="00C03600">
              <w:t>See above</w:t>
            </w:r>
          </w:p>
        </w:tc>
        <w:tc>
          <w:tcPr>
            <w:tcW w:w="1275" w:type="dxa"/>
          </w:tcPr>
          <w:p w14:paraId="064D16EA" w14:textId="07BA351B" w:rsidR="00C03600" w:rsidRDefault="00C03600" w:rsidP="00C03600">
            <w:pPr>
              <w:pStyle w:val="TableText"/>
            </w:pPr>
            <w:r w:rsidRPr="00C03600">
              <w:t>No</w:t>
            </w:r>
          </w:p>
        </w:tc>
      </w:tr>
      <w:tr w:rsidR="00C03600" w14:paraId="749C3DB0" w14:textId="77777777" w:rsidTr="004C3776">
        <w:tc>
          <w:tcPr>
            <w:tcW w:w="1555" w:type="dxa"/>
          </w:tcPr>
          <w:p w14:paraId="5744CD01" w14:textId="6E080C1B" w:rsidR="00C03600" w:rsidRDefault="00C03600" w:rsidP="00704067">
            <w:pPr>
              <w:pStyle w:val="TableText"/>
            </w:pPr>
            <w:r w:rsidRPr="00C03600">
              <w:t xml:space="preserve">Health and </w:t>
            </w:r>
            <w:r>
              <w:t>Disability</w:t>
            </w:r>
            <w:r w:rsidRPr="00C03600">
              <w:t xml:space="preserve"> </w:t>
            </w:r>
            <w:r>
              <w:t xml:space="preserve">Ethics </w:t>
            </w:r>
            <w:r w:rsidRPr="00C03600">
              <w:t>Committee – Central</w:t>
            </w:r>
          </w:p>
        </w:tc>
        <w:tc>
          <w:tcPr>
            <w:tcW w:w="2479" w:type="dxa"/>
          </w:tcPr>
          <w:p w14:paraId="4C270298" w14:textId="77777777" w:rsidR="00C03600" w:rsidRDefault="00C03600" w:rsidP="00704067">
            <w:pPr>
              <w:pStyle w:val="TableParagraph"/>
              <w:spacing w:before="60" w:after="60" w:line="312" w:lineRule="auto"/>
              <w:rPr>
                <w:rFonts w:ascii="Segoe UI" w:eastAsia="Times New Roman" w:hAnsi="Segoe UI" w:cs="Times New Roman"/>
                <w:sz w:val="18"/>
                <w:szCs w:val="20"/>
                <w:lang w:val="en-NZ" w:eastAsia="en-GB"/>
              </w:rPr>
            </w:pPr>
            <w:r w:rsidRPr="00C03600">
              <w:rPr>
                <w:rFonts w:ascii="Segoe UI" w:eastAsia="Times New Roman" w:hAnsi="Segoe UI" w:cs="Times New Roman"/>
                <w:sz w:val="18"/>
                <w:szCs w:val="20"/>
                <w:lang w:val="en-NZ" w:eastAsia="en-GB"/>
              </w:rPr>
              <w:t xml:space="preserve">Helen Walker (Chair) </w:t>
            </w:r>
          </w:p>
          <w:p w14:paraId="45C54CA9" w14:textId="18067E46" w:rsidR="00C03600" w:rsidRPr="00C03600" w:rsidRDefault="00C03600" w:rsidP="00704067">
            <w:pPr>
              <w:pStyle w:val="TableParagraph"/>
              <w:spacing w:before="60" w:after="60" w:line="312" w:lineRule="auto"/>
              <w:rPr>
                <w:rFonts w:ascii="Segoe UI" w:eastAsia="Times New Roman" w:hAnsi="Segoe UI" w:cs="Times New Roman"/>
                <w:sz w:val="18"/>
                <w:szCs w:val="20"/>
                <w:lang w:val="en-NZ" w:eastAsia="en-GB"/>
              </w:rPr>
            </w:pPr>
            <w:r w:rsidRPr="00C03600">
              <w:rPr>
                <w:rFonts w:ascii="Segoe UI" w:eastAsia="Times New Roman" w:hAnsi="Segoe UI" w:cs="Times New Roman"/>
                <w:sz w:val="18"/>
                <w:szCs w:val="20"/>
                <w:lang w:val="en-NZ" w:eastAsia="en-GB"/>
              </w:rPr>
              <w:t>Albany Lucas</w:t>
            </w:r>
          </w:p>
          <w:p w14:paraId="56B637F9" w14:textId="77777777" w:rsidR="00C03600" w:rsidRDefault="00C03600" w:rsidP="00704067">
            <w:pPr>
              <w:pStyle w:val="TableParagraph"/>
              <w:spacing w:before="60" w:after="60" w:line="312" w:lineRule="auto"/>
              <w:rPr>
                <w:rFonts w:ascii="Segoe UI" w:eastAsia="Times New Roman" w:hAnsi="Segoe UI" w:cs="Times New Roman"/>
                <w:sz w:val="18"/>
                <w:szCs w:val="20"/>
                <w:lang w:val="en-NZ" w:eastAsia="en-GB"/>
              </w:rPr>
            </w:pPr>
            <w:r w:rsidRPr="00C03600">
              <w:rPr>
                <w:rFonts w:ascii="Segoe UI" w:eastAsia="Times New Roman" w:hAnsi="Segoe UI" w:cs="Times New Roman"/>
                <w:sz w:val="18"/>
                <w:szCs w:val="20"/>
                <w:lang w:val="en-NZ" w:eastAsia="en-GB"/>
              </w:rPr>
              <w:t xml:space="preserve">Sandy Gill </w:t>
            </w:r>
          </w:p>
          <w:p w14:paraId="3D1ADC1E" w14:textId="0F9B5FC8" w:rsidR="00C03600" w:rsidRPr="00C03600" w:rsidRDefault="00C03600" w:rsidP="00704067">
            <w:pPr>
              <w:pStyle w:val="TableParagraph"/>
              <w:spacing w:before="60" w:after="60" w:line="312" w:lineRule="auto"/>
              <w:rPr>
                <w:rFonts w:ascii="Segoe UI" w:eastAsia="Times New Roman" w:hAnsi="Segoe UI" w:cs="Times New Roman"/>
                <w:sz w:val="18"/>
                <w:szCs w:val="20"/>
                <w:lang w:val="en-NZ" w:eastAsia="en-GB"/>
              </w:rPr>
            </w:pPr>
            <w:r w:rsidRPr="00C03600">
              <w:rPr>
                <w:rFonts w:ascii="Segoe UI" w:eastAsia="Times New Roman" w:hAnsi="Segoe UI" w:cs="Times New Roman"/>
                <w:sz w:val="18"/>
                <w:szCs w:val="20"/>
                <w:lang w:val="en-NZ" w:eastAsia="en-GB"/>
              </w:rPr>
              <w:t>Patricia Mitchell</w:t>
            </w:r>
          </w:p>
          <w:p w14:paraId="4A7B33E1" w14:textId="77777777" w:rsidR="00C03600" w:rsidRPr="00C03600" w:rsidRDefault="00C03600" w:rsidP="00704067">
            <w:pPr>
              <w:pStyle w:val="TableParagraph"/>
              <w:spacing w:before="60" w:after="60" w:line="192" w:lineRule="auto"/>
              <w:rPr>
                <w:rFonts w:ascii="Segoe UI" w:eastAsia="Times New Roman" w:hAnsi="Segoe UI" w:cs="Times New Roman"/>
                <w:sz w:val="18"/>
                <w:szCs w:val="20"/>
                <w:lang w:val="en-NZ" w:eastAsia="en-GB"/>
              </w:rPr>
            </w:pPr>
            <w:r w:rsidRPr="00C03600">
              <w:rPr>
                <w:rFonts w:ascii="Segoe UI" w:eastAsia="Times New Roman" w:hAnsi="Segoe UI" w:cs="Times New Roman"/>
                <w:sz w:val="18"/>
                <w:szCs w:val="20"/>
                <w:lang w:val="en-NZ" w:eastAsia="en-GB"/>
              </w:rPr>
              <w:t>Associate Professor Patries Herst</w:t>
            </w:r>
          </w:p>
          <w:p w14:paraId="147E77AC" w14:textId="77777777" w:rsidR="00C03600" w:rsidRDefault="00C03600" w:rsidP="00704067">
            <w:pPr>
              <w:pStyle w:val="TableText"/>
            </w:pPr>
            <w:r w:rsidRPr="00C03600">
              <w:t xml:space="preserve">Dr Cordelia Thomas </w:t>
            </w:r>
          </w:p>
          <w:p w14:paraId="057980A0" w14:textId="278E2DC4" w:rsidR="00C03600" w:rsidRDefault="00C03600" w:rsidP="00704067">
            <w:pPr>
              <w:pStyle w:val="TableText"/>
            </w:pPr>
            <w:r w:rsidRPr="00C03600">
              <w:t>Jessie Lenagh-Glue</w:t>
            </w:r>
          </w:p>
        </w:tc>
        <w:tc>
          <w:tcPr>
            <w:tcW w:w="3196" w:type="dxa"/>
          </w:tcPr>
          <w:p w14:paraId="214824C3" w14:textId="607CFCDE" w:rsidR="00C03600" w:rsidRDefault="00C03600" w:rsidP="00704067">
            <w:pPr>
              <w:pStyle w:val="TableText"/>
            </w:pPr>
            <w:r w:rsidRPr="00C03600">
              <w:t>See above</w:t>
            </w:r>
          </w:p>
        </w:tc>
        <w:tc>
          <w:tcPr>
            <w:tcW w:w="1275" w:type="dxa"/>
          </w:tcPr>
          <w:p w14:paraId="67B70DE0" w14:textId="35FDBDAC" w:rsidR="00C03600" w:rsidRDefault="00C03600" w:rsidP="004C3776">
            <w:pPr>
              <w:pStyle w:val="TableText"/>
              <w:keepNext/>
            </w:pPr>
            <w:r w:rsidRPr="00C03600">
              <w:t>No</w:t>
            </w:r>
          </w:p>
        </w:tc>
      </w:tr>
      <w:tr w:rsidR="00C03600" w14:paraId="7CB1DA18" w14:textId="77777777" w:rsidTr="004C3776">
        <w:tc>
          <w:tcPr>
            <w:tcW w:w="1555" w:type="dxa"/>
          </w:tcPr>
          <w:p w14:paraId="6B94A7EC" w14:textId="37255501" w:rsidR="00C03600" w:rsidRDefault="00C03600" w:rsidP="00704067">
            <w:pPr>
              <w:pStyle w:val="TableText"/>
            </w:pPr>
            <w:r w:rsidRPr="00C03600">
              <w:lastRenderedPageBreak/>
              <w:t xml:space="preserve">Health and </w:t>
            </w:r>
            <w:r>
              <w:t>Disability</w:t>
            </w:r>
            <w:r w:rsidRPr="00C03600">
              <w:t xml:space="preserve"> </w:t>
            </w:r>
            <w:r>
              <w:t xml:space="preserve">Ethics </w:t>
            </w:r>
            <w:r w:rsidRPr="00C03600">
              <w:t>Committee – Southern</w:t>
            </w:r>
          </w:p>
        </w:tc>
        <w:tc>
          <w:tcPr>
            <w:tcW w:w="2479" w:type="dxa"/>
          </w:tcPr>
          <w:p w14:paraId="2E3AD571" w14:textId="77777777" w:rsidR="00C03600" w:rsidRPr="00C03600" w:rsidRDefault="00C03600" w:rsidP="00704067">
            <w:pPr>
              <w:pStyle w:val="TableParagraph"/>
              <w:spacing w:before="60" w:after="60"/>
              <w:rPr>
                <w:rFonts w:ascii="Segoe UI" w:eastAsia="Times New Roman" w:hAnsi="Segoe UI" w:cs="Times New Roman"/>
                <w:sz w:val="18"/>
                <w:szCs w:val="20"/>
                <w:lang w:val="en-NZ" w:eastAsia="en-GB"/>
              </w:rPr>
            </w:pPr>
            <w:r w:rsidRPr="00C03600">
              <w:rPr>
                <w:rFonts w:ascii="Segoe UI" w:eastAsia="Times New Roman" w:hAnsi="Segoe UI" w:cs="Times New Roman"/>
                <w:sz w:val="18"/>
                <w:szCs w:val="20"/>
                <w:lang w:val="en-NZ" w:eastAsia="en-GB"/>
              </w:rPr>
              <w:t>Dominic Fitchett (Chair)</w:t>
            </w:r>
          </w:p>
          <w:p w14:paraId="221B0DDE" w14:textId="77777777" w:rsidR="00C03600" w:rsidRPr="00C03600" w:rsidRDefault="00C03600" w:rsidP="00704067">
            <w:pPr>
              <w:pStyle w:val="TableParagraph"/>
              <w:spacing w:before="60" w:after="60" w:line="192" w:lineRule="auto"/>
              <w:rPr>
                <w:rFonts w:ascii="Segoe UI" w:eastAsia="Times New Roman" w:hAnsi="Segoe UI" w:cs="Times New Roman"/>
                <w:sz w:val="18"/>
                <w:szCs w:val="20"/>
                <w:lang w:val="en-NZ" w:eastAsia="en-GB"/>
              </w:rPr>
            </w:pPr>
            <w:r w:rsidRPr="00C03600">
              <w:rPr>
                <w:rFonts w:ascii="Segoe UI" w:eastAsia="Times New Roman" w:hAnsi="Segoe UI" w:cs="Times New Roman"/>
                <w:sz w:val="18"/>
                <w:szCs w:val="20"/>
                <w:lang w:val="en-NZ" w:eastAsia="en-GB"/>
              </w:rPr>
              <w:t>Associate Professor Nicola Swain</w:t>
            </w:r>
          </w:p>
          <w:p w14:paraId="6A09E4E5" w14:textId="77777777" w:rsidR="00C03600" w:rsidRDefault="00C03600" w:rsidP="00704067">
            <w:pPr>
              <w:pStyle w:val="TableParagraph"/>
              <w:spacing w:before="60" w:after="60" w:line="312" w:lineRule="auto"/>
              <w:rPr>
                <w:rFonts w:ascii="Segoe UI" w:eastAsia="Times New Roman" w:hAnsi="Segoe UI" w:cs="Times New Roman"/>
                <w:sz w:val="18"/>
                <w:szCs w:val="20"/>
                <w:lang w:val="en-NZ" w:eastAsia="en-GB"/>
              </w:rPr>
            </w:pPr>
            <w:r w:rsidRPr="00C03600">
              <w:rPr>
                <w:rFonts w:ascii="Segoe UI" w:eastAsia="Times New Roman" w:hAnsi="Segoe UI" w:cs="Times New Roman"/>
                <w:sz w:val="18"/>
                <w:szCs w:val="20"/>
                <w:lang w:val="en-NZ" w:eastAsia="en-GB"/>
              </w:rPr>
              <w:t xml:space="preserve">Dr Devonie Waaka </w:t>
            </w:r>
          </w:p>
          <w:p w14:paraId="02EFD1DF" w14:textId="4BA73E32" w:rsidR="00C03600" w:rsidRPr="00C03600" w:rsidRDefault="00C03600" w:rsidP="00704067">
            <w:pPr>
              <w:pStyle w:val="TableParagraph"/>
              <w:spacing w:before="60" w:after="60" w:line="312" w:lineRule="auto"/>
              <w:rPr>
                <w:rFonts w:ascii="Segoe UI" w:eastAsia="Times New Roman" w:hAnsi="Segoe UI" w:cs="Times New Roman"/>
                <w:sz w:val="18"/>
                <w:szCs w:val="20"/>
                <w:lang w:val="en-NZ" w:eastAsia="en-GB"/>
              </w:rPr>
            </w:pPr>
            <w:r w:rsidRPr="00C03600">
              <w:rPr>
                <w:rFonts w:ascii="Segoe UI" w:eastAsia="Times New Roman" w:hAnsi="Segoe UI" w:cs="Times New Roman"/>
                <w:sz w:val="18"/>
                <w:szCs w:val="20"/>
                <w:lang w:val="en-NZ" w:eastAsia="en-GB"/>
              </w:rPr>
              <w:t>Dr Maree Kirk</w:t>
            </w:r>
          </w:p>
          <w:p w14:paraId="455311C8" w14:textId="77777777" w:rsidR="00C03600" w:rsidRPr="00C03600" w:rsidRDefault="00C03600" w:rsidP="00704067">
            <w:pPr>
              <w:pStyle w:val="TableParagraph"/>
              <w:spacing w:before="60" w:after="60" w:line="275" w:lineRule="exact"/>
              <w:rPr>
                <w:rFonts w:ascii="Segoe UI" w:eastAsia="Times New Roman" w:hAnsi="Segoe UI" w:cs="Times New Roman"/>
                <w:sz w:val="18"/>
                <w:szCs w:val="20"/>
                <w:lang w:val="en-NZ" w:eastAsia="en-GB"/>
              </w:rPr>
            </w:pPr>
            <w:r w:rsidRPr="00C03600">
              <w:rPr>
                <w:rFonts w:ascii="Segoe UI" w:eastAsia="Times New Roman" w:hAnsi="Segoe UI" w:cs="Times New Roman"/>
                <w:sz w:val="18"/>
                <w:szCs w:val="20"/>
                <w:lang w:val="en-NZ" w:eastAsia="en-GB"/>
              </w:rPr>
              <w:t>Amy Henry</w:t>
            </w:r>
          </w:p>
          <w:p w14:paraId="2987A69A" w14:textId="77777777" w:rsidR="00C03600" w:rsidRDefault="00C03600" w:rsidP="00704067">
            <w:pPr>
              <w:pStyle w:val="TableText"/>
            </w:pPr>
            <w:r>
              <w:t>Tuifa’asisina</w:t>
            </w:r>
            <w:r w:rsidRPr="00C03600">
              <w:t xml:space="preserve"> </w:t>
            </w:r>
            <w:r>
              <w:t>Neta</w:t>
            </w:r>
            <w:r w:rsidRPr="00C03600">
              <w:t xml:space="preserve"> </w:t>
            </w:r>
            <w:r>
              <w:t xml:space="preserve">Tomokino </w:t>
            </w:r>
          </w:p>
          <w:p w14:paraId="40FAEA97" w14:textId="189F1224" w:rsidR="00C03600" w:rsidRDefault="00C03600" w:rsidP="00704067">
            <w:pPr>
              <w:pStyle w:val="TableText"/>
            </w:pPr>
            <w:r w:rsidRPr="00C03600">
              <w:t>Dianne Glenn</w:t>
            </w:r>
          </w:p>
        </w:tc>
        <w:tc>
          <w:tcPr>
            <w:tcW w:w="3196" w:type="dxa"/>
          </w:tcPr>
          <w:p w14:paraId="75068562" w14:textId="45E1B0D6" w:rsidR="00C03600" w:rsidRDefault="00C03600" w:rsidP="00704067">
            <w:pPr>
              <w:pStyle w:val="TableText"/>
            </w:pPr>
            <w:r w:rsidRPr="00C03600">
              <w:t>See above</w:t>
            </w:r>
          </w:p>
        </w:tc>
        <w:tc>
          <w:tcPr>
            <w:tcW w:w="1275" w:type="dxa"/>
          </w:tcPr>
          <w:p w14:paraId="1637FB56" w14:textId="7E49E65E" w:rsidR="00C03600" w:rsidRDefault="00C03600" w:rsidP="00C03600">
            <w:pPr>
              <w:pStyle w:val="TableText"/>
              <w:keepNext/>
            </w:pPr>
            <w:r w:rsidRPr="00C03600">
              <w:t>No</w:t>
            </w:r>
          </w:p>
        </w:tc>
      </w:tr>
    </w:tbl>
    <w:p w14:paraId="77DD466D" w14:textId="77777777" w:rsidR="00F15B4B" w:rsidRDefault="004C3776" w:rsidP="004C3776">
      <w:pPr>
        <w:pStyle w:val="Heading5"/>
      </w:pPr>
      <w:r w:rsidRPr="004C3776">
        <w:t>Other committees</w:t>
      </w:r>
    </w:p>
    <w:tbl>
      <w:tblPr>
        <w:tblStyle w:val="TableGrid"/>
        <w:tblW w:w="8505"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701"/>
        <w:gridCol w:w="3261"/>
        <w:gridCol w:w="3543"/>
      </w:tblGrid>
      <w:tr w:rsidR="004C3776" w:rsidRPr="00FF445D" w14:paraId="4C98FFA7" w14:textId="77777777" w:rsidTr="003476EE">
        <w:trPr>
          <w:tblHeader/>
        </w:trPr>
        <w:tc>
          <w:tcPr>
            <w:tcW w:w="1701" w:type="dxa"/>
            <w:tcBorders>
              <w:top w:val="nil"/>
              <w:bottom w:val="nil"/>
            </w:tcBorders>
            <w:shd w:val="clear" w:color="auto" w:fill="D9D9D9" w:themeFill="background1" w:themeFillShade="D9"/>
          </w:tcPr>
          <w:p w14:paraId="6BD957C1" w14:textId="77777777" w:rsidR="004C3776" w:rsidRPr="00FF445D" w:rsidRDefault="004C3776" w:rsidP="004C3776">
            <w:pPr>
              <w:pStyle w:val="TableText"/>
              <w:rPr>
                <w:b/>
                <w:bCs/>
              </w:rPr>
            </w:pPr>
            <w:r w:rsidRPr="00FF445D">
              <w:rPr>
                <w:b/>
                <w:bCs/>
              </w:rPr>
              <w:t>Name of the committee</w:t>
            </w:r>
          </w:p>
        </w:tc>
        <w:tc>
          <w:tcPr>
            <w:tcW w:w="3261" w:type="dxa"/>
            <w:tcBorders>
              <w:top w:val="nil"/>
              <w:bottom w:val="nil"/>
            </w:tcBorders>
            <w:shd w:val="clear" w:color="auto" w:fill="D9D9D9" w:themeFill="background1" w:themeFillShade="D9"/>
          </w:tcPr>
          <w:p w14:paraId="0C087E37" w14:textId="77777777" w:rsidR="004C3776" w:rsidRPr="00FF445D" w:rsidRDefault="004C3776" w:rsidP="004C3776">
            <w:pPr>
              <w:pStyle w:val="TableText"/>
              <w:rPr>
                <w:b/>
                <w:bCs/>
              </w:rPr>
            </w:pPr>
            <w:r w:rsidRPr="00FF445D">
              <w:rPr>
                <w:b/>
                <w:bCs/>
              </w:rPr>
              <w:t>Membership</w:t>
            </w:r>
          </w:p>
        </w:tc>
        <w:tc>
          <w:tcPr>
            <w:tcW w:w="3543" w:type="dxa"/>
            <w:tcBorders>
              <w:top w:val="nil"/>
              <w:bottom w:val="nil"/>
            </w:tcBorders>
            <w:shd w:val="clear" w:color="auto" w:fill="D9D9D9" w:themeFill="background1" w:themeFillShade="D9"/>
          </w:tcPr>
          <w:p w14:paraId="3CDECB63" w14:textId="77777777" w:rsidR="004C3776" w:rsidRPr="00FF445D" w:rsidRDefault="004C3776" w:rsidP="004C3776">
            <w:pPr>
              <w:pStyle w:val="TableText"/>
              <w:rPr>
                <w:b/>
                <w:bCs/>
              </w:rPr>
            </w:pPr>
            <w:r w:rsidRPr="00FF445D">
              <w:rPr>
                <w:b/>
                <w:bCs/>
              </w:rPr>
              <w:t>Purpose</w:t>
            </w:r>
          </w:p>
        </w:tc>
      </w:tr>
      <w:tr w:rsidR="004C3776" w14:paraId="0B6530BF" w14:textId="77777777" w:rsidTr="003476EE">
        <w:tc>
          <w:tcPr>
            <w:tcW w:w="1701" w:type="dxa"/>
            <w:tcBorders>
              <w:top w:val="nil"/>
            </w:tcBorders>
          </w:tcPr>
          <w:p w14:paraId="24948ED3" w14:textId="0D39D872" w:rsidR="004C3776" w:rsidRPr="00FF445D" w:rsidRDefault="004C3776" w:rsidP="004C3776">
            <w:pPr>
              <w:pStyle w:val="TableText"/>
            </w:pPr>
            <w:r w:rsidRPr="00704067">
              <w:t>Advisory Committee on Assisted Reproductive Technology (ACART)</w:t>
            </w:r>
          </w:p>
        </w:tc>
        <w:tc>
          <w:tcPr>
            <w:tcW w:w="3261" w:type="dxa"/>
            <w:tcBorders>
              <w:top w:val="nil"/>
            </w:tcBorders>
          </w:tcPr>
          <w:p w14:paraId="1D967365" w14:textId="77777777" w:rsidR="004C3776" w:rsidRPr="00704067" w:rsidRDefault="004C3776" w:rsidP="004C3776">
            <w:pPr>
              <w:pStyle w:val="TableText"/>
            </w:pPr>
            <w:r w:rsidRPr="00704067">
              <w:t>Calum Barrett (Chair)</w:t>
            </w:r>
          </w:p>
          <w:p w14:paraId="0735A15F" w14:textId="77777777" w:rsidR="004C3776" w:rsidRPr="00704067" w:rsidRDefault="004C3776" w:rsidP="004C3776">
            <w:pPr>
              <w:pStyle w:val="TableText"/>
            </w:pPr>
            <w:r w:rsidRPr="00704067">
              <w:t xml:space="preserve">Dr Karaitiana Taiuru (Deputy Chair) </w:t>
            </w:r>
          </w:p>
          <w:p w14:paraId="2FD59D51" w14:textId="17F0AD50" w:rsidR="004C3776" w:rsidRPr="00704067" w:rsidRDefault="004C3776" w:rsidP="004C3776">
            <w:pPr>
              <w:pStyle w:val="TableText"/>
            </w:pPr>
            <w:r w:rsidRPr="00704067">
              <w:t>Catherine Ryan</w:t>
            </w:r>
          </w:p>
          <w:p w14:paraId="50D5F575" w14:textId="77777777" w:rsidR="004C3776" w:rsidRPr="00704067" w:rsidRDefault="004C3776" w:rsidP="004C3776">
            <w:pPr>
              <w:pStyle w:val="TableText"/>
            </w:pPr>
            <w:r w:rsidRPr="00704067">
              <w:t xml:space="preserve">Professor Debra Wilson </w:t>
            </w:r>
          </w:p>
          <w:p w14:paraId="2F6BA5B4" w14:textId="77777777" w:rsidR="004C3776" w:rsidRPr="00704067" w:rsidRDefault="004C3776" w:rsidP="004C3776">
            <w:pPr>
              <w:pStyle w:val="TableText"/>
            </w:pPr>
            <w:r w:rsidRPr="00704067">
              <w:t xml:space="preserve">Dr Sarah Wakeman </w:t>
            </w:r>
          </w:p>
          <w:p w14:paraId="304647D7" w14:textId="77777777" w:rsidR="004C3776" w:rsidRPr="00704067" w:rsidRDefault="004C3776" w:rsidP="004C3776">
            <w:pPr>
              <w:pStyle w:val="TableText"/>
            </w:pPr>
            <w:r w:rsidRPr="00704067">
              <w:t xml:space="preserve">Edmond Fehoko </w:t>
            </w:r>
          </w:p>
          <w:p w14:paraId="450CA39C" w14:textId="4FC0BE03" w:rsidR="004C3776" w:rsidRPr="00704067" w:rsidRDefault="004C3776" w:rsidP="004C3776">
            <w:pPr>
              <w:pStyle w:val="TableText"/>
            </w:pPr>
            <w:r w:rsidRPr="00704067">
              <w:t>Neuton Lambert</w:t>
            </w:r>
          </w:p>
          <w:p w14:paraId="6D2227EC" w14:textId="77777777" w:rsidR="004C3776" w:rsidRPr="00704067" w:rsidRDefault="004C3776" w:rsidP="004C3776">
            <w:pPr>
              <w:pStyle w:val="TableText"/>
            </w:pPr>
            <w:r w:rsidRPr="00704067">
              <w:t xml:space="preserve">Dr Karen Reader </w:t>
            </w:r>
          </w:p>
          <w:p w14:paraId="10ED7BEE" w14:textId="133ED947" w:rsidR="004C3776" w:rsidRPr="00704067" w:rsidRDefault="004C3776" w:rsidP="004C3776">
            <w:pPr>
              <w:pStyle w:val="TableText"/>
            </w:pPr>
            <w:r w:rsidRPr="00704067">
              <w:t>Seth Fraser</w:t>
            </w:r>
          </w:p>
          <w:p w14:paraId="01B80E4A" w14:textId="0C4F901D" w:rsidR="004C3776" w:rsidRPr="00704067" w:rsidRDefault="004C3776" w:rsidP="004C3776">
            <w:pPr>
              <w:pStyle w:val="TableText"/>
            </w:pPr>
            <w:r w:rsidRPr="00704067">
              <w:t>Tanushi Minu Punchihewa</w:t>
            </w:r>
          </w:p>
          <w:p w14:paraId="089C028D" w14:textId="28E75759" w:rsidR="004C3776" w:rsidRPr="004C3776" w:rsidRDefault="004C3776" w:rsidP="004C3776">
            <w:pPr>
              <w:pStyle w:val="TableText"/>
            </w:pPr>
            <w:r w:rsidRPr="00704067">
              <w:t>Amanda Lees</w:t>
            </w:r>
          </w:p>
        </w:tc>
        <w:tc>
          <w:tcPr>
            <w:tcW w:w="3543" w:type="dxa"/>
            <w:tcBorders>
              <w:top w:val="nil"/>
            </w:tcBorders>
          </w:tcPr>
          <w:p w14:paraId="48E2D1C1" w14:textId="77777777" w:rsidR="004C3776" w:rsidRPr="00704067" w:rsidRDefault="004C3776" w:rsidP="004C3776">
            <w:pPr>
              <w:pStyle w:val="TableText"/>
            </w:pPr>
            <w:r w:rsidRPr="00704067">
              <w:t>ACART formulates policy and provides independent advice to the Minister of Health. It also issues guidelines and provides advice to the Ethics Committee on Assisted Reproductive Technology.</w:t>
            </w:r>
          </w:p>
          <w:p w14:paraId="641AA33B" w14:textId="4095B0C8" w:rsidR="004C3776" w:rsidRPr="00FF445D" w:rsidRDefault="004C3776" w:rsidP="004C3776">
            <w:pPr>
              <w:pStyle w:val="TableText"/>
            </w:pPr>
            <w:r w:rsidRPr="00704067">
              <w:t>ACART is a ministerial committee established under section 32 of the Human Assisted Reproductive Technology Act 2004. The Minister of Health appoints members.</w:t>
            </w:r>
          </w:p>
        </w:tc>
      </w:tr>
      <w:tr w:rsidR="004C3776" w14:paraId="4B83E6BD" w14:textId="77777777" w:rsidTr="003476EE">
        <w:tc>
          <w:tcPr>
            <w:tcW w:w="1701" w:type="dxa"/>
          </w:tcPr>
          <w:p w14:paraId="440BD00D" w14:textId="5E047C90" w:rsidR="004C3776" w:rsidRPr="00704067" w:rsidRDefault="004C3776" w:rsidP="004C3776">
            <w:pPr>
              <w:pStyle w:val="TableText"/>
            </w:pPr>
            <w:r w:rsidRPr="00704067">
              <w:t>Ethics Committee on Assisted Reproductive Technology (ECART)</w:t>
            </w:r>
          </w:p>
        </w:tc>
        <w:tc>
          <w:tcPr>
            <w:tcW w:w="3261" w:type="dxa"/>
          </w:tcPr>
          <w:p w14:paraId="39B74D2A" w14:textId="77777777" w:rsidR="003476EE" w:rsidRPr="00704067" w:rsidRDefault="003476EE" w:rsidP="003476EE">
            <w:pPr>
              <w:pStyle w:val="TableText"/>
            </w:pPr>
            <w:r w:rsidRPr="00704067">
              <w:t xml:space="preserve">Dr Jeanne Snelling (Chair) </w:t>
            </w:r>
          </w:p>
          <w:p w14:paraId="5CD7DE53" w14:textId="77777777" w:rsidR="003476EE" w:rsidRPr="00704067" w:rsidRDefault="003476EE" w:rsidP="003476EE">
            <w:pPr>
              <w:pStyle w:val="TableText"/>
            </w:pPr>
            <w:r w:rsidRPr="00704067">
              <w:t xml:space="preserve">Dr Annabel Ahuriri-Driscoll </w:t>
            </w:r>
          </w:p>
          <w:p w14:paraId="1F8C7C0B" w14:textId="77777777" w:rsidR="003476EE" w:rsidRPr="00704067" w:rsidRDefault="003476EE" w:rsidP="003476EE">
            <w:pPr>
              <w:pStyle w:val="TableText"/>
            </w:pPr>
            <w:r w:rsidRPr="00704067">
              <w:t xml:space="preserve">Dr Analosa Veukiso-Ulugia </w:t>
            </w:r>
          </w:p>
          <w:p w14:paraId="0C01DD92" w14:textId="607910F5" w:rsidR="003476EE" w:rsidRPr="00704067" w:rsidRDefault="003476EE" w:rsidP="003476EE">
            <w:pPr>
              <w:pStyle w:val="TableText"/>
            </w:pPr>
            <w:r w:rsidRPr="00704067">
              <w:t>Richard Ngatai</w:t>
            </w:r>
          </w:p>
          <w:p w14:paraId="158C34C8" w14:textId="77777777" w:rsidR="003476EE" w:rsidRPr="00704067" w:rsidRDefault="003476EE" w:rsidP="003476EE">
            <w:pPr>
              <w:pStyle w:val="TableText"/>
            </w:pPr>
            <w:r w:rsidRPr="00704067">
              <w:t>Mania Maniapoto-Ngaia</w:t>
            </w:r>
          </w:p>
          <w:p w14:paraId="3E9DD1E7" w14:textId="3ED1996C" w:rsidR="003476EE" w:rsidRPr="00704067" w:rsidRDefault="003476EE" w:rsidP="003476EE">
            <w:pPr>
              <w:pStyle w:val="TableText"/>
            </w:pPr>
            <w:r w:rsidRPr="00704067">
              <w:t>Dr Simon McDowell</w:t>
            </w:r>
          </w:p>
          <w:p w14:paraId="69621FF0" w14:textId="77777777" w:rsidR="003476EE" w:rsidRPr="00704067" w:rsidRDefault="003476EE" w:rsidP="003476EE">
            <w:pPr>
              <w:pStyle w:val="TableText"/>
            </w:pPr>
            <w:r w:rsidRPr="00704067">
              <w:t>Associate Professor Michael Legge</w:t>
            </w:r>
          </w:p>
          <w:p w14:paraId="478A56AC" w14:textId="74701E83" w:rsidR="003476EE" w:rsidRPr="00704067" w:rsidRDefault="003476EE" w:rsidP="003476EE">
            <w:pPr>
              <w:pStyle w:val="TableText"/>
            </w:pPr>
            <w:r w:rsidRPr="00704067">
              <w:t>Professor Angela Ballantyne</w:t>
            </w:r>
          </w:p>
          <w:p w14:paraId="7D411C02" w14:textId="77777777" w:rsidR="003476EE" w:rsidRPr="00704067" w:rsidRDefault="003476EE" w:rsidP="003476EE">
            <w:pPr>
              <w:pStyle w:val="TableText"/>
            </w:pPr>
            <w:r w:rsidRPr="00704067">
              <w:t xml:space="preserve">Jude Charlton </w:t>
            </w:r>
          </w:p>
          <w:p w14:paraId="3590FA36" w14:textId="77777777" w:rsidR="003476EE" w:rsidRPr="00704067" w:rsidRDefault="003476EE" w:rsidP="003476EE">
            <w:pPr>
              <w:pStyle w:val="TableText"/>
            </w:pPr>
            <w:r w:rsidRPr="00704067">
              <w:t xml:space="preserve">Dr Emily Liu </w:t>
            </w:r>
          </w:p>
          <w:p w14:paraId="212BD077" w14:textId="45DC7568" w:rsidR="003476EE" w:rsidRPr="00704067" w:rsidRDefault="003476EE" w:rsidP="003476EE">
            <w:pPr>
              <w:pStyle w:val="TableText"/>
            </w:pPr>
            <w:r w:rsidRPr="00704067">
              <w:t>Lana Stockman</w:t>
            </w:r>
          </w:p>
          <w:p w14:paraId="5661BB29" w14:textId="28E91FC0" w:rsidR="004C3776" w:rsidRPr="00704067" w:rsidRDefault="003476EE" w:rsidP="003476EE">
            <w:pPr>
              <w:pStyle w:val="TableText"/>
            </w:pPr>
            <w:r w:rsidRPr="00704067">
              <w:t>Peter Le Cren</w:t>
            </w:r>
          </w:p>
        </w:tc>
        <w:tc>
          <w:tcPr>
            <w:tcW w:w="3543" w:type="dxa"/>
          </w:tcPr>
          <w:p w14:paraId="52532AF8" w14:textId="77777777" w:rsidR="004C3776" w:rsidRPr="00704067" w:rsidRDefault="004C3776" w:rsidP="004C3776">
            <w:pPr>
              <w:pStyle w:val="TableText"/>
            </w:pPr>
            <w:r w:rsidRPr="00704067">
              <w:t>ECART considers, determines and monitors applications for assisted reproductive procedures and human reproductive research. ECART</w:t>
            </w:r>
          </w:p>
          <w:p w14:paraId="7E55FEBD" w14:textId="355D1351" w:rsidR="004C3776" w:rsidRPr="00704067" w:rsidRDefault="004C3776" w:rsidP="00704067">
            <w:pPr>
              <w:pStyle w:val="TableText"/>
            </w:pPr>
            <w:r w:rsidRPr="00704067">
              <w:t>can only consider applications for procedures that ACART has issued guidelines for.</w:t>
            </w:r>
            <w:r w:rsidR="008C4E75">
              <w:t xml:space="preserve"> </w:t>
            </w:r>
            <w:r w:rsidRPr="00704067">
              <w:t>ECART is a ministerial committee established under section 27 of the Human Assisted Reproductive Technology Act 2004. The Minister of Health appoints members.</w:t>
            </w:r>
          </w:p>
        </w:tc>
      </w:tr>
      <w:tr w:rsidR="003476EE" w14:paraId="4330C552" w14:textId="77777777" w:rsidTr="003476EE">
        <w:tc>
          <w:tcPr>
            <w:tcW w:w="1701" w:type="dxa"/>
          </w:tcPr>
          <w:p w14:paraId="1E37BE2C" w14:textId="30A8F7B6" w:rsidR="003476EE" w:rsidRPr="00704067" w:rsidRDefault="003476EE" w:rsidP="003476EE">
            <w:pPr>
              <w:pStyle w:val="TableText"/>
            </w:pPr>
            <w:r w:rsidRPr="00704067">
              <w:t>National Ethics Advisory Committee (NEAC)</w:t>
            </w:r>
          </w:p>
        </w:tc>
        <w:tc>
          <w:tcPr>
            <w:tcW w:w="3261" w:type="dxa"/>
          </w:tcPr>
          <w:p w14:paraId="3BD545D0" w14:textId="77777777" w:rsidR="003476EE" w:rsidRPr="00704067" w:rsidRDefault="003476EE" w:rsidP="003476EE">
            <w:pPr>
              <w:pStyle w:val="TableText"/>
            </w:pPr>
            <w:r w:rsidRPr="00704067">
              <w:t xml:space="preserve">Professor John McMillan (Chair) </w:t>
            </w:r>
          </w:p>
          <w:p w14:paraId="146B40D2" w14:textId="77F2E201" w:rsidR="003476EE" w:rsidRPr="00704067" w:rsidRDefault="003476EE" w:rsidP="003476EE">
            <w:pPr>
              <w:pStyle w:val="TableText"/>
            </w:pPr>
            <w:r w:rsidRPr="00704067">
              <w:t xml:space="preserve">Shannon Hanrahan (Deputy Chair) </w:t>
            </w:r>
          </w:p>
          <w:p w14:paraId="5D33CDEB" w14:textId="7A93D54F" w:rsidR="003476EE" w:rsidRPr="00704067" w:rsidRDefault="003476EE" w:rsidP="003476EE">
            <w:pPr>
              <w:pStyle w:val="TableText"/>
            </w:pPr>
            <w:r w:rsidRPr="00704067">
              <w:t>Edmond Carrucan</w:t>
            </w:r>
          </w:p>
          <w:p w14:paraId="276F912E" w14:textId="77777777" w:rsidR="003476EE" w:rsidRPr="00704067" w:rsidRDefault="003476EE" w:rsidP="003476EE">
            <w:pPr>
              <w:pStyle w:val="TableText"/>
            </w:pPr>
            <w:r w:rsidRPr="00704067">
              <w:t>Rochelle Style</w:t>
            </w:r>
          </w:p>
          <w:p w14:paraId="5B06D867" w14:textId="77777777" w:rsidR="003476EE" w:rsidRPr="00704067" w:rsidRDefault="003476EE" w:rsidP="003476EE">
            <w:pPr>
              <w:pStyle w:val="TableText"/>
            </w:pPr>
            <w:r w:rsidRPr="00704067">
              <w:t xml:space="preserve">Dr Lindsey Te Ata o Tū MacDonald </w:t>
            </w:r>
          </w:p>
          <w:p w14:paraId="0162F4FB" w14:textId="17A97554" w:rsidR="003476EE" w:rsidRPr="00704067" w:rsidRDefault="003476EE" w:rsidP="003476EE">
            <w:pPr>
              <w:pStyle w:val="TableText"/>
            </w:pPr>
            <w:r w:rsidRPr="00704067">
              <w:lastRenderedPageBreak/>
              <w:t>Associate Professor Vanessa Jordan</w:t>
            </w:r>
          </w:p>
          <w:p w14:paraId="7E215F42" w14:textId="4C5CE72C" w:rsidR="003476EE" w:rsidRPr="00704067" w:rsidRDefault="003476EE" w:rsidP="003476EE">
            <w:pPr>
              <w:pStyle w:val="TableText"/>
            </w:pPr>
            <w:r w:rsidRPr="00704067">
              <w:t>Dr Hansa Patel</w:t>
            </w:r>
          </w:p>
          <w:p w14:paraId="390601B6" w14:textId="77777777" w:rsidR="003476EE" w:rsidRPr="00704067" w:rsidRDefault="003476EE" w:rsidP="003476EE">
            <w:pPr>
              <w:pStyle w:val="TableText"/>
            </w:pPr>
            <w:r w:rsidRPr="00704067">
              <w:t xml:space="preserve">Nora Jaye Parore </w:t>
            </w:r>
          </w:p>
          <w:p w14:paraId="5F45E685" w14:textId="77777777" w:rsidR="003476EE" w:rsidRPr="00704067" w:rsidRDefault="003476EE" w:rsidP="003476EE">
            <w:pPr>
              <w:pStyle w:val="TableText"/>
            </w:pPr>
            <w:r w:rsidRPr="00704067">
              <w:t xml:space="preserve">Maree Candish </w:t>
            </w:r>
          </w:p>
          <w:p w14:paraId="6150671A" w14:textId="367C729E" w:rsidR="003476EE" w:rsidRPr="00704067" w:rsidRDefault="003476EE" w:rsidP="003476EE">
            <w:pPr>
              <w:pStyle w:val="TableText"/>
            </w:pPr>
            <w:r w:rsidRPr="00704067">
              <w:t>Tania Moerenhout</w:t>
            </w:r>
          </w:p>
          <w:p w14:paraId="7B5BE262" w14:textId="649041A9" w:rsidR="003476EE" w:rsidRPr="00704067" w:rsidRDefault="003476EE" w:rsidP="003476EE">
            <w:pPr>
              <w:pStyle w:val="TableText"/>
            </w:pPr>
            <w:r w:rsidRPr="00704067">
              <w:t>Julia Black</w:t>
            </w:r>
          </w:p>
        </w:tc>
        <w:tc>
          <w:tcPr>
            <w:tcW w:w="3543" w:type="dxa"/>
          </w:tcPr>
          <w:p w14:paraId="0F08CB61" w14:textId="0D33DBD8" w:rsidR="003476EE" w:rsidRPr="00704067" w:rsidRDefault="003476EE" w:rsidP="003476EE">
            <w:pPr>
              <w:pStyle w:val="TableText"/>
            </w:pPr>
            <w:r w:rsidRPr="00704067">
              <w:lastRenderedPageBreak/>
              <w:t>The NEAC is an independent advisor to the Minister of Health on ethical issues related to health and disability research and services.</w:t>
            </w:r>
          </w:p>
        </w:tc>
      </w:tr>
    </w:tbl>
    <w:p w14:paraId="2D64A399" w14:textId="77777777" w:rsidR="003476EE" w:rsidRDefault="003476EE" w:rsidP="004C3776">
      <w:pPr>
        <w:sectPr w:rsidR="003476EE" w:rsidSect="000A3324">
          <w:pgSz w:w="11907" w:h="16840" w:code="9"/>
          <w:pgMar w:top="1418" w:right="1701" w:bottom="1134" w:left="1843" w:header="284" w:footer="425" w:gutter="284"/>
          <w:cols w:space="720"/>
        </w:sectPr>
      </w:pPr>
    </w:p>
    <w:p w14:paraId="442C7DD0" w14:textId="1CC7C5C5" w:rsidR="003476EE" w:rsidRDefault="003476EE" w:rsidP="003476EE">
      <w:pPr>
        <w:pStyle w:val="Heading2"/>
        <w:spacing w:before="0"/>
      </w:pPr>
      <w:bookmarkStart w:id="56" w:name="_Toc180077051"/>
      <w:r>
        <w:lastRenderedPageBreak/>
        <w:t>Appendix 5: Asset performance indicators</w:t>
      </w:r>
      <w:bookmarkEnd w:id="56"/>
    </w:p>
    <w:p w14:paraId="69AD2213" w14:textId="36FAD98E" w:rsidR="004C3776" w:rsidRDefault="003476EE" w:rsidP="003476EE">
      <w:r>
        <w:t>The Aotearoa New Zealand Government’s Cabinet Office Circular CO(23)9 outlines the requirements for government departments to report on relevant asset performance indicators for service critical assets in their annual report.</w:t>
      </w:r>
    </w:p>
    <w:p w14:paraId="5078DEE6" w14:textId="480BEDE1" w:rsidR="003476EE" w:rsidRDefault="003476EE" w:rsidP="003476EE"/>
    <w:p w14:paraId="3D6D8C87" w14:textId="77777777" w:rsidR="003476EE" w:rsidRDefault="003476EE" w:rsidP="003476EE">
      <w:r>
        <w:t>The following table outlines the indicator results for property and provides additional information on the indicators where applicable.</w:t>
      </w:r>
    </w:p>
    <w:p w14:paraId="0CB19FCB" w14:textId="6C7337D3" w:rsidR="003476EE" w:rsidRDefault="003476EE" w:rsidP="003476EE">
      <w:pPr>
        <w:pStyle w:val="Heading5"/>
      </w:pPr>
      <w:r>
        <w:t xml:space="preserve">Asset performance indicator results for </w:t>
      </w:r>
      <w:proofErr w:type="gramStart"/>
      <w:r>
        <w:t>property</w:t>
      </w:r>
      <w:proofErr w:type="gramEnd"/>
    </w:p>
    <w:tbl>
      <w:tblPr>
        <w:tblW w:w="8620" w:type="dxa"/>
        <w:tblLayout w:type="fixed"/>
        <w:tblCellMar>
          <w:left w:w="0" w:type="dxa"/>
          <w:right w:w="0" w:type="dxa"/>
        </w:tblCellMar>
        <w:tblLook w:val="01E0" w:firstRow="1" w:lastRow="1" w:firstColumn="1" w:lastColumn="1" w:noHBand="0" w:noVBand="0"/>
      </w:tblPr>
      <w:tblGrid>
        <w:gridCol w:w="2410"/>
        <w:gridCol w:w="1384"/>
        <w:gridCol w:w="992"/>
        <w:gridCol w:w="992"/>
        <w:gridCol w:w="992"/>
        <w:gridCol w:w="992"/>
        <w:gridCol w:w="858"/>
      </w:tblGrid>
      <w:tr w:rsidR="003476EE" w14:paraId="6D773481" w14:textId="77777777" w:rsidTr="003476EE">
        <w:trPr>
          <w:trHeight w:val="564"/>
        </w:trPr>
        <w:tc>
          <w:tcPr>
            <w:tcW w:w="2410" w:type="dxa"/>
            <w:shd w:val="clear" w:color="auto" w:fill="D9D9D9" w:themeFill="background1" w:themeFillShade="D9"/>
            <w:hideMark/>
          </w:tcPr>
          <w:p w14:paraId="336054E9" w14:textId="77777777" w:rsidR="003476EE" w:rsidRPr="003476EE" w:rsidRDefault="003476EE" w:rsidP="003476EE">
            <w:pPr>
              <w:pStyle w:val="TableText"/>
              <w:ind w:left="57"/>
              <w:rPr>
                <w:b/>
                <w:bCs/>
              </w:rPr>
            </w:pPr>
            <w:r w:rsidRPr="003476EE">
              <w:rPr>
                <w:b/>
                <w:bCs/>
              </w:rPr>
              <w:t>Indicator</w:t>
            </w:r>
          </w:p>
        </w:tc>
        <w:tc>
          <w:tcPr>
            <w:tcW w:w="1384" w:type="dxa"/>
            <w:shd w:val="clear" w:color="auto" w:fill="D9D9D9" w:themeFill="background1" w:themeFillShade="D9"/>
            <w:hideMark/>
          </w:tcPr>
          <w:p w14:paraId="11A63528" w14:textId="77777777" w:rsidR="003476EE" w:rsidRPr="003476EE" w:rsidRDefault="003476EE" w:rsidP="003476EE">
            <w:pPr>
              <w:pStyle w:val="TableText"/>
              <w:ind w:left="113"/>
              <w:rPr>
                <w:b/>
                <w:bCs/>
              </w:rPr>
            </w:pPr>
            <w:r w:rsidRPr="003476EE">
              <w:rPr>
                <w:b/>
                <w:bCs/>
              </w:rPr>
              <w:t xml:space="preserve">Indicator </w:t>
            </w:r>
            <w:r w:rsidRPr="003476EE">
              <w:rPr>
                <w:b/>
                <w:bCs/>
              </w:rPr>
              <w:br/>
              <w:t>type</w:t>
            </w:r>
          </w:p>
        </w:tc>
        <w:tc>
          <w:tcPr>
            <w:tcW w:w="992" w:type="dxa"/>
            <w:shd w:val="clear" w:color="auto" w:fill="D9D9D9" w:themeFill="background1" w:themeFillShade="D9"/>
            <w:hideMark/>
          </w:tcPr>
          <w:p w14:paraId="3051F016" w14:textId="59E863E8" w:rsidR="003476EE" w:rsidRPr="003476EE" w:rsidRDefault="003476EE" w:rsidP="003476EE">
            <w:pPr>
              <w:pStyle w:val="TableText"/>
              <w:ind w:left="57"/>
              <w:rPr>
                <w:b/>
                <w:bCs/>
              </w:rPr>
            </w:pPr>
            <w:r w:rsidRPr="003476EE">
              <w:rPr>
                <w:b/>
                <w:bCs/>
              </w:rPr>
              <w:t>Actual 2021/22</w:t>
            </w:r>
          </w:p>
        </w:tc>
        <w:tc>
          <w:tcPr>
            <w:tcW w:w="992" w:type="dxa"/>
            <w:shd w:val="clear" w:color="auto" w:fill="D9D9D9" w:themeFill="background1" w:themeFillShade="D9"/>
            <w:hideMark/>
          </w:tcPr>
          <w:p w14:paraId="52744A71" w14:textId="19C5F4B6" w:rsidR="003476EE" w:rsidRPr="003476EE" w:rsidRDefault="003476EE" w:rsidP="003476EE">
            <w:pPr>
              <w:pStyle w:val="TableText"/>
              <w:ind w:left="57"/>
              <w:rPr>
                <w:b/>
                <w:bCs/>
              </w:rPr>
            </w:pPr>
            <w:r w:rsidRPr="003476EE">
              <w:rPr>
                <w:b/>
                <w:bCs/>
              </w:rPr>
              <w:t>Actual 2022/23</w:t>
            </w:r>
          </w:p>
        </w:tc>
        <w:tc>
          <w:tcPr>
            <w:tcW w:w="992" w:type="dxa"/>
            <w:shd w:val="clear" w:color="auto" w:fill="D9D9D9" w:themeFill="background1" w:themeFillShade="D9"/>
            <w:hideMark/>
          </w:tcPr>
          <w:p w14:paraId="5258B1B5" w14:textId="3015F81B" w:rsidR="003476EE" w:rsidRPr="003476EE" w:rsidRDefault="003476EE" w:rsidP="003476EE">
            <w:pPr>
              <w:pStyle w:val="TableText"/>
              <w:ind w:left="57"/>
              <w:rPr>
                <w:b/>
                <w:bCs/>
              </w:rPr>
            </w:pPr>
            <w:r w:rsidRPr="003476EE">
              <w:rPr>
                <w:b/>
                <w:bCs/>
              </w:rPr>
              <w:t>Actual 2023/24</w:t>
            </w:r>
          </w:p>
        </w:tc>
        <w:tc>
          <w:tcPr>
            <w:tcW w:w="992" w:type="dxa"/>
            <w:shd w:val="clear" w:color="auto" w:fill="D9D9D9" w:themeFill="background1" w:themeFillShade="D9"/>
            <w:hideMark/>
          </w:tcPr>
          <w:p w14:paraId="2FA652BC" w14:textId="1804BEB9" w:rsidR="003476EE" w:rsidRPr="003476EE" w:rsidRDefault="003476EE" w:rsidP="003476EE">
            <w:pPr>
              <w:pStyle w:val="TableText"/>
              <w:ind w:left="57"/>
              <w:rPr>
                <w:b/>
                <w:bCs/>
              </w:rPr>
            </w:pPr>
            <w:r w:rsidRPr="003476EE">
              <w:rPr>
                <w:b/>
                <w:bCs/>
              </w:rPr>
              <w:t>Target 2023/24</w:t>
            </w:r>
          </w:p>
        </w:tc>
        <w:tc>
          <w:tcPr>
            <w:tcW w:w="858" w:type="dxa"/>
            <w:shd w:val="clear" w:color="auto" w:fill="D9D9D9" w:themeFill="background1" w:themeFillShade="D9"/>
            <w:hideMark/>
          </w:tcPr>
          <w:p w14:paraId="1AC0B1F1" w14:textId="77777777" w:rsidR="003476EE" w:rsidRPr="003476EE" w:rsidRDefault="003476EE" w:rsidP="003476EE">
            <w:pPr>
              <w:pStyle w:val="TableText"/>
              <w:ind w:left="57"/>
              <w:rPr>
                <w:b/>
                <w:bCs/>
              </w:rPr>
            </w:pPr>
            <w:r w:rsidRPr="003476EE">
              <w:rPr>
                <w:b/>
                <w:bCs/>
              </w:rPr>
              <w:t>At a glance</w:t>
            </w:r>
          </w:p>
        </w:tc>
      </w:tr>
      <w:tr w:rsidR="003476EE" w14:paraId="1294C378" w14:textId="77777777" w:rsidTr="003476EE">
        <w:trPr>
          <w:trHeight w:val="20"/>
        </w:trPr>
        <w:tc>
          <w:tcPr>
            <w:tcW w:w="2410" w:type="dxa"/>
            <w:tcBorders>
              <w:top w:val="nil"/>
              <w:left w:val="nil"/>
              <w:bottom w:val="single" w:sz="4" w:space="0" w:color="A6A6A6" w:themeColor="background1" w:themeShade="A6"/>
              <w:right w:val="nil"/>
            </w:tcBorders>
            <w:hideMark/>
          </w:tcPr>
          <w:p w14:paraId="11261D6C" w14:textId="7AD6E847" w:rsidR="003476EE" w:rsidRPr="003476EE" w:rsidRDefault="003476EE" w:rsidP="003476EE">
            <w:pPr>
              <w:pStyle w:val="TableText"/>
              <w:ind w:left="57"/>
            </w:pPr>
            <w:r w:rsidRPr="003476EE">
              <w:t>Percentage of buildings with a Property Council NZ Grade of C or better (Note 1)</w:t>
            </w:r>
          </w:p>
        </w:tc>
        <w:tc>
          <w:tcPr>
            <w:tcW w:w="1384" w:type="dxa"/>
            <w:tcBorders>
              <w:top w:val="nil"/>
              <w:left w:val="nil"/>
              <w:bottom w:val="single" w:sz="4" w:space="0" w:color="A6A6A6" w:themeColor="background1" w:themeShade="A6"/>
              <w:right w:val="nil"/>
            </w:tcBorders>
            <w:hideMark/>
          </w:tcPr>
          <w:p w14:paraId="7E4362B7" w14:textId="287B2D56" w:rsidR="003476EE" w:rsidRPr="003476EE" w:rsidRDefault="003476EE" w:rsidP="003476EE">
            <w:pPr>
              <w:pStyle w:val="TableText"/>
              <w:ind w:left="113"/>
            </w:pPr>
            <w:r w:rsidRPr="003476EE">
              <w:t>Condition</w:t>
            </w:r>
          </w:p>
        </w:tc>
        <w:tc>
          <w:tcPr>
            <w:tcW w:w="992" w:type="dxa"/>
            <w:tcBorders>
              <w:top w:val="nil"/>
              <w:left w:val="nil"/>
              <w:bottom w:val="single" w:sz="4" w:space="0" w:color="A6A6A6" w:themeColor="background1" w:themeShade="A6"/>
              <w:right w:val="nil"/>
            </w:tcBorders>
            <w:hideMark/>
          </w:tcPr>
          <w:p w14:paraId="7A2F064E" w14:textId="0C4B1026" w:rsidR="003476EE" w:rsidRPr="003476EE" w:rsidRDefault="003476EE" w:rsidP="003476EE">
            <w:pPr>
              <w:pStyle w:val="TableText"/>
            </w:pPr>
            <w:r w:rsidRPr="003476EE">
              <w:t>91.70%</w:t>
            </w:r>
          </w:p>
        </w:tc>
        <w:tc>
          <w:tcPr>
            <w:tcW w:w="992" w:type="dxa"/>
            <w:tcBorders>
              <w:top w:val="nil"/>
              <w:left w:val="nil"/>
              <w:bottom w:val="single" w:sz="4" w:space="0" w:color="A6A6A6" w:themeColor="background1" w:themeShade="A6"/>
              <w:right w:val="nil"/>
            </w:tcBorders>
            <w:hideMark/>
          </w:tcPr>
          <w:p w14:paraId="7911DA0A" w14:textId="2CBD85C1" w:rsidR="003476EE" w:rsidRPr="003476EE" w:rsidRDefault="003476EE" w:rsidP="003476EE">
            <w:pPr>
              <w:pStyle w:val="TableText"/>
            </w:pPr>
            <w:r w:rsidRPr="003476EE">
              <w:t>100%</w:t>
            </w:r>
          </w:p>
        </w:tc>
        <w:tc>
          <w:tcPr>
            <w:tcW w:w="992" w:type="dxa"/>
            <w:tcBorders>
              <w:top w:val="nil"/>
              <w:left w:val="nil"/>
              <w:bottom w:val="single" w:sz="4" w:space="0" w:color="A6A6A6" w:themeColor="background1" w:themeShade="A6"/>
              <w:right w:val="nil"/>
            </w:tcBorders>
            <w:hideMark/>
          </w:tcPr>
          <w:p w14:paraId="3CE6ADA4" w14:textId="7027E803" w:rsidR="003476EE" w:rsidRPr="003476EE" w:rsidRDefault="003476EE" w:rsidP="003476EE">
            <w:pPr>
              <w:pStyle w:val="TableText"/>
            </w:pPr>
            <w:r w:rsidRPr="003476EE">
              <w:t>100%</w:t>
            </w:r>
          </w:p>
        </w:tc>
        <w:tc>
          <w:tcPr>
            <w:tcW w:w="992" w:type="dxa"/>
            <w:tcBorders>
              <w:top w:val="nil"/>
              <w:left w:val="nil"/>
              <w:bottom w:val="single" w:sz="4" w:space="0" w:color="A6A6A6" w:themeColor="background1" w:themeShade="A6"/>
              <w:right w:val="nil"/>
            </w:tcBorders>
            <w:hideMark/>
          </w:tcPr>
          <w:p w14:paraId="78A037BA" w14:textId="0B7C0011" w:rsidR="003476EE" w:rsidRPr="003476EE" w:rsidRDefault="003476EE" w:rsidP="003476EE">
            <w:pPr>
              <w:pStyle w:val="TableText"/>
            </w:pPr>
            <w:r w:rsidRPr="003476EE">
              <w:t>&gt;80%</w:t>
            </w:r>
          </w:p>
        </w:tc>
        <w:tc>
          <w:tcPr>
            <w:tcW w:w="858" w:type="dxa"/>
            <w:tcBorders>
              <w:top w:val="nil"/>
              <w:left w:val="nil"/>
              <w:bottom w:val="single" w:sz="4" w:space="0" w:color="A6A6A6" w:themeColor="background1" w:themeShade="A6"/>
              <w:right w:val="nil"/>
            </w:tcBorders>
            <w:hideMark/>
          </w:tcPr>
          <w:p w14:paraId="3586E1E4" w14:textId="77777777" w:rsidR="003476EE" w:rsidRPr="003476EE" w:rsidRDefault="003476EE" w:rsidP="003476EE">
            <w:pPr>
              <w:pStyle w:val="TableText"/>
              <w:ind w:left="57" w:right="57"/>
              <w:rPr>
                <w:rFonts w:ascii="Wingdings" w:hAnsi="Wingdings"/>
                <w:sz w:val="22"/>
                <w:szCs w:val="22"/>
              </w:rPr>
            </w:pPr>
            <w:r w:rsidRPr="003476EE">
              <w:rPr>
                <w:rFonts w:ascii="Wingdings" w:hAnsi="Wingdings"/>
                <w:sz w:val="22"/>
                <w:szCs w:val="22"/>
              </w:rPr>
              <w:t>ü</w:t>
            </w:r>
          </w:p>
        </w:tc>
      </w:tr>
      <w:tr w:rsidR="003476EE" w14:paraId="42307E64" w14:textId="77777777" w:rsidTr="003476EE">
        <w:trPr>
          <w:trHeight w:val="20"/>
        </w:trPr>
        <w:tc>
          <w:tcPr>
            <w:tcW w:w="2410" w:type="dxa"/>
            <w:tcBorders>
              <w:top w:val="single" w:sz="4" w:space="0" w:color="A6A6A6" w:themeColor="background1" w:themeShade="A6"/>
              <w:left w:val="nil"/>
              <w:bottom w:val="single" w:sz="4" w:space="0" w:color="A6A6A6" w:themeColor="background1" w:themeShade="A6"/>
              <w:right w:val="nil"/>
            </w:tcBorders>
            <w:hideMark/>
          </w:tcPr>
          <w:p w14:paraId="701B8BB0" w14:textId="42C1E2B6" w:rsidR="003476EE" w:rsidRPr="003476EE" w:rsidRDefault="003476EE" w:rsidP="003476EE">
            <w:pPr>
              <w:pStyle w:val="TableText"/>
              <w:ind w:left="57"/>
            </w:pPr>
            <w:r w:rsidRPr="003476EE">
              <w:t>Percentage of buildings with an Initial Evaluation Process – New Building Standard Seismic Grade of C or better</w:t>
            </w:r>
          </w:p>
        </w:tc>
        <w:tc>
          <w:tcPr>
            <w:tcW w:w="1384" w:type="dxa"/>
            <w:tcBorders>
              <w:top w:val="single" w:sz="4" w:space="0" w:color="A6A6A6" w:themeColor="background1" w:themeShade="A6"/>
              <w:left w:val="nil"/>
              <w:bottom w:val="single" w:sz="4" w:space="0" w:color="A6A6A6" w:themeColor="background1" w:themeShade="A6"/>
              <w:right w:val="nil"/>
            </w:tcBorders>
            <w:hideMark/>
          </w:tcPr>
          <w:p w14:paraId="6BCAC882" w14:textId="1A17164F" w:rsidR="003476EE" w:rsidRPr="003476EE" w:rsidRDefault="003476EE" w:rsidP="003476EE">
            <w:pPr>
              <w:pStyle w:val="TableText"/>
              <w:ind w:left="113"/>
            </w:pPr>
            <w:r w:rsidRPr="003476EE">
              <w:t>Condition</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5D7B20E1" w14:textId="0811A0F2" w:rsidR="003476EE" w:rsidRPr="003476EE" w:rsidRDefault="003476EE" w:rsidP="003476EE">
            <w:pPr>
              <w:pStyle w:val="TableText"/>
            </w:pPr>
            <w:r w:rsidRPr="003476EE">
              <w:t>100%</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57A9491B" w14:textId="7BD3857A" w:rsidR="003476EE" w:rsidRPr="003476EE" w:rsidRDefault="003476EE" w:rsidP="003476EE">
            <w:pPr>
              <w:pStyle w:val="TableText"/>
            </w:pPr>
            <w:r w:rsidRPr="003476EE">
              <w:t>100%</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146663D5" w14:textId="395C9557" w:rsidR="003476EE" w:rsidRPr="003476EE" w:rsidRDefault="003476EE" w:rsidP="003476EE">
            <w:pPr>
              <w:pStyle w:val="TableText"/>
            </w:pPr>
            <w:r w:rsidRPr="003476EE">
              <w:t>100%</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37109FBF" w14:textId="58906A9B" w:rsidR="003476EE" w:rsidRPr="003476EE" w:rsidRDefault="003476EE" w:rsidP="003476EE">
            <w:pPr>
              <w:pStyle w:val="TableText"/>
            </w:pPr>
            <w:r w:rsidRPr="003476EE">
              <w:t>100%</w:t>
            </w:r>
          </w:p>
        </w:tc>
        <w:tc>
          <w:tcPr>
            <w:tcW w:w="858" w:type="dxa"/>
            <w:tcBorders>
              <w:top w:val="single" w:sz="4" w:space="0" w:color="A6A6A6" w:themeColor="background1" w:themeShade="A6"/>
              <w:left w:val="nil"/>
              <w:bottom w:val="single" w:sz="4" w:space="0" w:color="A6A6A6" w:themeColor="background1" w:themeShade="A6"/>
              <w:right w:val="nil"/>
            </w:tcBorders>
            <w:hideMark/>
          </w:tcPr>
          <w:p w14:paraId="13CD332A" w14:textId="77777777" w:rsidR="003476EE" w:rsidRPr="003476EE" w:rsidRDefault="003476EE" w:rsidP="003476EE">
            <w:pPr>
              <w:pStyle w:val="TableText"/>
              <w:ind w:left="57" w:right="57"/>
              <w:rPr>
                <w:rFonts w:ascii="Wingdings" w:hAnsi="Wingdings"/>
                <w:sz w:val="22"/>
                <w:szCs w:val="22"/>
              </w:rPr>
            </w:pPr>
            <w:r w:rsidRPr="003476EE">
              <w:rPr>
                <w:rFonts w:ascii="Wingdings" w:hAnsi="Wingdings"/>
                <w:sz w:val="22"/>
                <w:szCs w:val="22"/>
              </w:rPr>
              <w:t>ü</w:t>
            </w:r>
          </w:p>
        </w:tc>
      </w:tr>
      <w:tr w:rsidR="003476EE" w14:paraId="6E318778" w14:textId="77777777" w:rsidTr="003476EE">
        <w:trPr>
          <w:trHeight w:val="20"/>
        </w:trPr>
        <w:tc>
          <w:tcPr>
            <w:tcW w:w="2410" w:type="dxa"/>
            <w:tcBorders>
              <w:top w:val="single" w:sz="4" w:space="0" w:color="A6A6A6" w:themeColor="background1" w:themeShade="A6"/>
              <w:left w:val="nil"/>
              <w:bottom w:val="single" w:sz="4" w:space="0" w:color="A6A6A6" w:themeColor="background1" w:themeShade="A6"/>
              <w:right w:val="nil"/>
            </w:tcBorders>
            <w:hideMark/>
          </w:tcPr>
          <w:p w14:paraId="596D9BA4" w14:textId="0F18C97F" w:rsidR="003476EE" w:rsidRPr="003476EE" w:rsidRDefault="003476EE" w:rsidP="003476EE">
            <w:pPr>
              <w:pStyle w:val="TableText"/>
              <w:ind w:left="57"/>
            </w:pPr>
            <w:r w:rsidRPr="003476EE">
              <w:t>All building warrants of fitness current (Note 2)</w:t>
            </w:r>
          </w:p>
        </w:tc>
        <w:tc>
          <w:tcPr>
            <w:tcW w:w="1384" w:type="dxa"/>
            <w:tcBorders>
              <w:top w:val="single" w:sz="4" w:space="0" w:color="A6A6A6" w:themeColor="background1" w:themeShade="A6"/>
              <w:left w:val="nil"/>
              <w:bottom w:val="single" w:sz="4" w:space="0" w:color="A6A6A6" w:themeColor="background1" w:themeShade="A6"/>
              <w:right w:val="nil"/>
            </w:tcBorders>
            <w:hideMark/>
          </w:tcPr>
          <w:p w14:paraId="5CF8D032" w14:textId="4D026DC5" w:rsidR="003476EE" w:rsidRPr="003476EE" w:rsidRDefault="003476EE" w:rsidP="003476EE">
            <w:pPr>
              <w:pStyle w:val="TableText"/>
              <w:ind w:left="113"/>
            </w:pPr>
            <w:r w:rsidRPr="003476EE">
              <w:t>Condition</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50580466" w14:textId="59D8A9FC" w:rsidR="003476EE" w:rsidRPr="003476EE" w:rsidRDefault="003476EE" w:rsidP="003476EE">
            <w:pPr>
              <w:pStyle w:val="TableText"/>
            </w:pPr>
            <w:r w:rsidRPr="003476EE">
              <w:t>100%</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5BADAF05" w14:textId="1794574B" w:rsidR="003476EE" w:rsidRPr="003476EE" w:rsidRDefault="003476EE" w:rsidP="003476EE">
            <w:pPr>
              <w:pStyle w:val="TableText"/>
            </w:pPr>
            <w:r w:rsidRPr="003476EE">
              <w:t>87%</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31203739" w14:textId="7372AFC1" w:rsidR="003476EE" w:rsidRPr="003476EE" w:rsidRDefault="003476EE" w:rsidP="003476EE">
            <w:pPr>
              <w:pStyle w:val="TableText"/>
            </w:pPr>
            <w:r w:rsidRPr="003476EE">
              <w:t>100%</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3BF34878" w14:textId="0F83C740" w:rsidR="003476EE" w:rsidRPr="003476EE" w:rsidRDefault="003476EE" w:rsidP="003476EE">
            <w:pPr>
              <w:pStyle w:val="TableText"/>
            </w:pPr>
            <w:r w:rsidRPr="003476EE">
              <w:t>100%</w:t>
            </w:r>
          </w:p>
        </w:tc>
        <w:tc>
          <w:tcPr>
            <w:tcW w:w="858" w:type="dxa"/>
            <w:tcBorders>
              <w:top w:val="single" w:sz="4" w:space="0" w:color="A6A6A6" w:themeColor="background1" w:themeShade="A6"/>
              <w:left w:val="nil"/>
              <w:bottom w:val="single" w:sz="4" w:space="0" w:color="A6A6A6" w:themeColor="background1" w:themeShade="A6"/>
              <w:right w:val="nil"/>
            </w:tcBorders>
            <w:hideMark/>
          </w:tcPr>
          <w:p w14:paraId="7F2FF75C" w14:textId="77777777" w:rsidR="003476EE" w:rsidRPr="003476EE" w:rsidRDefault="003476EE" w:rsidP="003476EE">
            <w:pPr>
              <w:pStyle w:val="TableText"/>
              <w:ind w:left="57" w:right="57"/>
              <w:rPr>
                <w:rFonts w:ascii="Wingdings" w:hAnsi="Wingdings"/>
                <w:sz w:val="22"/>
                <w:szCs w:val="22"/>
              </w:rPr>
            </w:pPr>
            <w:r w:rsidRPr="003476EE">
              <w:rPr>
                <w:rFonts w:ascii="Wingdings" w:hAnsi="Wingdings"/>
                <w:w w:val="63"/>
                <w:sz w:val="22"/>
                <w:szCs w:val="22"/>
              </w:rPr>
              <w:t xml:space="preserve"> </w:t>
            </w:r>
          </w:p>
        </w:tc>
      </w:tr>
      <w:tr w:rsidR="003476EE" w14:paraId="2B0AF95A" w14:textId="77777777" w:rsidTr="003476EE">
        <w:trPr>
          <w:trHeight w:val="20"/>
        </w:trPr>
        <w:tc>
          <w:tcPr>
            <w:tcW w:w="2410" w:type="dxa"/>
            <w:tcBorders>
              <w:top w:val="single" w:sz="4" w:space="0" w:color="A6A6A6" w:themeColor="background1" w:themeShade="A6"/>
              <w:left w:val="nil"/>
              <w:bottom w:val="single" w:sz="4" w:space="0" w:color="A6A6A6" w:themeColor="background1" w:themeShade="A6"/>
              <w:right w:val="nil"/>
            </w:tcBorders>
            <w:hideMark/>
          </w:tcPr>
          <w:p w14:paraId="7D26FAF4" w14:textId="342F6044" w:rsidR="003476EE" w:rsidRPr="003476EE" w:rsidRDefault="003476EE" w:rsidP="003476EE">
            <w:pPr>
              <w:pStyle w:val="TableText"/>
              <w:ind w:left="57"/>
            </w:pPr>
            <w:r w:rsidRPr="003476EE">
              <w:t>Average occupancy m2 per head (Note 3)</w:t>
            </w:r>
          </w:p>
        </w:tc>
        <w:tc>
          <w:tcPr>
            <w:tcW w:w="1384" w:type="dxa"/>
            <w:tcBorders>
              <w:top w:val="single" w:sz="4" w:space="0" w:color="A6A6A6" w:themeColor="background1" w:themeShade="A6"/>
              <w:left w:val="nil"/>
              <w:bottom w:val="single" w:sz="4" w:space="0" w:color="A6A6A6" w:themeColor="background1" w:themeShade="A6"/>
              <w:right w:val="nil"/>
            </w:tcBorders>
            <w:hideMark/>
          </w:tcPr>
          <w:p w14:paraId="5B76664A" w14:textId="7162046A" w:rsidR="003476EE" w:rsidRPr="003476EE" w:rsidRDefault="003476EE" w:rsidP="003476EE">
            <w:pPr>
              <w:pStyle w:val="TableText"/>
              <w:ind w:left="113"/>
            </w:pPr>
            <w:r w:rsidRPr="003476EE">
              <w:t>Utilisation</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683F0444" w14:textId="1C607E59" w:rsidR="003476EE" w:rsidRPr="003476EE" w:rsidRDefault="003476EE" w:rsidP="003476EE">
            <w:pPr>
              <w:pStyle w:val="TableText"/>
            </w:pPr>
            <w:r w:rsidRPr="003476EE">
              <w:t>11.39</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5493874F" w14:textId="59AB93C1" w:rsidR="003476EE" w:rsidRPr="003476EE" w:rsidRDefault="003476EE" w:rsidP="003476EE">
            <w:pPr>
              <w:pStyle w:val="TableText"/>
            </w:pPr>
            <w:r w:rsidRPr="003476EE">
              <w:t>13.24</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3ABABD0A" w14:textId="70689550" w:rsidR="003476EE" w:rsidRPr="003476EE" w:rsidRDefault="003476EE" w:rsidP="003476EE">
            <w:pPr>
              <w:pStyle w:val="TableText"/>
            </w:pPr>
            <w:r w:rsidRPr="003476EE">
              <w:t>13.24</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28F2EC38" w14:textId="4B780CCB" w:rsidR="003476EE" w:rsidRPr="003476EE" w:rsidRDefault="003476EE" w:rsidP="003476EE">
            <w:pPr>
              <w:pStyle w:val="TableText"/>
            </w:pPr>
            <w:r w:rsidRPr="003476EE">
              <w:t>&lt;14</w:t>
            </w:r>
          </w:p>
        </w:tc>
        <w:tc>
          <w:tcPr>
            <w:tcW w:w="858" w:type="dxa"/>
            <w:tcBorders>
              <w:top w:val="single" w:sz="4" w:space="0" w:color="A6A6A6" w:themeColor="background1" w:themeShade="A6"/>
              <w:left w:val="nil"/>
              <w:bottom w:val="single" w:sz="4" w:space="0" w:color="A6A6A6" w:themeColor="background1" w:themeShade="A6"/>
              <w:right w:val="nil"/>
            </w:tcBorders>
            <w:hideMark/>
          </w:tcPr>
          <w:p w14:paraId="0A5CF40B" w14:textId="77777777" w:rsidR="003476EE" w:rsidRPr="003476EE" w:rsidRDefault="003476EE" w:rsidP="003476EE">
            <w:pPr>
              <w:pStyle w:val="TableText"/>
              <w:ind w:left="57" w:right="57"/>
              <w:rPr>
                <w:rFonts w:ascii="Wingdings" w:hAnsi="Wingdings"/>
                <w:sz w:val="22"/>
                <w:szCs w:val="22"/>
              </w:rPr>
            </w:pPr>
            <w:r w:rsidRPr="003476EE">
              <w:rPr>
                <w:rFonts w:ascii="Wingdings" w:hAnsi="Wingdings"/>
                <w:sz w:val="22"/>
                <w:szCs w:val="22"/>
              </w:rPr>
              <w:t>ü</w:t>
            </w:r>
          </w:p>
        </w:tc>
      </w:tr>
      <w:tr w:rsidR="003476EE" w14:paraId="4FEDE6B7" w14:textId="77777777" w:rsidTr="003476EE">
        <w:trPr>
          <w:trHeight w:val="20"/>
        </w:trPr>
        <w:tc>
          <w:tcPr>
            <w:tcW w:w="2410" w:type="dxa"/>
            <w:tcBorders>
              <w:top w:val="single" w:sz="4" w:space="0" w:color="A6A6A6" w:themeColor="background1" w:themeShade="A6"/>
              <w:left w:val="nil"/>
              <w:bottom w:val="single" w:sz="4" w:space="0" w:color="A6A6A6" w:themeColor="background1" w:themeShade="A6"/>
              <w:right w:val="nil"/>
            </w:tcBorders>
            <w:hideMark/>
          </w:tcPr>
          <w:p w14:paraId="5F0CC3BD" w14:textId="3BA14FE4" w:rsidR="003476EE" w:rsidRPr="003476EE" w:rsidRDefault="003476EE" w:rsidP="003476EE">
            <w:pPr>
              <w:pStyle w:val="TableText"/>
              <w:ind w:left="57"/>
            </w:pPr>
            <w:r w:rsidRPr="003476EE">
              <w:t>Percentage of buildings with a functionality rating of 3 or better (Note 4)</w:t>
            </w:r>
          </w:p>
        </w:tc>
        <w:tc>
          <w:tcPr>
            <w:tcW w:w="1384" w:type="dxa"/>
            <w:tcBorders>
              <w:top w:val="single" w:sz="4" w:space="0" w:color="A6A6A6" w:themeColor="background1" w:themeShade="A6"/>
              <w:left w:val="nil"/>
              <w:bottom w:val="single" w:sz="4" w:space="0" w:color="A6A6A6" w:themeColor="background1" w:themeShade="A6"/>
              <w:right w:val="nil"/>
            </w:tcBorders>
            <w:hideMark/>
          </w:tcPr>
          <w:p w14:paraId="07BE25E5" w14:textId="4D5A48FC" w:rsidR="003476EE" w:rsidRPr="003476EE" w:rsidRDefault="003476EE" w:rsidP="003476EE">
            <w:pPr>
              <w:pStyle w:val="TableText"/>
              <w:ind w:left="113"/>
            </w:pPr>
            <w:r w:rsidRPr="003476EE">
              <w:t>Functionality</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24C07BD0" w14:textId="1D2D1DBD" w:rsidR="003476EE" w:rsidRPr="003476EE" w:rsidRDefault="003476EE" w:rsidP="003476EE">
            <w:pPr>
              <w:pStyle w:val="TableText"/>
            </w:pPr>
            <w:r w:rsidRPr="003476EE">
              <w:t>100%</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075AA831" w14:textId="6D6698B5" w:rsidR="003476EE" w:rsidRPr="003476EE" w:rsidRDefault="003476EE" w:rsidP="003476EE">
            <w:pPr>
              <w:pStyle w:val="TableText"/>
            </w:pPr>
            <w:r w:rsidRPr="003476EE">
              <w:t>100%</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3BF31A2C" w14:textId="767DC245" w:rsidR="003476EE" w:rsidRPr="003476EE" w:rsidRDefault="003476EE" w:rsidP="003476EE">
            <w:pPr>
              <w:pStyle w:val="TableText"/>
            </w:pPr>
            <w:r w:rsidRPr="003476EE">
              <w:t>100%</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783FD090" w14:textId="05B2D594" w:rsidR="003476EE" w:rsidRPr="003476EE" w:rsidRDefault="003476EE" w:rsidP="003476EE">
            <w:pPr>
              <w:pStyle w:val="TableText"/>
            </w:pPr>
            <w:r w:rsidRPr="003476EE">
              <w:t>100%</w:t>
            </w:r>
          </w:p>
        </w:tc>
        <w:tc>
          <w:tcPr>
            <w:tcW w:w="858" w:type="dxa"/>
            <w:tcBorders>
              <w:top w:val="single" w:sz="4" w:space="0" w:color="A6A6A6" w:themeColor="background1" w:themeShade="A6"/>
              <w:left w:val="nil"/>
              <w:bottom w:val="single" w:sz="4" w:space="0" w:color="A6A6A6" w:themeColor="background1" w:themeShade="A6"/>
              <w:right w:val="nil"/>
            </w:tcBorders>
            <w:hideMark/>
          </w:tcPr>
          <w:p w14:paraId="43312890" w14:textId="77777777" w:rsidR="003476EE" w:rsidRPr="003476EE" w:rsidRDefault="003476EE" w:rsidP="003476EE">
            <w:pPr>
              <w:pStyle w:val="TableText"/>
              <w:ind w:left="57" w:right="57"/>
              <w:rPr>
                <w:rFonts w:ascii="Wingdings" w:hAnsi="Wingdings"/>
                <w:sz w:val="22"/>
                <w:szCs w:val="22"/>
              </w:rPr>
            </w:pPr>
            <w:r w:rsidRPr="003476EE">
              <w:rPr>
                <w:rFonts w:ascii="Wingdings" w:hAnsi="Wingdings"/>
                <w:sz w:val="22"/>
                <w:szCs w:val="22"/>
              </w:rPr>
              <w:t>ü</w:t>
            </w:r>
          </w:p>
        </w:tc>
      </w:tr>
      <w:tr w:rsidR="003476EE" w14:paraId="4C2B63EC" w14:textId="77777777" w:rsidTr="003476EE">
        <w:trPr>
          <w:trHeight w:val="20"/>
        </w:trPr>
        <w:tc>
          <w:tcPr>
            <w:tcW w:w="2410" w:type="dxa"/>
            <w:tcBorders>
              <w:top w:val="single" w:sz="4" w:space="0" w:color="A6A6A6" w:themeColor="background1" w:themeShade="A6"/>
              <w:left w:val="nil"/>
              <w:bottom w:val="single" w:sz="4" w:space="0" w:color="A6A6A6" w:themeColor="background1" w:themeShade="A6"/>
              <w:right w:val="nil"/>
            </w:tcBorders>
            <w:hideMark/>
          </w:tcPr>
          <w:p w14:paraId="74B8E27A" w14:textId="0DEC4C0E" w:rsidR="003476EE" w:rsidRPr="003476EE" w:rsidRDefault="003476EE" w:rsidP="003476EE">
            <w:pPr>
              <w:pStyle w:val="TableText"/>
              <w:ind w:left="57"/>
            </w:pPr>
            <w:r w:rsidRPr="003476EE">
              <w:t>Average power used kWh/m2</w:t>
            </w:r>
          </w:p>
        </w:tc>
        <w:tc>
          <w:tcPr>
            <w:tcW w:w="1384" w:type="dxa"/>
            <w:tcBorders>
              <w:top w:val="single" w:sz="4" w:space="0" w:color="A6A6A6" w:themeColor="background1" w:themeShade="A6"/>
              <w:left w:val="nil"/>
              <w:bottom w:val="single" w:sz="4" w:space="0" w:color="A6A6A6" w:themeColor="background1" w:themeShade="A6"/>
              <w:right w:val="nil"/>
            </w:tcBorders>
            <w:hideMark/>
          </w:tcPr>
          <w:p w14:paraId="73D56704" w14:textId="3940048B" w:rsidR="003476EE" w:rsidRPr="003476EE" w:rsidRDefault="003476EE" w:rsidP="003476EE">
            <w:pPr>
              <w:pStyle w:val="TableText"/>
              <w:ind w:left="113"/>
            </w:pPr>
            <w:r w:rsidRPr="003476EE">
              <w:t>Functionality</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4A998778" w14:textId="2938A537" w:rsidR="003476EE" w:rsidRPr="003476EE" w:rsidRDefault="003476EE" w:rsidP="003476EE">
            <w:pPr>
              <w:pStyle w:val="TableText"/>
            </w:pPr>
            <w:r w:rsidRPr="003476EE">
              <w:t>73</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7EEEEE24" w14:textId="5D25967C" w:rsidR="003476EE" w:rsidRPr="003476EE" w:rsidRDefault="003476EE" w:rsidP="003476EE">
            <w:pPr>
              <w:pStyle w:val="TableText"/>
            </w:pPr>
            <w:r w:rsidRPr="003476EE">
              <w:t>70</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4D3B6918" w14:textId="707E6079" w:rsidR="003476EE" w:rsidRPr="003476EE" w:rsidRDefault="003476EE" w:rsidP="003476EE">
            <w:pPr>
              <w:pStyle w:val="TableText"/>
            </w:pPr>
            <w:r w:rsidRPr="003476EE">
              <w:t>69</w:t>
            </w:r>
          </w:p>
        </w:tc>
        <w:tc>
          <w:tcPr>
            <w:tcW w:w="992" w:type="dxa"/>
            <w:tcBorders>
              <w:top w:val="single" w:sz="4" w:space="0" w:color="A6A6A6" w:themeColor="background1" w:themeShade="A6"/>
              <w:left w:val="nil"/>
              <w:bottom w:val="single" w:sz="4" w:space="0" w:color="A6A6A6" w:themeColor="background1" w:themeShade="A6"/>
              <w:right w:val="nil"/>
            </w:tcBorders>
            <w:hideMark/>
          </w:tcPr>
          <w:p w14:paraId="7B3B8ABE" w14:textId="530681F8" w:rsidR="003476EE" w:rsidRPr="003476EE" w:rsidRDefault="003476EE" w:rsidP="003476EE">
            <w:pPr>
              <w:pStyle w:val="TableText"/>
            </w:pPr>
            <w:r w:rsidRPr="003476EE">
              <w:t>&lt;80</w:t>
            </w:r>
          </w:p>
        </w:tc>
        <w:tc>
          <w:tcPr>
            <w:tcW w:w="858" w:type="dxa"/>
            <w:tcBorders>
              <w:top w:val="single" w:sz="4" w:space="0" w:color="A6A6A6" w:themeColor="background1" w:themeShade="A6"/>
              <w:left w:val="nil"/>
              <w:bottom w:val="single" w:sz="4" w:space="0" w:color="A6A6A6" w:themeColor="background1" w:themeShade="A6"/>
              <w:right w:val="nil"/>
            </w:tcBorders>
            <w:hideMark/>
          </w:tcPr>
          <w:p w14:paraId="364690BD" w14:textId="09157E60" w:rsidR="003476EE" w:rsidRPr="003476EE" w:rsidRDefault="003476EE" w:rsidP="003476EE">
            <w:pPr>
              <w:pStyle w:val="TableText"/>
              <w:ind w:left="57" w:right="57"/>
              <w:rPr>
                <w:rFonts w:ascii="Wingdings" w:hAnsi="Wingdings"/>
                <w:sz w:val="22"/>
                <w:szCs w:val="22"/>
              </w:rPr>
            </w:pPr>
            <w:r w:rsidRPr="003476EE">
              <w:rPr>
                <w:rFonts w:ascii="Wingdings" w:hAnsi="Wingdings"/>
                <w:sz w:val="22"/>
                <w:szCs w:val="22"/>
              </w:rPr>
              <w:t>ü</w:t>
            </w:r>
          </w:p>
        </w:tc>
      </w:tr>
    </w:tbl>
    <w:p w14:paraId="3A4BC15B" w14:textId="77777777" w:rsidR="003476EE" w:rsidRPr="000B706D" w:rsidRDefault="003476EE" w:rsidP="003476EE">
      <w:pPr>
        <w:spacing w:before="120" w:after="120"/>
        <w:rPr>
          <w:b/>
          <w:bCs/>
          <w:sz w:val="17"/>
          <w:szCs w:val="17"/>
        </w:rPr>
      </w:pPr>
      <w:r w:rsidRPr="000B706D">
        <w:rPr>
          <w:b/>
          <w:bCs/>
          <w:sz w:val="17"/>
          <w:szCs w:val="17"/>
        </w:rPr>
        <w:t>Note 1</w:t>
      </w:r>
    </w:p>
    <w:p w14:paraId="07459FE5" w14:textId="77777777" w:rsidR="003476EE" w:rsidRPr="000B706D" w:rsidRDefault="003476EE" w:rsidP="003476EE">
      <w:pPr>
        <w:rPr>
          <w:sz w:val="17"/>
          <w:szCs w:val="17"/>
        </w:rPr>
      </w:pPr>
      <w:r w:rsidRPr="000B706D">
        <w:rPr>
          <w:sz w:val="17"/>
          <w:szCs w:val="17"/>
        </w:rPr>
        <w:t>Property Council New Zealand’s quality grading matrix includes the following grades.</w:t>
      </w:r>
    </w:p>
    <w:p w14:paraId="1513D3E2" w14:textId="21A41311" w:rsidR="003476EE" w:rsidRPr="000B706D" w:rsidRDefault="003476EE" w:rsidP="003476EE">
      <w:pPr>
        <w:pStyle w:val="Bullet"/>
        <w:rPr>
          <w:sz w:val="17"/>
          <w:szCs w:val="17"/>
        </w:rPr>
      </w:pPr>
      <w:r w:rsidRPr="000B706D">
        <w:rPr>
          <w:sz w:val="17"/>
          <w:szCs w:val="17"/>
        </w:rPr>
        <w:t>Grade A: A landmark office building located in major central business district (CBD) office markets which is a pacesetter in establishing rents and includes ample natural lighting, good views and outlook, prestige lobby finish, on-site undercover parking, quality access to and from an attractive street setting, and premium presentation and maintenance.</w:t>
      </w:r>
    </w:p>
    <w:p w14:paraId="34B447B7" w14:textId="71196A54" w:rsidR="003476EE" w:rsidRPr="000B706D" w:rsidRDefault="003476EE" w:rsidP="003476EE">
      <w:pPr>
        <w:pStyle w:val="Bullet"/>
        <w:rPr>
          <w:sz w:val="17"/>
          <w:szCs w:val="17"/>
        </w:rPr>
      </w:pPr>
      <w:r w:rsidRPr="000B706D">
        <w:rPr>
          <w:sz w:val="17"/>
          <w:szCs w:val="17"/>
        </w:rPr>
        <w:t>Grade B: High-quality space including good views and outlook, quality lobby finish, on-site undercover parking, quality access to and from an attractive street setting, and quality presentation and maintenance.</w:t>
      </w:r>
    </w:p>
    <w:p w14:paraId="032FFD51" w14:textId="22E37600" w:rsidR="003476EE" w:rsidRPr="000B706D" w:rsidRDefault="003476EE" w:rsidP="003476EE">
      <w:pPr>
        <w:pStyle w:val="Bullet"/>
        <w:rPr>
          <w:sz w:val="17"/>
          <w:szCs w:val="17"/>
        </w:rPr>
      </w:pPr>
      <w:r w:rsidRPr="000B706D">
        <w:rPr>
          <w:sz w:val="17"/>
          <w:szCs w:val="17"/>
        </w:rPr>
        <w:t>Grade C: Good-quality space with a reasonable standard of finish and maintenance. Tenant car parking facilities should be available.</w:t>
      </w:r>
    </w:p>
    <w:p w14:paraId="1B3198A9" w14:textId="55D4D524" w:rsidR="003476EE" w:rsidRDefault="003476EE" w:rsidP="003476EE">
      <w:pPr>
        <w:pStyle w:val="Bullet"/>
        <w:rPr>
          <w:sz w:val="17"/>
          <w:szCs w:val="17"/>
        </w:rPr>
      </w:pPr>
      <w:r w:rsidRPr="000B706D">
        <w:rPr>
          <w:sz w:val="17"/>
          <w:szCs w:val="17"/>
        </w:rPr>
        <w:t>Grade D: Office space with lower poor-quality finish. Services fall below the minimum set for a C grade.</w:t>
      </w:r>
    </w:p>
    <w:p w14:paraId="5A65F656" w14:textId="77777777" w:rsidR="000B706D" w:rsidRPr="000B706D" w:rsidRDefault="000B706D" w:rsidP="000B706D">
      <w:pPr>
        <w:spacing w:before="120" w:after="120"/>
        <w:rPr>
          <w:b/>
          <w:bCs/>
          <w:sz w:val="17"/>
          <w:szCs w:val="17"/>
        </w:rPr>
      </w:pPr>
      <w:r w:rsidRPr="000B706D">
        <w:rPr>
          <w:b/>
          <w:bCs/>
          <w:sz w:val="17"/>
          <w:szCs w:val="17"/>
        </w:rPr>
        <w:t>Note 2</w:t>
      </w:r>
    </w:p>
    <w:p w14:paraId="14A83A7B" w14:textId="3207BD67" w:rsidR="000B706D" w:rsidRPr="000B706D" w:rsidRDefault="000B706D" w:rsidP="000B706D">
      <w:pPr>
        <w:pStyle w:val="Note"/>
      </w:pPr>
      <w:r w:rsidRPr="000B706D">
        <w:t xml:space="preserve">A building warrant of fitness is used to confirm the specified systems for the building have been maintained and checked in accordance with the compliance schedule. This now includes the building warrant of fitness (BWoF) Report and Declaration (B-RaD) process where non-conformance is understood and actively managed. For more information, please visit </w:t>
      </w:r>
      <w:hyperlink r:id="rId53" w:history="1">
        <w:r w:rsidRPr="00023834">
          <w:rPr>
            <w:rStyle w:val="Hyperlink"/>
          </w:rPr>
          <w:t>building.govt.nz/managing-buildings/managing-your-bwof/inspection-and-maintenance-of-specified-systems</w:t>
        </w:r>
      </w:hyperlink>
      <w:r w:rsidRPr="000B706D">
        <w:t>.</w:t>
      </w:r>
    </w:p>
    <w:p w14:paraId="24A24FC2" w14:textId="77777777" w:rsidR="00023834" w:rsidRDefault="00023834" w:rsidP="000B706D">
      <w:pPr>
        <w:spacing w:before="120" w:after="120"/>
        <w:rPr>
          <w:b/>
          <w:bCs/>
          <w:sz w:val="17"/>
          <w:szCs w:val="17"/>
        </w:rPr>
      </w:pPr>
    </w:p>
    <w:p w14:paraId="14D8301E" w14:textId="6DF9D662" w:rsidR="000B706D" w:rsidRPr="000B706D" w:rsidRDefault="000B706D" w:rsidP="000B706D">
      <w:pPr>
        <w:spacing w:before="120" w:after="120"/>
        <w:rPr>
          <w:b/>
          <w:bCs/>
          <w:sz w:val="17"/>
          <w:szCs w:val="17"/>
        </w:rPr>
      </w:pPr>
      <w:r w:rsidRPr="000B706D">
        <w:rPr>
          <w:b/>
          <w:bCs/>
          <w:sz w:val="17"/>
          <w:szCs w:val="17"/>
        </w:rPr>
        <w:lastRenderedPageBreak/>
        <w:t>Note 3</w:t>
      </w:r>
    </w:p>
    <w:p w14:paraId="44BAA18D" w14:textId="77777777" w:rsidR="000B706D" w:rsidRDefault="000B706D" w:rsidP="000B706D">
      <w:pPr>
        <w:pStyle w:val="Note"/>
      </w:pPr>
      <w:r>
        <w:t>This is the average square metre per person. The transfer of functions from the Ministry to Health New Zealand and Te Aka Whai Ora resulted in an increase between 2021/22 and 2022/23.</w:t>
      </w:r>
    </w:p>
    <w:p w14:paraId="46D46FF8" w14:textId="77777777" w:rsidR="000B706D" w:rsidRPr="000B706D" w:rsidRDefault="000B706D" w:rsidP="000B706D">
      <w:pPr>
        <w:spacing w:before="120" w:after="120"/>
        <w:rPr>
          <w:b/>
          <w:bCs/>
          <w:sz w:val="17"/>
          <w:szCs w:val="17"/>
        </w:rPr>
      </w:pPr>
      <w:r w:rsidRPr="000B706D">
        <w:rPr>
          <w:b/>
          <w:bCs/>
          <w:sz w:val="17"/>
          <w:szCs w:val="17"/>
        </w:rPr>
        <w:t>Note 4</w:t>
      </w:r>
    </w:p>
    <w:p w14:paraId="5ED85D73" w14:textId="77777777" w:rsidR="000B706D" w:rsidRDefault="000B706D" w:rsidP="000B706D">
      <w:pPr>
        <w:pStyle w:val="Note"/>
      </w:pPr>
      <w:r>
        <w:t>Building functionality assesses how fit for purpose or suitable a building is to meet the service needs of its users. The rating scale for this measure is defined as:</w:t>
      </w:r>
    </w:p>
    <w:p w14:paraId="2D85F53F" w14:textId="50E331C1" w:rsidR="000B706D" w:rsidRPr="00023834" w:rsidRDefault="000B706D" w:rsidP="00023834">
      <w:pPr>
        <w:pStyle w:val="Number"/>
        <w:numPr>
          <w:ilvl w:val="0"/>
          <w:numId w:val="32"/>
        </w:numPr>
        <w:spacing w:before="60"/>
        <w:ind w:left="284" w:hanging="284"/>
        <w:rPr>
          <w:sz w:val="17"/>
          <w:szCs w:val="17"/>
        </w:rPr>
      </w:pPr>
      <w:r w:rsidRPr="00023834">
        <w:rPr>
          <w:sz w:val="17"/>
          <w:szCs w:val="17"/>
        </w:rPr>
        <w:t xml:space="preserve">actively hinders </w:t>
      </w:r>
      <w:proofErr w:type="gramStart"/>
      <w:r w:rsidRPr="00023834">
        <w:rPr>
          <w:sz w:val="17"/>
          <w:szCs w:val="17"/>
        </w:rPr>
        <w:t>operation</w:t>
      </w:r>
      <w:proofErr w:type="gramEnd"/>
    </w:p>
    <w:p w14:paraId="071E3E05" w14:textId="5BB76068" w:rsidR="000B706D" w:rsidRPr="00023834" w:rsidRDefault="000B706D" w:rsidP="00023834">
      <w:pPr>
        <w:pStyle w:val="Number"/>
        <w:numPr>
          <w:ilvl w:val="0"/>
          <w:numId w:val="32"/>
        </w:numPr>
        <w:spacing w:before="60"/>
        <w:ind w:left="284" w:hanging="284"/>
        <w:rPr>
          <w:sz w:val="17"/>
          <w:szCs w:val="17"/>
        </w:rPr>
      </w:pPr>
      <w:r w:rsidRPr="00023834">
        <w:rPr>
          <w:sz w:val="17"/>
          <w:szCs w:val="17"/>
        </w:rPr>
        <w:t>not fit for purpose/significant issues</w:t>
      </w:r>
    </w:p>
    <w:p w14:paraId="2E3DE7E9" w14:textId="7693B036" w:rsidR="000B706D" w:rsidRPr="00023834" w:rsidRDefault="000B706D" w:rsidP="00023834">
      <w:pPr>
        <w:pStyle w:val="Number"/>
        <w:numPr>
          <w:ilvl w:val="0"/>
          <w:numId w:val="32"/>
        </w:numPr>
        <w:spacing w:before="60"/>
        <w:ind w:left="284" w:hanging="284"/>
        <w:rPr>
          <w:sz w:val="17"/>
          <w:szCs w:val="17"/>
        </w:rPr>
      </w:pPr>
      <w:r w:rsidRPr="00023834">
        <w:rPr>
          <w:sz w:val="17"/>
          <w:szCs w:val="17"/>
        </w:rPr>
        <w:t xml:space="preserve">fit for purpose/generally </w:t>
      </w:r>
      <w:proofErr w:type="gramStart"/>
      <w:r w:rsidRPr="00023834">
        <w:rPr>
          <w:sz w:val="17"/>
          <w:szCs w:val="17"/>
        </w:rPr>
        <w:t>fine</w:t>
      </w:r>
      <w:proofErr w:type="gramEnd"/>
    </w:p>
    <w:p w14:paraId="610199EC" w14:textId="756ACC35" w:rsidR="000B706D" w:rsidRPr="00023834" w:rsidRDefault="000B706D" w:rsidP="00023834">
      <w:pPr>
        <w:pStyle w:val="Number"/>
        <w:numPr>
          <w:ilvl w:val="0"/>
          <w:numId w:val="32"/>
        </w:numPr>
        <w:spacing w:before="60"/>
        <w:ind w:left="284" w:hanging="284"/>
        <w:rPr>
          <w:sz w:val="17"/>
          <w:szCs w:val="17"/>
        </w:rPr>
      </w:pPr>
      <w:r w:rsidRPr="00023834">
        <w:rPr>
          <w:sz w:val="17"/>
          <w:szCs w:val="17"/>
        </w:rPr>
        <w:t>ideal.</w:t>
      </w:r>
    </w:p>
    <w:p w14:paraId="25B572F0" w14:textId="77777777" w:rsidR="0007762E" w:rsidRDefault="0007762E" w:rsidP="003476EE">
      <w:pPr>
        <w:sectPr w:rsidR="0007762E" w:rsidSect="000A3324">
          <w:pgSz w:w="11907" w:h="16840" w:code="9"/>
          <w:pgMar w:top="1418" w:right="1701" w:bottom="1134" w:left="1843" w:header="284" w:footer="425" w:gutter="284"/>
          <w:cols w:space="720"/>
        </w:sectPr>
      </w:pPr>
    </w:p>
    <w:p w14:paraId="65BF991C" w14:textId="77777777" w:rsidR="0007762E" w:rsidRDefault="0007762E" w:rsidP="0007762E">
      <w:pPr>
        <w:pStyle w:val="Heading2"/>
        <w:spacing w:before="0"/>
      </w:pPr>
      <w:bookmarkStart w:id="57" w:name="_Toc180077052"/>
      <w:r>
        <w:lastRenderedPageBreak/>
        <w:t>Appendix 6: Carbon Neutral Government Plan – Greenhouse gas emissions 2023/24</w:t>
      </w:r>
      <w:bookmarkEnd w:id="57"/>
    </w:p>
    <w:p w14:paraId="7B5E4A71" w14:textId="79C35B38" w:rsidR="003476EE" w:rsidRDefault="0007762E" w:rsidP="0007762E">
      <w:r>
        <w:t>The Ministry is committed to playing our part in the Carbon Neutral Government Plan to minimise our environmental footprint by reducing our greenhouse gas emissions.</w:t>
      </w:r>
    </w:p>
    <w:p w14:paraId="568F72A6" w14:textId="582E2C16" w:rsidR="0007762E" w:rsidRDefault="0007762E" w:rsidP="0007762E"/>
    <w:p w14:paraId="7314942B" w14:textId="06FBA639" w:rsidR="0007762E" w:rsidRDefault="0007762E" w:rsidP="0007762E">
      <w:r>
        <w:t>Each year, the Ministry releases our Greenhouse Gas Emissions Report and Inventory, which covers notable events during the period as well as our progress towards our 2025 and 2030 reduction goals.</w:t>
      </w:r>
    </w:p>
    <w:p w14:paraId="7F248D9A" w14:textId="77777777" w:rsidR="0007762E" w:rsidRDefault="0007762E" w:rsidP="0007762E"/>
    <w:p w14:paraId="778536DF" w14:textId="03AD8966" w:rsidR="0007762E" w:rsidRDefault="0007762E" w:rsidP="0007762E">
      <w:r>
        <w:t>Our provisional and unverified data for 2023/24 shows we emitted 801.98 tonnes of carbon dioxide equivalent (tCO2e).</w:t>
      </w:r>
      <w:r>
        <w:rPr>
          <w:rStyle w:val="FootnoteReference"/>
        </w:rPr>
        <w:footnoteReference w:id="53"/>
      </w:r>
      <w:r>
        <w:t xml:space="preserve"> These emissions equate to a 59% reduction from our base year emissions (1,966.23 tCO2e), and a further 13% reduction from the previous 2022/23 period.</w:t>
      </w:r>
    </w:p>
    <w:p w14:paraId="56502CC6" w14:textId="77777777" w:rsidR="0007762E" w:rsidRDefault="0007762E" w:rsidP="0007762E"/>
    <w:p w14:paraId="4C96EF97" w14:textId="5CD2843D" w:rsidR="0007762E" w:rsidRDefault="0007762E" w:rsidP="0007762E">
      <w:r>
        <w:t>A wider focus on cost reductions across the Ministry has led to reductions in travel and related travel emission sources. The largest of these was a reduction of over 84 tCO2e in air travel emissions.</w:t>
      </w:r>
    </w:p>
    <w:p w14:paraId="13280FF9" w14:textId="77777777" w:rsidR="0007762E" w:rsidRDefault="0007762E" w:rsidP="0007762E"/>
    <w:p w14:paraId="557240F5" w14:textId="02F987F2" w:rsidR="0007762E" w:rsidRDefault="0007762E" w:rsidP="0007762E">
      <w:r>
        <w:t>Only one source reported an increase in emissions. The working-from-home source increased to 11.3 tCO2e. Much of this change is due to the more refined approach to collecting and reporting data rather than a significant increase in staff working offsite. This was one of the planned initiatives identified in the 2022/23 report.</w:t>
      </w:r>
    </w:p>
    <w:p w14:paraId="39E10324" w14:textId="77777777" w:rsidR="0007762E" w:rsidRDefault="0007762E" w:rsidP="0007762E"/>
    <w:p w14:paraId="7E5E2367" w14:textId="084246B6" w:rsidR="0007762E" w:rsidRDefault="0007762E" w:rsidP="0007762E">
      <w:r>
        <w:t>Figure A1 provides an overview of our emissions, broken down by source. It compares emissions in 2023/24 against our base year and emissions from the two previous years.</w:t>
      </w:r>
    </w:p>
    <w:p w14:paraId="159B98C2" w14:textId="77777777" w:rsidR="0007762E" w:rsidRDefault="0007762E" w:rsidP="0007762E">
      <w:pPr>
        <w:sectPr w:rsidR="0007762E" w:rsidSect="000A3324">
          <w:pgSz w:w="11907" w:h="16840" w:code="9"/>
          <w:pgMar w:top="1418" w:right="1701" w:bottom="1134" w:left="1843" w:header="284" w:footer="425" w:gutter="284"/>
          <w:cols w:space="720"/>
        </w:sectPr>
      </w:pPr>
    </w:p>
    <w:p w14:paraId="4836E489" w14:textId="251D15DB" w:rsidR="0007762E" w:rsidRDefault="0007762E" w:rsidP="0007762E">
      <w:pPr>
        <w:pStyle w:val="Figure"/>
        <w:spacing w:before="0"/>
      </w:pPr>
      <w:r w:rsidRPr="0007762E">
        <w:lastRenderedPageBreak/>
        <w:t xml:space="preserve">Figure A1: Annual emissions by source for base year (2019/20) and each subsequent year to </w:t>
      </w:r>
      <w:proofErr w:type="gramStart"/>
      <w:r w:rsidRPr="0007762E">
        <w:t>2023/24</w:t>
      </w:r>
      <w:proofErr w:type="gramEnd"/>
    </w:p>
    <w:p w14:paraId="6FDC4977" w14:textId="43FE5BC6" w:rsidR="003476EE" w:rsidRDefault="0007762E" w:rsidP="004C3776">
      <w:r>
        <w:rPr>
          <w:noProof/>
        </w:rPr>
        <w:drawing>
          <wp:inline distT="0" distB="0" distL="0" distR="0" wp14:anchorId="101389D5" wp14:editId="328025A0">
            <wp:extent cx="5130165" cy="3577590"/>
            <wp:effectExtent l="0" t="0" r="0" b="3810"/>
            <wp:docPr id="1519" name="Image 15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19" name="Image 1519">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130165" cy="3577590"/>
                    </a:xfrm>
                    <a:prstGeom prst="rect">
                      <a:avLst/>
                    </a:prstGeom>
                  </pic:spPr>
                </pic:pic>
              </a:graphicData>
            </a:graphic>
          </wp:inline>
        </w:drawing>
      </w:r>
    </w:p>
    <w:p w14:paraId="1A2FB92D" w14:textId="77777777" w:rsidR="0007762E" w:rsidRDefault="0007762E" w:rsidP="0007762E">
      <w:pPr>
        <w:pStyle w:val="Heading3"/>
      </w:pPr>
      <w:r>
        <w:t>Progress towards our 2025 and 2030 targets</w:t>
      </w:r>
    </w:p>
    <w:p w14:paraId="33DFA58D" w14:textId="77777777" w:rsidR="0007762E" w:rsidRDefault="0007762E" w:rsidP="0007762E">
      <w:r>
        <w:t>In line with the Carbon Neutral Government Programme target to achieve a 21% reduction in gross emissions by 2025 and a 42% reduction by 2030, the Ministry has set targets for emitting no more than:</w:t>
      </w:r>
    </w:p>
    <w:p w14:paraId="25DEE086" w14:textId="498EC8CE" w:rsidR="0007762E" w:rsidRDefault="0007762E" w:rsidP="0007762E">
      <w:pPr>
        <w:pStyle w:val="Bullet"/>
      </w:pPr>
      <w:r>
        <w:t>1,553.3 tCO2e for the year 2025</w:t>
      </w:r>
    </w:p>
    <w:p w14:paraId="72584766" w14:textId="5B85CE39" w:rsidR="0007762E" w:rsidRDefault="0007762E" w:rsidP="0007762E">
      <w:pPr>
        <w:pStyle w:val="Bullet"/>
      </w:pPr>
      <w:r>
        <w:t>1,140.4 tCO2e for the year 2030.</w:t>
      </w:r>
    </w:p>
    <w:p w14:paraId="787EC086" w14:textId="77777777" w:rsidR="0007762E" w:rsidRDefault="0007762E" w:rsidP="0007762E"/>
    <w:p w14:paraId="10802AD4" w14:textId="31ACD76E" w:rsidR="003476EE" w:rsidRDefault="0007762E" w:rsidP="0007762E">
      <w:r>
        <w:t>With the reductions achieved in 2023/24, the Ministry is well placed to meet its 2030 emissions reduction goal and will continue to deliver further reductions as opportunities arise though improvements in systems, technology and procurement.</w:t>
      </w:r>
    </w:p>
    <w:p w14:paraId="4ED16F73" w14:textId="53AD7C79" w:rsidR="0007762E" w:rsidRDefault="0007762E" w:rsidP="0007762E"/>
    <w:p w14:paraId="7E84BC6A" w14:textId="77777777" w:rsidR="0007762E" w:rsidRDefault="0007762E" w:rsidP="0007762E">
      <w:pPr>
        <w:sectPr w:rsidR="0007762E" w:rsidSect="000A3324">
          <w:pgSz w:w="11907" w:h="16840" w:code="9"/>
          <w:pgMar w:top="1418" w:right="1701" w:bottom="1134" w:left="1843" w:header="284" w:footer="425" w:gutter="284"/>
          <w:cols w:space="720"/>
        </w:sectPr>
      </w:pPr>
    </w:p>
    <w:p w14:paraId="6739EEB6" w14:textId="73A8A2D1" w:rsidR="0007762E" w:rsidRPr="004D065B" w:rsidRDefault="0007762E" w:rsidP="0007762E">
      <w:pPr>
        <w:pStyle w:val="Heading1"/>
        <w:rPr>
          <w:b w:val="0"/>
          <w:bCs/>
          <w:szCs w:val="56"/>
          <w:lang w:eastAsia="en-US"/>
        </w:rPr>
      </w:pPr>
      <w:bookmarkStart w:id="58" w:name="_Toc180077053"/>
      <w:r w:rsidRPr="004D065B">
        <w:rPr>
          <w:szCs w:val="56"/>
          <w:lang w:eastAsia="en-US"/>
        </w:rPr>
        <w:lastRenderedPageBreak/>
        <w:t xml:space="preserve">Te Aho o Te Kahu </w:t>
      </w:r>
      <w:r w:rsidR="00DA365D">
        <w:t>–</w:t>
      </w:r>
      <w:r w:rsidRPr="004D065B">
        <w:rPr>
          <w:szCs w:val="56"/>
          <w:lang w:eastAsia="en-US"/>
        </w:rPr>
        <w:t xml:space="preserve"> </w:t>
      </w:r>
      <w:r w:rsidRPr="00386646">
        <w:rPr>
          <w:szCs w:val="56"/>
          <w:lang w:eastAsia="en-US"/>
        </w:rPr>
        <w:t>Cancer Control Agency Annual Report 2023/24</w:t>
      </w:r>
      <w:bookmarkEnd w:id="58"/>
    </w:p>
    <w:p w14:paraId="2577AD9A" w14:textId="75FEFE4B" w:rsidR="0007762E" w:rsidRDefault="0007762E" w:rsidP="0007762E">
      <w:pPr>
        <w:pStyle w:val="Heading2"/>
        <w:rPr>
          <w:lang w:eastAsia="en-US"/>
        </w:rPr>
      </w:pPr>
      <w:bookmarkStart w:id="59" w:name="_Toc180077054"/>
      <w:r w:rsidRPr="0007762E">
        <w:rPr>
          <w:lang w:eastAsia="en-US"/>
        </w:rPr>
        <w:t>Chief Executive foreword</w:t>
      </w:r>
      <w:bookmarkEnd w:id="59"/>
    </w:p>
    <w:p w14:paraId="4D438C53" w14:textId="3CDB7571" w:rsidR="0007762E" w:rsidRDefault="0007762E" w:rsidP="0007762E">
      <w:pPr>
        <w:rPr>
          <w:lang w:eastAsia="en-US"/>
        </w:rPr>
      </w:pPr>
      <w:r>
        <w:rPr>
          <w:lang w:eastAsia="en-US"/>
        </w:rPr>
        <w:t>Tēnā koe</w:t>
      </w:r>
    </w:p>
    <w:p w14:paraId="4A355474" w14:textId="77777777" w:rsidR="0007762E" w:rsidRDefault="0007762E" w:rsidP="0007762E">
      <w:pPr>
        <w:rPr>
          <w:lang w:eastAsia="en-US"/>
        </w:rPr>
      </w:pPr>
    </w:p>
    <w:p w14:paraId="336B301C" w14:textId="7AF5CF43" w:rsidR="0007762E" w:rsidRDefault="0007762E" w:rsidP="0007762E">
      <w:pPr>
        <w:rPr>
          <w:lang w:eastAsia="en-US"/>
        </w:rPr>
      </w:pPr>
      <w:r>
        <w:rPr>
          <w:lang w:eastAsia="en-US"/>
        </w:rPr>
        <w:t>Reflecting on my first year as Tumu Whakarae (Chief Executive) for Te Aho o Te Kahu, I am proud of the collective efforts of our kaimahi (staff), and the many people working tirelessly across the cancer system – and of the positive impact of those efforts. At the same time, I acknowledge there is more work ahead to achieve our vision of fewer cancers, better survival, and equity for all.</w:t>
      </w:r>
    </w:p>
    <w:p w14:paraId="431D3779" w14:textId="77777777" w:rsidR="0007762E" w:rsidRDefault="0007762E" w:rsidP="0007762E">
      <w:pPr>
        <w:rPr>
          <w:lang w:eastAsia="en-US"/>
        </w:rPr>
      </w:pPr>
    </w:p>
    <w:p w14:paraId="3221617D" w14:textId="52E5F9CB" w:rsidR="0007762E" w:rsidRDefault="0007762E" w:rsidP="0007762E">
      <w:pPr>
        <w:rPr>
          <w:lang w:eastAsia="en-US"/>
        </w:rPr>
      </w:pPr>
      <w:r>
        <w:rPr>
          <w:lang w:eastAsia="en-US"/>
        </w:rPr>
        <w:t>Actions to improve the experience and outcomes for people and whānau living with cancer are being developed and put into place, in the face of growing demand and rapidly evolving treatment options.</w:t>
      </w:r>
    </w:p>
    <w:p w14:paraId="5BACBC9B" w14:textId="77777777" w:rsidR="0007762E" w:rsidRDefault="0007762E" w:rsidP="0007762E">
      <w:pPr>
        <w:rPr>
          <w:lang w:eastAsia="en-US"/>
        </w:rPr>
      </w:pPr>
    </w:p>
    <w:p w14:paraId="028BB4F0" w14:textId="3D008601" w:rsidR="0007762E" w:rsidRDefault="0007762E" w:rsidP="0007762E">
      <w:pPr>
        <w:rPr>
          <w:lang w:eastAsia="en-US"/>
        </w:rPr>
      </w:pPr>
      <w:r>
        <w:rPr>
          <w:lang w:eastAsia="en-US"/>
        </w:rPr>
        <w:t>We have a growing population who are living longer, often with multiple conditions. With more people surviving their first diagnosis of cancer, this requires the health system to provide them with more complex or long-term support and monitoring.</w:t>
      </w:r>
    </w:p>
    <w:p w14:paraId="5821B41F" w14:textId="77777777" w:rsidR="0007762E" w:rsidRDefault="0007762E" w:rsidP="0007762E">
      <w:pPr>
        <w:rPr>
          <w:lang w:eastAsia="en-US"/>
        </w:rPr>
      </w:pPr>
    </w:p>
    <w:p w14:paraId="44A917E1" w14:textId="2007E859" w:rsidR="0007762E" w:rsidRDefault="0007762E" w:rsidP="0007762E">
      <w:pPr>
        <w:rPr>
          <w:lang w:eastAsia="en-US"/>
        </w:rPr>
      </w:pPr>
      <w:r>
        <w:rPr>
          <w:lang w:eastAsia="en-US"/>
        </w:rPr>
        <w:t>Cancer treatment options are evolving rapidly, including new medicines to precision medicines and artificial intelligence. The costs for treatments are also often increasingly expensive.</w:t>
      </w:r>
    </w:p>
    <w:p w14:paraId="6A696510" w14:textId="77777777" w:rsidR="0007762E" w:rsidRDefault="0007762E" w:rsidP="0007762E">
      <w:pPr>
        <w:rPr>
          <w:lang w:eastAsia="en-US"/>
        </w:rPr>
      </w:pPr>
    </w:p>
    <w:p w14:paraId="4D0F89E8" w14:textId="235F10C2" w:rsidR="0007762E" w:rsidRDefault="0007762E" w:rsidP="0007762E">
      <w:pPr>
        <w:rPr>
          <w:lang w:eastAsia="en-US"/>
        </w:rPr>
      </w:pPr>
      <w:r>
        <w:rPr>
          <w:lang w:eastAsia="en-US"/>
        </w:rPr>
        <w:t>These factors, combined with global shortages of cancer and healthcare workers, and fiscal constraints, means we are focusing on helping the sector prepare for new treatments, balanced with continuing to deliver quality cancer care services in ways we know will deliver the most effective outcomes for people, while increasing prevention and early detection efforts.</w:t>
      </w:r>
    </w:p>
    <w:p w14:paraId="1112979B" w14:textId="77777777" w:rsidR="0007762E" w:rsidRDefault="0007762E" w:rsidP="0007762E">
      <w:pPr>
        <w:rPr>
          <w:lang w:eastAsia="en-US"/>
        </w:rPr>
      </w:pPr>
    </w:p>
    <w:p w14:paraId="3B38244F" w14:textId="153A870D" w:rsidR="0007762E" w:rsidRDefault="0007762E" w:rsidP="0007762E">
      <w:pPr>
        <w:rPr>
          <w:lang w:eastAsia="en-US"/>
        </w:rPr>
      </w:pPr>
      <w:r>
        <w:rPr>
          <w:lang w:eastAsia="en-US"/>
        </w:rPr>
        <w:t>Over the past year, Te Aho o Te Kahu continued to lead and/or support key work to enable the system to respond to these challenges. This was in close collaboration with our Advisory Groups (clinicians, consumers, and system leaders), Health New Zealand – Te Whatu Ora, the Ministry of Health – Manatū Hauora, Hei Āhuru Mōwai, health system stakeholders, and whānau. These are some highlights from that mahi:</w:t>
      </w:r>
    </w:p>
    <w:p w14:paraId="686C3020" w14:textId="42F46C3E" w:rsidR="0007762E" w:rsidRDefault="0007762E" w:rsidP="004D065B">
      <w:pPr>
        <w:pStyle w:val="Bullet"/>
        <w:rPr>
          <w:lang w:eastAsia="en-US"/>
        </w:rPr>
      </w:pPr>
      <w:r>
        <w:rPr>
          <w:lang w:eastAsia="en-US"/>
        </w:rPr>
        <w:t>Updated the National PET-CT indication list and criteria, which received approximately $3M of government funding to provide equitable access to these scans across the motu (country).</w:t>
      </w:r>
    </w:p>
    <w:p w14:paraId="197F293F" w14:textId="56F16CA2" w:rsidR="0007762E" w:rsidRDefault="0007762E" w:rsidP="0007762E">
      <w:pPr>
        <w:pStyle w:val="Bullet"/>
        <w:rPr>
          <w:lang w:eastAsia="en-US"/>
        </w:rPr>
      </w:pPr>
      <w:r>
        <w:rPr>
          <w:lang w:eastAsia="en-US"/>
        </w:rPr>
        <w:t>Expansion of radiation treatment capacity informed by our modelling and resource forecasting work – including progress on new treatment facilities in Whangārei, Taranaki, and Hawke’s Bay.</w:t>
      </w:r>
    </w:p>
    <w:p w14:paraId="526E7B6E" w14:textId="341E96E6" w:rsidR="0007762E" w:rsidRDefault="0007762E" w:rsidP="0007762E">
      <w:pPr>
        <w:pStyle w:val="Bullet"/>
        <w:rPr>
          <w:lang w:eastAsia="en-US"/>
        </w:rPr>
      </w:pPr>
      <w:r>
        <w:rPr>
          <w:lang w:eastAsia="en-US"/>
        </w:rPr>
        <w:lastRenderedPageBreak/>
        <w:t>Advised government on the $604 million cancer medicines funding policy announcement and finalising a blood cancer medicines gaps analysis report.</w:t>
      </w:r>
    </w:p>
    <w:p w14:paraId="550B4E29" w14:textId="77777777" w:rsidR="004D065B" w:rsidRDefault="004D065B" w:rsidP="004D065B">
      <w:pPr>
        <w:pStyle w:val="Bullet"/>
        <w:rPr>
          <w:lang w:eastAsia="en-US"/>
        </w:rPr>
      </w:pPr>
      <w:r>
        <w:rPr>
          <w:lang w:eastAsia="en-US"/>
        </w:rPr>
        <w:t>Developed a cancer workforce implementation plan to attract and retain the current workforce; support international recruitment for specialists; and develop training and career pathways for Māori and Pacific peoples in health.</w:t>
      </w:r>
    </w:p>
    <w:p w14:paraId="2DC268D1" w14:textId="77777777" w:rsidR="004D065B" w:rsidRDefault="004D065B" w:rsidP="004D065B">
      <w:pPr>
        <w:pStyle w:val="Bullet"/>
        <w:rPr>
          <w:lang w:eastAsia="en-US"/>
        </w:rPr>
      </w:pPr>
      <w:r>
        <w:rPr>
          <w:lang w:eastAsia="en-US"/>
        </w:rPr>
        <w:t>Designed four Optimal Cancer Care Pathways that will guide the planning, coordination, and delivery of best practice cancer prevention and care services across New Zealand for different types of cancer.</w:t>
      </w:r>
    </w:p>
    <w:p w14:paraId="163BDF50" w14:textId="77777777" w:rsidR="004D065B" w:rsidRDefault="004D065B" w:rsidP="004D065B">
      <w:pPr>
        <w:pStyle w:val="Bullet"/>
        <w:rPr>
          <w:lang w:eastAsia="en-US"/>
        </w:rPr>
      </w:pPr>
      <w:r>
        <w:rPr>
          <w:lang w:eastAsia="en-US"/>
        </w:rPr>
        <w:t>Finalise a comprehensive Stem Cell Transplant Model of Care to guide future work to deliver optional transplant and cellular therapy.</w:t>
      </w:r>
    </w:p>
    <w:p w14:paraId="4950E969" w14:textId="77777777" w:rsidR="004D065B" w:rsidRDefault="004D065B" w:rsidP="004D065B">
      <w:pPr>
        <w:rPr>
          <w:lang w:eastAsia="en-US"/>
        </w:rPr>
      </w:pPr>
    </w:p>
    <w:p w14:paraId="11F2BB2F" w14:textId="7E136685" w:rsidR="004D065B" w:rsidRDefault="004D065B" w:rsidP="004D065B">
      <w:pPr>
        <w:rPr>
          <w:lang w:eastAsia="en-US"/>
        </w:rPr>
      </w:pPr>
      <w:r>
        <w:rPr>
          <w:lang w:eastAsia="en-US"/>
        </w:rPr>
        <w:t>At the heart of our efforts are the thousands of people and whānau living with, or who have lost loved ones to cancer. These lived experiences continue to drive our work to continually improve access to cancer services and put people at the heart of how they are delivered.</w:t>
      </w:r>
    </w:p>
    <w:p w14:paraId="2803B99D" w14:textId="40174CF7" w:rsidR="004D065B" w:rsidRDefault="004D065B" w:rsidP="004D065B">
      <w:pPr>
        <w:rPr>
          <w:lang w:eastAsia="en-US"/>
        </w:rPr>
      </w:pPr>
    </w:p>
    <w:p w14:paraId="58F0882E" w14:textId="77777777" w:rsidR="004D065B" w:rsidRDefault="004D065B" w:rsidP="004D065B">
      <w:pPr>
        <w:rPr>
          <w:lang w:eastAsia="en-US"/>
        </w:rPr>
      </w:pPr>
    </w:p>
    <w:p w14:paraId="31F49713" w14:textId="5BD288A9" w:rsidR="004D065B" w:rsidRDefault="004D065B" w:rsidP="004D065B">
      <w:pPr>
        <w:rPr>
          <w:lang w:eastAsia="en-US"/>
        </w:rPr>
      </w:pPr>
      <w:r>
        <w:rPr>
          <w:noProof/>
        </w:rPr>
        <w:drawing>
          <wp:anchor distT="0" distB="71755" distL="0" distR="0" simplePos="0" relativeHeight="251713536" behindDoc="1" locked="0" layoutInCell="1" allowOverlap="1" wp14:anchorId="7D5EF06B" wp14:editId="79303D65">
            <wp:simplePos x="0" y="0"/>
            <wp:positionH relativeFrom="margin">
              <wp:align>left</wp:align>
            </wp:positionH>
            <wp:positionV relativeFrom="paragraph">
              <wp:posOffset>313055</wp:posOffset>
            </wp:positionV>
            <wp:extent cx="1094400" cy="468000"/>
            <wp:effectExtent l="0" t="0" r="0" b="8255"/>
            <wp:wrapTopAndBottom/>
            <wp:docPr id="1569" name="Image 1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Image 1569">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1094400" cy="468000"/>
                    </a:xfrm>
                    <a:prstGeom prst="rect">
                      <a:avLst/>
                    </a:prstGeom>
                  </pic:spPr>
                </pic:pic>
              </a:graphicData>
            </a:graphic>
            <wp14:sizeRelH relativeFrom="margin">
              <wp14:pctWidth>0</wp14:pctWidth>
            </wp14:sizeRelH>
            <wp14:sizeRelV relativeFrom="margin">
              <wp14:pctHeight>0</wp14:pctHeight>
            </wp14:sizeRelV>
          </wp:anchor>
        </w:drawing>
      </w:r>
      <w:r>
        <w:rPr>
          <w:lang w:eastAsia="en-US"/>
        </w:rPr>
        <w:t>Ngā manaakitanga,</w:t>
      </w:r>
    </w:p>
    <w:p w14:paraId="380B3800" w14:textId="6F990144" w:rsidR="004D065B" w:rsidRDefault="004D065B" w:rsidP="004D065B">
      <w:pPr>
        <w:rPr>
          <w:lang w:eastAsia="en-US"/>
        </w:rPr>
      </w:pPr>
      <w:r>
        <w:rPr>
          <w:lang w:eastAsia="en-US"/>
        </w:rPr>
        <w:t>Rami Rahal</w:t>
      </w:r>
    </w:p>
    <w:p w14:paraId="21702C39" w14:textId="77777777" w:rsidR="004D065B" w:rsidRPr="004D065B" w:rsidRDefault="004D065B" w:rsidP="004D065B">
      <w:pPr>
        <w:rPr>
          <w:b/>
          <w:bCs/>
          <w:lang w:eastAsia="en-US"/>
        </w:rPr>
      </w:pPr>
      <w:r w:rsidRPr="004D065B">
        <w:rPr>
          <w:b/>
          <w:bCs/>
          <w:lang w:eastAsia="en-US"/>
        </w:rPr>
        <w:t>Tumu Whakarae, Chief Executive</w:t>
      </w:r>
    </w:p>
    <w:p w14:paraId="675D407A" w14:textId="77777777" w:rsidR="004D065B" w:rsidRPr="004D065B" w:rsidRDefault="004D065B" w:rsidP="004D065B">
      <w:pPr>
        <w:rPr>
          <w:b/>
          <w:bCs/>
          <w:lang w:eastAsia="en-US"/>
        </w:rPr>
      </w:pPr>
      <w:r w:rsidRPr="004D065B">
        <w:rPr>
          <w:b/>
          <w:bCs/>
          <w:lang w:eastAsia="en-US"/>
        </w:rPr>
        <w:t>Te Aho o Te Kahu, Cancer Control Agency</w:t>
      </w:r>
    </w:p>
    <w:p w14:paraId="1A9B45E6" w14:textId="54E05C5D" w:rsidR="0007762E" w:rsidRDefault="0007762E" w:rsidP="0007762E">
      <w:pPr>
        <w:rPr>
          <w:lang w:eastAsia="en-US"/>
        </w:rPr>
      </w:pPr>
    </w:p>
    <w:p w14:paraId="3E4432A1" w14:textId="77777777" w:rsidR="0007762E" w:rsidRDefault="0007762E" w:rsidP="0007762E">
      <w:pPr>
        <w:rPr>
          <w:lang w:eastAsia="en-US"/>
        </w:rPr>
      </w:pPr>
    </w:p>
    <w:p w14:paraId="70F6DBCF" w14:textId="77777777" w:rsidR="004D065B" w:rsidRDefault="004D065B" w:rsidP="0007762E">
      <w:pPr>
        <w:rPr>
          <w:lang w:eastAsia="en-US"/>
        </w:rPr>
        <w:sectPr w:rsidR="004D065B" w:rsidSect="000A3324">
          <w:footerReference w:type="even" r:id="rId56"/>
          <w:footerReference w:type="default" r:id="rId57"/>
          <w:pgSz w:w="11907" w:h="16840" w:code="9"/>
          <w:pgMar w:top="1418" w:right="1701" w:bottom="1134" w:left="1843" w:header="284" w:footer="425" w:gutter="284"/>
          <w:cols w:space="720"/>
        </w:sectPr>
      </w:pPr>
    </w:p>
    <w:p w14:paraId="7F5A124B" w14:textId="77777777" w:rsidR="004D065B" w:rsidRDefault="004D065B" w:rsidP="004D065B">
      <w:pPr>
        <w:pStyle w:val="Heading2"/>
        <w:spacing w:before="0"/>
        <w:rPr>
          <w:lang w:eastAsia="en-US"/>
        </w:rPr>
      </w:pPr>
      <w:bookmarkStart w:id="60" w:name="_Toc180077055"/>
      <w:r>
        <w:rPr>
          <w:lang w:eastAsia="en-US"/>
        </w:rPr>
        <w:lastRenderedPageBreak/>
        <w:t>He mihi nā te Tumu Whakarae</w:t>
      </w:r>
      <w:bookmarkEnd w:id="60"/>
    </w:p>
    <w:p w14:paraId="5DDABE88" w14:textId="7E6B1387" w:rsidR="004D065B" w:rsidRDefault="004D065B" w:rsidP="004D065B">
      <w:pPr>
        <w:rPr>
          <w:lang w:eastAsia="en-US"/>
        </w:rPr>
      </w:pPr>
      <w:r>
        <w:rPr>
          <w:lang w:eastAsia="en-US"/>
        </w:rPr>
        <w:t>Tēnā koe</w:t>
      </w:r>
    </w:p>
    <w:p w14:paraId="6CD92DEF" w14:textId="77777777" w:rsidR="004D065B" w:rsidRDefault="004D065B" w:rsidP="004D065B">
      <w:pPr>
        <w:rPr>
          <w:lang w:eastAsia="en-US"/>
        </w:rPr>
      </w:pPr>
    </w:p>
    <w:p w14:paraId="2BCC4272" w14:textId="62C40875" w:rsidR="004D065B" w:rsidRDefault="004D065B" w:rsidP="004D065B">
      <w:pPr>
        <w:rPr>
          <w:lang w:eastAsia="en-US"/>
        </w:rPr>
      </w:pPr>
      <w:r>
        <w:rPr>
          <w:lang w:eastAsia="en-US"/>
        </w:rPr>
        <w:t xml:space="preserve">I </w:t>
      </w:r>
      <w:proofErr w:type="spellStart"/>
      <w:proofErr w:type="gramStart"/>
      <w:r>
        <w:rPr>
          <w:lang w:eastAsia="en-US"/>
        </w:rPr>
        <w:t>a</w:t>
      </w:r>
      <w:proofErr w:type="spellEnd"/>
      <w:proofErr w:type="gramEnd"/>
      <w:r>
        <w:rPr>
          <w:lang w:eastAsia="en-US"/>
        </w:rPr>
        <w:t xml:space="preserve"> au e tiro whakamuri ana ki taku tau tuatahi hei Tumu Whakarae o Te Aho o Te Kahu, e tū whakahīhī ana au i ngā mahi a ō mātou kaimahi katoa rātou ko te kāhui nui tonu huri noa i te pūnaha mate pukupuku i ā rātou whakapaunga kaha – waihoki ko ngā hua o aua mahi. Heoi, e mōhio ana au arā atu anō ngā mahi e tutuki ai tō mātou wawata kia iti ake ngā momo mate pukupuku, kia nui ake te whakarauoratanga mai i tēnei māuiui me te whakaūnga o te mana taurite mā te katoa.</w:t>
      </w:r>
    </w:p>
    <w:p w14:paraId="15855A3B" w14:textId="77777777" w:rsidR="004D065B" w:rsidRDefault="004D065B" w:rsidP="004D065B">
      <w:pPr>
        <w:rPr>
          <w:lang w:eastAsia="en-US"/>
        </w:rPr>
      </w:pPr>
    </w:p>
    <w:p w14:paraId="561DDD7D" w14:textId="37E34839" w:rsidR="004D065B" w:rsidRDefault="004D065B" w:rsidP="004D065B">
      <w:pPr>
        <w:rPr>
          <w:lang w:eastAsia="en-US"/>
        </w:rPr>
      </w:pPr>
      <w:r>
        <w:rPr>
          <w:lang w:eastAsia="en-US"/>
        </w:rPr>
        <w:t>Kei te whakawhanakehia, kei te whakatinanahia hoki ngā tūmahi hei whakapai ake i ngā wheako me ngā hua ki ngā tāngata me ngā whānau e pāngia ana e te mate pukupuku, ahakoa e piki haere tonu ana ngā hiahia me ngā ara rongoā hei whai mā te tūroro.</w:t>
      </w:r>
    </w:p>
    <w:p w14:paraId="255694CA" w14:textId="77777777" w:rsidR="004D065B" w:rsidRDefault="004D065B" w:rsidP="004D065B">
      <w:pPr>
        <w:rPr>
          <w:lang w:eastAsia="en-US"/>
        </w:rPr>
      </w:pPr>
    </w:p>
    <w:p w14:paraId="52C6E897" w14:textId="0596DA4F" w:rsidR="004D065B" w:rsidRDefault="004D065B" w:rsidP="004D065B">
      <w:pPr>
        <w:rPr>
          <w:lang w:eastAsia="en-US"/>
        </w:rPr>
      </w:pPr>
      <w:r>
        <w:rPr>
          <w:lang w:eastAsia="en-US"/>
        </w:rPr>
        <w:t>Kei te piki ake te nui o te taupori me te roa o te oranga, he tini hoki ngā mate o te nuinga. Nō te pikinga ake o ngā tāngata e whakarauorahia ana i te kitenga tuatahi o te mate pukupuku, me kaha hoki te pūnaha hauora ki te tautoko i ō rātou hiahia matatini, me ū hoki rānei ngā mahi tautoko, me aroturuki hoki.</w:t>
      </w:r>
    </w:p>
    <w:p w14:paraId="0741C2C6" w14:textId="77777777" w:rsidR="004D065B" w:rsidRDefault="004D065B" w:rsidP="004D065B">
      <w:pPr>
        <w:rPr>
          <w:lang w:eastAsia="en-US"/>
        </w:rPr>
      </w:pPr>
    </w:p>
    <w:p w14:paraId="33D5BD13" w14:textId="00D9D0A5" w:rsidR="004D065B" w:rsidRDefault="004D065B" w:rsidP="004D065B">
      <w:pPr>
        <w:rPr>
          <w:lang w:eastAsia="en-US"/>
        </w:rPr>
      </w:pPr>
      <w:r>
        <w:rPr>
          <w:lang w:eastAsia="en-US"/>
        </w:rPr>
        <w:t>Kei te tere whanake mai ngā momo rongoā mō te mate pukupuku, pērā i ngā rongoā o ngā pae hauora hou me te hangarau atamai. Kei te piki ake hoki te utu o ngā rongoā.</w:t>
      </w:r>
    </w:p>
    <w:p w14:paraId="3F25EB96" w14:textId="77777777" w:rsidR="004D065B" w:rsidRDefault="004D065B" w:rsidP="004D065B">
      <w:pPr>
        <w:rPr>
          <w:lang w:eastAsia="en-US"/>
        </w:rPr>
      </w:pPr>
    </w:p>
    <w:p w14:paraId="29C36209" w14:textId="2CCBA253" w:rsidR="004D065B" w:rsidRDefault="004D065B" w:rsidP="004D065B">
      <w:pPr>
        <w:rPr>
          <w:lang w:eastAsia="en-US"/>
        </w:rPr>
      </w:pPr>
      <w:r>
        <w:rPr>
          <w:lang w:eastAsia="en-US"/>
        </w:rPr>
        <w:t>I runga i ēnei āhuatanga, waihoki te iti o te puna kaimahi me ngā here ki te taha pūtea, ko te aronga matua, he āwhina i te rāngai hauora ki te takatū mō ngā rongoā hou i a mātou e whakarato tonu ana i ngā mahi atawhai ki te hunga e pāngia ana e te mate pukupuku, e tino whaihua ai te tangata, e piki ake ai hoki ngā mahi kaupare mate pukupuku me te kitenga tōmua o tēnei mate.</w:t>
      </w:r>
    </w:p>
    <w:p w14:paraId="1B1F1E60" w14:textId="77777777" w:rsidR="004D065B" w:rsidRDefault="004D065B" w:rsidP="004D065B">
      <w:pPr>
        <w:rPr>
          <w:lang w:eastAsia="en-US"/>
        </w:rPr>
      </w:pPr>
    </w:p>
    <w:p w14:paraId="32CF99DF" w14:textId="20BB4F82" w:rsidR="004D065B" w:rsidRDefault="004D065B" w:rsidP="004D065B">
      <w:pPr>
        <w:rPr>
          <w:lang w:eastAsia="en-US"/>
        </w:rPr>
      </w:pPr>
      <w:r>
        <w:rPr>
          <w:lang w:eastAsia="en-US"/>
        </w:rPr>
        <w:t>I te roanga o tērā tau, kei te kōkiri/kei te tautoko tonu a Te Aho o Te Kahu i ngā mahi mātāmua kia āhei te pūnaha ki te whakaea i ērā take. He mahinga ngātahi hoki tēnei ki te taha o ā mātou Rōpū Whāiti (ko ngā kaimahi haumanu, ko ngā kiritaki, ko ngā kaiārahi hauora) rātou ko Te Whatu Ora, ko Te Manatū Hauora, ko Hei Āhuru Mōwai, ko ngā kaihāpai o te pūnaha hauora, ko ngā whānau. Anei ētahi o ngā mahi whakahirahira mai i aua mahi:</w:t>
      </w:r>
    </w:p>
    <w:p w14:paraId="614EC757" w14:textId="29DCCA64" w:rsidR="004D065B" w:rsidRDefault="004D065B" w:rsidP="004D065B">
      <w:pPr>
        <w:pStyle w:val="Bullet"/>
        <w:rPr>
          <w:lang w:eastAsia="en-US"/>
        </w:rPr>
      </w:pPr>
      <w:r>
        <w:rPr>
          <w:lang w:eastAsia="en-US"/>
        </w:rPr>
        <w:t>UKua whakahoungia te rārangi tūtohu me ngā paearu a te National PET-CT. I whakawhiwhia tērā kaupapa ki te $3m i te kāwanatanga kia taurite te whakawhiwhinga ki ēnei momo karapa huri noa i te motu.</w:t>
      </w:r>
    </w:p>
    <w:p w14:paraId="264251D0" w14:textId="2AFDA078" w:rsidR="004D065B" w:rsidRDefault="004D065B" w:rsidP="004D065B">
      <w:pPr>
        <w:pStyle w:val="Bullet"/>
        <w:rPr>
          <w:lang w:eastAsia="en-US"/>
        </w:rPr>
      </w:pPr>
      <w:r>
        <w:rPr>
          <w:lang w:eastAsia="en-US"/>
        </w:rPr>
        <w:t xml:space="preserve">Ko te whakawhānuitanga o te haumanu iraruke i runga anō i ā mātou tauira me ngā matapae e pā ana ki ngā rauemi – pērā i te ahunga </w:t>
      </w:r>
      <w:proofErr w:type="spellStart"/>
      <w:r>
        <w:rPr>
          <w:lang w:eastAsia="en-US"/>
        </w:rPr>
        <w:t>whakamua</w:t>
      </w:r>
      <w:proofErr w:type="spellEnd"/>
      <w:r>
        <w:rPr>
          <w:lang w:eastAsia="en-US"/>
        </w:rPr>
        <w:t xml:space="preserve"> o </w:t>
      </w:r>
      <w:proofErr w:type="spellStart"/>
      <w:r>
        <w:rPr>
          <w:lang w:eastAsia="en-US"/>
        </w:rPr>
        <w:t>ngā</w:t>
      </w:r>
      <w:proofErr w:type="spellEnd"/>
      <w:r>
        <w:rPr>
          <w:lang w:eastAsia="en-US"/>
        </w:rPr>
        <w:t xml:space="preserve"> </w:t>
      </w:r>
      <w:proofErr w:type="spellStart"/>
      <w:r>
        <w:rPr>
          <w:lang w:eastAsia="en-US"/>
        </w:rPr>
        <w:t>whare</w:t>
      </w:r>
      <w:proofErr w:type="spellEnd"/>
      <w:r>
        <w:rPr>
          <w:lang w:eastAsia="en-US"/>
        </w:rPr>
        <w:t xml:space="preserve"> </w:t>
      </w:r>
      <w:proofErr w:type="spellStart"/>
      <w:r>
        <w:rPr>
          <w:lang w:eastAsia="en-US"/>
        </w:rPr>
        <w:t>rongoā</w:t>
      </w:r>
      <w:proofErr w:type="spellEnd"/>
      <w:r>
        <w:rPr>
          <w:lang w:eastAsia="en-US"/>
        </w:rPr>
        <w:t xml:space="preserve"> </w:t>
      </w:r>
      <w:proofErr w:type="spellStart"/>
      <w:r>
        <w:rPr>
          <w:lang w:eastAsia="en-US"/>
        </w:rPr>
        <w:t>hou</w:t>
      </w:r>
      <w:proofErr w:type="spellEnd"/>
      <w:r>
        <w:rPr>
          <w:lang w:eastAsia="en-US"/>
        </w:rPr>
        <w:t xml:space="preserve"> ki Whangārei, ki Taranaki me Te Matau-a-Māui.</w:t>
      </w:r>
    </w:p>
    <w:p w14:paraId="7C335329" w14:textId="0273EEB4" w:rsidR="0007762E" w:rsidRDefault="004D065B" w:rsidP="004D065B">
      <w:pPr>
        <w:pStyle w:val="Bullet"/>
        <w:rPr>
          <w:lang w:eastAsia="en-US"/>
        </w:rPr>
      </w:pPr>
      <w:r>
        <w:rPr>
          <w:lang w:eastAsia="en-US"/>
        </w:rPr>
        <w:t>Kua tāpae kōrero ki te kāwanatanga mō te whakapuakitanga o te kaupapa here e pā ana ki te pūtea mō ngā rongoā mate pukupuku, e $600M te nui.</w:t>
      </w:r>
    </w:p>
    <w:p w14:paraId="52A50A5A" w14:textId="77777777" w:rsidR="004D065B" w:rsidRDefault="004D065B" w:rsidP="004D065B">
      <w:pPr>
        <w:pStyle w:val="Bullet"/>
        <w:rPr>
          <w:lang w:eastAsia="en-US"/>
        </w:rPr>
      </w:pPr>
      <w:r>
        <w:rPr>
          <w:lang w:eastAsia="en-US"/>
        </w:rPr>
        <w:t xml:space="preserve">Kua whakawhanakehia mai tētahi mahere mō te whakatinanatanga o te kāhui kaimahi mō te mate pukupuku, hei whakapoapoa, hei whakaū hoki i ngā kaimahi o nāianei; hei tautoko i te mahi rapu mātanga ki rāwāhi, hei whakawhanake hoki i ngā </w:t>
      </w:r>
      <w:r>
        <w:rPr>
          <w:lang w:eastAsia="en-US"/>
        </w:rPr>
        <w:lastRenderedPageBreak/>
        <w:t>mahi whakangungu me ngā ara mahi i te ao hauora mā te Māori me ngā iwi o Te Moananui-a-Kiwa.</w:t>
      </w:r>
    </w:p>
    <w:p w14:paraId="208B0C9E" w14:textId="77777777" w:rsidR="004D065B" w:rsidRDefault="004D065B" w:rsidP="004D065B">
      <w:pPr>
        <w:pStyle w:val="Bullet"/>
        <w:rPr>
          <w:lang w:eastAsia="en-US"/>
        </w:rPr>
      </w:pPr>
      <w:r>
        <w:rPr>
          <w:lang w:eastAsia="en-US"/>
        </w:rPr>
        <w:t>Kua whakahoahoatia kia whā ngā Optimal Cancer Care Pathways, hei ārahi i te whakamaheretanga, i ngā whakaritenga me te whakaratonga o ngā mahi e āta kaupare atu ana i te mate pukupuku, e atawhai tika ana i te tangata e pāngia ana e ngā momo mate pukupuku rerekē, huri noa i te motu. Kua whakaoti tētahi kaupapa nui e pā ana ki te Stem Cell Transplant Model hei ārahi i ngā mahi e haere mai ana, hei whakapuare mai i te kūwaha ki te huaranga me te whakatō pūtautau, hei kōwhiringa anō mā te tūroro.</w:t>
      </w:r>
    </w:p>
    <w:p w14:paraId="34991D66" w14:textId="683AC704" w:rsidR="004D065B" w:rsidRDefault="004D065B" w:rsidP="004D065B">
      <w:pPr>
        <w:rPr>
          <w:lang w:eastAsia="en-US"/>
        </w:rPr>
      </w:pPr>
    </w:p>
    <w:p w14:paraId="0BC7F2E1" w14:textId="77777777" w:rsidR="004D065B" w:rsidRDefault="004D065B" w:rsidP="004D065B">
      <w:pPr>
        <w:rPr>
          <w:lang w:eastAsia="en-US"/>
        </w:rPr>
      </w:pPr>
      <w:r>
        <w:rPr>
          <w:lang w:eastAsia="en-US"/>
        </w:rPr>
        <w:t>Kei te pūtake o ā mātou mahi, ko te takitini rātou ko ō rātou whānau e pāngia ana, e tangi ana hoki rānei i te iwi nui kua riro i te mate pukupuku. Kei te āia ā mātou mahi e ēnei wheako tūturu, kia pai ake ngā toronga atu ki ngā ratonga o te mate pukupuku, ā, kia noho te tangata ki te pūtake o te whakaratonga o aua mahi.</w:t>
      </w:r>
    </w:p>
    <w:p w14:paraId="137485B3" w14:textId="77777777" w:rsidR="004D065B" w:rsidRDefault="004D065B" w:rsidP="004D065B">
      <w:pPr>
        <w:rPr>
          <w:lang w:eastAsia="en-US"/>
        </w:rPr>
      </w:pPr>
    </w:p>
    <w:p w14:paraId="7839E8BC" w14:textId="77777777" w:rsidR="004D065B" w:rsidRDefault="004D065B" w:rsidP="004D065B">
      <w:pPr>
        <w:rPr>
          <w:lang w:eastAsia="en-US"/>
        </w:rPr>
      </w:pPr>
    </w:p>
    <w:p w14:paraId="60A263CA" w14:textId="77777777" w:rsidR="004D065B" w:rsidRDefault="004D065B" w:rsidP="004D065B">
      <w:pPr>
        <w:rPr>
          <w:lang w:eastAsia="en-US"/>
        </w:rPr>
      </w:pPr>
      <w:r>
        <w:rPr>
          <w:noProof/>
        </w:rPr>
        <w:drawing>
          <wp:anchor distT="0" distB="71755" distL="0" distR="0" simplePos="0" relativeHeight="251715584" behindDoc="1" locked="0" layoutInCell="1" allowOverlap="1" wp14:anchorId="6BB94FE9" wp14:editId="4AB03677">
            <wp:simplePos x="0" y="0"/>
            <wp:positionH relativeFrom="margin">
              <wp:align>left</wp:align>
            </wp:positionH>
            <wp:positionV relativeFrom="paragraph">
              <wp:posOffset>313055</wp:posOffset>
            </wp:positionV>
            <wp:extent cx="1094400" cy="468000"/>
            <wp:effectExtent l="0" t="0" r="0" b="8255"/>
            <wp:wrapTopAndBottom/>
            <wp:docPr id="6" name="Image 1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569">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1094400" cy="468000"/>
                    </a:xfrm>
                    <a:prstGeom prst="rect">
                      <a:avLst/>
                    </a:prstGeom>
                  </pic:spPr>
                </pic:pic>
              </a:graphicData>
            </a:graphic>
            <wp14:sizeRelH relativeFrom="margin">
              <wp14:pctWidth>0</wp14:pctWidth>
            </wp14:sizeRelH>
            <wp14:sizeRelV relativeFrom="margin">
              <wp14:pctHeight>0</wp14:pctHeight>
            </wp14:sizeRelV>
          </wp:anchor>
        </w:drawing>
      </w:r>
      <w:r>
        <w:rPr>
          <w:lang w:eastAsia="en-US"/>
        </w:rPr>
        <w:t>Ngā manaakitanga,</w:t>
      </w:r>
    </w:p>
    <w:p w14:paraId="50DB2103" w14:textId="77777777" w:rsidR="004D065B" w:rsidRDefault="004D065B" w:rsidP="004D065B">
      <w:pPr>
        <w:rPr>
          <w:lang w:eastAsia="en-US"/>
        </w:rPr>
      </w:pPr>
      <w:r>
        <w:rPr>
          <w:lang w:eastAsia="en-US"/>
        </w:rPr>
        <w:t>Rami Rahal</w:t>
      </w:r>
    </w:p>
    <w:p w14:paraId="018E47C3" w14:textId="77777777" w:rsidR="004D065B" w:rsidRPr="004D065B" w:rsidRDefault="004D065B" w:rsidP="004D065B">
      <w:pPr>
        <w:rPr>
          <w:b/>
          <w:bCs/>
          <w:lang w:eastAsia="en-US"/>
        </w:rPr>
      </w:pPr>
      <w:r w:rsidRPr="004D065B">
        <w:rPr>
          <w:b/>
          <w:bCs/>
          <w:lang w:eastAsia="en-US"/>
        </w:rPr>
        <w:t>Tumu Whakarae, Chief Executive</w:t>
      </w:r>
    </w:p>
    <w:p w14:paraId="4A63A4E2" w14:textId="77777777" w:rsidR="004D065B" w:rsidRPr="004D065B" w:rsidRDefault="004D065B" w:rsidP="004D065B">
      <w:pPr>
        <w:rPr>
          <w:b/>
          <w:bCs/>
          <w:lang w:eastAsia="en-US"/>
        </w:rPr>
      </w:pPr>
      <w:r w:rsidRPr="004D065B">
        <w:rPr>
          <w:b/>
          <w:bCs/>
          <w:lang w:eastAsia="en-US"/>
        </w:rPr>
        <w:t>Te Aho o Te Kahu, Cancer Control Agency</w:t>
      </w:r>
    </w:p>
    <w:p w14:paraId="10510C37" w14:textId="77777777" w:rsidR="0007762E" w:rsidRDefault="0007762E" w:rsidP="0007762E">
      <w:pPr>
        <w:rPr>
          <w:b/>
          <w:bCs/>
          <w:lang w:eastAsia="en-US"/>
        </w:rPr>
      </w:pPr>
    </w:p>
    <w:p w14:paraId="28E41D52" w14:textId="77777777" w:rsidR="004D065B" w:rsidRPr="004D065B" w:rsidRDefault="004D065B" w:rsidP="004D065B">
      <w:pPr>
        <w:rPr>
          <w:lang w:eastAsia="en-US"/>
        </w:rPr>
      </w:pPr>
    </w:p>
    <w:p w14:paraId="5F1CCB02" w14:textId="77777777" w:rsidR="004D065B" w:rsidRDefault="004D065B" w:rsidP="004D065B">
      <w:pPr>
        <w:rPr>
          <w:b/>
          <w:bCs/>
          <w:lang w:eastAsia="en-US"/>
        </w:rPr>
        <w:sectPr w:rsidR="004D065B" w:rsidSect="000A3324">
          <w:pgSz w:w="11907" w:h="16840" w:code="9"/>
          <w:pgMar w:top="1418" w:right="1701" w:bottom="1134" w:left="1843" w:header="284" w:footer="425" w:gutter="284"/>
          <w:cols w:space="720"/>
        </w:sectPr>
      </w:pPr>
    </w:p>
    <w:p w14:paraId="55081927" w14:textId="3864C1AC" w:rsidR="004D065B" w:rsidRPr="00386646" w:rsidRDefault="004D065B" w:rsidP="004D065B">
      <w:pPr>
        <w:pStyle w:val="Heading2"/>
        <w:spacing w:before="0"/>
        <w:rPr>
          <w:lang w:eastAsia="en-US"/>
        </w:rPr>
      </w:pPr>
      <w:bookmarkStart w:id="61" w:name="_Toc180077056"/>
      <w:r w:rsidRPr="00386646">
        <w:rPr>
          <w:lang w:eastAsia="en-US"/>
        </w:rPr>
        <w:lastRenderedPageBreak/>
        <w:t xml:space="preserve">Tā mātou aronga </w:t>
      </w:r>
      <w:r w:rsidR="00DA365D">
        <w:t>–</w:t>
      </w:r>
      <w:r w:rsidRPr="00386646">
        <w:rPr>
          <w:lang w:eastAsia="en-US"/>
        </w:rPr>
        <w:t xml:space="preserve"> An agency focused on </w:t>
      </w:r>
      <w:proofErr w:type="gramStart"/>
      <w:r w:rsidRPr="00386646">
        <w:rPr>
          <w:lang w:eastAsia="en-US"/>
        </w:rPr>
        <w:t>cancer</w:t>
      </w:r>
      <w:bookmarkEnd w:id="61"/>
      <w:proofErr w:type="gramEnd"/>
    </w:p>
    <w:p w14:paraId="34CAC89C" w14:textId="77777777" w:rsidR="004D065B" w:rsidRDefault="004D065B" w:rsidP="004D065B">
      <w:pPr>
        <w:rPr>
          <w:lang w:eastAsia="en-US"/>
        </w:rPr>
      </w:pPr>
      <w:r>
        <w:rPr>
          <w:lang w:eastAsia="en-US"/>
        </w:rPr>
        <w:t>Te Aho o Te Kahu Cancer Control Agency’s vision for Aotearoa New Zealand is that all people will experience fewer cancers, better survival rates, and equitable cancer outcomes. Our strategic direction and work are guided by our values. We are equity-led, knowledge-driven, outcomes-focused and person and whānau-centred.</w:t>
      </w:r>
    </w:p>
    <w:p w14:paraId="627ECA75" w14:textId="77777777" w:rsidR="004D065B" w:rsidRDefault="004D065B" w:rsidP="004D065B">
      <w:pPr>
        <w:rPr>
          <w:lang w:eastAsia="en-US"/>
        </w:rPr>
      </w:pPr>
    </w:p>
    <w:p w14:paraId="3529D6C7" w14:textId="77777777" w:rsidR="004D065B" w:rsidRDefault="004D065B" w:rsidP="004D065B">
      <w:pPr>
        <w:rPr>
          <w:lang w:eastAsia="en-US"/>
        </w:rPr>
      </w:pPr>
      <w:r>
        <w:rPr>
          <w:lang w:eastAsia="en-US"/>
        </w:rPr>
        <w:t>We are a departmental agency that reports directly to the Minister of Health and is hosted by Ministry of Health - Manatū Hauora. We were set up in 2020 to:</w:t>
      </w:r>
    </w:p>
    <w:p w14:paraId="212155D4" w14:textId="34175AD6" w:rsidR="004D065B" w:rsidRDefault="004D065B" w:rsidP="004D065B">
      <w:pPr>
        <w:pStyle w:val="Bullet"/>
        <w:rPr>
          <w:lang w:eastAsia="en-US"/>
        </w:rPr>
      </w:pPr>
      <w:r>
        <w:rPr>
          <w:lang w:eastAsia="en-US"/>
        </w:rPr>
        <w:t>unite work across cancer control to deliver better health outcomes for all people across New Zealand</w:t>
      </w:r>
    </w:p>
    <w:p w14:paraId="16E66F13" w14:textId="6ED65208" w:rsidR="004D065B" w:rsidRDefault="004D065B" w:rsidP="004D065B">
      <w:pPr>
        <w:pStyle w:val="Bullet"/>
        <w:rPr>
          <w:lang w:eastAsia="en-US"/>
        </w:rPr>
      </w:pPr>
      <w:r>
        <w:rPr>
          <w:lang w:eastAsia="en-US"/>
        </w:rPr>
        <w:t xml:space="preserve">report on the health sectors’ progress towards the goals and outcomes in the </w:t>
      </w:r>
      <w:r w:rsidRPr="00704067">
        <w:rPr>
          <w:b/>
          <w:bCs/>
          <w:lang w:eastAsia="en-US"/>
        </w:rPr>
        <w:t>New Zealand Cancer Action Plan 2019–2029 – Te Mahere mō te Mate Pukupuku o Aotearoa 2019–2029</w:t>
      </w:r>
      <w:r>
        <w:rPr>
          <w:lang w:eastAsia="en-US"/>
        </w:rPr>
        <w:t xml:space="preserve"> (the Cancer Action Plan).</w:t>
      </w:r>
    </w:p>
    <w:p w14:paraId="213FE334" w14:textId="77777777" w:rsidR="004D065B" w:rsidRDefault="004D065B" w:rsidP="004D065B">
      <w:pPr>
        <w:rPr>
          <w:lang w:eastAsia="en-US"/>
        </w:rPr>
      </w:pPr>
    </w:p>
    <w:p w14:paraId="55B50A05" w14:textId="2F15F0AC" w:rsidR="004D065B" w:rsidRDefault="004D065B" w:rsidP="004D065B">
      <w:pPr>
        <w:rPr>
          <w:lang w:eastAsia="en-US"/>
        </w:rPr>
      </w:pPr>
      <w:r>
        <w:rPr>
          <w:lang w:eastAsia="en-US"/>
        </w:rPr>
        <w:t>The Cancer Action Plan outlines a range of actions the health sector will deliver to achieve the following four outcomes:</w:t>
      </w:r>
    </w:p>
    <w:p w14:paraId="36ADE83C" w14:textId="77777777" w:rsidR="004D065B" w:rsidRDefault="004D065B" w:rsidP="004D065B">
      <w:pPr>
        <w:pStyle w:val="Number"/>
        <w:numPr>
          <w:ilvl w:val="0"/>
          <w:numId w:val="34"/>
        </w:numPr>
        <w:rPr>
          <w:lang w:eastAsia="en-US"/>
        </w:rPr>
      </w:pPr>
      <w:r w:rsidRPr="004D065B">
        <w:rPr>
          <w:b/>
          <w:bCs/>
          <w:lang w:eastAsia="en-US"/>
        </w:rPr>
        <w:t>New Zealanders have a system that delivers consistent and modern cancer care</w:t>
      </w:r>
      <w:r w:rsidRPr="004D065B">
        <w:rPr>
          <w:lang w:eastAsia="en-US"/>
        </w:rPr>
        <w:t xml:space="preserve">. </w:t>
      </w:r>
    </w:p>
    <w:p w14:paraId="77BEC262" w14:textId="4CA024BB" w:rsidR="004D065B" w:rsidRDefault="004D065B" w:rsidP="004D065B">
      <w:pPr>
        <w:pStyle w:val="Number"/>
        <w:numPr>
          <w:ilvl w:val="0"/>
          <w:numId w:val="0"/>
        </w:numPr>
        <w:ind w:left="567"/>
        <w:rPr>
          <w:lang w:eastAsia="en-US"/>
        </w:rPr>
      </w:pPr>
      <w:r w:rsidRPr="004D065B">
        <w:rPr>
          <w:lang w:eastAsia="en-US"/>
        </w:rPr>
        <w:t>Lifting our country’s performance in cancer care requires coordinated national leadership, a skilled and sustainable workforce and the information at the right time to inform decisions.</w:t>
      </w:r>
    </w:p>
    <w:p w14:paraId="29A22632" w14:textId="77777777" w:rsidR="004D065B" w:rsidRDefault="004D065B" w:rsidP="004D065B">
      <w:pPr>
        <w:pStyle w:val="Number"/>
        <w:numPr>
          <w:ilvl w:val="0"/>
          <w:numId w:val="34"/>
        </w:numPr>
        <w:rPr>
          <w:lang w:eastAsia="en-US"/>
        </w:rPr>
      </w:pPr>
      <w:r w:rsidRPr="004D065B">
        <w:rPr>
          <w:b/>
          <w:bCs/>
          <w:lang w:eastAsia="en-US"/>
        </w:rPr>
        <w:t>New Zealanders experience equitable cancer outcomes</w:t>
      </w:r>
      <w:r>
        <w:rPr>
          <w:lang w:eastAsia="en-US"/>
        </w:rPr>
        <w:t xml:space="preserve">. </w:t>
      </w:r>
    </w:p>
    <w:p w14:paraId="2061D733" w14:textId="17DA37FA" w:rsidR="004D065B" w:rsidRDefault="004D065B" w:rsidP="004D065B">
      <w:pPr>
        <w:pStyle w:val="Number"/>
        <w:numPr>
          <w:ilvl w:val="0"/>
          <w:numId w:val="0"/>
        </w:numPr>
        <w:ind w:left="567"/>
        <w:rPr>
          <w:lang w:eastAsia="en-US"/>
        </w:rPr>
      </w:pPr>
      <w:r>
        <w:rPr>
          <w:lang w:eastAsia="en-US"/>
        </w:rPr>
        <w:t>Everyone diagnosed with cancer will receive the best treatment and care, regardless of who they are or where they live.</w:t>
      </w:r>
    </w:p>
    <w:p w14:paraId="1F5262A5" w14:textId="77777777" w:rsidR="004D065B" w:rsidRPr="004D065B" w:rsidRDefault="004D065B" w:rsidP="004D065B">
      <w:pPr>
        <w:pStyle w:val="Number"/>
        <w:numPr>
          <w:ilvl w:val="0"/>
          <w:numId w:val="34"/>
        </w:numPr>
        <w:rPr>
          <w:b/>
          <w:bCs/>
          <w:lang w:eastAsia="en-US"/>
        </w:rPr>
      </w:pPr>
      <w:r w:rsidRPr="004D065B">
        <w:rPr>
          <w:b/>
          <w:bCs/>
          <w:lang w:eastAsia="en-US"/>
        </w:rPr>
        <w:t>New Zealanders have fewer cancers.</w:t>
      </w:r>
    </w:p>
    <w:p w14:paraId="2FC738D5" w14:textId="48B31884" w:rsidR="004D065B" w:rsidRDefault="004D065B" w:rsidP="004D065B">
      <w:pPr>
        <w:pStyle w:val="Number"/>
        <w:numPr>
          <w:ilvl w:val="0"/>
          <w:numId w:val="0"/>
        </w:numPr>
        <w:ind w:left="567"/>
        <w:rPr>
          <w:lang w:eastAsia="en-US"/>
        </w:rPr>
      </w:pPr>
      <w:r>
        <w:rPr>
          <w:lang w:eastAsia="en-US"/>
        </w:rPr>
        <w:t>Investing in policies and programmes to help prevent cancer will have the most significant impact on reducing cancer in New Zealand and will ensure the delivery of equitable health outcomes for all people.</w:t>
      </w:r>
    </w:p>
    <w:p w14:paraId="4B15ABE6" w14:textId="77777777" w:rsidR="004D065B" w:rsidRPr="004D065B" w:rsidRDefault="004D065B" w:rsidP="004D065B">
      <w:pPr>
        <w:pStyle w:val="Number"/>
        <w:numPr>
          <w:ilvl w:val="0"/>
          <w:numId w:val="34"/>
        </w:numPr>
        <w:rPr>
          <w:b/>
          <w:bCs/>
          <w:lang w:eastAsia="en-US"/>
        </w:rPr>
      </w:pPr>
      <w:r w:rsidRPr="004D065B">
        <w:rPr>
          <w:b/>
          <w:bCs/>
          <w:lang w:eastAsia="en-US"/>
        </w:rPr>
        <w:t xml:space="preserve">New Zealanders have better cancer survival, supportive care, and end-of-life care. </w:t>
      </w:r>
    </w:p>
    <w:p w14:paraId="19C06E2D" w14:textId="7CCFCDC3" w:rsidR="004D065B" w:rsidRPr="004D065B" w:rsidRDefault="004D065B" w:rsidP="004D065B">
      <w:pPr>
        <w:pStyle w:val="Number"/>
        <w:numPr>
          <w:ilvl w:val="0"/>
          <w:numId w:val="0"/>
        </w:numPr>
        <w:ind w:left="567"/>
        <w:rPr>
          <w:lang w:eastAsia="en-US"/>
        </w:rPr>
      </w:pPr>
      <w:r w:rsidRPr="004D065B">
        <w:rPr>
          <w:lang w:eastAsia="en-US"/>
        </w:rPr>
        <w:t>People and whānau receive quality cancer care at the right times in ways that suit them. This care includes early detection, diagnosis, and treatment, as well as living well with cancer or end-of-life care.</w:t>
      </w:r>
    </w:p>
    <w:p w14:paraId="0816D3B0" w14:textId="77777777" w:rsidR="004D065B" w:rsidRDefault="004D065B" w:rsidP="004D065B">
      <w:pPr>
        <w:pStyle w:val="Heading4"/>
        <w:rPr>
          <w:lang w:eastAsia="en-US"/>
        </w:rPr>
      </w:pPr>
      <w:r>
        <w:rPr>
          <w:lang w:eastAsia="en-US"/>
        </w:rPr>
        <w:t>Cancer continues to be the leading cause of death across the country.</w:t>
      </w:r>
    </w:p>
    <w:p w14:paraId="6EC3CD98" w14:textId="77777777" w:rsidR="004D065B" w:rsidRDefault="004D065B" w:rsidP="004D065B">
      <w:pPr>
        <w:rPr>
          <w:lang w:eastAsia="en-US"/>
        </w:rPr>
      </w:pPr>
      <w:r>
        <w:rPr>
          <w:lang w:eastAsia="en-US"/>
        </w:rPr>
        <w:t>Each year, 9,000 people in New Zealand die of cancer, and another 27,000 are diagnosed with some form of this disease. We predict the number of people diagnosed with cancer in our country will double by 2050.</w:t>
      </w:r>
    </w:p>
    <w:p w14:paraId="68B32512" w14:textId="77777777" w:rsidR="004D065B" w:rsidRDefault="004D065B" w:rsidP="004D065B">
      <w:pPr>
        <w:pStyle w:val="Heading4"/>
        <w:rPr>
          <w:lang w:eastAsia="en-US"/>
        </w:rPr>
      </w:pPr>
      <w:r>
        <w:rPr>
          <w:lang w:eastAsia="en-US"/>
        </w:rPr>
        <w:lastRenderedPageBreak/>
        <w:t>Many people or communities continue to experience inequities in cancer outcomes.</w:t>
      </w:r>
    </w:p>
    <w:p w14:paraId="3BA21043" w14:textId="02882FEE" w:rsidR="004D065B" w:rsidRDefault="004D065B" w:rsidP="004D065B">
      <w:pPr>
        <w:pStyle w:val="Bullet"/>
        <w:rPr>
          <w:lang w:eastAsia="en-US"/>
        </w:rPr>
      </w:pPr>
      <w:r>
        <w:rPr>
          <w:lang w:eastAsia="en-US"/>
        </w:rPr>
        <w:t>Māori people are 20% more likely to be diagnosed with cancer and twice as likely to die from it compared with the rest of our population.</w:t>
      </w:r>
    </w:p>
    <w:p w14:paraId="5356A352" w14:textId="41058650" w:rsidR="004D065B" w:rsidRDefault="004D065B" w:rsidP="004D065B">
      <w:pPr>
        <w:pStyle w:val="Bullet"/>
        <w:rPr>
          <w:lang w:eastAsia="en-US"/>
        </w:rPr>
      </w:pPr>
      <w:r>
        <w:rPr>
          <w:lang w:eastAsia="en-US"/>
        </w:rPr>
        <w:t>Pacific peoples experience worse cancer survival rates and treatment outcomes than other people in New Zealand.</w:t>
      </w:r>
    </w:p>
    <w:p w14:paraId="3DC4577B" w14:textId="3CDBD37F" w:rsidR="004D065B" w:rsidRDefault="004D065B" w:rsidP="004D065B">
      <w:pPr>
        <w:pStyle w:val="Bullet"/>
        <w:rPr>
          <w:lang w:eastAsia="en-US"/>
        </w:rPr>
      </w:pPr>
      <w:r>
        <w:rPr>
          <w:lang w:eastAsia="en-US"/>
        </w:rPr>
        <w:t>Thyroid cancer rates are higher for Asian people than other ethnicities.</w:t>
      </w:r>
    </w:p>
    <w:p w14:paraId="305CE998" w14:textId="32B4C32C" w:rsidR="004D065B" w:rsidRDefault="004D065B" w:rsidP="004D065B">
      <w:pPr>
        <w:pStyle w:val="Bullet"/>
        <w:rPr>
          <w:lang w:eastAsia="en-US"/>
        </w:rPr>
      </w:pPr>
      <w:r>
        <w:rPr>
          <w:lang w:eastAsia="en-US"/>
        </w:rPr>
        <w:t>Disabled people often experience increased health risks and face a range of barriers to health care, including transport, communication issues, and access to appropriate services.</w:t>
      </w:r>
    </w:p>
    <w:p w14:paraId="777A32E0" w14:textId="14767D5F" w:rsidR="004D065B" w:rsidRDefault="004D065B" w:rsidP="004D065B">
      <w:pPr>
        <w:pStyle w:val="Bullet"/>
        <w:rPr>
          <w:lang w:eastAsia="en-US"/>
        </w:rPr>
      </w:pPr>
      <w:r>
        <w:rPr>
          <w:lang w:eastAsia="en-US"/>
        </w:rPr>
        <w:t>People living in poorer areas are more likely to be diagnosed with cancer.</w:t>
      </w:r>
    </w:p>
    <w:p w14:paraId="42CC47D0" w14:textId="77777777" w:rsidR="004D065B" w:rsidRDefault="004D065B" w:rsidP="004D065B">
      <w:pPr>
        <w:rPr>
          <w:lang w:eastAsia="en-US"/>
        </w:rPr>
      </w:pPr>
    </w:p>
    <w:p w14:paraId="25FEA03B" w14:textId="20B45FCF" w:rsidR="004D065B" w:rsidRDefault="004D065B" w:rsidP="004D065B">
      <w:pPr>
        <w:rPr>
          <w:lang w:eastAsia="en-US"/>
        </w:rPr>
      </w:pPr>
      <w:r>
        <w:rPr>
          <w:lang w:eastAsia="en-US"/>
        </w:rPr>
        <w:t>Our cancer survival rates are not keeping up with survival rates in similar countries. This can, in part, be attributed to the following factors:</w:t>
      </w:r>
    </w:p>
    <w:p w14:paraId="3455BDCB" w14:textId="3FE022FE" w:rsidR="004D065B" w:rsidRDefault="004D065B" w:rsidP="004D065B">
      <w:pPr>
        <w:pStyle w:val="Bullet"/>
        <w:rPr>
          <w:lang w:eastAsia="en-US"/>
        </w:rPr>
      </w:pPr>
      <w:r>
        <w:rPr>
          <w:lang w:eastAsia="en-US"/>
        </w:rPr>
        <w:t>An aging and growing population. (We are treating more people who are often living with multiple health conditions, or have advanced cancer, both require more complex, coordinated care and support.)</w:t>
      </w:r>
    </w:p>
    <w:p w14:paraId="585EDDBA" w14:textId="1A8BFD65" w:rsidR="004D065B" w:rsidRDefault="004D065B" w:rsidP="004D065B">
      <w:pPr>
        <w:pStyle w:val="Bullet"/>
        <w:rPr>
          <w:lang w:eastAsia="en-US"/>
        </w:rPr>
      </w:pPr>
      <w:r>
        <w:rPr>
          <w:lang w:eastAsia="en-US"/>
        </w:rPr>
        <w:t>More support and monitoring (People who survive cancer often need more complex/long-term support and monitoring.)</w:t>
      </w:r>
    </w:p>
    <w:p w14:paraId="4A6CFF43" w14:textId="62440529" w:rsidR="004D065B" w:rsidRDefault="004D065B" w:rsidP="004D065B">
      <w:pPr>
        <w:pStyle w:val="Bullet"/>
        <w:rPr>
          <w:lang w:eastAsia="en-US"/>
        </w:rPr>
      </w:pPr>
      <w:r>
        <w:rPr>
          <w:lang w:eastAsia="en-US"/>
        </w:rPr>
        <w:t>Stretched cancer and clinical workforces.</w:t>
      </w:r>
    </w:p>
    <w:p w14:paraId="52898D3F" w14:textId="5FC78F58" w:rsidR="004D065B" w:rsidRDefault="004D065B" w:rsidP="004D065B">
      <w:pPr>
        <w:pStyle w:val="Bullet"/>
        <w:rPr>
          <w:lang w:eastAsia="en-US"/>
        </w:rPr>
      </w:pPr>
      <w:r>
        <w:rPr>
          <w:lang w:eastAsia="en-US"/>
        </w:rPr>
        <w:t>Increasing costs to provide current and new medicines/treatments.</w:t>
      </w:r>
    </w:p>
    <w:p w14:paraId="14CE544A" w14:textId="7954BF17" w:rsidR="004D065B" w:rsidRDefault="004D065B" w:rsidP="004D065B">
      <w:pPr>
        <w:pStyle w:val="Bullet"/>
        <w:rPr>
          <w:lang w:eastAsia="en-US"/>
        </w:rPr>
      </w:pPr>
      <w:r>
        <w:rPr>
          <w:lang w:eastAsia="en-US"/>
        </w:rPr>
        <w:t>Rapidly changing technologies, treatments,</w:t>
      </w:r>
      <w:r w:rsidRPr="004D065B">
        <w:t xml:space="preserve"> </w:t>
      </w:r>
      <w:r>
        <w:rPr>
          <w:lang w:eastAsia="en-US"/>
        </w:rPr>
        <w:t>and medicines, which may require additional qualified staff and spaces to deliver.</w:t>
      </w:r>
    </w:p>
    <w:p w14:paraId="4A84527B" w14:textId="77777777" w:rsidR="004D065B" w:rsidRDefault="004D065B" w:rsidP="004D065B">
      <w:pPr>
        <w:pStyle w:val="Bullet"/>
        <w:rPr>
          <w:lang w:eastAsia="en-US"/>
        </w:rPr>
      </w:pPr>
      <w:r>
        <w:rPr>
          <w:lang w:eastAsia="en-US"/>
        </w:rPr>
        <w:t>Inequitable access to cancer services and screening, as well as socio-economic inequities.</w:t>
      </w:r>
    </w:p>
    <w:p w14:paraId="0F08470B" w14:textId="533A9774" w:rsidR="004D065B" w:rsidRDefault="004D065B" w:rsidP="004D065B">
      <w:pPr>
        <w:pStyle w:val="Bullet"/>
        <w:rPr>
          <w:lang w:eastAsia="en-US"/>
        </w:rPr>
      </w:pPr>
      <w:r>
        <w:rPr>
          <w:lang w:eastAsia="en-US"/>
        </w:rPr>
        <w:t>Changes across the key health organisations following the health reforms.</w:t>
      </w:r>
    </w:p>
    <w:p w14:paraId="4B9A2179" w14:textId="77777777" w:rsidR="004D065B" w:rsidRDefault="004D065B" w:rsidP="007D7A9C">
      <w:pPr>
        <w:pStyle w:val="Bullet"/>
        <w:numPr>
          <w:ilvl w:val="0"/>
          <w:numId w:val="0"/>
        </w:numPr>
        <w:rPr>
          <w:lang w:eastAsia="en-US"/>
        </w:rPr>
      </w:pPr>
    </w:p>
    <w:p w14:paraId="73030CCD" w14:textId="77777777" w:rsidR="004D065B" w:rsidRDefault="004D065B" w:rsidP="007D7A9C">
      <w:pPr>
        <w:rPr>
          <w:lang w:eastAsia="en-US"/>
        </w:rPr>
      </w:pPr>
      <w:r>
        <w:rPr>
          <w:lang w:eastAsia="en-US"/>
        </w:rPr>
        <w:t>We support and unite the wider health system by:</w:t>
      </w:r>
    </w:p>
    <w:p w14:paraId="570EF940" w14:textId="7AAEDC28" w:rsidR="004D065B" w:rsidRDefault="004D065B" w:rsidP="004D065B">
      <w:pPr>
        <w:pStyle w:val="Bullet"/>
        <w:rPr>
          <w:lang w:eastAsia="en-US"/>
        </w:rPr>
      </w:pPr>
      <w:r>
        <w:rPr>
          <w:lang w:eastAsia="en-US"/>
        </w:rPr>
        <w:t>providing and coordinating advice to the government on the design and function of cancer services and addressing service issues or opportunities</w:t>
      </w:r>
    </w:p>
    <w:p w14:paraId="747CF1ED" w14:textId="1F05720A" w:rsidR="004D065B" w:rsidRDefault="004D065B" w:rsidP="004D065B">
      <w:pPr>
        <w:pStyle w:val="Bullet"/>
        <w:rPr>
          <w:lang w:eastAsia="en-US"/>
        </w:rPr>
      </w:pPr>
      <w:r>
        <w:rPr>
          <w:lang w:eastAsia="en-US"/>
        </w:rPr>
        <w:t xml:space="preserve">maintaining strong partnerships with key health organisations that work across cancer prevention, care, and </w:t>
      </w:r>
      <w:proofErr w:type="gramStart"/>
      <w:r>
        <w:rPr>
          <w:lang w:eastAsia="en-US"/>
        </w:rPr>
        <w:t>treatment</w:t>
      </w:r>
      <w:proofErr w:type="gramEnd"/>
    </w:p>
    <w:p w14:paraId="7859FD97" w14:textId="5EF90B8C" w:rsidR="004D065B" w:rsidRDefault="004D065B" w:rsidP="004D065B">
      <w:pPr>
        <w:pStyle w:val="Bullet"/>
        <w:rPr>
          <w:lang w:eastAsia="en-US"/>
        </w:rPr>
      </w:pPr>
      <w:r>
        <w:rPr>
          <w:lang w:eastAsia="en-US"/>
        </w:rPr>
        <w:t xml:space="preserve">bringing together sector stakeholders to progress and achieve shared </w:t>
      </w:r>
      <w:proofErr w:type="gramStart"/>
      <w:r>
        <w:rPr>
          <w:lang w:eastAsia="en-US"/>
        </w:rPr>
        <w:t>objectives</w:t>
      </w:r>
      <w:proofErr w:type="gramEnd"/>
    </w:p>
    <w:p w14:paraId="2F628AA9" w14:textId="21B70241" w:rsidR="004D065B" w:rsidRDefault="004D065B" w:rsidP="004D065B">
      <w:pPr>
        <w:pStyle w:val="Bullet"/>
        <w:rPr>
          <w:lang w:eastAsia="en-US"/>
        </w:rPr>
      </w:pPr>
      <w:r>
        <w:rPr>
          <w:lang w:eastAsia="en-US"/>
        </w:rPr>
        <w:t xml:space="preserve">leading or coordinating national initiatives to improve cancer </w:t>
      </w:r>
      <w:proofErr w:type="gramStart"/>
      <w:r>
        <w:rPr>
          <w:lang w:eastAsia="en-US"/>
        </w:rPr>
        <w:t>outcomes</w:t>
      </w:r>
      <w:proofErr w:type="gramEnd"/>
    </w:p>
    <w:p w14:paraId="726E3229" w14:textId="5118B01A" w:rsidR="004D065B" w:rsidRDefault="004D065B" w:rsidP="004D065B">
      <w:pPr>
        <w:pStyle w:val="Bullet"/>
        <w:rPr>
          <w:lang w:eastAsia="en-US"/>
        </w:rPr>
      </w:pPr>
      <w:r>
        <w:rPr>
          <w:lang w:eastAsia="en-US"/>
        </w:rPr>
        <w:t xml:space="preserve">collating and sharing cancer data to inform decisions and improve service </w:t>
      </w:r>
      <w:proofErr w:type="gramStart"/>
      <w:r>
        <w:rPr>
          <w:lang w:eastAsia="en-US"/>
        </w:rPr>
        <w:t>delivery</w:t>
      </w:r>
      <w:proofErr w:type="gramEnd"/>
    </w:p>
    <w:p w14:paraId="088734A7" w14:textId="6291F55A" w:rsidR="004D065B" w:rsidRDefault="004D065B" w:rsidP="004D065B">
      <w:pPr>
        <w:pStyle w:val="Bullet"/>
        <w:rPr>
          <w:lang w:eastAsia="en-US"/>
        </w:rPr>
      </w:pPr>
      <w:r>
        <w:rPr>
          <w:lang w:eastAsia="en-US"/>
        </w:rPr>
        <w:t>supporting cancer services when a service is, or is likely to be, disrupted or is not meeting demand or expectations.</w:t>
      </w:r>
    </w:p>
    <w:p w14:paraId="141EF1B4" w14:textId="77777777" w:rsidR="007D7A9C" w:rsidRDefault="007D7A9C" w:rsidP="007D7A9C">
      <w:pPr>
        <w:rPr>
          <w:lang w:eastAsia="en-US"/>
        </w:rPr>
      </w:pPr>
    </w:p>
    <w:p w14:paraId="5F0BD8D7" w14:textId="022B3094" w:rsidR="004D065B" w:rsidRDefault="004D065B" w:rsidP="007D7A9C">
      <w:pPr>
        <w:rPr>
          <w:lang w:eastAsia="en-US"/>
        </w:rPr>
      </w:pPr>
      <w:r>
        <w:rPr>
          <w:lang w:eastAsia="en-US"/>
        </w:rPr>
        <w:t xml:space="preserve">Key partner agencies consult us on activities they lead within the cancer </w:t>
      </w:r>
      <w:proofErr w:type="gramStart"/>
      <w:r>
        <w:rPr>
          <w:lang w:eastAsia="en-US"/>
        </w:rPr>
        <w:t>system</w:t>
      </w:r>
      <w:proofErr w:type="gramEnd"/>
      <w:r>
        <w:rPr>
          <w:lang w:eastAsia="en-US"/>
        </w:rPr>
        <w:t xml:space="preserve"> and we often work together to produce joint advice. For more information, see Ngā hoamahi – Our partners.</w:t>
      </w:r>
    </w:p>
    <w:p w14:paraId="4DF35B5B" w14:textId="77777777" w:rsidR="007D7A9C" w:rsidRDefault="007D7A9C" w:rsidP="007D7A9C">
      <w:pPr>
        <w:rPr>
          <w:lang w:eastAsia="en-US"/>
        </w:rPr>
      </w:pPr>
    </w:p>
    <w:p w14:paraId="7DAC238F" w14:textId="77777777" w:rsidR="007D7A9C" w:rsidRDefault="007D7A9C" w:rsidP="007D7A9C">
      <w:pPr>
        <w:rPr>
          <w:lang w:eastAsia="en-US"/>
        </w:rPr>
      </w:pPr>
    </w:p>
    <w:p w14:paraId="72A1F26E" w14:textId="77777777" w:rsidR="004D065B" w:rsidRDefault="004D065B" w:rsidP="007D7A9C">
      <w:pPr>
        <w:rPr>
          <w:lang w:eastAsia="en-US"/>
        </w:rPr>
      </w:pPr>
      <w:r>
        <w:rPr>
          <w:lang w:eastAsia="en-US"/>
        </w:rPr>
        <w:lastRenderedPageBreak/>
        <w:t>In the year from 1 July 2023 to 30 June 2024 we reset our agency’s structure and how we work to lead and unite the cancer control work within the reformed health system. The cancer sector is making steady progress towards achieving the goals of the Cancer Action Plan. Having an</w:t>
      </w:r>
      <w:r w:rsidR="007D7A9C">
        <w:rPr>
          <w:lang w:eastAsia="en-US"/>
        </w:rPr>
        <w:t xml:space="preserve"> </w:t>
      </w:r>
      <w:r>
        <w:rPr>
          <w:lang w:eastAsia="en-US"/>
        </w:rPr>
        <w:t>agency that is solely focused on cancer within the health sector remains critical to reduce cancer incidence, improve survival rates and provide equitable, quality cancer care to those who need it. International studies confirm that countries with a dedicated cancer control agency deliver better cancer outcomes, compared with those where cancer control is one function of a wider health organisation.</w:t>
      </w:r>
    </w:p>
    <w:p w14:paraId="6290FC0E" w14:textId="452FF8E9" w:rsidR="007D7A9C" w:rsidRPr="00386646" w:rsidRDefault="007D7A9C" w:rsidP="00386646">
      <w:pPr>
        <w:pStyle w:val="Heading2"/>
      </w:pPr>
      <w:bookmarkStart w:id="62" w:name="_Toc180077057"/>
      <w:r w:rsidRPr="00386646">
        <w:t xml:space="preserve">Ngā hoamahi </w:t>
      </w:r>
      <w:r w:rsidR="002A6794">
        <w:t>–</w:t>
      </w:r>
      <w:r w:rsidRPr="00386646">
        <w:t xml:space="preserve"> Our partners</w:t>
      </w:r>
      <w:bookmarkEnd w:id="62"/>
    </w:p>
    <w:p w14:paraId="6F228345" w14:textId="49201496" w:rsidR="007D7A9C" w:rsidRDefault="007D7A9C" w:rsidP="007D7A9C">
      <w:pPr>
        <w:rPr>
          <w:lang w:eastAsia="en-US"/>
        </w:rPr>
      </w:pPr>
      <w:r>
        <w:rPr>
          <w:lang w:eastAsia="en-US"/>
        </w:rPr>
        <w:t>We partner with a range of government and non-governmental organisations and advisory groups on improving cancer outcomes for all people. Our partners provide invaluable advice, insights and connections that inform our work, advice and understanding of the wider health and disability system.</w:t>
      </w:r>
    </w:p>
    <w:p w14:paraId="6EC2AB10" w14:textId="77777777" w:rsidR="007D7A9C" w:rsidRDefault="007D7A9C" w:rsidP="007D7A9C">
      <w:pPr>
        <w:rPr>
          <w:lang w:eastAsia="en-US"/>
        </w:rPr>
      </w:pPr>
    </w:p>
    <w:p w14:paraId="78435146" w14:textId="051F4C6A" w:rsidR="007D7A9C" w:rsidRDefault="007D7A9C" w:rsidP="007D7A9C">
      <w:pPr>
        <w:rPr>
          <w:lang w:eastAsia="en-US"/>
        </w:rPr>
      </w:pPr>
      <w:r>
        <w:rPr>
          <w:lang w:eastAsia="en-US"/>
        </w:rPr>
        <w:t>Figure 1 shows the work we are involved in and where we collaborate with key stakeholders across all aspects across the cancer continuum.</w:t>
      </w:r>
    </w:p>
    <w:p w14:paraId="1CC33B21" w14:textId="77777777" w:rsidR="007D7A9C" w:rsidRDefault="007D7A9C" w:rsidP="007D7A9C">
      <w:pPr>
        <w:rPr>
          <w:lang w:eastAsia="en-US"/>
        </w:rPr>
      </w:pPr>
    </w:p>
    <w:p w14:paraId="07927318" w14:textId="3812C9E4" w:rsidR="007D7A9C" w:rsidRDefault="007D7A9C" w:rsidP="007D7A9C">
      <w:pPr>
        <w:rPr>
          <w:lang w:eastAsia="en-US"/>
        </w:rPr>
      </w:pPr>
      <w:r>
        <w:rPr>
          <w:noProof/>
        </w:rPr>
        <w:drawing>
          <wp:inline distT="0" distB="0" distL="0" distR="0" wp14:anchorId="73D2446B" wp14:editId="652646EC">
            <wp:extent cx="5120871" cy="4665133"/>
            <wp:effectExtent l="0" t="0" r="3810" b="254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5152158" cy="4693636"/>
                    </a:xfrm>
                    <a:prstGeom prst="rect">
                      <a:avLst/>
                    </a:prstGeom>
                  </pic:spPr>
                </pic:pic>
              </a:graphicData>
            </a:graphic>
          </wp:inline>
        </w:drawing>
      </w:r>
    </w:p>
    <w:p w14:paraId="5195FB30" w14:textId="77777777" w:rsidR="007A51DA" w:rsidRPr="00704067" w:rsidRDefault="007A51DA" w:rsidP="00704067">
      <w:pPr>
        <w:spacing w:before="120"/>
        <w:rPr>
          <w:b/>
          <w:bCs/>
          <w:sz w:val="20"/>
          <w:szCs w:val="18"/>
          <w:lang w:eastAsia="en-US"/>
        </w:rPr>
      </w:pPr>
      <w:r w:rsidRPr="00704067">
        <w:rPr>
          <w:b/>
          <w:bCs/>
          <w:sz w:val="20"/>
          <w:szCs w:val="18"/>
          <w:lang w:eastAsia="en-US"/>
        </w:rPr>
        <w:t xml:space="preserve">Figure 1: The relationship of agencies involved in specific areas of cancer </w:t>
      </w:r>
      <w:proofErr w:type="gramStart"/>
      <w:r w:rsidRPr="00704067">
        <w:rPr>
          <w:b/>
          <w:bCs/>
          <w:sz w:val="20"/>
          <w:szCs w:val="18"/>
          <w:lang w:eastAsia="en-US"/>
        </w:rPr>
        <w:t>control</w:t>
      </w:r>
      <w:proofErr w:type="gramEnd"/>
    </w:p>
    <w:p w14:paraId="43D8071F" w14:textId="77777777" w:rsidR="007A51DA" w:rsidRDefault="007A51DA" w:rsidP="007D7A9C">
      <w:pPr>
        <w:rPr>
          <w:lang w:eastAsia="en-US"/>
        </w:rPr>
      </w:pPr>
    </w:p>
    <w:p w14:paraId="7532222A" w14:textId="52C7DACB" w:rsidR="007D7A9C" w:rsidRDefault="007D7A9C" w:rsidP="007D7A9C">
      <w:pPr>
        <w:rPr>
          <w:lang w:eastAsia="en-US"/>
        </w:rPr>
      </w:pPr>
      <w:r w:rsidRPr="007D7A9C">
        <w:rPr>
          <w:lang w:eastAsia="en-US"/>
        </w:rPr>
        <w:lastRenderedPageBreak/>
        <w:t>We also work closely with Te Tāhū Hauora Health Quality &amp; Safety Commission New Zealand on the quality improvement and safety of cancer services.</w:t>
      </w:r>
    </w:p>
    <w:p w14:paraId="58217D21" w14:textId="1F1DBD97" w:rsidR="007D7A9C" w:rsidRDefault="007D7A9C" w:rsidP="007D7A9C">
      <w:pPr>
        <w:rPr>
          <w:lang w:eastAsia="en-US"/>
        </w:rPr>
      </w:pPr>
    </w:p>
    <w:p w14:paraId="44A9CB8E" w14:textId="5D30E92A" w:rsidR="007D7A9C" w:rsidRDefault="007D7A9C" w:rsidP="007D7A9C">
      <w:pPr>
        <w:rPr>
          <w:lang w:eastAsia="en-US"/>
        </w:rPr>
      </w:pPr>
      <w:r w:rsidRPr="007D7A9C">
        <w:rPr>
          <w:lang w:eastAsia="en-US"/>
        </w:rPr>
        <w:t>We collaborate with Hei Āhuru Mōwai Cancer Leadership Aotearoa (Hei Āhuru Mōwai) on agreed strategic work and projects focused on improving Māori cancer outcomes. We also support their leadership and rangatiratanga through operational and project funding.</w:t>
      </w:r>
    </w:p>
    <w:p w14:paraId="0CC1682A" w14:textId="77777777" w:rsidR="005E645F" w:rsidRDefault="005E645F" w:rsidP="007D7A9C">
      <w:pPr>
        <w:rPr>
          <w:lang w:eastAsia="en-US"/>
        </w:rPr>
      </w:pPr>
    </w:p>
    <w:p w14:paraId="33AC8E7F" w14:textId="4CF55E86" w:rsidR="007D7A9C" w:rsidRDefault="007D7A9C" w:rsidP="007D7A9C">
      <w:pPr>
        <w:rPr>
          <w:lang w:eastAsia="en-US"/>
        </w:rPr>
      </w:pPr>
      <w:r>
        <w:rPr>
          <w:lang w:eastAsia="en-US"/>
        </w:rPr>
        <w:t>Hei Āhuru Mōwai members sit on other key advisory and working groups, providing strategic input to our work programme direction, targeted advice towards achieving equitable cancer outcomes for Māori, access to Māori cancer expertise and support for developing Māori capability across our organisation.</w:t>
      </w:r>
    </w:p>
    <w:p w14:paraId="7C38162A" w14:textId="77777777" w:rsidR="005E645F" w:rsidRDefault="005E645F" w:rsidP="007D7A9C">
      <w:pPr>
        <w:rPr>
          <w:lang w:eastAsia="en-US"/>
        </w:rPr>
      </w:pPr>
    </w:p>
    <w:p w14:paraId="7DE363BE" w14:textId="0EB74125" w:rsidR="007D7A9C" w:rsidRDefault="007D7A9C" w:rsidP="007D7A9C">
      <w:pPr>
        <w:rPr>
          <w:lang w:eastAsia="en-US"/>
        </w:rPr>
      </w:pPr>
      <w:r>
        <w:rPr>
          <w:lang w:eastAsia="en-US"/>
        </w:rPr>
        <w:t>We are indebted to Hei Āhuru Mōwai for gifting our agency a precious taonga - our te reo Māori name. Te Aho o Te Kahu means ‘</w:t>
      </w:r>
      <w:r w:rsidRPr="005E645F">
        <w:rPr>
          <w:b/>
          <w:bCs/>
          <w:lang w:eastAsia="en-US"/>
        </w:rPr>
        <w:t>the central thread of the cloak’</w:t>
      </w:r>
      <w:r>
        <w:rPr>
          <w:lang w:eastAsia="en-US"/>
        </w:rPr>
        <w:t>. The aho or thread binds the many whenu (strands) into one kahu (cloak) to protect people and whānau affected by cancer. This name reflects our role in the cancer system rather than being a translation of ‘cancer control agency’, which is why we use both terms in our branding.</w:t>
      </w:r>
    </w:p>
    <w:p w14:paraId="274AF3E5" w14:textId="77777777" w:rsidR="005E645F" w:rsidRDefault="005E645F" w:rsidP="007D7A9C">
      <w:pPr>
        <w:rPr>
          <w:lang w:eastAsia="en-US"/>
        </w:rPr>
      </w:pPr>
    </w:p>
    <w:p w14:paraId="1776666A" w14:textId="77777777" w:rsidR="007D7A9C" w:rsidRDefault="007D7A9C" w:rsidP="007D7A9C">
      <w:pPr>
        <w:rPr>
          <w:lang w:eastAsia="en-US"/>
        </w:rPr>
      </w:pPr>
      <w:r>
        <w:rPr>
          <w:lang w:eastAsia="en-US"/>
        </w:rPr>
        <w:t>We thank outgoing Tumuaki Chief Executive of Hei Āhuru Mōwai Cindy Dargaville</w:t>
      </w:r>
    </w:p>
    <w:p w14:paraId="3443A3AF" w14:textId="017B6EAA" w:rsidR="007D7A9C" w:rsidRDefault="007D7A9C" w:rsidP="007D7A9C">
      <w:pPr>
        <w:rPr>
          <w:lang w:eastAsia="en-US"/>
        </w:rPr>
      </w:pPr>
      <w:r>
        <w:rPr>
          <w:lang w:eastAsia="en-US"/>
        </w:rPr>
        <w:t>(Ngāti Maniapoto, Waikato, Te Rarawa) for the strong relationship we had developed over the past year.</w:t>
      </w:r>
    </w:p>
    <w:p w14:paraId="77511465" w14:textId="77777777" w:rsidR="005E645F" w:rsidRDefault="005E645F" w:rsidP="007D7A9C">
      <w:pPr>
        <w:rPr>
          <w:lang w:eastAsia="en-US"/>
        </w:rPr>
      </w:pPr>
    </w:p>
    <w:p w14:paraId="21EB4CBD" w14:textId="7C886013" w:rsidR="007D7A9C" w:rsidRDefault="007D7A9C" w:rsidP="007D7A9C">
      <w:pPr>
        <w:rPr>
          <w:lang w:eastAsia="en-US"/>
        </w:rPr>
      </w:pPr>
      <w:r w:rsidRPr="005E645F">
        <w:rPr>
          <w:b/>
          <w:bCs/>
          <w:lang w:eastAsia="en-US"/>
        </w:rPr>
        <w:t>He Ara Tangata</w:t>
      </w:r>
      <w:r>
        <w:rPr>
          <w:lang w:eastAsia="en-US"/>
        </w:rPr>
        <w:t xml:space="preserve"> our Consumer Reference Group provides advice and solutions from a lived- experience perspective. Members are embedded in projects across our work programme to ensure consumers’ voices are reflected in our mahi. To support our commitment to Te Tiriti of Waitangi (Te Tiriti), He Ara Tangata is led by Māori chair with 50% Māori membership.</w:t>
      </w:r>
    </w:p>
    <w:p w14:paraId="16DAA82C" w14:textId="77777777" w:rsidR="005E645F" w:rsidRDefault="005E645F" w:rsidP="007D7A9C">
      <w:pPr>
        <w:rPr>
          <w:lang w:eastAsia="en-US"/>
        </w:rPr>
      </w:pPr>
    </w:p>
    <w:p w14:paraId="5AEBB22B" w14:textId="5D726FC8" w:rsidR="007D7A9C" w:rsidRDefault="007D7A9C" w:rsidP="007D7A9C">
      <w:pPr>
        <w:rPr>
          <w:lang w:eastAsia="en-US"/>
        </w:rPr>
      </w:pPr>
      <w:r>
        <w:rPr>
          <w:lang w:eastAsia="en-US"/>
        </w:rPr>
        <w:t xml:space="preserve">The </w:t>
      </w:r>
      <w:r w:rsidRPr="005E645F">
        <w:rPr>
          <w:b/>
          <w:bCs/>
          <w:lang w:eastAsia="en-US"/>
        </w:rPr>
        <w:t>National Clinical Assembly</w:t>
      </w:r>
      <w:r>
        <w:rPr>
          <w:lang w:eastAsia="en-US"/>
        </w:rPr>
        <w:t xml:space="preserve"> provides clinical advice to support our long-term strategic direction for reducing cancer incidence and improving the cancer care system. Clinicians representing a broad range of cancer-related medical, nursing, and allied health specialities are members of the assembly.</w:t>
      </w:r>
    </w:p>
    <w:p w14:paraId="0A3736A8" w14:textId="77777777" w:rsidR="005E645F" w:rsidRDefault="005E645F" w:rsidP="007D7A9C">
      <w:pPr>
        <w:rPr>
          <w:lang w:eastAsia="en-US"/>
        </w:rPr>
      </w:pPr>
    </w:p>
    <w:p w14:paraId="1F1F0EB7" w14:textId="03388D32" w:rsidR="007D7A9C" w:rsidRDefault="007D7A9C" w:rsidP="007D7A9C">
      <w:pPr>
        <w:rPr>
          <w:lang w:eastAsia="en-US"/>
        </w:rPr>
      </w:pPr>
      <w:r>
        <w:rPr>
          <w:lang w:eastAsia="en-US"/>
        </w:rPr>
        <w:t xml:space="preserve">The </w:t>
      </w:r>
      <w:r w:rsidRPr="005E645F">
        <w:rPr>
          <w:b/>
          <w:bCs/>
          <w:lang w:eastAsia="en-US"/>
        </w:rPr>
        <w:t>National Child Cancer Network New Zealand and Adolescent and Young Adult Cancer Network Aotearoa</w:t>
      </w:r>
      <w:r>
        <w:rPr>
          <w:lang w:eastAsia="en-US"/>
        </w:rPr>
        <w:t xml:space="preserve"> are contracted organisations who care for children and young people with cancer. We collaborate on their work programmes, discuss progress and issues, and provide support on delivery.</w:t>
      </w:r>
    </w:p>
    <w:p w14:paraId="2B8D798D" w14:textId="77777777" w:rsidR="005E645F" w:rsidRDefault="005E645F" w:rsidP="007D7A9C">
      <w:pPr>
        <w:rPr>
          <w:lang w:eastAsia="en-US"/>
        </w:rPr>
      </w:pPr>
    </w:p>
    <w:p w14:paraId="4A356B09" w14:textId="6D7CED84" w:rsidR="007D7A9C" w:rsidRDefault="007D7A9C" w:rsidP="007D7A9C">
      <w:pPr>
        <w:rPr>
          <w:lang w:eastAsia="en-US"/>
        </w:rPr>
      </w:pPr>
      <w:r w:rsidRPr="005E645F">
        <w:rPr>
          <w:b/>
          <w:bCs/>
          <w:lang w:eastAsia="en-US"/>
        </w:rPr>
        <w:t>Working and other advisory groups</w:t>
      </w:r>
      <w:r>
        <w:rPr>
          <w:lang w:eastAsia="en-US"/>
        </w:rPr>
        <w:t>. We engage regularly with three primary clinical working groups - Medical Oncology, Radiation Oncology and Haematology. Their expertise informs our agency’s work and maintains our connections with regions and districts. We also meet with more than 200 health professionals via a range of time-limited advisory groups, on specific subjects as needed.</w:t>
      </w:r>
    </w:p>
    <w:p w14:paraId="6CB0C2E2" w14:textId="54314186" w:rsidR="005E645F" w:rsidRDefault="005E645F" w:rsidP="007D7A9C">
      <w:pPr>
        <w:rPr>
          <w:lang w:eastAsia="en-US"/>
        </w:rPr>
      </w:pPr>
    </w:p>
    <w:p w14:paraId="0AEB123D" w14:textId="3C272FC2" w:rsidR="005E645F" w:rsidRDefault="005E645F" w:rsidP="005E645F">
      <w:pPr>
        <w:rPr>
          <w:lang w:eastAsia="en-US"/>
        </w:rPr>
      </w:pPr>
      <w:r>
        <w:rPr>
          <w:lang w:eastAsia="en-US"/>
        </w:rPr>
        <w:t>We also engage with a wide array of other government entities, sector groups, programmes, and projects as part of being ‘Te Aho’ across the cancer system, including:</w:t>
      </w:r>
    </w:p>
    <w:p w14:paraId="77276B00" w14:textId="7FB29A0A" w:rsidR="005E645F" w:rsidRDefault="005E645F" w:rsidP="005E645F">
      <w:pPr>
        <w:pStyle w:val="Bullet"/>
        <w:rPr>
          <w:lang w:eastAsia="en-US"/>
        </w:rPr>
      </w:pPr>
      <w:r>
        <w:rPr>
          <w:lang w:eastAsia="en-US"/>
        </w:rPr>
        <w:t>whānau with lived experience of cancer</w:t>
      </w:r>
    </w:p>
    <w:p w14:paraId="3E40CBB9" w14:textId="1B99AC18" w:rsidR="005E645F" w:rsidRDefault="005E645F" w:rsidP="005E645F">
      <w:pPr>
        <w:pStyle w:val="Bullet"/>
        <w:rPr>
          <w:lang w:eastAsia="en-US"/>
        </w:rPr>
      </w:pPr>
      <w:r>
        <w:rPr>
          <w:lang w:eastAsia="en-US"/>
        </w:rPr>
        <w:lastRenderedPageBreak/>
        <w:t>iwi and Māori organisations and service providers</w:t>
      </w:r>
    </w:p>
    <w:p w14:paraId="56D44143" w14:textId="51E5CC91" w:rsidR="005E645F" w:rsidRDefault="005E645F" w:rsidP="005E645F">
      <w:pPr>
        <w:pStyle w:val="Bullet"/>
        <w:rPr>
          <w:lang w:eastAsia="en-US"/>
        </w:rPr>
      </w:pPr>
      <w:r>
        <w:rPr>
          <w:lang w:eastAsia="en-US"/>
        </w:rPr>
        <w:t>Pacific organisations and service providers</w:t>
      </w:r>
    </w:p>
    <w:p w14:paraId="27D88501" w14:textId="435AF67C" w:rsidR="005E645F" w:rsidRDefault="005E645F" w:rsidP="005E645F">
      <w:pPr>
        <w:pStyle w:val="Bullet"/>
        <w:rPr>
          <w:lang w:eastAsia="en-US"/>
        </w:rPr>
      </w:pPr>
      <w:r>
        <w:rPr>
          <w:lang w:eastAsia="en-US"/>
        </w:rPr>
        <w:t>government organisations including: Whaikaha – Ministry of Disabled People; Ministry for Ethnic Communities – Te Tari Mātāwaka; Health and Disability Commissioner – Te Toihau Hauora, Hauātanga; and Health Research Council</w:t>
      </w:r>
    </w:p>
    <w:p w14:paraId="38732CCA" w14:textId="3480EBEE" w:rsidR="005E645F" w:rsidRDefault="005E645F" w:rsidP="005E645F">
      <w:pPr>
        <w:pStyle w:val="Bullet"/>
        <w:rPr>
          <w:lang w:eastAsia="en-US"/>
        </w:rPr>
      </w:pPr>
      <w:r>
        <w:rPr>
          <w:lang w:eastAsia="en-US"/>
        </w:rPr>
        <w:t>clinicians (in the Clinical Assembly and specialised clinical working groups)</w:t>
      </w:r>
    </w:p>
    <w:p w14:paraId="358A086A" w14:textId="6A109DC4" w:rsidR="005E645F" w:rsidRDefault="005E645F" w:rsidP="005E645F">
      <w:pPr>
        <w:pStyle w:val="Bullet"/>
        <w:rPr>
          <w:lang w:eastAsia="en-US"/>
        </w:rPr>
      </w:pPr>
      <w:r>
        <w:rPr>
          <w:lang w:eastAsia="en-US"/>
        </w:rPr>
        <w:t>research/academic institutions: University of Otago (including the Surgical Cancer Research Group), University of Auckland (Waipapa Taumata Rau) and The University of Queensland, Australia</w:t>
      </w:r>
    </w:p>
    <w:p w14:paraId="0B71ABD8" w14:textId="6D1CE2AA" w:rsidR="005E645F" w:rsidRDefault="005E645F" w:rsidP="005E645F">
      <w:pPr>
        <w:pStyle w:val="Bullet"/>
        <w:rPr>
          <w:lang w:eastAsia="en-US"/>
        </w:rPr>
      </w:pPr>
      <w:r>
        <w:rPr>
          <w:lang w:eastAsia="en-US"/>
        </w:rPr>
        <w:t>international organisations including Cancer Australia, CPAC (Canadian Partnership Against Cancer) and we have and will continue to participate in the International Cancer Benchmarking Partnership, spearheaded by Cancer Research UK</w:t>
      </w:r>
    </w:p>
    <w:p w14:paraId="22DA2F13" w14:textId="47F17569" w:rsidR="005E645F" w:rsidRDefault="005E645F" w:rsidP="005E645F">
      <w:pPr>
        <w:pStyle w:val="Bullet"/>
        <w:rPr>
          <w:lang w:eastAsia="en-US"/>
        </w:rPr>
      </w:pPr>
      <w:r>
        <w:rPr>
          <w:lang w:eastAsia="en-US"/>
        </w:rPr>
        <w:t>Cancer Non-Governmental Organisations (CANGO)</w:t>
      </w:r>
    </w:p>
    <w:p w14:paraId="00ABA167" w14:textId="1E69E578" w:rsidR="005E645F" w:rsidRDefault="005E645F" w:rsidP="005E645F">
      <w:pPr>
        <w:pStyle w:val="Bullet"/>
        <w:rPr>
          <w:lang w:eastAsia="en-US"/>
        </w:rPr>
      </w:pPr>
      <w:r>
        <w:rPr>
          <w:lang w:eastAsia="en-US"/>
        </w:rPr>
        <w:t>peak and professional bodies, including Royal Australasian College of Surgeons and Cancer Nurses College</w:t>
      </w:r>
    </w:p>
    <w:p w14:paraId="5F94E5EA" w14:textId="5DDB7AEA" w:rsidR="005E645F" w:rsidRPr="00386646" w:rsidRDefault="005E645F" w:rsidP="00386646">
      <w:pPr>
        <w:pStyle w:val="Heading2"/>
      </w:pPr>
      <w:bookmarkStart w:id="63" w:name="_Toc180077058"/>
      <w:r w:rsidRPr="00386646">
        <w:t xml:space="preserve">Anei mātou </w:t>
      </w:r>
      <w:r w:rsidR="00DA365D">
        <w:t>–</w:t>
      </w:r>
      <w:r w:rsidRPr="00386646">
        <w:t xml:space="preserve"> Who we </w:t>
      </w:r>
      <w:proofErr w:type="gramStart"/>
      <w:r w:rsidRPr="00386646">
        <w:t>are</w:t>
      </w:r>
      <w:bookmarkEnd w:id="63"/>
      <w:proofErr w:type="gramEnd"/>
    </w:p>
    <w:p w14:paraId="2573716E" w14:textId="383A5813" w:rsidR="005E645F" w:rsidRDefault="005E645F" w:rsidP="005E645F">
      <w:pPr>
        <w:rPr>
          <w:lang w:eastAsia="en-US"/>
        </w:rPr>
      </w:pPr>
      <w:r>
        <w:rPr>
          <w:lang w:eastAsia="en-US"/>
        </w:rPr>
        <w:t>In July 2023, we welcomed our new Tumuaki (Chief Executive) Rami Rahal to the agency. Rami moved from Canada bringing with him over 30 years of health system leadership experience and dedication to improving outcomes for people affected by cancer, particularly indigenous communities.</w:t>
      </w:r>
    </w:p>
    <w:p w14:paraId="315194B7" w14:textId="77777777" w:rsidR="005E645F" w:rsidRDefault="005E645F" w:rsidP="005E645F">
      <w:pPr>
        <w:rPr>
          <w:lang w:eastAsia="en-US"/>
        </w:rPr>
      </w:pPr>
    </w:p>
    <w:p w14:paraId="58D35DA1" w14:textId="21C2F2B8" w:rsidR="005E645F" w:rsidRDefault="005E645F" w:rsidP="005E645F">
      <w:pPr>
        <w:rPr>
          <w:lang w:eastAsia="en-US"/>
        </w:rPr>
      </w:pPr>
      <w:r>
        <w:rPr>
          <w:lang w:eastAsia="en-US"/>
        </w:rPr>
        <w:t>In his first few months Rami focused on meeting our kaimahi, key partners, advisory groups and the regional cancer services and people they care for, to understand the broader cancer system, and the challenges and opportunities ahead.</w:t>
      </w:r>
    </w:p>
    <w:p w14:paraId="4EE64633" w14:textId="77777777" w:rsidR="005E645F" w:rsidRDefault="005E645F" w:rsidP="005E645F">
      <w:pPr>
        <w:rPr>
          <w:lang w:eastAsia="en-US"/>
        </w:rPr>
      </w:pPr>
    </w:p>
    <w:p w14:paraId="3FBBCD11" w14:textId="77777777" w:rsidR="005E645F" w:rsidRDefault="005E645F" w:rsidP="005E645F">
      <w:pPr>
        <w:rPr>
          <w:lang w:eastAsia="en-US"/>
        </w:rPr>
      </w:pPr>
      <w:r>
        <w:rPr>
          <w:lang w:eastAsia="en-US"/>
        </w:rPr>
        <w:t>In October 2023 the Executive Leadership embarked on a process with kaimahi and key stakeholders to develop a new ‘knowledge to action’ approach to our work, supported by revisions to the organisational structure, and revised work programme. This was an opportune time to clarify and confirm our role and activities, within the newly reformed health system, and as we near the midpoint in delivering the National Cancer Action Plan 2019-2029.</w:t>
      </w:r>
    </w:p>
    <w:p w14:paraId="22B6EE61" w14:textId="77777777" w:rsidR="005E645F" w:rsidRDefault="005E645F" w:rsidP="005E645F">
      <w:pPr>
        <w:rPr>
          <w:lang w:eastAsia="en-US"/>
        </w:rPr>
      </w:pPr>
    </w:p>
    <w:p w14:paraId="5EE3B39D" w14:textId="77777777" w:rsidR="005E645F" w:rsidRDefault="005E645F" w:rsidP="005E645F">
      <w:pPr>
        <w:rPr>
          <w:lang w:eastAsia="en-US"/>
        </w:rPr>
      </w:pPr>
      <w:r>
        <w:rPr>
          <w:lang w:eastAsia="en-US"/>
        </w:rPr>
        <w:t>Our aims for the new strategy and structure and ways of working, alongside our advisory groups) were to set us up to:</w:t>
      </w:r>
    </w:p>
    <w:p w14:paraId="606E6699" w14:textId="1DEE7087" w:rsidR="005E645F" w:rsidRDefault="005E645F" w:rsidP="005E645F">
      <w:pPr>
        <w:pStyle w:val="Bullet"/>
        <w:rPr>
          <w:lang w:eastAsia="en-US"/>
        </w:rPr>
      </w:pPr>
      <w:r>
        <w:rPr>
          <w:lang w:eastAsia="en-US"/>
        </w:rPr>
        <w:t xml:space="preserve">deliver on our strategic </w:t>
      </w:r>
      <w:proofErr w:type="gramStart"/>
      <w:r>
        <w:rPr>
          <w:lang w:eastAsia="en-US"/>
        </w:rPr>
        <w:t>priorities</w:t>
      </w:r>
      <w:proofErr w:type="gramEnd"/>
    </w:p>
    <w:p w14:paraId="0662F040" w14:textId="73B595F3" w:rsidR="005E645F" w:rsidRDefault="005E645F" w:rsidP="005E645F">
      <w:pPr>
        <w:pStyle w:val="Bullet"/>
        <w:rPr>
          <w:lang w:eastAsia="en-US"/>
        </w:rPr>
      </w:pPr>
      <w:r>
        <w:rPr>
          <w:lang w:eastAsia="en-US"/>
        </w:rPr>
        <w:t xml:space="preserve">maintain a strong focus on equity and person/whānau centred </w:t>
      </w:r>
      <w:proofErr w:type="gramStart"/>
      <w:r>
        <w:rPr>
          <w:lang w:eastAsia="en-US"/>
        </w:rPr>
        <w:t>care</w:t>
      </w:r>
      <w:proofErr w:type="gramEnd"/>
    </w:p>
    <w:p w14:paraId="1CA7739C" w14:textId="6379156A" w:rsidR="005E645F" w:rsidRDefault="005E645F" w:rsidP="005E645F">
      <w:pPr>
        <w:pStyle w:val="Bullet"/>
        <w:rPr>
          <w:lang w:eastAsia="en-US"/>
        </w:rPr>
      </w:pPr>
      <w:r>
        <w:rPr>
          <w:lang w:eastAsia="en-US"/>
        </w:rPr>
        <w:t>use a whole-of-organisation approach to convert data and insights into actions that can improve/innovate the cancer system (Knowledge to Action strategy)</w:t>
      </w:r>
    </w:p>
    <w:p w14:paraId="5F0AEF87" w14:textId="6480346C" w:rsidR="005E645F" w:rsidRDefault="005E645F" w:rsidP="005E645F">
      <w:pPr>
        <w:pStyle w:val="Bullet"/>
        <w:rPr>
          <w:lang w:eastAsia="en-US"/>
        </w:rPr>
      </w:pPr>
      <w:r>
        <w:rPr>
          <w:lang w:eastAsia="en-US"/>
        </w:rPr>
        <w:t>better support strategic system leadership and engagement with partners</w:t>
      </w:r>
    </w:p>
    <w:p w14:paraId="4193EF4D" w14:textId="206BD327" w:rsidR="005E645F" w:rsidRDefault="005E645F" w:rsidP="005E645F">
      <w:pPr>
        <w:pStyle w:val="Bullet"/>
        <w:rPr>
          <w:lang w:eastAsia="en-US"/>
        </w:rPr>
      </w:pPr>
      <w:r>
        <w:rPr>
          <w:lang w:eastAsia="en-US"/>
        </w:rPr>
        <w:t xml:space="preserve">create more opportunities for career </w:t>
      </w:r>
      <w:proofErr w:type="gramStart"/>
      <w:r>
        <w:rPr>
          <w:lang w:eastAsia="en-US"/>
        </w:rPr>
        <w:t>progression</w:t>
      </w:r>
      <w:proofErr w:type="gramEnd"/>
    </w:p>
    <w:p w14:paraId="63502DF8" w14:textId="2FF07EB9" w:rsidR="005E645F" w:rsidRDefault="005E645F" w:rsidP="005E645F">
      <w:pPr>
        <w:pStyle w:val="Bullet"/>
        <w:rPr>
          <w:lang w:eastAsia="en-US"/>
        </w:rPr>
      </w:pPr>
      <w:r>
        <w:rPr>
          <w:lang w:eastAsia="en-US"/>
        </w:rPr>
        <w:t>enhance corporate governance and organisational effectiveness, and workplace culture.</w:t>
      </w:r>
    </w:p>
    <w:p w14:paraId="16006A7F" w14:textId="77777777" w:rsidR="005E645F" w:rsidRDefault="005E645F" w:rsidP="005E645F">
      <w:pPr>
        <w:rPr>
          <w:lang w:eastAsia="en-US"/>
        </w:rPr>
      </w:pPr>
    </w:p>
    <w:p w14:paraId="59D3D5BC" w14:textId="77777777" w:rsidR="005E645F" w:rsidRDefault="005E645F" w:rsidP="005E645F">
      <w:pPr>
        <w:rPr>
          <w:lang w:eastAsia="en-US"/>
        </w:rPr>
      </w:pPr>
      <w:r>
        <w:rPr>
          <w:lang w:eastAsia="en-US"/>
        </w:rPr>
        <w:lastRenderedPageBreak/>
        <w:t>The three strands of the knowledge to action approach are:</w:t>
      </w:r>
    </w:p>
    <w:p w14:paraId="2EBB78F8" w14:textId="153AD119" w:rsidR="005E645F" w:rsidRDefault="005E645F" w:rsidP="005E645F">
      <w:pPr>
        <w:pStyle w:val="Bullet"/>
        <w:rPr>
          <w:lang w:eastAsia="en-US"/>
        </w:rPr>
      </w:pPr>
      <w:r>
        <w:rPr>
          <w:lang w:eastAsia="en-US"/>
        </w:rPr>
        <w:t>Data and analytics — collaborating on data collections, standards and tools needed to deliver up-to-date, shareable knowledge to inform system and patient decisions.</w:t>
      </w:r>
    </w:p>
    <w:p w14:paraId="691C9C9B" w14:textId="66662F6C" w:rsidR="005E645F" w:rsidRDefault="005E645F" w:rsidP="005E645F">
      <w:pPr>
        <w:pStyle w:val="Bullet"/>
        <w:rPr>
          <w:lang w:eastAsia="en-US"/>
        </w:rPr>
      </w:pPr>
      <w:r>
        <w:rPr>
          <w:lang w:eastAsia="en-US"/>
        </w:rPr>
        <w:t>System Performance and Innovation — knowledge ‘snapshots’, reports and research that highlight best practice, risks, or opportunities across the cancer system.</w:t>
      </w:r>
    </w:p>
    <w:p w14:paraId="6790C2C9" w14:textId="2F74CD52" w:rsidR="005E645F" w:rsidRPr="005E645F" w:rsidRDefault="005E645F" w:rsidP="005E645F">
      <w:pPr>
        <w:pStyle w:val="Bullet"/>
        <w:rPr>
          <w:lang w:eastAsia="en-US"/>
        </w:rPr>
      </w:pPr>
      <w:r>
        <w:rPr>
          <w:lang w:eastAsia="en-US"/>
        </w:rPr>
        <w:t>Knowledge Translation and Implementation — collaborating with health sector and consumers on guidance, tools, and initiatives to improve the cancer system and outcomes for all people.</w:t>
      </w:r>
    </w:p>
    <w:p w14:paraId="0A1DEB2C" w14:textId="1FF645A4" w:rsidR="007D7A9C" w:rsidRDefault="007D7A9C" w:rsidP="007D7A9C">
      <w:pPr>
        <w:rPr>
          <w:lang w:eastAsia="en-US"/>
        </w:rPr>
      </w:pPr>
    </w:p>
    <w:p w14:paraId="2623ED93" w14:textId="77777777" w:rsidR="005E645F" w:rsidRDefault="005E645F" w:rsidP="005E645F">
      <w:pPr>
        <w:rPr>
          <w:lang w:eastAsia="en-US"/>
        </w:rPr>
      </w:pPr>
      <w:r>
        <w:rPr>
          <w:lang w:eastAsia="en-US"/>
        </w:rPr>
        <w:t>To support the knowledge to action approach we refined our structure and operating model. This involved:</w:t>
      </w:r>
    </w:p>
    <w:p w14:paraId="4B5DDE71" w14:textId="69A6AB79" w:rsidR="005E645F" w:rsidRDefault="005E645F" w:rsidP="005E645F">
      <w:pPr>
        <w:pStyle w:val="Bullet"/>
        <w:rPr>
          <w:lang w:eastAsia="en-US"/>
        </w:rPr>
      </w:pPr>
      <w:r>
        <w:rPr>
          <w:lang w:eastAsia="en-US"/>
        </w:rPr>
        <w:t xml:space="preserve">Setting up an Executive, Strategic, and Operational governance model to streamline decision making and </w:t>
      </w:r>
      <w:proofErr w:type="gramStart"/>
      <w:r>
        <w:rPr>
          <w:lang w:eastAsia="en-US"/>
        </w:rPr>
        <w:t>planning</w:t>
      </w:r>
      <w:proofErr w:type="gramEnd"/>
    </w:p>
    <w:p w14:paraId="6B2B7E2C" w14:textId="269E3531" w:rsidR="005E645F" w:rsidRDefault="005E645F" w:rsidP="005E645F">
      <w:pPr>
        <w:pStyle w:val="Bullet"/>
        <w:rPr>
          <w:lang w:eastAsia="en-US"/>
        </w:rPr>
      </w:pPr>
      <w:r>
        <w:rPr>
          <w:lang w:eastAsia="en-US"/>
        </w:rPr>
        <w:t>Creating a team of three Chief Advisor roles to provide stakeholder management and policy advice on surgical, clinical and Māori health. We retitled two existing roles and established one new position which is yet to filled.</w:t>
      </w:r>
    </w:p>
    <w:p w14:paraId="7E94581D" w14:textId="1AA114AF" w:rsidR="005E645F" w:rsidRDefault="005E645F" w:rsidP="005E645F">
      <w:pPr>
        <w:pStyle w:val="Bullet"/>
        <w:rPr>
          <w:lang w:eastAsia="en-US"/>
        </w:rPr>
      </w:pPr>
      <w:r>
        <w:rPr>
          <w:lang w:eastAsia="en-US"/>
        </w:rPr>
        <w:t>Established a Director, Equity and Whānau Centred-care position on the Executive Leadership Team, by merging the vacant Manager, People-centred-care role with Manager Equity role.</w:t>
      </w:r>
    </w:p>
    <w:p w14:paraId="1C0553BD" w14:textId="027D704B" w:rsidR="005E645F" w:rsidRDefault="005E645F" w:rsidP="005E645F">
      <w:pPr>
        <w:pStyle w:val="Bullet"/>
        <w:rPr>
          <w:lang w:eastAsia="en-US"/>
        </w:rPr>
      </w:pPr>
      <w:r>
        <w:rPr>
          <w:lang w:eastAsia="en-US"/>
        </w:rPr>
        <w:t>Established a Group Manager Programmes role and realigned the three administrator roles to focus on programme delivery.</w:t>
      </w:r>
    </w:p>
    <w:p w14:paraId="136A2F3D" w14:textId="1DB68CC4" w:rsidR="005E645F" w:rsidRDefault="005E645F" w:rsidP="005E645F">
      <w:pPr>
        <w:pStyle w:val="Bullet"/>
        <w:rPr>
          <w:lang w:eastAsia="en-US"/>
        </w:rPr>
      </w:pPr>
      <w:r>
        <w:rPr>
          <w:lang w:eastAsia="en-US"/>
        </w:rPr>
        <w:t>Reprioritised the agency’s work programme using a matrix model, with regional and national kaimahi leading and collaborating on work to use capabilities more effectively.</w:t>
      </w:r>
    </w:p>
    <w:p w14:paraId="6BA2E5C3" w14:textId="77777777" w:rsidR="005E645F" w:rsidRDefault="005E645F" w:rsidP="005E645F">
      <w:pPr>
        <w:rPr>
          <w:lang w:eastAsia="en-US"/>
        </w:rPr>
      </w:pPr>
    </w:p>
    <w:p w14:paraId="45DA75E0" w14:textId="2E8F8691" w:rsidR="005E645F" w:rsidRDefault="005E645F" w:rsidP="005E645F">
      <w:pPr>
        <w:rPr>
          <w:lang w:eastAsia="en-US"/>
        </w:rPr>
      </w:pPr>
      <w:r>
        <w:rPr>
          <w:lang w:eastAsia="en-US"/>
        </w:rPr>
        <w:t xml:space="preserve">We have four regional teams who work across Northern, Te Manawa Taki, Central, and Te Wai Pounamu. They collaborate with clinical and operational cancer teams across the motu. Our national team is based in the Ministry of Health’s office in Wellington. </w:t>
      </w:r>
    </w:p>
    <w:p w14:paraId="532A30E8" w14:textId="14A31205" w:rsidR="005E645F" w:rsidRDefault="005E645F" w:rsidP="005E645F">
      <w:pPr>
        <w:rPr>
          <w:lang w:eastAsia="en-US"/>
        </w:rPr>
      </w:pPr>
    </w:p>
    <w:p w14:paraId="4EF70635" w14:textId="77777777" w:rsidR="005E645F" w:rsidRDefault="005E645F" w:rsidP="005E645F">
      <w:pPr>
        <w:rPr>
          <w:lang w:eastAsia="en-US"/>
        </w:rPr>
      </w:pPr>
    </w:p>
    <w:p w14:paraId="2FB45FEA" w14:textId="62C62267" w:rsidR="007D7A9C" w:rsidRDefault="007D7A9C" w:rsidP="007D7A9C">
      <w:pPr>
        <w:rPr>
          <w:lang w:eastAsia="en-US"/>
        </w:rPr>
      </w:pPr>
    </w:p>
    <w:p w14:paraId="535EC6D7" w14:textId="65C18455" w:rsidR="007D7A9C" w:rsidRPr="004D065B" w:rsidRDefault="007D7A9C" w:rsidP="007D7A9C">
      <w:pPr>
        <w:rPr>
          <w:lang w:eastAsia="en-US"/>
        </w:rPr>
        <w:sectPr w:rsidR="007D7A9C" w:rsidRPr="004D065B" w:rsidSect="000A3324">
          <w:pgSz w:w="11907" w:h="16840" w:code="9"/>
          <w:pgMar w:top="1418" w:right="1701" w:bottom="1134" w:left="1843" w:header="284" w:footer="425" w:gutter="284"/>
          <w:cols w:space="720"/>
        </w:sectPr>
      </w:pPr>
    </w:p>
    <w:p w14:paraId="5393982C" w14:textId="47B61877" w:rsidR="0007762E" w:rsidRDefault="005E645F" w:rsidP="0007762E">
      <w:pPr>
        <w:rPr>
          <w:lang w:eastAsia="en-US"/>
        </w:rPr>
      </w:pPr>
      <w:r>
        <w:rPr>
          <w:noProof/>
        </w:rPr>
        <w:lastRenderedPageBreak/>
        <w:drawing>
          <wp:inline distT="0" distB="0" distL="0" distR="0" wp14:anchorId="66B500F3" wp14:editId="792F0207">
            <wp:extent cx="5130165" cy="3825875"/>
            <wp:effectExtent l="0" t="0" r="0" b="3175"/>
            <wp:docPr id="929" name="Picture 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929">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5130165" cy="3825875"/>
                    </a:xfrm>
                    <a:prstGeom prst="rect">
                      <a:avLst/>
                    </a:prstGeom>
                  </pic:spPr>
                </pic:pic>
              </a:graphicData>
            </a:graphic>
          </wp:inline>
        </w:drawing>
      </w:r>
    </w:p>
    <w:p w14:paraId="34A8E89B" w14:textId="5D2B4F29" w:rsidR="005E645F" w:rsidRPr="00386646" w:rsidRDefault="005E645F" w:rsidP="00386646">
      <w:pPr>
        <w:pStyle w:val="Heading3"/>
      </w:pPr>
      <w:r w:rsidRPr="00386646">
        <w:t>Pūmau ki Te Tiriti</w:t>
      </w:r>
      <w:r w:rsidR="00EF6CD7" w:rsidRPr="00386646">
        <w:t xml:space="preserve"> </w:t>
      </w:r>
      <w:r w:rsidR="00DA365D">
        <w:t>–</w:t>
      </w:r>
      <w:r w:rsidR="00EF6CD7" w:rsidRPr="00386646">
        <w:t xml:space="preserve"> </w:t>
      </w:r>
      <w:r w:rsidRPr="00386646">
        <w:t>Our commitment to Te Tiriti o Waitangi</w:t>
      </w:r>
    </w:p>
    <w:p w14:paraId="4B836DD2" w14:textId="77777777" w:rsidR="005E645F" w:rsidRDefault="005E645F" w:rsidP="005E645F">
      <w:pPr>
        <w:rPr>
          <w:lang w:eastAsia="en-US"/>
        </w:rPr>
      </w:pPr>
      <w:r>
        <w:rPr>
          <w:lang w:eastAsia="en-US"/>
        </w:rPr>
        <w:t>Like the Ministry of Health, we uphold and contribute to the Crown’s obligations under</w:t>
      </w:r>
    </w:p>
    <w:p w14:paraId="0C18EC2E" w14:textId="07F64691" w:rsidR="005E645F" w:rsidRDefault="005E645F" w:rsidP="005E645F">
      <w:pPr>
        <w:rPr>
          <w:lang w:eastAsia="en-US"/>
        </w:rPr>
      </w:pPr>
      <w:r>
        <w:rPr>
          <w:lang w:eastAsia="en-US"/>
        </w:rPr>
        <w:t>Te Tiriti o Waitangi (Te Tiriti) as a departmental agency of the public service (as provided by section 14 of the Public Service Act 2020).</w:t>
      </w:r>
    </w:p>
    <w:p w14:paraId="0DFDCD78" w14:textId="77777777" w:rsidR="00EF6CD7" w:rsidRDefault="00EF6CD7" w:rsidP="005E645F">
      <w:pPr>
        <w:rPr>
          <w:lang w:eastAsia="en-US"/>
        </w:rPr>
      </w:pPr>
    </w:p>
    <w:p w14:paraId="721FB7CE" w14:textId="5E455B25" w:rsidR="005E645F" w:rsidRDefault="005E645F" w:rsidP="005E645F">
      <w:pPr>
        <w:rPr>
          <w:lang w:eastAsia="en-US"/>
        </w:rPr>
      </w:pPr>
      <w:r>
        <w:rPr>
          <w:lang w:eastAsia="en-US"/>
        </w:rPr>
        <w:t>We are also guided by the health sector principles as outlined in the Pae Ora (Healthy Futures) Act 2022 which recognise the Crown’s intention to give effect to the principles of Te Tiriti, and improving the health sector for Māori and hauora Māori outcomes.</w:t>
      </w:r>
    </w:p>
    <w:p w14:paraId="55FA2D1D" w14:textId="54B014F7" w:rsidR="005E645F" w:rsidRPr="00386646" w:rsidRDefault="005E645F" w:rsidP="00386646">
      <w:pPr>
        <w:pStyle w:val="Heading3"/>
      </w:pPr>
      <w:r w:rsidRPr="00386646">
        <w:t xml:space="preserve">Te kanorautanga me te whaiwāhitanga </w:t>
      </w:r>
      <w:r w:rsidR="00F1358C">
        <w:t xml:space="preserve">– </w:t>
      </w:r>
      <w:r w:rsidRPr="00386646">
        <w:t>Diversity and inclusion</w:t>
      </w:r>
    </w:p>
    <w:p w14:paraId="03921630" w14:textId="31D8989F" w:rsidR="005E645F" w:rsidRDefault="005E645F" w:rsidP="005E645F">
      <w:pPr>
        <w:rPr>
          <w:lang w:eastAsia="en-US"/>
        </w:rPr>
      </w:pPr>
      <w:r>
        <w:rPr>
          <w:lang w:eastAsia="en-US"/>
        </w:rPr>
        <w:t>We actively work to create diverse and inclusive workspaces for kaimahi and guests. This contributes to overall staff retention and engagement, and better supports our role to lead or support the design and delivery of equitable cancer services.</w:t>
      </w:r>
    </w:p>
    <w:p w14:paraId="5D63D737" w14:textId="77777777" w:rsidR="00EF6CD7" w:rsidRDefault="00EF6CD7" w:rsidP="005E645F">
      <w:pPr>
        <w:rPr>
          <w:lang w:eastAsia="en-US"/>
        </w:rPr>
      </w:pPr>
    </w:p>
    <w:p w14:paraId="1669EDEE" w14:textId="5A442F72" w:rsidR="005E645F" w:rsidRDefault="005E645F" w:rsidP="005E645F">
      <w:pPr>
        <w:rPr>
          <w:lang w:eastAsia="en-US"/>
        </w:rPr>
      </w:pPr>
      <w:r>
        <w:rPr>
          <w:lang w:eastAsia="en-US"/>
        </w:rPr>
        <w:t>As part of Te Kawa Mataaho - the Public Service Commission’s Diversity and Inclusion Executive Champions Network, we are working towards five priorities under their Papa Pounamu diversity programme. These are: cultural competence, addressing bias, inclusive leadership, building relationships and employee-led networks.</w:t>
      </w:r>
    </w:p>
    <w:p w14:paraId="04DD19C9" w14:textId="77777777" w:rsidR="00EF6CD7" w:rsidRDefault="00EF6CD7" w:rsidP="005E645F">
      <w:pPr>
        <w:rPr>
          <w:lang w:eastAsia="en-US"/>
        </w:rPr>
      </w:pPr>
    </w:p>
    <w:p w14:paraId="78D989AA" w14:textId="3132E0AE" w:rsidR="005E645F" w:rsidRDefault="005E645F" w:rsidP="005E645F">
      <w:pPr>
        <w:rPr>
          <w:lang w:eastAsia="en-US"/>
        </w:rPr>
      </w:pPr>
      <w:r>
        <w:rPr>
          <w:lang w:eastAsia="en-US"/>
        </w:rPr>
        <w:t xml:space="preserve">Our Whāinga Amorangi cultural plan and E Tipu E Tipu Māori Language Plan (see Ngā whakatutukinga – What we have achieved and Tō mātou whakahaere – Our </w:t>
      </w:r>
      <w:r>
        <w:rPr>
          <w:lang w:eastAsia="en-US"/>
        </w:rPr>
        <w:lastRenderedPageBreak/>
        <w:t>performance sections) outlines a range of learning actions and goals that support these public sector goals.</w:t>
      </w:r>
    </w:p>
    <w:p w14:paraId="07E23095" w14:textId="77777777" w:rsidR="00EF6CD7" w:rsidRDefault="00EF6CD7" w:rsidP="005E645F">
      <w:pPr>
        <w:rPr>
          <w:lang w:eastAsia="en-US"/>
        </w:rPr>
      </w:pPr>
    </w:p>
    <w:p w14:paraId="633587FA" w14:textId="1DED611F" w:rsidR="005E645F" w:rsidRDefault="005E645F" w:rsidP="005E645F">
      <w:pPr>
        <w:rPr>
          <w:lang w:eastAsia="en-US"/>
        </w:rPr>
      </w:pPr>
      <w:r>
        <w:rPr>
          <w:lang w:eastAsia="en-US"/>
        </w:rPr>
        <w:t>Our kaimahi work with the Ministry of Health to create, deliver, and take part in awareness, learning, and celebration events under the Ministry’s culture and inclusion strategy, Whiria te Tangata. We also promote resources and events that kaimahi can use/attend that celebrate different cultures, languages, and aspects of diversity in New Zealand’s communities.</w:t>
      </w:r>
      <w:r w:rsidR="00EF6CD7">
        <w:rPr>
          <w:lang w:eastAsia="en-US"/>
        </w:rPr>
        <w:t xml:space="preserve"> </w:t>
      </w:r>
      <w:r>
        <w:rPr>
          <w:lang w:eastAsia="en-US"/>
        </w:rPr>
        <w:t>Some examples include Pink Shirt Day, Diwali, Sign Language Week, and Mental Health Awareness Week.</w:t>
      </w:r>
    </w:p>
    <w:p w14:paraId="36B3A04E" w14:textId="77777777" w:rsidR="00EF6CD7" w:rsidRDefault="00EF6CD7" w:rsidP="005E645F">
      <w:pPr>
        <w:rPr>
          <w:lang w:eastAsia="en-US"/>
        </w:rPr>
      </w:pPr>
    </w:p>
    <w:p w14:paraId="6F24ADE0" w14:textId="24199319" w:rsidR="005E645F" w:rsidRDefault="005E645F" w:rsidP="005E645F">
      <w:pPr>
        <w:rPr>
          <w:lang w:eastAsia="en-US"/>
        </w:rPr>
      </w:pPr>
      <w:r>
        <w:rPr>
          <w:lang w:eastAsia="en-US"/>
        </w:rPr>
        <w:t>Kaimahi are also encouraged to join employee-led networks (available via the Ministry and the wider public service) to build connections and share knowledge.</w:t>
      </w:r>
    </w:p>
    <w:p w14:paraId="042CF9DB" w14:textId="77777777" w:rsidR="00EF6CD7" w:rsidRDefault="00EF6CD7" w:rsidP="005E645F">
      <w:pPr>
        <w:rPr>
          <w:lang w:eastAsia="en-US"/>
        </w:rPr>
      </w:pPr>
    </w:p>
    <w:p w14:paraId="05A7AE6A" w14:textId="4C79FCE2" w:rsidR="005E645F" w:rsidRDefault="005E645F" w:rsidP="005E645F">
      <w:pPr>
        <w:rPr>
          <w:lang w:eastAsia="en-US"/>
        </w:rPr>
      </w:pPr>
      <w:r>
        <w:rPr>
          <w:noProof/>
        </w:rPr>
        <w:drawing>
          <wp:inline distT="0" distB="0" distL="0" distR="0" wp14:anchorId="296EFA4F" wp14:editId="3EF148A6">
            <wp:extent cx="5130165" cy="1373505"/>
            <wp:effectExtent l="0" t="0" r="0" b="0"/>
            <wp:docPr id="930" name="Picture 930" descr="Three photos of kaimahi from the ag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Picture 930" descr="Three photos of kaimahi from the agency "/>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30165" cy="1373505"/>
                    </a:xfrm>
                    <a:prstGeom prst="rect">
                      <a:avLst/>
                    </a:prstGeom>
                  </pic:spPr>
                </pic:pic>
              </a:graphicData>
            </a:graphic>
          </wp:inline>
        </w:drawing>
      </w:r>
    </w:p>
    <w:p w14:paraId="7C9080C5" w14:textId="560E5456" w:rsidR="00EF6CD7" w:rsidRPr="00386646" w:rsidRDefault="00EF6CD7" w:rsidP="00386646">
      <w:pPr>
        <w:pStyle w:val="Heading3"/>
      </w:pPr>
      <w:r w:rsidRPr="00386646">
        <w:t xml:space="preserve">Ō mātou kaimahi </w:t>
      </w:r>
      <w:r w:rsidR="00DA365D">
        <w:t>–</w:t>
      </w:r>
      <w:r w:rsidRPr="00386646">
        <w:t xml:space="preserve"> Our people</w:t>
      </w:r>
    </w:p>
    <w:p w14:paraId="76FE457B" w14:textId="4DF3F112" w:rsidR="00EF6CD7" w:rsidRDefault="00EF6CD7" w:rsidP="00EF6CD7">
      <w:pPr>
        <w:rPr>
          <w:lang w:eastAsia="en-US"/>
        </w:rPr>
      </w:pPr>
      <w:r>
        <w:rPr>
          <w:noProof/>
        </w:rPr>
        <w:drawing>
          <wp:anchor distT="0" distB="0" distL="114300" distR="114300" simplePos="0" relativeHeight="251717632" behindDoc="1" locked="0" layoutInCell="1" allowOverlap="1" wp14:anchorId="031A87CD" wp14:editId="497CE0CB">
            <wp:simplePos x="0" y="0"/>
            <wp:positionH relativeFrom="column">
              <wp:posOffset>3169920</wp:posOffset>
            </wp:positionH>
            <wp:positionV relativeFrom="paragraph">
              <wp:posOffset>5715</wp:posOffset>
            </wp:positionV>
            <wp:extent cx="2018782" cy="1743710"/>
            <wp:effectExtent l="0" t="0" r="635" b="8890"/>
            <wp:wrapTight wrapText="bothSides">
              <wp:wrapPolygon edited="0">
                <wp:start x="0" y="0"/>
                <wp:lineTo x="0" y="21474"/>
                <wp:lineTo x="21403" y="21474"/>
                <wp:lineTo x="21403" y="0"/>
                <wp:lineTo x="0" y="0"/>
              </wp:wrapPolygon>
            </wp:wrapTight>
            <wp:docPr id="931" name="Picture 9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931">
                      <a:extLst>
                        <a:ext uri="{C183D7F6-B498-43B3-948B-1728B52AA6E4}">
                          <adec:decorative xmlns:adec="http://schemas.microsoft.com/office/drawing/2017/decorative" val="1"/>
                        </a:ext>
                      </a:extLst>
                    </pic:cNvPr>
                    <pic:cNvPicPr/>
                  </pic:nvPicPr>
                  <pic:blipFill rotWithShape="1">
                    <a:blip r:embed="rId61">
                      <a:extLst>
                        <a:ext uri="{28A0092B-C50C-407E-A947-70E740481C1C}">
                          <a14:useLocalDpi xmlns:a14="http://schemas.microsoft.com/office/drawing/2010/main" val="0"/>
                        </a:ext>
                      </a:extLst>
                    </a:blip>
                    <a:srcRect l="5359" b="20445"/>
                    <a:stretch/>
                  </pic:blipFill>
                  <pic:spPr bwMode="auto">
                    <a:xfrm>
                      <a:off x="0" y="0"/>
                      <a:ext cx="2018782" cy="174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en-US"/>
        </w:rPr>
        <w:t xml:space="preserve">As </w:t>
      </w:r>
      <w:proofErr w:type="gramStart"/>
      <w:r>
        <w:rPr>
          <w:lang w:eastAsia="en-US"/>
        </w:rPr>
        <w:t>at</w:t>
      </w:r>
      <w:proofErr w:type="gramEnd"/>
      <w:r>
        <w:rPr>
          <w:lang w:eastAsia="en-US"/>
        </w:rPr>
        <w:t xml:space="preserve"> 30 June 2024, our agency employed 61 people (57.8%) as full-time equivalents (FTEs). This included two people on parental leave. In addition, there were a total of 2.5 FTE contract roles.</w:t>
      </w:r>
    </w:p>
    <w:p w14:paraId="20E6D8CE" w14:textId="13F2F13E" w:rsidR="00EF6CD7" w:rsidRDefault="00EF6CD7" w:rsidP="00EF6CD7">
      <w:pPr>
        <w:rPr>
          <w:lang w:eastAsia="en-US"/>
        </w:rPr>
      </w:pPr>
    </w:p>
    <w:p w14:paraId="13BC7925" w14:textId="5FA8884C" w:rsidR="00EF6CD7" w:rsidRDefault="00EF6CD7" w:rsidP="00EF6CD7">
      <w:pPr>
        <w:rPr>
          <w:lang w:eastAsia="en-US"/>
        </w:rPr>
      </w:pPr>
      <w:r>
        <w:rPr>
          <w:lang w:eastAsia="en-US"/>
        </w:rPr>
        <w:t>We employed 55.8 of the 57.8 FTEs on permanent contracts, with two FTE on fixed term and a 0.60 FTE on secondment.</w:t>
      </w:r>
    </w:p>
    <w:p w14:paraId="60444336" w14:textId="3BBD288A" w:rsidR="00EF6CD7" w:rsidRDefault="00EF6CD7" w:rsidP="00EF6CD7">
      <w:pPr>
        <w:rPr>
          <w:lang w:eastAsia="en-US"/>
        </w:rPr>
      </w:pPr>
    </w:p>
    <w:p w14:paraId="0DBA62EE" w14:textId="0F427C1A" w:rsidR="00EF6CD7" w:rsidRDefault="00EF6CD7" w:rsidP="00EF6CD7">
      <w:pPr>
        <w:rPr>
          <w:lang w:eastAsia="en-US"/>
        </w:rPr>
      </w:pPr>
      <w:r>
        <w:rPr>
          <w:lang w:eastAsia="en-US"/>
        </w:rPr>
        <w:t>At this time, we were recruiting six FTE roles.</w:t>
      </w:r>
    </w:p>
    <w:p w14:paraId="0692368A" w14:textId="049FA66C" w:rsidR="00EF6CD7" w:rsidRDefault="00EF6CD7" w:rsidP="00EF6CD7">
      <w:pPr>
        <w:rPr>
          <w:lang w:eastAsia="en-US"/>
        </w:rPr>
      </w:pPr>
      <w:r w:rsidRPr="00EF6CD7">
        <w:rPr>
          <w:noProof/>
        </w:rPr>
        <w:drawing>
          <wp:anchor distT="0" distB="0" distL="114300" distR="114300" simplePos="0" relativeHeight="251718656" behindDoc="0" locked="0" layoutInCell="1" allowOverlap="1" wp14:anchorId="581770AC" wp14:editId="56C8B971">
            <wp:simplePos x="0" y="0"/>
            <wp:positionH relativeFrom="column">
              <wp:posOffset>3068532</wp:posOffset>
            </wp:positionH>
            <wp:positionV relativeFrom="paragraph">
              <wp:posOffset>52705</wp:posOffset>
            </wp:positionV>
            <wp:extent cx="2319866" cy="455869"/>
            <wp:effectExtent l="0" t="0" r="4445" b="1905"/>
            <wp:wrapNone/>
            <wp:docPr id="932" name="Picture 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Picture 932">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2319866" cy="455869"/>
                    </a:xfrm>
                    <a:prstGeom prst="rect">
                      <a:avLst/>
                    </a:prstGeom>
                  </pic:spPr>
                </pic:pic>
              </a:graphicData>
            </a:graphic>
            <wp14:sizeRelH relativeFrom="page">
              <wp14:pctWidth>0</wp14:pctWidth>
            </wp14:sizeRelH>
            <wp14:sizeRelV relativeFrom="page">
              <wp14:pctHeight>0</wp14:pctHeight>
            </wp14:sizeRelV>
          </wp:anchor>
        </w:drawing>
      </w:r>
    </w:p>
    <w:p w14:paraId="37B9F800" w14:textId="10E57631" w:rsidR="00EF6CD7" w:rsidRDefault="00EF6CD7" w:rsidP="00EF6CD7">
      <w:pPr>
        <w:rPr>
          <w:lang w:eastAsia="en-US"/>
        </w:rPr>
      </w:pPr>
    </w:p>
    <w:p w14:paraId="53808580" w14:textId="56EABCF5" w:rsidR="00EF6CD7" w:rsidRDefault="00EF6CD7" w:rsidP="00EF6CD7">
      <w:pPr>
        <w:rPr>
          <w:lang w:eastAsia="en-US"/>
        </w:rPr>
      </w:pPr>
    </w:p>
    <w:p w14:paraId="313C2611" w14:textId="29AE95FA" w:rsidR="00EF6CD7" w:rsidRDefault="00EF6CD7" w:rsidP="00EF6CD7">
      <w:pPr>
        <w:rPr>
          <w:lang w:eastAsia="en-US"/>
        </w:rPr>
        <w:sectPr w:rsidR="00EF6CD7" w:rsidSect="005E645F">
          <w:pgSz w:w="11907" w:h="16840" w:code="9"/>
          <w:pgMar w:top="1418" w:right="1701" w:bottom="1134" w:left="1843" w:header="284" w:footer="425" w:gutter="284"/>
          <w:cols w:space="720"/>
        </w:sectPr>
      </w:pPr>
      <w:r w:rsidRPr="00EF6CD7">
        <w:rPr>
          <w:noProof/>
        </w:rPr>
        <w:drawing>
          <wp:inline distT="0" distB="0" distL="0" distR="0" wp14:anchorId="29BC648C" wp14:editId="6D7EFAE4">
            <wp:extent cx="5278546" cy="1536700"/>
            <wp:effectExtent l="0" t="0" r="0" b="6350"/>
            <wp:docPr id="934" name="Picture 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Picture 934">
                      <a:extLst>
                        <a:ext uri="{C183D7F6-B498-43B3-948B-1728B52AA6E4}">
                          <adec:decorative xmlns:adec="http://schemas.microsoft.com/office/drawing/2017/decorative" val="1"/>
                        </a:ext>
                      </a:extLst>
                    </pic:cNvPr>
                    <pic:cNvPicPr/>
                  </pic:nvPicPr>
                  <pic:blipFill rotWithShape="1">
                    <a:blip r:embed="rId63">
                      <a:extLst>
                        <a:ext uri="{28A0092B-C50C-407E-A947-70E740481C1C}">
                          <a14:useLocalDpi xmlns:a14="http://schemas.microsoft.com/office/drawing/2010/main" val="0"/>
                        </a:ext>
                      </a:extLst>
                    </a:blip>
                    <a:srcRect l="1592" b="70239"/>
                    <a:stretch/>
                  </pic:blipFill>
                  <pic:spPr bwMode="auto">
                    <a:xfrm>
                      <a:off x="0" y="0"/>
                      <a:ext cx="5289196" cy="1539800"/>
                    </a:xfrm>
                    <a:prstGeom prst="rect">
                      <a:avLst/>
                    </a:prstGeom>
                    <a:ln>
                      <a:noFill/>
                    </a:ln>
                    <a:extLst>
                      <a:ext uri="{53640926-AAD7-44D8-BBD7-CCE9431645EC}">
                        <a14:shadowObscured xmlns:a14="http://schemas.microsoft.com/office/drawing/2010/main"/>
                      </a:ext>
                    </a:extLst>
                  </pic:spPr>
                </pic:pic>
              </a:graphicData>
            </a:graphic>
          </wp:inline>
        </w:drawing>
      </w:r>
    </w:p>
    <w:p w14:paraId="78160566" w14:textId="43DE510C" w:rsidR="00EF6CD7" w:rsidRDefault="00380909" w:rsidP="00EF6CD7">
      <w:pPr>
        <w:rPr>
          <w:lang w:eastAsia="en-US"/>
        </w:rPr>
      </w:pPr>
      <w:r w:rsidRPr="00EF6CD7">
        <w:rPr>
          <w:noProof/>
        </w:rPr>
        <w:lastRenderedPageBreak/>
        <w:drawing>
          <wp:inline distT="0" distB="0" distL="0" distR="0" wp14:anchorId="42D80B8E" wp14:editId="3B6BEAAC">
            <wp:extent cx="5128735" cy="1396789"/>
            <wp:effectExtent l="0" t="0" r="0" b="0"/>
            <wp:docPr id="936" name="Picture 9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Picture 936">
                      <a:extLst>
                        <a:ext uri="{C183D7F6-B498-43B3-948B-1728B52AA6E4}">
                          <adec:decorative xmlns:adec="http://schemas.microsoft.com/office/drawing/2017/decorative" val="1"/>
                        </a:ext>
                      </a:extLst>
                    </pic:cNvPr>
                    <pic:cNvPicPr/>
                  </pic:nvPicPr>
                  <pic:blipFill rotWithShape="1">
                    <a:blip r:embed="rId63">
                      <a:extLst>
                        <a:ext uri="{28A0092B-C50C-407E-A947-70E740481C1C}">
                          <a14:useLocalDpi xmlns:a14="http://schemas.microsoft.com/office/drawing/2010/main" val="0"/>
                        </a:ext>
                      </a:extLst>
                    </a:blip>
                    <a:srcRect l="1592" t="31098" b="41057"/>
                    <a:stretch/>
                  </pic:blipFill>
                  <pic:spPr bwMode="auto">
                    <a:xfrm>
                      <a:off x="0" y="0"/>
                      <a:ext cx="5130165" cy="1397179"/>
                    </a:xfrm>
                    <a:prstGeom prst="rect">
                      <a:avLst/>
                    </a:prstGeom>
                    <a:ln>
                      <a:noFill/>
                    </a:ln>
                    <a:extLst>
                      <a:ext uri="{53640926-AAD7-44D8-BBD7-CCE9431645EC}">
                        <a14:shadowObscured xmlns:a14="http://schemas.microsoft.com/office/drawing/2010/main"/>
                      </a:ext>
                    </a:extLst>
                  </pic:spPr>
                </pic:pic>
              </a:graphicData>
            </a:graphic>
          </wp:inline>
        </w:drawing>
      </w:r>
      <w:r w:rsidR="00EF6CD7" w:rsidRPr="00EF6CD7">
        <w:rPr>
          <w:noProof/>
        </w:rPr>
        <w:drawing>
          <wp:inline distT="0" distB="0" distL="0" distR="0" wp14:anchorId="134D972D" wp14:editId="3616AD6A">
            <wp:extent cx="5185289" cy="1876636"/>
            <wp:effectExtent l="0" t="0" r="0" b="9525"/>
            <wp:docPr id="935" name="Picture 9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Picture 935">
                      <a:extLst>
                        <a:ext uri="{C183D7F6-B498-43B3-948B-1728B52AA6E4}">
                          <adec:decorative xmlns:adec="http://schemas.microsoft.com/office/drawing/2017/decorative" val="1"/>
                        </a:ext>
                      </a:extLst>
                    </pic:cNvPr>
                    <pic:cNvPicPr/>
                  </pic:nvPicPr>
                  <pic:blipFill rotWithShape="1">
                    <a:blip r:embed="rId63">
                      <a:extLst>
                        <a:ext uri="{28A0092B-C50C-407E-A947-70E740481C1C}">
                          <a14:useLocalDpi xmlns:a14="http://schemas.microsoft.com/office/drawing/2010/main" val="0"/>
                        </a:ext>
                      </a:extLst>
                    </a:blip>
                    <a:srcRect l="1592" t="62305" b="697"/>
                    <a:stretch/>
                  </pic:blipFill>
                  <pic:spPr bwMode="auto">
                    <a:xfrm>
                      <a:off x="0" y="0"/>
                      <a:ext cx="5189470" cy="1878149"/>
                    </a:xfrm>
                    <a:prstGeom prst="rect">
                      <a:avLst/>
                    </a:prstGeom>
                    <a:ln>
                      <a:noFill/>
                    </a:ln>
                    <a:extLst>
                      <a:ext uri="{53640926-AAD7-44D8-BBD7-CCE9431645EC}">
                        <a14:shadowObscured xmlns:a14="http://schemas.microsoft.com/office/drawing/2010/main"/>
                      </a:ext>
                    </a:extLst>
                  </pic:spPr>
                </pic:pic>
              </a:graphicData>
            </a:graphic>
          </wp:inline>
        </w:drawing>
      </w:r>
    </w:p>
    <w:p w14:paraId="6DF3B92A" w14:textId="5E8BBC15" w:rsidR="00380909" w:rsidRPr="00386646" w:rsidRDefault="00380909" w:rsidP="00386646">
      <w:pPr>
        <w:pStyle w:val="Heading2"/>
      </w:pPr>
      <w:bookmarkStart w:id="64" w:name="_Toc180077059"/>
      <w:r w:rsidRPr="00386646">
        <w:t xml:space="preserve">Ō mātou takune </w:t>
      </w:r>
      <w:r w:rsidR="00C42F6C">
        <w:t>–</w:t>
      </w:r>
      <w:r w:rsidRPr="00386646">
        <w:t xml:space="preserve"> Our intentions for 2023/24</w:t>
      </w:r>
      <w:bookmarkEnd w:id="64"/>
    </w:p>
    <w:p w14:paraId="3A136BEE" w14:textId="77777777" w:rsidR="00380909" w:rsidRDefault="00380909" w:rsidP="00380909">
      <w:pPr>
        <w:rPr>
          <w:lang w:eastAsia="en-US"/>
        </w:rPr>
      </w:pPr>
      <w:r>
        <w:rPr>
          <w:lang w:eastAsia="en-US"/>
        </w:rPr>
        <w:t>Our strategic direction and work programme aligns with, or contributes to, the goals and outcomes described in the following health and public sector strategies and strategic documents:</w:t>
      </w:r>
    </w:p>
    <w:p w14:paraId="16206F97" w14:textId="6943BA60" w:rsidR="00380909" w:rsidRDefault="00380909" w:rsidP="00380909">
      <w:pPr>
        <w:pStyle w:val="Bullet"/>
        <w:rPr>
          <w:lang w:eastAsia="en-US"/>
        </w:rPr>
      </w:pPr>
      <w:r>
        <w:rPr>
          <w:lang w:eastAsia="en-US"/>
        </w:rPr>
        <w:t>The New Zealand Cancer Control Strategy 2023</w:t>
      </w:r>
      <w:r>
        <w:rPr>
          <w:rStyle w:val="FootnoteReference"/>
          <w:lang w:eastAsia="en-US"/>
        </w:rPr>
        <w:footnoteReference w:id="54"/>
      </w:r>
    </w:p>
    <w:p w14:paraId="7565BD6F" w14:textId="6D5CBE2A" w:rsidR="00380909" w:rsidRDefault="00380909" w:rsidP="00380909">
      <w:pPr>
        <w:pStyle w:val="Bullet"/>
        <w:rPr>
          <w:lang w:eastAsia="en-US"/>
        </w:rPr>
      </w:pPr>
      <w:r w:rsidRPr="00704067">
        <w:rPr>
          <w:b/>
          <w:bCs/>
          <w:lang w:eastAsia="en-US"/>
        </w:rPr>
        <w:t>New Zealand Cancer Action Plan 2019–2029</w:t>
      </w:r>
      <w:r>
        <w:rPr>
          <w:lang w:eastAsia="en-US"/>
        </w:rPr>
        <w:t>.</w:t>
      </w:r>
      <w:r>
        <w:rPr>
          <w:rStyle w:val="FootnoteReference"/>
          <w:lang w:eastAsia="en-US"/>
        </w:rPr>
        <w:footnoteReference w:id="55"/>
      </w:r>
    </w:p>
    <w:p w14:paraId="5B213366" w14:textId="43B0C759" w:rsidR="00380909" w:rsidRDefault="00380909" w:rsidP="00380909">
      <w:pPr>
        <w:pStyle w:val="Bullet"/>
        <w:rPr>
          <w:lang w:eastAsia="en-US"/>
        </w:rPr>
      </w:pPr>
      <w:r>
        <w:rPr>
          <w:lang w:eastAsia="en-US"/>
        </w:rPr>
        <w:t>The six Pae Ora Strategies:</w:t>
      </w:r>
    </w:p>
    <w:p w14:paraId="23BDB56F" w14:textId="79C70922" w:rsidR="00380909" w:rsidRDefault="00380909" w:rsidP="00380909">
      <w:pPr>
        <w:pStyle w:val="Dash"/>
        <w:rPr>
          <w:lang w:eastAsia="en-US"/>
        </w:rPr>
      </w:pPr>
      <w:r>
        <w:rPr>
          <w:lang w:eastAsia="en-US"/>
        </w:rPr>
        <w:t>New Zealand Health Strategy</w:t>
      </w:r>
    </w:p>
    <w:p w14:paraId="3FE633F3" w14:textId="66C55B9B" w:rsidR="00380909" w:rsidRDefault="00380909" w:rsidP="00380909">
      <w:pPr>
        <w:pStyle w:val="Dash"/>
        <w:rPr>
          <w:lang w:eastAsia="en-US"/>
        </w:rPr>
      </w:pPr>
      <w:r>
        <w:rPr>
          <w:lang w:eastAsia="en-US"/>
        </w:rPr>
        <w:t>Pae Tū: Hauora Māori Strategy</w:t>
      </w:r>
    </w:p>
    <w:p w14:paraId="7D63B5D5" w14:textId="1FA4B3CF" w:rsidR="00380909" w:rsidRDefault="00380909" w:rsidP="00380909">
      <w:pPr>
        <w:pStyle w:val="Dash"/>
        <w:rPr>
          <w:lang w:eastAsia="en-US"/>
        </w:rPr>
      </w:pPr>
      <w:r>
        <w:rPr>
          <w:lang w:eastAsia="en-US"/>
        </w:rPr>
        <w:t>Te Mana Ola: The Pacific Health Strategy</w:t>
      </w:r>
    </w:p>
    <w:p w14:paraId="7543B44C" w14:textId="79CF47F7" w:rsidR="00380909" w:rsidRDefault="00380909" w:rsidP="00380909">
      <w:pPr>
        <w:pStyle w:val="Dash"/>
        <w:rPr>
          <w:lang w:eastAsia="en-US"/>
        </w:rPr>
      </w:pPr>
      <w:r>
        <w:rPr>
          <w:lang w:eastAsia="en-US"/>
        </w:rPr>
        <w:t>Health of Disabled People Strategy</w:t>
      </w:r>
    </w:p>
    <w:p w14:paraId="4168B4A1" w14:textId="0E088C5D" w:rsidR="00380909" w:rsidRDefault="00380909" w:rsidP="00380909">
      <w:pPr>
        <w:pStyle w:val="Dash"/>
        <w:rPr>
          <w:lang w:eastAsia="en-US"/>
        </w:rPr>
      </w:pPr>
      <w:r>
        <w:rPr>
          <w:lang w:eastAsia="en-US"/>
        </w:rPr>
        <w:t>Rural Health Strategy.</w:t>
      </w:r>
    </w:p>
    <w:p w14:paraId="68E6696A" w14:textId="30DF9550" w:rsidR="00380909" w:rsidRDefault="00380909" w:rsidP="00380909">
      <w:pPr>
        <w:pStyle w:val="Dash"/>
        <w:rPr>
          <w:lang w:eastAsia="en-US"/>
        </w:rPr>
      </w:pPr>
      <w:r>
        <w:rPr>
          <w:lang w:eastAsia="en-US"/>
        </w:rPr>
        <w:t>Women’s Health Strategy</w:t>
      </w:r>
    </w:p>
    <w:p w14:paraId="5EBEF007" w14:textId="77777777" w:rsidR="00380909" w:rsidRDefault="00380909" w:rsidP="00380909">
      <w:pPr>
        <w:pStyle w:val="Bullet"/>
        <w:rPr>
          <w:lang w:eastAsia="en-US"/>
        </w:rPr>
        <w:sectPr w:rsidR="00380909" w:rsidSect="005E645F">
          <w:pgSz w:w="11907" w:h="16840" w:code="9"/>
          <w:pgMar w:top="1418" w:right="1701" w:bottom="1134" w:left="1843" w:header="284" w:footer="425" w:gutter="284"/>
          <w:cols w:space="720"/>
        </w:sectPr>
      </w:pPr>
      <w:r>
        <w:rPr>
          <w:lang w:eastAsia="en-US"/>
        </w:rPr>
        <w:t>Government Policy Statement on Health 2024–2027.</w:t>
      </w:r>
      <w:r>
        <w:rPr>
          <w:rStyle w:val="FootnoteReference"/>
          <w:lang w:eastAsia="en-US"/>
        </w:rPr>
        <w:footnoteReference w:id="56"/>
      </w:r>
    </w:p>
    <w:p w14:paraId="3D2DE302" w14:textId="6476D950" w:rsidR="00EF6CD7" w:rsidRDefault="00380909" w:rsidP="00380909">
      <w:pPr>
        <w:rPr>
          <w:lang w:eastAsia="en-US"/>
        </w:rPr>
      </w:pPr>
      <w:r w:rsidRPr="00380909">
        <w:rPr>
          <w:noProof/>
        </w:rPr>
        <w:lastRenderedPageBreak/>
        <w:drawing>
          <wp:inline distT="0" distB="0" distL="0" distR="0" wp14:anchorId="4743026B" wp14:editId="1F0788B0">
            <wp:extent cx="5130165" cy="4537710"/>
            <wp:effectExtent l="0" t="0" r="0" b="0"/>
            <wp:docPr id="938" name="Picture 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Picture 938">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5130165" cy="4537710"/>
                    </a:xfrm>
                    <a:prstGeom prst="rect">
                      <a:avLst/>
                    </a:prstGeom>
                  </pic:spPr>
                </pic:pic>
              </a:graphicData>
            </a:graphic>
          </wp:inline>
        </w:drawing>
      </w:r>
    </w:p>
    <w:p w14:paraId="01117C37" w14:textId="215E8B4C" w:rsidR="00380909" w:rsidRDefault="00872392" w:rsidP="00872392">
      <w:pPr>
        <w:pStyle w:val="Heading3"/>
        <w:rPr>
          <w:lang w:eastAsia="en-US"/>
        </w:rPr>
      </w:pPr>
      <w:r w:rsidRPr="00872392">
        <w:rPr>
          <w:lang w:eastAsia="en-US"/>
        </w:rPr>
        <w:t xml:space="preserve">Our work </w:t>
      </w:r>
      <w:proofErr w:type="gramStart"/>
      <w:r w:rsidRPr="00872392">
        <w:rPr>
          <w:lang w:eastAsia="en-US"/>
        </w:rPr>
        <w:t>programme</w:t>
      </w:r>
      <w:proofErr w:type="gramEnd"/>
    </w:p>
    <w:p w14:paraId="43129F14" w14:textId="7E690CC5" w:rsidR="00872392" w:rsidRDefault="00872392" w:rsidP="00872392">
      <w:pPr>
        <w:pStyle w:val="Heading5"/>
        <w:rPr>
          <w:lang w:eastAsia="en-US"/>
        </w:rPr>
      </w:pPr>
      <w:r w:rsidRPr="00872392">
        <w:rPr>
          <w:b/>
          <w:bCs/>
          <w:lang w:eastAsia="en-US"/>
        </w:rPr>
        <w:t xml:space="preserve">Outcome 1:  </w:t>
      </w:r>
      <w:r w:rsidRPr="00872392">
        <w:rPr>
          <w:b/>
          <w:bCs/>
          <w:lang w:eastAsia="en-US"/>
        </w:rPr>
        <w:br/>
      </w:r>
      <w:r>
        <w:rPr>
          <w:lang w:eastAsia="en-US"/>
        </w:rPr>
        <w:t xml:space="preserve">New Zealanders have a system that delivers consistent and modern cancer </w:t>
      </w:r>
      <w:proofErr w:type="gramStart"/>
      <w:r>
        <w:rPr>
          <w:lang w:eastAsia="en-US"/>
        </w:rPr>
        <w:t>care</w:t>
      </w:r>
      <w:proofErr w:type="gramEnd"/>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552"/>
        <w:gridCol w:w="5386"/>
      </w:tblGrid>
      <w:tr w:rsidR="00872392" w:rsidRPr="00872392" w14:paraId="29A77BAD" w14:textId="77777777" w:rsidTr="00872392">
        <w:trPr>
          <w:tblHeader/>
        </w:trPr>
        <w:tc>
          <w:tcPr>
            <w:tcW w:w="2552" w:type="dxa"/>
            <w:tcBorders>
              <w:top w:val="nil"/>
              <w:bottom w:val="nil"/>
            </w:tcBorders>
            <w:shd w:val="clear" w:color="auto" w:fill="D9D9D9" w:themeFill="background1" w:themeFillShade="D9"/>
          </w:tcPr>
          <w:p w14:paraId="40A9F644" w14:textId="163F572E" w:rsidR="00872392" w:rsidRPr="00872392" w:rsidRDefault="00872392" w:rsidP="00872392">
            <w:pPr>
              <w:pStyle w:val="TableText"/>
              <w:rPr>
                <w:b/>
                <w:bCs/>
              </w:rPr>
            </w:pPr>
            <w:r w:rsidRPr="00872392">
              <w:rPr>
                <w:b/>
                <w:bCs/>
              </w:rPr>
              <w:t>Our priorities</w:t>
            </w:r>
          </w:p>
        </w:tc>
        <w:tc>
          <w:tcPr>
            <w:tcW w:w="5386" w:type="dxa"/>
            <w:tcBorders>
              <w:top w:val="nil"/>
              <w:bottom w:val="nil"/>
            </w:tcBorders>
            <w:shd w:val="clear" w:color="auto" w:fill="D9D9D9" w:themeFill="background1" w:themeFillShade="D9"/>
          </w:tcPr>
          <w:p w14:paraId="53597342" w14:textId="35CAF095" w:rsidR="00872392" w:rsidRPr="00872392" w:rsidRDefault="00872392" w:rsidP="00872392">
            <w:pPr>
              <w:pStyle w:val="TableText"/>
              <w:rPr>
                <w:b/>
                <w:bCs/>
              </w:rPr>
            </w:pPr>
            <w:r w:rsidRPr="00872392">
              <w:rPr>
                <w:b/>
                <w:bCs/>
              </w:rPr>
              <w:t>Our work</w:t>
            </w:r>
          </w:p>
        </w:tc>
      </w:tr>
      <w:tr w:rsidR="00872392" w14:paraId="381AE2F2" w14:textId="77777777" w:rsidTr="00872392">
        <w:tc>
          <w:tcPr>
            <w:tcW w:w="2552" w:type="dxa"/>
            <w:tcBorders>
              <w:top w:val="nil"/>
            </w:tcBorders>
          </w:tcPr>
          <w:p w14:paraId="19406761" w14:textId="00FE1D1B" w:rsidR="00872392" w:rsidRPr="00872392" w:rsidRDefault="00872392" w:rsidP="00872392">
            <w:pPr>
              <w:pStyle w:val="TableText"/>
            </w:pPr>
            <w:r w:rsidRPr="00872392">
              <w:t>Supporting a system that delivers consistent and modern care</w:t>
            </w:r>
          </w:p>
        </w:tc>
        <w:tc>
          <w:tcPr>
            <w:tcW w:w="5386" w:type="dxa"/>
            <w:tcBorders>
              <w:top w:val="nil"/>
            </w:tcBorders>
          </w:tcPr>
          <w:p w14:paraId="3536C95B" w14:textId="77777777" w:rsidR="00872392" w:rsidRDefault="00872392" w:rsidP="00872392">
            <w:pPr>
              <w:pStyle w:val="TableBullet"/>
              <w:spacing w:before="60"/>
              <w:rPr>
                <w:lang w:eastAsia="en-US"/>
              </w:rPr>
            </w:pPr>
            <w:r>
              <w:rPr>
                <w:lang w:eastAsia="en-US"/>
              </w:rPr>
              <w:t>Building a high-performing agency</w:t>
            </w:r>
          </w:p>
          <w:p w14:paraId="11D7655A" w14:textId="77777777" w:rsidR="00872392" w:rsidRDefault="00872392" w:rsidP="00872392">
            <w:pPr>
              <w:pStyle w:val="TableBullet"/>
              <w:spacing w:before="60"/>
              <w:rPr>
                <w:lang w:eastAsia="en-US"/>
              </w:rPr>
            </w:pPr>
            <w:r>
              <w:rPr>
                <w:lang w:eastAsia="en-US"/>
              </w:rPr>
              <w:t>Committing to capability building</w:t>
            </w:r>
          </w:p>
          <w:p w14:paraId="0F57F781" w14:textId="77777777" w:rsidR="00872392" w:rsidRDefault="00872392" w:rsidP="00872392">
            <w:pPr>
              <w:pStyle w:val="TableBullet"/>
              <w:spacing w:before="60"/>
              <w:rPr>
                <w:lang w:eastAsia="en-US"/>
              </w:rPr>
            </w:pPr>
            <w:r>
              <w:rPr>
                <w:lang w:eastAsia="en-US"/>
              </w:rPr>
              <w:t>Providing good systems and processes</w:t>
            </w:r>
          </w:p>
          <w:p w14:paraId="3CBEC01E" w14:textId="77777777" w:rsidR="00872392" w:rsidRDefault="00872392" w:rsidP="00872392">
            <w:pPr>
              <w:pStyle w:val="TableBullet"/>
              <w:spacing w:before="60"/>
              <w:rPr>
                <w:lang w:eastAsia="en-US"/>
              </w:rPr>
            </w:pPr>
            <w:r>
              <w:rPr>
                <w:lang w:eastAsia="en-US"/>
              </w:rPr>
              <w:t>Actively supporting the health sector</w:t>
            </w:r>
          </w:p>
          <w:p w14:paraId="56CAAB4F" w14:textId="7CDD17D6" w:rsidR="00872392" w:rsidRDefault="00872392" w:rsidP="00872392">
            <w:pPr>
              <w:pStyle w:val="TableBullet"/>
              <w:spacing w:before="60"/>
              <w:rPr>
                <w:lang w:eastAsia="en-US"/>
              </w:rPr>
            </w:pPr>
            <w:r>
              <w:rPr>
                <w:lang w:eastAsia="en-US"/>
              </w:rPr>
              <w:t>Developing and updating cancer service quality performance indicators</w:t>
            </w:r>
          </w:p>
        </w:tc>
      </w:tr>
      <w:tr w:rsidR="00872392" w14:paraId="3DCA3DD0" w14:textId="77777777" w:rsidTr="00872392">
        <w:tc>
          <w:tcPr>
            <w:tcW w:w="2552" w:type="dxa"/>
          </w:tcPr>
          <w:p w14:paraId="7A81314E" w14:textId="2FAF5097" w:rsidR="00872392" w:rsidRPr="00872392" w:rsidRDefault="00872392" w:rsidP="00872392">
            <w:pPr>
              <w:pStyle w:val="TableText"/>
            </w:pPr>
            <w:r w:rsidRPr="00872392">
              <w:t>Transforming the future of cancer service delivery</w:t>
            </w:r>
          </w:p>
        </w:tc>
        <w:tc>
          <w:tcPr>
            <w:tcW w:w="5386" w:type="dxa"/>
          </w:tcPr>
          <w:p w14:paraId="0C1C6A8E" w14:textId="77777777" w:rsidR="00872392" w:rsidRDefault="00872392" w:rsidP="00872392">
            <w:pPr>
              <w:pStyle w:val="TableText"/>
              <w:rPr>
                <w:lang w:eastAsia="en-US"/>
              </w:rPr>
            </w:pPr>
            <w:r>
              <w:rPr>
                <w:lang w:eastAsia="en-US"/>
              </w:rPr>
              <w:t>Building on the Cancer Services Planning Programme including:</w:t>
            </w:r>
          </w:p>
          <w:p w14:paraId="39307E30" w14:textId="77777777" w:rsidR="00872392" w:rsidRDefault="00872392" w:rsidP="00872392">
            <w:pPr>
              <w:pStyle w:val="TableBullet"/>
              <w:spacing w:before="60"/>
              <w:rPr>
                <w:lang w:eastAsia="en-US"/>
              </w:rPr>
            </w:pPr>
            <w:r>
              <w:rPr>
                <w:lang w:eastAsia="en-US"/>
              </w:rPr>
              <w:t>Optimal Cancer Care Pathways</w:t>
            </w:r>
          </w:p>
          <w:p w14:paraId="1465BE8C" w14:textId="77777777" w:rsidR="00872392" w:rsidRDefault="00872392" w:rsidP="00872392">
            <w:pPr>
              <w:pStyle w:val="TableBullet"/>
              <w:spacing w:before="60"/>
              <w:rPr>
                <w:lang w:eastAsia="en-US"/>
              </w:rPr>
            </w:pPr>
            <w:r>
              <w:rPr>
                <w:lang w:eastAsia="en-US"/>
              </w:rPr>
              <w:t>Models of Care for Systemic, Cellular and Radiation therapies</w:t>
            </w:r>
          </w:p>
          <w:p w14:paraId="1E4BC2CC" w14:textId="77777777" w:rsidR="00872392" w:rsidRDefault="00872392" w:rsidP="00872392">
            <w:pPr>
              <w:pStyle w:val="TableBullet"/>
              <w:spacing w:before="60"/>
              <w:rPr>
                <w:lang w:eastAsia="en-US"/>
              </w:rPr>
            </w:pPr>
            <w:r>
              <w:rPr>
                <w:lang w:eastAsia="en-US"/>
              </w:rPr>
              <w:t>Multidisciplinary meetings guidelines</w:t>
            </w:r>
          </w:p>
          <w:p w14:paraId="5B7CDFF4" w14:textId="77777777" w:rsidR="00872392" w:rsidRDefault="00872392" w:rsidP="00872392">
            <w:pPr>
              <w:pStyle w:val="TableBullet"/>
              <w:spacing w:before="60"/>
              <w:rPr>
                <w:lang w:eastAsia="en-US"/>
              </w:rPr>
            </w:pPr>
            <w:r>
              <w:rPr>
                <w:lang w:eastAsia="en-US"/>
              </w:rPr>
              <w:t>CAR-T Cell Therapy Model of Care</w:t>
            </w:r>
          </w:p>
          <w:p w14:paraId="60A8774B" w14:textId="77777777" w:rsidR="00872392" w:rsidRDefault="00872392" w:rsidP="00872392">
            <w:pPr>
              <w:pStyle w:val="TableBullet"/>
              <w:spacing w:before="60"/>
              <w:rPr>
                <w:lang w:eastAsia="en-US"/>
              </w:rPr>
            </w:pPr>
            <w:r>
              <w:rPr>
                <w:lang w:eastAsia="en-US"/>
              </w:rPr>
              <w:t>Delivering the first monitoring report</w:t>
            </w:r>
          </w:p>
          <w:p w14:paraId="494D83E8" w14:textId="39F5686A" w:rsidR="00872392" w:rsidRDefault="00872392" w:rsidP="00704067">
            <w:pPr>
              <w:pStyle w:val="TableText"/>
              <w:rPr>
                <w:lang w:eastAsia="en-US"/>
              </w:rPr>
            </w:pPr>
            <w:r>
              <w:rPr>
                <w:lang w:eastAsia="en-US"/>
              </w:rPr>
              <w:t>For more information, see Ngā whakatutukinga – What we have achieved.</w:t>
            </w:r>
          </w:p>
        </w:tc>
      </w:tr>
      <w:tr w:rsidR="00872392" w14:paraId="3FC1D4BA" w14:textId="77777777" w:rsidTr="00872392">
        <w:tc>
          <w:tcPr>
            <w:tcW w:w="2552" w:type="dxa"/>
          </w:tcPr>
          <w:p w14:paraId="12B228EF" w14:textId="73B371DC" w:rsidR="00872392" w:rsidRPr="00872392" w:rsidRDefault="00872392" w:rsidP="00872392">
            <w:pPr>
              <w:pStyle w:val="TableText"/>
            </w:pPr>
            <w:r w:rsidRPr="00872392">
              <w:lastRenderedPageBreak/>
              <w:t>Providing better quality, more connected data</w:t>
            </w:r>
          </w:p>
        </w:tc>
        <w:tc>
          <w:tcPr>
            <w:tcW w:w="5386" w:type="dxa"/>
          </w:tcPr>
          <w:p w14:paraId="2076CEEE" w14:textId="77777777" w:rsidR="00872392" w:rsidRDefault="00872392" w:rsidP="00872392">
            <w:pPr>
              <w:pStyle w:val="TableText"/>
              <w:rPr>
                <w:lang w:eastAsia="en-US"/>
              </w:rPr>
            </w:pPr>
            <w:r>
              <w:rPr>
                <w:lang w:eastAsia="en-US"/>
              </w:rPr>
              <w:t>Developing CanShare system including:</w:t>
            </w:r>
          </w:p>
          <w:p w14:paraId="08ED37B0" w14:textId="34381B42" w:rsidR="00872392" w:rsidRDefault="00872392" w:rsidP="00872392">
            <w:pPr>
              <w:pStyle w:val="TableBullet"/>
              <w:spacing w:before="60"/>
              <w:rPr>
                <w:lang w:eastAsia="en-US"/>
              </w:rPr>
            </w:pPr>
            <w:r>
              <w:rPr>
                <w:lang w:eastAsia="en-US"/>
              </w:rPr>
              <w:t>Anti-Cancer Therapies — Nationally Organised Workstreams (ACT-NOW) Programme</w:t>
            </w:r>
          </w:p>
          <w:p w14:paraId="0F7E0965" w14:textId="6014E6A7" w:rsidR="00872392" w:rsidRDefault="00872392" w:rsidP="00872392">
            <w:pPr>
              <w:pStyle w:val="TableBullet"/>
              <w:spacing w:before="60"/>
              <w:rPr>
                <w:lang w:eastAsia="en-US"/>
              </w:rPr>
            </w:pPr>
            <w:r>
              <w:rPr>
                <w:lang w:eastAsia="en-US"/>
              </w:rPr>
              <w:t>Structured Pathology Reporting of Cancer Data Standards Project</w:t>
            </w:r>
          </w:p>
          <w:p w14:paraId="713B32D8" w14:textId="11D1A673" w:rsidR="00872392" w:rsidRDefault="00872392" w:rsidP="00872392">
            <w:pPr>
              <w:pStyle w:val="TableBullet"/>
              <w:spacing w:before="60"/>
              <w:rPr>
                <w:lang w:eastAsia="en-US"/>
              </w:rPr>
            </w:pPr>
            <w:r>
              <w:rPr>
                <w:lang w:eastAsia="en-US"/>
              </w:rPr>
              <w:t>National Radiation Oncology Collection (ROC)</w:t>
            </w:r>
          </w:p>
          <w:p w14:paraId="57D92088" w14:textId="07A4E0C0" w:rsidR="00872392" w:rsidRDefault="00872392" w:rsidP="00872392">
            <w:pPr>
              <w:pStyle w:val="TableBullet"/>
              <w:spacing w:before="60"/>
              <w:rPr>
                <w:lang w:eastAsia="en-US"/>
              </w:rPr>
            </w:pPr>
            <w:r>
              <w:rPr>
                <w:lang w:eastAsia="en-US"/>
              </w:rPr>
              <w:t>Collaboration across data and digital health</w:t>
            </w:r>
          </w:p>
        </w:tc>
      </w:tr>
    </w:tbl>
    <w:p w14:paraId="18CF9DDB" w14:textId="1DF9C202" w:rsidR="00872392" w:rsidRDefault="00872392" w:rsidP="00872392">
      <w:pPr>
        <w:pStyle w:val="Heading5"/>
        <w:rPr>
          <w:lang w:eastAsia="en-US"/>
        </w:rPr>
      </w:pPr>
      <w:r w:rsidRPr="00872392">
        <w:rPr>
          <w:b/>
          <w:bCs/>
          <w:lang w:eastAsia="en-US"/>
        </w:rPr>
        <w:t xml:space="preserve">Outcome </w:t>
      </w:r>
      <w:r>
        <w:rPr>
          <w:b/>
          <w:bCs/>
          <w:lang w:eastAsia="en-US"/>
        </w:rPr>
        <w:t>2</w:t>
      </w:r>
      <w:r w:rsidRPr="00872392">
        <w:rPr>
          <w:b/>
          <w:bCs/>
          <w:lang w:eastAsia="en-US"/>
        </w:rPr>
        <w:t xml:space="preserve">:  </w:t>
      </w:r>
      <w:r w:rsidRPr="00872392">
        <w:rPr>
          <w:b/>
          <w:bCs/>
          <w:lang w:eastAsia="en-US"/>
        </w:rPr>
        <w:br/>
      </w:r>
      <w:r w:rsidRPr="00872392">
        <w:rPr>
          <w:lang w:eastAsia="en-US"/>
        </w:rPr>
        <w:t xml:space="preserve">New Zealanders have fewer </w:t>
      </w:r>
      <w:proofErr w:type="gramStart"/>
      <w:r w:rsidRPr="00872392">
        <w:rPr>
          <w:lang w:eastAsia="en-US"/>
        </w:rPr>
        <w:t>cancers</w:t>
      </w:r>
      <w:proofErr w:type="gramEnd"/>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552"/>
        <w:gridCol w:w="5386"/>
      </w:tblGrid>
      <w:tr w:rsidR="00872392" w:rsidRPr="00872392" w14:paraId="5986F389" w14:textId="77777777" w:rsidTr="00DF7676">
        <w:trPr>
          <w:tblHeader/>
        </w:trPr>
        <w:tc>
          <w:tcPr>
            <w:tcW w:w="2552" w:type="dxa"/>
            <w:tcBorders>
              <w:top w:val="nil"/>
              <w:bottom w:val="nil"/>
            </w:tcBorders>
            <w:shd w:val="clear" w:color="auto" w:fill="D9D9D9" w:themeFill="background1" w:themeFillShade="D9"/>
          </w:tcPr>
          <w:p w14:paraId="6FE7A0EA" w14:textId="77777777" w:rsidR="00872392" w:rsidRPr="00872392" w:rsidRDefault="00872392" w:rsidP="00DF7676">
            <w:pPr>
              <w:pStyle w:val="TableText"/>
              <w:rPr>
                <w:b/>
                <w:bCs/>
              </w:rPr>
            </w:pPr>
            <w:r w:rsidRPr="00872392">
              <w:rPr>
                <w:b/>
                <w:bCs/>
              </w:rPr>
              <w:t>Our priorities</w:t>
            </w:r>
          </w:p>
        </w:tc>
        <w:tc>
          <w:tcPr>
            <w:tcW w:w="5386" w:type="dxa"/>
            <w:tcBorders>
              <w:top w:val="nil"/>
              <w:bottom w:val="nil"/>
            </w:tcBorders>
            <w:shd w:val="clear" w:color="auto" w:fill="D9D9D9" w:themeFill="background1" w:themeFillShade="D9"/>
          </w:tcPr>
          <w:p w14:paraId="2415205A" w14:textId="77777777" w:rsidR="00872392" w:rsidRPr="00872392" w:rsidRDefault="00872392" w:rsidP="00DF7676">
            <w:pPr>
              <w:pStyle w:val="TableText"/>
              <w:rPr>
                <w:b/>
                <w:bCs/>
              </w:rPr>
            </w:pPr>
            <w:r w:rsidRPr="00872392">
              <w:rPr>
                <w:b/>
                <w:bCs/>
              </w:rPr>
              <w:t>Our work</w:t>
            </w:r>
          </w:p>
        </w:tc>
      </w:tr>
      <w:tr w:rsidR="00872392" w14:paraId="5323A8B8" w14:textId="77777777" w:rsidTr="00DF7676">
        <w:tc>
          <w:tcPr>
            <w:tcW w:w="2552" w:type="dxa"/>
            <w:tcBorders>
              <w:top w:val="nil"/>
            </w:tcBorders>
          </w:tcPr>
          <w:p w14:paraId="2939BC9E" w14:textId="225769EF" w:rsidR="00872392" w:rsidRPr="00872392" w:rsidRDefault="00872392" w:rsidP="00872392">
            <w:pPr>
              <w:pStyle w:val="TableText"/>
            </w:pPr>
            <w:r w:rsidRPr="00872392">
              <w:t>Achieving fewer cancers through a focus on prevention</w:t>
            </w:r>
          </w:p>
        </w:tc>
        <w:tc>
          <w:tcPr>
            <w:tcW w:w="5386" w:type="dxa"/>
            <w:tcBorders>
              <w:top w:val="nil"/>
            </w:tcBorders>
          </w:tcPr>
          <w:p w14:paraId="195D536D" w14:textId="77777777" w:rsidR="00872392" w:rsidRDefault="00872392" w:rsidP="00872392">
            <w:pPr>
              <w:pStyle w:val="TableBullet"/>
              <w:spacing w:before="60"/>
              <w:rPr>
                <w:lang w:eastAsia="en-US"/>
              </w:rPr>
            </w:pPr>
            <w:r>
              <w:rPr>
                <w:lang w:eastAsia="en-US"/>
              </w:rPr>
              <w:t>Cancer research</w:t>
            </w:r>
          </w:p>
          <w:p w14:paraId="2C563060" w14:textId="77777777" w:rsidR="00872392" w:rsidRDefault="00872392" w:rsidP="00872392">
            <w:pPr>
              <w:pStyle w:val="TableBullet"/>
              <w:spacing w:before="60"/>
              <w:rPr>
                <w:lang w:eastAsia="en-US"/>
              </w:rPr>
            </w:pPr>
            <w:r>
              <w:rPr>
                <w:lang w:eastAsia="en-US"/>
              </w:rPr>
              <w:t>Primary health care project</w:t>
            </w:r>
          </w:p>
          <w:p w14:paraId="183F6573" w14:textId="1EB6E2CF" w:rsidR="00872392" w:rsidRDefault="00872392" w:rsidP="00872392">
            <w:pPr>
              <w:pStyle w:val="TableBullet"/>
              <w:spacing w:before="60"/>
              <w:rPr>
                <w:lang w:eastAsia="en-US"/>
              </w:rPr>
            </w:pPr>
            <w:r>
              <w:rPr>
                <w:lang w:eastAsia="en-US"/>
              </w:rPr>
              <w:t>Advice for primary care</w:t>
            </w:r>
          </w:p>
        </w:tc>
      </w:tr>
    </w:tbl>
    <w:p w14:paraId="141F3E81" w14:textId="05B972B9" w:rsidR="00872392" w:rsidRDefault="00872392" w:rsidP="00872392">
      <w:pPr>
        <w:pStyle w:val="Heading5"/>
        <w:rPr>
          <w:lang w:eastAsia="en-US"/>
        </w:rPr>
      </w:pPr>
      <w:r w:rsidRPr="00872392">
        <w:rPr>
          <w:b/>
          <w:bCs/>
          <w:lang w:eastAsia="en-US"/>
        </w:rPr>
        <w:t>Outcome</w:t>
      </w:r>
      <w:r>
        <w:rPr>
          <w:b/>
          <w:bCs/>
          <w:lang w:eastAsia="en-US"/>
        </w:rPr>
        <w:t xml:space="preserve"> 3</w:t>
      </w:r>
      <w:r w:rsidRPr="00872392">
        <w:rPr>
          <w:b/>
          <w:bCs/>
          <w:lang w:eastAsia="en-US"/>
        </w:rPr>
        <w:t xml:space="preserve">:  </w:t>
      </w:r>
      <w:r w:rsidRPr="00872392">
        <w:rPr>
          <w:b/>
          <w:bCs/>
          <w:lang w:eastAsia="en-US"/>
        </w:rPr>
        <w:br/>
      </w:r>
      <w:r w:rsidRPr="00872392">
        <w:rPr>
          <w:lang w:eastAsia="en-US"/>
        </w:rPr>
        <w:t xml:space="preserve">New Zealanders have better cancer </w:t>
      </w:r>
      <w:proofErr w:type="gramStart"/>
      <w:r w:rsidRPr="00872392">
        <w:rPr>
          <w:lang w:eastAsia="en-US"/>
        </w:rPr>
        <w:t>survival</w:t>
      </w:r>
      <w:proofErr w:type="gramEnd"/>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552"/>
        <w:gridCol w:w="5386"/>
      </w:tblGrid>
      <w:tr w:rsidR="00872392" w:rsidRPr="00872392" w14:paraId="3042911A" w14:textId="77777777" w:rsidTr="00DF7676">
        <w:trPr>
          <w:tblHeader/>
        </w:trPr>
        <w:tc>
          <w:tcPr>
            <w:tcW w:w="2552" w:type="dxa"/>
            <w:tcBorders>
              <w:top w:val="nil"/>
              <w:bottom w:val="nil"/>
            </w:tcBorders>
            <w:shd w:val="clear" w:color="auto" w:fill="D9D9D9" w:themeFill="background1" w:themeFillShade="D9"/>
          </w:tcPr>
          <w:p w14:paraId="0DADA246" w14:textId="77777777" w:rsidR="00872392" w:rsidRPr="00872392" w:rsidRDefault="00872392" w:rsidP="00DF7676">
            <w:pPr>
              <w:pStyle w:val="TableText"/>
              <w:rPr>
                <w:b/>
                <w:bCs/>
              </w:rPr>
            </w:pPr>
            <w:r w:rsidRPr="00872392">
              <w:rPr>
                <w:b/>
                <w:bCs/>
              </w:rPr>
              <w:t>Our priorities</w:t>
            </w:r>
          </w:p>
        </w:tc>
        <w:tc>
          <w:tcPr>
            <w:tcW w:w="5386" w:type="dxa"/>
            <w:tcBorders>
              <w:top w:val="nil"/>
              <w:bottom w:val="nil"/>
            </w:tcBorders>
            <w:shd w:val="clear" w:color="auto" w:fill="D9D9D9" w:themeFill="background1" w:themeFillShade="D9"/>
          </w:tcPr>
          <w:p w14:paraId="59370EE0" w14:textId="77777777" w:rsidR="00872392" w:rsidRPr="00872392" w:rsidRDefault="00872392" w:rsidP="00DF7676">
            <w:pPr>
              <w:pStyle w:val="TableText"/>
              <w:rPr>
                <w:b/>
                <w:bCs/>
              </w:rPr>
            </w:pPr>
            <w:r w:rsidRPr="00872392">
              <w:rPr>
                <w:b/>
                <w:bCs/>
              </w:rPr>
              <w:t>Our work</w:t>
            </w:r>
          </w:p>
        </w:tc>
      </w:tr>
      <w:tr w:rsidR="00872392" w14:paraId="20E36117" w14:textId="77777777" w:rsidTr="00DF7676">
        <w:tc>
          <w:tcPr>
            <w:tcW w:w="2552" w:type="dxa"/>
            <w:tcBorders>
              <w:top w:val="nil"/>
            </w:tcBorders>
          </w:tcPr>
          <w:p w14:paraId="04C5513D" w14:textId="37CFD4ED" w:rsidR="00872392" w:rsidRPr="00872392" w:rsidRDefault="00872392" w:rsidP="00872392">
            <w:pPr>
              <w:pStyle w:val="TableText"/>
            </w:pPr>
            <w:r w:rsidRPr="00872392">
              <w:t>Improving cancer survival</w:t>
            </w:r>
          </w:p>
        </w:tc>
        <w:tc>
          <w:tcPr>
            <w:tcW w:w="5386" w:type="dxa"/>
            <w:tcBorders>
              <w:top w:val="nil"/>
            </w:tcBorders>
          </w:tcPr>
          <w:p w14:paraId="220B7AC0" w14:textId="77777777" w:rsidR="00872392" w:rsidRDefault="00872392" w:rsidP="00872392">
            <w:pPr>
              <w:pStyle w:val="TableBullet"/>
              <w:spacing w:before="60"/>
              <w:rPr>
                <w:lang w:eastAsia="en-US"/>
              </w:rPr>
            </w:pPr>
            <w:r>
              <w:rPr>
                <w:lang w:eastAsia="en-US"/>
              </w:rPr>
              <w:t>Quality performance indicator programme (QPI)</w:t>
            </w:r>
          </w:p>
          <w:p w14:paraId="2D70D1BF" w14:textId="6B3B967E" w:rsidR="00872392" w:rsidRDefault="00872392" w:rsidP="00872392">
            <w:pPr>
              <w:pStyle w:val="TableBullet"/>
              <w:spacing w:before="60"/>
              <w:rPr>
                <w:lang w:eastAsia="en-US"/>
              </w:rPr>
            </w:pPr>
            <w:r>
              <w:rPr>
                <w:lang w:eastAsia="en-US"/>
              </w:rPr>
              <w:t>Released a QPI monitoring report: Route to Cancer Diagnosis Report: People diagnosed with cancer within 30 days of an emergency or unplanned hospital admission</w:t>
            </w:r>
            <w:r>
              <w:rPr>
                <w:rStyle w:val="FootnoteReference"/>
                <w:lang w:eastAsia="en-US"/>
              </w:rPr>
              <w:footnoteReference w:id="57"/>
            </w:r>
          </w:p>
          <w:p w14:paraId="5C2B567D" w14:textId="77777777" w:rsidR="00872392" w:rsidRDefault="00872392" w:rsidP="00872392">
            <w:pPr>
              <w:pStyle w:val="TableBullet"/>
              <w:spacing w:before="60"/>
              <w:rPr>
                <w:lang w:eastAsia="en-US"/>
              </w:rPr>
            </w:pPr>
            <w:r>
              <w:rPr>
                <w:lang w:eastAsia="en-US"/>
              </w:rPr>
              <w:t>Analysis and report on blood cancer medicines availability</w:t>
            </w:r>
          </w:p>
          <w:p w14:paraId="05A1EBE8" w14:textId="77777777" w:rsidR="00872392" w:rsidRDefault="00872392" w:rsidP="00872392">
            <w:pPr>
              <w:pStyle w:val="TableBullet"/>
              <w:spacing w:before="60"/>
              <w:rPr>
                <w:lang w:eastAsia="en-US"/>
              </w:rPr>
            </w:pPr>
            <w:r>
              <w:rPr>
                <w:lang w:eastAsia="en-US"/>
              </w:rPr>
              <w:t>Supporting cancer medicines implementation</w:t>
            </w:r>
          </w:p>
          <w:p w14:paraId="302F47D4" w14:textId="2FE3C560" w:rsidR="00872392" w:rsidRDefault="00872392" w:rsidP="00872392">
            <w:pPr>
              <w:pStyle w:val="TableBullet"/>
              <w:spacing w:before="60"/>
              <w:rPr>
                <w:lang w:eastAsia="en-US"/>
              </w:rPr>
            </w:pPr>
            <w:r>
              <w:rPr>
                <w:lang w:eastAsia="en-US"/>
              </w:rPr>
              <w:t>Supporting clinical trials</w:t>
            </w:r>
          </w:p>
        </w:tc>
      </w:tr>
    </w:tbl>
    <w:p w14:paraId="510318B2" w14:textId="0BD3E46C" w:rsidR="00872392" w:rsidRDefault="00872392" w:rsidP="00872392">
      <w:pPr>
        <w:pStyle w:val="Heading5"/>
        <w:rPr>
          <w:lang w:eastAsia="en-US"/>
        </w:rPr>
      </w:pPr>
      <w:r w:rsidRPr="00872392">
        <w:rPr>
          <w:b/>
          <w:bCs/>
          <w:lang w:eastAsia="en-US"/>
        </w:rPr>
        <w:t>Outcome</w:t>
      </w:r>
      <w:r>
        <w:rPr>
          <w:b/>
          <w:bCs/>
          <w:lang w:eastAsia="en-US"/>
        </w:rPr>
        <w:t xml:space="preserve"> 4</w:t>
      </w:r>
      <w:r w:rsidRPr="00872392">
        <w:rPr>
          <w:b/>
          <w:bCs/>
          <w:lang w:eastAsia="en-US"/>
        </w:rPr>
        <w:t xml:space="preserve">:  </w:t>
      </w:r>
      <w:r w:rsidRPr="00872392">
        <w:rPr>
          <w:b/>
          <w:bCs/>
          <w:lang w:eastAsia="en-US"/>
        </w:rPr>
        <w:br/>
      </w:r>
      <w:r w:rsidRPr="00872392">
        <w:rPr>
          <w:lang w:eastAsia="en-US"/>
        </w:rPr>
        <w:t xml:space="preserve">New Zealanders experience equitable cancer </w:t>
      </w:r>
      <w:proofErr w:type="gramStart"/>
      <w:r w:rsidRPr="00872392">
        <w:rPr>
          <w:lang w:eastAsia="en-US"/>
        </w:rPr>
        <w:t>outcomes</w:t>
      </w:r>
      <w:proofErr w:type="gramEnd"/>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552"/>
        <w:gridCol w:w="5386"/>
      </w:tblGrid>
      <w:tr w:rsidR="00872392" w:rsidRPr="00872392" w14:paraId="1AD84028" w14:textId="77777777" w:rsidTr="00DF7676">
        <w:trPr>
          <w:tblHeader/>
        </w:trPr>
        <w:tc>
          <w:tcPr>
            <w:tcW w:w="2552" w:type="dxa"/>
            <w:tcBorders>
              <w:top w:val="nil"/>
              <w:bottom w:val="nil"/>
            </w:tcBorders>
            <w:shd w:val="clear" w:color="auto" w:fill="D9D9D9" w:themeFill="background1" w:themeFillShade="D9"/>
          </w:tcPr>
          <w:p w14:paraId="7ED73B21" w14:textId="77777777" w:rsidR="00872392" w:rsidRPr="00872392" w:rsidRDefault="00872392" w:rsidP="00DF7676">
            <w:pPr>
              <w:pStyle w:val="TableText"/>
              <w:rPr>
                <w:b/>
                <w:bCs/>
              </w:rPr>
            </w:pPr>
            <w:r w:rsidRPr="00872392">
              <w:rPr>
                <w:b/>
                <w:bCs/>
              </w:rPr>
              <w:t>Our priorities</w:t>
            </w:r>
          </w:p>
        </w:tc>
        <w:tc>
          <w:tcPr>
            <w:tcW w:w="5386" w:type="dxa"/>
            <w:tcBorders>
              <w:top w:val="nil"/>
              <w:bottom w:val="nil"/>
            </w:tcBorders>
            <w:shd w:val="clear" w:color="auto" w:fill="D9D9D9" w:themeFill="background1" w:themeFillShade="D9"/>
          </w:tcPr>
          <w:p w14:paraId="2204525B" w14:textId="77777777" w:rsidR="00872392" w:rsidRPr="00872392" w:rsidRDefault="00872392" w:rsidP="00DF7676">
            <w:pPr>
              <w:pStyle w:val="TableText"/>
              <w:rPr>
                <w:b/>
                <w:bCs/>
              </w:rPr>
            </w:pPr>
            <w:r w:rsidRPr="00872392">
              <w:rPr>
                <w:b/>
                <w:bCs/>
              </w:rPr>
              <w:t>Our work</w:t>
            </w:r>
          </w:p>
        </w:tc>
      </w:tr>
      <w:tr w:rsidR="00872392" w14:paraId="37AD0490" w14:textId="77777777" w:rsidTr="00DF7676">
        <w:tc>
          <w:tcPr>
            <w:tcW w:w="2552" w:type="dxa"/>
            <w:tcBorders>
              <w:top w:val="nil"/>
            </w:tcBorders>
          </w:tcPr>
          <w:p w14:paraId="752202DD" w14:textId="5F8B0161" w:rsidR="00872392" w:rsidRPr="00872392" w:rsidRDefault="00872392" w:rsidP="00872392">
            <w:pPr>
              <w:pStyle w:val="TableText"/>
            </w:pPr>
            <w:r w:rsidRPr="00872392">
              <w:t>Improving equity of cancer outcomes</w:t>
            </w:r>
          </w:p>
        </w:tc>
        <w:tc>
          <w:tcPr>
            <w:tcW w:w="5386" w:type="dxa"/>
            <w:tcBorders>
              <w:top w:val="nil"/>
            </w:tcBorders>
          </w:tcPr>
          <w:p w14:paraId="52DD6BF5" w14:textId="77777777" w:rsidR="00872392" w:rsidRDefault="00872392" w:rsidP="00872392">
            <w:pPr>
              <w:pStyle w:val="TableBullet"/>
              <w:spacing w:before="60"/>
              <w:rPr>
                <w:lang w:eastAsia="en-US"/>
              </w:rPr>
            </w:pPr>
            <w:r>
              <w:rPr>
                <w:lang w:eastAsia="en-US"/>
              </w:rPr>
              <w:t>Feeding back through Māori community hui (meetings)</w:t>
            </w:r>
          </w:p>
          <w:p w14:paraId="13837C5C" w14:textId="77777777" w:rsidR="00872392" w:rsidRDefault="00872392" w:rsidP="00872392">
            <w:pPr>
              <w:pStyle w:val="TableBullet"/>
              <w:spacing w:before="60"/>
              <w:rPr>
                <w:lang w:eastAsia="en-US"/>
              </w:rPr>
            </w:pPr>
            <w:r>
              <w:rPr>
                <w:lang w:eastAsia="en-US"/>
              </w:rPr>
              <w:t>Embedding equity-led thinking</w:t>
            </w:r>
          </w:p>
          <w:p w14:paraId="36468D8B" w14:textId="77777777" w:rsidR="00872392" w:rsidRDefault="00872392" w:rsidP="00872392">
            <w:pPr>
              <w:pStyle w:val="TableBullet"/>
              <w:spacing w:before="60"/>
              <w:rPr>
                <w:lang w:eastAsia="en-US"/>
              </w:rPr>
            </w:pPr>
            <w:r>
              <w:rPr>
                <w:lang w:eastAsia="en-US"/>
              </w:rPr>
              <w:t>Finalising the Pacific peoples’ cancer research project</w:t>
            </w:r>
          </w:p>
          <w:p w14:paraId="4BB0E935" w14:textId="77777777" w:rsidR="00872392" w:rsidRDefault="00872392" w:rsidP="00872392">
            <w:pPr>
              <w:pStyle w:val="TableBullet"/>
              <w:spacing w:before="60"/>
              <w:rPr>
                <w:lang w:eastAsia="en-US"/>
              </w:rPr>
            </w:pPr>
            <w:r>
              <w:rPr>
                <w:lang w:eastAsia="en-US"/>
              </w:rPr>
              <w:t xml:space="preserve">Disability and cancer project </w:t>
            </w:r>
            <w:proofErr w:type="gramStart"/>
            <w:r>
              <w:rPr>
                <w:lang w:eastAsia="en-US"/>
              </w:rPr>
              <w:t>completed</w:t>
            </w:r>
            <w:proofErr w:type="gramEnd"/>
          </w:p>
          <w:p w14:paraId="5CEF7CAE" w14:textId="77777777" w:rsidR="00872392" w:rsidRDefault="00872392" w:rsidP="00872392">
            <w:pPr>
              <w:pStyle w:val="TableBullet"/>
              <w:spacing w:before="60"/>
              <w:rPr>
                <w:lang w:eastAsia="en-US"/>
              </w:rPr>
            </w:pPr>
            <w:r>
              <w:rPr>
                <w:lang w:eastAsia="en-US"/>
              </w:rPr>
              <w:t>Supporting cancer care navigation services</w:t>
            </w:r>
          </w:p>
          <w:p w14:paraId="6A8F04A9" w14:textId="77777777" w:rsidR="00872392" w:rsidRDefault="00872392" w:rsidP="00872392">
            <w:pPr>
              <w:pStyle w:val="TableBullet"/>
              <w:spacing w:before="60"/>
              <w:rPr>
                <w:lang w:eastAsia="en-US"/>
              </w:rPr>
            </w:pPr>
            <w:r>
              <w:rPr>
                <w:lang w:eastAsia="en-US"/>
              </w:rPr>
              <w:t>Supporting equity-led work across the health sector including the National Travel Assistance scheme</w:t>
            </w:r>
          </w:p>
          <w:p w14:paraId="600B9702" w14:textId="4BFF4F9B" w:rsidR="00872392" w:rsidRDefault="00872392" w:rsidP="00872392">
            <w:pPr>
              <w:pStyle w:val="TableBullet"/>
              <w:spacing w:before="60"/>
              <w:rPr>
                <w:lang w:eastAsia="en-US"/>
              </w:rPr>
            </w:pPr>
            <w:r>
              <w:rPr>
                <w:lang w:eastAsia="en-US"/>
              </w:rPr>
              <w:t>Ensuring the cancer service quality performance indicators report from an equity perspective.</w:t>
            </w:r>
          </w:p>
        </w:tc>
      </w:tr>
    </w:tbl>
    <w:p w14:paraId="71465930" w14:textId="77777777" w:rsidR="00872392" w:rsidRDefault="00872392" w:rsidP="00872392">
      <w:pPr>
        <w:rPr>
          <w:lang w:eastAsia="en-US"/>
        </w:rPr>
        <w:sectPr w:rsidR="00872392" w:rsidSect="005E645F">
          <w:pgSz w:w="11907" w:h="16840" w:code="9"/>
          <w:pgMar w:top="1418" w:right="1701" w:bottom="1134" w:left="1843" w:header="284" w:footer="425" w:gutter="284"/>
          <w:cols w:space="720"/>
        </w:sectPr>
      </w:pPr>
    </w:p>
    <w:p w14:paraId="5502D775" w14:textId="7AA3FCBE" w:rsidR="00872392" w:rsidRPr="00386646" w:rsidRDefault="00872392" w:rsidP="00704067">
      <w:pPr>
        <w:pStyle w:val="Heading2"/>
        <w:spacing w:before="0"/>
      </w:pPr>
      <w:bookmarkStart w:id="65" w:name="_Toc180077060"/>
      <w:r w:rsidRPr="00386646">
        <w:lastRenderedPageBreak/>
        <w:t xml:space="preserve">Ngā whakatutukinga </w:t>
      </w:r>
      <w:r w:rsidR="00C42F6C">
        <w:t>–</w:t>
      </w:r>
      <w:r w:rsidRPr="00386646">
        <w:t xml:space="preserve"> What we have </w:t>
      </w:r>
      <w:proofErr w:type="gramStart"/>
      <w:r w:rsidRPr="00386646">
        <w:t>achieved</w:t>
      </w:r>
      <w:bookmarkEnd w:id="65"/>
      <w:proofErr w:type="gramEnd"/>
    </w:p>
    <w:p w14:paraId="685CA6C9" w14:textId="01790D5B" w:rsidR="00872392" w:rsidRPr="00386646" w:rsidRDefault="00872392" w:rsidP="00386646">
      <w:pPr>
        <w:pStyle w:val="Heading3"/>
      </w:pPr>
      <w:r w:rsidRPr="00386646">
        <w:t xml:space="preserve">He pūnaha manaaki </w:t>
      </w:r>
      <w:r w:rsidR="00C42F6C">
        <w:t>–</w:t>
      </w:r>
      <w:r w:rsidRPr="00386646">
        <w:t xml:space="preserve"> Supporting a system that delivers consistent and modern </w:t>
      </w:r>
      <w:proofErr w:type="gramStart"/>
      <w:r w:rsidRPr="00386646">
        <w:t>care</w:t>
      </w:r>
      <w:proofErr w:type="gramEnd"/>
    </w:p>
    <w:p w14:paraId="4BB81877" w14:textId="078B3DF9" w:rsidR="00A32DA9" w:rsidRDefault="00A32DA9" w:rsidP="00A32DA9">
      <w:pPr>
        <w:rPr>
          <w:lang w:eastAsia="en-US"/>
        </w:rPr>
      </w:pPr>
      <w:r>
        <w:rPr>
          <w:lang w:eastAsia="en-US"/>
        </w:rPr>
        <w:t>Over the 2023/24 year, we supported the outgoing and incoming Ministers and Associate Ministers of Health by providing responsive, high-quality, timely advice across a range of cancer topics through regular meetings, briefing papers, and weekly updates. We maintain strong relationships with the Ministers’ offices to continue our role as the trusted cancer advisor to government.</w:t>
      </w:r>
    </w:p>
    <w:p w14:paraId="03D52119" w14:textId="77777777" w:rsidR="00A32DA9" w:rsidRDefault="00A32DA9" w:rsidP="00A32DA9">
      <w:pPr>
        <w:rPr>
          <w:lang w:eastAsia="en-US"/>
        </w:rPr>
      </w:pPr>
    </w:p>
    <w:p w14:paraId="708F7707" w14:textId="77777777" w:rsidR="00A32DA9" w:rsidRDefault="00A32DA9" w:rsidP="00A32DA9">
      <w:pPr>
        <w:rPr>
          <w:lang w:eastAsia="en-US"/>
        </w:rPr>
      </w:pPr>
      <w:r>
        <w:rPr>
          <w:lang w:eastAsia="en-US"/>
        </w:rPr>
        <w:t xml:space="preserve">We have continued to strengthen our regional and national relationships with </w:t>
      </w:r>
      <w:proofErr w:type="gramStart"/>
      <w:r>
        <w:rPr>
          <w:lang w:eastAsia="en-US"/>
        </w:rPr>
        <w:t>Health</w:t>
      </w:r>
      <w:proofErr w:type="gramEnd"/>
    </w:p>
    <w:p w14:paraId="4AD633AA" w14:textId="226372EF" w:rsidR="00A32DA9" w:rsidRDefault="00A32DA9" w:rsidP="00A32DA9">
      <w:pPr>
        <w:rPr>
          <w:lang w:eastAsia="en-US"/>
        </w:rPr>
      </w:pPr>
      <w:r>
        <w:rPr>
          <w:lang w:eastAsia="en-US"/>
        </w:rPr>
        <w:t>New Zealand over the past year to provide cancer advice and support in resolving challenges and taking opportunities to improve cancer care for all New Zealanders. Some highlights include progressing key deliverables in the Cancer Services Planning Programme, and providing advice and support to implement the new medicines (including cancer) that are being made available through the Government’s $604 million budget boost to Pharmac’s Combined Pharmaceutical Budget (CPB).</w:t>
      </w:r>
    </w:p>
    <w:p w14:paraId="5C3CECCD" w14:textId="77777777" w:rsidR="00A32DA9" w:rsidRDefault="00A32DA9" w:rsidP="00A32DA9">
      <w:pPr>
        <w:rPr>
          <w:lang w:eastAsia="en-US"/>
        </w:rPr>
      </w:pPr>
    </w:p>
    <w:p w14:paraId="1688DECC" w14:textId="2855543C" w:rsidR="00A32DA9" w:rsidRDefault="00A32DA9" w:rsidP="00A32DA9">
      <w:pPr>
        <w:rPr>
          <w:lang w:eastAsia="en-US"/>
        </w:rPr>
      </w:pPr>
      <w:r>
        <w:rPr>
          <w:lang w:eastAsia="en-US"/>
        </w:rPr>
        <w:t>We have continued to engage He Ara Tangata Consumer Advisory Group on our and the wider health sectors’ activities so the voices of people and whānau are strengthened throughout the design and delivery cancer care across the motu (country).</w:t>
      </w:r>
    </w:p>
    <w:p w14:paraId="6C8D3A84" w14:textId="77777777" w:rsidR="00A32DA9" w:rsidRDefault="00A32DA9" w:rsidP="00A32DA9">
      <w:pPr>
        <w:rPr>
          <w:lang w:eastAsia="en-US"/>
        </w:rPr>
      </w:pPr>
    </w:p>
    <w:p w14:paraId="5F483657" w14:textId="010AC70E" w:rsidR="00A32DA9" w:rsidRDefault="00A32DA9" w:rsidP="00A32DA9">
      <w:pPr>
        <w:rPr>
          <w:lang w:eastAsia="en-US"/>
        </w:rPr>
      </w:pPr>
      <w:r>
        <w:rPr>
          <w:lang w:eastAsia="en-US"/>
        </w:rPr>
        <w:t>We also focused on the relationships with many service providers nationwide who play a key role in supporting people and whānau to ensure that our approaches are relevant, meet each region’s needs and implementable.</w:t>
      </w:r>
    </w:p>
    <w:p w14:paraId="7267B865" w14:textId="2B12A1AB" w:rsidR="00A32DA9" w:rsidRDefault="00A32DA9" w:rsidP="00A32DA9">
      <w:pPr>
        <w:pStyle w:val="Heading4"/>
        <w:rPr>
          <w:lang w:eastAsia="en-US"/>
        </w:rPr>
      </w:pPr>
      <w:r w:rsidRPr="00A32DA9">
        <w:rPr>
          <w:lang w:eastAsia="en-US"/>
        </w:rPr>
        <w:t>National Clinical Network Cancer</w:t>
      </w:r>
    </w:p>
    <w:p w14:paraId="2796C99D" w14:textId="33540F62" w:rsidR="00A32DA9" w:rsidRDefault="00A32DA9" w:rsidP="00A32DA9">
      <w:pPr>
        <w:rPr>
          <w:lang w:eastAsia="en-US"/>
        </w:rPr>
      </w:pPr>
      <w:r>
        <w:rPr>
          <w:lang w:eastAsia="en-US"/>
        </w:rPr>
        <w:t>We worked with Health New Zealand to start to establish a joint National Clinical Network Cancer. The joint Network Cancer is one of several that Health New Zealand has been working to set up set up since October 2023 to help drive unified healthcare standards, reduce variations, and enhance equitable access to health services nationwide.</w:t>
      </w:r>
    </w:p>
    <w:p w14:paraId="3ADEF0D4" w14:textId="77777777" w:rsidR="00A32DA9" w:rsidRDefault="00A32DA9" w:rsidP="00A32DA9">
      <w:pPr>
        <w:rPr>
          <w:lang w:eastAsia="en-US"/>
        </w:rPr>
      </w:pPr>
    </w:p>
    <w:p w14:paraId="33B6F457" w14:textId="0F1502FE" w:rsidR="00A32DA9" w:rsidRDefault="00A32DA9" w:rsidP="00A32DA9">
      <w:pPr>
        <w:rPr>
          <w:lang w:eastAsia="en-US"/>
        </w:rPr>
      </w:pPr>
      <w:r>
        <w:rPr>
          <w:lang w:eastAsia="en-US"/>
        </w:rPr>
        <w:t>In June 2024 we signed the agreed Terms of Reference and shared governance for the Network. We supported Health New Zealand with an Expression of Interest (EOI) process to appoint the Network’s Co-leads. They will work with the Network’s oversight group (senior leaders from both organisations) to lead the network, including the delivery of the Health New Zealand cancer work programme and the EOI process to appoint the members.</w:t>
      </w:r>
    </w:p>
    <w:p w14:paraId="3420913B" w14:textId="77777777" w:rsidR="00A32DA9" w:rsidRDefault="00A32DA9" w:rsidP="00A32DA9">
      <w:pPr>
        <w:rPr>
          <w:lang w:eastAsia="en-US"/>
        </w:rPr>
      </w:pPr>
    </w:p>
    <w:p w14:paraId="04D0ED13" w14:textId="38FC44B7" w:rsidR="00A32DA9" w:rsidRDefault="00A32DA9" w:rsidP="00A32DA9">
      <w:pPr>
        <w:rPr>
          <w:lang w:eastAsia="en-US"/>
        </w:rPr>
      </w:pPr>
      <w:r>
        <w:rPr>
          <w:lang w:eastAsia="en-US"/>
        </w:rPr>
        <w:t xml:space="preserve">Through the EOI process it is expected that there will be approximately 20 members appointed. They will include Māori and Pacific peoples, interprofessional and primary </w:t>
      </w:r>
      <w:r>
        <w:rPr>
          <w:lang w:eastAsia="en-US"/>
        </w:rPr>
        <w:lastRenderedPageBreak/>
        <w:t>care leadership and membership to ensure the networks take a system-wide view. Each region will also be represented.</w:t>
      </w:r>
    </w:p>
    <w:p w14:paraId="40E4E93C" w14:textId="28D48AF3" w:rsidR="00A32DA9" w:rsidRDefault="00A32DA9" w:rsidP="00A32DA9">
      <w:pPr>
        <w:rPr>
          <w:lang w:eastAsia="en-US"/>
        </w:rPr>
      </w:pPr>
    </w:p>
    <w:p w14:paraId="50607509" w14:textId="60EB1533" w:rsidR="00A32DA9" w:rsidRDefault="00A32DA9" w:rsidP="00A32DA9">
      <w:pPr>
        <w:rPr>
          <w:lang w:eastAsia="en-US"/>
        </w:rPr>
      </w:pPr>
      <w:r>
        <w:rPr>
          <w:lang w:eastAsia="en-US"/>
        </w:rPr>
        <w:t>We expect to confirm the Co-leads and open the EOI for members in October 2024, and hold the network’s inaugural meeting by early 2025.</w:t>
      </w:r>
    </w:p>
    <w:p w14:paraId="359940DC" w14:textId="77777777" w:rsidR="00A32DA9" w:rsidRDefault="00A32DA9" w:rsidP="00A32DA9">
      <w:pPr>
        <w:rPr>
          <w:lang w:eastAsia="en-US"/>
        </w:rPr>
      </w:pPr>
    </w:p>
    <w:p w14:paraId="1F76C38C" w14:textId="77777777" w:rsidR="00A32DA9" w:rsidRDefault="00A32DA9" w:rsidP="00A32DA9">
      <w:pPr>
        <w:rPr>
          <w:lang w:eastAsia="en-US"/>
        </w:rPr>
      </w:pPr>
      <w:r>
        <w:rPr>
          <w:lang w:eastAsia="en-US"/>
        </w:rPr>
        <w:t>We are also engaged with other clinical networks managed by Health NZ that are cancer related, such as radiology, to support improvements across the health system.</w:t>
      </w:r>
    </w:p>
    <w:p w14:paraId="568DD855" w14:textId="77777777" w:rsidR="00A32DA9" w:rsidRDefault="00A32DA9" w:rsidP="004B68CC">
      <w:pPr>
        <w:pStyle w:val="Heading5"/>
        <w:rPr>
          <w:lang w:eastAsia="en-US"/>
        </w:rPr>
      </w:pPr>
      <w:r>
        <w:rPr>
          <w:lang w:eastAsia="en-US"/>
        </w:rPr>
        <w:t>Transforming the future of cancer service delivery</w:t>
      </w:r>
    </w:p>
    <w:p w14:paraId="7C297441" w14:textId="31DA8BB1" w:rsidR="00A32DA9" w:rsidRDefault="00A32DA9" w:rsidP="00A32DA9">
      <w:pPr>
        <w:rPr>
          <w:lang w:eastAsia="en-US"/>
        </w:rPr>
      </w:pPr>
      <w:r>
        <w:rPr>
          <w:lang w:eastAsia="en-US"/>
        </w:rPr>
        <w:t>We have made strong progress in delivering the Cancer Services Planning Programme. This involves several workstreams that will change the way cancer treatment is delivered. We will support Health New Zealand to deliver equitable access to high-quality care by producing evidence-based guidance to commissioning entities on how treatment and support services should be organised to achieve optimal, equitable cancer outcomes.</w:t>
      </w:r>
    </w:p>
    <w:p w14:paraId="7C50A381" w14:textId="77777777" w:rsidR="00A32DA9" w:rsidRDefault="00A32DA9" w:rsidP="00A32DA9">
      <w:pPr>
        <w:rPr>
          <w:lang w:eastAsia="en-US"/>
        </w:rPr>
      </w:pPr>
    </w:p>
    <w:p w14:paraId="5D5DDA2C" w14:textId="3C9D75AA" w:rsidR="00A32DA9" w:rsidRDefault="00A32DA9" w:rsidP="00A32DA9">
      <w:pPr>
        <w:rPr>
          <w:lang w:eastAsia="en-US"/>
        </w:rPr>
      </w:pPr>
      <w:r>
        <w:rPr>
          <w:lang w:eastAsia="en-US"/>
        </w:rPr>
        <w:t>This programme started by working with clinical and cancer specialists and consumers to identify the current issues in adult cancer treatment services in Aotearoa New Zealand.</w:t>
      </w:r>
    </w:p>
    <w:p w14:paraId="7FB7C083" w14:textId="77777777" w:rsidR="00A32DA9" w:rsidRDefault="00A32DA9" w:rsidP="00A32DA9">
      <w:pPr>
        <w:rPr>
          <w:lang w:eastAsia="en-US"/>
        </w:rPr>
      </w:pPr>
    </w:p>
    <w:p w14:paraId="7487B966" w14:textId="476165EA" w:rsidR="00A32DA9" w:rsidRDefault="00A32DA9" w:rsidP="00A32DA9">
      <w:pPr>
        <w:rPr>
          <w:lang w:eastAsia="en-US"/>
        </w:rPr>
      </w:pPr>
      <w:r>
        <w:rPr>
          <w:lang w:eastAsia="en-US"/>
        </w:rPr>
        <w:t>We are continuing to work with these groups on the design and implementation of the recommendations.</w:t>
      </w:r>
    </w:p>
    <w:p w14:paraId="7E8F9374" w14:textId="77777777" w:rsidR="00A32DA9" w:rsidRDefault="00A32DA9" w:rsidP="00A32DA9">
      <w:pPr>
        <w:rPr>
          <w:lang w:eastAsia="en-US"/>
        </w:rPr>
      </w:pPr>
    </w:p>
    <w:p w14:paraId="7CE3522F" w14:textId="7ADF2BC7" w:rsidR="00A32DA9" w:rsidRDefault="00A32DA9" w:rsidP="00A32DA9">
      <w:pPr>
        <w:rPr>
          <w:lang w:eastAsia="en-US"/>
        </w:rPr>
      </w:pPr>
      <w:r>
        <w:rPr>
          <w:lang w:eastAsia="en-US"/>
        </w:rPr>
        <w:t xml:space="preserve">Between July 2023 and </w:t>
      </w:r>
      <w:proofErr w:type="gramStart"/>
      <w:r>
        <w:rPr>
          <w:lang w:eastAsia="en-US"/>
        </w:rPr>
        <w:t>June 2024</w:t>
      </w:r>
      <w:proofErr w:type="gramEnd"/>
      <w:r>
        <w:rPr>
          <w:lang w:eastAsia="en-US"/>
        </w:rPr>
        <w:t xml:space="preserve"> we achieved a number of key deliverables that will support the system to provide more equitable, person and whānau centred centre consistently across the motu, which you can read in more detail in the next section.</w:t>
      </w:r>
    </w:p>
    <w:p w14:paraId="5E9F595E" w14:textId="22345087" w:rsidR="00A32DA9" w:rsidRDefault="00A32DA9" w:rsidP="00A32DA9">
      <w:pPr>
        <w:rPr>
          <w:lang w:eastAsia="en-US"/>
        </w:rPr>
      </w:pPr>
    </w:p>
    <w:p w14:paraId="4C021BAA" w14:textId="0677FD3F" w:rsidR="00A32DA9" w:rsidRDefault="00A32DA9" w:rsidP="00A32DA9">
      <w:pPr>
        <w:rPr>
          <w:lang w:eastAsia="en-US"/>
        </w:rPr>
      </w:pPr>
      <w:r>
        <w:rPr>
          <w:noProof/>
        </w:rPr>
        <w:drawing>
          <wp:inline distT="0" distB="0" distL="0" distR="0" wp14:anchorId="443AFC34" wp14:editId="7F137EDB">
            <wp:extent cx="5130165" cy="3103880"/>
            <wp:effectExtent l="0" t="0" r="0" b="1270"/>
            <wp:docPr id="942" name="Picture 9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Picture 942">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5130165" cy="3103880"/>
                    </a:xfrm>
                    <a:prstGeom prst="rect">
                      <a:avLst/>
                    </a:prstGeom>
                  </pic:spPr>
                </pic:pic>
              </a:graphicData>
            </a:graphic>
          </wp:inline>
        </w:drawing>
      </w:r>
    </w:p>
    <w:p w14:paraId="53A2DB23" w14:textId="77777777" w:rsidR="00A32DA9" w:rsidRDefault="00A32DA9" w:rsidP="00A32DA9">
      <w:pPr>
        <w:rPr>
          <w:lang w:eastAsia="en-US"/>
        </w:rPr>
        <w:sectPr w:rsidR="00A32DA9" w:rsidSect="005E645F">
          <w:pgSz w:w="11907" w:h="16840" w:code="9"/>
          <w:pgMar w:top="1418" w:right="1701" w:bottom="1134" w:left="1843" w:header="284" w:footer="425" w:gutter="284"/>
          <w:cols w:space="720"/>
        </w:sectPr>
      </w:pPr>
    </w:p>
    <w:p w14:paraId="7FBDCBA5" w14:textId="38A72DE3" w:rsidR="00A32DA9" w:rsidRDefault="00A32DA9" w:rsidP="00A32DA9">
      <w:pPr>
        <w:rPr>
          <w:lang w:eastAsia="en-US"/>
        </w:rPr>
      </w:pPr>
      <w:r w:rsidRPr="00A32DA9">
        <w:rPr>
          <w:lang w:eastAsia="en-US"/>
        </w:rPr>
        <w:lastRenderedPageBreak/>
        <w:t>Cancer Services Planning programme involves the following areas:</w:t>
      </w:r>
    </w:p>
    <w:p w14:paraId="3A7AC71D" w14:textId="77777777" w:rsidR="00A32DA9" w:rsidRDefault="00A32DA9" w:rsidP="004B68CC">
      <w:pPr>
        <w:pStyle w:val="Heading5"/>
        <w:rPr>
          <w:lang w:eastAsia="en-US"/>
        </w:rPr>
      </w:pPr>
      <w:r>
        <w:rPr>
          <w:lang w:eastAsia="en-US"/>
        </w:rPr>
        <w:t>1.</w:t>
      </w:r>
      <w:r>
        <w:rPr>
          <w:lang w:eastAsia="en-US"/>
        </w:rPr>
        <w:tab/>
        <w:t>Transplant and Cellular Therapy</w:t>
      </w:r>
    </w:p>
    <w:p w14:paraId="1335870B" w14:textId="0685ABE0" w:rsidR="00A32DA9" w:rsidRDefault="00A32DA9" w:rsidP="00A32DA9">
      <w:pPr>
        <w:rPr>
          <w:lang w:eastAsia="en-US"/>
        </w:rPr>
      </w:pPr>
      <w:r>
        <w:rPr>
          <w:lang w:eastAsia="en-US"/>
        </w:rPr>
        <w:t>Cellular therapies play a growing role in treating cancer.</w:t>
      </w:r>
      <w:r w:rsidR="004B68CC" w:rsidRPr="004B68CC">
        <w:rPr>
          <w:noProof/>
        </w:rPr>
        <w:t xml:space="preserve"> </w:t>
      </w:r>
    </w:p>
    <w:p w14:paraId="449764E1" w14:textId="77777777" w:rsidR="00A32DA9" w:rsidRDefault="00A32DA9" w:rsidP="00A32DA9">
      <w:pPr>
        <w:rPr>
          <w:lang w:eastAsia="en-US"/>
        </w:rPr>
      </w:pPr>
    </w:p>
    <w:p w14:paraId="078A6CDE" w14:textId="77777777" w:rsidR="00A32DA9" w:rsidRDefault="00A32DA9" w:rsidP="00A32DA9">
      <w:pPr>
        <w:rPr>
          <w:lang w:eastAsia="en-US"/>
        </w:rPr>
      </w:pPr>
      <w:r>
        <w:rPr>
          <w:lang w:eastAsia="en-US"/>
        </w:rPr>
        <w:t>Each year in Aotearoa New Zealand, around 370 people receive a stem cell transplant. These therapies can provide people with improved health outcomes, and</w:t>
      </w:r>
    </w:p>
    <w:p w14:paraId="7FC018A1" w14:textId="1940F50C" w:rsidR="00A32DA9" w:rsidRDefault="00A32DA9" w:rsidP="00A32DA9">
      <w:pPr>
        <w:rPr>
          <w:lang w:eastAsia="en-US"/>
        </w:rPr>
      </w:pPr>
      <w:r>
        <w:rPr>
          <w:lang w:eastAsia="en-US"/>
        </w:rPr>
        <w:t>for a significant number, a long-term cure. The Stem Cell Transplant Project was set up to develop a model of care for this complex critical treatment pathway.</w:t>
      </w:r>
    </w:p>
    <w:p w14:paraId="6C05948A" w14:textId="77777777" w:rsidR="00A32DA9" w:rsidRDefault="00A32DA9" w:rsidP="00A32DA9">
      <w:pPr>
        <w:rPr>
          <w:lang w:eastAsia="en-US"/>
        </w:rPr>
      </w:pPr>
    </w:p>
    <w:p w14:paraId="077DD0AD" w14:textId="2D206167" w:rsidR="00A32DA9" w:rsidRDefault="00A32DA9" w:rsidP="00A32DA9">
      <w:pPr>
        <w:rPr>
          <w:lang w:eastAsia="en-US"/>
        </w:rPr>
      </w:pPr>
      <w:r>
        <w:rPr>
          <w:lang w:eastAsia="en-US"/>
        </w:rPr>
        <w:t>Creating the comprehensive end-to-end pathway for providing optimal transplant and cellular therapy involved 18 months of extensive clinical engagement across the motu, and the agency’s advisory groups.</w:t>
      </w:r>
    </w:p>
    <w:p w14:paraId="4E457C37" w14:textId="77777777" w:rsidR="00A32DA9" w:rsidRDefault="00A32DA9" w:rsidP="00A32DA9">
      <w:pPr>
        <w:rPr>
          <w:lang w:eastAsia="en-US"/>
        </w:rPr>
      </w:pPr>
    </w:p>
    <w:p w14:paraId="2A3F1A8C" w14:textId="5ABB34FA" w:rsidR="00A32DA9" w:rsidRDefault="00A32DA9" w:rsidP="00A32DA9">
      <w:pPr>
        <w:rPr>
          <w:lang w:eastAsia="en-US"/>
        </w:rPr>
      </w:pPr>
      <w:r>
        <w:rPr>
          <w:lang w:eastAsia="en-US"/>
        </w:rPr>
        <w:t>Edition One of the Model of Care for Transplant and Cellular Therapy Services in Aotearoa, New Zealand was released on 1 December 2023. Feedback from the sector is showing the pathway is informing both large planning decisions, and how to improve these services day-to-day. It was used to inform the development of a significant national business case to expand these services.</w:t>
      </w:r>
    </w:p>
    <w:p w14:paraId="5AEC4358" w14:textId="77777777" w:rsidR="00A32DA9" w:rsidRDefault="00A32DA9" w:rsidP="00A32DA9">
      <w:pPr>
        <w:rPr>
          <w:lang w:eastAsia="en-US"/>
        </w:rPr>
      </w:pPr>
    </w:p>
    <w:p w14:paraId="21A77539" w14:textId="212ABD23" w:rsidR="00A32DA9" w:rsidRDefault="00A32DA9" w:rsidP="00A32DA9">
      <w:pPr>
        <w:rPr>
          <w:lang w:eastAsia="en-US"/>
        </w:rPr>
      </w:pPr>
      <w:r>
        <w:rPr>
          <w:lang w:eastAsia="en-US"/>
        </w:rPr>
        <w:t>We are supporting Health New Zealand on work to identify variations between current practices and the Model of Care and develop an action plan to respond to any gaps, which they are leading. They have also recently commissioned a Clinical Service Plan to implement the identified priorities for improvement.</w:t>
      </w:r>
    </w:p>
    <w:p w14:paraId="74ACBF48" w14:textId="77777777" w:rsidR="00A32DA9" w:rsidRDefault="00A32DA9" w:rsidP="004B68CC">
      <w:pPr>
        <w:pStyle w:val="Heading5"/>
        <w:rPr>
          <w:lang w:eastAsia="en-US"/>
        </w:rPr>
      </w:pPr>
      <w:r>
        <w:rPr>
          <w:lang w:eastAsia="en-US"/>
        </w:rPr>
        <w:t>2.</w:t>
      </w:r>
      <w:r>
        <w:rPr>
          <w:lang w:eastAsia="en-US"/>
        </w:rPr>
        <w:tab/>
        <w:t>Stem cell transplant</w:t>
      </w:r>
    </w:p>
    <w:p w14:paraId="22332E56" w14:textId="77777777" w:rsidR="00A32DA9" w:rsidRDefault="00A32DA9" w:rsidP="00A32DA9">
      <w:pPr>
        <w:rPr>
          <w:lang w:eastAsia="en-US"/>
        </w:rPr>
      </w:pPr>
      <w:r>
        <w:rPr>
          <w:lang w:eastAsia="en-US"/>
        </w:rPr>
        <w:t>Stem cell transplant services are fragmented, inequitable, and do not meet the growing needs across the motu. In June 2023 we finalised a sustainable future service model for stem cell transplant. We are continuing to use the model to inform planning with clinical trials and Health New Zealand and to help resolve capacity issues.</w:t>
      </w:r>
    </w:p>
    <w:p w14:paraId="35B776B0" w14:textId="6DBA7A83" w:rsidR="00A32DA9" w:rsidRDefault="00A32DA9" w:rsidP="004B68CC">
      <w:pPr>
        <w:pStyle w:val="Heading5"/>
        <w:rPr>
          <w:lang w:eastAsia="en-US"/>
        </w:rPr>
      </w:pPr>
      <w:r>
        <w:rPr>
          <w:lang w:eastAsia="en-US"/>
        </w:rPr>
        <w:t>3.</w:t>
      </w:r>
      <w:r>
        <w:rPr>
          <w:lang w:eastAsia="en-US"/>
        </w:rPr>
        <w:tab/>
        <w:t>Surgical services</w:t>
      </w:r>
    </w:p>
    <w:p w14:paraId="73074A9A" w14:textId="39202FFF" w:rsidR="00A32DA9" w:rsidRDefault="00A32DA9" w:rsidP="00A32DA9">
      <w:pPr>
        <w:rPr>
          <w:lang w:eastAsia="en-US"/>
        </w:rPr>
      </w:pPr>
      <w:r>
        <w:rPr>
          <w:lang w:eastAsia="en-US"/>
        </w:rPr>
        <w:t>Over 2023 and 2024 the agency developed three capability frameworks for three types of complex cancer surgery in Aotearoa New Zealand. They were Hepato-Pancreatico-Biliary (HBP) surgery, Oesophagogastric (throat) surgery and Head and Neck surgery. The Framework describes a set of capabilities a hospital needs to ensure safe, high quality and equitable cancer outcomes for people requiring complex cancer surgeries. We are currently working with Health New Zealand to develop an implementation approach with clinical leads.</w:t>
      </w:r>
    </w:p>
    <w:p w14:paraId="3886F850" w14:textId="77777777" w:rsidR="00A32DA9" w:rsidRDefault="00A32DA9" w:rsidP="004B68CC">
      <w:pPr>
        <w:pStyle w:val="Heading5"/>
        <w:rPr>
          <w:lang w:eastAsia="en-US"/>
        </w:rPr>
      </w:pPr>
      <w:r>
        <w:rPr>
          <w:lang w:eastAsia="en-US"/>
        </w:rPr>
        <w:t>4.</w:t>
      </w:r>
      <w:r>
        <w:rPr>
          <w:lang w:eastAsia="en-US"/>
        </w:rPr>
        <w:tab/>
        <w:t>Radiation oncology</w:t>
      </w:r>
    </w:p>
    <w:p w14:paraId="2CF0F1E6" w14:textId="77777777" w:rsidR="00A32DA9" w:rsidRDefault="00A32DA9" w:rsidP="00A32DA9">
      <w:pPr>
        <w:rPr>
          <w:lang w:eastAsia="en-US"/>
        </w:rPr>
      </w:pPr>
      <w:r>
        <w:rPr>
          <w:lang w:eastAsia="en-US"/>
        </w:rPr>
        <w:t>The radiation oncology component of the Cancer Services Planning Programme involves the development of a model of care which describes how radiation oncology services will optimally be structured and delivered to achieve equitable, accessible treatment for all people. The first draft of the model of care has been developed in</w:t>
      </w:r>
    </w:p>
    <w:p w14:paraId="327CE06B" w14:textId="77777777" w:rsidR="00A32DA9" w:rsidRDefault="00A32DA9" w:rsidP="00A32DA9">
      <w:pPr>
        <w:rPr>
          <w:lang w:eastAsia="en-US"/>
        </w:rPr>
      </w:pPr>
      <w:r>
        <w:rPr>
          <w:lang w:eastAsia="en-US"/>
        </w:rPr>
        <w:t xml:space="preserve">partnership with the radiation oncology sector and was presented to the radiation oncology working group in May 2024. The model of care describes radiation oncology as a single system of care, operating under a standardised national service model that </w:t>
      </w:r>
      <w:r>
        <w:rPr>
          <w:lang w:eastAsia="en-US"/>
        </w:rPr>
        <w:lastRenderedPageBreak/>
        <w:t>is sustainable for the future. It also focuses on increasing the workforce and the linear accelerator stock in public hospitals.</w:t>
      </w:r>
    </w:p>
    <w:p w14:paraId="31D7E639" w14:textId="77777777" w:rsidR="00A32DA9" w:rsidRDefault="00A32DA9" w:rsidP="004B68CC">
      <w:pPr>
        <w:pStyle w:val="Heading5"/>
        <w:rPr>
          <w:lang w:eastAsia="en-US"/>
        </w:rPr>
      </w:pPr>
      <w:r>
        <w:rPr>
          <w:lang w:eastAsia="en-US"/>
        </w:rPr>
        <w:t>5.</w:t>
      </w:r>
      <w:r>
        <w:rPr>
          <w:lang w:eastAsia="en-US"/>
        </w:rPr>
        <w:tab/>
        <w:t>Workforce</w:t>
      </w:r>
    </w:p>
    <w:p w14:paraId="42A7F10C" w14:textId="77777777" w:rsidR="00A32DA9" w:rsidRDefault="00A32DA9" w:rsidP="00A32DA9">
      <w:pPr>
        <w:rPr>
          <w:lang w:eastAsia="en-US"/>
        </w:rPr>
      </w:pPr>
      <w:r>
        <w:rPr>
          <w:lang w:eastAsia="en-US"/>
        </w:rPr>
        <w:t xml:space="preserve">The cancer workforce continues to struggle to meet existing demand. This demand is expected to grow by 40% by 2040. Health New Zealand, the agency and the Ministry continue to work together on planning for future workforce needs, </w:t>
      </w:r>
      <w:proofErr w:type="gramStart"/>
      <w:r>
        <w:rPr>
          <w:lang w:eastAsia="en-US"/>
        </w:rPr>
        <w:t>such</w:t>
      </w:r>
      <w:proofErr w:type="gramEnd"/>
    </w:p>
    <w:p w14:paraId="3FD7391E" w14:textId="22DE0B33" w:rsidR="00A32DA9" w:rsidRDefault="00A32DA9" w:rsidP="00A32DA9">
      <w:pPr>
        <w:rPr>
          <w:lang w:eastAsia="en-US"/>
        </w:rPr>
      </w:pPr>
      <w:r>
        <w:rPr>
          <w:lang w:eastAsia="en-US"/>
        </w:rPr>
        <w:t>as targeted approaches to address specific role shortages such as radiation oncologists.</w:t>
      </w:r>
    </w:p>
    <w:p w14:paraId="3B607AE5" w14:textId="77777777" w:rsidR="00A32DA9" w:rsidRDefault="00A32DA9" w:rsidP="00A32DA9">
      <w:pPr>
        <w:rPr>
          <w:lang w:eastAsia="en-US"/>
        </w:rPr>
      </w:pPr>
    </w:p>
    <w:p w14:paraId="10601448" w14:textId="7F577516" w:rsidR="00A32DA9" w:rsidRDefault="00A32DA9" w:rsidP="00A32DA9">
      <w:pPr>
        <w:rPr>
          <w:lang w:eastAsia="en-US"/>
        </w:rPr>
      </w:pPr>
      <w:r>
        <w:rPr>
          <w:lang w:eastAsia="en-US"/>
        </w:rPr>
        <w:t>In 2023 Te Aho o Te Kahu with sector partners, in response to capacity issues that radiation therapists (RTs) were facing, developed ‘National Guidance for Advanced Practice in Radiation Therapy’. The document aims to support services to utilise the skills or RTs working to top of scope. There is a significant exit rate for RTs with limited career options and fewer RTs are entering the training programme.</w:t>
      </w:r>
    </w:p>
    <w:p w14:paraId="5933BB49" w14:textId="77777777" w:rsidR="00A32DA9" w:rsidRDefault="00A32DA9" w:rsidP="00A32DA9">
      <w:pPr>
        <w:rPr>
          <w:lang w:eastAsia="en-US"/>
        </w:rPr>
      </w:pPr>
    </w:p>
    <w:p w14:paraId="45088DD6" w14:textId="77777777" w:rsidR="00A32DA9" w:rsidRDefault="00A32DA9" w:rsidP="00A32DA9">
      <w:pPr>
        <w:rPr>
          <w:lang w:eastAsia="en-US"/>
        </w:rPr>
      </w:pPr>
      <w:r>
        <w:rPr>
          <w:lang w:eastAsia="en-US"/>
        </w:rPr>
        <w:t>We created a specific cancer workforce plan which has contributed to the development of the Health New Zealand’s strategic plan. We are continuing to work with Health New Zealand to ensure cancer workforce capacity and capability will align with future demand for, and improvements to, cancer treatment across Aotearoa New Zealand.</w:t>
      </w:r>
    </w:p>
    <w:p w14:paraId="74362999" w14:textId="77777777" w:rsidR="00A32DA9" w:rsidRDefault="00A32DA9" w:rsidP="004B68CC">
      <w:pPr>
        <w:pStyle w:val="Heading5"/>
        <w:rPr>
          <w:lang w:eastAsia="en-US"/>
        </w:rPr>
      </w:pPr>
      <w:r>
        <w:rPr>
          <w:lang w:eastAsia="en-US"/>
        </w:rPr>
        <w:t>6.</w:t>
      </w:r>
      <w:r>
        <w:rPr>
          <w:lang w:eastAsia="en-US"/>
        </w:rPr>
        <w:tab/>
        <w:t>Optimal Cancer Care Pathways</w:t>
      </w:r>
    </w:p>
    <w:p w14:paraId="5CE6D122" w14:textId="40343834" w:rsidR="00A32DA9" w:rsidRDefault="00A32DA9" w:rsidP="00A32DA9">
      <w:pPr>
        <w:rPr>
          <w:lang w:eastAsia="en-US"/>
        </w:rPr>
      </w:pPr>
      <w:r>
        <w:rPr>
          <w:lang w:eastAsia="en-US"/>
        </w:rPr>
        <w:t>It is important to focus on ways to identify and remove unwarranted variations in how people receive cancer services and care. This is because these variations can contribute to people experiencing worse cancer or health outcomes.</w:t>
      </w:r>
    </w:p>
    <w:p w14:paraId="2E5CF83C" w14:textId="77777777" w:rsidR="00A25CE6" w:rsidRDefault="00A25CE6" w:rsidP="00A32DA9">
      <w:pPr>
        <w:rPr>
          <w:lang w:eastAsia="en-US"/>
        </w:rPr>
      </w:pPr>
    </w:p>
    <w:p w14:paraId="1DF1FD9D" w14:textId="3FABEB5E" w:rsidR="00A32DA9" w:rsidRDefault="00A32DA9" w:rsidP="00A32DA9">
      <w:pPr>
        <w:rPr>
          <w:lang w:eastAsia="en-US"/>
        </w:rPr>
      </w:pPr>
      <w:r>
        <w:rPr>
          <w:lang w:eastAsia="en-US"/>
        </w:rPr>
        <w:t>Working with clinicians and advisory groups the agency developed optimal cancer care pathways for the most common tumours. These pathways clearly describe what to expect, and who is involved at every stage in delivering quality cancer care to people and whānau, regardless of who they are or where they live.</w:t>
      </w:r>
    </w:p>
    <w:p w14:paraId="41713942" w14:textId="77777777" w:rsidR="00A25CE6" w:rsidRDefault="00A25CE6" w:rsidP="00A32DA9">
      <w:pPr>
        <w:rPr>
          <w:lang w:eastAsia="en-US"/>
        </w:rPr>
      </w:pPr>
    </w:p>
    <w:p w14:paraId="679B37F7" w14:textId="2FAE7716" w:rsidR="00A32DA9" w:rsidRDefault="00A32DA9" w:rsidP="00A32DA9">
      <w:pPr>
        <w:rPr>
          <w:lang w:eastAsia="en-US"/>
        </w:rPr>
      </w:pPr>
      <w:r>
        <w:rPr>
          <w:lang w:eastAsia="en-US"/>
        </w:rPr>
        <w:t>The pathways are based on the Australian Optimal Care Pathway approach and are a tool for system leaders and service providers to identify unwarranted variations and inequity to drive continuous quality improvement.</w:t>
      </w:r>
    </w:p>
    <w:p w14:paraId="531B663A" w14:textId="77777777" w:rsidR="00A25CE6" w:rsidRDefault="00A25CE6" w:rsidP="00A32DA9">
      <w:pPr>
        <w:rPr>
          <w:lang w:eastAsia="en-US"/>
        </w:rPr>
      </w:pPr>
    </w:p>
    <w:p w14:paraId="5EAF11E1" w14:textId="38899D3E" w:rsidR="00A32DA9" w:rsidRDefault="00A32DA9" w:rsidP="00A32DA9">
      <w:pPr>
        <w:rPr>
          <w:lang w:eastAsia="en-US"/>
        </w:rPr>
      </w:pPr>
      <w:r>
        <w:rPr>
          <w:lang w:eastAsia="en-US"/>
        </w:rPr>
        <w:t>In June 2024 we finalised the first editions for bowel, breast, lung, and pancreatic cancers which will be piloted by Health New Zealand. There are another fourteen pathways in the final stages</w:t>
      </w:r>
      <w:r w:rsidR="00A25CE6">
        <w:rPr>
          <w:lang w:eastAsia="en-US"/>
        </w:rPr>
        <w:t xml:space="preserve"> </w:t>
      </w:r>
      <w:r>
        <w:rPr>
          <w:lang w:eastAsia="en-US"/>
        </w:rPr>
        <w:t>of development.</w:t>
      </w:r>
    </w:p>
    <w:p w14:paraId="2CABAD62" w14:textId="77777777" w:rsidR="00A32DA9" w:rsidRDefault="00A32DA9" w:rsidP="004B68CC">
      <w:pPr>
        <w:pStyle w:val="Heading5"/>
        <w:rPr>
          <w:lang w:eastAsia="en-US"/>
        </w:rPr>
      </w:pPr>
      <w:r>
        <w:rPr>
          <w:lang w:eastAsia="en-US"/>
        </w:rPr>
        <w:t>7.</w:t>
      </w:r>
      <w:r>
        <w:rPr>
          <w:lang w:eastAsia="en-US"/>
        </w:rPr>
        <w:tab/>
        <w:t>Standards for high-quality cancer Multidisciplinary Meetings (MDMs)</w:t>
      </w:r>
    </w:p>
    <w:p w14:paraId="512762BD" w14:textId="18333DD5" w:rsidR="00A32DA9" w:rsidRDefault="00A32DA9" w:rsidP="00A32DA9">
      <w:pPr>
        <w:rPr>
          <w:lang w:eastAsia="en-US"/>
        </w:rPr>
      </w:pPr>
      <w:r>
        <w:rPr>
          <w:lang w:eastAsia="en-US"/>
        </w:rPr>
        <w:t>Multidisciplinary Meetings (MDMs) are an important part of providing quality and equitable cancer care. MDMs are where health professionals review and discuss all the clinical, psychosocial, and cultural information about a patient, and recommend personalised treatment and care options based on the person’s needs and best practice cancer treatment pathways.</w:t>
      </w:r>
    </w:p>
    <w:p w14:paraId="00D7C131" w14:textId="77777777" w:rsidR="00A25CE6" w:rsidRDefault="00A25CE6" w:rsidP="00A32DA9">
      <w:pPr>
        <w:rPr>
          <w:lang w:eastAsia="en-US"/>
        </w:rPr>
      </w:pPr>
    </w:p>
    <w:p w14:paraId="6F03DA34" w14:textId="77777777" w:rsidR="00A32DA9" w:rsidRDefault="00A32DA9" w:rsidP="00A32DA9">
      <w:pPr>
        <w:rPr>
          <w:lang w:eastAsia="en-US"/>
        </w:rPr>
      </w:pPr>
      <w:r>
        <w:rPr>
          <w:lang w:eastAsia="en-US"/>
        </w:rPr>
        <w:t>Effective meetings can improve the quality of cancer care people receive and, often their health outcomes. MDMs can help:</w:t>
      </w:r>
    </w:p>
    <w:p w14:paraId="01D6EC2A" w14:textId="5AB7568E" w:rsidR="00A32DA9" w:rsidRDefault="00A32DA9" w:rsidP="00A25CE6">
      <w:pPr>
        <w:pStyle w:val="Bullet"/>
        <w:rPr>
          <w:lang w:eastAsia="en-US"/>
        </w:rPr>
      </w:pPr>
      <w:r>
        <w:rPr>
          <w:lang w:eastAsia="en-US"/>
        </w:rPr>
        <w:lastRenderedPageBreak/>
        <w:t xml:space="preserve">improve treatment planning as health professionals considers the full range of therapeutic options </w:t>
      </w:r>
      <w:proofErr w:type="gramStart"/>
      <w:r>
        <w:rPr>
          <w:lang w:eastAsia="en-US"/>
        </w:rPr>
        <w:t>available</w:t>
      </w:r>
      <w:proofErr w:type="gramEnd"/>
    </w:p>
    <w:p w14:paraId="733D614C" w14:textId="6A105C0B" w:rsidR="00A32DA9" w:rsidRDefault="00A32DA9" w:rsidP="00DF7676">
      <w:pPr>
        <w:pStyle w:val="Bullet"/>
        <w:rPr>
          <w:lang w:eastAsia="en-US"/>
        </w:rPr>
      </w:pPr>
      <w:r>
        <w:rPr>
          <w:lang w:eastAsia="en-US"/>
        </w:rPr>
        <w:t>reduce health inequities experienced by Māori,</w:t>
      </w:r>
      <w:r w:rsidR="00A25CE6">
        <w:rPr>
          <w:lang w:eastAsia="en-US"/>
        </w:rPr>
        <w:t xml:space="preserve"> </w:t>
      </w:r>
      <w:r>
        <w:rPr>
          <w:lang w:eastAsia="en-US"/>
        </w:rPr>
        <w:t xml:space="preserve">Pacific peoples, people living rurally and other priority patients using a person-centred </w:t>
      </w:r>
      <w:proofErr w:type="gramStart"/>
      <w:r>
        <w:rPr>
          <w:lang w:eastAsia="en-US"/>
        </w:rPr>
        <w:t>framework</w:t>
      </w:r>
      <w:proofErr w:type="gramEnd"/>
    </w:p>
    <w:p w14:paraId="3C6E3E8C" w14:textId="1A9D74E4" w:rsidR="00A32DA9" w:rsidRDefault="00A32DA9" w:rsidP="00A25CE6">
      <w:pPr>
        <w:pStyle w:val="Bullet"/>
        <w:rPr>
          <w:lang w:eastAsia="en-US"/>
        </w:rPr>
      </w:pPr>
      <w:r>
        <w:rPr>
          <w:lang w:eastAsia="en-US"/>
        </w:rPr>
        <w:t xml:space="preserve">improved communication between care providers as clear lines of responsibility </w:t>
      </w:r>
      <w:proofErr w:type="gramStart"/>
      <w:r>
        <w:rPr>
          <w:lang w:eastAsia="en-US"/>
        </w:rPr>
        <w:t>are</w:t>
      </w:r>
      <w:proofErr w:type="gramEnd"/>
      <w:r>
        <w:rPr>
          <w:lang w:eastAsia="en-US"/>
        </w:rPr>
        <w:t xml:space="preserve"> developed between members of the MDM</w:t>
      </w:r>
    </w:p>
    <w:p w14:paraId="6C6266E9" w14:textId="33439AE6" w:rsidR="00A32DA9" w:rsidRDefault="00A32DA9" w:rsidP="00A25CE6">
      <w:pPr>
        <w:pStyle w:val="Bullet"/>
        <w:rPr>
          <w:lang w:eastAsia="en-US"/>
        </w:rPr>
      </w:pPr>
      <w:r>
        <w:rPr>
          <w:lang w:eastAsia="en-US"/>
        </w:rPr>
        <w:t>improved service coordination</w:t>
      </w:r>
    </w:p>
    <w:p w14:paraId="1612E19F" w14:textId="0C01FA71" w:rsidR="00A32DA9" w:rsidRDefault="00A32DA9" w:rsidP="00A25CE6">
      <w:pPr>
        <w:pStyle w:val="Bullet"/>
        <w:rPr>
          <w:lang w:eastAsia="en-US"/>
        </w:rPr>
      </w:pPr>
      <w:r>
        <w:rPr>
          <w:lang w:eastAsia="en-US"/>
        </w:rPr>
        <w:t>greater continuity of care and less duplication of services</w:t>
      </w:r>
    </w:p>
    <w:p w14:paraId="6D6656AB" w14:textId="44946AC4" w:rsidR="00A32DA9" w:rsidRDefault="00A32DA9" w:rsidP="00A25CE6">
      <w:pPr>
        <w:pStyle w:val="Bullet"/>
        <w:rPr>
          <w:lang w:eastAsia="en-US"/>
        </w:rPr>
      </w:pPr>
      <w:r>
        <w:rPr>
          <w:lang w:eastAsia="en-US"/>
        </w:rPr>
        <w:t xml:space="preserve">more patients being offered the opportunity to take part in relevant clinical </w:t>
      </w:r>
      <w:proofErr w:type="gramStart"/>
      <w:r>
        <w:rPr>
          <w:lang w:eastAsia="en-US"/>
        </w:rPr>
        <w:t>trials</w:t>
      </w:r>
      <w:proofErr w:type="gramEnd"/>
    </w:p>
    <w:p w14:paraId="0A17CA05" w14:textId="3EE96391" w:rsidR="00A32DA9" w:rsidRDefault="00A32DA9" w:rsidP="00A25CE6">
      <w:pPr>
        <w:pStyle w:val="Bullet"/>
        <w:rPr>
          <w:lang w:eastAsia="en-US"/>
        </w:rPr>
      </w:pPr>
      <w:r>
        <w:rPr>
          <w:lang w:eastAsia="en-US"/>
        </w:rPr>
        <w:t>enabling clinicians to share and discuss latest evidence and/or approaches to increase skills and knowledge.</w:t>
      </w:r>
    </w:p>
    <w:p w14:paraId="1FF2A089" w14:textId="77777777" w:rsidR="00A25CE6" w:rsidRDefault="00A25CE6" w:rsidP="00A32DA9">
      <w:pPr>
        <w:rPr>
          <w:lang w:eastAsia="en-US"/>
        </w:rPr>
      </w:pPr>
    </w:p>
    <w:p w14:paraId="4DADEADF" w14:textId="2599FFAF" w:rsidR="00A32DA9" w:rsidRDefault="00A32DA9" w:rsidP="00A32DA9">
      <w:pPr>
        <w:rPr>
          <w:lang w:eastAsia="en-US"/>
        </w:rPr>
      </w:pPr>
      <w:r>
        <w:rPr>
          <w:lang w:eastAsia="en-US"/>
        </w:rPr>
        <w:t>We worked across the sector with subject matter experts and an advisory group to reset the direction of MDMs in New Zealand and provide detailed best practice requirements for MDM governance, resourcing, processes and data. This resulted in the agency releasing the Standards for high-quality cancer Multidisciplinary Meetings (MDMs) in Aotearoa New Zealand in March 2024.</w:t>
      </w:r>
    </w:p>
    <w:p w14:paraId="24184AAD" w14:textId="77777777" w:rsidR="00A32DA9" w:rsidRDefault="00A32DA9" w:rsidP="004B68CC">
      <w:pPr>
        <w:pStyle w:val="Heading5"/>
        <w:rPr>
          <w:lang w:eastAsia="en-US"/>
        </w:rPr>
      </w:pPr>
      <w:r>
        <w:rPr>
          <w:lang w:eastAsia="en-US"/>
        </w:rPr>
        <w:t>8.</w:t>
      </w:r>
      <w:r>
        <w:rPr>
          <w:lang w:eastAsia="en-US"/>
        </w:rPr>
        <w:tab/>
        <w:t>Cancer care coordination</w:t>
      </w:r>
    </w:p>
    <w:p w14:paraId="52F58445" w14:textId="77777777" w:rsidR="00A32DA9" w:rsidRDefault="00A32DA9" w:rsidP="00A32DA9">
      <w:pPr>
        <w:rPr>
          <w:lang w:eastAsia="en-US"/>
        </w:rPr>
      </w:pPr>
      <w:r>
        <w:rPr>
          <w:lang w:eastAsia="en-US"/>
        </w:rPr>
        <w:t>Cancer care coordination and support services currently exist across Aotearoa but are not consistently available, supported, or prioritised. Cancer care coordination plays a</w:t>
      </w:r>
    </w:p>
    <w:p w14:paraId="2FE03877" w14:textId="1B0AB02B" w:rsidR="00A32DA9" w:rsidRDefault="00A32DA9" w:rsidP="00A32DA9">
      <w:pPr>
        <w:rPr>
          <w:lang w:eastAsia="en-US"/>
        </w:rPr>
      </w:pPr>
      <w:r>
        <w:rPr>
          <w:lang w:eastAsia="en-US"/>
        </w:rPr>
        <w:t>significant role in reducing the trauma of cancer diagnosis and increases the likelihood that whānau will complete their cancer treatment and increase their survival rates, particularly for Māori and Pacific peoples who often experience worse cancer outcomes.</w:t>
      </w:r>
    </w:p>
    <w:p w14:paraId="041532D9" w14:textId="77777777" w:rsidR="004B68CC" w:rsidRDefault="004B68CC" w:rsidP="00A32DA9">
      <w:pPr>
        <w:rPr>
          <w:lang w:eastAsia="en-US"/>
        </w:rPr>
      </w:pPr>
    </w:p>
    <w:p w14:paraId="1D5430F0" w14:textId="6DECD1A8" w:rsidR="00A32DA9" w:rsidRDefault="00A32DA9" w:rsidP="00A32DA9">
      <w:pPr>
        <w:rPr>
          <w:lang w:eastAsia="en-US"/>
        </w:rPr>
      </w:pPr>
      <w:r>
        <w:rPr>
          <w:lang w:eastAsia="en-US"/>
        </w:rPr>
        <w:t>We are working across the health sector to develop a Cancer Care Navigation Guide to provide clear requirements when establishing a community-based Cancer Care Navigation Service (CCNS).</w:t>
      </w:r>
      <w:r w:rsidR="004B68CC">
        <w:rPr>
          <w:lang w:eastAsia="en-US"/>
        </w:rPr>
        <w:t xml:space="preserve"> </w:t>
      </w:r>
      <w:r>
        <w:rPr>
          <w:lang w:eastAsia="en-US"/>
        </w:rPr>
        <w:t>This will enable the commissioning of effective and consistent cancer co-ordination services throughout the country, with the initial focus on reducing the disparities for Māori and Pacific cancer patients.</w:t>
      </w:r>
    </w:p>
    <w:p w14:paraId="14CDF464" w14:textId="5A36F922" w:rsidR="00A32DA9" w:rsidRDefault="004B68CC" w:rsidP="004B68CC">
      <w:pPr>
        <w:pStyle w:val="Heading3"/>
        <w:rPr>
          <w:lang w:eastAsia="en-US"/>
        </w:rPr>
      </w:pPr>
      <w:r w:rsidRPr="004B68CC">
        <w:rPr>
          <w:lang w:eastAsia="en-US"/>
        </w:rPr>
        <w:t>Providing better quality, more connected data</w:t>
      </w:r>
    </w:p>
    <w:p w14:paraId="36F009A0" w14:textId="77777777" w:rsidR="004B68CC" w:rsidRDefault="004B68CC" w:rsidP="004B68CC">
      <w:pPr>
        <w:pStyle w:val="Heading4"/>
        <w:rPr>
          <w:lang w:eastAsia="en-US"/>
        </w:rPr>
      </w:pPr>
      <w:r>
        <w:rPr>
          <w:lang w:eastAsia="en-US"/>
        </w:rPr>
        <w:t>CanShare national health informatics platform</w:t>
      </w:r>
    </w:p>
    <w:p w14:paraId="31AE1C43" w14:textId="77777777" w:rsidR="004B68CC" w:rsidRDefault="004B68CC" w:rsidP="004B68CC">
      <w:pPr>
        <w:rPr>
          <w:lang w:eastAsia="en-US"/>
        </w:rPr>
      </w:pPr>
      <w:r>
        <w:rPr>
          <w:lang w:eastAsia="en-US"/>
        </w:rPr>
        <w:t>Providing clinicians, people and whānau with up-to-date information to inform their decisions at the point of care is a crucial in helping improve cancer outcomes. The CanShare programme is a series of workstreams that aims to bring together separate treatment and cancer data collections, supported by new national data standards and analytics under one national platform. This will enable clinicians and health organisations to:</w:t>
      </w:r>
    </w:p>
    <w:p w14:paraId="7F7F07B5" w14:textId="449A5F72" w:rsidR="004B68CC" w:rsidRDefault="004B68CC" w:rsidP="004B68CC">
      <w:pPr>
        <w:pStyle w:val="Bullet"/>
        <w:rPr>
          <w:lang w:eastAsia="en-US"/>
        </w:rPr>
      </w:pPr>
      <w:r>
        <w:rPr>
          <w:lang w:eastAsia="en-US"/>
        </w:rPr>
        <w:t>Access accurate and up-to-date data to plan and monitor a person’s cancer care and treatment.</w:t>
      </w:r>
    </w:p>
    <w:p w14:paraId="4757B4FF" w14:textId="1EBF02A8" w:rsidR="004B68CC" w:rsidRDefault="004B68CC" w:rsidP="004B68CC">
      <w:pPr>
        <w:pStyle w:val="Bullet"/>
        <w:rPr>
          <w:lang w:eastAsia="en-US"/>
        </w:rPr>
      </w:pPr>
      <w:r>
        <w:rPr>
          <w:lang w:eastAsia="en-US"/>
        </w:rPr>
        <w:t>Monitor cancer treatment across the motu (country) to quickly identify and address potential service disruptions, or inconsistencies in care.</w:t>
      </w:r>
    </w:p>
    <w:p w14:paraId="3EAEF23A" w14:textId="77777777" w:rsidR="004B68CC" w:rsidRDefault="004B68CC" w:rsidP="004B68CC">
      <w:pPr>
        <w:rPr>
          <w:lang w:eastAsia="en-US"/>
        </w:rPr>
      </w:pPr>
    </w:p>
    <w:p w14:paraId="0A006E8A" w14:textId="5F05A670" w:rsidR="004B68CC" w:rsidRDefault="004B68CC" w:rsidP="004B68CC">
      <w:pPr>
        <w:rPr>
          <w:lang w:eastAsia="en-US"/>
        </w:rPr>
      </w:pPr>
      <w:r>
        <w:rPr>
          <w:lang w:eastAsia="en-US"/>
        </w:rPr>
        <w:lastRenderedPageBreak/>
        <w:t>We have continued to work closely with Health New Zealand who are responsible for the cloud database that will host CanShare. We are leading several CanShare data workstreams, some of which are outlined below.</w:t>
      </w:r>
    </w:p>
    <w:p w14:paraId="76CF0CB2" w14:textId="77777777" w:rsidR="004B68CC" w:rsidRDefault="004B68CC" w:rsidP="004B68CC">
      <w:pPr>
        <w:rPr>
          <w:lang w:eastAsia="en-US"/>
        </w:rPr>
      </w:pPr>
    </w:p>
    <w:p w14:paraId="07999C6C" w14:textId="37C02961" w:rsidR="00A32DA9" w:rsidRDefault="00DF7676" w:rsidP="00A32DA9">
      <w:pPr>
        <w:rPr>
          <w:lang w:eastAsia="en-US"/>
        </w:rPr>
      </w:pPr>
      <w:r>
        <w:rPr>
          <w:noProof/>
        </w:rPr>
        <w:drawing>
          <wp:inline distT="0" distB="0" distL="0" distR="0" wp14:anchorId="747ED02C" wp14:editId="29F69D3B">
            <wp:extent cx="5130165" cy="332168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5130165" cy="3321685"/>
                    </a:xfrm>
                    <a:prstGeom prst="rect">
                      <a:avLst/>
                    </a:prstGeom>
                  </pic:spPr>
                </pic:pic>
              </a:graphicData>
            </a:graphic>
          </wp:inline>
        </w:drawing>
      </w:r>
    </w:p>
    <w:p w14:paraId="5EF3F60A" w14:textId="77777777" w:rsidR="00DF7676" w:rsidRDefault="00DF7676" w:rsidP="00DF7676">
      <w:pPr>
        <w:pStyle w:val="Heading4"/>
        <w:rPr>
          <w:lang w:eastAsia="en-US"/>
        </w:rPr>
      </w:pPr>
      <w:r>
        <w:rPr>
          <w:lang w:eastAsia="en-US"/>
        </w:rPr>
        <w:t>Anti-Cancer Therapies — Nationally Organised Workstreams (ACT-NOW)</w:t>
      </w:r>
    </w:p>
    <w:p w14:paraId="5032B812" w14:textId="77777777" w:rsidR="00DF7676" w:rsidRDefault="00DF7676" w:rsidP="00DF7676">
      <w:pPr>
        <w:rPr>
          <w:lang w:eastAsia="en-US"/>
        </w:rPr>
      </w:pPr>
      <w:r>
        <w:rPr>
          <w:lang w:eastAsia="en-US"/>
        </w:rPr>
        <w:t>The ACT-NOW programme is building a national systemic anti-cancer therapy (SACT) data collection and analytics. Using consistent ways to collect treatment regime data will allow the health sector to:</w:t>
      </w:r>
    </w:p>
    <w:p w14:paraId="44CC6D98" w14:textId="01BBCE20" w:rsidR="00DF7676" w:rsidRDefault="00DF7676" w:rsidP="00DF7676">
      <w:pPr>
        <w:pStyle w:val="Bullet"/>
        <w:rPr>
          <w:lang w:eastAsia="en-US"/>
        </w:rPr>
      </w:pPr>
      <w:r>
        <w:rPr>
          <w:lang w:eastAsia="en-US"/>
        </w:rPr>
        <w:t xml:space="preserve">monitor and compare how different regimens and/or services are </w:t>
      </w:r>
      <w:proofErr w:type="gramStart"/>
      <w:r>
        <w:rPr>
          <w:lang w:eastAsia="en-US"/>
        </w:rPr>
        <w:t>performing</w:t>
      </w:r>
      <w:proofErr w:type="gramEnd"/>
    </w:p>
    <w:p w14:paraId="71953F00" w14:textId="41575B05" w:rsidR="00DF7676" w:rsidRDefault="00DF7676" w:rsidP="00DF7676">
      <w:pPr>
        <w:pStyle w:val="Bullet"/>
        <w:rPr>
          <w:lang w:eastAsia="en-US"/>
        </w:rPr>
      </w:pPr>
      <w:r>
        <w:rPr>
          <w:lang w:eastAsia="en-US"/>
        </w:rPr>
        <w:t xml:space="preserve">identify any variations and where quality improvement interventions may be </w:t>
      </w:r>
      <w:proofErr w:type="gramStart"/>
      <w:r>
        <w:rPr>
          <w:lang w:eastAsia="en-US"/>
        </w:rPr>
        <w:t>needed</w:t>
      </w:r>
      <w:proofErr w:type="gramEnd"/>
    </w:p>
    <w:p w14:paraId="059EDA97" w14:textId="26F92B07" w:rsidR="00DF7676" w:rsidRDefault="00DF7676" w:rsidP="00DF7676">
      <w:pPr>
        <w:pStyle w:val="Bullet"/>
        <w:rPr>
          <w:lang w:eastAsia="en-US"/>
        </w:rPr>
      </w:pPr>
      <w:r>
        <w:rPr>
          <w:lang w:eastAsia="en-US"/>
        </w:rPr>
        <w:t>potentially add in early warning systems to flag areas of concern before they occur.</w:t>
      </w:r>
    </w:p>
    <w:p w14:paraId="22ADD247" w14:textId="77777777" w:rsidR="00DF7676" w:rsidRDefault="00DF7676" w:rsidP="00DF7676">
      <w:pPr>
        <w:rPr>
          <w:lang w:eastAsia="en-US"/>
        </w:rPr>
      </w:pPr>
    </w:p>
    <w:p w14:paraId="3A348270" w14:textId="378E3950" w:rsidR="00DF7676" w:rsidRDefault="00DF7676" w:rsidP="00DF7676">
      <w:pPr>
        <w:rPr>
          <w:lang w:eastAsia="en-US"/>
        </w:rPr>
      </w:pPr>
      <w:r>
        <w:rPr>
          <w:lang w:eastAsia="en-US"/>
        </w:rPr>
        <w:t>This will help the cancer system ensuring all people receive consistent cancer care, no matter where they live, or who they may be.</w:t>
      </w:r>
    </w:p>
    <w:p w14:paraId="6639806F" w14:textId="77777777" w:rsidR="00B5105F" w:rsidRDefault="00B5105F" w:rsidP="00DF7676">
      <w:pPr>
        <w:rPr>
          <w:lang w:eastAsia="en-US"/>
        </w:rPr>
      </w:pPr>
    </w:p>
    <w:p w14:paraId="0B7CC347" w14:textId="77777777" w:rsidR="00DF7676" w:rsidRDefault="00DF7676" w:rsidP="00DF7676">
      <w:pPr>
        <w:rPr>
          <w:lang w:eastAsia="en-US"/>
        </w:rPr>
      </w:pPr>
      <w:r>
        <w:rPr>
          <w:lang w:eastAsia="en-US"/>
        </w:rPr>
        <w:t>We are continuing to work with key partners agreeing on SACT definitions for the different treatment regimes.</w:t>
      </w:r>
    </w:p>
    <w:p w14:paraId="0AB4F8B8" w14:textId="77777777" w:rsidR="00DF7676" w:rsidRDefault="00DF7676" w:rsidP="00DF7676">
      <w:pPr>
        <w:pStyle w:val="Heading4"/>
        <w:rPr>
          <w:lang w:eastAsia="en-US"/>
        </w:rPr>
      </w:pPr>
      <w:r>
        <w:rPr>
          <w:lang w:eastAsia="en-US"/>
        </w:rPr>
        <w:t>Structured pathology</w:t>
      </w:r>
    </w:p>
    <w:p w14:paraId="5BB66DE7" w14:textId="0168A0D3" w:rsidR="00DF7676" w:rsidRDefault="00DF7676" w:rsidP="00DF7676">
      <w:pPr>
        <w:rPr>
          <w:lang w:eastAsia="en-US"/>
        </w:rPr>
      </w:pPr>
      <w:r>
        <w:rPr>
          <w:lang w:eastAsia="en-US"/>
        </w:rPr>
        <w:t>This project involves the wider sector to develop HISO (Health Information Standards Organisation) endorsed pathology data standards, to enable data to be shared and compared.</w:t>
      </w:r>
    </w:p>
    <w:p w14:paraId="25EE6684" w14:textId="77777777" w:rsidR="00DF7676" w:rsidRDefault="00DF7676" w:rsidP="00DF7676">
      <w:pPr>
        <w:rPr>
          <w:lang w:eastAsia="en-US"/>
        </w:rPr>
      </w:pPr>
    </w:p>
    <w:p w14:paraId="0E0B2E85" w14:textId="1190A6FA" w:rsidR="00DF7676" w:rsidRDefault="00DF7676" w:rsidP="00DF7676">
      <w:pPr>
        <w:rPr>
          <w:lang w:eastAsia="en-US"/>
        </w:rPr>
      </w:pPr>
      <w:r>
        <w:rPr>
          <w:lang w:eastAsia="en-US"/>
        </w:rPr>
        <w:t>We have released 17 HISO standards over the past two years. We are working with the sector to finalise 40 data standards across the gastrointestinal, genitourinary, gynaecological, and soft tissue</w:t>
      </w:r>
      <w:r w:rsidR="00B5105F">
        <w:rPr>
          <w:lang w:eastAsia="en-US"/>
        </w:rPr>
        <w:t xml:space="preserve"> </w:t>
      </w:r>
      <w:r>
        <w:rPr>
          <w:lang w:eastAsia="en-US"/>
        </w:rPr>
        <w:t xml:space="preserve">and bone cancer groups. The learnings from this work </w:t>
      </w:r>
      <w:r>
        <w:rPr>
          <w:lang w:eastAsia="en-US"/>
        </w:rPr>
        <w:lastRenderedPageBreak/>
        <w:t>are helping us develop industry leading tools to support pathology providers and vendors implement these with clinicians.</w:t>
      </w:r>
    </w:p>
    <w:p w14:paraId="661955E5" w14:textId="77777777" w:rsidR="00DF7676" w:rsidRDefault="00DF7676" w:rsidP="00DF7676">
      <w:pPr>
        <w:pStyle w:val="Heading4"/>
        <w:rPr>
          <w:lang w:eastAsia="en-US"/>
        </w:rPr>
      </w:pPr>
      <w:r>
        <w:rPr>
          <w:lang w:eastAsia="en-US"/>
        </w:rPr>
        <w:t>National Radiation Oncology Collection (ROC)</w:t>
      </w:r>
    </w:p>
    <w:p w14:paraId="45F4EC88" w14:textId="5ED8BFD4" w:rsidR="00DF7676" w:rsidRDefault="00DF7676" w:rsidP="00DF7676">
      <w:pPr>
        <w:rPr>
          <w:lang w:eastAsia="en-US"/>
        </w:rPr>
      </w:pPr>
      <w:r>
        <w:rPr>
          <w:lang w:eastAsia="en-US"/>
        </w:rPr>
        <w:t>This central repository of detailed radiation oncology information informs an understanding of radiation oncology service delivery and linear accelerator capacity, utilisation, and planning.</w:t>
      </w:r>
      <w:r w:rsidR="00B5105F">
        <w:rPr>
          <w:lang w:eastAsia="en-US"/>
        </w:rPr>
        <w:t xml:space="preserve"> </w:t>
      </w:r>
      <w:r>
        <w:rPr>
          <w:lang w:eastAsia="en-US"/>
        </w:rPr>
        <w:t>This supports actions to improve access to radiotherapy and drive more cost-effective treatment. The ROC has been used as the key data source to underpin national planning for increased treatment capacity and workforce.</w:t>
      </w:r>
    </w:p>
    <w:p w14:paraId="3A68270E" w14:textId="3D9FE649" w:rsidR="00DF7676" w:rsidRDefault="00DF7676" w:rsidP="00DF7676">
      <w:pPr>
        <w:pStyle w:val="Heading4"/>
        <w:rPr>
          <w:lang w:eastAsia="en-US"/>
        </w:rPr>
      </w:pPr>
      <w:r>
        <w:rPr>
          <w:lang w:eastAsia="en-US"/>
        </w:rPr>
        <w:t>Faster cancer treatment health target and indicator</w:t>
      </w:r>
    </w:p>
    <w:p w14:paraId="1F0CE457" w14:textId="415A4678" w:rsidR="00DF7676" w:rsidRDefault="00DF7676" w:rsidP="00DF7676">
      <w:pPr>
        <w:rPr>
          <w:lang w:eastAsia="en-US"/>
        </w:rPr>
      </w:pPr>
      <w:r>
        <w:rPr>
          <w:lang w:eastAsia="en-US"/>
        </w:rPr>
        <w:t>Faster Cancer Treatment (FCT) indicators measure peoples’ access to cancer services at national and regional levels. Health New Zealand collects standardised information on the time for patients who have been referred urgently with a high suspicion of cancer to see a specialist (62-day indicator) and the time to receive treatment</w:t>
      </w:r>
      <w:r w:rsidR="00B5105F">
        <w:rPr>
          <w:lang w:eastAsia="en-US"/>
        </w:rPr>
        <w:t xml:space="preserve"> </w:t>
      </w:r>
      <w:r>
        <w:rPr>
          <w:lang w:eastAsia="en-US"/>
        </w:rPr>
        <w:t>once a ‘decision to treat’ is made (31-day target). Te Aho o Te Kahu has been supporting process improvements with the teams who collect</w:t>
      </w:r>
      <w:r w:rsidR="00B5105F">
        <w:rPr>
          <w:lang w:eastAsia="en-US"/>
        </w:rPr>
        <w:t xml:space="preserve"> </w:t>
      </w:r>
      <w:r>
        <w:rPr>
          <w:lang w:eastAsia="en-US"/>
        </w:rPr>
        <w:t>this data. This has improved the quality and consistency of data collected across the country.</w:t>
      </w:r>
    </w:p>
    <w:p w14:paraId="3F4E4575" w14:textId="77777777" w:rsidR="00B5105F" w:rsidRDefault="00B5105F" w:rsidP="00DF7676">
      <w:pPr>
        <w:rPr>
          <w:lang w:eastAsia="en-US"/>
        </w:rPr>
      </w:pPr>
    </w:p>
    <w:p w14:paraId="4CA0980D" w14:textId="38CB6781" w:rsidR="00DF7676" w:rsidRDefault="00DF7676" w:rsidP="00DF7676">
      <w:pPr>
        <w:rPr>
          <w:lang w:eastAsia="en-US"/>
        </w:rPr>
      </w:pPr>
      <w:r>
        <w:rPr>
          <w:lang w:eastAsia="en-US"/>
        </w:rPr>
        <w:t>FCT is currently one measure of cancer care performance that helps identify areas for systematic improvement. The 31-day target measures the proportion of people that receive their first treatment within 31 days of a decision to treat.</w:t>
      </w:r>
    </w:p>
    <w:p w14:paraId="6E4E9D12" w14:textId="77777777" w:rsidR="00B5105F" w:rsidRDefault="00B5105F" w:rsidP="00DF7676">
      <w:pPr>
        <w:rPr>
          <w:lang w:eastAsia="en-US"/>
        </w:rPr>
      </w:pPr>
    </w:p>
    <w:p w14:paraId="47F60F47" w14:textId="58ECBA3E" w:rsidR="00DF7676" w:rsidRDefault="00DF7676" w:rsidP="00DF7676">
      <w:pPr>
        <w:rPr>
          <w:lang w:eastAsia="en-US"/>
        </w:rPr>
      </w:pPr>
      <w:r>
        <w:rPr>
          <w:lang w:eastAsia="en-US"/>
        </w:rPr>
        <w:t>In March 2024 the government announced five new health targets including one for cancer treatment that incorporates the 31-day measure.</w:t>
      </w:r>
    </w:p>
    <w:p w14:paraId="0CB1BC5C" w14:textId="77777777" w:rsidR="00B5105F" w:rsidRDefault="00B5105F" w:rsidP="00DF7676">
      <w:pPr>
        <w:rPr>
          <w:lang w:eastAsia="en-US"/>
        </w:rPr>
      </w:pPr>
    </w:p>
    <w:p w14:paraId="45B4E77E" w14:textId="1993D51D" w:rsidR="00DF7676" w:rsidRDefault="00DF7676" w:rsidP="00DF7676">
      <w:pPr>
        <w:rPr>
          <w:lang w:eastAsia="en-US"/>
        </w:rPr>
      </w:pPr>
      <w:r>
        <w:rPr>
          <w:lang w:eastAsia="en-US"/>
        </w:rPr>
        <w:t>While it is retrospective and there is a lead time of several weeks between activity and reporting, FCT can be reported regionally and by ethnicity which aligns with the direction Health New Zealand is taking to develop a more regionalised focus on improving health services.</w:t>
      </w:r>
    </w:p>
    <w:p w14:paraId="57637C25" w14:textId="77777777" w:rsidR="00B5105F" w:rsidRDefault="00B5105F" w:rsidP="00DF7676">
      <w:pPr>
        <w:rPr>
          <w:lang w:eastAsia="en-US"/>
        </w:rPr>
      </w:pPr>
    </w:p>
    <w:p w14:paraId="4BDC9F68" w14:textId="4FF8FD9E" w:rsidR="00DF7676" w:rsidRDefault="00DF7676" w:rsidP="00DF7676">
      <w:pPr>
        <w:rPr>
          <w:lang w:eastAsia="en-US"/>
        </w:rPr>
      </w:pPr>
      <w:r>
        <w:rPr>
          <w:lang w:eastAsia="en-US"/>
        </w:rPr>
        <w:t xml:space="preserve">In </w:t>
      </w:r>
      <w:proofErr w:type="gramStart"/>
      <w:r>
        <w:rPr>
          <w:lang w:eastAsia="en-US"/>
        </w:rPr>
        <w:t>addition</w:t>
      </w:r>
      <w:proofErr w:type="gramEnd"/>
      <w:r>
        <w:rPr>
          <w:lang w:eastAsia="en-US"/>
        </w:rPr>
        <w:t xml:space="preserve"> the Faster cancer treatment 62-day wait time indicators require districts to collect standardised information on patients who have been referred urgently with a high suspicion</w:t>
      </w:r>
      <w:r w:rsidR="00B5105F">
        <w:rPr>
          <w:lang w:eastAsia="en-US"/>
        </w:rPr>
        <w:t xml:space="preserve"> </w:t>
      </w:r>
      <w:r>
        <w:rPr>
          <w:lang w:eastAsia="en-US"/>
        </w:rPr>
        <w:t>of cancer.</w:t>
      </w:r>
    </w:p>
    <w:p w14:paraId="1E2673B0" w14:textId="77777777" w:rsidR="00B5105F" w:rsidRDefault="00B5105F" w:rsidP="00DF7676">
      <w:pPr>
        <w:rPr>
          <w:lang w:eastAsia="en-US"/>
        </w:rPr>
      </w:pPr>
    </w:p>
    <w:p w14:paraId="3F9EC1CB" w14:textId="0753F7FE" w:rsidR="00B5105F" w:rsidRDefault="00DF7676" w:rsidP="00B5105F">
      <w:pPr>
        <w:rPr>
          <w:lang w:eastAsia="en-US"/>
        </w:rPr>
      </w:pPr>
      <w:r>
        <w:rPr>
          <w:lang w:eastAsia="en-US"/>
        </w:rPr>
        <w:t>Over 2023/24 the agency supported Health New Zealand to streamline historical faster cancer treatment guidance documents by amalgamating them into a single document to support services reporting faster cancer treatment wait time indicators. This work also included clarification of the business rules to support nationally consistent reporting by services. In addition,</w:t>
      </w:r>
      <w:r w:rsidR="00B5105F">
        <w:rPr>
          <w:lang w:eastAsia="en-US"/>
        </w:rPr>
        <w:t xml:space="preserve"> </w:t>
      </w:r>
      <w:r>
        <w:rPr>
          <w:lang w:eastAsia="en-US"/>
        </w:rPr>
        <w:t>an escalation plan and FCT coordinator/tracker orientation pack were developed, and support provided to the Health New Zealand community health pathways team with standardising</w:t>
      </w:r>
      <w:r w:rsidR="00B5105F">
        <w:rPr>
          <w:lang w:eastAsia="en-US"/>
        </w:rPr>
        <w:t xml:space="preserve"> consistent FCT information for Aotearoa. We are currently supporting the quality improvement of these indicators — for example, through our work to improve consistency of business rules, quality data management and reporting. We transferred ownership of this work to Health New Zealand in 2024.</w:t>
      </w:r>
    </w:p>
    <w:p w14:paraId="0FCB3B48" w14:textId="77777777" w:rsidR="00B5105F" w:rsidRPr="000A1102" w:rsidRDefault="00B5105F" w:rsidP="000A1102">
      <w:pPr>
        <w:pStyle w:val="Heading4"/>
      </w:pPr>
      <w:r w:rsidRPr="000A1102">
        <w:lastRenderedPageBreak/>
        <w:t xml:space="preserve">Health Information Standards Organisation (HISO) standards </w:t>
      </w:r>
    </w:p>
    <w:p w14:paraId="1C55F273" w14:textId="02AE04C3" w:rsidR="00B5105F" w:rsidRDefault="00B5105F" w:rsidP="00B5105F">
      <w:pPr>
        <w:rPr>
          <w:lang w:eastAsia="en-US"/>
        </w:rPr>
      </w:pPr>
      <w:r>
        <w:rPr>
          <w:lang w:eastAsia="en-US"/>
        </w:rPr>
        <w:t>We continued to work with Health New Zealand on the selection, development and adoption of data and digital standards for the health sector. Nationally agreed and HISO-endorsed data standards support the vision for a fully interoperable digital health system by enabling cancer data to be shared more easily between systems information for decision-making, quality improvement and research. Standards enable different data systems to ‘talk to each other’.</w:t>
      </w:r>
    </w:p>
    <w:p w14:paraId="1B9967AE" w14:textId="77777777" w:rsidR="00B5105F" w:rsidRDefault="00B5105F" w:rsidP="00B5105F">
      <w:pPr>
        <w:rPr>
          <w:lang w:eastAsia="en-US"/>
        </w:rPr>
      </w:pPr>
    </w:p>
    <w:p w14:paraId="29CE8AAE" w14:textId="1D62E120" w:rsidR="00B5105F" w:rsidRDefault="00B5105F" w:rsidP="00B5105F">
      <w:pPr>
        <w:rPr>
          <w:lang w:eastAsia="en-US"/>
        </w:rPr>
      </w:pPr>
      <w:r>
        <w:rPr>
          <w:lang w:eastAsia="en-US"/>
        </w:rPr>
        <w:t>As previously mentioned, the Structured Pathology reporting programme has made progress working on up to 40 HISO (Health Information Standards Organisation) standards to describe histopathology reports; The ACTNOW programme is close to completing its entire library of systemic anticancer therapy regimens, which will allow an understanding of how patients are being treated throughout the motu. The Snowflake data analytics database is now operational and will drive improved cancer data analytics, monitoring, reporting, and research. Work is also ongoing to allow Te Rēhita Mate Ūtaetae (the Breast Cancer Foundation National Register) to be supported by the CanShare platform.</w:t>
      </w:r>
    </w:p>
    <w:p w14:paraId="3295BEA7" w14:textId="77777777" w:rsidR="00B5105F" w:rsidRDefault="00B5105F" w:rsidP="00B5105F">
      <w:pPr>
        <w:rPr>
          <w:lang w:eastAsia="en-US"/>
        </w:rPr>
      </w:pPr>
    </w:p>
    <w:p w14:paraId="73AB0442" w14:textId="77777777" w:rsidR="00B5105F" w:rsidRDefault="00B5105F" w:rsidP="00B5105F">
      <w:pPr>
        <w:rPr>
          <w:lang w:eastAsia="en-US"/>
        </w:rPr>
      </w:pPr>
      <w:r>
        <w:rPr>
          <w:lang w:eastAsia="en-US"/>
        </w:rPr>
        <w:t>Behind these outcomes are advances in our development of SNOMED CT (the national health terminology) to describe cancer data; and FHIR, the interoperability standard supporting the near real-time sharing of these data.</w:t>
      </w:r>
    </w:p>
    <w:p w14:paraId="655766F9" w14:textId="77777777" w:rsidR="00B5105F" w:rsidRDefault="00B5105F" w:rsidP="00B5105F">
      <w:pPr>
        <w:pStyle w:val="Heading4"/>
        <w:rPr>
          <w:lang w:eastAsia="en-US"/>
        </w:rPr>
      </w:pPr>
      <w:r>
        <w:rPr>
          <w:lang w:eastAsia="en-US"/>
        </w:rPr>
        <w:t>Development of a monitoring framework</w:t>
      </w:r>
    </w:p>
    <w:p w14:paraId="65165166" w14:textId="1EBD3838" w:rsidR="00B5105F" w:rsidRDefault="00B5105F" w:rsidP="00B5105F">
      <w:pPr>
        <w:rPr>
          <w:lang w:eastAsia="en-US"/>
        </w:rPr>
      </w:pPr>
      <w:r>
        <w:rPr>
          <w:lang w:eastAsia="en-US"/>
        </w:rPr>
        <w:t>The New Zealand Cancer Action Plan 2019–2029 sets four outcomes and multiple related actions across the cancer control pathway. This year, we have continued to report against this monitoring framework so we can transparently assess our progress towards achieving the aspirations of the Cancer Action Plan.</w:t>
      </w:r>
    </w:p>
    <w:p w14:paraId="5C22797C" w14:textId="77777777" w:rsidR="00B5105F" w:rsidRDefault="00B5105F" w:rsidP="00B5105F">
      <w:pPr>
        <w:rPr>
          <w:lang w:eastAsia="en-US"/>
        </w:rPr>
      </w:pPr>
    </w:p>
    <w:p w14:paraId="6A21E636" w14:textId="58713611" w:rsidR="00B5105F" w:rsidRDefault="00B5105F" w:rsidP="00B5105F">
      <w:pPr>
        <w:rPr>
          <w:lang w:eastAsia="en-US"/>
        </w:rPr>
      </w:pPr>
      <w:r>
        <w:rPr>
          <w:lang w:eastAsia="en-US"/>
        </w:rPr>
        <w:t>We will report on 11 broad indicators to give a ‘snapshot’ of the current state of cancer control in Aotearoa New Zealand. Each year, we will calculate the indicators and present the results in a monitoring report to show progress in the cancer control system. The monitoring report will also present activities being undertaken to achieve the outcomes and actions of the Cancer Action Plan. A summary of the monitoring report is available in the section ‘Tō mātou whakahaere – Our performance’.</w:t>
      </w:r>
    </w:p>
    <w:p w14:paraId="089CDB9C" w14:textId="77777777" w:rsidR="00B5105F" w:rsidRDefault="00B5105F" w:rsidP="00B5105F">
      <w:pPr>
        <w:pStyle w:val="Heading4"/>
        <w:rPr>
          <w:lang w:eastAsia="en-US"/>
        </w:rPr>
      </w:pPr>
      <w:r>
        <w:rPr>
          <w:lang w:eastAsia="en-US"/>
        </w:rPr>
        <w:t>Leadership and collaboration across data and digital health</w:t>
      </w:r>
    </w:p>
    <w:p w14:paraId="04A1B74F" w14:textId="0A341F4B" w:rsidR="00B5105F" w:rsidRDefault="00B5105F" w:rsidP="00B5105F">
      <w:pPr>
        <w:rPr>
          <w:lang w:eastAsia="en-US"/>
        </w:rPr>
      </w:pPr>
      <w:r>
        <w:rPr>
          <w:lang w:eastAsia="en-US"/>
        </w:rPr>
        <w:t>We continued working with Health New Zealand and the Ministry of Health to highlight the needs of cancer patients and whānau within data and digital system changes.</w:t>
      </w:r>
    </w:p>
    <w:p w14:paraId="0CA1300E" w14:textId="77777777" w:rsidR="00B5105F" w:rsidRDefault="00B5105F" w:rsidP="00B5105F">
      <w:pPr>
        <w:rPr>
          <w:lang w:eastAsia="en-US"/>
        </w:rPr>
      </w:pPr>
    </w:p>
    <w:p w14:paraId="5954234A" w14:textId="77777777" w:rsidR="00B5105F" w:rsidRDefault="00B5105F" w:rsidP="00B5105F">
      <w:pPr>
        <w:rPr>
          <w:lang w:eastAsia="en-US"/>
        </w:rPr>
        <w:sectPr w:rsidR="00B5105F" w:rsidSect="005E645F">
          <w:pgSz w:w="11907" w:h="16840" w:code="9"/>
          <w:pgMar w:top="1418" w:right="1701" w:bottom="1134" w:left="1843" w:header="284" w:footer="425" w:gutter="284"/>
          <w:cols w:space="720"/>
        </w:sectPr>
      </w:pPr>
      <w:r>
        <w:rPr>
          <w:lang w:eastAsia="en-US"/>
        </w:rPr>
        <w:t>In 2023/24 kaimahi sat on key digital governance and advisory groups, including the Hira Programme Governance Group, the Digital Enablement Oversight Group, the Digital Health Equity Reference Group, the National Data Platform Steering Committee and Tātai Pae Ora. We also chair the Cancer Working Group within the New Zealand Telehealth Forum.</w:t>
      </w:r>
    </w:p>
    <w:p w14:paraId="750798E8" w14:textId="14F2C823" w:rsidR="004B68CC" w:rsidRPr="00386646" w:rsidRDefault="00B5105F" w:rsidP="00386646">
      <w:pPr>
        <w:pStyle w:val="Heading3"/>
        <w:spacing w:before="0"/>
      </w:pPr>
      <w:r w:rsidRPr="00386646">
        <w:lastRenderedPageBreak/>
        <w:t xml:space="preserve">Kia whakaiti iho te mate pukupuku </w:t>
      </w:r>
      <w:r w:rsidR="00C42F6C">
        <w:t>–</w:t>
      </w:r>
      <w:r w:rsidRPr="00386646">
        <w:t xml:space="preserve"> Achieving fewer cancers through a focus on </w:t>
      </w:r>
      <w:proofErr w:type="gramStart"/>
      <w:r w:rsidRPr="00386646">
        <w:t>prevention</w:t>
      </w:r>
      <w:proofErr w:type="gramEnd"/>
    </w:p>
    <w:p w14:paraId="4FF26D0C" w14:textId="5D525237" w:rsidR="004B68CC" w:rsidRDefault="00B5105F" w:rsidP="00B5105F">
      <w:pPr>
        <w:pStyle w:val="Heading4"/>
        <w:rPr>
          <w:lang w:eastAsia="en-US"/>
        </w:rPr>
      </w:pPr>
      <w:r w:rsidRPr="00B5105F">
        <w:rPr>
          <w:lang w:eastAsia="en-US"/>
        </w:rPr>
        <w:t>Cancer screening</w:t>
      </w:r>
    </w:p>
    <w:p w14:paraId="048121BF" w14:textId="77777777" w:rsidR="00B5105F" w:rsidRDefault="00B5105F" w:rsidP="00B5105F">
      <w:pPr>
        <w:pStyle w:val="Heading5"/>
        <w:rPr>
          <w:lang w:eastAsia="en-US"/>
        </w:rPr>
      </w:pPr>
      <w:r>
        <w:rPr>
          <w:lang w:eastAsia="en-US"/>
        </w:rPr>
        <w:t>Cervical Screening Elimination Strategy</w:t>
      </w:r>
    </w:p>
    <w:p w14:paraId="68F86211" w14:textId="77777777" w:rsidR="00B5105F" w:rsidRDefault="00B5105F" w:rsidP="00B5105F">
      <w:pPr>
        <w:rPr>
          <w:lang w:eastAsia="en-US"/>
        </w:rPr>
      </w:pPr>
      <w:r>
        <w:rPr>
          <w:lang w:eastAsia="en-US"/>
        </w:rPr>
        <w:t>The agency is supporting the Public Health Agency and Health New Zealand on progressing the implementation of the cervical cancer elimination strategy. This work involves improvement planning across three pillars and their corresponding World Health Organization targets which are:</w:t>
      </w:r>
    </w:p>
    <w:p w14:paraId="277AEDD4" w14:textId="6BC87A4E" w:rsidR="00B5105F" w:rsidRDefault="00B5105F" w:rsidP="00277DE3">
      <w:pPr>
        <w:pStyle w:val="Bullet"/>
        <w:rPr>
          <w:lang w:eastAsia="en-US"/>
        </w:rPr>
      </w:pPr>
      <w:r>
        <w:rPr>
          <w:lang w:eastAsia="en-US"/>
        </w:rPr>
        <w:t>vaccination: 90% of girls fully vaccinated with the HPV vaccine by the age of 15</w:t>
      </w:r>
      <w:r w:rsidR="0017357F">
        <w:rPr>
          <w:lang w:eastAsia="en-US"/>
        </w:rPr>
        <w:t xml:space="preserve"> </w:t>
      </w:r>
      <w:r>
        <w:rPr>
          <w:lang w:eastAsia="en-US"/>
        </w:rPr>
        <w:t>(in Aotearoa New Zealand this target is applied to both boys and girls).</w:t>
      </w:r>
    </w:p>
    <w:p w14:paraId="32029431" w14:textId="31341511" w:rsidR="00B5105F" w:rsidRDefault="00B5105F" w:rsidP="00B5105F">
      <w:pPr>
        <w:pStyle w:val="Bullet"/>
        <w:rPr>
          <w:lang w:eastAsia="en-US"/>
        </w:rPr>
      </w:pPr>
      <w:r>
        <w:rPr>
          <w:lang w:eastAsia="en-US"/>
        </w:rPr>
        <w:t>screening: 70% of women screened using a high-performance test by the age of 35, and again by the age of 45.</w:t>
      </w:r>
    </w:p>
    <w:p w14:paraId="27FBDBCB" w14:textId="2BFB755A" w:rsidR="00B5105F" w:rsidRDefault="00B5105F" w:rsidP="00B5105F">
      <w:pPr>
        <w:pStyle w:val="Bullet"/>
        <w:rPr>
          <w:lang w:eastAsia="en-US"/>
        </w:rPr>
      </w:pPr>
      <w:r>
        <w:rPr>
          <w:lang w:eastAsia="en-US"/>
        </w:rPr>
        <w:t>treatment: 90% of women with pre-cancer treated and 90% of women with invasive cancer managed.</w:t>
      </w:r>
    </w:p>
    <w:p w14:paraId="042BB2DF" w14:textId="77777777" w:rsidR="00B5105F" w:rsidRDefault="00B5105F" w:rsidP="00B5105F">
      <w:pPr>
        <w:pStyle w:val="Heading5"/>
        <w:rPr>
          <w:lang w:eastAsia="en-US"/>
        </w:rPr>
      </w:pPr>
      <w:r>
        <w:rPr>
          <w:lang w:eastAsia="en-US"/>
        </w:rPr>
        <w:t>Human Papilloma Virus (HPV)</w:t>
      </w:r>
    </w:p>
    <w:p w14:paraId="1C9A974A" w14:textId="4F8CD8F8" w:rsidR="00B5105F" w:rsidRDefault="00B5105F" w:rsidP="00B5105F">
      <w:pPr>
        <w:rPr>
          <w:lang w:eastAsia="en-US"/>
        </w:rPr>
      </w:pPr>
      <w:r>
        <w:rPr>
          <w:lang w:eastAsia="en-US"/>
        </w:rPr>
        <w:t>HPV testing was introduced in September 2023, and since then significant progress has been made to increase the volumes of those who fit the testing criteria. As at April 2024 coverage was 70.9%, a 2-percentage point improvement from March 2024, and improvement in uptake across all ethnicities. The investment in the targeted approach to those communities with high need has been beneficial. HPV testing will be a significant contributor to eliminating cervical cancer in Aotearoa New Zealand.</w:t>
      </w:r>
    </w:p>
    <w:p w14:paraId="41802A3F" w14:textId="77777777" w:rsidR="0017357F" w:rsidRDefault="00B5105F" w:rsidP="0017357F">
      <w:pPr>
        <w:pStyle w:val="Heading5"/>
        <w:rPr>
          <w:lang w:eastAsia="en-US"/>
        </w:rPr>
      </w:pPr>
      <w:r>
        <w:rPr>
          <w:lang w:eastAsia="en-US"/>
        </w:rPr>
        <w:t xml:space="preserve">Investigating a lung screening programme </w:t>
      </w:r>
    </w:p>
    <w:p w14:paraId="3A28FC6B" w14:textId="0508E685" w:rsidR="00B5105F" w:rsidRDefault="00B5105F" w:rsidP="00B5105F">
      <w:pPr>
        <w:rPr>
          <w:lang w:eastAsia="en-US"/>
        </w:rPr>
      </w:pPr>
      <w:r>
        <w:rPr>
          <w:lang w:eastAsia="en-US"/>
        </w:rPr>
        <w:t>Lung cancer is one of most diagnosed cancers across Aotearoa New Zealand, and is the second most common cancer diagnosed in Māori people. In 2024 we were invited to join a new Health New Zealand project to investigate the policies, pathways, costs and capacity needed to set up and implement an equitable national lung cancer screening programme. We are supporting this through advice, resources and data to identify potential pathways.</w:t>
      </w:r>
    </w:p>
    <w:p w14:paraId="22F02432" w14:textId="77777777" w:rsidR="00B5105F" w:rsidRDefault="00B5105F" w:rsidP="00B5105F">
      <w:pPr>
        <w:pStyle w:val="Heading4"/>
        <w:rPr>
          <w:lang w:eastAsia="en-US"/>
        </w:rPr>
      </w:pPr>
      <w:r>
        <w:rPr>
          <w:lang w:eastAsia="en-US"/>
        </w:rPr>
        <w:t>Cancer research</w:t>
      </w:r>
    </w:p>
    <w:p w14:paraId="06BECC4C" w14:textId="77777777" w:rsidR="00B5105F" w:rsidRDefault="00B5105F" w:rsidP="00B5105F">
      <w:pPr>
        <w:pStyle w:val="Heading5"/>
        <w:rPr>
          <w:lang w:eastAsia="en-US"/>
        </w:rPr>
      </w:pPr>
      <w:r>
        <w:rPr>
          <w:lang w:eastAsia="en-US"/>
        </w:rPr>
        <w:t>Cancer Research UK (CRUK) / International Cancer Benchmarking Partnership (ICBP) New Zealand Visit</w:t>
      </w:r>
    </w:p>
    <w:p w14:paraId="60B0284B" w14:textId="205A3260" w:rsidR="00B5105F" w:rsidRDefault="00B5105F" w:rsidP="00B5105F">
      <w:pPr>
        <w:rPr>
          <w:lang w:eastAsia="en-US"/>
        </w:rPr>
      </w:pPr>
      <w:r>
        <w:rPr>
          <w:lang w:eastAsia="en-US"/>
        </w:rPr>
        <w:t>The agency’s established relationships with international research partners like Cancer Research UK (CRUK) provides important insights that can inform the design and delivery of New Zealand’s cancer services.</w:t>
      </w:r>
    </w:p>
    <w:p w14:paraId="3F4B51F6" w14:textId="77777777" w:rsidR="00B5105F" w:rsidRDefault="00B5105F" w:rsidP="00B5105F">
      <w:pPr>
        <w:rPr>
          <w:lang w:eastAsia="en-US"/>
        </w:rPr>
      </w:pPr>
    </w:p>
    <w:p w14:paraId="59B256E4" w14:textId="185DA104" w:rsidR="00B5105F" w:rsidRDefault="00B5105F" w:rsidP="00B5105F">
      <w:pPr>
        <w:rPr>
          <w:lang w:eastAsia="en-US"/>
        </w:rPr>
      </w:pPr>
      <w:r>
        <w:rPr>
          <w:lang w:eastAsia="en-US"/>
        </w:rPr>
        <w:t>ICBP (run by CRUK) is an international multidisciplinary collaborative partnership that facilitates research to measure variations in cancer survival, incidence, and mortality between countries, and the factors that cause these differences. This is useful data countries can use to improve cancer services and policies, with the aim of increasing survival and enhancing the patient experience.</w:t>
      </w:r>
    </w:p>
    <w:p w14:paraId="3802B886" w14:textId="3EF59230" w:rsidR="00B5105F" w:rsidRDefault="00B5105F" w:rsidP="00B5105F">
      <w:pPr>
        <w:rPr>
          <w:lang w:eastAsia="en-US"/>
        </w:rPr>
      </w:pPr>
      <w:r>
        <w:rPr>
          <w:lang w:eastAsia="en-US"/>
        </w:rPr>
        <w:lastRenderedPageBreak/>
        <w:t>New Zealand is a partner in this research work, contributing some financial support, national data, and our expertise. We recently completed and published ‘Routes to Diagnosis Report’ which utilised the ICBP methodology. This has ensured consistency and comparability across partner countries.</w:t>
      </w:r>
    </w:p>
    <w:p w14:paraId="6DF6035E" w14:textId="77777777" w:rsidR="00B5105F" w:rsidRDefault="00B5105F" w:rsidP="00B5105F">
      <w:pPr>
        <w:rPr>
          <w:lang w:eastAsia="en-US"/>
        </w:rPr>
      </w:pPr>
    </w:p>
    <w:p w14:paraId="1D4BCF28" w14:textId="05E41D66" w:rsidR="00B5105F" w:rsidRDefault="00B5105F" w:rsidP="00B5105F">
      <w:pPr>
        <w:rPr>
          <w:lang w:eastAsia="en-US"/>
        </w:rPr>
      </w:pPr>
      <w:r>
        <w:rPr>
          <w:lang w:eastAsia="en-US"/>
        </w:rPr>
        <w:t>In April 2024 we hosted the CRUK/ICBP team in Wellington for three days as part of their planned visits with partner countries. During this visit the CRUK/ICBP team introduced the third phase of their research ‘cancer survival benchmark’. The visit provided an opportunity to strengthen our international collaboration with a specific focus on early detection. On that topic, the CRUK team shared very useful insights on the initiatives under way in the UK (and elsewhere in Europe) aimed at supporting primary care and community diagnostic pathways to early detection.</w:t>
      </w:r>
    </w:p>
    <w:p w14:paraId="1B48975E" w14:textId="77777777" w:rsidR="00B5105F" w:rsidRDefault="00B5105F" w:rsidP="00B5105F">
      <w:pPr>
        <w:rPr>
          <w:lang w:eastAsia="en-US"/>
        </w:rPr>
      </w:pPr>
    </w:p>
    <w:p w14:paraId="0DCBC507" w14:textId="4AE3A54C" w:rsidR="00B5105F" w:rsidRDefault="00B5105F" w:rsidP="00B5105F">
      <w:pPr>
        <w:rPr>
          <w:lang w:eastAsia="en-US"/>
        </w:rPr>
      </w:pPr>
      <w:r>
        <w:rPr>
          <w:lang w:eastAsia="en-US"/>
        </w:rPr>
        <w:t>By strengthening our relationships with the teams at CRUK and ICBP team we will be able to continue to use their insights to inform our work in improving cancer outcomes. We have been invited to participate in phase 3 of the ICBP work, which will on Workforce. Details of this phase are currently being confirmed.</w:t>
      </w:r>
    </w:p>
    <w:p w14:paraId="1F454768" w14:textId="066C91B4" w:rsidR="00B5105F" w:rsidRPr="00386646" w:rsidRDefault="00B5105F" w:rsidP="00386646">
      <w:pPr>
        <w:pStyle w:val="Heading3"/>
      </w:pPr>
      <w:r w:rsidRPr="00386646">
        <w:t xml:space="preserve">Kia runga noa ake te mataora </w:t>
      </w:r>
      <w:r w:rsidR="00C42F6C">
        <w:t>–</w:t>
      </w:r>
      <w:r w:rsidRPr="00386646">
        <w:t xml:space="preserve"> Improving cancer </w:t>
      </w:r>
      <w:proofErr w:type="gramStart"/>
      <w:r w:rsidRPr="00386646">
        <w:t>survival</w:t>
      </w:r>
      <w:proofErr w:type="gramEnd"/>
    </w:p>
    <w:p w14:paraId="5CB2422F" w14:textId="7EF54C8B" w:rsidR="00B5105F" w:rsidRDefault="00B5105F" w:rsidP="00B5105F">
      <w:pPr>
        <w:pStyle w:val="Heading4"/>
        <w:rPr>
          <w:lang w:eastAsia="en-US"/>
        </w:rPr>
      </w:pPr>
      <w:r>
        <w:rPr>
          <w:lang w:eastAsia="en-US"/>
        </w:rPr>
        <w:t>Blood cancer medicines availability analysis</w:t>
      </w:r>
    </w:p>
    <w:p w14:paraId="3DA1F0E6" w14:textId="23866E74" w:rsidR="00B5105F" w:rsidRDefault="00B5105F" w:rsidP="00B5105F">
      <w:pPr>
        <w:rPr>
          <w:lang w:eastAsia="en-US"/>
        </w:rPr>
      </w:pPr>
      <w:r>
        <w:rPr>
          <w:lang w:eastAsia="en-US"/>
        </w:rPr>
        <w:t>Every year in Aotearoa New Zealand, around 2,800 people are diagnosed with a blood cancer. There are no known prevention or screening interventions for any blood cancers.</w:t>
      </w:r>
    </w:p>
    <w:p w14:paraId="774818A7" w14:textId="77777777" w:rsidR="00B5105F" w:rsidRDefault="00B5105F" w:rsidP="00B5105F">
      <w:pPr>
        <w:rPr>
          <w:lang w:eastAsia="en-US"/>
        </w:rPr>
      </w:pPr>
    </w:p>
    <w:p w14:paraId="0B355A4D" w14:textId="2CC168F8" w:rsidR="00B5105F" w:rsidRDefault="00B5105F" w:rsidP="00B5105F">
      <w:pPr>
        <w:rPr>
          <w:lang w:eastAsia="en-US"/>
        </w:rPr>
      </w:pPr>
      <w:r>
        <w:rPr>
          <w:lang w:eastAsia="en-US"/>
        </w:rPr>
        <w:t xml:space="preserve">It is generally established that Aotearoa New Zealand has access to fewer cancer medicines than countries we like to compare ourselves to including Australia, the United Kingdom and Canada. To determine the extent to which there was a difference between public funding of medicines in Australia and public funding of medicines in Aotearoa New Zealand, we published </w:t>
      </w:r>
      <w:r w:rsidRPr="00B5105F">
        <w:rPr>
          <w:i/>
          <w:iCs/>
          <w:lang w:eastAsia="en-US"/>
        </w:rPr>
        <w:t>Understanding the Gap: an analysis of the availability of cancer medicines in Aotearoa in 2022</w:t>
      </w:r>
      <w:r>
        <w:rPr>
          <w:lang w:eastAsia="en-US"/>
        </w:rPr>
        <w:t>. This report identified 20 medicines that were funded for the treatment of cancer in Australia, but not in Aotearoa New Zealand, which also met a minimum threshold of clinical benefit based on a tool developed by the European Society for Medical Oncology (ESMO).</w:t>
      </w:r>
    </w:p>
    <w:p w14:paraId="12E4BEE6" w14:textId="77777777" w:rsidR="00B5105F" w:rsidRDefault="00B5105F" w:rsidP="00B5105F">
      <w:pPr>
        <w:rPr>
          <w:lang w:eastAsia="en-US"/>
        </w:rPr>
      </w:pPr>
    </w:p>
    <w:p w14:paraId="62D13AA1" w14:textId="2C975B83" w:rsidR="00B5105F" w:rsidRDefault="00B5105F" w:rsidP="00B5105F">
      <w:pPr>
        <w:rPr>
          <w:lang w:eastAsia="en-US"/>
        </w:rPr>
      </w:pPr>
      <w:r>
        <w:rPr>
          <w:lang w:eastAsia="en-US"/>
        </w:rPr>
        <w:t>At the time of the 2022 report, there was no tool available to measure the magnitude of the clinical benefit for blood cancer medicines gaps, so the report only described the clinical benefit for solid tumour medicine gaps. In 2023, the European Society for Medical Oncology (ESMO) released a new version of the ESMO-MCBS tool called the ESMO-MCBS:H (H for haematological or blood cancers) that can be used to assess the clinical value of blood cancer medicines. This version of the tool meant we were able to determine the magnitude of clinical benefit for blood cancer medicines and complete the picture of medicine availability differences between Australia and Aotearoa.</w:t>
      </w:r>
    </w:p>
    <w:p w14:paraId="70CC519B" w14:textId="77777777" w:rsidR="00B5105F" w:rsidRDefault="00B5105F" w:rsidP="00B5105F">
      <w:pPr>
        <w:rPr>
          <w:lang w:eastAsia="en-US"/>
        </w:rPr>
      </w:pPr>
    </w:p>
    <w:p w14:paraId="0FC31240" w14:textId="77777777" w:rsidR="00B5105F" w:rsidRDefault="00B5105F" w:rsidP="00B5105F">
      <w:pPr>
        <w:rPr>
          <w:lang w:eastAsia="en-US"/>
        </w:rPr>
      </w:pPr>
      <w:r>
        <w:rPr>
          <w:lang w:eastAsia="en-US"/>
        </w:rPr>
        <w:t>We carried out this analysis in the first half of 2024 to develop a draft report by early June 2024. This report is now in the final stages of review, editing and layout and we expect it to be ready to publish in October 2024.</w:t>
      </w:r>
    </w:p>
    <w:p w14:paraId="18A9A16E" w14:textId="747D258C" w:rsidR="00B5105F" w:rsidRDefault="00B5105F" w:rsidP="00B5105F">
      <w:pPr>
        <w:pStyle w:val="Heading4"/>
        <w:rPr>
          <w:lang w:eastAsia="en-US"/>
        </w:rPr>
      </w:pPr>
      <w:r>
        <w:rPr>
          <w:lang w:eastAsia="en-US"/>
        </w:rPr>
        <w:lastRenderedPageBreak/>
        <w:t>Increasing access to new cancer medicine</w:t>
      </w:r>
    </w:p>
    <w:p w14:paraId="1D947939" w14:textId="7DC7E87B" w:rsidR="00B5105F" w:rsidRDefault="00B5105F" w:rsidP="00B5105F">
      <w:pPr>
        <w:rPr>
          <w:lang w:eastAsia="en-US"/>
        </w:rPr>
      </w:pPr>
      <w:r>
        <w:rPr>
          <w:lang w:eastAsia="en-US"/>
        </w:rPr>
        <w:t>In June 2024 the Government announced an unprecedented $604 million funding boost to Pharmac’s Combined Pharmaceutical Budget (CPB) over four years to increase cancer medicine availability. For the first time an additional $38 million was allocated for delivery of the new medicines in the first year. Additional implementation budget may be released in future years if required.</w:t>
      </w:r>
    </w:p>
    <w:p w14:paraId="792EAD97" w14:textId="77777777" w:rsidR="00B5105F" w:rsidRDefault="00B5105F" w:rsidP="00B5105F">
      <w:pPr>
        <w:rPr>
          <w:lang w:eastAsia="en-US"/>
        </w:rPr>
      </w:pPr>
    </w:p>
    <w:p w14:paraId="3B1D6A41" w14:textId="6B95AAB6" w:rsidR="00B5105F" w:rsidRDefault="00B5105F" w:rsidP="00B5105F">
      <w:pPr>
        <w:rPr>
          <w:lang w:eastAsia="en-US"/>
        </w:rPr>
      </w:pPr>
      <w:r>
        <w:rPr>
          <w:lang w:eastAsia="en-US"/>
        </w:rPr>
        <w:t>The Increasing Access to Medicines Programme is a collaboration between Health New Zealand and Te Aho o Te Kahu, with support from the Ministry of Health and Pharmac. Our aim is to ensure that the newly funded cancer treatments, and the cancer care that people are currently receiving in the public health system, are successfully delivered in a well-functioning, equitable and responsive cancer service. We are also embedding future focused models of care that are more sustainable, resilient and responsive to local needs and that provide care closer to home.</w:t>
      </w:r>
    </w:p>
    <w:p w14:paraId="52753CC9" w14:textId="77777777" w:rsidR="00B5105F" w:rsidRDefault="00B5105F" w:rsidP="00B5105F">
      <w:pPr>
        <w:rPr>
          <w:lang w:eastAsia="en-US"/>
        </w:rPr>
      </w:pPr>
    </w:p>
    <w:p w14:paraId="72820512" w14:textId="77777777" w:rsidR="00B5105F" w:rsidRDefault="00B5105F" w:rsidP="00B5105F">
      <w:pPr>
        <w:rPr>
          <w:lang w:eastAsia="en-US"/>
        </w:rPr>
      </w:pPr>
      <w:r>
        <w:rPr>
          <w:lang w:eastAsia="en-US"/>
        </w:rPr>
        <w:t>At the time of the funding announcement, Pharmac estimated that the additional $604 million of funding would cover approximately:</w:t>
      </w:r>
    </w:p>
    <w:p w14:paraId="01096BFE" w14:textId="7B37C9AC" w:rsidR="00B5105F" w:rsidRDefault="00B5105F" w:rsidP="00B5105F">
      <w:pPr>
        <w:pStyle w:val="Bullet"/>
        <w:rPr>
          <w:lang w:eastAsia="en-US"/>
        </w:rPr>
      </w:pPr>
      <w:r>
        <w:rPr>
          <w:lang w:eastAsia="en-US"/>
        </w:rPr>
        <w:t>26 cancer medicines for several cancers, including thyroid, bowel, breast, bladder, lung, head and neck, prostate, liver, ovarian, kidney and four different blood cancers.</w:t>
      </w:r>
    </w:p>
    <w:p w14:paraId="6180AAD7" w14:textId="1B71B7B0" w:rsidR="00B5105F" w:rsidRDefault="00B5105F" w:rsidP="00B5105F">
      <w:pPr>
        <w:pStyle w:val="Bullet"/>
        <w:rPr>
          <w:lang w:eastAsia="en-US"/>
        </w:rPr>
      </w:pPr>
      <w:r>
        <w:rPr>
          <w:lang w:eastAsia="en-US"/>
        </w:rPr>
        <w:t>28 other medicines for a wide range of conditions including infections, respiratory conditions, osteoporosis, sexual health, dermatology, inflammatory conditions, and mental health.</w:t>
      </w:r>
    </w:p>
    <w:p w14:paraId="0EF0CD48" w14:textId="77777777" w:rsidR="00B5105F" w:rsidRDefault="00B5105F" w:rsidP="00B5105F">
      <w:pPr>
        <w:pStyle w:val="Heading4"/>
        <w:rPr>
          <w:lang w:eastAsia="en-US"/>
        </w:rPr>
      </w:pPr>
      <w:r>
        <w:rPr>
          <w:lang w:eastAsia="en-US"/>
        </w:rPr>
        <w:t>Quality improvement programme</w:t>
      </w:r>
    </w:p>
    <w:p w14:paraId="72CB448C" w14:textId="65C9F342" w:rsidR="00B5105F" w:rsidRDefault="00B5105F" w:rsidP="00B5105F">
      <w:pPr>
        <w:rPr>
          <w:lang w:eastAsia="en-US"/>
        </w:rPr>
      </w:pPr>
      <w:r>
        <w:rPr>
          <w:lang w:eastAsia="en-US"/>
        </w:rPr>
        <w:t>The agency’s quality performance indicator (QPI) programme provides information to support the monitoring and improvement of cancer services to ensure actions aimed at achieving better outcomes for people and whānau with cancer are prioritised.</w:t>
      </w:r>
    </w:p>
    <w:p w14:paraId="0F861813" w14:textId="2656565D" w:rsidR="00B5105F" w:rsidRDefault="00B5105F" w:rsidP="00B5105F">
      <w:pPr>
        <w:rPr>
          <w:lang w:eastAsia="en-US"/>
        </w:rPr>
      </w:pPr>
    </w:p>
    <w:p w14:paraId="77C5943D" w14:textId="11EDA2B3" w:rsidR="00B5105F" w:rsidRDefault="00B5105F" w:rsidP="00B5105F">
      <w:pPr>
        <w:rPr>
          <w:lang w:eastAsia="en-US"/>
        </w:rPr>
      </w:pPr>
      <w:r>
        <w:rPr>
          <w:lang w:eastAsia="en-US"/>
        </w:rPr>
        <w:t>While most people receive quality cancer care most of the time, there are others who do not. People and communities experience different inequities at every stage along the cancer continuum. From a person’s exposure to cancer causing risk factors such as unhealthy diets, excess weight, smoking or alcohol, the speed of diagnosis, ability to access high quality cancer treatment, timely referral to specialist care, or the level of palliative care or bereavement support provided for whānau after death. These cumulative inequities contribute to poorer health outcomes.</w:t>
      </w:r>
    </w:p>
    <w:p w14:paraId="64875EDA" w14:textId="77777777" w:rsidR="00B5105F" w:rsidRDefault="00B5105F" w:rsidP="00B5105F">
      <w:pPr>
        <w:rPr>
          <w:lang w:eastAsia="en-US"/>
        </w:rPr>
      </w:pPr>
    </w:p>
    <w:p w14:paraId="71D4DCBF" w14:textId="384EC962" w:rsidR="00B5105F" w:rsidRDefault="00B5105F" w:rsidP="00B5105F">
      <w:pPr>
        <w:rPr>
          <w:lang w:eastAsia="en-US"/>
        </w:rPr>
      </w:pPr>
      <w:r>
        <w:rPr>
          <w:lang w:eastAsia="en-US"/>
        </w:rPr>
        <w:t xml:space="preserve">The QPI </w:t>
      </w:r>
      <w:proofErr w:type="gramStart"/>
      <w:r>
        <w:rPr>
          <w:lang w:eastAsia="en-US"/>
        </w:rPr>
        <w:t>team work</w:t>
      </w:r>
      <w:proofErr w:type="gramEnd"/>
      <w:r>
        <w:rPr>
          <w:lang w:eastAsia="en-US"/>
        </w:rPr>
        <w:t xml:space="preserve"> with the wider sector on reports and monitoring (using data from national collections, such as the New Zealand Cancer Registry (NZCR)) that can identify unwarranted variation (between providers and / or between population groups) and issues with cancer detection, diagnosis, treatment, and outcomes, to inform quality improvement activities.</w:t>
      </w:r>
    </w:p>
    <w:p w14:paraId="41907591" w14:textId="77777777" w:rsidR="00B5105F" w:rsidRDefault="00B5105F" w:rsidP="00B5105F">
      <w:pPr>
        <w:rPr>
          <w:lang w:eastAsia="en-US"/>
        </w:rPr>
      </w:pPr>
    </w:p>
    <w:p w14:paraId="4F4C89EA" w14:textId="017B7CE7" w:rsidR="00B5105F" w:rsidRDefault="00B5105F" w:rsidP="00B5105F">
      <w:pPr>
        <w:rPr>
          <w:lang w:eastAsia="en-US"/>
        </w:rPr>
      </w:pPr>
      <w:r>
        <w:rPr>
          <w:lang w:eastAsia="en-US"/>
        </w:rPr>
        <w:t xml:space="preserve">In March 2024 the agency released the Route to cancer diagnosis report: </w:t>
      </w:r>
      <w:r w:rsidRPr="00B5105F">
        <w:rPr>
          <w:i/>
          <w:iCs/>
          <w:lang w:eastAsia="en-US"/>
        </w:rPr>
        <w:t>People diagnosed with cancer within 30-days of an emergency or unplanned hospital admission</w:t>
      </w:r>
      <w:r>
        <w:rPr>
          <w:lang w:eastAsia="en-US"/>
        </w:rPr>
        <w:t>. Cancer that is diagnosed this way is often later stage, has fewer treatment options and patients have poorer outcomes. This report also showed that:</w:t>
      </w:r>
    </w:p>
    <w:p w14:paraId="53B32CCE" w14:textId="3D273C1E" w:rsidR="00B5105F" w:rsidRDefault="00B5105F" w:rsidP="00B5105F">
      <w:pPr>
        <w:pStyle w:val="Bullet"/>
        <w:rPr>
          <w:lang w:eastAsia="en-US"/>
        </w:rPr>
      </w:pPr>
      <w:r>
        <w:rPr>
          <w:lang w:eastAsia="en-US"/>
        </w:rPr>
        <w:lastRenderedPageBreak/>
        <w:t>New Zealanders experiences a high rate of being diagnosed with cancer after an emergency or unplanned admission - 23.9% across 22 different types of cancer, with some being much lower (for example, breast cancer) and others, (for example lung cancer and pancreatic cancer) being much higher.</w:t>
      </w:r>
    </w:p>
    <w:p w14:paraId="1BCAC8C2" w14:textId="3FD47889" w:rsidR="00B5105F" w:rsidRDefault="00B5105F" w:rsidP="00B5105F">
      <w:pPr>
        <w:pStyle w:val="Bullet"/>
        <w:rPr>
          <w:lang w:eastAsia="en-US"/>
        </w:rPr>
      </w:pPr>
      <w:r>
        <w:rPr>
          <w:lang w:eastAsia="en-US"/>
        </w:rPr>
        <w:t>Māori are more likely to be diagnosed following an emergency admission than people of other ethnicities in almost all districts.</w:t>
      </w:r>
    </w:p>
    <w:p w14:paraId="4D847FDC" w14:textId="6B9098CD" w:rsidR="00B5105F" w:rsidRDefault="00B5105F" w:rsidP="00B5105F">
      <w:pPr>
        <w:pStyle w:val="Bullet"/>
        <w:rPr>
          <w:lang w:eastAsia="en-US"/>
        </w:rPr>
      </w:pPr>
      <w:r>
        <w:rPr>
          <w:lang w:eastAsia="en-US"/>
        </w:rPr>
        <w:t>certain districts consistently perform better than others (ie have lower rates of diagnosis following and ED or unplanned admission), which may point to stronger connections between primary and secondary care services and/or more effective primary care/community diagnostics models that could be scaled and used in other parts of the country.</w:t>
      </w:r>
    </w:p>
    <w:p w14:paraId="1129B06D" w14:textId="77777777" w:rsidR="00B5105F" w:rsidRDefault="00B5105F" w:rsidP="00B5105F">
      <w:pPr>
        <w:rPr>
          <w:lang w:eastAsia="en-US"/>
        </w:rPr>
      </w:pPr>
    </w:p>
    <w:p w14:paraId="38C4E152" w14:textId="638D7408" w:rsidR="00B5105F" w:rsidRDefault="00B5105F" w:rsidP="00B5105F">
      <w:pPr>
        <w:rPr>
          <w:lang w:eastAsia="en-US"/>
        </w:rPr>
      </w:pPr>
      <w:r>
        <w:rPr>
          <w:lang w:eastAsia="en-US"/>
        </w:rPr>
        <w:t>We are continuing to share the report findings with Health New Zealand, community and primary health care providers and other key agencies, to identify areas where we can improve cancer detection and diagnosis processes, and to help identify peoples’ cancer diagnosis earlier across Aotearoa New Zealand.</w:t>
      </w:r>
    </w:p>
    <w:p w14:paraId="44A94952" w14:textId="77777777" w:rsidR="00B5105F" w:rsidRDefault="00B5105F" w:rsidP="00B5105F">
      <w:pPr>
        <w:rPr>
          <w:lang w:eastAsia="en-US"/>
        </w:rPr>
      </w:pPr>
    </w:p>
    <w:p w14:paraId="593BEFDF" w14:textId="36C429D7" w:rsidR="00B5105F" w:rsidRDefault="00B5105F" w:rsidP="00B5105F">
      <w:pPr>
        <w:rPr>
          <w:lang w:eastAsia="en-US"/>
        </w:rPr>
      </w:pPr>
      <w:r>
        <w:rPr>
          <w:lang w:eastAsia="en-US"/>
        </w:rPr>
        <w:t>With the introduction of the national health reforms and new health organisations that are responsible for commissioning and delivering health services, we are relooking at our cancer service quality improvement approach. As part of this work, we are developing a quality improvement framework for Te Aho o Te Kahu, to guide the quality improvement work that will result from the QPI programme and other projects such as CanShare.</w:t>
      </w:r>
    </w:p>
    <w:p w14:paraId="11C52D90" w14:textId="687B5FD9" w:rsidR="00B5105F" w:rsidRDefault="00B5105F" w:rsidP="00B5105F">
      <w:pPr>
        <w:pStyle w:val="Heading3"/>
        <w:rPr>
          <w:lang w:eastAsia="en-US"/>
        </w:rPr>
      </w:pPr>
      <w:r w:rsidRPr="00B5105F">
        <w:rPr>
          <w:lang w:eastAsia="en-US"/>
        </w:rPr>
        <w:t>Supporting the national clinical trials network</w:t>
      </w:r>
    </w:p>
    <w:p w14:paraId="6940A9E4" w14:textId="3E3C9AF6" w:rsidR="00B5105F" w:rsidRDefault="00B5105F" w:rsidP="00B5105F">
      <w:pPr>
        <w:rPr>
          <w:lang w:eastAsia="en-US"/>
        </w:rPr>
      </w:pPr>
      <w:r>
        <w:rPr>
          <w:lang w:eastAsia="en-US"/>
        </w:rPr>
        <w:t xml:space="preserve">Clinical trials are a key tool for achieving better cancer outcomes for those people with cancer who are eligible to take part. The low availability of, or inequitable access to cancer clinical trials in Aotearoa New Zealand continues to be of concern to patients and whānau, and the health sector. The Ministry of Health is working with Health New Zealand on the design of equitable clinical trials for all conditions, including cancer, based on the recommendations in the </w:t>
      </w:r>
      <w:r w:rsidRPr="00733219">
        <w:rPr>
          <w:lang w:eastAsia="en-US"/>
        </w:rPr>
        <w:t>Enhancing Aotearoa New Zealand Clinical Trials</w:t>
      </w:r>
      <w:r>
        <w:rPr>
          <w:lang w:eastAsia="en-US"/>
        </w:rPr>
        <w:t xml:space="preserve"> report.</w:t>
      </w:r>
    </w:p>
    <w:p w14:paraId="3611AE3A" w14:textId="77777777" w:rsidR="00B5105F" w:rsidRDefault="00B5105F" w:rsidP="00B5105F">
      <w:pPr>
        <w:rPr>
          <w:lang w:eastAsia="en-US"/>
        </w:rPr>
      </w:pPr>
    </w:p>
    <w:p w14:paraId="6018F5AD" w14:textId="5F55BF42" w:rsidR="00B5105F" w:rsidRDefault="00B5105F" w:rsidP="00B5105F">
      <w:pPr>
        <w:rPr>
          <w:lang w:eastAsia="en-US"/>
        </w:rPr>
      </w:pPr>
      <w:r>
        <w:rPr>
          <w:lang w:eastAsia="en-US"/>
        </w:rPr>
        <w:t>Over the 2023/24 year, we continued to provide support and highlight the needs of cancer patients to the Ministry and Health New Zealand. We also presented at the clinical trials workshop hosted by Cancer Trials New Zealand, and the New Zealand Society for Oncology meeting in September 2023.</w:t>
      </w:r>
    </w:p>
    <w:p w14:paraId="550C23C4" w14:textId="3F16B80D" w:rsidR="00B5105F" w:rsidRPr="00386646" w:rsidRDefault="00B5105F" w:rsidP="00386646">
      <w:pPr>
        <w:pStyle w:val="Heading3"/>
      </w:pPr>
      <w:r w:rsidRPr="00386646">
        <w:t xml:space="preserve">Te whakapai mana taurite o ngā hua mate pukupuku </w:t>
      </w:r>
      <w:r w:rsidR="00C42F6C">
        <w:t>–</w:t>
      </w:r>
      <w:r w:rsidRPr="00386646">
        <w:t xml:space="preserve"> Improving equity of cancer </w:t>
      </w:r>
      <w:proofErr w:type="gramStart"/>
      <w:r w:rsidRPr="00386646">
        <w:t>outcomes</w:t>
      </w:r>
      <w:proofErr w:type="gramEnd"/>
    </w:p>
    <w:p w14:paraId="1134F324" w14:textId="77777777" w:rsidR="00B5105F" w:rsidRDefault="00B5105F" w:rsidP="002A568E">
      <w:pPr>
        <w:pStyle w:val="Heading4"/>
        <w:rPr>
          <w:lang w:eastAsia="en-US"/>
        </w:rPr>
      </w:pPr>
      <w:r>
        <w:rPr>
          <w:lang w:eastAsia="en-US"/>
        </w:rPr>
        <w:t>Hearing the voices of whānau Māori</w:t>
      </w:r>
    </w:p>
    <w:p w14:paraId="08C2AACD" w14:textId="2DBAF469" w:rsidR="00B5105F" w:rsidRDefault="00B5105F" w:rsidP="00B5105F">
      <w:pPr>
        <w:rPr>
          <w:lang w:eastAsia="en-US"/>
        </w:rPr>
      </w:pPr>
      <w:r>
        <w:rPr>
          <w:lang w:eastAsia="en-US"/>
        </w:rPr>
        <w:t>Over 2023/24 we completed our visits with mana whenua, and local health organisations to share the results of the 13-community hui we</w:t>
      </w:r>
      <w:r w:rsidR="002A568E">
        <w:rPr>
          <w:lang w:eastAsia="en-US"/>
        </w:rPr>
        <w:t xml:space="preserve"> </w:t>
      </w:r>
      <w:r>
        <w:rPr>
          <w:lang w:eastAsia="en-US"/>
        </w:rPr>
        <w:t xml:space="preserve">hosted across the motu in 2022. Through the hui we listened to more than 2,500 whānau Māori, including </w:t>
      </w:r>
      <w:r>
        <w:rPr>
          <w:lang w:eastAsia="en-US"/>
        </w:rPr>
        <w:lastRenderedPageBreak/>
        <w:t>patients, whānau and Māori working in cancer care or the wider health and social sectors.</w:t>
      </w:r>
    </w:p>
    <w:p w14:paraId="783F2E24" w14:textId="77777777" w:rsidR="002A568E" w:rsidRDefault="002A568E" w:rsidP="00B5105F">
      <w:pPr>
        <w:rPr>
          <w:lang w:eastAsia="en-US"/>
        </w:rPr>
      </w:pPr>
    </w:p>
    <w:p w14:paraId="2F1F409B" w14:textId="77777777" w:rsidR="00B5105F" w:rsidRDefault="00B5105F" w:rsidP="00B5105F">
      <w:pPr>
        <w:rPr>
          <w:lang w:eastAsia="en-US"/>
        </w:rPr>
      </w:pPr>
      <w:r>
        <w:rPr>
          <w:lang w:eastAsia="en-US"/>
        </w:rPr>
        <w:t>This resulted in the release of three reports in March 2023:</w:t>
      </w:r>
    </w:p>
    <w:p w14:paraId="24060672" w14:textId="3264CB3D" w:rsidR="00B5105F" w:rsidRDefault="00B5105F" w:rsidP="00D600E2">
      <w:pPr>
        <w:pStyle w:val="Bullet"/>
        <w:rPr>
          <w:lang w:eastAsia="en-US"/>
        </w:rPr>
      </w:pPr>
      <w:r w:rsidRPr="0017357F">
        <w:rPr>
          <w:b/>
          <w:bCs/>
          <w:lang w:eastAsia="en-US"/>
        </w:rPr>
        <w:t>Rongohia Te Reo, Whatua He Oranga: The voices of whānau Māori affected by cancer</w:t>
      </w:r>
      <w:r>
        <w:rPr>
          <w:lang w:eastAsia="en-US"/>
        </w:rPr>
        <w:t xml:space="preserve"> shares the experiences and aspirations of thousands of whānau Māori affected</w:t>
      </w:r>
      <w:r w:rsidR="002A568E">
        <w:rPr>
          <w:lang w:eastAsia="en-US"/>
        </w:rPr>
        <w:t xml:space="preserve"> </w:t>
      </w:r>
      <w:r>
        <w:rPr>
          <w:lang w:eastAsia="en-US"/>
        </w:rPr>
        <w:t>by cancer.</w:t>
      </w:r>
    </w:p>
    <w:p w14:paraId="1631FBD7" w14:textId="22A15EA0" w:rsidR="00B5105F" w:rsidRPr="0017357F" w:rsidRDefault="00B5105F" w:rsidP="002A568E">
      <w:pPr>
        <w:pStyle w:val="Bullet"/>
        <w:rPr>
          <w:b/>
          <w:bCs/>
          <w:lang w:eastAsia="en-US"/>
        </w:rPr>
      </w:pPr>
      <w:r w:rsidRPr="0017357F">
        <w:rPr>
          <w:b/>
          <w:bCs/>
          <w:lang w:eastAsia="en-US"/>
        </w:rPr>
        <w:t>Te Tikanga — Engaging with whānau Māori affected by cancer:</w:t>
      </w:r>
    </w:p>
    <w:p w14:paraId="169711F8" w14:textId="77777777" w:rsidR="00B5105F" w:rsidRDefault="00B5105F" w:rsidP="002A568E">
      <w:pPr>
        <w:pStyle w:val="Bullet"/>
        <w:numPr>
          <w:ilvl w:val="0"/>
          <w:numId w:val="0"/>
        </w:numPr>
        <w:ind w:left="284"/>
        <w:rPr>
          <w:lang w:eastAsia="en-US"/>
        </w:rPr>
      </w:pPr>
      <w:r>
        <w:rPr>
          <w:lang w:eastAsia="en-US"/>
        </w:rPr>
        <w:t>a kaupapa Māori approach outlines the kaupapa Māori principles used to design and deliver the hui series.</w:t>
      </w:r>
    </w:p>
    <w:p w14:paraId="55A1DB6F" w14:textId="76F6B502" w:rsidR="00B5105F" w:rsidRDefault="00B5105F" w:rsidP="00D600E2">
      <w:pPr>
        <w:pStyle w:val="Bullet"/>
        <w:rPr>
          <w:lang w:eastAsia="en-US"/>
        </w:rPr>
      </w:pPr>
      <w:r w:rsidRPr="0017357F">
        <w:rPr>
          <w:b/>
          <w:bCs/>
          <w:lang w:eastAsia="en-US"/>
        </w:rPr>
        <w:t>He Urupare: Responding to the experiences of whānau Māori affected by cancer</w:t>
      </w:r>
      <w:r w:rsidR="002A568E">
        <w:rPr>
          <w:lang w:eastAsia="en-US"/>
        </w:rPr>
        <w:t xml:space="preserve"> </w:t>
      </w:r>
      <w:r>
        <w:rPr>
          <w:lang w:eastAsia="en-US"/>
        </w:rPr>
        <w:t>describes some of the work Te Aho o Te Kahu and other health agencies are doing that responds to, or aligns with, whānau insights.</w:t>
      </w:r>
    </w:p>
    <w:p w14:paraId="2FF1DF60" w14:textId="77777777" w:rsidR="002A568E" w:rsidRDefault="002A568E" w:rsidP="00B5105F">
      <w:pPr>
        <w:rPr>
          <w:lang w:eastAsia="en-US"/>
        </w:rPr>
      </w:pPr>
    </w:p>
    <w:p w14:paraId="3D6C2131" w14:textId="4113CED0" w:rsidR="00B5105F" w:rsidRDefault="00B5105F" w:rsidP="00B5105F">
      <w:pPr>
        <w:rPr>
          <w:lang w:eastAsia="en-US"/>
        </w:rPr>
      </w:pPr>
      <w:r>
        <w:rPr>
          <w:lang w:eastAsia="en-US"/>
        </w:rPr>
        <w:t>We are continuing to use and share these documents to inform the agency’s work programme and key cancer services planning documents such as Models of Care and Optimal Cancer Care Pathways.</w:t>
      </w:r>
    </w:p>
    <w:p w14:paraId="1F1AEEB5" w14:textId="77777777" w:rsidR="00B5105F" w:rsidRDefault="00B5105F" w:rsidP="002A568E">
      <w:pPr>
        <w:pStyle w:val="Heading4"/>
        <w:rPr>
          <w:lang w:eastAsia="en-US"/>
        </w:rPr>
      </w:pPr>
      <w:r>
        <w:rPr>
          <w:lang w:eastAsia="en-US"/>
        </w:rPr>
        <w:t>Embedding equity-led thinking</w:t>
      </w:r>
    </w:p>
    <w:p w14:paraId="67445F1B" w14:textId="2ADA1EA7" w:rsidR="00B5105F" w:rsidRDefault="00B5105F" w:rsidP="00B5105F">
      <w:pPr>
        <w:rPr>
          <w:lang w:eastAsia="en-US"/>
        </w:rPr>
      </w:pPr>
      <w:r>
        <w:rPr>
          <w:lang w:eastAsia="en-US"/>
        </w:rPr>
        <w:t>We have strengthened our focus on equity, with capability development a key area of work.</w:t>
      </w:r>
    </w:p>
    <w:p w14:paraId="0CD6C503" w14:textId="77777777" w:rsidR="002A568E" w:rsidRDefault="002A568E" w:rsidP="00B5105F">
      <w:pPr>
        <w:rPr>
          <w:lang w:eastAsia="en-US"/>
        </w:rPr>
      </w:pPr>
    </w:p>
    <w:p w14:paraId="7319654E" w14:textId="18626EC0" w:rsidR="00B5105F" w:rsidRDefault="00B5105F" w:rsidP="00B5105F">
      <w:pPr>
        <w:rPr>
          <w:lang w:eastAsia="en-US"/>
        </w:rPr>
      </w:pPr>
      <w:r>
        <w:rPr>
          <w:lang w:eastAsia="en-US"/>
        </w:rPr>
        <w:t>We have also incorporated equity frameworks into key business processes and project planning methodology. Our internal community of practice, Te Kāhui Mana Taurite, supports equity analysis across the entire Cancer Services Planning programme. This rōpū (group) identified and analysed equity issues across each area of the programme. The voices of patients and whānau were integrated into this analysis, as was national and international literature. Te Kāhui Mana Taurite will be broadened in 2023/24 to cover all our agency’s work programme.</w:t>
      </w:r>
    </w:p>
    <w:p w14:paraId="133F6BEF" w14:textId="77777777" w:rsidR="00B5105F" w:rsidRDefault="00B5105F" w:rsidP="00B5105F">
      <w:pPr>
        <w:rPr>
          <w:lang w:eastAsia="en-US"/>
        </w:rPr>
      </w:pPr>
    </w:p>
    <w:p w14:paraId="1384A1DF" w14:textId="71EC8039" w:rsidR="00B5105F" w:rsidRDefault="00B5105F" w:rsidP="00B5105F">
      <w:pPr>
        <w:rPr>
          <w:lang w:eastAsia="en-US"/>
        </w:rPr>
      </w:pPr>
      <w:r>
        <w:rPr>
          <w:lang w:eastAsia="en-US"/>
        </w:rPr>
        <w:t>We have also been supporting the equity work of other agencies and organisations. Our Equity team has shared insights with other health and community colleagues, both formally and informally, through guest speaker presentations, various governance and advisory roles, and publication of research papers.</w:t>
      </w:r>
    </w:p>
    <w:p w14:paraId="2FB5C332" w14:textId="77777777" w:rsidR="00B5105F" w:rsidRDefault="00B5105F" w:rsidP="00B5105F">
      <w:pPr>
        <w:pStyle w:val="Heading4"/>
        <w:rPr>
          <w:lang w:eastAsia="en-US"/>
        </w:rPr>
      </w:pPr>
      <w:r>
        <w:rPr>
          <w:lang w:eastAsia="en-US"/>
        </w:rPr>
        <w:t>Pacific cancer patients and whānau</w:t>
      </w:r>
    </w:p>
    <w:p w14:paraId="6B0E2B08" w14:textId="18FFEED1" w:rsidR="00B5105F" w:rsidRDefault="00B5105F" w:rsidP="00B5105F">
      <w:pPr>
        <w:rPr>
          <w:lang w:eastAsia="en-US"/>
        </w:rPr>
      </w:pPr>
      <w:r>
        <w:rPr>
          <w:lang w:eastAsia="en-US"/>
        </w:rPr>
        <w:t>We partnered with Moana Connect to carry out research within the Pacific community to help identify areas to improve the coordination and delivery of cancer care for Pacific peoples and their kaaiga (family).</w:t>
      </w:r>
    </w:p>
    <w:p w14:paraId="2D7985E5" w14:textId="77777777" w:rsidR="00B5105F" w:rsidRDefault="00B5105F" w:rsidP="00B5105F">
      <w:pPr>
        <w:rPr>
          <w:lang w:eastAsia="en-US"/>
        </w:rPr>
      </w:pPr>
    </w:p>
    <w:p w14:paraId="1ED64588" w14:textId="1FD158ED" w:rsidR="00B5105F" w:rsidRDefault="00B5105F" w:rsidP="00B5105F">
      <w:pPr>
        <w:rPr>
          <w:lang w:eastAsia="en-US"/>
        </w:rPr>
      </w:pPr>
      <w:r>
        <w:rPr>
          <w:lang w:eastAsia="en-US"/>
        </w:rPr>
        <w:t>We are in the final stages of reviewing the research for release in late 2024/early 2025. We plan to share with kaimahi, key health organisations and providers and consider ways the health system can adapt to address the gaps, challenges and barriers some Pacific peoples experience, and improve the supports they may need.</w:t>
      </w:r>
    </w:p>
    <w:p w14:paraId="436BE8D9" w14:textId="77777777" w:rsidR="00B5105F" w:rsidRDefault="00B5105F" w:rsidP="00B5105F">
      <w:pPr>
        <w:pStyle w:val="Heading4"/>
        <w:rPr>
          <w:lang w:eastAsia="en-US"/>
        </w:rPr>
      </w:pPr>
      <w:r>
        <w:rPr>
          <w:lang w:eastAsia="en-US"/>
        </w:rPr>
        <w:lastRenderedPageBreak/>
        <w:t>Experiences of disabled people with cancer</w:t>
      </w:r>
    </w:p>
    <w:p w14:paraId="1DD0AB18" w14:textId="5B121C68" w:rsidR="00B5105F" w:rsidRDefault="00B5105F" w:rsidP="00B5105F">
      <w:pPr>
        <w:rPr>
          <w:lang w:eastAsia="en-US"/>
        </w:rPr>
      </w:pPr>
      <w:r>
        <w:rPr>
          <w:lang w:eastAsia="en-US"/>
        </w:rPr>
        <w:t>In 2022/23 we developed the disability and cancer project to build health sector understanding on the incidence, experience of cancer, and cancer outcomes for disabled New Zealanders. There is little evidence in this area, but He Pūrongo Mate Pukupuku o Aotearoa 2020, the State of Cancer Report 2020, showed that disabled people can often experience poorer health outcomes.</w:t>
      </w:r>
    </w:p>
    <w:p w14:paraId="60D8A1EA" w14:textId="77777777" w:rsidR="002A568E" w:rsidRDefault="002A568E" w:rsidP="00B5105F">
      <w:pPr>
        <w:rPr>
          <w:lang w:eastAsia="en-US"/>
        </w:rPr>
      </w:pPr>
    </w:p>
    <w:p w14:paraId="28D4DCB3" w14:textId="57BE8D54" w:rsidR="002A568E" w:rsidRDefault="00B5105F" w:rsidP="002A568E">
      <w:pPr>
        <w:rPr>
          <w:lang w:eastAsia="en-US"/>
        </w:rPr>
      </w:pPr>
      <w:r>
        <w:rPr>
          <w:lang w:eastAsia="en-US"/>
        </w:rPr>
        <w:t>In early 2023/24 we appointed three fixed-term lived-experience advisors (disability and cancer) to support this work. We are grateful for the insights, advice, and connections they shared with the agency. They were generous in sharing</w:t>
      </w:r>
      <w:r w:rsidR="002A568E">
        <w:rPr>
          <w:lang w:eastAsia="en-US"/>
        </w:rPr>
        <w:t xml:space="preserve"> their experiences, and the barriers they faced in being diagnosed and treated for cancer, which are available in a range of accessible formats on our website.</w:t>
      </w:r>
    </w:p>
    <w:p w14:paraId="4440BFC2" w14:textId="77777777" w:rsidR="002A568E" w:rsidRDefault="002A568E" w:rsidP="002A568E">
      <w:pPr>
        <w:rPr>
          <w:lang w:eastAsia="en-US"/>
        </w:rPr>
      </w:pPr>
    </w:p>
    <w:p w14:paraId="38FF1091" w14:textId="53542F93" w:rsidR="002A568E" w:rsidRDefault="002A568E" w:rsidP="002A568E">
      <w:pPr>
        <w:rPr>
          <w:lang w:eastAsia="en-US"/>
        </w:rPr>
      </w:pPr>
      <w:r>
        <w:rPr>
          <w:lang w:eastAsia="en-US"/>
        </w:rPr>
        <w:t>The advisors’ insights, a literature review of disabled peoples experience in cancer care, combined with research and data matching we are conducting with the New Zealand Cancer Registry, will provide a clear picture of where we need to influence the equitable delivery of cancer services to disabled people and their whānau in Aotearoa.</w:t>
      </w:r>
    </w:p>
    <w:p w14:paraId="5FB1ECBF" w14:textId="77777777" w:rsidR="002A568E" w:rsidRDefault="002A568E" w:rsidP="002A568E">
      <w:pPr>
        <w:rPr>
          <w:lang w:eastAsia="en-US"/>
        </w:rPr>
      </w:pPr>
    </w:p>
    <w:p w14:paraId="1D9CBE89" w14:textId="47D44D21" w:rsidR="00B5105F" w:rsidRDefault="002A568E" w:rsidP="002A568E">
      <w:pPr>
        <w:rPr>
          <w:lang w:eastAsia="en-US"/>
        </w:rPr>
      </w:pPr>
      <w:r>
        <w:rPr>
          <w:lang w:eastAsia="en-US"/>
        </w:rPr>
        <w:t>We are preparing the literature review and data reporting to publish in a range of accessible formats later in 2024. We are also developing an approach for how we embed the insights gained into cancer service design and delivery across the sector, including capabilities development across the agency.</w:t>
      </w:r>
    </w:p>
    <w:p w14:paraId="39CD866B" w14:textId="5B9B4B07" w:rsidR="002A568E" w:rsidRDefault="002A568E" w:rsidP="002A568E">
      <w:pPr>
        <w:pStyle w:val="Heading3"/>
        <w:rPr>
          <w:lang w:eastAsia="en-US"/>
        </w:rPr>
      </w:pPr>
      <w:r w:rsidRPr="002A568E">
        <w:rPr>
          <w:lang w:eastAsia="en-US"/>
        </w:rPr>
        <w:t>World Indigenous Cancer Conference 2024</w:t>
      </w:r>
    </w:p>
    <w:p w14:paraId="25FBB969" w14:textId="756337FA" w:rsidR="002A568E" w:rsidRDefault="002A568E" w:rsidP="002A568E">
      <w:pPr>
        <w:rPr>
          <w:lang w:eastAsia="en-US"/>
        </w:rPr>
      </w:pPr>
      <w:r>
        <w:rPr>
          <w:lang w:eastAsia="en-US"/>
        </w:rPr>
        <w:t>Between 18 - 20 March 2024, the Victorian Comprehensive Cancer Centre Alliance (VCCC) in partnership with the International Agency for Research on Cancer hosted the third World Indigenous Cancer Conference 2024 (WICC) in Naarm (Melbourne) Australia.</w:t>
      </w:r>
    </w:p>
    <w:p w14:paraId="54DAD80A" w14:textId="77777777" w:rsidR="002A568E" w:rsidRDefault="002A568E" w:rsidP="002A568E">
      <w:pPr>
        <w:rPr>
          <w:lang w:eastAsia="en-US"/>
        </w:rPr>
      </w:pPr>
    </w:p>
    <w:p w14:paraId="4504C896" w14:textId="306806E1" w:rsidR="002A568E" w:rsidRDefault="002A568E" w:rsidP="002A568E">
      <w:pPr>
        <w:rPr>
          <w:lang w:eastAsia="en-US"/>
        </w:rPr>
      </w:pPr>
      <w:r>
        <w:rPr>
          <w:lang w:eastAsia="en-US"/>
        </w:rPr>
        <w:t>The conference involved researchers, cancer survivors and carers, health professionals, cancer care services and providers, policy makers and Indigenous communities and organisations from around the world. The aim was to highlight and share examples of global leadership in Indigenous cancer care, strategies, governance, advocacy, and empowerment. This included kaimahi involved in cancer research or whānau centred care, along with our partners at Hei Āhuru Mōwai.</w:t>
      </w:r>
    </w:p>
    <w:p w14:paraId="21DCB4A4" w14:textId="77777777" w:rsidR="002A568E" w:rsidRDefault="002A568E" w:rsidP="002A568E">
      <w:pPr>
        <w:rPr>
          <w:lang w:eastAsia="en-US"/>
        </w:rPr>
      </w:pPr>
    </w:p>
    <w:p w14:paraId="638FFB5B" w14:textId="77777777" w:rsidR="002A568E" w:rsidRDefault="002A568E" w:rsidP="002A568E">
      <w:pPr>
        <w:rPr>
          <w:lang w:eastAsia="en-US"/>
        </w:rPr>
      </w:pPr>
      <w:r>
        <w:rPr>
          <w:lang w:eastAsia="en-US"/>
        </w:rPr>
        <w:t>Our Chief Executive and Director Equity and Whānau Centred Care were on the panel of speakers who opened the event. They shared:</w:t>
      </w:r>
    </w:p>
    <w:p w14:paraId="25AABC3C" w14:textId="39B60412" w:rsidR="002A568E" w:rsidRDefault="002A568E" w:rsidP="002A568E">
      <w:pPr>
        <w:pStyle w:val="Bullet"/>
        <w:rPr>
          <w:lang w:eastAsia="en-US"/>
        </w:rPr>
      </w:pPr>
      <w:r>
        <w:rPr>
          <w:lang w:eastAsia="en-US"/>
        </w:rPr>
        <w:t xml:space="preserve">the range of inequities Māori people can face at each stage of the cancer </w:t>
      </w:r>
      <w:proofErr w:type="gramStart"/>
      <w:r>
        <w:rPr>
          <w:lang w:eastAsia="en-US"/>
        </w:rPr>
        <w:t>continuum</w:t>
      </w:r>
      <w:proofErr w:type="gramEnd"/>
    </w:p>
    <w:p w14:paraId="22040C09" w14:textId="6BA59810" w:rsidR="002A568E" w:rsidRDefault="002A568E" w:rsidP="002A568E">
      <w:pPr>
        <w:pStyle w:val="Bullet"/>
        <w:rPr>
          <w:lang w:eastAsia="en-US"/>
        </w:rPr>
      </w:pPr>
      <w:r>
        <w:rPr>
          <w:lang w:eastAsia="en-US"/>
        </w:rPr>
        <w:t>what we learned from listening to the experiences of more than 2,500 Māori people with cancer, whānau, and Māori working in cancer care or the wider health and social sectors (refer to Hui insights reports)</w:t>
      </w:r>
    </w:p>
    <w:p w14:paraId="2E5C934C" w14:textId="78278D1A" w:rsidR="002A568E" w:rsidRDefault="002A568E" w:rsidP="002A568E">
      <w:pPr>
        <w:pStyle w:val="Bullet"/>
        <w:rPr>
          <w:lang w:eastAsia="en-US"/>
        </w:rPr>
      </w:pPr>
      <w:r>
        <w:rPr>
          <w:lang w:eastAsia="en-US"/>
        </w:rPr>
        <w:t>how we are embedding the hui insights and equity in our work, the Cancer Action Plan, and the broader health sector, to help reduce these inequities.</w:t>
      </w:r>
    </w:p>
    <w:p w14:paraId="308B95EA" w14:textId="77777777" w:rsidR="002A568E" w:rsidRDefault="002A568E" w:rsidP="002A568E">
      <w:pPr>
        <w:rPr>
          <w:lang w:eastAsia="en-US"/>
        </w:rPr>
      </w:pPr>
    </w:p>
    <w:p w14:paraId="50558295" w14:textId="6F39F1C5" w:rsidR="002A568E" w:rsidRDefault="002A568E" w:rsidP="002A568E">
      <w:pPr>
        <w:rPr>
          <w:lang w:eastAsia="en-US"/>
        </w:rPr>
      </w:pPr>
      <w:r>
        <w:rPr>
          <w:lang w:eastAsia="en-US"/>
        </w:rPr>
        <w:lastRenderedPageBreak/>
        <w:t>Sasha joined Hei Āhuru Mōwai Māori Cancer Leadership Tumuaki, Chief Executive, Cindy Dargaville to share our organisations experiences in the opportunities and work needed to embed partnership into cancer control in Aotearoa New Zealand.</w:t>
      </w:r>
    </w:p>
    <w:p w14:paraId="1CFD1206" w14:textId="77777777" w:rsidR="002A568E" w:rsidRDefault="002A568E" w:rsidP="002A568E">
      <w:pPr>
        <w:rPr>
          <w:lang w:eastAsia="en-US"/>
        </w:rPr>
      </w:pPr>
    </w:p>
    <w:p w14:paraId="0E3AA071" w14:textId="42FC174C" w:rsidR="002A568E" w:rsidRDefault="002A568E" w:rsidP="002A568E">
      <w:pPr>
        <w:rPr>
          <w:lang w:eastAsia="en-US"/>
        </w:rPr>
      </w:pPr>
      <w:r>
        <w:rPr>
          <w:lang w:eastAsia="en-US"/>
        </w:rPr>
        <w:t>Two of the agency’s Kaikōkiri Kaupapa Mana Taurite (Project Manager Equity) also ran a workshop on how we designed the hui to engage with whānau Māori affected by cancer using a kaupapa Māori approach involving whānau (family), hapū (kinship group) and iwi (larger extended groups or tribe).</w:t>
      </w:r>
    </w:p>
    <w:p w14:paraId="038DB610" w14:textId="2410FEE1" w:rsidR="002A568E" w:rsidRDefault="002A568E" w:rsidP="002A568E">
      <w:pPr>
        <w:pStyle w:val="Heading4"/>
        <w:rPr>
          <w:lang w:eastAsia="en-US"/>
        </w:rPr>
      </w:pPr>
      <w:r>
        <w:rPr>
          <w:lang w:eastAsia="en-US"/>
        </w:rPr>
        <w:t>International research on indigenous and tribal peoples and cancer</w:t>
      </w:r>
    </w:p>
    <w:p w14:paraId="6E8E417A" w14:textId="41A6EB2F" w:rsidR="002A568E" w:rsidRDefault="002A568E" w:rsidP="002A568E">
      <w:pPr>
        <w:rPr>
          <w:lang w:eastAsia="en-US"/>
        </w:rPr>
      </w:pPr>
      <w:r>
        <w:rPr>
          <w:lang w:eastAsia="en-US"/>
        </w:rPr>
        <w:t xml:space="preserve">In 2024, the agency was invited to contribute to a book, called </w:t>
      </w:r>
      <w:r w:rsidRPr="002A568E">
        <w:rPr>
          <w:i/>
          <w:iCs/>
          <w:lang w:eastAsia="en-US"/>
        </w:rPr>
        <w:t>Indigenous and Tribal Peoples and Cancer</w:t>
      </w:r>
      <w:r>
        <w:rPr>
          <w:lang w:eastAsia="en-US"/>
        </w:rPr>
        <w:t>. This was the first-time research on Indigenous and Tribal peoples’ experiences with cancer and cancer control had been brought together.</w:t>
      </w:r>
    </w:p>
    <w:p w14:paraId="265C5238" w14:textId="77777777" w:rsidR="002A568E" w:rsidRDefault="002A568E" w:rsidP="002A568E">
      <w:pPr>
        <w:rPr>
          <w:lang w:eastAsia="en-US"/>
        </w:rPr>
      </w:pPr>
    </w:p>
    <w:p w14:paraId="6272D1F7" w14:textId="64B47B5C" w:rsidR="002A568E" w:rsidRDefault="002A568E" w:rsidP="002A568E">
      <w:pPr>
        <w:rPr>
          <w:lang w:eastAsia="en-US"/>
        </w:rPr>
      </w:pPr>
      <w:r>
        <w:rPr>
          <w:lang w:eastAsia="en-US"/>
        </w:rPr>
        <w:t>We collaborated with Cancer Australia and the Canadian Partnership Against Cancer (CPAC) on a chapter focused on cancer control and care.</w:t>
      </w:r>
    </w:p>
    <w:p w14:paraId="7AED7613" w14:textId="77777777" w:rsidR="002A568E" w:rsidRDefault="002A568E" w:rsidP="002A568E">
      <w:pPr>
        <w:rPr>
          <w:lang w:eastAsia="en-US"/>
        </w:rPr>
      </w:pPr>
    </w:p>
    <w:p w14:paraId="69EDD941" w14:textId="1B89ED60" w:rsidR="002A568E" w:rsidRDefault="002A568E" w:rsidP="002A568E">
      <w:pPr>
        <w:rPr>
          <w:lang w:eastAsia="en-US"/>
        </w:rPr>
      </w:pPr>
      <w:r>
        <w:rPr>
          <w:lang w:eastAsia="en-US"/>
        </w:rPr>
        <w:t xml:space="preserve">The book will be published in October </w:t>
      </w:r>
      <w:proofErr w:type="gramStart"/>
      <w:r>
        <w:rPr>
          <w:lang w:eastAsia="en-US"/>
        </w:rPr>
        <w:t>2024</w:t>
      </w:r>
      <w:proofErr w:type="gramEnd"/>
      <w:r>
        <w:rPr>
          <w:lang w:eastAsia="en-US"/>
        </w:rPr>
        <w:t xml:space="preserve"> and we will provide links to it on our website.</w:t>
      </w:r>
    </w:p>
    <w:p w14:paraId="5988CBE7" w14:textId="38A24662" w:rsidR="005B1BDD" w:rsidRDefault="005B1BDD" w:rsidP="005B1BDD">
      <w:pPr>
        <w:pStyle w:val="Heading2"/>
        <w:rPr>
          <w:lang w:eastAsia="en-US"/>
        </w:rPr>
      </w:pPr>
      <w:bookmarkStart w:id="66" w:name="_Toc180077061"/>
      <w:r w:rsidRPr="005B1BDD">
        <w:rPr>
          <w:lang w:eastAsia="en-US"/>
        </w:rPr>
        <w:t xml:space="preserve">Sector </w:t>
      </w:r>
      <w:proofErr w:type="gramStart"/>
      <w:r w:rsidRPr="005B1BDD">
        <w:rPr>
          <w:lang w:eastAsia="en-US"/>
        </w:rPr>
        <w:t>performance</w:t>
      </w:r>
      <w:bookmarkEnd w:id="66"/>
      <w:proofErr w:type="gramEnd"/>
    </w:p>
    <w:p w14:paraId="457D67F2" w14:textId="77777777" w:rsidR="005B1BDD" w:rsidRDefault="005B1BDD" w:rsidP="005B1BDD">
      <w:pPr>
        <w:rPr>
          <w:lang w:eastAsia="en-US"/>
        </w:rPr>
      </w:pPr>
      <w:r>
        <w:rPr>
          <w:lang w:eastAsia="en-US"/>
        </w:rPr>
        <w:t>Under the Cancer Action Plan, we developed a framework to monitor progress towards the plan’s four outcomes and supporting actions. A broad range of indicators were chosen for each Cancer Action Plan outcomes based on relevance and measurability; the accurateness and availability of data; and the impact on inequities. We also</w:t>
      </w:r>
    </w:p>
    <w:p w14:paraId="77098FF1" w14:textId="32C2C2D9" w:rsidR="005B1BDD" w:rsidRDefault="005B1BDD" w:rsidP="005B1BDD">
      <w:pPr>
        <w:rPr>
          <w:lang w:eastAsia="en-US"/>
        </w:rPr>
      </w:pPr>
      <w:r>
        <w:rPr>
          <w:lang w:eastAsia="en-US"/>
        </w:rPr>
        <w:t>considered indicators used in global cancer control plans and whether they could be practically applied to Aotearoa New Zealand’s context.</w:t>
      </w:r>
    </w:p>
    <w:p w14:paraId="74B9C470" w14:textId="77777777" w:rsidR="005B1BDD" w:rsidRDefault="005B1BDD" w:rsidP="005B1BDD">
      <w:pPr>
        <w:rPr>
          <w:lang w:eastAsia="en-US"/>
        </w:rPr>
      </w:pPr>
    </w:p>
    <w:p w14:paraId="7DAE1F0F" w14:textId="7A5C4036" w:rsidR="005B1BDD" w:rsidRDefault="005B1BDD" w:rsidP="005B1BDD">
      <w:pPr>
        <w:rPr>
          <w:lang w:eastAsia="en-US"/>
        </w:rPr>
      </w:pPr>
      <w:r>
        <w:rPr>
          <w:lang w:eastAsia="en-US"/>
        </w:rPr>
        <w:t xml:space="preserve">Monitoring will become an annual process enabling us to track progress and </w:t>
      </w:r>
      <w:proofErr w:type="gramStart"/>
      <w:r>
        <w:rPr>
          <w:lang w:eastAsia="en-US"/>
        </w:rPr>
        <w:t>activities</w:t>
      </w:r>
      <w:proofErr w:type="gramEnd"/>
      <w:r>
        <w:rPr>
          <w:lang w:eastAsia="en-US"/>
        </w:rPr>
        <w:t xml:space="preserve"> </w:t>
      </w:r>
    </w:p>
    <w:p w14:paraId="1BEA8294" w14:textId="4018417E" w:rsidR="005B1BDD" w:rsidRDefault="005B1BDD" w:rsidP="005B1BDD">
      <w:pPr>
        <w:rPr>
          <w:lang w:eastAsia="en-US"/>
        </w:rPr>
      </w:pPr>
      <w:r>
        <w:rPr>
          <w:lang w:eastAsia="en-US"/>
        </w:rPr>
        <w:t>across the cancer care system. This will show the effectiveness of the work underway in each area and identify areas for further investigation or action.</w:t>
      </w:r>
    </w:p>
    <w:p w14:paraId="7D954B92" w14:textId="77777777" w:rsidR="005B1BDD" w:rsidRDefault="005B1BDD" w:rsidP="005B1BDD">
      <w:pPr>
        <w:rPr>
          <w:lang w:eastAsia="en-US"/>
        </w:rPr>
      </w:pPr>
    </w:p>
    <w:p w14:paraId="4472F98A" w14:textId="7EE80214" w:rsidR="005B1BDD" w:rsidRDefault="005B1BDD" w:rsidP="005B1BDD">
      <w:pPr>
        <w:rPr>
          <w:lang w:eastAsia="en-US"/>
        </w:rPr>
      </w:pPr>
      <w:r>
        <w:rPr>
          <w:lang w:eastAsia="en-US"/>
        </w:rPr>
        <w:t>Below, we list each of the four outcomes specified in the Cancer Action Plan, followed by one relevant indicator and graphs and commentary presenting data relevant to that indicator. The results of this monitoring are not solely the responsibility of Te Aho o Te Kahu, and the indicators are long term measures, so we expect some will shift slowly.</w:t>
      </w:r>
    </w:p>
    <w:p w14:paraId="2C8E1D1C" w14:textId="656E9887" w:rsidR="007A51DA" w:rsidRDefault="007A51DA" w:rsidP="007A51DA">
      <w:pPr>
        <w:pStyle w:val="Heading5"/>
        <w:rPr>
          <w:lang w:eastAsia="en-US"/>
        </w:rPr>
      </w:pPr>
      <w:r w:rsidRPr="00872392">
        <w:rPr>
          <w:b/>
          <w:bCs/>
          <w:lang w:eastAsia="en-US"/>
        </w:rPr>
        <w:t xml:space="preserve">Outcome 1:  </w:t>
      </w:r>
      <w:r w:rsidRPr="00872392">
        <w:rPr>
          <w:b/>
          <w:bCs/>
          <w:lang w:eastAsia="en-US"/>
        </w:rPr>
        <w:br/>
      </w:r>
      <w:r>
        <w:rPr>
          <w:lang w:eastAsia="en-US"/>
        </w:rPr>
        <w:t xml:space="preserve">New Zealanders have a system that delivers consistent and modern cancer </w:t>
      </w:r>
      <w:proofErr w:type="gramStart"/>
      <w:r>
        <w:rPr>
          <w:lang w:eastAsia="en-US"/>
        </w:rPr>
        <w:t>care</w:t>
      </w:r>
      <w:proofErr w:type="gramEnd"/>
    </w:p>
    <w:p w14:paraId="4DDEC762" w14:textId="77777777" w:rsidR="007A51DA" w:rsidRPr="007A51DA" w:rsidRDefault="007A51DA" w:rsidP="007A51DA">
      <w:pPr>
        <w:rPr>
          <w:b/>
          <w:bCs/>
          <w:lang w:eastAsia="en-US"/>
        </w:rPr>
      </w:pPr>
      <w:r w:rsidRPr="007A51DA">
        <w:rPr>
          <w:b/>
          <w:bCs/>
          <w:lang w:eastAsia="en-US"/>
        </w:rPr>
        <w:t xml:space="preserve">Indicator: </w:t>
      </w:r>
    </w:p>
    <w:p w14:paraId="6F7CCDE9" w14:textId="7693E1A0" w:rsidR="007A51DA" w:rsidRDefault="007A51DA" w:rsidP="007A51DA">
      <w:pPr>
        <w:rPr>
          <w:lang w:eastAsia="en-US"/>
        </w:rPr>
      </w:pPr>
      <w:r>
        <w:rPr>
          <w:lang w:eastAsia="en-US"/>
        </w:rPr>
        <w:t>Ethnic distribution of the current cancer workforce and Aotearoa New Zealand’s total population for 2023 (based on the 2018)</w:t>
      </w:r>
    </w:p>
    <w:p w14:paraId="2243ADF7" w14:textId="77777777" w:rsidR="007A51DA" w:rsidRDefault="007A51DA" w:rsidP="007A51DA">
      <w:pPr>
        <w:rPr>
          <w:lang w:eastAsia="en-US"/>
        </w:rPr>
      </w:pPr>
    </w:p>
    <w:p w14:paraId="5EDE69BA" w14:textId="19759381" w:rsidR="007A51DA" w:rsidRDefault="007A51DA" w:rsidP="007A51DA">
      <w:pPr>
        <w:rPr>
          <w:lang w:eastAsia="en-US"/>
        </w:rPr>
      </w:pPr>
      <w:r>
        <w:rPr>
          <w:lang w:eastAsia="en-US"/>
        </w:rPr>
        <w:lastRenderedPageBreak/>
        <w:t>The health system strives to attract and maintain a workforce that represents the communities it serves. Research shows that ethnically diverse health workforces can help reduce health inequalities in multicultural societies like Aotearoa New Zealand.</w:t>
      </w:r>
    </w:p>
    <w:p w14:paraId="4EA88D3C" w14:textId="333F1AAD" w:rsidR="007A51DA" w:rsidRDefault="007A51DA" w:rsidP="007A51DA">
      <w:pPr>
        <w:rPr>
          <w:lang w:eastAsia="en-US"/>
        </w:rPr>
      </w:pPr>
    </w:p>
    <w:p w14:paraId="16EF3D8F" w14:textId="71E8D791" w:rsidR="007A51DA" w:rsidRDefault="007A51DA" w:rsidP="007A51DA">
      <w:pPr>
        <w:rPr>
          <w:lang w:eastAsia="en-US"/>
        </w:rPr>
      </w:pPr>
      <w:r>
        <w:rPr>
          <w:noProof/>
        </w:rPr>
        <w:drawing>
          <wp:inline distT="0" distB="0" distL="0" distR="0" wp14:anchorId="2C5F9C90" wp14:editId="74FABC11">
            <wp:extent cx="5130165" cy="229108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5130165" cy="2291080"/>
                    </a:xfrm>
                    <a:prstGeom prst="rect">
                      <a:avLst/>
                    </a:prstGeom>
                  </pic:spPr>
                </pic:pic>
              </a:graphicData>
            </a:graphic>
          </wp:inline>
        </w:drawing>
      </w:r>
    </w:p>
    <w:p w14:paraId="01D252DB" w14:textId="1421E014" w:rsidR="007A51DA" w:rsidRPr="00072F1B" w:rsidRDefault="007A51DA" w:rsidP="00072F1B">
      <w:pPr>
        <w:spacing w:after="120"/>
        <w:rPr>
          <w:b/>
          <w:bCs/>
          <w:sz w:val="20"/>
          <w:szCs w:val="18"/>
          <w:lang w:eastAsia="en-US"/>
        </w:rPr>
      </w:pPr>
      <w:r w:rsidRPr="00072F1B">
        <w:rPr>
          <w:b/>
          <w:bCs/>
          <w:sz w:val="20"/>
          <w:szCs w:val="18"/>
          <w:lang w:eastAsia="en-US"/>
        </w:rPr>
        <w:t>Figure 2: shows the ethnic distribution of radiation oncologists, general surgeons, and nurses in 2023, alongside the ethnic distribution of our country’s population.</w:t>
      </w:r>
    </w:p>
    <w:p w14:paraId="2C8CCBA4" w14:textId="159D7EFE" w:rsidR="007A51DA" w:rsidRDefault="007A51DA" w:rsidP="007A51DA">
      <w:pPr>
        <w:pStyle w:val="Heading5"/>
        <w:rPr>
          <w:lang w:eastAsia="en-US"/>
        </w:rPr>
      </w:pPr>
      <w:r w:rsidRPr="00872392">
        <w:rPr>
          <w:b/>
          <w:bCs/>
          <w:lang w:eastAsia="en-US"/>
        </w:rPr>
        <w:t xml:space="preserve">Outcome </w:t>
      </w:r>
      <w:r>
        <w:rPr>
          <w:b/>
          <w:bCs/>
          <w:lang w:eastAsia="en-US"/>
        </w:rPr>
        <w:t>2</w:t>
      </w:r>
      <w:r w:rsidRPr="00872392">
        <w:rPr>
          <w:b/>
          <w:bCs/>
          <w:lang w:eastAsia="en-US"/>
        </w:rPr>
        <w:t xml:space="preserve">:  </w:t>
      </w:r>
      <w:r w:rsidRPr="00872392">
        <w:rPr>
          <w:b/>
          <w:bCs/>
          <w:lang w:eastAsia="en-US"/>
        </w:rPr>
        <w:br/>
      </w:r>
      <w:r w:rsidRPr="007A51DA">
        <w:rPr>
          <w:lang w:eastAsia="en-US"/>
        </w:rPr>
        <w:t xml:space="preserve">New Zealanders experience equitable cancer </w:t>
      </w:r>
      <w:proofErr w:type="gramStart"/>
      <w:r w:rsidRPr="007A51DA">
        <w:rPr>
          <w:lang w:eastAsia="en-US"/>
        </w:rPr>
        <w:t>outcomes</w:t>
      </w:r>
      <w:proofErr w:type="gramEnd"/>
    </w:p>
    <w:p w14:paraId="0CFA054A" w14:textId="77777777" w:rsidR="007A51DA" w:rsidRPr="007A51DA" w:rsidRDefault="007A51DA" w:rsidP="007A51DA">
      <w:pPr>
        <w:rPr>
          <w:b/>
          <w:bCs/>
          <w:lang w:eastAsia="en-US"/>
        </w:rPr>
      </w:pPr>
      <w:r w:rsidRPr="007A51DA">
        <w:rPr>
          <w:b/>
          <w:bCs/>
          <w:lang w:eastAsia="en-US"/>
        </w:rPr>
        <w:t>Indicator:</w:t>
      </w:r>
    </w:p>
    <w:p w14:paraId="6EA9B1D6" w14:textId="3B24E10B" w:rsidR="007A51DA" w:rsidRDefault="007A51DA" w:rsidP="007A51DA">
      <w:pPr>
        <w:rPr>
          <w:lang w:eastAsia="en-US"/>
        </w:rPr>
      </w:pPr>
      <w:r>
        <w:rPr>
          <w:lang w:eastAsia="en-US"/>
        </w:rPr>
        <w:t>Routes to diagnosis — Proportion of cancers that were diagnosed in 2022 following an emergency presentation within 14 days before the date of diagnosis.</w:t>
      </w:r>
    </w:p>
    <w:p w14:paraId="10DA3F29" w14:textId="77777777" w:rsidR="007A51DA" w:rsidRDefault="007A51DA" w:rsidP="007A51DA">
      <w:pPr>
        <w:rPr>
          <w:lang w:eastAsia="en-US"/>
        </w:rPr>
      </w:pPr>
    </w:p>
    <w:p w14:paraId="7F18434B" w14:textId="1FB5CB68" w:rsidR="007A51DA" w:rsidRDefault="007A51DA" w:rsidP="007A51DA">
      <w:pPr>
        <w:rPr>
          <w:lang w:eastAsia="en-US"/>
        </w:rPr>
      </w:pPr>
      <w:r>
        <w:rPr>
          <w:lang w:eastAsia="en-US"/>
        </w:rPr>
        <w:t>Early diagnosis improves cancer outcomes by providing care at the earliest possible stage. Ideally the diagnosis would be through a primary or community health care service (such as a General Practitioner or a screening programme) and treatment would be provided by a trusted, culturally responsive secondary health service.</w:t>
      </w:r>
    </w:p>
    <w:p w14:paraId="1C492183" w14:textId="77777777" w:rsidR="007A51DA" w:rsidRDefault="007A51DA" w:rsidP="007A51DA">
      <w:pPr>
        <w:rPr>
          <w:lang w:eastAsia="en-US"/>
        </w:rPr>
      </w:pPr>
    </w:p>
    <w:p w14:paraId="34A0DBF0" w14:textId="3C975211" w:rsidR="007A51DA" w:rsidRDefault="007A51DA" w:rsidP="007A51DA">
      <w:pPr>
        <w:rPr>
          <w:lang w:eastAsia="en-US"/>
        </w:rPr>
      </w:pPr>
      <w:r>
        <w:rPr>
          <w:lang w:eastAsia="en-US"/>
        </w:rPr>
        <w:t>In 2022, Māori (30%) and Pacific peoples (36%) were more likely to be diagnosed with cancer following an emergency presentation, than Asian (26%) and European/Other (22%) for all cancers. This is one example of how the agency’s monitoring work highlights inequities in cancer, so we can work with the sector on reducing them.</w:t>
      </w:r>
    </w:p>
    <w:p w14:paraId="143427DA" w14:textId="2FE98939" w:rsidR="007A51DA" w:rsidRDefault="007A51DA" w:rsidP="007A51DA">
      <w:pPr>
        <w:rPr>
          <w:lang w:eastAsia="en-US"/>
        </w:rPr>
      </w:pPr>
    </w:p>
    <w:p w14:paraId="2D421DEF" w14:textId="2BE03FF2" w:rsidR="007A51DA" w:rsidRDefault="007A51DA" w:rsidP="007A51DA">
      <w:pPr>
        <w:rPr>
          <w:lang w:eastAsia="en-US"/>
        </w:rPr>
      </w:pPr>
      <w:r>
        <w:rPr>
          <w:noProof/>
        </w:rPr>
        <w:lastRenderedPageBreak/>
        <w:drawing>
          <wp:inline distT="0" distB="0" distL="0" distR="0" wp14:anchorId="7809D037" wp14:editId="520DDDFF">
            <wp:extent cx="5130165" cy="3006725"/>
            <wp:effectExtent l="0" t="0" r="0" b="317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5130165" cy="3006725"/>
                    </a:xfrm>
                    <a:prstGeom prst="rect">
                      <a:avLst/>
                    </a:prstGeom>
                  </pic:spPr>
                </pic:pic>
              </a:graphicData>
            </a:graphic>
          </wp:inline>
        </w:drawing>
      </w:r>
    </w:p>
    <w:p w14:paraId="3AEE2387" w14:textId="58B7FC79" w:rsidR="007A51DA" w:rsidRPr="00072F1B" w:rsidRDefault="007A51DA" w:rsidP="00072F1B">
      <w:pPr>
        <w:spacing w:after="120"/>
        <w:rPr>
          <w:b/>
          <w:bCs/>
          <w:sz w:val="20"/>
          <w:szCs w:val="18"/>
          <w:lang w:eastAsia="en-US"/>
        </w:rPr>
      </w:pPr>
      <w:r w:rsidRPr="00072F1B">
        <w:rPr>
          <w:b/>
          <w:bCs/>
          <w:sz w:val="20"/>
          <w:szCs w:val="18"/>
          <w:lang w:eastAsia="en-US"/>
        </w:rPr>
        <w:t xml:space="preserve">Figure 3: Proportion of cancers diagnosed following emergency presentation by ethnicity, </w:t>
      </w:r>
      <w:proofErr w:type="gramStart"/>
      <w:r w:rsidRPr="00072F1B">
        <w:rPr>
          <w:b/>
          <w:bCs/>
          <w:sz w:val="20"/>
          <w:szCs w:val="18"/>
          <w:lang w:eastAsia="en-US"/>
        </w:rPr>
        <w:t>2023</w:t>
      </w:r>
      <w:proofErr w:type="gramEnd"/>
    </w:p>
    <w:p w14:paraId="77CC1203" w14:textId="39E1AFC9" w:rsidR="007A51DA" w:rsidRDefault="007A51DA" w:rsidP="007A51DA">
      <w:pPr>
        <w:pStyle w:val="Heading5"/>
        <w:rPr>
          <w:lang w:eastAsia="en-US"/>
        </w:rPr>
      </w:pPr>
      <w:r w:rsidRPr="00872392">
        <w:rPr>
          <w:b/>
          <w:bCs/>
          <w:lang w:eastAsia="en-US"/>
        </w:rPr>
        <w:t>Outcome</w:t>
      </w:r>
      <w:r>
        <w:rPr>
          <w:b/>
          <w:bCs/>
          <w:lang w:eastAsia="en-US"/>
        </w:rPr>
        <w:t xml:space="preserve"> 3</w:t>
      </w:r>
      <w:r w:rsidRPr="00872392">
        <w:rPr>
          <w:b/>
          <w:bCs/>
          <w:lang w:eastAsia="en-US"/>
        </w:rPr>
        <w:t xml:space="preserve">:  </w:t>
      </w:r>
      <w:r w:rsidRPr="00872392">
        <w:rPr>
          <w:b/>
          <w:bCs/>
          <w:lang w:eastAsia="en-US"/>
        </w:rPr>
        <w:br/>
      </w:r>
      <w:r w:rsidR="00E6446F" w:rsidRPr="00E6446F">
        <w:rPr>
          <w:lang w:eastAsia="en-US"/>
        </w:rPr>
        <w:t xml:space="preserve">New Zealanders have fewer </w:t>
      </w:r>
      <w:proofErr w:type="gramStart"/>
      <w:r w:rsidR="00E6446F" w:rsidRPr="00E6446F">
        <w:rPr>
          <w:lang w:eastAsia="en-US"/>
        </w:rPr>
        <w:t>cancers</w:t>
      </w:r>
      <w:proofErr w:type="gramEnd"/>
    </w:p>
    <w:p w14:paraId="1817F8CF" w14:textId="77777777" w:rsidR="007A51DA" w:rsidRPr="007A51DA" w:rsidRDefault="007A51DA" w:rsidP="007A51DA">
      <w:pPr>
        <w:rPr>
          <w:b/>
          <w:bCs/>
          <w:lang w:eastAsia="en-US"/>
        </w:rPr>
      </w:pPr>
      <w:r w:rsidRPr="007A51DA">
        <w:rPr>
          <w:b/>
          <w:bCs/>
          <w:lang w:eastAsia="en-US"/>
        </w:rPr>
        <w:t>Indicator:</w:t>
      </w:r>
    </w:p>
    <w:p w14:paraId="6AB0D17F" w14:textId="73D1AA80" w:rsidR="007A51DA" w:rsidRDefault="007A51DA" w:rsidP="007A51DA">
      <w:pPr>
        <w:rPr>
          <w:lang w:eastAsia="en-US"/>
        </w:rPr>
      </w:pPr>
      <w:r>
        <w:rPr>
          <w:lang w:eastAsia="en-US"/>
        </w:rPr>
        <w:t xml:space="preserve">Tobacco — Proportion of New Zealanders who were daily </w:t>
      </w:r>
      <w:proofErr w:type="gramStart"/>
      <w:r>
        <w:rPr>
          <w:lang w:eastAsia="en-US"/>
        </w:rPr>
        <w:t>smokers</w:t>
      </w:r>
      <w:proofErr w:type="gramEnd"/>
    </w:p>
    <w:p w14:paraId="4D86E935" w14:textId="77777777" w:rsidR="007A51DA" w:rsidRDefault="007A51DA" w:rsidP="007A51DA">
      <w:pPr>
        <w:rPr>
          <w:lang w:eastAsia="en-US"/>
        </w:rPr>
      </w:pPr>
    </w:p>
    <w:p w14:paraId="090FC168" w14:textId="4BAD8812" w:rsidR="007A51DA" w:rsidRDefault="007A51DA" w:rsidP="00072F1B">
      <w:pPr>
        <w:spacing w:after="120"/>
        <w:rPr>
          <w:lang w:eastAsia="en-US"/>
        </w:rPr>
      </w:pPr>
      <w:r>
        <w:rPr>
          <w:lang w:eastAsia="en-US"/>
        </w:rPr>
        <w:t>The rate of daily smoking appears to be reducing for most ethnic groups over time. Pacific peoples saw the biggest reduction from 18.2% in 2021/2022 to 6.4% in 2022/2023.</w:t>
      </w:r>
    </w:p>
    <w:p w14:paraId="5B49F101" w14:textId="68AE7B67" w:rsidR="007A51DA" w:rsidRDefault="007A51DA" w:rsidP="007A51DA">
      <w:pPr>
        <w:rPr>
          <w:lang w:eastAsia="en-US"/>
        </w:rPr>
      </w:pPr>
      <w:r>
        <w:rPr>
          <w:noProof/>
        </w:rPr>
        <w:drawing>
          <wp:inline distT="0" distB="0" distL="0" distR="0" wp14:anchorId="0702918E" wp14:editId="790A695B">
            <wp:extent cx="5130165" cy="2024364"/>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69">
                      <a:extLst>
                        <a:ext uri="{28A0092B-C50C-407E-A947-70E740481C1C}">
                          <a14:useLocalDpi xmlns:a14="http://schemas.microsoft.com/office/drawing/2010/main" val="0"/>
                        </a:ext>
                      </a:extLst>
                    </a:blip>
                    <a:srcRect t="2508" b="1"/>
                    <a:stretch/>
                  </pic:blipFill>
                  <pic:spPr bwMode="auto">
                    <a:xfrm>
                      <a:off x="0" y="0"/>
                      <a:ext cx="5130165" cy="2024364"/>
                    </a:xfrm>
                    <a:prstGeom prst="rect">
                      <a:avLst/>
                    </a:prstGeom>
                    <a:ln>
                      <a:noFill/>
                    </a:ln>
                    <a:extLst>
                      <a:ext uri="{53640926-AAD7-44D8-BBD7-CCE9431645EC}">
                        <a14:shadowObscured xmlns:a14="http://schemas.microsoft.com/office/drawing/2010/main"/>
                      </a:ext>
                    </a:extLst>
                  </pic:spPr>
                </pic:pic>
              </a:graphicData>
            </a:graphic>
          </wp:inline>
        </w:drawing>
      </w:r>
    </w:p>
    <w:p w14:paraId="08C1206C" w14:textId="7EB71712" w:rsidR="007A51DA" w:rsidRPr="00072F1B" w:rsidRDefault="007A51DA" w:rsidP="00072F1B">
      <w:pPr>
        <w:spacing w:after="120"/>
        <w:rPr>
          <w:b/>
          <w:bCs/>
          <w:sz w:val="20"/>
          <w:szCs w:val="18"/>
          <w:lang w:eastAsia="en-US"/>
        </w:rPr>
      </w:pPr>
      <w:r w:rsidRPr="00072F1B">
        <w:rPr>
          <w:b/>
          <w:bCs/>
          <w:sz w:val="20"/>
          <w:szCs w:val="18"/>
          <w:lang w:eastAsia="en-US"/>
        </w:rPr>
        <w:t>Figure 4: Proportion of daily smokers in New Zealand, by ethnicity, 2018/19–2022/23</w:t>
      </w:r>
    </w:p>
    <w:p w14:paraId="33272BFD" w14:textId="04B3F268" w:rsidR="007A51DA" w:rsidRDefault="007A51DA" w:rsidP="007A51DA">
      <w:pPr>
        <w:pStyle w:val="Heading5"/>
        <w:rPr>
          <w:lang w:eastAsia="en-US"/>
        </w:rPr>
      </w:pPr>
      <w:r w:rsidRPr="00872392">
        <w:rPr>
          <w:b/>
          <w:bCs/>
          <w:lang w:eastAsia="en-US"/>
        </w:rPr>
        <w:t>Outcome</w:t>
      </w:r>
      <w:r>
        <w:rPr>
          <w:b/>
          <w:bCs/>
          <w:lang w:eastAsia="en-US"/>
        </w:rPr>
        <w:t xml:space="preserve"> 4</w:t>
      </w:r>
      <w:r w:rsidRPr="00872392">
        <w:rPr>
          <w:b/>
          <w:bCs/>
          <w:lang w:eastAsia="en-US"/>
        </w:rPr>
        <w:t xml:space="preserve">:  </w:t>
      </w:r>
      <w:r w:rsidRPr="00872392">
        <w:rPr>
          <w:b/>
          <w:bCs/>
          <w:lang w:eastAsia="en-US"/>
        </w:rPr>
        <w:br/>
      </w:r>
      <w:r w:rsidR="00E6446F" w:rsidRPr="00E6446F">
        <w:rPr>
          <w:lang w:eastAsia="en-US"/>
        </w:rPr>
        <w:t xml:space="preserve">New Zealanders have better cancer survival, supportive care, and end-of-life </w:t>
      </w:r>
      <w:proofErr w:type="gramStart"/>
      <w:r w:rsidR="00E6446F" w:rsidRPr="00E6446F">
        <w:rPr>
          <w:lang w:eastAsia="en-US"/>
        </w:rPr>
        <w:t>care</w:t>
      </w:r>
      <w:proofErr w:type="gramEnd"/>
    </w:p>
    <w:p w14:paraId="54DC8B3E" w14:textId="77777777" w:rsidR="00E6446F" w:rsidRPr="00E6446F" w:rsidRDefault="00E6446F" w:rsidP="00E6446F">
      <w:pPr>
        <w:rPr>
          <w:b/>
          <w:bCs/>
          <w:lang w:eastAsia="en-US"/>
        </w:rPr>
      </w:pPr>
      <w:r w:rsidRPr="00E6446F">
        <w:rPr>
          <w:b/>
          <w:bCs/>
          <w:lang w:eastAsia="en-US"/>
        </w:rPr>
        <w:t xml:space="preserve">Indicator:  </w:t>
      </w:r>
    </w:p>
    <w:p w14:paraId="2BD6BF89" w14:textId="77777777" w:rsidR="00E6446F" w:rsidRDefault="00E6446F" w:rsidP="00E6446F">
      <w:pPr>
        <w:rPr>
          <w:lang w:eastAsia="en-US"/>
        </w:rPr>
      </w:pPr>
      <w:r>
        <w:rPr>
          <w:lang w:eastAsia="en-US"/>
        </w:rPr>
        <w:t xml:space="preserve">Surgery — Proportion of New Zealanders with cancer who received surgical treatment in </w:t>
      </w:r>
      <w:proofErr w:type="gramStart"/>
      <w:r>
        <w:rPr>
          <w:lang w:eastAsia="en-US"/>
        </w:rPr>
        <w:t>2022/23</w:t>
      </w:r>
      <w:proofErr w:type="gramEnd"/>
      <w:r>
        <w:rPr>
          <w:lang w:eastAsia="en-US"/>
        </w:rPr>
        <w:t xml:space="preserve"> </w:t>
      </w:r>
    </w:p>
    <w:p w14:paraId="066735CF" w14:textId="70A47DE5" w:rsidR="00E6446F" w:rsidRDefault="00E6446F" w:rsidP="00E6446F">
      <w:pPr>
        <w:rPr>
          <w:lang w:eastAsia="en-US"/>
        </w:rPr>
      </w:pPr>
      <w:r>
        <w:rPr>
          <w:lang w:eastAsia="en-US"/>
        </w:rPr>
        <w:t xml:space="preserve">Surgery is one way to increase a person’s survival rate following a cancer diagnosis. The rate of surgical resection for lung and pancreatic cancers was around 5–25% in the </w:t>
      </w:r>
      <w:r>
        <w:rPr>
          <w:lang w:eastAsia="en-US"/>
        </w:rPr>
        <w:lastRenderedPageBreak/>
        <w:t xml:space="preserve">2022/23 year. The rates of lung and pancreatic cancers increased for Māori and Pacific peoples compared with the previous year. Note: this is the latest data available.   </w:t>
      </w:r>
    </w:p>
    <w:p w14:paraId="653CA23E" w14:textId="5987572A" w:rsidR="00E6446F" w:rsidRDefault="00E6446F" w:rsidP="00E6446F">
      <w:pPr>
        <w:rPr>
          <w:lang w:eastAsia="en-US"/>
        </w:rPr>
      </w:pPr>
      <w:r>
        <w:rPr>
          <w:noProof/>
        </w:rPr>
        <w:drawing>
          <wp:inline distT="0" distB="0" distL="0" distR="0" wp14:anchorId="43706DF2" wp14:editId="1F78D394">
            <wp:extent cx="5130165" cy="1884045"/>
            <wp:effectExtent l="0" t="0" r="0" b="190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5130165" cy="1884045"/>
                    </a:xfrm>
                    <a:prstGeom prst="rect">
                      <a:avLst/>
                    </a:prstGeom>
                  </pic:spPr>
                </pic:pic>
              </a:graphicData>
            </a:graphic>
          </wp:inline>
        </w:drawing>
      </w:r>
    </w:p>
    <w:p w14:paraId="3827D0CF" w14:textId="56ADFA08" w:rsidR="00E6446F" w:rsidRPr="00072F1B" w:rsidRDefault="00E6446F" w:rsidP="00072F1B">
      <w:pPr>
        <w:spacing w:after="120"/>
        <w:rPr>
          <w:b/>
          <w:bCs/>
          <w:sz w:val="20"/>
          <w:szCs w:val="18"/>
          <w:lang w:eastAsia="en-US"/>
        </w:rPr>
      </w:pPr>
      <w:r w:rsidRPr="00072F1B">
        <w:rPr>
          <w:b/>
          <w:bCs/>
          <w:sz w:val="20"/>
          <w:szCs w:val="18"/>
          <w:lang w:eastAsia="en-US"/>
        </w:rPr>
        <w:t xml:space="preserve">Figure 5: Proportion of New Zealanders who received surgical treatment for lung or pancreatic cancer, by ethnicity, </w:t>
      </w:r>
      <w:proofErr w:type="gramStart"/>
      <w:r w:rsidRPr="00072F1B">
        <w:rPr>
          <w:b/>
          <w:bCs/>
          <w:sz w:val="20"/>
          <w:szCs w:val="18"/>
          <w:lang w:eastAsia="en-US"/>
        </w:rPr>
        <w:t>2022/23</w:t>
      </w:r>
      <w:proofErr w:type="gramEnd"/>
    </w:p>
    <w:p w14:paraId="481C674E" w14:textId="385F1B26" w:rsidR="00E6446F" w:rsidRPr="00386646" w:rsidRDefault="00E6446F" w:rsidP="00386646">
      <w:pPr>
        <w:pStyle w:val="Heading3"/>
      </w:pPr>
      <w:r w:rsidRPr="00386646">
        <w:t xml:space="preserve">Tō mātou whakahaere </w:t>
      </w:r>
      <w:r w:rsidR="00C42F6C">
        <w:t>–</w:t>
      </w:r>
      <w:r w:rsidRPr="00386646">
        <w:t xml:space="preserve"> Our performance</w:t>
      </w:r>
    </w:p>
    <w:tbl>
      <w:tblPr>
        <w:tblStyle w:val="TableGrid"/>
        <w:tblW w:w="864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552"/>
        <w:gridCol w:w="918"/>
        <w:gridCol w:w="918"/>
        <w:gridCol w:w="933"/>
        <w:gridCol w:w="3326"/>
      </w:tblGrid>
      <w:tr w:rsidR="00E6446F" w:rsidRPr="00E6446F" w14:paraId="6966DDED" w14:textId="77777777" w:rsidTr="00D600E2">
        <w:trPr>
          <w:tblHeader/>
        </w:trPr>
        <w:tc>
          <w:tcPr>
            <w:tcW w:w="2552" w:type="dxa"/>
            <w:tcBorders>
              <w:top w:val="nil"/>
              <w:bottom w:val="nil"/>
            </w:tcBorders>
            <w:shd w:val="clear" w:color="auto" w:fill="D9D9D9" w:themeFill="background1" w:themeFillShade="D9"/>
          </w:tcPr>
          <w:p w14:paraId="4E2EC6AC" w14:textId="7FDA4371" w:rsidR="00E6446F" w:rsidRPr="00E6446F" w:rsidRDefault="00E6446F" w:rsidP="00E6446F">
            <w:pPr>
              <w:spacing w:before="60" w:after="60"/>
              <w:rPr>
                <w:rFonts w:cs="Segoe UI"/>
                <w:b/>
                <w:bCs/>
                <w:sz w:val="18"/>
                <w:szCs w:val="18"/>
                <w:lang w:eastAsia="en-US"/>
              </w:rPr>
            </w:pPr>
            <w:r w:rsidRPr="00E6446F">
              <w:rPr>
                <w:rFonts w:cs="Segoe UI"/>
                <w:b/>
                <w:bCs/>
                <w:sz w:val="18"/>
                <w:szCs w:val="18"/>
                <w:lang w:eastAsia="en-US"/>
              </w:rPr>
              <w:t>Performance measure</w:t>
            </w:r>
          </w:p>
        </w:tc>
        <w:tc>
          <w:tcPr>
            <w:tcW w:w="918" w:type="dxa"/>
            <w:tcBorders>
              <w:top w:val="nil"/>
              <w:bottom w:val="nil"/>
            </w:tcBorders>
            <w:shd w:val="clear" w:color="auto" w:fill="D9D9D9" w:themeFill="background1" w:themeFillShade="D9"/>
          </w:tcPr>
          <w:p w14:paraId="73889524" w14:textId="7B9EFE03" w:rsidR="00E6446F" w:rsidRPr="00E6446F" w:rsidRDefault="00E6446F" w:rsidP="00D600E2">
            <w:pPr>
              <w:spacing w:before="60" w:after="60"/>
              <w:jc w:val="center"/>
              <w:rPr>
                <w:rFonts w:cs="Segoe UI"/>
                <w:b/>
                <w:bCs/>
                <w:sz w:val="18"/>
                <w:szCs w:val="18"/>
                <w:lang w:eastAsia="en-US"/>
              </w:rPr>
            </w:pPr>
            <w:r w:rsidRPr="00E6446F">
              <w:rPr>
                <w:rFonts w:cs="Segoe UI"/>
                <w:b/>
                <w:bCs/>
                <w:sz w:val="18"/>
                <w:szCs w:val="18"/>
                <w:lang w:eastAsia="en-US"/>
              </w:rPr>
              <w:t>2021/22</w:t>
            </w:r>
          </w:p>
        </w:tc>
        <w:tc>
          <w:tcPr>
            <w:tcW w:w="918" w:type="dxa"/>
            <w:tcBorders>
              <w:top w:val="nil"/>
              <w:bottom w:val="nil"/>
            </w:tcBorders>
            <w:shd w:val="clear" w:color="auto" w:fill="D9D9D9" w:themeFill="background1" w:themeFillShade="D9"/>
          </w:tcPr>
          <w:p w14:paraId="59CE6C0E" w14:textId="24965191" w:rsidR="00E6446F" w:rsidRPr="00E6446F" w:rsidRDefault="00E6446F" w:rsidP="00D600E2">
            <w:pPr>
              <w:spacing w:before="60" w:after="60"/>
              <w:jc w:val="center"/>
              <w:rPr>
                <w:rFonts w:cs="Segoe UI"/>
                <w:b/>
                <w:bCs/>
                <w:sz w:val="18"/>
                <w:szCs w:val="18"/>
                <w:lang w:eastAsia="en-US"/>
              </w:rPr>
            </w:pPr>
            <w:r w:rsidRPr="00E6446F">
              <w:rPr>
                <w:rFonts w:cs="Segoe UI"/>
                <w:b/>
                <w:bCs/>
                <w:sz w:val="18"/>
                <w:szCs w:val="18"/>
                <w:lang w:eastAsia="en-US"/>
              </w:rPr>
              <w:t>2022/23</w:t>
            </w:r>
          </w:p>
        </w:tc>
        <w:tc>
          <w:tcPr>
            <w:tcW w:w="933" w:type="dxa"/>
            <w:tcBorders>
              <w:top w:val="nil"/>
              <w:bottom w:val="nil"/>
            </w:tcBorders>
            <w:shd w:val="clear" w:color="auto" w:fill="D9D9D9" w:themeFill="background1" w:themeFillShade="D9"/>
          </w:tcPr>
          <w:p w14:paraId="5F14372A" w14:textId="269DBA0B" w:rsidR="00E6446F" w:rsidRPr="00E6446F" w:rsidRDefault="00E6446F" w:rsidP="00D600E2">
            <w:pPr>
              <w:spacing w:before="60" w:after="60"/>
              <w:jc w:val="center"/>
              <w:rPr>
                <w:rFonts w:cs="Segoe UI"/>
                <w:b/>
                <w:bCs/>
                <w:sz w:val="18"/>
                <w:szCs w:val="18"/>
                <w:lang w:eastAsia="en-US"/>
              </w:rPr>
            </w:pPr>
            <w:r w:rsidRPr="00E6446F">
              <w:rPr>
                <w:rFonts w:cs="Segoe UI"/>
                <w:b/>
                <w:bCs/>
                <w:sz w:val="18"/>
                <w:szCs w:val="18"/>
                <w:lang w:eastAsia="en-US"/>
              </w:rPr>
              <w:t>2023/24</w:t>
            </w:r>
          </w:p>
        </w:tc>
        <w:tc>
          <w:tcPr>
            <w:tcW w:w="3326" w:type="dxa"/>
            <w:tcBorders>
              <w:top w:val="nil"/>
              <w:bottom w:val="nil"/>
            </w:tcBorders>
            <w:shd w:val="clear" w:color="auto" w:fill="D9D9D9" w:themeFill="background1" w:themeFillShade="D9"/>
          </w:tcPr>
          <w:p w14:paraId="25953D8C" w14:textId="0544C93B" w:rsidR="00E6446F" w:rsidRPr="00E6446F" w:rsidRDefault="00E6446F" w:rsidP="00E6446F">
            <w:pPr>
              <w:spacing w:before="60" w:after="60"/>
              <w:rPr>
                <w:rFonts w:cs="Segoe UI"/>
                <w:b/>
                <w:bCs/>
                <w:sz w:val="18"/>
                <w:szCs w:val="18"/>
                <w:lang w:eastAsia="en-US"/>
              </w:rPr>
            </w:pPr>
            <w:r w:rsidRPr="00E6446F">
              <w:rPr>
                <w:rFonts w:cs="Segoe UI"/>
                <w:b/>
                <w:bCs/>
                <w:sz w:val="18"/>
                <w:szCs w:val="18"/>
                <w:lang w:eastAsia="en-US"/>
              </w:rPr>
              <w:t>Notes</w:t>
            </w:r>
          </w:p>
        </w:tc>
      </w:tr>
      <w:tr w:rsidR="00D600E2" w14:paraId="3CA3FD63" w14:textId="77777777" w:rsidTr="00D600E2">
        <w:tc>
          <w:tcPr>
            <w:tcW w:w="2552" w:type="dxa"/>
            <w:tcBorders>
              <w:top w:val="nil"/>
            </w:tcBorders>
          </w:tcPr>
          <w:p w14:paraId="2A5CC489" w14:textId="2079C45D" w:rsidR="00E6446F" w:rsidRPr="00E6446F" w:rsidRDefault="00E6446F" w:rsidP="00E6446F">
            <w:pPr>
              <w:spacing w:before="60" w:after="60"/>
              <w:rPr>
                <w:rFonts w:cs="Segoe UI"/>
                <w:sz w:val="18"/>
                <w:szCs w:val="18"/>
                <w:lang w:eastAsia="en-US"/>
              </w:rPr>
            </w:pPr>
            <w:r w:rsidRPr="00E6446F">
              <w:rPr>
                <w:rFonts w:cs="Segoe UI"/>
                <w:sz w:val="18"/>
                <w:szCs w:val="18"/>
                <w:lang w:eastAsia="en-US"/>
              </w:rPr>
              <w:t>Kaimahi satisfaction</w:t>
            </w:r>
          </w:p>
        </w:tc>
        <w:tc>
          <w:tcPr>
            <w:tcW w:w="918" w:type="dxa"/>
            <w:tcBorders>
              <w:top w:val="nil"/>
            </w:tcBorders>
          </w:tcPr>
          <w:p w14:paraId="43EC83C7" w14:textId="618FF0DF" w:rsidR="00E6446F" w:rsidRPr="00E6446F" w:rsidRDefault="00E6446F" w:rsidP="00D600E2">
            <w:pPr>
              <w:spacing w:before="60" w:after="60"/>
              <w:jc w:val="center"/>
              <w:rPr>
                <w:rFonts w:cs="Segoe UI"/>
                <w:sz w:val="18"/>
                <w:szCs w:val="18"/>
                <w:lang w:eastAsia="en-US"/>
              </w:rPr>
            </w:pPr>
            <w:r w:rsidRPr="00E6446F">
              <w:rPr>
                <w:rFonts w:cs="Segoe UI"/>
                <w:sz w:val="18"/>
                <w:szCs w:val="18"/>
                <w:lang w:eastAsia="en-US"/>
              </w:rPr>
              <w:t>NA</w:t>
            </w:r>
          </w:p>
        </w:tc>
        <w:tc>
          <w:tcPr>
            <w:tcW w:w="918" w:type="dxa"/>
            <w:tcBorders>
              <w:top w:val="nil"/>
            </w:tcBorders>
          </w:tcPr>
          <w:p w14:paraId="6388321F" w14:textId="48335643" w:rsidR="00E6446F" w:rsidRPr="00E6446F" w:rsidRDefault="00E6446F" w:rsidP="00D600E2">
            <w:pPr>
              <w:spacing w:before="60" w:after="60"/>
              <w:jc w:val="center"/>
              <w:rPr>
                <w:rFonts w:cs="Segoe UI"/>
                <w:sz w:val="18"/>
                <w:szCs w:val="18"/>
                <w:lang w:eastAsia="en-US"/>
              </w:rPr>
            </w:pPr>
            <w:r w:rsidRPr="00E6446F">
              <w:rPr>
                <w:rFonts w:cs="Segoe UI"/>
                <w:sz w:val="18"/>
                <w:szCs w:val="18"/>
                <w:lang w:eastAsia="en-US"/>
              </w:rPr>
              <w:t>84%</w:t>
            </w:r>
          </w:p>
        </w:tc>
        <w:tc>
          <w:tcPr>
            <w:tcW w:w="933" w:type="dxa"/>
            <w:tcBorders>
              <w:top w:val="nil"/>
            </w:tcBorders>
          </w:tcPr>
          <w:p w14:paraId="7AF7BE61" w14:textId="1A11847D" w:rsidR="00E6446F" w:rsidRPr="00E6446F" w:rsidRDefault="00E6446F" w:rsidP="00D600E2">
            <w:pPr>
              <w:spacing w:before="60" w:after="60"/>
              <w:jc w:val="center"/>
              <w:rPr>
                <w:rFonts w:cs="Segoe UI"/>
                <w:sz w:val="18"/>
                <w:szCs w:val="18"/>
                <w:lang w:eastAsia="en-US"/>
              </w:rPr>
            </w:pPr>
            <w:r w:rsidRPr="00E6446F">
              <w:rPr>
                <w:rFonts w:cs="Segoe UI"/>
                <w:sz w:val="18"/>
                <w:szCs w:val="18"/>
                <w:lang w:eastAsia="en-US"/>
              </w:rPr>
              <w:t>72%</w:t>
            </w:r>
          </w:p>
        </w:tc>
        <w:tc>
          <w:tcPr>
            <w:tcW w:w="3326" w:type="dxa"/>
            <w:tcBorders>
              <w:top w:val="nil"/>
            </w:tcBorders>
          </w:tcPr>
          <w:p w14:paraId="0D4F7764" w14:textId="1580FFCD" w:rsidR="00E6446F" w:rsidRPr="00E6446F" w:rsidRDefault="00E6446F" w:rsidP="00E6446F">
            <w:pPr>
              <w:spacing w:before="60" w:after="60"/>
              <w:rPr>
                <w:rFonts w:cs="Segoe UI"/>
                <w:sz w:val="18"/>
                <w:szCs w:val="18"/>
                <w:lang w:eastAsia="en-US"/>
              </w:rPr>
            </w:pPr>
            <w:r w:rsidRPr="00E6446F">
              <w:rPr>
                <w:rFonts w:cs="Segoe UI"/>
                <w:sz w:val="18"/>
                <w:szCs w:val="18"/>
                <w:lang w:eastAsia="en-US"/>
              </w:rPr>
              <w:t>Kōrero Mai survey undertaken in October 2023.</w:t>
            </w:r>
          </w:p>
        </w:tc>
      </w:tr>
      <w:tr w:rsidR="00D600E2" w14:paraId="2CC378F5" w14:textId="77777777" w:rsidTr="00D600E2">
        <w:tc>
          <w:tcPr>
            <w:tcW w:w="2552" w:type="dxa"/>
          </w:tcPr>
          <w:p w14:paraId="7A3C926F" w14:textId="43D784E2" w:rsidR="00E6446F" w:rsidRPr="00E6446F" w:rsidRDefault="00E6446F" w:rsidP="00E6446F">
            <w:pPr>
              <w:spacing w:before="60" w:after="60"/>
              <w:rPr>
                <w:rFonts w:cs="Segoe UI"/>
                <w:sz w:val="18"/>
                <w:szCs w:val="18"/>
                <w:lang w:eastAsia="en-US"/>
              </w:rPr>
            </w:pPr>
            <w:r w:rsidRPr="00E6446F">
              <w:rPr>
                <w:rFonts w:cs="Segoe UI"/>
                <w:sz w:val="18"/>
                <w:szCs w:val="18"/>
                <w:lang w:eastAsia="en-US"/>
              </w:rPr>
              <w:t>Sick/domestic leave taken</w:t>
            </w:r>
          </w:p>
        </w:tc>
        <w:tc>
          <w:tcPr>
            <w:tcW w:w="918" w:type="dxa"/>
          </w:tcPr>
          <w:p w14:paraId="00CA9381" w14:textId="02C368E6" w:rsidR="00E6446F" w:rsidRPr="00E6446F" w:rsidRDefault="00E6446F" w:rsidP="00D600E2">
            <w:pPr>
              <w:spacing w:before="60" w:after="60"/>
              <w:jc w:val="center"/>
              <w:rPr>
                <w:rFonts w:cs="Segoe UI"/>
                <w:sz w:val="18"/>
                <w:szCs w:val="18"/>
                <w:lang w:eastAsia="en-US"/>
              </w:rPr>
            </w:pPr>
            <w:r w:rsidRPr="00E6446F">
              <w:rPr>
                <w:rFonts w:cs="Segoe UI"/>
                <w:sz w:val="18"/>
                <w:szCs w:val="18"/>
                <w:lang w:eastAsia="en-US"/>
              </w:rPr>
              <w:t>4.7 days</w:t>
            </w:r>
          </w:p>
        </w:tc>
        <w:tc>
          <w:tcPr>
            <w:tcW w:w="918" w:type="dxa"/>
          </w:tcPr>
          <w:p w14:paraId="768973FB" w14:textId="029F0D65" w:rsidR="00E6446F" w:rsidRPr="00E6446F" w:rsidRDefault="00E6446F" w:rsidP="00D600E2">
            <w:pPr>
              <w:spacing w:before="60" w:after="60"/>
              <w:jc w:val="center"/>
              <w:rPr>
                <w:rFonts w:cs="Segoe UI"/>
                <w:sz w:val="18"/>
                <w:szCs w:val="18"/>
                <w:lang w:eastAsia="en-US"/>
              </w:rPr>
            </w:pPr>
            <w:r w:rsidRPr="00E6446F">
              <w:rPr>
                <w:rFonts w:cs="Segoe UI"/>
                <w:sz w:val="18"/>
                <w:szCs w:val="18"/>
                <w:lang w:eastAsia="en-US"/>
              </w:rPr>
              <w:t>8.2 days</w:t>
            </w:r>
          </w:p>
        </w:tc>
        <w:tc>
          <w:tcPr>
            <w:tcW w:w="933" w:type="dxa"/>
          </w:tcPr>
          <w:p w14:paraId="12336643" w14:textId="44F55038" w:rsidR="00E6446F" w:rsidRPr="00E6446F" w:rsidRDefault="00E6446F" w:rsidP="00D600E2">
            <w:pPr>
              <w:spacing w:before="60" w:after="60"/>
              <w:jc w:val="center"/>
              <w:rPr>
                <w:rFonts w:cs="Segoe UI"/>
                <w:sz w:val="18"/>
                <w:szCs w:val="18"/>
                <w:lang w:eastAsia="en-US"/>
              </w:rPr>
            </w:pPr>
            <w:r w:rsidRPr="00E6446F">
              <w:rPr>
                <w:rFonts w:cs="Segoe UI"/>
                <w:sz w:val="18"/>
                <w:szCs w:val="18"/>
                <w:lang w:eastAsia="en-US"/>
              </w:rPr>
              <w:t>6.7 days</w:t>
            </w:r>
          </w:p>
        </w:tc>
        <w:tc>
          <w:tcPr>
            <w:tcW w:w="3326" w:type="dxa"/>
          </w:tcPr>
          <w:p w14:paraId="58E6E3F1" w14:textId="10E20B81" w:rsidR="00E6446F" w:rsidRPr="00E6446F" w:rsidRDefault="00E6446F" w:rsidP="00E6446F">
            <w:pPr>
              <w:spacing w:before="60" w:after="60"/>
              <w:rPr>
                <w:rFonts w:cs="Segoe UI"/>
                <w:sz w:val="18"/>
                <w:szCs w:val="18"/>
                <w:lang w:eastAsia="en-US"/>
              </w:rPr>
            </w:pPr>
            <w:r w:rsidRPr="00E6446F">
              <w:rPr>
                <w:rFonts w:cs="Segoe UI"/>
                <w:sz w:val="18"/>
                <w:szCs w:val="18"/>
                <w:lang w:eastAsia="en-US"/>
              </w:rPr>
              <w:t>We actively encourage kaimahi take sick leave to support both public health efforts and staff wellbeing.</w:t>
            </w:r>
          </w:p>
        </w:tc>
      </w:tr>
      <w:tr w:rsidR="00D600E2" w14:paraId="28FBE5CB" w14:textId="77777777" w:rsidTr="00D600E2">
        <w:tc>
          <w:tcPr>
            <w:tcW w:w="2552" w:type="dxa"/>
          </w:tcPr>
          <w:p w14:paraId="620411C3" w14:textId="47AA8677" w:rsidR="00E6446F" w:rsidRPr="00E6446F" w:rsidRDefault="00E6446F" w:rsidP="00E6446F">
            <w:pPr>
              <w:spacing w:before="60" w:after="60"/>
              <w:rPr>
                <w:rFonts w:cs="Segoe UI"/>
                <w:sz w:val="18"/>
                <w:szCs w:val="18"/>
                <w:lang w:eastAsia="en-US"/>
              </w:rPr>
            </w:pPr>
            <w:r w:rsidRPr="00E6446F">
              <w:rPr>
                <w:rFonts w:cs="Segoe UI"/>
                <w:sz w:val="18"/>
                <w:szCs w:val="18"/>
                <w:lang w:eastAsia="en-US"/>
              </w:rPr>
              <w:t>Kaimahi turnover</w:t>
            </w:r>
          </w:p>
        </w:tc>
        <w:tc>
          <w:tcPr>
            <w:tcW w:w="918" w:type="dxa"/>
          </w:tcPr>
          <w:p w14:paraId="512A5FF9" w14:textId="0704D145" w:rsidR="00E6446F" w:rsidRPr="00E6446F" w:rsidRDefault="00E6446F" w:rsidP="00D600E2">
            <w:pPr>
              <w:spacing w:before="60" w:after="60"/>
              <w:jc w:val="center"/>
              <w:rPr>
                <w:rFonts w:cs="Segoe UI"/>
                <w:sz w:val="18"/>
                <w:szCs w:val="18"/>
                <w:lang w:eastAsia="en-US"/>
              </w:rPr>
            </w:pPr>
            <w:r w:rsidRPr="00E6446F">
              <w:rPr>
                <w:rFonts w:cs="Segoe UI"/>
                <w:sz w:val="18"/>
                <w:szCs w:val="18"/>
                <w:lang w:eastAsia="en-US"/>
              </w:rPr>
              <w:t>13%</w:t>
            </w:r>
          </w:p>
        </w:tc>
        <w:tc>
          <w:tcPr>
            <w:tcW w:w="918" w:type="dxa"/>
          </w:tcPr>
          <w:p w14:paraId="61B0B024" w14:textId="60058AAA" w:rsidR="00E6446F" w:rsidRPr="00E6446F" w:rsidRDefault="00E6446F" w:rsidP="00D600E2">
            <w:pPr>
              <w:spacing w:before="60" w:after="60"/>
              <w:jc w:val="center"/>
              <w:rPr>
                <w:rFonts w:cs="Segoe UI"/>
                <w:sz w:val="18"/>
                <w:szCs w:val="18"/>
                <w:lang w:eastAsia="en-US"/>
              </w:rPr>
            </w:pPr>
            <w:r w:rsidRPr="00E6446F">
              <w:rPr>
                <w:rFonts w:cs="Segoe UI"/>
                <w:sz w:val="18"/>
                <w:szCs w:val="18"/>
                <w:lang w:eastAsia="en-US"/>
              </w:rPr>
              <w:t>16%</w:t>
            </w:r>
          </w:p>
        </w:tc>
        <w:tc>
          <w:tcPr>
            <w:tcW w:w="933" w:type="dxa"/>
          </w:tcPr>
          <w:p w14:paraId="5262495E" w14:textId="1B522C99" w:rsidR="00E6446F" w:rsidRPr="00E6446F" w:rsidRDefault="00E6446F" w:rsidP="00D600E2">
            <w:pPr>
              <w:spacing w:before="60" w:after="60"/>
              <w:jc w:val="center"/>
              <w:rPr>
                <w:rFonts w:cs="Segoe UI"/>
                <w:sz w:val="18"/>
                <w:szCs w:val="18"/>
                <w:lang w:eastAsia="en-US"/>
              </w:rPr>
            </w:pPr>
            <w:r w:rsidRPr="00E6446F">
              <w:rPr>
                <w:rFonts w:cs="Segoe UI"/>
                <w:sz w:val="18"/>
                <w:szCs w:val="18"/>
                <w:lang w:eastAsia="en-US"/>
              </w:rPr>
              <w:t>21%</w:t>
            </w:r>
          </w:p>
        </w:tc>
        <w:tc>
          <w:tcPr>
            <w:tcW w:w="3326" w:type="dxa"/>
          </w:tcPr>
          <w:p w14:paraId="1FA57165" w14:textId="1201A9B3" w:rsidR="00E6446F" w:rsidRPr="00E6446F" w:rsidRDefault="00E6446F" w:rsidP="00E6446F">
            <w:pPr>
              <w:spacing w:before="60" w:after="60"/>
              <w:rPr>
                <w:rFonts w:cs="Segoe UI"/>
                <w:sz w:val="18"/>
                <w:szCs w:val="18"/>
                <w:lang w:eastAsia="en-US"/>
              </w:rPr>
            </w:pPr>
            <w:r w:rsidRPr="00E6446F">
              <w:rPr>
                <w:rFonts w:cs="Segoe UI"/>
                <w:sz w:val="18"/>
                <w:szCs w:val="18"/>
                <w:lang w:eastAsia="en-US"/>
              </w:rPr>
              <w:t>Our flat organisational structure can hamper career growth opportunities.</w:t>
            </w:r>
          </w:p>
        </w:tc>
      </w:tr>
      <w:tr w:rsidR="00D600E2" w14:paraId="722C6CD9" w14:textId="77777777" w:rsidTr="00D600E2">
        <w:tc>
          <w:tcPr>
            <w:tcW w:w="2552" w:type="dxa"/>
          </w:tcPr>
          <w:p w14:paraId="62AB55C4" w14:textId="245FAB7A" w:rsidR="00E6446F" w:rsidRPr="00E6446F" w:rsidRDefault="00E6446F" w:rsidP="00E6446F">
            <w:pPr>
              <w:spacing w:before="60" w:after="60"/>
              <w:rPr>
                <w:rFonts w:cs="Segoe UI"/>
                <w:sz w:val="18"/>
                <w:szCs w:val="18"/>
                <w:lang w:eastAsia="en-US"/>
              </w:rPr>
            </w:pPr>
            <w:r w:rsidRPr="00E6446F">
              <w:rPr>
                <w:rFonts w:cs="Segoe UI"/>
                <w:sz w:val="18"/>
                <w:szCs w:val="18"/>
                <w:lang w:eastAsia="en-US"/>
              </w:rPr>
              <w:t>Percentage Māori kaimahi</w:t>
            </w:r>
          </w:p>
        </w:tc>
        <w:tc>
          <w:tcPr>
            <w:tcW w:w="918" w:type="dxa"/>
          </w:tcPr>
          <w:p w14:paraId="620622CF" w14:textId="36B2AE69" w:rsidR="00E6446F" w:rsidRPr="00E6446F" w:rsidRDefault="00E6446F" w:rsidP="00D600E2">
            <w:pPr>
              <w:spacing w:before="60" w:after="60"/>
              <w:jc w:val="center"/>
              <w:rPr>
                <w:rFonts w:cs="Segoe UI"/>
                <w:sz w:val="18"/>
                <w:szCs w:val="18"/>
                <w:lang w:eastAsia="en-US"/>
              </w:rPr>
            </w:pPr>
            <w:r w:rsidRPr="00E6446F">
              <w:rPr>
                <w:rFonts w:cs="Segoe UI"/>
                <w:sz w:val="18"/>
                <w:szCs w:val="18"/>
                <w:lang w:eastAsia="en-US"/>
              </w:rPr>
              <w:t>11%</w:t>
            </w:r>
          </w:p>
        </w:tc>
        <w:tc>
          <w:tcPr>
            <w:tcW w:w="918" w:type="dxa"/>
          </w:tcPr>
          <w:p w14:paraId="20723A8A" w14:textId="5F9BE96D" w:rsidR="00E6446F" w:rsidRPr="00E6446F" w:rsidRDefault="00E6446F" w:rsidP="00D600E2">
            <w:pPr>
              <w:spacing w:before="60" w:after="60"/>
              <w:jc w:val="center"/>
              <w:rPr>
                <w:rFonts w:cs="Segoe UI"/>
                <w:sz w:val="18"/>
                <w:szCs w:val="18"/>
                <w:lang w:eastAsia="en-US"/>
              </w:rPr>
            </w:pPr>
            <w:r w:rsidRPr="00E6446F">
              <w:rPr>
                <w:rFonts w:cs="Segoe UI"/>
                <w:sz w:val="18"/>
                <w:szCs w:val="18"/>
                <w:lang w:eastAsia="en-US"/>
              </w:rPr>
              <w:t>11%</w:t>
            </w:r>
          </w:p>
        </w:tc>
        <w:tc>
          <w:tcPr>
            <w:tcW w:w="933" w:type="dxa"/>
          </w:tcPr>
          <w:p w14:paraId="593C83B8" w14:textId="50A17602" w:rsidR="00E6446F" w:rsidRPr="00E6446F" w:rsidRDefault="00E6446F" w:rsidP="00D600E2">
            <w:pPr>
              <w:spacing w:before="60" w:after="60"/>
              <w:jc w:val="center"/>
              <w:rPr>
                <w:rFonts w:cs="Segoe UI"/>
                <w:sz w:val="18"/>
                <w:szCs w:val="18"/>
                <w:lang w:eastAsia="en-US"/>
              </w:rPr>
            </w:pPr>
            <w:r w:rsidRPr="00E6446F">
              <w:rPr>
                <w:rFonts w:cs="Segoe UI"/>
                <w:sz w:val="18"/>
                <w:szCs w:val="18"/>
                <w:lang w:eastAsia="en-US"/>
              </w:rPr>
              <w:t>13%</w:t>
            </w:r>
          </w:p>
        </w:tc>
        <w:tc>
          <w:tcPr>
            <w:tcW w:w="3326" w:type="dxa"/>
          </w:tcPr>
          <w:p w14:paraId="0195FD8B" w14:textId="4BDF951C" w:rsidR="00E6446F" w:rsidRPr="00E6446F" w:rsidRDefault="00E6446F" w:rsidP="00E6446F">
            <w:pPr>
              <w:spacing w:before="60" w:after="60"/>
              <w:rPr>
                <w:rFonts w:cs="Segoe UI"/>
                <w:sz w:val="18"/>
                <w:szCs w:val="18"/>
                <w:lang w:eastAsia="en-US"/>
              </w:rPr>
            </w:pPr>
            <w:r w:rsidRPr="00E6446F">
              <w:rPr>
                <w:rFonts w:cs="Segoe UI"/>
                <w:sz w:val="18"/>
                <w:szCs w:val="18"/>
                <w:lang w:eastAsia="en-US"/>
              </w:rPr>
              <w:t>Focus on recruiting Māori kaimahi and capability development.</w:t>
            </w:r>
          </w:p>
        </w:tc>
      </w:tr>
      <w:tr w:rsidR="00D600E2" w14:paraId="1D3E7E43" w14:textId="77777777" w:rsidTr="00D600E2">
        <w:tc>
          <w:tcPr>
            <w:tcW w:w="2552" w:type="dxa"/>
          </w:tcPr>
          <w:p w14:paraId="2D58B93F" w14:textId="54C2CD81" w:rsidR="00E6446F" w:rsidRPr="00E6446F" w:rsidRDefault="00E6446F" w:rsidP="00E6446F">
            <w:pPr>
              <w:spacing w:before="60" w:after="60"/>
              <w:rPr>
                <w:rFonts w:cs="Segoe UI"/>
                <w:sz w:val="18"/>
                <w:szCs w:val="18"/>
                <w:lang w:eastAsia="en-US"/>
              </w:rPr>
            </w:pPr>
            <w:r w:rsidRPr="00E6446F">
              <w:rPr>
                <w:rFonts w:cs="Segoe UI"/>
                <w:sz w:val="18"/>
                <w:szCs w:val="18"/>
                <w:lang w:eastAsia="en-US"/>
              </w:rPr>
              <w:t>Percentage Pacific kaimahi</w:t>
            </w:r>
          </w:p>
        </w:tc>
        <w:tc>
          <w:tcPr>
            <w:tcW w:w="918" w:type="dxa"/>
          </w:tcPr>
          <w:p w14:paraId="3FC76101" w14:textId="722E60CA" w:rsidR="00E6446F" w:rsidRPr="00E6446F" w:rsidRDefault="00E6446F" w:rsidP="00D600E2">
            <w:pPr>
              <w:spacing w:before="60" w:after="60"/>
              <w:jc w:val="center"/>
              <w:rPr>
                <w:rFonts w:cs="Segoe UI"/>
                <w:sz w:val="18"/>
                <w:szCs w:val="18"/>
                <w:lang w:eastAsia="en-US"/>
              </w:rPr>
            </w:pPr>
            <w:r w:rsidRPr="00E6446F">
              <w:rPr>
                <w:rFonts w:cs="Segoe UI"/>
                <w:sz w:val="18"/>
                <w:szCs w:val="18"/>
                <w:lang w:eastAsia="en-US"/>
              </w:rPr>
              <w:t>6%</w:t>
            </w:r>
          </w:p>
        </w:tc>
        <w:tc>
          <w:tcPr>
            <w:tcW w:w="918" w:type="dxa"/>
          </w:tcPr>
          <w:p w14:paraId="5EE14944" w14:textId="681B0BFB" w:rsidR="00E6446F" w:rsidRPr="00E6446F" w:rsidRDefault="00E6446F" w:rsidP="00D600E2">
            <w:pPr>
              <w:spacing w:before="60" w:after="60"/>
              <w:jc w:val="center"/>
              <w:rPr>
                <w:rFonts w:cs="Segoe UI"/>
                <w:sz w:val="18"/>
                <w:szCs w:val="18"/>
                <w:lang w:eastAsia="en-US"/>
              </w:rPr>
            </w:pPr>
            <w:r w:rsidRPr="00E6446F">
              <w:rPr>
                <w:rFonts w:cs="Segoe UI"/>
                <w:sz w:val="18"/>
                <w:szCs w:val="18"/>
                <w:lang w:eastAsia="en-US"/>
              </w:rPr>
              <w:t>5%</w:t>
            </w:r>
          </w:p>
        </w:tc>
        <w:tc>
          <w:tcPr>
            <w:tcW w:w="933" w:type="dxa"/>
          </w:tcPr>
          <w:p w14:paraId="03C490BF" w14:textId="65CEBA2C" w:rsidR="00E6446F" w:rsidRPr="00E6446F" w:rsidRDefault="00E6446F" w:rsidP="00D600E2">
            <w:pPr>
              <w:spacing w:before="60" w:after="60"/>
              <w:jc w:val="center"/>
              <w:rPr>
                <w:rFonts w:cs="Segoe UI"/>
                <w:sz w:val="18"/>
                <w:szCs w:val="18"/>
                <w:lang w:eastAsia="en-US"/>
              </w:rPr>
            </w:pPr>
            <w:r w:rsidRPr="00E6446F">
              <w:rPr>
                <w:rFonts w:cs="Segoe UI"/>
                <w:sz w:val="18"/>
                <w:szCs w:val="18"/>
                <w:lang w:eastAsia="en-US"/>
              </w:rPr>
              <w:t>5%</w:t>
            </w:r>
          </w:p>
        </w:tc>
        <w:tc>
          <w:tcPr>
            <w:tcW w:w="3326" w:type="dxa"/>
          </w:tcPr>
          <w:p w14:paraId="26F1971A" w14:textId="489066DF" w:rsidR="00E6446F" w:rsidRPr="00E6446F" w:rsidRDefault="00E6446F" w:rsidP="00E6446F">
            <w:pPr>
              <w:spacing w:before="60" w:after="60"/>
              <w:rPr>
                <w:rFonts w:cs="Segoe UI"/>
                <w:sz w:val="18"/>
                <w:szCs w:val="18"/>
                <w:lang w:eastAsia="en-US"/>
              </w:rPr>
            </w:pPr>
            <w:r w:rsidRPr="00E6446F">
              <w:rPr>
                <w:rFonts w:cs="Segoe UI"/>
                <w:sz w:val="18"/>
                <w:szCs w:val="18"/>
                <w:lang w:eastAsia="en-US"/>
              </w:rPr>
              <w:t>Focus on recruiting Pacific kaimahi and capability development.</w:t>
            </w:r>
          </w:p>
        </w:tc>
      </w:tr>
      <w:tr w:rsidR="00D600E2" w14:paraId="3E4362C5" w14:textId="77777777" w:rsidTr="00D600E2">
        <w:tc>
          <w:tcPr>
            <w:tcW w:w="2552" w:type="dxa"/>
            <w:tcBorders>
              <w:bottom w:val="single" w:sz="4" w:space="0" w:color="A6A6A6" w:themeColor="background1" w:themeShade="A6"/>
            </w:tcBorders>
          </w:tcPr>
          <w:p w14:paraId="017EA490" w14:textId="0E9F2E91" w:rsidR="00E6446F" w:rsidRPr="00E6446F" w:rsidRDefault="00E6446F" w:rsidP="00E6446F">
            <w:pPr>
              <w:spacing w:before="60" w:after="60"/>
              <w:rPr>
                <w:rFonts w:cs="Segoe UI"/>
                <w:sz w:val="18"/>
                <w:szCs w:val="18"/>
                <w:lang w:eastAsia="en-US"/>
              </w:rPr>
            </w:pPr>
            <w:r w:rsidRPr="00E6446F">
              <w:rPr>
                <w:rFonts w:cs="Segoe UI"/>
                <w:sz w:val="18"/>
                <w:szCs w:val="18"/>
                <w:lang w:eastAsia="en-US"/>
              </w:rPr>
              <w:t>Percentage non-European kaimahi</w:t>
            </w:r>
          </w:p>
        </w:tc>
        <w:tc>
          <w:tcPr>
            <w:tcW w:w="918" w:type="dxa"/>
            <w:tcBorders>
              <w:bottom w:val="single" w:sz="4" w:space="0" w:color="A6A6A6" w:themeColor="background1" w:themeShade="A6"/>
            </w:tcBorders>
          </w:tcPr>
          <w:p w14:paraId="727BE214" w14:textId="2ADABFDA" w:rsidR="00E6446F" w:rsidRPr="00E6446F" w:rsidRDefault="00E6446F" w:rsidP="00D600E2">
            <w:pPr>
              <w:spacing w:before="60" w:after="60"/>
              <w:jc w:val="center"/>
              <w:rPr>
                <w:rFonts w:cs="Segoe UI"/>
                <w:sz w:val="18"/>
                <w:szCs w:val="18"/>
                <w:lang w:eastAsia="en-US"/>
              </w:rPr>
            </w:pPr>
            <w:r>
              <w:rPr>
                <w:rFonts w:cs="Segoe UI"/>
                <w:sz w:val="18"/>
                <w:szCs w:val="18"/>
                <w:lang w:eastAsia="en-US"/>
              </w:rPr>
              <w:t>40%</w:t>
            </w:r>
          </w:p>
        </w:tc>
        <w:tc>
          <w:tcPr>
            <w:tcW w:w="918" w:type="dxa"/>
            <w:tcBorders>
              <w:bottom w:val="single" w:sz="4" w:space="0" w:color="A6A6A6" w:themeColor="background1" w:themeShade="A6"/>
            </w:tcBorders>
          </w:tcPr>
          <w:p w14:paraId="159D1B32" w14:textId="2E1BDB2B" w:rsidR="00E6446F" w:rsidRPr="00E6446F" w:rsidRDefault="00E6446F" w:rsidP="00D600E2">
            <w:pPr>
              <w:spacing w:before="60" w:after="60"/>
              <w:jc w:val="center"/>
              <w:rPr>
                <w:rFonts w:cs="Segoe UI"/>
                <w:sz w:val="18"/>
                <w:szCs w:val="18"/>
                <w:lang w:eastAsia="en-US"/>
              </w:rPr>
            </w:pPr>
            <w:r>
              <w:rPr>
                <w:rFonts w:cs="Segoe UI"/>
                <w:sz w:val="18"/>
                <w:szCs w:val="18"/>
                <w:lang w:eastAsia="en-US"/>
              </w:rPr>
              <w:t>34%</w:t>
            </w:r>
          </w:p>
        </w:tc>
        <w:tc>
          <w:tcPr>
            <w:tcW w:w="933" w:type="dxa"/>
            <w:tcBorders>
              <w:bottom w:val="single" w:sz="4" w:space="0" w:color="A6A6A6" w:themeColor="background1" w:themeShade="A6"/>
            </w:tcBorders>
          </w:tcPr>
          <w:p w14:paraId="47290AD4" w14:textId="7CF707CB" w:rsidR="00E6446F" w:rsidRPr="00E6446F" w:rsidRDefault="00E6446F" w:rsidP="00D600E2">
            <w:pPr>
              <w:spacing w:before="60" w:after="60"/>
              <w:jc w:val="center"/>
              <w:rPr>
                <w:rFonts w:cs="Segoe UI"/>
                <w:sz w:val="18"/>
                <w:szCs w:val="18"/>
                <w:lang w:eastAsia="en-US"/>
              </w:rPr>
            </w:pPr>
            <w:r>
              <w:rPr>
                <w:rFonts w:cs="Segoe UI"/>
                <w:sz w:val="18"/>
                <w:szCs w:val="18"/>
                <w:lang w:eastAsia="en-US"/>
              </w:rPr>
              <w:t>40%</w:t>
            </w:r>
          </w:p>
        </w:tc>
        <w:tc>
          <w:tcPr>
            <w:tcW w:w="3326" w:type="dxa"/>
            <w:tcBorders>
              <w:bottom w:val="single" w:sz="4" w:space="0" w:color="A6A6A6" w:themeColor="background1" w:themeShade="A6"/>
            </w:tcBorders>
          </w:tcPr>
          <w:p w14:paraId="0C9153AA" w14:textId="2BF2E45E" w:rsidR="00E6446F" w:rsidRPr="00E6446F" w:rsidRDefault="00E6446F" w:rsidP="00E6446F">
            <w:pPr>
              <w:spacing w:before="60" w:after="60"/>
              <w:rPr>
                <w:rFonts w:cs="Segoe UI"/>
                <w:sz w:val="18"/>
                <w:szCs w:val="18"/>
                <w:lang w:eastAsia="en-US"/>
              </w:rPr>
            </w:pPr>
          </w:p>
        </w:tc>
      </w:tr>
      <w:tr w:rsidR="00D600E2" w:rsidRPr="00E6446F" w14:paraId="05C6146D" w14:textId="77777777" w:rsidTr="00D600E2">
        <w:tc>
          <w:tcPr>
            <w:tcW w:w="2552" w:type="dxa"/>
            <w:tcBorders>
              <w:top w:val="single" w:sz="4" w:space="0" w:color="A6A6A6" w:themeColor="background1" w:themeShade="A6"/>
              <w:bottom w:val="single" w:sz="4" w:space="0" w:color="A6A6A6" w:themeColor="background1" w:themeShade="A6"/>
            </w:tcBorders>
            <w:shd w:val="clear" w:color="auto" w:fill="F0F0F0"/>
          </w:tcPr>
          <w:p w14:paraId="0E18ADF7" w14:textId="23A44D5C" w:rsidR="00E6446F" w:rsidRPr="00E6446F" w:rsidRDefault="00E6446F" w:rsidP="00D600E2">
            <w:pPr>
              <w:spacing w:before="60" w:after="60"/>
              <w:rPr>
                <w:rFonts w:cs="Segoe UI"/>
                <w:b/>
                <w:bCs/>
                <w:sz w:val="18"/>
                <w:szCs w:val="18"/>
                <w:lang w:eastAsia="en-US"/>
              </w:rPr>
            </w:pPr>
            <w:r w:rsidRPr="00E6446F">
              <w:rPr>
                <w:rFonts w:cs="Segoe UI"/>
                <w:b/>
                <w:bCs/>
                <w:sz w:val="18"/>
                <w:szCs w:val="18"/>
                <w:lang w:eastAsia="en-US"/>
              </w:rPr>
              <w:t>Diversity and inclusion</w:t>
            </w:r>
          </w:p>
        </w:tc>
        <w:tc>
          <w:tcPr>
            <w:tcW w:w="918" w:type="dxa"/>
            <w:tcBorders>
              <w:top w:val="single" w:sz="4" w:space="0" w:color="A6A6A6" w:themeColor="background1" w:themeShade="A6"/>
              <w:bottom w:val="single" w:sz="4" w:space="0" w:color="A6A6A6" w:themeColor="background1" w:themeShade="A6"/>
            </w:tcBorders>
            <w:shd w:val="clear" w:color="auto" w:fill="F0F0F0"/>
          </w:tcPr>
          <w:p w14:paraId="63D69BAB" w14:textId="412F75BA" w:rsidR="00E6446F" w:rsidRPr="00E6446F" w:rsidRDefault="00E6446F" w:rsidP="00D600E2">
            <w:pPr>
              <w:spacing w:before="60" w:after="60"/>
              <w:jc w:val="center"/>
              <w:rPr>
                <w:rFonts w:cs="Segoe UI"/>
                <w:b/>
                <w:bCs/>
                <w:sz w:val="18"/>
                <w:szCs w:val="18"/>
                <w:lang w:eastAsia="en-US"/>
              </w:rPr>
            </w:pPr>
          </w:p>
        </w:tc>
        <w:tc>
          <w:tcPr>
            <w:tcW w:w="918" w:type="dxa"/>
            <w:tcBorders>
              <w:top w:val="single" w:sz="4" w:space="0" w:color="A6A6A6" w:themeColor="background1" w:themeShade="A6"/>
              <w:bottom w:val="single" w:sz="4" w:space="0" w:color="A6A6A6" w:themeColor="background1" w:themeShade="A6"/>
            </w:tcBorders>
            <w:shd w:val="clear" w:color="auto" w:fill="F0F0F0"/>
          </w:tcPr>
          <w:p w14:paraId="3B1EDF24" w14:textId="3D1A9E16" w:rsidR="00E6446F" w:rsidRPr="00E6446F" w:rsidRDefault="00E6446F" w:rsidP="00D600E2">
            <w:pPr>
              <w:spacing w:before="60" w:after="60"/>
              <w:jc w:val="center"/>
              <w:rPr>
                <w:rFonts w:cs="Segoe UI"/>
                <w:b/>
                <w:bCs/>
                <w:sz w:val="18"/>
                <w:szCs w:val="18"/>
                <w:lang w:eastAsia="en-US"/>
              </w:rPr>
            </w:pPr>
          </w:p>
        </w:tc>
        <w:tc>
          <w:tcPr>
            <w:tcW w:w="933" w:type="dxa"/>
            <w:tcBorders>
              <w:top w:val="single" w:sz="4" w:space="0" w:color="A6A6A6" w:themeColor="background1" w:themeShade="A6"/>
              <w:bottom w:val="single" w:sz="4" w:space="0" w:color="A6A6A6" w:themeColor="background1" w:themeShade="A6"/>
            </w:tcBorders>
            <w:shd w:val="clear" w:color="auto" w:fill="F0F0F0"/>
          </w:tcPr>
          <w:p w14:paraId="2A6330C3" w14:textId="557D25A9" w:rsidR="00E6446F" w:rsidRPr="00E6446F" w:rsidRDefault="00E6446F" w:rsidP="00D600E2">
            <w:pPr>
              <w:spacing w:before="60" w:after="60"/>
              <w:jc w:val="center"/>
              <w:rPr>
                <w:rFonts w:cs="Segoe UI"/>
                <w:b/>
                <w:bCs/>
                <w:sz w:val="18"/>
                <w:szCs w:val="18"/>
                <w:lang w:eastAsia="en-US"/>
              </w:rPr>
            </w:pPr>
          </w:p>
        </w:tc>
        <w:tc>
          <w:tcPr>
            <w:tcW w:w="3326" w:type="dxa"/>
            <w:tcBorders>
              <w:top w:val="single" w:sz="4" w:space="0" w:color="A6A6A6" w:themeColor="background1" w:themeShade="A6"/>
              <w:bottom w:val="single" w:sz="4" w:space="0" w:color="A6A6A6" w:themeColor="background1" w:themeShade="A6"/>
            </w:tcBorders>
            <w:shd w:val="clear" w:color="auto" w:fill="F0F0F0"/>
          </w:tcPr>
          <w:p w14:paraId="3A5263A9" w14:textId="4B068DDD" w:rsidR="00E6446F" w:rsidRPr="00E6446F" w:rsidRDefault="00E6446F" w:rsidP="00E6446F">
            <w:pPr>
              <w:spacing w:before="60" w:after="60"/>
              <w:rPr>
                <w:rFonts w:cs="Segoe UI"/>
                <w:b/>
                <w:bCs/>
                <w:sz w:val="18"/>
                <w:szCs w:val="18"/>
                <w:lang w:eastAsia="en-US"/>
              </w:rPr>
            </w:pPr>
            <w:r w:rsidRPr="00E6446F">
              <w:rPr>
                <w:rFonts w:cs="Segoe UI"/>
                <w:b/>
                <w:bCs/>
                <w:sz w:val="18"/>
                <w:szCs w:val="18"/>
                <w:lang w:eastAsia="en-US"/>
              </w:rPr>
              <w:t>Statements from 2021 Public Service Census.</w:t>
            </w:r>
            <w:r>
              <w:rPr>
                <w:rFonts w:cs="Segoe UI"/>
                <w:b/>
                <w:bCs/>
                <w:sz w:val="18"/>
                <w:szCs w:val="18"/>
                <w:lang w:eastAsia="en-US"/>
              </w:rPr>
              <w:br/>
            </w:r>
            <w:r w:rsidRPr="00E6446F">
              <w:rPr>
                <w:rFonts w:cs="Segoe UI"/>
                <w:sz w:val="18"/>
                <w:szCs w:val="18"/>
                <w:lang w:eastAsia="en-US"/>
              </w:rPr>
              <w:t>The 2023 Census was deferred to and is proposed to run in March 2025.</w:t>
            </w:r>
          </w:p>
        </w:tc>
      </w:tr>
      <w:tr w:rsidR="00E6446F" w14:paraId="58F55B67" w14:textId="77777777" w:rsidTr="00D600E2">
        <w:tc>
          <w:tcPr>
            <w:tcW w:w="2552" w:type="dxa"/>
            <w:tcBorders>
              <w:top w:val="single" w:sz="4" w:space="0" w:color="A6A6A6" w:themeColor="background1" w:themeShade="A6"/>
            </w:tcBorders>
          </w:tcPr>
          <w:p w14:paraId="1B0A5EC2" w14:textId="08456AE3" w:rsidR="00E6446F" w:rsidRPr="00E6446F" w:rsidRDefault="00E6446F" w:rsidP="00E6446F">
            <w:pPr>
              <w:spacing w:before="60" w:after="60"/>
              <w:rPr>
                <w:rFonts w:cs="Segoe UI"/>
                <w:sz w:val="18"/>
                <w:szCs w:val="18"/>
                <w:lang w:eastAsia="en-US"/>
              </w:rPr>
            </w:pPr>
            <w:r w:rsidRPr="00E6446F">
              <w:rPr>
                <w:rFonts w:cs="Segoe UI"/>
                <w:sz w:val="18"/>
                <w:szCs w:val="18"/>
                <w:lang w:eastAsia="en-US"/>
              </w:rPr>
              <w:t>I believe my agency supports and actively promotes an inclusive workplace.</w:t>
            </w:r>
          </w:p>
        </w:tc>
        <w:tc>
          <w:tcPr>
            <w:tcW w:w="918" w:type="dxa"/>
            <w:tcBorders>
              <w:top w:val="single" w:sz="4" w:space="0" w:color="A6A6A6" w:themeColor="background1" w:themeShade="A6"/>
            </w:tcBorders>
          </w:tcPr>
          <w:p w14:paraId="77E2050D" w14:textId="3499F037" w:rsidR="00E6446F" w:rsidRPr="00E6446F" w:rsidRDefault="00E6446F" w:rsidP="00D600E2">
            <w:pPr>
              <w:spacing w:before="60" w:after="60"/>
              <w:jc w:val="center"/>
              <w:rPr>
                <w:rFonts w:cs="Segoe UI"/>
                <w:sz w:val="18"/>
                <w:szCs w:val="18"/>
                <w:lang w:eastAsia="en-US"/>
              </w:rPr>
            </w:pPr>
            <w:r w:rsidRPr="00E6446F">
              <w:rPr>
                <w:rFonts w:cs="Segoe UI"/>
                <w:sz w:val="18"/>
                <w:szCs w:val="18"/>
                <w:lang w:eastAsia="en-US"/>
              </w:rPr>
              <w:t>93%</w:t>
            </w:r>
          </w:p>
        </w:tc>
        <w:tc>
          <w:tcPr>
            <w:tcW w:w="918" w:type="dxa"/>
            <w:tcBorders>
              <w:top w:val="single" w:sz="4" w:space="0" w:color="A6A6A6" w:themeColor="background1" w:themeShade="A6"/>
            </w:tcBorders>
          </w:tcPr>
          <w:p w14:paraId="34E8B5FD" w14:textId="10A130BF" w:rsidR="00E6446F" w:rsidRPr="00E6446F" w:rsidRDefault="00E6446F" w:rsidP="00D600E2">
            <w:pPr>
              <w:spacing w:before="60" w:after="60"/>
              <w:jc w:val="center"/>
              <w:rPr>
                <w:rFonts w:cs="Segoe UI"/>
                <w:sz w:val="18"/>
                <w:szCs w:val="18"/>
                <w:lang w:eastAsia="en-US"/>
              </w:rPr>
            </w:pPr>
          </w:p>
        </w:tc>
        <w:tc>
          <w:tcPr>
            <w:tcW w:w="933" w:type="dxa"/>
            <w:tcBorders>
              <w:top w:val="single" w:sz="4" w:space="0" w:color="A6A6A6" w:themeColor="background1" w:themeShade="A6"/>
            </w:tcBorders>
          </w:tcPr>
          <w:p w14:paraId="5E9A84E6" w14:textId="7972946E" w:rsidR="00E6446F" w:rsidRPr="00E6446F" w:rsidRDefault="00E6446F" w:rsidP="00D600E2">
            <w:pPr>
              <w:spacing w:before="60" w:after="60"/>
              <w:jc w:val="center"/>
              <w:rPr>
                <w:rFonts w:cs="Segoe UI"/>
                <w:sz w:val="18"/>
                <w:szCs w:val="18"/>
                <w:lang w:eastAsia="en-US"/>
              </w:rPr>
            </w:pPr>
            <w:r w:rsidRPr="00E6446F">
              <w:rPr>
                <w:rFonts w:cs="Segoe UI"/>
                <w:sz w:val="18"/>
                <w:szCs w:val="18"/>
                <w:lang w:eastAsia="en-US"/>
              </w:rPr>
              <w:t>80%</w:t>
            </w:r>
          </w:p>
        </w:tc>
        <w:tc>
          <w:tcPr>
            <w:tcW w:w="3326" w:type="dxa"/>
            <w:tcBorders>
              <w:top w:val="single" w:sz="4" w:space="0" w:color="A6A6A6" w:themeColor="background1" w:themeShade="A6"/>
            </w:tcBorders>
          </w:tcPr>
          <w:p w14:paraId="31A2517E" w14:textId="77777777" w:rsidR="00E6446F" w:rsidRPr="00E6446F" w:rsidRDefault="00E6446F" w:rsidP="00D600E2">
            <w:pPr>
              <w:spacing w:before="60" w:after="60"/>
              <w:rPr>
                <w:rFonts w:cs="Segoe UI"/>
                <w:sz w:val="18"/>
                <w:szCs w:val="18"/>
                <w:lang w:eastAsia="en-US"/>
              </w:rPr>
            </w:pPr>
            <w:r w:rsidRPr="00E6446F">
              <w:rPr>
                <w:rFonts w:cs="Segoe UI"/>
                <w:sz w:val="18"/>
                <w:szCs w:val="18"/>
                <w:lang w:eastAsia="en-US"/>
              </w:rPr>
              <w:t>Kōrero Mai survey undertaken in October 2023.</w:t>
            </w:r>
          </w:p>
          <w:p w14:paraId="68E94B29" w14:textId="3B1D2B3C" w:rsidR="00E6446F" w:rsidRPr="00E6446F" w:rsidRDefault="00E6446F" w:rsidP="00D600E2">
            <w:pPr>
              <w:spacing w:before="60" w:after="60"/>
              <w:rPr>
                <w:rFonts w:cs="Segoe UI"/>
                <w:sz w:val="18"/>
                <w:szCs w:val="18"/>
                <w:lang w:eastAsia="en-US"/>
              </w:rPr>
            </w:pPr>
            <w:r w:rsidRPr="00E6446F">
              <w:rPr>
                <w:rFonts w:cs="Segoe UI"/>
                <w:sz w:val="18"/>
                <w:szCs w:val="18"/>
                <w:lang w:eastAsia="en-US"/>
              </w:rPr>
              <w:t>Average across the public service was 78%.</w:t>
            </w:r>
          </w:p>
        </w:tc>
      </w:tr>
      <w:tr w:rsidR="00E6446F" w14:paraId="64B6ECA4" w14:textId="77777777" w:rsidTr="00D600E2">
        <w:tc>
          <w:tcPr>
            <w:tcW w:w="2552" w:type="dxa"/>
          </w:tcPr>
          <w:p w14:paraId="57C073C1" w14:textId="412F0087" w:rsidR="00E6446F" w:rsidRPr="00E6446F" w:rsidRDefault="00E6446F" w:rsidP="00DD3379">
            <w:pPr>
              <w:keepNext/>
              <w:spacing w:before="60" w:after="60"/>
              <w:rPr>
                <w:rFonts w:cs="Segoe UI"/>
                <w:sz w:val="18"/>
                <w:szCs w:val="18"/>
                <w:lang w:eastAsia="en-US"/>
              </w:rPr>
            </w:pPr>
            <w:r w:rsidRPr="00E6446F">
              <w:rPr>
                <w:rFonts w:cs="Segoe UI"/>
                <w:sz w:val="18"/>
                <w:szCs w:val="18"/>
                <w:lang w:eastAsia="en-US"/>
              </w:rPr>
              <w:lastRenderedPageBreak/>
              <w:t>The people in my workgroup behave in an accepting manner to people from diverse backgrounds / The person I report to creates an inclusive team environment, showing care for success and wellbeing.</w:t>
            </w:r>
          </w:p>
        </w:tc>
        <w:tc>
          <w:tcPr>
            <w:tcW w:w="918" w:type="dxa"/>
          </w:tcPr>
          <w:p w14:paraId="0D259E30" w14:textId="3878D351" w:rsidR="00E6446F" w:rsidRPr="00E6446F" w:rsidRDefault="00E6446F" w:rsidP="00DD3379">
            <w:pPr>
              <w:keepNext/>
              <w:spacing w:before="60" w:after="60"/>
              <w:jc w:val="center"/>
              <w:rPr>
                <w:rFonts w:cs="Segoe UI"/>
                <w:sz w:val="18"/>
                <w:szCs w:val="18"/>
                <w:lang w:eastAsia="en-US"/>
              </w:rPr>
            </w:pPr>
            <w:r w:rsidRPr="00E6446F">
              <w:rPr>
                <w:rFonts w:cs="Segoe UI"/>
                <w:sz w:val="18"/>
                <w:szCs w:val="18"/>
                <w:lang w:eastAsia="en-US"/>
              </w:rPr>
              <w:t>91%</w:t>
            </w:r>
          </w:p>
        </w:tc>
        <w:tc>
          <w:tcPr>
            <w:tcW w:w="918" w:type="dxa"/>
          </w:tcPr>
          <w:p w14:paraId="77326091" w14:textId="0E4FA5C4" w:rsidR="00E6446F" w:rsidRPr="00E6446F" w:rsidRDefault="00E6446F" w:rsidP="00DD3379">
            <w:pPr>
              <w:keepNext/>
              <w:spacing w:before="60" w:after="60"/>
              <w:jc w:val="center"/>
              <w:rPr>
                <w:rFonts w:cs="Segoe UI"/>
                <w:sz w:val="18"/>
                <w:szCs w:val="18"/>
                <w:lang w:eastAsia="en-US"/>
              </w:rPr>
            </w:pPr>
          </w:p>
        </w:tc>
        <w:tc>
          <w:tcPr>
            <w:tcW w:w="933" w:type="dxa"/>
          </w:tcPr>
          <w:p w14:paraId="62AF7F4D" w14:textId="5EDF0013" w:rsidR="00E6446F" w:rsidRPr="00E6446F" w:rsidRDefault="00E6446F" w:rsidP="00DD3379">
            <w:pPr>
              <w:keepNext/>
              <w:spacing w:before="60" w:after="60"/>
              <w:jc w:val="center"/>
              <w:rPr>
                <w:rFonts w:cs="Segoe UI"/>
                <w:sz w:val="18"/>
                <w:szCs w:val="18"/>
                <w:lang w:eastAsia="en-US"/>
              </w:rPr>
            </w:pPr>
            <w:r w:rsidRPr="00E6446F">
              <w:rPr>
                <w:rFonts w:cs="Segoe UI"/>
                <w:sz w:val="18"/>
                <w:szCs w:val="18"/>
                <w:lang w:eastAsia="en-US"/>
              </w:rPr>
              <w:t>83%</w:t>
            </w:r>
          </w:p>
        </w:tc>
        <w:tc>
          <w:tcPr>
            <w:tcW w:w="3326" w:type="dxa"/>
          </w:tcPr>
          <w:p w14:paraId="69819997" w14:textId="77777777" w:rsidR="00E6446F" w:rsidRPr="00E6446F" w:rsidRDefault="00E6446F" w:rsidP="00DD3379">
            <w:pPr>
              <w:keepNext/>
              <w:spacing w:before="60" w:after="60"/>
              <w:rPr>
                <w:rFonts w:cs="Segoe UI"/>
                <w:sz w:val="18"/>
                <w:szCs w:val="18"/>
                <w:lang w:eastAsia="en-US"/>
              </w:rPr>
            </w:pPr>
            <w:r w:rsidRPr="00E6446F">
              <w:rPr>
                <w:rFonts w:cs="Segoe UI"/>
                <w:sz w:val="18"/>
                <w:szCs w:val="18"/>
                <w:lang w:eastAsia="en-US"/>
              </w:rPr>
              <w:t>Kōrero Mai survey undertaken in October 2023.</w:t>
            </w:r>
          </w:p>
          <w:p w14:paraId="01B3AB15" w14:textId="2BEE3217" w:rsidR="00E6446F" w:rsidRPr="00E6446F" w:rsidRDefault="00E6446F" w:rsidP="00DD3379">
            <w:pPr>
              <w:keepNext/>
              <w:spacing w:before="60" w:after="60"/>
              <w:rPr>
                <w:rFonts w:cs="Segoe UI"/>
                <w:sz w:val="18"/>
                <w:szCs w:val="18"/>
                <w:lang w:eastAsia="en-US"/>
              </w:rPr>
            </w:pPr>
            <w:r w:rsidRPr="00E6446F">
              <w:rPr>
                <w:rFonts w:cs="Segoe UI"/>
                <w:sz w:val="18"/>
                <w:szCs w:val="18"/>
                <w:lang w:eastAsia="en-US"/>
              </w:rPr>
              <w:t>Average across the public service was 81%.</w:t>
            </w:r>
          </w:p>
        </w:tc>
      </w:tr>
      <w:tr w:rsidR="00E6446F" w14:paraId="78C9A187" w14:textId="77777777" w:rsidTr="00D600E2">
        <w:tc>
          <w:tcPr>
            <w:tcW w:w="2552" w:type="dxa"/>
          </w:tcPr>
          <w:p w14:paraId="58A12945" w14:textId="42061D45" w:rsidR="00E6446F" w:rsidRPr="00E6446F" w:rsidRDefault="00E6446F" w:rsidP="00E6446F">
            <w:pPr>
              <w:spacing w:before="60" w:after="60"/>
              <w:rPr>
                <w:rFonts w:cs="Segoe UI"/>
                <w:sz w:val="18"/>
                <w:szCs w:val="18"/>
                <w:lang w:eastAsia="en-US"/>
              </w:rPr>
            </w:pPr>
            <w:r w:rsidRPr="00E6446F">
              <w:rPr>
                <w:rFonts w:cs="Segoe UI"/>
                <w:sz w:val="18"/>
                <w:szCs w:val="18"/>
                <w:lang w:eastAsia="en-US"/>
              </w:rPr>
              <w:t>I feel accepted as a valued member of the team./ I feel welcome and included at the agency.</w:t>
            </w:r>
          </w:p>
        </w:tc>
        <w:tc>
          <w:tcPr>
            <w:tcW w:w="918" w:type="dxa"/>
          </w:tcPr>
          <w:p w14:paraId="39B916CE" w14:textId="7D632571" w:rsidR="00E6446F" w:rsidRPr="00E6446F" w:rsidRDefault="00E6446F" w:rsidP="00D600E2">
            <w:pPr>
              <w:spacing w:before="60" w:after="60"/>
              <w:jc w:val="center"/>
              <w:rPr>
                <w:rFonts w:cs="Segoe UI"/>
                <w:sz w:val="18"/>
                <w:szCs w:val="18"/>
                <w:lang w:eastAsia="en-US"/>
              </w:rPr>
            </w:pPr>
            <w:r w:rsidRPr="00E6446F">
              <w:rPr>
                <w:rFonts w:cs="Segoe UI"/>
                <w:sz w:val="18"/>
                <w:szCs w:val="18"/>
                <w:lang w:eastAsia="en-US"/>
              </w:rPr>
              <w:t>86%</w:t>
            </w:r>
          </w:p>
        </w:tc>
        <w:tc>
          <w:tcPr>
            <w:tcW w:w="918" w:type="dxa"/>
          </w:tcPr>
          <w:p w14:paraId="0CACB568" w14:textId="5FA06725" w:rsidR="00E6446F" w:rsidRPr="00E6446F" w:rsidRDefault="00E6446F" w:rsidP="00D600E2">
            <w:pPr>
              <w:spacing w:before="60" w:after="60"/>
              <w:jc w:val="center"/>
              <w:rPr>
                <w:rFonts w:cs="Segoe UI"/>
                <w:sz w:val="18"/>
                <w:szCs w:val="18"/>
                <w:lang w:eastAsia="en-US"/>
              </w:rPr>
            </w:pPr>
          </w:p>
        </w:tc>
        <w:tc>
          <w:tcPr>
            <w:tcW w:w="933" w:type="dxa"/>
          </w:tcPr>
          <w:p w14:paraId="58B7FEB8" w14:textId="08A00AB9" w:rsidR="00E6446F" w:rsidRPr="00E6446F" w:rsidRDefault="00E6446F" w:rsidP="00D600E2">
            <w:pPr>
              <w:spacing w:before="60" w:after="60"/>
              <w:jc w:val="center"/>
              <w:rPr>
                <w:rFonts w:cs="Segoe UI"/>
                <w:sz w:val="18"/>
                <w:szCs w:val="18"/>
                <w:lang w:eastAsia="en-US"/>
              </w:rPr>
            </w:pPr>
            <w:r w:rsidRPr="00E6446F">
              <w:rPr>
                <w:rFonts w:cs="Segoe UI"/>
                <w:sz w:val="18"/>
                <w:szCs w:val="18"/>
                <w:lang w:eastAsia="en-US"/>
              </w:rPr>
              <w:t>83%</w:t>
            </w:r>
          </w:p>
        </w:tc>
        <w:tc>
          <w:tcPr>
            <w:tcW w:w="3326" w:type="dxa"/>
          </w:tcPr>
          <w:p w14:paraId="5EB6C0EA" w14:textId="77777777" w:rsidR="00E6446F" w:rsidRPr="00E6446F" w:rsidRDefault="00E6446F" w:rsidP="00D600E2">
            <w:pPr>
              <w:keepNext/>
              <w:spacing w:before="60" w:after="60"/>
              <w:rPr>
                <w:rFonts w:cs="Segoe UI"/>
                <w:sz w:val="18"/>
                <w:szCs w:val="18"/>
                <w:lang w:eastAsia="en-US"/>
              </w:rPr>
            </w:pPr>
            <w:r w:rsidRPr="00E6446F">
              <w:rPr>
                <w:rFonts w:cs="Segoe UI"/>
                <w:sz w:val="18"/>
                <w:szCs w:val="18"/>
                <w:lang w:eastAsia="en-US"/>
              </w:rPr>
              <w:t>Kōrero Mai survey undertaken in October 2023.</w:t>
            </w:r>
          </w:p>
          <w:p w14:paraId="25B3AB91" w14:textId="2413AFF2" w:rsidR="00E6446F" w:rsidRPr="00E6446F" w:rsidRDefault="00E6446F" w:rsidP="00D600E2">
            <w:pPr>
              <w:keepNext/>
              <w:spacing w:before="60" w:after="60"/>
              <w:rPr>
                <w:rFonts w:cs="Segoe UI"/>
                <w:sz w:val="18"/>
                <w:szCs w:val="18"/>
                <w:lang w:eastAsia="en-US"/>
              </w:rPr>
            </w:pPr>
            <w:r w:rsidRPr="00E6446F">
              <w:rPr>
                <w:rFonts w:cs="Segoe UI"/>
                <w:sz w:val="18"/>
                <w:szCs w:val="18"/>
                <w:lang w:eastAsia="en-US"/>
              </w:rPr>
              <w:t>Average across the public service was 79%.</w:t>
            </w:r>
          </w:p>
        </w:tc>
      </w:tr>
      <w:tr w:rsidR="00E6446F" w14:paraId="76C259CD" w14:textId="77777777" w:rsidTr="00D600E2">
        <w:tc>
          <w:tcPr>
            <w:tcW w:w="2552" w:type="dxa"/>
          </w:tcPr>
          <w:p w14:paraId="6A46BFA9" w14:textId="62A6B74B" w:rsidR="00E6446F" w:rsidRPr="00E6446F" w:rsidRDefault="00E6446F" w:rsidP="00E6446F">
            <w:pPr>
              <w:spacing w:before="60" w:after="60"/>
              <w:rPr>
                <w:rFonts w:cs="Segoe UI"/>
                <w:sz w:val="18"/>
                <w:szCs w:val="18"/>
                <w:lang w:eastAsia="en-US"/>
              </w:rPr>
            </w:pPr>
            <w:r w:rsidRPr="00E6446F">
              <w:rPr>
                <w:rFonts w:cs="Segoe UI"/>
                <w:sz w:val="18"/>
                <w:szCs w:val="18"/>
                <w:lang w:eastAsia="en-US"/>
              </w:rPr>
              <w:t>I am satisfied with my work–life balance. / I am able to maintain a balance between my personal and working life.</w:t>
            </w:r>
          </w:p>
        </w:tc>
        <w:tc>
          <w:tcPr>
            <w:tcW w:w="918" w:type="dxa"/>
          </w:tcPr>
          <w:p w14:paraId="3733ADE8" w14:textId="2E0306D2" w:rsidR="00E6446F" w:rsidRPr="00E6446F" w:rsidRDefault="00E6446F" w:rsidP="00D600E2">
            <w:pPr>
              <w:spacing w:before="60" w:after="60"/>
              <w:jc w:val="center"/>
              <w:rPr>
                <w:rFonts w:cs="Segoe UI"/>
                <w:sz w:val="18"/>
                <w:szCs w:val="18"/>
                <w:lang w:eastAsia="en-US"/>
              </w:rPr>
            </w:pPr>
            <w:r w:rsidRPr="00E6446F">
              <w:rPr>
                <w:rFonts w:cs="Segoe UI"/>
                <w:sz w:val="18"/>
                <w:szCs w:val="18"/>
                <w:lang w:eastAsia="en-US"/>
              </w:rPr>
              <w:t>59%</w:t>
            </w:r>
          </w:p>
        </w:tc>
        <w:tc>
          <w:tcPr>
            <w:tcW w:w="918" w:type="dxa"/>
          </w:tcPr>
          <w:p w14:paraId="54A36C41" w14:textId="452967A0" w:rsidR="00E6446F" w:rsidRPr="00E6446F" w:rsidRDefault="00E6446F" w:rsidP="00D600E2">
            <w:pPr>
              <w:spacing w:before="60" w:after="60"/>
              <w:jc w:val="center"/>
              <w:rPr>
                <w:rFonts w:cs="Segoe UI"/>
                <w:sz w:val="18"/>
                <w:szCs w:val="18"/>
                <w:lang w:eastAsia="en-US"/>
              </w:rPr>
            </w:pPr>
          </w:p>
        </w:tc>
        <w:tc>
          <w:tcPr>
            <w:tcW w:w="933" w:type="dxa"/>
          </w:tcPr>
          <w:p w14:paraId="1C7CE4B0" w14:textId="28B0418A" w:rsidR="00E6446F" w:rsidRPr="00E6446F" w:rsidRDefault="00E6446F" w:rsidP="00D600E2">
            <w:pPr>
              <w:spacing w:before="60" w:after="60"/>
              <w:jc w:val="center"/>
              <w:rPr>
                <w:rFonts w:cs="Segoe UI"/>
                <w:sz w:val="18"/>
                <w:szCs w:val="18"/>
                <w:lang w:eastAsia="en-US"/>
              </w:rPr>
            </w:pPr>
            <w:r w:rsidRPr="00E6446F">
              <w:rPr>
                <w:rFonts w:cs="Segoe UI"/>
                <w:sz w:val="18"/>
                <w:szCs w:val="18"/>
                <w:lang w:eastAsia="en-US"/>
              </w:rPr>
              <w:t>81%</w:t>
            </w:r>
          </w:p>
        </w:tc>
        <w:tc>
          <w:tcPr>
            <w:tcW w:w="3326" w:type="dxa"/>
          </w:tcPr>
          <w:p w14:paraId="7EF016F9" w14:textId="77777777" w:rsidR="00E6446F" w:rsidRPr="00E6446F" w:rsidRDefault="00E6446F" w:rsidP="00D600E2">
            <w:pPr>
              <w:keepNext/>
              <w:spacing w:before="60" w:after="60"/>
              <w:rPr>
                <w:rFonts w:cs="Segoe UI"/>
                <w:sz w:val="18"/>
                <w:szCs w:val="18"/>
                <w:lang w:eastAsia="en-US"/>
              </w:rPr>
            </w:pPr>
            <w:r w:rsidRPr="00E6446F">
              <w:rPr>
                <w:rFonts w:cs="Segoe UI"/>
                <w:sz w:val="18"/>
                <w:szCs w:val="18"/>
                <w:lang w:eastAsia="en-US"/>
              </w:rPr>
              <w:t>Kōrero Mai survey undertaken in October 2023.</w:t>
            </w:r>
          </w:p>
          <w:p w14:paraId="7E5DFD10" w14:textId="5BAE5926" w:rsidR="00E6446F" w:rsidRPr="00E6446F" w:rsidRDefault="00E6446F" w:rsidP="00D600E2">
            <w:pPr>
              <w:keepNext/>
              <w:spacing w:before="60" w:after="60"/>
              <w:rPr>
                <w:rFonts w:cs="Segoe UI"/>
                <w:sz w:val="18"/>
                <w:szCs w:val="18"/>
                <w:lang w:eastAsia="en-US"/>
              </w:rPr>
            </w:pPr>
            <w:r w:rsidRPr="00E6446F">
              <w:rPr>
                <w:rFonts w:cs="Segoe UI"/>
                <w:sz w:val="18"/>
                <w:szCs w:val="18"/>
                <w:lang w:eastAsia="en-US"/>
              </w:rPr>
              <w:t>Average across the public service was 52%.</w:t>
            </w:r>
          </w:p>
        </w:tc>
      </w:tr>
      <w:tr w:rsidR="00D600E2" w14:paraId="641FA3D2" w14:textId="77777777" w:rsidTr="00D600E2">
        <w:tc>
          <w:tcPr>
            <w:tcW w:w="2552" w:type="dxa"/>
            <w:shd w:val="clear" w:color="auto" w:fill="F0F0F0"/>
          </w:tcPr>
          <w:p w14:paraId="5D22BFDA" w14:textId="7D306340" w:rsidR="00D600E2" w:rsidRPr="00D600E2" w:rsidRDefault="00D600E2" w:rsidP="00E6446F">
            <w:pPr>
              <w:spacing w:before="60" w:after="60"/>
              <w:rPr>
                <w:rFonts w:cs="Segoe UI"/>
                <w:b/>
                <w:bCs/>
                <w:sz w:val="18"/>
                <w:szCs w:val="18"/>
                <w:lang w:eastAsia="en-US"/>
              </w:rPr>
            </w:pPr>
            <w:r w:rsidRPr="00D600E2">
              <w:rPr>
                <w:rFonts w:cs="Segoe UI"/>
                <w:b/>
                <w:bCs/>
                <w:sz w:val="18"/>
                <w:szCs w:val="18"/>
                <w:lang w:eastAsia="en-US"/>
              </w:rPr>
              <w:t>Te reo Māori</w:t>
            </w:r>
          </w:p>
        </w:tc>
        <w:tc>
          <w:tcPr>
            <w:tcW w:w="918" w:type="dxa"/>
            <w:shd w:val="clear" w:color="auto" w:fill="F0F0F0"/>
          </w:tcPr>
          <w:p w14:paraId="1927087B" w14:textId="77777777" w:rsidR="00D600E2" w:rsidRPr="00E6446F" w:rsidRDefault="00D600E2" w:rsidP="00D600E2">
            <w:pPr>
              <w:spacing w:before="60" w:after="60"/>
              <w:jc w:val="center"/>
              <w:rPr>
                <w:rFonts w:cs="Segoe UI"/>
                <w:sz w:val="18"/>
                <w:szCs w:val="18"/>
                <w:lang w:eastAsia="en-US"/>
              </w:rPr>
            </w:pPr>
          </w:p>
        </w:tc>
        <w:tc>
          <w:tcPr>
            <w:tcW w:w="918" w:type="dxa"/>
            <w:shd w:val="clear" w:color="auto" w:fill="F0F0F0"/>
          </w:tcPr>
          <w:p w14:paraId="097D1AF2" w14:textId="77777777" w:rsidR="00D600E2" w:rsidRPr="00E6446F" w:rsidRDefault="00D600E2" w:rsidP="00D600E2">
            <w:pPr>
              <w:spacing w:before="60" w:after="60"/>
              <w:jc w:val="center"/>
              <w:rPr>
                <w:rFonts w:cs="Segoe UI"/>
                <w:sz w:val="18"/>
                <w:szCs w:val="18"/>
                <w:lang w:eastAsia="en-US"/>
              </w:rPr>
            </w:pPr>
          </w:p>
        </w:tc>
        <w:tc>
          <w:tcPr>
            <w:tcW w:w="933" w:type="dxa"/>
            <w:shd w:val="clear" w:color="auto" w:fill="F0F0F0"/>
          </w:tcPr>
          <w:p w14:paraId="1F7F7B9A" w14:textId="77777777" w:rsidR="00D600E2" w:rsidRPr="00E6446F" w:rsidRDefault="00D600E2" w:rsidP="00D600E2">
            <w:pPr>
              <w:spacing w:before="60" w:after="60"/>
              <w:jc w:val="center"/>
              <w:rPr>
                <w:rFonts w:cs="Segoe UI"/>
                <w:sz w:val="18"/>
                <w:szCs w:val="18"/>
                <w:lang w:eastAsia="en-US"/>
              </w:rPr>
            </w:pPr>
          </w:p>
        </w:tc>
        <w:tc>
          <w:tcPr>
            <w:tcW w:w="3326" w:type="dxa"/>
            <w:shd w:val="clear" w:color="auto" w:fill="F0F0F0"/>
          </w:tcPr>
          <w:p w14:paraId="78B57392" w14:textId="480839D7" w:rsidR="00D600E2" w:rsidRPr="00E6446F" w:rsidRDefault="00D600E2" w:rsidP="00D600E2">
            <w:pPr>
              <w:keepNext/>
              <w:spacing w:before="60" w:after="60"/>
              <w:rPr>
                <w:rFonts w:cs="Segoe UI"/>
                <w:sz w:val="18"/>
                <w:szCs w:val="18"/>
                <w:lang w:eastAsia="en-US"/>
              </w:rPr>
            </w:pPr>
            <w:r w:rsidRPr="00E6446F">
              <w:rPr>
                <w:rFonts w:cs="Segoe UI"/>
                <w:b/>
                <w:bCs/>
                <w:sz w:val="18"/>
                <w:szCs w:val="18"/>
                <w:lang w:eastAsia="en-US"/>
              </w:rPr>
              <w:t>Statements from 2021 Public Service Census.</w:t>
            </w:r>
            <w:r>
              <w:rPr>
                <w:rFonts w:cs="Segoe UI"/>
                <w:b/>
                <w:bCs/>
                <w:sz w:val="18"/>
                <w:szCs w:val="18"/>
                <w:lang w:eastAsia="en-US"/>
              </w:rPr>
              <w:br/>
            </w:r>
            <w:r w:rsidRPr="00E6446F">
              <w:rPr>
                <w:rFonts w:cs="Segoe UI"/>
                <w:sz w:val="18"/>
                <w:szCs w:val="18"/>
                <w:lang w:eastAsia="en-US"/>
              </w:rPr>
              <w:t>The 2023 Census was deferred to and is proposed to run in March 2025.</w:t>
            </w:r>
          </w:p>
        </w:tc>
      </w:tr>
      <w:tr w:rsidR="00D600E2" w14:paraId="0BA025CC" w14:textId="77777777" w:rsidTr="00D600E2">
        <w:tc>
          <w:tcPr>
            <w:tcW w:w="2552" w:type="dxa"/>
          </w:tcPr>
          <w:p w14:paraId="32CF79D8" w14:textId="05D339EE" w:rsidR="00D600E2" w:rsidRPr="00E6446F" w:rsidRDefault="00D600E2" w:rsidP="00D600E2">
            <w:pPr>
              <w:spacing w:before="60" w:after="60"/>
              <w:rPr>
                <w:rFonts w:cs="Segoe UI"/>
                <w:sz w:val="18"/>
                <w:szCs w:val="18"/>
                <w:lang w:eastAsia="en-US"/>
              </w:rPr>
            </w:pPr>
            <w:r w:rsidRPr="00D600E2">
              <w:rPr>
                <w:rFonts w:cs="Segoe UI"/>
                <w:sz w:val="18"/>
                <w:szCs w:val="18"/>
                <w:lang w:eastAsia="en-US"/>
              </w:rPr>
              <w:t>I use at least some te reo Māori words and phrases.</w:t>
            </w:r>
          </w:p>
        </w:tc>
        <w:tc>
          <w:tcPr>
            <w:tcW w:w="918" w:type="dxa"/>
          </w:tcPr>
          <w:p w14:paraId="5C82310E" w14:textId="673C2D45" w:rsidR="00D600E2" w:rsidRPr="00E6446F" w:rsidRDefault="00D600E2" w:rsidP="00D600E2">
            <w:pPr>
              <w:spacing w:before="60" w:after="60"/>
              <w:jc w:val="center"/>
              <w:rPr>
                <w:rFonts w:cs="Segoe UI"/>
                <w:sz w:val="18"/>
                <w:szCs w:val="18"/>
                <w:lang w:eastAsia="en-US"/>
              </w:rPr>
            </w:pPr>
            <w:r w:rsidRPr="00D600E2">
              <w:rPr>
                <w:rFonts w:cs="Segoe UI"/>
                <w:sz w:val="18"/>
                <w:szCs w:val="18"/>
                <w:lang w:eastAsia="en-US"/>
              </w:rPr>
              <w:t>84%</w:t>
            </w:r>
          </w:p>
        </w:tc>
        <w:tc>
          <w:tcPr>
            <w:tcW w:w="918" w:type="dxa"/>
          </w:tcPr>
          <w:p w14:paraId="09A0BAE9" w14:textId="75B5329A" w:rsidR="00D600E2" w:rsidRPr="00E6446F" w:rsidRDefault="00D600E2" w:rsidP="00D600E2">
            <w:pPr>
              <w:spacing w:before="60" w:after="60"/>
              <w:jc w:val="center"/>
              <w:rPr>
                <w:rFonts w:cs="Segoe UI"/>
                <w:sz w:val="18"/>
                <w:szCs w:val="18"/>
                <w:lang w:eastAsia="en-US"/>
              </w:rPr>
            </w:pPr>
            <w:r w:rsidRPr="00D600E2">
              <w:rPr>
                <w:rFonts w:cs="Segoe UI"/>
                <w:sz w:val="18"/>
                <w:szCs w:val="18"/>
                <w:lang w:eastAsia="en-US"/>
              </w:rPr>
              <w:t>89.7%</w:t>
            </w:r>
          </w:p>
        </w:tc>
        <w:tc>
          <w:tcPr>
            <w:tcW w:w="933" w:type="dxa"/>
          </w:tcPr>
          <w:p w14:paraId="762F216E" w14:textId="4E4BEC78" w:rsidR="00D600E2" w:rsidRPr="00E6446F" w:rsidRDefault="00D600E2" w:rsidP="00D600E2">
            <w:pPr>
              <w:spacing w:before="60" w:after="60"/>
              <w:jc w:val="center"/>
              <w:rPr>
                <w:rFonts w:cs="Segoe UI"/>
                <w:sz w:val="18"/>
                <w:szCs w:val="18"/>
                <w:lang w:eastAsia="en-US"/>
              </w:rPr>
            </w:pPr>
            <w:r w:rsidRPr="00D600E2">
              <w:rPr>
                <w:rFonts w:cs="Segoe UI"/>
                <w:sz w:val="18"/>
                <w:szCs w:val="18"/>
                <w:lang w:eastAsia="en-US"/>
              </w:rPr>
              <w:t>89%</w:t>
            </w:r>
          </w:p>
        </w:tc>
        <w:tc>
          <w:tcPr>
            <w:tcW w:w="3326" w:type="dxa"/>
          </w:tcPr>
          <w:p w14:paraId="09228049" w14:textId="24C6F57D" w:rsidR="00D600E2" w:rsidRPr="00E6446F" w:rsidRDefault="00D600E2" w:rsidP="00D600E2">
            <w:pPr>
              <w:keepNext/>
              <w:spacing w:before="60" w:after="60"/>
              <w:rPr>
                <w:rFonts w:cs="Segoe UI"/>
                <w:sz w:val="18"/>
                <w:szCs w:val="18"/>
                <w:lang w:eastAsia="en-US"/>
              </w:rPr>
            </w:pPr>
            <w:r w:rsidRPr="00D600E2">
              <w:rPr>
                <w:rFonts w:cs="Segoe UI"/>
                <w:sz w:val="18"/>
                <w:szCs w:val="18"/>
                <w:lang w:eastAsia="en-US"/>
              </w:rPr>
              <w:t>Average across the public service was 58%.</w:t>
            </w:r>
          </w:p>
        </w:tc>
      </w:tr>
      <w:tr w:rsidR="00D600E2" w14:paraId="4D9D20A0" w14:textId="77777777" w:rsidTr="00D600E2">
        <w:tc>
          <w:tcPr>
            <w:tcW w:w="2552" w:type="dxa"/>
          </w:tcPr>
          <w:p w14:paraId="351DCB9C" w14:textId="13621783" w:rsidR="00D600E2" w:rsidRPr="00E6446F" w:rsidRDefault="00D600E2" w:rsidP="00D600E2">
            <w:pPr>
              <w:spacing w:before="60" w:after="60"/>
              <w:rPr>
                <w:rFonts w:cs="Segoe UI"/>
                <w:sz w:val="18"/>
                <w:szCs w:val="18"/>
                <w:lang w:eastAsia="en-US"/>
              </w:rPr>
            </w:pPr>
            <w:r w:rsidRPr="00D600E2">
              <w:rPr>
                <w:rFonts w:cs="Segoe UI"/>
                <w:sz w:val="18"/>
                <w:szCs w:val="18"/>
                <w:lang w:eastAsia="en-US"/>
              </w:rPr>
              <w:t>I hear leaders regularly using te reo words and phrases.</w:t>
            </w:r>
          </w:p>
        </w:tc>
        <w:tc>
          <w:tcPr>
            <w:tcW w:w="918" w:type="dxa"/>
          </w:tcPr>
          <w:p w14:paraId="5318E56E" w14:textId="307AACD1" w:rsidR="00D600E2" w:rsidRPr="00E6446F" w:rsidRDefault="00D600E2" w:rsidP="00D600E2">
            <w:pPr>
              <w:spacing w:before="60" w:after="60"/>
              <w:jc w:val="center"/>
              <w:rPr>
                <w:rFonts w:cs="Segoe UI"/>
                <w:sz w:val="18"/>
                <w:szCs w:val="18"/>
                <w:lang w:eastAsia="en-US"/>
              </w:rPr>
            </w:pPr>
            <w:r w:rsidRPr="00D600E2">
              <w:rPr>
                <w:rFonts w:cs="Segoe UI"/>
                <w:sz w:val="18"/>
                <w:szCs w:val="18"/>
                <w:lang w:eastAsia="en-US"/>
              </w:rPr>
              <w:t>93%</w:t>
            </w:r>
          </w:p>
        </w:tc>
        <w:tc>
          <w:tcPr>
            <w:tcW w:w="918" w:type="dxa"/>
          </w:tcPr>
          <w:p w14:paraId="7D268AEB" w14:textId="77777777" w:rsidR="00D600E2" w:rsidRPr="00E6446F" w:rsidRDefault="00D600E2" w:rsidP="00D600E2">
            <w:pPr>
              <w:spacing w:before="60" w:after="60"/>
              <w:jc w:val="center"/>
              <w:rPr>
                <w:rFonts w:cs="Segoe UI"/>
                <w:sz w:val="18"/>
                <w:szCs w:val="18"/>
                <w:lang w:eastAsia="en-US"/>
              </w:rPr>
            </w:pPr>
          </w:p>
        </w:tc>
        <w:tc>
          <w:tcPr>
            <w:tcW w:w="933" w:type="dxa"/>
          </w:tcPr>
          <w:p w14:paraId="4AAC5108" w14:textId="77777777" w:rsidR="00D600E2" w:rsidRPr="00E6446F" w:rsidRDefault="00D600E2" w:rsidP="00D600E2">
            <w:pPr>
              <w:spacing w:before="60" w:after="60"/>
              <w:jc w:val="center"/>
              <w:rPr>
                <w:rFonts w:cs="Segoe UI"/>
                <w:sz w:val="18"/>
                <w:szCs w:val="18"/>
                <w:lang w:eastAsia="en-US"/>
              </w:rPr>
            </w:pPr>
          </w:p>
        </w:tc>
        <w:tc>
          <w:tcPr>
            <w:tcW w:w="3326" w:type="dxa"/>
          </w:tcPr>
          <w:p w14:paraId="4FAD7CE4" w14:textId="77777777" w:rsidR="00D600E2" w:rsidRPr="00E6446F" w:rsidRDefault="00D600E2" w:rsidP="00D600E2">
            <w:pPr>
              <w:keepNext/>
              <w:spacing w:before="60" w:after="60"/>
              <w:rPr>
                <w:rFonts w:cs="Segoe UI"/>
                <w:sz w:val="18"/>
                <w:szCs w:val="18"/>
                <w:lang w:eastAsia="en-US"/>
              </w:rPr>
            </w:pPr>
          </w:p>
        </w:tc>
      </w:tr>
      <w:tr w:rsidR="00D600E2" w14:paraId="792F744E" w14:textId="77777777" w:rsidTr="00D600E2">
        <w:tc>
          <w:tcPr>
            <w:tcW w:w="2552" w:type="dxa"/>
          </w:tcPr>
          <w:p w14:paraId="14FBA197" w14:textId="352CAAF9" w:rsidR="00D600E2" w:rsidRPr="00E6446F" w:rsidRDefault="00D600E2" w:rsidP="00D600E2">
            <w:pPr>
              <w:spacing w:before="60" w:after="60"/>
              <w:rPr>
                <w:rFonts w:cs="Segoe UI"/>
                <w:sz w:val="18"/>
                <w:szCs w:val="18"/>
                <w:lang w:eastAsia="en-US"/>
              </w:rPr>
            </w:pPr>
            <w:r w:rsidRPr="00D600E2">
              <w:rPr>
                <w:rFonts w:cs="Segoe UI"/>
                <w:sz w:val="18"/>
                <w:szCs w:val="18"/>
                <w:lang w:eastAsia="en-US"/>
              </w:rPr>
              <w:t>Staff are supported to improve our te reo Māori.</w:t>
            </w:r>
          </w:p>
        </w:tc>
        <w:tc>
          <w:tcPr>
            <w:tcW w:w="918" w:type="dxa"/>
          </w:tcPr>
          <w:p w14:paraId="1472D1C9" w14:textId="7AD13F4F" w:rsidR="00D600E2" w:rsidRPr="00E6446F" w:rsidRDefault="00D600E2" w:rsidP="00D600E2">
            <w:pPr>
              <w:spacing w:before="60" w:after="60"/>
              <w:jc w:val="center"/>
              <w:rPr>
                <w:rFonts w:cs="Segoe UI"/>
                <w:sz w:val="18"/>
                <w:szCs w:val="18"/>
                <w:lang w:eastAsia="en-US"/>
              </w:rPr>
            </w:pPr>
            <w:r w:rsidRPr="00D600E2">
              <w:rPr>
                <w:rFonts w:cs="Segoe UI"/>
                <w:sz w:val="18"/>
                <w:szCs w:val="18"/>
                <w:lang w:eastAsia="en-US"/>
              </w:rPr>
              <w:t>84%</w:t>
            </w:r>
          </w:p>
        </w:tc>
        <w:tc>
          <w:tcPr>
            <w:tcW w:w="918" w:type="dxa"/>
          </w:tcPr>
          <w:p w14:paraId="13E6BAC7" w14:textId="77777777" w:rsidR="00D600E2" w:rsidRPr="00E6446F" w:rsidRDefault="00D600E2" w:rsidP="00D600E2">
            <w:pPr>
              <w:spacing w:before="60" w:after="60"/>
              <w:jc w:val="center"/>
              <w:rPr>
                <w:rFonts w:cs="Segoe UI"/>
                <w:sz w:val="18"/>
                <w:szCs w:val="18"/>
                <w:lang w:eastAsia="en-US"/>
              </w:rPr>
            </w:pPr>
          </w:p>
        </w:tc>
        <w:tc>
          <w:tcPr>
            <w:tcW w:w="933" w:type="dxa"/>
          </w:tcPr>
          <w:p w14:paraId="159824F6" w14:textId="0A73CAF3" w:rsidR="00D600E2" w:rsidRPr="00E6446F" w:rsidRDefault="00D600E2" w:rsidP="00D600E2">
            <w:pPr>
              <w:spacing w:before="60" w:after="60"/>
              <w:jc w:val="center"/>
              <w:rPr>
                <w:rFonts w:cs="Segoe UI"/>
                <w:sz w:val="18"/>
                <w:szCs w:val="18"/>
                <w:lang w:eastAsia="en-US"/>
              </w:rPr>
            </w:pPr>
            <w:r w:rsidRPr="00D600E2">
              <w:rPr>
                <w:rFonts w:cs="Segoe UI"/>
                <w:sz w:val="18"/>
                <w:szCs w:val="18"/>
                <w:lang w:eastAsia="en-US"/>
              </w:rPr>
              <w:t>83%</w:t>
            </w:r>
          </w:p>
        </w:tc>
        <w:tc>
          <w:tcPr>
            <w:tcW w:w="3326" w:type="dxa"/>
          </w:tcPr>
          <w:p w14:paraId="08CE9B7B" w14:textId="2D2A02FC" w:rsidR="00D600E2" w:rsidRPr="00E6446F" w:rsidRDefault="00D600E2" w:rsidP="00D600E2">
            <w:pPr>
              <w:keepNext/>
              <w:spacing w:before="60" w:after="60"/>
              <w:rPr>
                <w:rFonts w:cs="Segoe UI"/>
                <w:sz w:val="18"/>
                <w:szCs w:val="18"/>
                <w:lang w:eastAsia="en-US"/>
              </w:rPr>
            </w:pPr>
            <w:r w:rsidRPr="00D600E2">
              <w:rPr>
                <w:rFonts w:cs="Segoe UI"/>
                <w:sz w:val="18"/>
                <w:szCs w:val="18"/>
                <w:lang w:eastAsia="en-US"/>
              </w:rPr>
              <w:t>Average across the public service was 59%.</w:t>
            </w:r>
          </w:p>
        </w:tc>
      </w:tr>
      <w:tr w:rsidR="00D600E2" w14:paraId="1B23D01C" w14:textId="77777777" w:rsidTr="00D600E2">
        <w:tc>
          <w:tcPr>
            <w:tcW w:w="2552" w:type="dxa"/>
          </w:tcPr>
          <w:p w14:paraId="7EE34332" w14:textId="0DA7D6A5" w:rsidR="00D600E2" w:rsidRPr="00E6446F" w:rsidRDefault="00D600E2" w:rsidP="00D600E2">
            <w:pPr>
              <w:spacing w:before="60" w:after="60"/>
              <w:rPr>
                <w:rFonts w:cs="Segoe UI"/>
                <w:sz w:val="18"/>
                <w:szCs w:val="18"/>
                <w:lang w:eastAsia="en-US"/>
              </w:rPr>
            </w:pPr>
            <w:r w:rsidRPr="00D600E2">
              <w:rPr>
                <w:rFonts w:cs="Segoe UI"/>
                <w:sz w:val="18"/>
                <w:szCs w:val="18"/>
                <w:lang w:eastAsia="en-US"/>
              </w:rPr>
              <w:t>How many staff have never studied te reo Māori?</w:t>
            </w:r>
          </w:p>
        </w:tc>
        <w:tc>
          <w:tcPr>
            <w:tcW w:w="918" w:type="dxa"/>
          </w:tcPr>
          <w:p w14:paraId="3FC15045" w14:textId="77777777" w:rsidR="00D600E2" w:rsidRPr="00D600E2" w:rsidRDefault="00D600E2" w:rsidP="00D600E2">
            <w:pPr>
              <w:pStyle w:val="TableParagraph"/>
              <w:spacing w:before="107" w:line="210" w:lineRule="exact"/>
              <w:ind w:left="10" w:right="11"/>
              <w:jc w:val="center"/>
              <w:rPr>
                <w:rFonts w:ascii="Segoe UI" w:eastAsia="Times New Roman" w:hAnsi="Segoe UI" w:cs="Segoe UI"/>
                <w:sz w:val="18"/>
                <w:szCs w:val="18"/>
                <w:lang w:val="en-NZ"/>
              </w:rPr>
            </w:pPr>
            <w:r w:rsidRPr="00D600E2">
              <w:rPr>
                <w:rFonts w:ascii="Segoe UI" w:eastAsia="Times New Roman" w:hAnsi="Segoe UI" w:cs="Segoe UI"/>
                <w:sz w:val="18"/>
                <w:szCs w:val="18"/>
                <w:lang w:val="en-NZ"/>
              </w:rPr>
              <w:t>6</w:t>
            </w:r>
          </w:p>
          <w:p w14:paraId="6F95DC8F" w14:textId="76312EEB" w:rsidR="00D600E2" w:rsidRPr="00E6446F" w:rsidRDefault="00D600E2" w:rsidP="00D600E2">
            <w:pPr>
              <w:spacing w:before="60" w:after="60"/>
              <w:jc w:val="center"/>
              <w:rPr>
                <w:rFonts w:cs="Segoe UI"/>
                <w:sz w:val="18"/>
                <w:szCs w:val="18"/>
                <w:lang w:eastAsia="en-US"/>
              </w:rPr>
            </w:pPr>
            <w:r w:rsidRPr="00D600E2">
              <w:rPr>
                <w:rFonts w:cs="Segoe UI"/>
                <w:sz w:val="18"/>
                <w:szCs w:val="18"/>
                <w:lang w:eastAsia="en-US"/>
              </w:rPr>
              <w:t>people</w:t>
            </w:r>
          </w:p>
        </w:tc>
        <w:tc>
          <w:tcPr>
            <w:tcW w:w="918" w:type="dxa"/>
          </w:tcPr>
          <w:p w14:paraId="57E1F4FD" w14:textId="77777777" w:rsidR="00D600E2" w:rsidRPr="00D600E2" w:rsidRDefault="00D600E2" w:rsidP="00D600E2">
            <w:pPr>
              <w:pStyle w:val="TableParagraph"/>
              <w:spacing w:before="107" w:line="210" w:lineRule="exact"/>
              <w:ind w:left="6" w:right="11"/>
              <w:jc w:val="center"/>
              <w:rPr>
                <w:rFonts w:ascii="Segoe UI" w:eastAsia="Times New Roman" w:hAnsi="Segoe UI" w:cs="Segoe UI"/>
                <w:sz w:val="18"/>
                <w:szCs w:val="18"/>
                <w:lang w:val="en-NZ"/>
              </w:rPr>
            </w:pPr>
            <w:r w:rsidRPr="00D600E2">
              <w:rPr>
                <w:rFonts w:ascii="Segoe UI" w:eastAsia="Times New Roman" w:hAnsi="Segoe UI" w:cs="Segoe UI"/>
                <w:sz w:val="18"/>
                <w:szCs w:val="18"/>
                <w:lang w:val="en-NZ"/>
              </w:rPr>
              <w:t>12</w:t>
            </w:r>
          </w:p>
          <w:p w14:paraId="633B3C7A" w14:textId="1280856D" w:rsidR="00D600E2" w:rsidRPr="00E6446F" w:rsidRDefault="00D600E2" w:rsidP="00D600E2">
            <w:pPr>
              <w:spacing w:before="60" w:after="60"/>
              <w:jc w:val="center"/>
              <w:rPr>
                <w:rFonts w:cs="Segoe UI"/>
                <w:sz w:val="18"/>
                <w:szCs w:val="18"/>
                <w:lang w:eastAsia="en-US"/>
              </w:rPr>
            </w:pPr>
            <w:r w:rsidRPr="00D600E2">
              <w:rPr>
                <w:rFonts w:cs="Segoe UI"/>
                <w:sz w:val="18"/>
                <w:szCs w:val="18"/>
                <w:lang w:eastAsia="en-US"/>
              </w:rPr>
              <w:t>people</w:t>
            </w:r>
          </w:p>
        </w:tc>
        <w:tc>
          <w:tcPr>
            <w:tcW w:w="933" w:type="dxa"/>
          </w:tcPr>
          <w:p w14:paraId="728C0F20" w14:textId="77777777" w:rsidR="00D600E2" w:rsidRPr="00E6446F" w:rsidRDefault="00D600E2" w:rsidP="00D600E2">
            <w:pPr>
              <w:spacing w:before="60" w:after="60"/>
              <w:jc w:val="center"/>
              <w:rPr>
                <w:rFonts w:cs="Segoe UI"/>
                <w:sz w:val="18"/>
                <w:szCs w:val="18"/>
                <w:lang w:eastAsia="en-US"/>
              </w:rPr>
            </w:pPr>
          </w:p>
        </w:tc>
        <w:tc>
          <w:tcPr>
            <w:tcW w:w="3326" w:type="dxa"/>
          </w:tcPr>
          <w:p w14:paraId="022D33AB" w14:textId="678B4F35" w:rsidR="00D600E2" w:rsidRPr="00E6446F" w:rsidRDefault="00D600E2" w:rsidP="00D600E2">
            <w:pPr>
              <w:keepNext/>
              <w:spacing w:before="60" w:after="60"/>
              <w:rPr>
                <w:rFonts w:cs="Segoe UI"/>
                <w:sz w:val="18"/>
                <w:szCs w:val="18"/>
                <w:lang w:eastAsia="en-US"/>
              </w:rPr>
            </w:pPr>
            <w:r w:rsidRPr="00D600E2">
              <w:rPr>
                <w:rFonts w:cs="Segoe UI"/>
                <w:sz w:val="18"/>
                <w:szCs w:val="18"/>
                <w:lang w:eastAsia="en-US"/>
              </w:rPr>
              <w:t>This statement is no longer in Te Arawhiti’s Māori Crown Capability Framework. We have included the results to the question below in the Whāinga Amorangi kaimahi capability survey – ‘Percentage of kaimahi who can pronounce te reo Māori words correctly.’</w:t>
            </w:r>
          </w:p>
        </w:tc>
      </w:tr>
      <w:tr w:rsidR="00D600E2" w:rsidRPr="00D600E2" w14:paraId="601347C2" w14:textId="77777777" w:rsidTr="00D600E2">
        <w:tc>
          <w:tcPr>
            <w:tcW w:w="2552" w:type="dxa"/>
            <w:shd w:val="clear" w:color="auto" w:fill="F0F0F0"/>
          </w:tcPr>
          <w:p w14:paraId="68653119" w14:textId="4F1BE1DC" w:rsidR="00D600E2" w:rsidRPr="00D600E2" w:rsidRDefault="00D600E2" w:rsidP="00E6446F">
            <w:pPr>
              <w:spacing w:before="60" w:after="60"/>
              <w:rPr>
                <w:rFonts w:cs="Segoe UI"/>
                <w:b/>
                <w:bCs/>
                <w:sz w:val="18"/>
                <w:szCs w:val="18"/>
                <w:lang w:eastAsia="en-US"/>
              </w:rPr>
            </w:pPr>
            <w:r w:rsidRPr="00D600E2">
              <w:rPr>
                <w:rFonts w:cs="Segoe UI"/>
                <w:b/>
                <w:bCs/>
                <w:sz w:val="18"/>
                <w:szCs w:val="18"/>
                <w:lang w:eastAsia="en-US"/>
              </w:rPr>
              <w:t>Māori–Crown relations</w:t>
            </w:r>
          </w:p>
        </w:tc>
        <w:tc>
          <w:tcPr>
            <w:tcW w:w="918" w:type="dxa"/>
            <w:shd w:val="clear" w:color="auto" w:fill="F0F0F0"/>
          </w:tcPr>
          <w:p w14:paraId="0D1968D9" w14:textId="77777777" w:rsidR="00D600E2" w:rsidRPr="00D600E2" w:rsidRDefault="00D600E2" w:rsidP="00E6446F">
            <w:pPr>
              <w:spacing w:before="60" w:after="60"/>
              <w:rPr>
                <w:rFonts w:cs="Segoe UI"/>
                <w:b/>
                <w:bCs/>
                <w:sz w:val="18"/>
                <w:szCs w:val="18"/>
                <w:lang w:eastAsia="en-US"/>
              </w:rPr>
            </w:pPr>
          </w:p>
        </w:tc>
        <w:tc>
          <w:tcPr>
            <w:tcW w:w="918" w:type="dxa"/>
            <w:shd w:val="clear" w:color="auto" w:fill="F0F0F0"/>
          </w:tcPr>
          <w:p w14:paraId="22D7FB5D" w14:textId="77777777" w:rsidR="00D600E2" w:rsidRPr="00D600E2" w:rsidRDefault="00D600E2" w:rsidP="00E6446F">
            <w:pPr>
              <w:spacing w:before="60" w:after="60"/>
              <w:rPr>
                <w:rFonts w:cs="Segoe UI"/>
                <w:b/>
                <w:bCs/>
                <w:sz w:val="18"/>
                <w:szCs w:val="18"/>
                <w:lang w:eastAsia="en-US"/>
              </w:rPr>
            </w:pPr>
          </w:p>
        </w:tc>
        <w:tc>
          <w:tcPr>
            <w:tcW w:w="933" w:type="dxa"/>
            <w:shd w:val="clear" w:color="auto" w:fill="F0F0F0"/>
          </w:tcPr>
          <w:p w14:paraId="52D2F0E8" w14:textId="77777777" w:rsidR="00D600E2" w:rsidRPr="00D600E2" w:rsidRDefault="00D600E2" w:rsidP="00E6446F">
            <w:pPr>
              <w:spacing w:before="60" w:after="60"/>
              <w:rPr>
                <w:rFonts w:cs="Segoe UI"/>
                <w:b/>
                <w:bCs/>
                <w:sz w:val="18"/>
                <w:szCs w:val="18"/>
                <w:lang w:eastAsia="en-US"/>
              </w:rPr>
            </w:pPr>
          </w:p>
        </w:tc>
        <w:tc>
          <w:tcPr>
            <w:tcW w:w="3326" w:type="dxa"/>
            <w:shd w:val="clear" w:color="auto" w:fill="F0F0F0"/>
          </w:tcPr>
          <w:p w14:paraId="0170D11F" w14:textId="211F756C" w:rsidR="00D600E2" w:rsidRPr="00D600E2" w:rsidRDefault="00D600E2" w:rsidP="00D600E2">
            <w:pPr>
              <w:keepNext/>
              <w:spacing w:before="60" w:after="60"/>
              <w:rPr>
                <w:rFonts w:cs="Segoe UI"/>
                <w:b/>
                <w:bCs/>
                <w:sz w:val="18"/>
                <w:szCs w:val="18"/>
                <w:lang w:eastAsia="en-US"/>
              </w:rPr>
            </w:pPr>
            <w:r w:rsidRPr="00D600E2">
              <w:rPr>
                <w:rFonts w:cs="Segoe UI"/>
                <w:b/>
                <w:bCs/>
                <w:sz w:val="18"/>
                <w:szCs w:val="18"/>
                <w:lang w:eastAsia="en-US"/>
              </w:rPr>
              <w:t>From Whāinga Amorangi kaimahi capability survey</w:t>
            </w:r>
          </w:p>
        </w:tc>
      </w:tr>
      <w:tr w:rsidR="00D600E2" w14:paraId="33F83C24" w14:textId="77777777" w:rsidTr="00D600E2">
        <w:tc>
          <w:tcPr>
            <w:tcW w:w="2552" w:type="dxa"/>
          </w:tcPr>
          <w:p w14:paraId="45555893" w14:textId="57BED0A9" w:rsidR="00D600E2" w:rsidRPr="00E6446F" w:rsidRDefault="00D600E2" w:rsidP="00D600E2">
            <w:pPr>
              <w:spacing w:before="60" w:after="60"/>
              <w:rPr>
                <w:rFonts w:cs="Segoe UI"/>
                <w:sz w:val="18"/>
                <w:szCs w:val="18"/>
                <w:lang w:eastAsia="en-US"/>
              </w:rPr>
            </w:pPr>
            <w:r w:rsidRPr="00D600E2">
              <w:rPr>
                <w:rFonts w:cs="Segoe UI"/>
                <w:sz w:val="18"/>
                <w:szCs w:val="18"/>
                <w:lang w:eastAsia="en-US"/>
              </w:rPr>
              <w:t>I am comfortable supporting tikanga Māori in my agency.</w:t>
            </w:r>
          </w:p>
        </w:tc>
        <w:tc>
          <w:tcPr>
            <w:tcW w:w="918" w:type="dxa"/>
          </w:tcPr>
          <w:p w14:paraId="7633E706" w14:textId="17625434" w:rsidR="00D600E2" w:rsidRPr="00E6446F" w:rsidRDefault="00D600E2" w:rsidP="00D600E2">
            <w:pPr>
              <w:spacing w:before="60" w:after="60"/>
              <w:jc w:val="center"/>
              <w:rPr>
                <w:rFonts w:cs="Segoe UI"/>
                <w:sz w:val="18"/>
                <w:szCs w:val="18"/>
                <w:lang w:eastAsia="en-US"/>
              </w:rPr>
            </w:pPr>
            <w:r w:rsidRPr="00D600E2">
              <w:rPr>
                <w:rFonts w:cs="Segoe UI"/>
                <w:sz w:val="18"/>
                <w:szCs w:val="18"/>
                <w:lang w:eastAsia="en-US"/>
              </w:rPr>
              <w:t>87%</w:t>
            </w:r>
          </w:p>
        </w:tc>
        <w:tc>
          <w:tcPr>
            <w:tcW w:w="918" w:type="dxa"/>
          </w:tcPr>
          <w:p w14:paraId="4032D966" w14:textId="1F052477" w:rsidR="00D600E2" w:rsidRPr="00E6446F" w:rsidRDefault="00D600E2" w:rsidP="00D600E2">
            <w:pPr>
              <w:spacing w:before="60" w:after="60"/>
              <w:jc w:val="center"/>
              <w:rPr>
                <w:rFonts w:cs="Segoe UI"/>
                <w:sz w:val="18"/>
                <w:szCs w:val="18"/>
                <w:lang w:eastAsia="en-US"/>
              </w:rPr>
            </w:pPr>
            <w:r w:rsidRPr="00D600E2">
              <w:rPr>
                <w:rFonts w:cs="Segoe UI"/>
                <w:sz w:val="18"/>
                <w:szCs w:val="18"/>
                <w:lang w:eastAsia="en-US"/>
              </w:rPr>
              <w:t>97.9%</w:t>
            </w:r>
          </w:p>
        </w:tc>
        <w:tc>
          <w:tcPr>
            <w:tcW w:w="933" w:type="dxa"/>
          </w:tcPr>
          <w:p w14:paraId="79CB0095" w14:textId="0384D578" w:rsidR="00D600E2" w:rsidRPr="00E6446F" w:rsidRDefault="00D600E2" w:rsidP="00D600E2">
            <w:pPr>
              <w:spacing w:before="60" w:after="60"/>
              <w:jc w:val="center"/>
              <w:rPr>
                <w:rFonts w:cs="Segoe UI"/>
                <w:sz w:val="18"/>
                <w:szCs w:val="18"/>
                <w:lang w:eastAsia="en-US"/>
              </w:rPr>
            </w:pPr>
            <w:r w:rsidRPr="00D600E2">
              <w:rPr>
                <w:rFonts w:cs="Segoe UI"/>
                <w:sz w:val="18"/>
                <w:szCs w:val="18"/>
                <w:lang w:eastAsia="en-US"/>
              </w:rPr>
              <w:t>97%</w:t>
            </w:r>
          </w:p>
        </w:tc>
        <w:tc>
          <w:tcPr>
            <w:tcW w:w="3326" w:type="dxa"/>
          </w:tcPr>
          <w:p w14:paraId="7BE24EDC" w14:textId="77777777" w:rsidR="00D600E2" w:rsidRPr="00E6446F" w:rsidRDefault="00D600E2" w:rsidP="00D600E2">
            <w:pPr>
              <w:keepNext/>
              <w:spacing w:before="60" w:after="60"/>
              <w:rPr>
                <w:rFonts w:cs="Segoe UI"/>
                <w:sz w:val="18"/>
                <w:szCs w:val="18"/>
                <w:lang w:eastAsia="en-US"/>
              </w:rPr>
            </w:pPr>
          </w:p>
        </w:tc>
      </w:tr>
      <w:tr w:rsidR="00D600E2" w14:paraId="445F6142" w14:textId="77777777" w:rsidTr="00D600E2">
        <w:tc>
          <w:tcPr>
            <w:tcW w:w="2552" w:type="dxa"/>
          </w:tcPr>
          <w:p w14:paraId="56429265" w14:textId="19FE0834" w:rsidR="00D600E2" w:rsidRPr="00E6446F" w:rsidRDefault="00D600E2" w:rsidP="00D600E2">
            <w:pPr>
              <w:spacing w:before="60" w:after="60"/>
              <w:rPr>
                <w:rFonts w:cs="Segoe UI"/>
                <w:sz w:val="18"/>
                <w:szCs w:val="18"/>
                <w:lang w:eastAsia="en-US"/>
              </w:rPr>
            </w:pPr>
            <w:r w:rsidRPr="00D600E2">
              <w:rPr>
                <w:rFonts w:cs="Segoe UI"/>
                <w:sz w:val="18"/>
                <w:szCs w:val="18"/>
                <w:lang w:eastAsia="en-US"/>
              </w:rPr>
              <w:t>I am encouraged and supported to engage with Māori.</w:t>
            </w:r>
          </w:p>
        </w:tc>
        <w:tc>
          <w:tcPr>
            <w:tcW w:w="918" w:type="dxa"/>
          </w:tcPr>
          <w:p w14:paraId="52F71417" w14:textId="418D81CA" w:rsidR="00D600E2" w:rsidRPr="00E6446F" w:rsidRDefault="00D600E2" w:rsidP="00D600E2">
            <w:pPr>
              <w:spacing w:before="60" w:after="60"/>
              <w:jc w:val="center"/>
              <w:rPr>
                <w:rFonts w:cs="Segoe UI"/>
                <w:sz w:val="18"/>
                <w:szCs w:val="18"/>
                <w:lang w:eastAsia="en-US"/>
              </w:rPr>
            </w:pPr>
            <w:r w:rsidRPr="00D600E2">
              <w:rPr>
                <w:rFonts w:cs="Segoe UI"/>
                <w:sz w:val="18"/>
                <w:szCs w:val="18"/>
                <w:lang w:eastAsia="en-US"/>
              </w:rPr>
              <w:t>91%</w:t>
            </w:r>
          </w:p>
        </w:tc>
        <w:tc>
          <w:tcPr>
            <w:tcW w:w="918" w:type="dxa"/>
          </w:tcPr>
          <w:p w14:paraId="6BCAA9AB" w14:textId="77777777" w:rsidR="00D600E2" w:rsidRPr="00E6446F" w:rsidRDefault="00D600E2" w:rsidP="00D600E2">
            <w:pPr>
              <w:spacing w:before="60" w:after="60"/>
              <w:jc w:val="center"/>
              <w:rPr>
                <w:rFonts w:cs="Segoe UI"/>
                <w:sz w:val="18"/>
                <w:szCs w:val="18"/>
                <w:lang w:eastAsia="en-US"/>
              </w:rPr>
            </w:pPr>
          </w:p>
        </w:tc>
        <w:tc>
          <w:tcPr>
            <w:tcW w:w="933" w:type="dxa"/>
          </w:tcPr>
          <w:p w14:paraId="58DBF3DD" w14:textId="6CB9067C" w:rsidR="00D600E2" w:rsidRPr="00E6446F" w:rsidRDefault="00D600E2" w:rsidP="00D600E2">
            <w:pPr>
              <w:spacing w:before="60" w:after="60"/>
              <w:jc w:val="center"/>
              <w:rPr>
                <w:rFonts w:cs="Segoe UI"/>
                <w:sz w:val="18"/>
                <w:szCs w:val="18"/>
                <w:lang w:eastAsia="en-US"/>
              </w:rPr>
            </w:pPr>
            <w:r w:rsidRPr="00D600E2">
              <w:rPr>
                <w:rFonts w:cs="Segoe UI"/>
                <w:sz w:val="18"/>
                <w:szCs w:val="18"/>
                <w:lang w:eastAsia="en-US"/>
              </w:rPr>
              <w:t>96%</w:t>
            </w:r>
          </w:p>
        </w:tc>
        <w:tc>
          <w:tcPr>
            <w:tcW w:w="3326" w:type="dxa"/>
          </w:tcPr>
          <w:p w14:paraId="0927511C" w14:textId="113AB6AA" w:rsidR="00D600E2" w:rsidRPr="00E6446F" w:rsidRDefault="00D600E2" w:rsidP="00D600E2">
            <w:pPr>
              <w:keepNext/>
              <w:spacing w:before="60" w:after="60"/>
              <w:rPr>
                <w:rFonts w:cs="Segoe UI"/>
                <w:sz w:val="18"/>
                <w:szCs w:val="18"/>
                <w:lang w:eastAsia="en-US"/>
              </w:rPr>
            </w:pPr>
            <w:r w:rsidRPr="00D600E2">
              <w:rPr>
                <w:rFonts w:cs="Segoe UI"/>
                <w:sz w:val="18"/>
                <w:szCs w:val="18"/>
                <w:lang w:eastAsia="en-US"/>
              </w:rPr>
              <w:t>This statement is no longer in Te Arawhiti’s Māori Crown Capability Framework. We have included the results to the question below in the Whāinga Amorangi kaimahi capability survey – ‘Percentage of kaimahi who believe that Te Aho o Te Kahu engages effectively with Māori’</w:t>
            </w:r>
          </w:p>
        </w:tc>
      </w:tr>
      <w:tr w:rsidR="00D600E2" w14:paraId="5347AD1B" w14:textId="77777777" w:rsidTr="00D600E2">
        <w:tc>
          <w:tcPr>
            <w:tcW w:w="2552" w:type="dxa"/>
          </w:tcPr>
          <w:p w14:paraId="6FA09962" w14:textId="147E55BA" w:rsidR="00D600E2" w:rsidRPr="00E6446F" w:rsidRDefault="00D600E2" w:rsidP="00D600E2">
            <w:pPr>
              <w:spacing w:before="60" w:after="60"/>
              <w:rPr>
                <w:rFonts w:cs="Segoe UI"/>
                <w:sz w:val="18"/>
                <w:szCs w:val="18"/>
                <w:lang w:eastAsia="en-US"/>
              </w:rPr>
            </w:pPr>
            <w:r w:rsidRPr="00D600E2">
              <w:rPr>
                <w:rFonts w:cs="Segoe UI"/>
                <w:sz w:val="18"/>
                <w:szCs w:val="18"/>
                <w:lang w:eastAsia="en-US"/>
              </w:rPr>
              <w:lastRenderedPageBreak/>
              <w:t>I feel confident in my ability to identify aspects of my agency’s work that may disadvantage Māori.</w:t>
            </w:r>
          </w:p>
        </w:tc>
        <w:tc>
          <w:tcPr>
            <w:tcW w:w="918" w:type="dxa"/>
          </w:tcPr>
          <w:p w14:paraId="7F292C4C" w14:textId="46CED3AD" w:rsidR="00D600E2" w:rsidRPr="00E6446F" w:rsidRDefault="00D600E2" w:rsidP="00D600E2">
            <w:pPr>
              <w:spacing w:before="60" w:after="60"/>
              <w:jc w:val="center"/>
              <w:rPr>
                <w:rFonts w:cs="Segoe UI"/>
                <w:sz w:val="18"/>
                <w:szCs w:val="18"/>
                <w:lang w:eastAsia="en-US"/>
              </w:rPr>
            </w:pPr>
            <w:r w:rsidRPr="00D600E2">
              <w:rPr>
                <w:rFonts w:cs="Segoe UI"/>
                <w:sz w:val="18"/>
                <w:szCs w:val="18"/>
                <w:lang w:eastAsia="en-US"/>
              </w:rPr>
              <w:t>89%</w:t>
            </w:r>
          </w:p>
        </w:tc>
        <w:tc>
          <w:tcPr>
            <w:tcW w:w="918" w:type="dxa"/>
          </w:tcPr>
          <w:p w14:paraId="69956ECC" w14:textId="712AA657" w:rsidR="00D600E2" w:rsidRPr="00E6446F" w:rsidRDefault="00D600E2" w:rsidP="00D600E2">
            <w:pPr>
              <w:spacing w:before="60" w:after="60"/>
              <w:jc w:val="center"/>
              <w:rPr>
                <w:rFonts w:cs="Segoe UI"/>
                <w:sz w:val="18"/>
                <w:szCs w:val="18"/>
                <w:lang w:eastAsia="en-US"/>
              </w:rPr>
            </w:pPr>
            <w:r w:rsidRPr="00D600E2">
              <w:rPr>
                <w:rFonts w:cs="Segoe UI"/>
                <w:sz w:val="18"/>
                <w:szCs w:val="18"/>
                <w:lang w:eastAsia="en-US"/>
              </w:rPr>
              <w:t>95%</w:t>
            </w:r>
          </w:p>
        </w:tc>
        <w:tc>
          <w:tcPr>
            <w:tcW w:w="933" w:type="dxa"/>
          </w:tcPr>
          <w:p w14:paraId="24C86672" w14:textId="7ECE36E0" w:rsidR="00D600E2" w:rsidRPr="00E6446F" w:rsidRDefault="00D600E2" w:rsidP="00D600E2">
            <w:pPr>
              <w:spacing w:before="60" w:after="60"/>
              <w:jc w:val="center"/>
              <w:rPr>
                <w:rFonts w:cs="Segoe UI"/>
                <w:sz w:val="18"/>
                <w:szCs w:val="18"/>
                <w:lang w:eastAsia="en-US"/>
              </w:rPr>
            </w:pPr>
            <w:r w:rsidRPr="00D600E2">
              <w:rPr>
                <w:rFonts w:cs="Segoe UI"/>
                <w:sz w:val="18"/>
                <w:szCs w:val="18"/>
                <w:lang w:eastAsia="en-US"/>
              </w:rPr>
              <w:t>93%</w:t>
            </w:r>
          </w:p>
        </w:tc>
        <w:tc>
          <w:tcPr>
            <w:tcW w:w="3326" w:type="dxa"/>
          </w:tcPr>
          <w:p w14:paraId="370EF131" w14:textId="77777777" w:rsidR="00D600E2" w:rsidRPr="00E6446F" w:rsidRDefault="00D600E2" w:rsidP="00D600E2">
            <w:pPr>
              <w:keepNext/>
              <w:spacing w:before="60" w:after="60"/>
              <w:rPr>
                <w:rFonts w:cs="Segoe UI"/>
                <w:sz w:val="18"/>
                <w:szCs w:val="18"/>
                <w:lang w:eastAsia="en-US"/>
              </w:rPr>
            </w:pPr>
          </w:p>
        </w:tc>
      </w:tr>
      <w:tr w:rsidR="00D600E2" w14:paraId="06E4F66B" w14:textId="77777777" w:rsidTr="00D600E2">
        <w:tc>
          <w:tcPr>
            <w:tcW w:w="2552" w:type="dxa"/>
          </w:tcPr>
          <w:p w14:paraId="257DE956" w14:textId="481C2E4E" w:rsidR="00D600E2" w:rsidRPr="00E6446F" w:rsidRDefault="00D600E2" w:rsidP="00D600E2">
            <w:pPr>
              <w:spacing w:before="60" w:after="60"/>
              <w:rPr>
                <w:rFonts w:cs="Segoe UI"/>
                <w:sz w:val="18"/>
                <w:szCs w:val="18"/>
                <w:lang w:eastAsia="en-US"/>
              </w:rPr>
            </w:pPr>
            <w:r w:rsidRPr="00D600E2">
              <w:rPr>
                <w:rFonts w:cs="Segoe UI"/>
                <w:sz w:val="18"/>
                <w:szCs w:val="18"/>
                <w:lang w:eastAsia="en-US"/>
              </w:rPr>
              <w:t>I understand how my agency’s Te Tiriti responsibilities apply to its work.</w:t>
            </w:r>
          </w:p>
        </w:tc>
        <w:tc>
          <w:tcPr>
            <w:tcW w:w="918" w:type="dxa"/>
          </w:tcPr>
          <w:p w14:paraId="6A6D5186" w14:textId="53DAE3AD" w:rsidR="00D600E2" w:rsidRPr="00E6446F" w:rsidRDefault="00D600E2" w:rsidP="00D600E2">
            <w:pPr>
              <w:spacing w:before="60" w:after="60"/>
              <w:jc w:val="center"/>
              <w:rPr>
                <w:rFonts w:cs="Segoe UI"/>
                <w:sz w:val="18"/>
                <w:szCs w:val="18"/>
                <w:lang w:eastAsia="en-US"/>
              </w:rPr>
            </w:pPr>
            <w:r w:rsidRPr="00D600E2">
              <w:rPr>
                <w:rFonts w:cs="Segoe UI"/>
                <w:sz w:val="18"/>
                <w:szCs w:val="18"/>
                <w:lang w:eastAsia="en-US"/>
              </w:rPr>
              <w:t>89%</w:t>
            </w:r>
          </w:p>
        </w:tc>
        <w:tc>
          <w:tcPr>
            <w:tcW w:w="918" w:type="dxa"/>
          </w:tcPr>
          <w:p w14:paraId="7EDD64E2" w14:textId="08EBC567" w:rsidR="00D600E2" w:rsidRPr="00E6446F" w:rsidRDefault="00D600E2" w:rsidP="00D600E2">
            <w:pPr>
              <w:spacing w:before="60" w:after="60"/>
              <w:jc w:val="center"/>
              <w:rPr>
                <w:rFonts w:cs="Segoe UI"/>
                <w:sz w:val="18"/>
                <w:szCs w:val="18"/>
                <w:lang w:eastAsia="en-US"/>
              </w:rPr>
            </w:pPr>
            <w:r w:rsidRPr="00D600E2">
              <w:rPr>
                <w:rFonts w:cs="Segoe UI"/>
                <w:sz w:val="18"/>
                <w:szCs w:val="18"/>
                <w:lang w:eastAsia="en-US"/>
              </w:rPr>
              <w:t>89.7%</w:t>
            </w:r>
          </w:p>
        </w:tc>
        <w:tc>
          <w:tcPr>
            <w:tcW w:w="933" w:type="dxa"/>
          </w:tcPr>
          <w:p w14:paraId="0E741ED3" w14:textId="3024514B" w:rsidR="00D600E2" w:rsidRPr="00E6446F" w:rsidRDefault="00D600E2" w:rsidP="00D600E2">
            <w:pPr>
              <w:spacing w:before="60" w:after="60"/>
              <w:jc w:val="center"/>
              <w:rPr>
                <w:rFonts w:cs="Segoe UI"/>
                <w:sz w:val="18"/>
                <w:szCs w:val="18"/>
                <w:lang w:eastAsia="en-US"/>
              </w:rPr>
            </w:pPr>
            <w:r w:rsidRPr="00D600E2">
              <w:rPr>
                <w:rFonts w:cs="Segoe UI"/>
                <w:sz w:val="18"/>
                <w:szCs w:val="18"/>
                <w:lang w:eastAsia="en-US"/>
              </w:rPr>
              <w:t>88%</w:t>
            </w:r>
          </w:p>
        </w:tc>
        <w:tc>
          <w:tcPr>
            <w:tcW w:w="3326" w:type="dxa"/>
          </w:tcPr>
          <w:p w14:paraId="17CF4DB6" w14:textId="77777777" w:rsidR="00D600E2" w:rsidRPr="00E6446F" w:rsidRDefault="00D600E2" w:rsidP="00D600E2">
            <w:pPr>
              <w:keepNext/>
              <w:spacing w:before="60" w:after="60"/>
              <w:rPr>
                <w:rFonts w:cs="Segoe UI"/>
                <w:sz w:val="18"/>
                <w:szCs w:val="18"/>
                <w:lang w:eastAsia="en-US"/>
              </w:rPr>
            </w:pPr>
          </w:p>
        </w:tc>
      </w:tr>
      <w:tr w:rsidR="00D600E2" w14:paraId="4A76011E" w14:textId="77777777" w:rsidTr="00D600E2">
        <w:tc>
          <w:tcPr>
            <w:tcW w:w="2552" w:type="dxa"/>
          </w:tcPr>
          <w:p w14:paraId="79DE1F11" w14:textId="7C4F73E6" w:rsidR="00D600E2" w:rsidRPr="00E6446F" w:rsidRDefault="00D600E2" w:rsidP="00D600E2">
            <w:pPr>
              <w:spacing w:before="60" w:after="60"/>
              <w:rPr>
                <w:rFonts w:cs="Segoe UI"/>
                <w:sz w:val="18"/>
                <w:szCs w:val="18"/>
                <w:lang w:eastAsia="en-US"/>
              </w:rPr>
            </w:pPr>
            <w:r w:rsidRPr="00D600E2">
              <w:rPr>
                <w:rFonts w:cs="Segoe UI"/>
                <w:sz w:val="18"/>
                <w:szCs w:val="18"/>
                <w:lang w:eastAsia="en-US"/>
              </w:rPr>
              <w:t>Te Aho o Te Kahu enables me to apply Māori–Crown relations skills to my work</w:t>
            </w:r>
          </w:p>
        </w:tc>
        <w:tc>
          <w:tcPr>
            <w:tcW w:w="918" w:type="dxa"/>
          </w:tcPr>
          <w:p w14:paraId="595ACAF5" w14:textId="0F1E2D9A" w:rsidR="00D600E2" w:rsidRPr="00E6446F" w:rsidRDefault="00D600E2" w:rsidP="00D600E2">
            <w:pPr>
              <w:spacing w:before="60" w:after="60"/>
              <w:jc w:val="center"/>
              <w:rPr>
                <w:rFonts w:cs="Segoe UI"/>
                <w:sz w:val="18"/>
                <w:szCs w:val="18"/>
                <w:lang w:eastAsia="en-US"/>
              </w:rPr>
            </w:pPr>
            <w:r w:rsidRPr="00D600E2">
              <w:rPr>
                <w:rFonts w:cs="Segoe UI"/>
                <w:sz w:val="18"/>
                <w:szCs w:val="18"/>
                <w:lang w:eastAsia="en-US"/>
              </w:rPr>
              <w:t>49%</w:t>
            </w:r>
          </w:p>
        </w:tc>
        <w:tc>
          <w:tcPr>
            <w:tcW w:w="918" w:type="dxa"/>
          </w:tcPr>
          <w:p w14:paraId="0B28F58B" w14:textId="13C827EB" w:rsidR="00D600E2" w:rsidRPr="00E6446F" w:rsidRDefault="00D600E2" w:rsidP="00D600E2">
            <w:pPr>
              <w:spacing w:before="60" w:after="60"/>
              <w:jc w:val="center"/>
              <w:rPr>
                <w:rFonts w:cs="Segoe UI"/>
                <w:sz w:val="18"/>
                <w:szCs w:val="18"/>
                <w:lang w:eastAsia="en-US"/>
              </w:rPr>
            </w:pPr>
            <w:r w:rsidRPr="00D600E2">
              <w:rPr>
                <w:rFonts w:cs="Segoe UI"/>
                <w:sz w:val="18"/>
                <w:szCs w:val="18"/>
                <w:lang w:eastAsia="en-US"/>
              </w:rPr>
              <w:t>34%</w:t>
            </w:r>
          </w:p>
        </w:tc>
        <w:tc>
          <w:tcPr>
            <w:tcW w:w="933" w:type="dxa"/>
          </w:tcPr>
          <w:p w14:paraId="3D60957C" w14:textId="00B013FA" w:rsidR="00D600E2" w:rsidRPr="00E6446F" w:rsidRDefault="00D600E2" w:rsidP="00D600E2">
            <w:pPr>
              <w:spacing w:before="60" w:after="60"/>
              <w:jc w:val="center"/>
              <w:rPr>
                <w:rFonts w:cs="Segoe UI"/>
                <w:sz w:val="18"/>
                <w:szCs w:val="18"/>
                <w:lang w:eastAsia="en-US"/>
              </w:rPr>
            </w:pPr>
            <w:r w:rsidRPr="00D600E2">
              <w:rPr>
                <w:rFonts w:cs="Segoe UI"/>
                <w:sz w:val="18"/>
                <w:szCs w:val="18"/>
                <w:lang w:eastAsia="en-US"/>
              </w:rPr>
              <w:t>84%</w:t>
            </w:r>
          </w:p>
        </w:tc>
        <w:tc>
          <w:tcPr>
            <w:tcW w:w="3326" w:type="dxa"/>
          </w:tcPr>
          <w:p w14:paraId="3D539488" w14:textId="7DFB1ABC" w:rsidR="00D600E2" w:rsidRPr="00E6446F" w:rsidRDefault="00D600E2" w:rsidP="00D600E2">
            <w:pPr>
              <w:keepNext/>
              <w:spacing w:before="60" w:after="60"/>
              <w:rPr>
                <w:rFonts w:cs="Segoe UI"/>
                <w:sz w:val="18"/>
                <w:szCs w:val="18"/>
                <w:lang w:eastAsia="en-US"/>
              </w:rPr>
            </w:pPr>
            <w:r w:rsidRPr="00D600E2">
              <w:rPr>
                <w:rFonts w:cs="Segoe UI"/>
                <w:sz w:val="18"/>
                <w:szCs w:val="18"/>
                <w:lang w:eastAsia="en-US"/>
              </w:rPr>
              <w:t>This statement is no longer in Te Arawhiti’s Māori Crown Capability Framework. We have included the results to the question below in the Whāinga Amorangi kaimahi capability survey - ‘Percentage of kaimahi able to describe how Te Tiriti applies to their work.’</w:t>
            </w:r>
          </w:p>
        </w:tc>
      </w:tr>
      <w:tr w:rsidR="00D600E2" w14:paraId="7BC07624" w14:textId="77777777" w:rsidTr="00D600E2">
        <w:tc>
          <w:tcPr>
            <w:tcW w:w="2552" w:type="dxa"/>
          </w:tcPr>
          <w:p w14:paraId="20BF5ACC" w14:textId="253D91FD" w:rsidR="00D600E2" w:rsidRPr="00E6446F" w:rsidRDefault="00D600E2" w:rsidP="00D600E2">
            <w:pPr>
              <w:spacing w:before="60" w:after="60"/>
              <w:rPr>
                <w:rFonts w:cs="Segoe UI"/>
                <w:sz w:val="18"/>
                <w:szCs w:val="18"/>
                <w:lang w:eastAsia="en-US"/>
              </w:rPr>
            </w:pPr>
            <w:r w:rsidRPr="00D600E2">
              <w:rPr>
                <w:rFonts w:cs="Segoe UI"/>
                <w:sz w:val="18"/>
                <w:szCs w:val="18"/>
                <w:lang w:eastAsia="en-US"/>
              </w:rPr>
              <w:t>Official Information Act (OIA) timeliness</w:t>
            </w:r>
          </w:p>
        </w:tc>
        <w:tc>
          <w:tcPr>
            <w:tcW w:w="918" w:type="dxa"/>
          </w:tcPr>
          <w:p w14:paraId="680B10C2" w14:textId="648617B7" w:rsidR="00D600E2" w:rsidRPr="00E6446F" w:rsidRDefault="00D600E2" w:rsidP="00D600E2">
            <w:pPr>
              <w:spacing w:before="60" w:after="60"/>
              <w:jc w:val="center"/>
              <w:rPr>
                <w:rFonts w:cs="Segoe UI"/>
                <w:sz w:val="18"/>
                <w:szCs w:val="18"/>
                <w:lang w:eastAsia="en-US"/>
              </w:rPr>
            </w:pPr>
            <w:r w:rsidRPr="00D600E2">
              <w:rPr>
                <w:rFonts w:cs="Segoe UI"/>
                <w:sz w:val="18"/>
                <w:szCs w:val="18"/>
                <w:lang w:eastAsia="en-US"/>
              </w:rPr>
              <w:t>100%</w:t>
            </w:r>
          </w:p>
        </w:tc>
        <w:tc>
          <w:tcPr>
            <w:tcW w:w="918" w:type="dxa"/>
          </w:tcPr>
          <w:p w14:paraId="0B8EDBB7" w14:textId="0B63F5CE" w:rsidR="00D600E2" w:rsidRPr="00E6446F" w:rsidRDefault="00D600E2" w:rsidP="00D600E2">
            <w:pPr>
              <w:spacing w:before="60" w:after="60"/>
              <w:jc w:val="center"/>
              <w:rPr>
                <w:rFonts w:cs="Segoe UI"/>
                <w:sz w:val="18"/>
                <w:szCs w:val="18"/>
                <w:lang w:eastAsia="en-US"/>
              </w:rPr>
            </w:pPr>
            <w:r w:rsidRPr="00D600E2">
              <w:rPr>
                <w:rFonts w:cs="Segoe UI"/>
                <w:sz w:val="18"/>
                <w:szCs w:val="18"/>
                <w:lang w:eastAsia="en-US"/>
              </w:rPr>
              <w:t>100%</w:t>
            </w:r>
          </w:p>
        </w:tc>
        <w:tc>
          <w:tcPr>
            <w:tcW w:w="933" w:type="dxa"/>
          </w:tcPr>
          <w:p w14:paraId="028FAAEA" w14:textId="7B1A688A" w:rsidR="00D600E2" w:rsidRPr="00E6446F" w:rsidRDefault="00D600E2" w:rsidP="00D600E2">
            <w:pPr>
              <w:spacing w:before="60" w:after="60"/>
              <w:jc w:val="center"/>
              <w:rPr>
                <w:rFonts w:cs="Segoe UI"/>
                <w:sz w:val="18"/>
                <w:szCs w:val="18"/>
                <w:lang w:eastAsia="en-US"/>
              </w:rPr>
            </w:pPr>
            <w:r w:rsidRPr="00D600E2">
              <w:rPr>
                <w:rFonts w:cs="Segoe UI"/>
                <w:sz w:val="18"/>
                <w:szCs w:val="18"/>
                <w:lang w:eastAsia="en-US"/>
              </w:rPr>
              <w:t>100%</w:t>
            </w:r>
          </w:p>
        </w:tc>
        <w:tc>
          <w:tcPr>
            <w:tcW w:w="3326" w:type="dxa"/>
          </w:tcPr>
          <w:p w14:paraId="5C9C85A8" w14:textId="34DB90EC" w:rsidR="00D600E2" w:rsidRPr="00E6446F" w:rsidRDefault="00D600E2" w:rsidP="00D600E2">
            <w:pPr>
              <w:keepNext/>
              <w:spacing w:before="60" w:after="60"/>
              <w:rPr>
                <w:rFonts w:cs="Segoe UI"/>
                <w:sz w:val="18"/>
                <w:szCs w:val="18"/>
                <w:lang w:eastAsia="en-US"/>
              </w:rPr>
            </w:pPr>
            <w:r w:rsidRPr="00D600E2">
              <w:rPr>
                <w:rFonts w:cs="Segoe UI"/>
                <w:sz w:val="18"/>
                <w:szCs w:val="18"/>
                <w:lang w:eastAsia="en-US"/>
              </w:rPr>
              <w:t>From Ministry of Health data</w:t>
            </w:r>
          </w:p>
        </w:tc>
      </w:tr>
    </w:tbl>
    <w:p w14:paraId="67AA5C59" w14:textId="77777777" w:rsidR="00D600E2" w:rsidRDefault="00D600E2" w:rsidP="00D600E2">
      <w:pPr>
        <w:pStyle w:val="Heading3"/>
        <w:rPr>
          <w:lang w:eastAsia="en-US"/>
        </w:rPr>
      </w:pPr>
      <w:r>
        <w:rPr>
          <w:lang w:eastAsia="en-US"/>
        </w:rPr>
        <w:t>Building a high performing agency and capabilities</w:t>
      </w:r>
    </w:p>
    <w:p w14:paraId="350FC0E8" w14:textId="77777777" w:rsidR="00D600E2" w:rsidRDefault="00D600E2" w:rsidP="00D600E2">
      <w:pPr>
        <w:rPr>
          <w:lang w:eastAsia="en-US"/>
        </w:rPr>
      </w:pPr>
      <w:r>
        <w:rPr>
          <w:lang w:eastAsia="en-US"/>
        </w:rPr>
        <w:t>We are focused on attracting and retaining a diverse, capable workforce who is passionate about reducing the impact of cancer on our communities. Our kaimahi bring together a broad range of skills including:</w:t>
      </w:r>
    </w:p>
    <w:p w14:paraId="38686623" w14:textId="03738A20" w:rsidR="00D600E2" w:rsidRDefault="00D600E2" w:rsidP="00D600E2">
      <w:pPr>
        <w:pStyle w:val="Bullet"/>
        <w:rPr>
          <w:lang w:eastAsia="en-US"/>
        </w:rPr>
      </w:pPr>
      <w:r>
        <w:rPr>
          <w:lang w:eastAsia="en-US"/>
        </w:rPr>
        <w:t>leadership, critical thinking</w:t>
      </w:r>
    </w:p>
    <w:p w14:paraId="18232F19" w14:textId="001068F1" w:rsidR="00D600E2" w:rsidRDefault="00D600E2" w:rsidP="00D600E2">
      <w:pPr>
        <w:pStyle w:val="Bullet"/>
        <w:rPr>
          <w:lang w:eastAsia="en-US"/>
        </w:rPr>
      </w:pPr>
      <w:r>
        <w:rPr>
          <w:lang w:eastAsia="en-US"/>
        </w:rPr>
        <w:t>clinical and pharmaceutical experience and expertise</w:t>
      </w:r>
    </w:p>
    <w:p w14:paraId="18D29884" w14:textId="7E1A5775" w:rsidR="00D600E2" w:rsidRDefault="00D600E2" w:rsidP="00D600E2">
      <w:pPr>
        <w:pStyle w:val="Bullet"/>
        <w:rPr>
          <w:lang w:eastAsia="en-US"/>
        </w:rPr>
      </w:pPr>
      <w:r>
        <w:rPr>
          <w:lang w:eastAsia="en-US"/>
        </w:rPr>
        <w:t>people and whānau centred care</w:t>
      </w:r>
    </w:p>
    <w:p w14:paraId="6231CFE6" w14:textId="59D04A31" w:rsidR="00D600E2" w:rsidRDefault="00D600E2" w:rsidP="00D600E2">
      <w:pPr>
        <w:pStyle w:val="Bullet"/>
        <w:rPr>
          <w:lang w:eastAsia="en-US"/>
        </w:rPr>
      </w:pPr>
      <w:r>
        <w:rPr>
          <w:lang w:eastAsia="en-US"/>
        </w:rPr>
        <w:t>Māori and Pacific cultural expertise</w:t>
      </w:r>
    </w:p>
    <w:p w14:paraId="2C01A37E" w14:textId="717D314A" w:rsidR="00D600E2" w:rsidRDefault="00D600E2" w:rsidP="00D600E2">
      <w:pPr>
        <w:pStyle w:val="Bullet"/>
        <w:rPr>
          <w:lang w:eastAsia="en-US"/>
        </w:rPr>
      </w:pPr>
      <w:r>
        <w:rPr>
          <w:lang w:eastAsia="en-US"/>
        </w:rPr>
        <w:t>cancer sector knowledge and understanding</w:t>
      </w:r>
    </w:p>
    <w:p w14:paraId="55E9D2B1" w14:textId="1EB8860C" w:rsidR="00D600E2" w:rsidRDefault="00D600E2" w:rsidP="00D600E2">
      <w:pPr>
        <w:pStyle w:val="Bullet"/>
        <w:rPr>
          <w:lang w:eastAsia="en-US"/>
        </w:rPr>
      </w:pPr>
      <w:r>
        <w:rPr>
          <w:lang w:eastAsia="en-US"/>
        </w:rPr>
        <w:t>analytics and data insights</w:t>
      </w:r>
    </w:p>
    <w:p w14:paraId="0644B9CE" w14:textId="6D6D1622" w:rsidR="00D600E2" w:rsidRDefault="00D600E2" w:rsidP="00D600E2">
      <w:pPr>
        <w:pStyle w:val="Bullet"/>
        <w:rPr>
          <w:lang w:eastAsia="en-US"/>
        </w:rPr>
      </w:pPr>
      <w:r>
        <w:rPr>
          <w:lang w:eastAsia="en-US"/>
        </w:rPr>
        <w:t xml:space="preserve">systems thinking, working with complex systems, and behavioural </w:t>
      </w:r>
      <w:proofErr w:type="gramStart"/>
      <w:r>
        <w:rPr>
          <w:lang w:eastAsia="en-US"/>
        </w:rPr>
        <w:t>science</w:t>
      </w:r>
      <w:proofErr w:type="gramEnd"/>
    </w:p>
    <w:p w14:paraId="1598BDB9" w14:textId="79830CDF" w:rsidR="00D600E2" w:rsidRDefault="00D600E2" w:rsidP="00D600E2">
      <w:pPr>
        <w:pStyle w:val="Bullet"/>
        <w:rPr>
          <w:lang w:eastAsia="en-US"/>
        </w:rPr>
      </w:pPr>
      <w:r>
        <w:rPr>
          <w:lang w:eastAsia="en-US"/>
        </w:rPr>
        <w:t>system improvement and innovation</w:t>
      </w:r>
    </w:p>
    <w:p w14:paraId="1FB32A4A" w14:textId="78865251" w:rsidR="00D600E2" w:rsidRDefault="00D600E2" w:rsidP="00D600E2">
      <w:pPr>
        <w:pStyle w:val="Bullet"/>
        <w:rPr>
          <w:lang w:eastAsia="en-US"/>
        </w:rPr>
      </w:pPr>
      <w:r>
        <w:rPr>
          <w:lang w:eastAsia="en-US"/>
        </w:rPr>
        <w:t>strong networks and relationships.</w:t>
      </w:r>
    </w:p>
    <w:p w14:paraId="2670C2B8" w14:textId="77777777" w:rsidR="00D600E2" w:rsidRDefault="00D600E2" w:rsidP="00D600E2">
      <w:pPr>
        <w:rPr>
          <w:lang w:eastAsia="en-US"/>
        </w:rPr>
      </w:pPr>
    </w:p>
    <w:p w14:paraId="376A28AF" w14:textId="4EEADED1" w:rsidR="00D600E2" w:rsidRDefault="00D600E2" w:rsidP="00D600E2">
      <w:pPr>
        <w:rPr>
          <w:lang w:eastAsia="en-US"/>
        </w:rPr>
      </w:pPr>
      <w:r>
        <w:rPr>
          <w:lang w:eastAsia="en-US"/>
        </w:rPr>
        <w:t>These capabilities are strengthened through our effective relationships across the sector, and collaboration on shared work, or areas of mutual interest.</w:t>
      </w:r>
    </w:p>
    <w:p w14:paraId="2372C6D4" w14:textId="77777777" w:rsidR="00D600E2" w:rsidRDefault="00D600E2" w:rsidP="00D600E2">
      <w:pPr>
        <w:rPr>
          <w:lang w:eastAsia="en-US"/>
        </w:rPr>
      </w:pPr>
    </w:p>
    <w:p w14:paraId="7EA78634" w14:textId="77777777" w:rsidR="00D600E2" w:rsidRDefault="00D600E2" w:rsidP="00D600E2">
      <w:pPr>
        <w:rPr>
          <w:lang w:eastAsia="en-US"/>
        </w:rPr>
      </w:pPr>
      <w:r>
        <w:rPr>
          <w:lang w:eastAsia="en-US"/>
        </w:rPr>
        <w:t>To increase capacity where needed to deliver our reprioritised work programme, or support new areas of work, we support kaimahi in learning, through job-shadowing, courses, or certifications. These include:</w:t>
      </w:r>
    </w:p>
    <w:p w14:paraId="7BD487C7" w14:textId="60EC8FBA" w:rsidR="00D600E2" w:rsidRDefault="00D600E2" w:rsidP="00D600E2">
      <w:pPr>
        <w:pStyle w:val="Bullet"/>
        <w:rPr>
          <w:lang w:eastAsia="en-US"/>
        </w:rPr>
      </w:pPr>
      <w:r>
        <w:rPr>
          <w:lang w:eastAsia="en-US"/>
        </w:rPr>
        <w:t>machinery of government expertise, such as responding to OIAs etc.</w:t>
      </w:r>
    </w:p>
    <w:p w14:paraId="2369C61F" w14:textId="763C97D6" w:rsidR="00D600E2" w:rsidRDefault="00D600E2" w:rsidP="00D600E2">
      <w:pPr>
        <w:pStyle w:val="Bullet"/>
        <w:rPr>
          <w:lang w:eastAsia="en-US"/>
        </w:rPr>
      </w:pPr>
      <w:r>
        <w:rPr>
          <w:lang w:eastAsia="en-US"/>
        </w:rPr>
        <w:t>te ao Māori, te reo Māori and Te Tiriti o Waitangi</w:t>
      </w:r>
    </w:p>
    <w:p w14:paraId="2BE24B3C" w14:textId="657A0DC7" w:rsidR="00D600E2" w:rsidRDefault="00D600E2" w:rsidP="00D600E2">
      <w:pPr>
        <w:pStyle w:val="Bullet"/>
        <w:rPr>
          <w:lang w:eastAsia="en-US"/>
        </w:rPr>
      </w:pPr>
      <w:r>
        <w:rPr>
          <w:lang w:eastAsia="en-US"/>
        </w:rPr>
        <w:t>SNOMED CT certifications</w:t>
      </w:r>
    </w:p>
    <w:p w14:paraId="236D0A93" w14:textId="4FF9BC4D" w:rsidR="00D600E2" w:rsidRDefault="00D600E2" w:rsidP="00D600E2">
      <w:pPr>
        <w:pStyle w:val="Bullet"/>
        <w:rPr>
          <w:lang w:eastAsia="en-US"/>
        </w:rPr>
      </w:pPr>
      <w:r>
        <w:rPr>
          <w:lang w:eastAsia="en-US"/>
        </w:rPr>
        <w:t>data visualisation courses</w:t>
      </w:r>
    </w:p>
    <w:p w14:paraId="293B71B6" w14:textId="7FF6B79A" w:rsidR="00D600E2" w:rsidRDefault="00D600E2" w:rsidP="00D600E2">
      <w:pPr>
        <w:pStyle w:val="Bullet"/>
        <w:rPr>
          <w:lang w:eastAsia="en-US"/>
        </w:rPr>
      </w:pPr>
      <w:r>
        <w:rPr>
          <w:lang w:eastAsia="en-US"/>
        </w:rPr>
        <w:lastRenderedPageBreak/>
        <w:t>disability awareness</w:t>
      </w:r>
    </w:p>
    <w:p w14:paraId="68861175" w14:textId="799A4F1A" w:rsidR="00D600E2" w:rsidRDefault="00D600E2" w:rsidP="00D600E2">
      <w:pPr>
        <w:pStyle w:val="Bullet"/>
        <w:rPr>
          <w:lang w:eastAsia="en-US"/>
        </w:rPr>
      </w:pPr>
      <w:r>
        <w:rPr>
          <w:lang w:eastAsia="en-US"/>
        </w:rPr>
        <w:t>unconscious bias e-learning as part of induction process</w:t>
      </w:r>
    </w:p>
    <w:p w14:paraId="02821D23" w14:textId="76452A7E" w:rsidR="002A568E" w:rsidRDefault="00D600E2" w:rsidP="00D600E2">
      <w:pPr>
        <w:pStyle w:val="Bullet"/>
        <w:rPr>
          <w:lang w:eastAsia="en-US"/>
        </w:rPr>
      </w:pPr>
      <w:r>
        <w:rPr>
          <w:lang w:eastAsia="en-US"/>
        </w:rPr>
        <w:t>health and safety.</w:t>
      </w:r>
    </w:p>
    <w:p w14:paraId="1357C637" w14:textId="77777777" w:rsidR="00D600E2" w:rsidRDefault="00D600E2" w:rsidP="00D600E2">
      <w:pPr>
        <w:pStyle w:val="Heading3"/>
        <w:rPr>
          <w:lang w:eastAsia="en-US"/>
        </w:rPr>
      </w:pPr>
      <w:r>
        <w:rPr>
          <w:lang w:eastAsia="en-US"/>
        </w:rPr>
        <w:t>Systems and processes</w:t>
      </w:r>
    </w:p>
    <w:p w14:paraId="46F9C1C2" w14:textId="502D6BDF" w:rsidR="00D600E2" w:rsidRDefault="00D600E2" w:rsidP="00D600E2">
      <w:pPr>
        <w:rPr>
          <w:lang w:eastAsia="en-US"/>
        </w:rPr>
      </w:pPr>
      <w:r>
        <w:rPr>
          <w:lang w:eastAsia="en-US"/>
        </w:rPr>
        <w:t>We are continuing to update and introduce new systems and processes, with support from the Ministry of Health.</w:t>
      </w:r>
    </w:p>
    <w:p w14:paraId="79902A71" w14:textId="77777777" w:rsidR="00D600E2" w:rsidRDefault="00D600E2" w:rsidP="00D600E2">
      <w:pPr>
        <w:rPr>
          <w:lang w:eastAsia="en-US"/>
        </w:rPr>
      </w:pPr>
    </w:p>
    <w:p w14:paraId="567C1CA2" w14:textId="2AB9287D" w:rsidR="00D600E2" w:rsidRDefault="00D600E2" w:rsidP="00D600E2">
      <w:pPr>
        <w:rPr>
          <w:lang w:eastAsia="en-US"/>
        </w:rPr>
      </w:pPr>
      <w:r>
        <w:rPr>
          <w:lang w:eastAsia="en-US"/>
        </w:rPr>
        <w:t>We are in the final stages of implementing a ‘promotion round’ for kaimahi. This is a structured assessment and selection process to help both managers and kaimahi understand kaimahi are ready to move ahead in their career pathway.</w:t>
      </w:r>
    </w:p>
    <w:p w14:paraId="1C530B92" w14:textId="38EF9072" w:rsidR="00D600E2" w:rsidRDefault="00D600E2" w:rsidP="00D600E2">
      <w:pPr>
        <w:rPr>
          <w:lang w:eastAsia="en-US"/>
        </w:rPr>
      </w:pPr>
    </w:p>
    <w:p w14:paraId="598525ED" w14:textId="47E17131" w:rsidR="00D600E2" w:rsidRDefault="00D600E2" w:rsidP="00D600E2">
      <w:pPr>
        <w:rPr>
          <w:lang w:eastAsia="en-US"/>
        </w:rPr>
      </w:pPr>
      <w:r>
        <w:rPr>
          <w:noProof/>
          <w:lang w:eastAsia="en-US"/>
        </w:rPr>
        <w:drawing>
          <wp:inline distT="0" distB="0" distL="0" distR="0" wp14:anchorId="0054E9CF" wp14:editId="6DAEE145">
            <wp:extent cx="4636655" cy="2413274"/>
            <wp:effectExtent l="0" t="0" r="0" b="635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04743" cy="2448712"/>
                    </a:xfrm>
                    <a:prstGeom prst="rect">
                      <a:avLst/>
                    </a:prstGeom>
                    <a:noFill/>
                  </pic:spPr>
                </pic:pic>
              </a:graphicData>
            </a:graphic>
          </wp:inline>
        </w:drawing>
      </w:r>
    </w:p>
    <w:p w14:paraId="2EC048C2" w14:textId="0F3EC654" w:rsidR="00D600E2" w:rsidRPr="00256FB9" w:rsidRDefault="00D600E2" w:rsidP="00D600E2">
      <w:pPr>
        <w:pStyle w:val="Figure"/>
        <w:rPr>
          <w:b w:val="0"/>
          <w:bCs/>
          <w:lang w:eastAsia="en-US"/>
        </w:rPr>
      </w:pPr>
      <w:r w:rsidRPr="00256FB9">
        <w:rPr>
          <w:b w:val="0"/>
          <w:bCs/>
          <w:lang w:eastAsia="en-US"/>
        </w:rPr>
        <w:t>Photograph: Rama Rahal opening Te Wiki o Te Reo Māori 2023 with kaimahi from the Ministry of Health and Te Aho o Te Kahu</w:t>
      </w:r>
    </w:p>
    <w:p w14:paraId="0ADAF143" w14:textId="4FDD2096" w:rsidR="00D600E2" w:rsidRPr="00386646" w:rsidRDefault="00D600E2" w:rsidP="00386646">
      <w:pPr>
        <w:pStyle w:val="Heading3"/>
      </w:pPr>
      <w:r w:rsidRPr="00386646">
        <w:t xml:space="preserve">Whāinga Amorangi </w:t>
      </w:r>
      <w:r w:rsidR="00C42F6C">
        <w:t>–</w:t>
      </w:r>
      <w:r w:rsidRPr="00386646">
        <w:t xml:space="preserve"> Māori Crown Relations capabilities</w:t>
      </w:r>
    </w:p>
    <w:p w14:paraId="4E1486BF" w14:textId="77777777" w:rsidR="00D600E2" w:rsidRDefault="00D600E2" w:rsidP="00D600E2">
      <w:pPr>
        <w:rPr>
          <w:lang w:eastAsia="en-US"/>
        </w:rPr>
      </w:pPr>
      <w:r>
        <w:rPr>
          <w:lang w:eastAsia="en-US"/>
        </w:rPr>
        <w:t>We have been ambitious in adopting all six domains of the individual capability component of the Māori Crown relations capability framework developed by Te Arawhiti – the Office for Māori Crown Relations (Te Arawhiti). This approach aligns to our vision, values, and strategic documents including:</w:t>
      </w:r>
    </w:p>
    <w:p w14:paraId="04822A4D" w14:textId="465FA9CA" w:rsidR="00D600E2" w:rsidRDefault="00D600E2" w:rsidP="00D600E2">
      <w:pPr>
        <w:pStyle w:val="Bullet"/>
        <w:rPr>
          <w:lang w:eastAsia="en-US"/>
        </w:rPr>
      </w:pPr>
      <w:r>
        <w:rPr>
          <w:lang w:eastAsia="en-US"/>
        </w:rPr>
        <w:t>Pae Tū Hauora Māori Health Strategy</w:t>
      </w:r>
      <w:r w:rsidR="00866318">
        <w:rPr>
          <w:rStyle w:val="FootnoteReference"/>
          <w:lang w:eastAsia="en-US"/>
        </w:rPr>
        <w:footnoteReference w:id="58"/>
      </w:r>
    </w:p>
    <w:p w14:paraId="109D8871" w14:textId="29C0CAEE" w:rsidR="00D600E2" w:rsidRDefault="00D600E2" w:rsidP="00D600E2">
      <w:pPr>
        <w:pStyle w:val="Bullet"/>
        <w:rPr>
          <w:lang w:eastAsia="en-US"/>
        </w:rPr>
      </w:pPr>
      <w:r>
        <w:rPr>
          <w:lang w:eastAsia="en-US"/>
        </w:rPr>
        <w:t>Whakamaua: Māori Health Action Plan 2020–2025</w:t>
      </w:r>
      <w:r w:rsidR="00866318">
        <w:rPr>
          <w:rStyle w:val="FootnoteReference"/>
          <w:lang w:eastAsia="en-US"/>
        </w:rPr>
        <w:footnoteReference w:id="59"/>
      </w:r>
    </w:p>
    <w:p w14:paraId="068820EF" w14:textId="369475C9" w:rsidR="00D600E2" w:rsidRDefault="00D600E2" w:rsidP="00D600E2">
      <w:pPr>
        <w:pStyle w:val="Bullet"/>
        <w:rPr>
          <w:lang w:eastAsia="en-US"/>
        </w:rPr>
      </w:pPr>
      <w:r>
        <w:rPr>
          <w:lang w:eastAsia="en-US"/>
        </w:rPr>
        <w:t>Pae Ora (Healthy Futures) Act 2022</w:t>
      </w:r>
    </w:p>
    <w:p w14:paraId="2F64280C" w14:textId="1ACFBB7E" w:rsidR="00D600E2" w:rsidRDefault="00D600E2" w:rsidP="00D600E2">
      <w:pPr>
        <w:pStyle w:val="Bullet"/>
        <w:rPr>
          <w:lang w:eastAsia="en-US"/>
        </w:rPr>
      </w:pPr>
      <w:r>
        <w:rPr>
          <w:lang w:eastAsia="en-US"/>
        </w:rPr>
        <w:t>The Cancer Action Plan.</w:t>
      </w:r>
    </w:p>
    <w:p w14:paraId="3061292E" w14:textId="510753F2" w:rsidR="00D600E2" w:rsidRDefault="00D600E2" w:rsidP="00D600E2">
      <w:pPr>
        <w:rPr>
          <w:lang w:eastAsia="en-US"/>
        </w:rPr>
      </w:pPr>
      <w:r>
        <w:rPr>
          <w:lang w:eastAsia="en-US"/>
        </w:rPr>
        <w:lastRenderedPageBreak/>
        <w:t>Kaimahi can access the Ministry of Health’s online learning courses on Te Rito, Te Reo and Tikanga, Ngutuawa - Te Tiriti tools to build their cultural capabilities and help our agency meet the expectations of the Public Service Act 2020. They can also attend workshops or training, such as The Wall Walk® and Te Arawhiti Crown engagement with Māori.</w:t>
      </w:r>
    </w:p>
    <w:p w14:paraId="212C3BD7" w14:textId="77777777" w:rsidR="00D600E2" w:rsidRDefault="00D600E2" w:rsidP="00D600E2">
      <w:pPr>
        <w:rPr>
          <w:lang w:eastAsia="en-US"/>
        </w:rPr>
      </w:pPr>
    </w:p>
    <w:p w14:paraId="1A7594DE" w14:textId="3900612D" w:rsidR="00D600E2" w:rsidRDefault="00D600E2" w:rsidP="00D600E2">
      <w:pPr>
        <w:rPr>
          <w:lang w:eastAsia="en-US"/>
        </w:rPr>
      </w:pPr>
      <w:r>
        <w:rPr>
          <w:lang w:eastAsia="en-US"/>
        </w:rPr>
        <w:t>It is difficult to separate out the investment to implement our plan for developing cultural capabilities, as we are hosted by the Ministry of Health. Both organisations can leverage off the capability opportunities the Ministry offers, as well as those our agency runs.</w:t>
      </w:r>
    </w:p>
    <w:p w14:paraId="5E9CCC6B" w14:textId="77777777" w:rsidR="00D600E2" w:rsidRDefault="00D600E2" w:rsidP="00D600E2">
      <w:pPr>
        <w:rPr>
          <w:lang w:eastAsia="en-US"/>
        </w:rPr>
      </w:pPr>
    </w:p>
    <w:p w14:paraId="7EE6FA39" w14:textId="405B133E" w:rsidR="00D600E2" w:rsidRDefault="00D600E2" w:rsidP="00D600E2">
      <w:pPr>
        <w:rPr>
          <w:lang w:eastAsia="en-US"/>
        </w:rPr>
      </w:pPr>
      <w:r>
        <w:rPr>
          <w:lang w:eastAsia="en-US"/>
        </w:rPr>
        <w:t>The progress kaimahi have made across under the six individual capability six domains of the Māori Crown relations capability framework developed by Te Arawhiti is outlined below.</w:t>
      </w:r>
    </w:p>
    <w:p w14:paraId="09E13AB4" w14:textId="77777777" w:rsidR="00D600E2" w:rsidRDefault="00D600E2" w:rsidP="00866318">
      <w:pPr>
        <w:pStyle w:val="Heading4"/>
        <w:spacing w:after="240"/>
        <w:rPr>
          <w:lang w:eastAsia="en-US"/>
        </w:rPr>
      </w:pPr>
      <w:r>
        <w:rPr>
          <w:lang w:eastAsia="en-US"/>
        </w:rPr>
        <w:t>Te reo Māori</w:t>
      </w:r>
    </w:p>
    <w:p w14:paraId="2095D32D" w14:textId="77777777" w:rsidR="00D600E2" w:rsidRPr="00D600E2" w:rsidRDefault="00D600E2" w:rsidP="00866318">
      <w:pPr>
        <w:spacing w:before="120"/>
        <w:rPr>
          <w:b/>
          <w:bCs/>
          <w:lang w:eastAsia="en-US"/>
        </w:rPr>
      </w:pPr>
      <w:r w:rsidRPr="00D600E2">
        <w:rPr>
          <w:b/>
          <w:bCs/>
          <w:lang w:eastAsia="en-US"/>
        </w:rPr>
        <w:t>Goal:</w:t>
      </w:r>
    </w:p>
    <w:p w14:paraId="2ED31946" w14:textId="77777777" w:rsidR="00D600E2" w:rsidRDefault="00D600E2" w:rsidP="00D600E2">
      <w:pPr>
        <w:rPr>
          <w:lang w:eastAsia="en-US"/>
        </w:rPr>
      </w:pPr>
      <w:r>
        <w:rPr>
          <w:lang w:eastAsia="en-US"/>
        </w:rPr>
        <w:t>Te reo Māori is regularly spoken, understood, and valued in Te Aho o Te Kahu.</w:t>
      </w:r>
    </w:p>
    <w:p w14:paraId="737D678C" w14:textId="0A626212" w:rsidR="00D600E2" w:rsidRDefault="00D600E2" w:rsidP="00D600E2">
      <w:pPr>
        <w:rPr>
          <w:lang w:eastAsia="en-US"/>
        </w:rPr>
      </w:pPr>
      <w:r>
        <w:rPr>
          <w:lang w:eastAsia="en-US"/>
        </w:rPr>
        <w:t>Our annual Whāinga Amorangi survey found that 49% of kaimahi have experienced a noho marae.</w:t>
      </w:r>
    </w:p>
    <w:p w14:paraId="7B590748" w14:textId="77777777" w:rsidR="00D600E2" w:rsidRDefault="00D600E2" w:rsidP="00D600E2">
      <w:pPr>
        <w:rPr>
          <w:lang w:eastAsia="en-US"/>
        </w:rPr>
      </w:pPr>
    </w:p>
    <w:p w14:paraId="2CFA4CE3" w14:textId="77777777" w:rsidR="00D600E2" w:rsidRPr="00AB0E87" w:rsidRDefault="00D600E2" w:rsidP="00D600E2">
      <w:pPr>
        <w:rPr>
          <w:b/>
          <w:bCs/>
          <w:lang w:eastAsia="en-US"/>
        </w:rPr>
      </w:pPr>
      <w:r w:rsidRPr="00AB0E87">
        <w:rPr>
          <w:b/>
          <w:bCs/>
          <w:lang w:eastAsia="en-US"/>
        </w:rPr>
        <w:t>What we achieved in 2023/24</w:t>
      </w:r>
    </w:p>
    <w:p w14:paraId="19647104" w14:textId="4362A37C" w:rsidR="00D600E2" w:rsidRDefault="00D600E2" w:rsidP="00D600E2">
      <w:pPr>
        <w:pStyle w:val="Bullet"/>
        <w:rPr>
          <w:lang w:eastAsia="en-US"/>
        </w:rPr>
      </w:pPr>
      <w:r>
        <w:rPr>
          <w:lang w:eastAsia="en-US"/>
        </w:rPr>
        <w:t>Percentage of kaimahi who:</w:t>
      </w:r>
    </w:p>
    <w:p w14:paraId="3D50640B" w14:textId="4CB2F97C" w:rsidR="00D600E2" w:rsidRDefault="00D600E2" w:rsidP="00866318">
      <w:pPr>
        <w:pStyle w:val="Dash"/>
        <w:rPr>
          <w:lang w:eastAsia="en-US"/>
        </w:rPr>
      </w:pPr>
      <w:r>
        <w:rPr>
          <w:lang w:eastAsia="en-US"/>
        </w:rPr>
        <w:t xml:space="preserve">had a te reo Māori development goals in their Personal Development Plan: </w:t>
      </w:r>
      <w:r w:rsidRPr="00AB0E87">
        <w:rPr>
          <w:b/>
          <w:bCs/>
          <w:lang w:eastAsia="en-US"/>
        </w:rPr>
        <w:t>43%</w:t>
      </w:r>
    </w:p>
    <w:p w14:paraId="501ADFAC" w14:textId="4059B7DF" w:rsidR="00D600E2" w:rsidRDefault="00D600E2" w:rsidP="00866318">
      <w:pPr>
        <w:pStyle w:val="Dash"/>
        <w:rPr>
          <w:lang w:eastAsia="en-US"/>
        </w:rPr>
      </w:pPr>
      <w:r>
        <w:rPr>
          <w:lang w:eastAsia="en-US"/>
        </w:rPr>
        <w:t xml:space="preserve">completed a te reo Māori language courses: </w:t>
      </w:r>
      <w:proofErr w:type="gramStart"/>
      <w:r w:rsidRPr="00AB0E87">
        <w:rPr>
          <w:b/>
          <w:bCs/>
          <w:lang w:eastAsia="en-US"/>
        </w:rPr>
        <w:t>89%</w:t>
      </w:r>
      <w:proofErr w:type="gramEnd"/>
    </w:p>
    <w:p w14:paraId="3203B5FB" w14:textId="03C0B33F" w:rsidR="00D600E2" w:rsidRDefault="00D600E2" w:rsidP="00D600E2">
      <w:pPr>
        <w:pStyle w:val="Bullet"/>
        <w:rPr>
          <w:lang w:eastAsia="en-US"/>
        </w:rPr>
      </w:pPr>
      <w:r>
        <w:rPr>
          <w:lang w:eastAsia="en-US"/>
        </w:rPr>
        <w:t>attended:</w:t>
      </w:r>
    </w:p>
    <w:p w14:paraId="5369389F" w14:textId="00CBAB1F" w:rsidR="00D600E2" w:rsidRDefault="00D600E2" w:rsidP="00866318">
      <w:pPr>
        <w:pStyle w:val="Dash"/>
        <w:rPr>
          <w:lang w:eastAsia="en-US"/>
        </w:rPr>
      </w:pPr>
      <w:r>
        <w:rPr>
          <w:lang w:eastAsia="en-US"/>
        </w:rPr>
        <w:t xml:space="preserve">a noho marae stay in 23/24: </w:t>
      </w:r>
      <w:proofErr w:type="gramStart"/>
      <w:r w:rsidRPr="00AB0E87">
        <w:rPr>
          <w:b/>
          <w:bCs/>
          <w:lang w:eastAsia="en-US"/>
        </w:rPr>
        <w:t>8%</w:t>
      </w:r>
      <w:proofErr w:type="gramEnd"/>
    </w:p>
    <w:p w14:paraId="06AE0ED2" w14:textId="17326DE1" w:rsidR="00D600E2" w:rsidRDefault="00D600E2" w:rsidP="00D600E2">
      <w:pPr>
        <w:pStyle w:val="Bullet"/>
        <w:rPr>
          <w:lang w:eastAsia="en-US"/>
        </w:rPr>
      </w:pPr>
      <w:r>
        <w:rPr>
          <w:lang w:eastAsia="en-US"/>
        </w:rPr>
        <w:t xml:space="preserve">Appointed a Pou Herenga role (0.2 FTE) to provide cultural knowledge, advice, and support across the </w:t>
      </w:r>
      <w:proofErr w:type="gramStart"/>
      <w:r>
        <w:rPr>
          <w:lang w:eastAsia="en-US"/>
        </w:rPr>
        <w:t>agency</w:t>
      </w:r>
      <w:proofErr w:type="gramEnd"/>
    </w:p>
    <w:p w14:paraId="5E7B46B5" w14:textId="21A9C1D1" w:rsidR="00D600E2" w:rsidRDefault="00D600E2" w:rsidP="00D600E2">
      <w:pPr>
        <w:pStyle w:val="Bullet"/>
        <w:rPr>
          <w:lang w:eastAsia="en-US"/>
        </w:rPr>
      </w:pPr>
      <w:r>
        <w:rPr>
          <w:lang w:eastAsia="en-US"/>
        </w:rPr>
        <w:t>Established a Chief Advisor Māori role which is being recruited.</w:t>
      </w:r>
    </w:p>
    <w:p w14:paraId="3A548557" w14:textId="450EFA79" w:rsidR="00D600E2" w:rsidRDefault="00D600E2" w:rsidP="00D600E2">
      <w:pPr>
        <w:pStyle w:val="Bullet"/>
        <w:rPr>
          <w:lang w:eastAsia="en-US"/>
        </w:rPr>
      </w:pPr>
      <w:r>
        <w:rPr>
          <w:lang w:eastAsia="en-US"/>
        </w:rPr>
        <w:t xml:space="preserve">Held learning events during Matariki, Mahuru Māori including a focus during Te Wiki o te reo </w:t>
      </w:r>
      <w:proofErr w:type="gramStart"/>
      <w:r>
        <w:rPr>
          <w:lang w:eastAsia="en-US"/>
        </w:rPr>
        <w:t>Māori</w:t>
      </w:r>
      <w:proofErr w:type="gramEnd"/>
    </w:p>
    <w:p w14:paraId="578C308C" w14:textId="5A32A1A1" w:rsidR="00D600E2" w:rsidRDefault="00D600E2" w:rsidP="00D600E2">
      <w:pPr>
        <w:pStyle w:val="Bullet"/>
        <w:rPr>
          <w:lang w:eastAsia="en-US"/>
        </w:rPr>
      </w:pPr>
      <w:r>
        <w:rPr>
          <w:lang w:eastAsia="en-US"/>
        </w:rPr>
        <w:t xml:space="preserve">Publications include bilingual forewords and summaries, or are fully translated when they are specific to a Māori </w:t>
      </w:r>
      <w:proofErr w:type="gramStart"/>
      <w:r>
        <w:rPr>
          <w:lang w:eastAsia="en-US"/>
        </w:rPr>
        <w:t>audience</w:t>
      </w:r>
      <w:proofErr w:type="gramEnd"/>
    </w:p>
    <w:p w14:paraId="1AE2F521" w14:textId="470FE083" w:rsidR="00AB0E87" w:rsidRDefault="00D600E2" w:rsidP="00AB0E87">
      <w:pPr>
        <w:pStyle w:val="Bullet"/>
        <w:spacing w:after="240"/>
        <w:rPr>
          <w:lang w:eastAsia="en-US"/>
        </w:rPr>
      </w:pPr>
      <w:r>
        <w:rPr>
          <w:lang w:eastAsia="en-US"/>
        </w:rPr>
        <w:t>Incorporated bilingual signposting on our website.</w:t>
      </w:r>
    </w:p>
    <w:p w14:paraId="789FFB3C" w14:textId="61365FCA" w:rsidR="00AB0E87" w:rsidRDefault="00AB0E87" w:rsidP="00AB0E87">
      <w:pPr>
        <w:pStyle w:val="Bullet"/>
        <w:numPr>
          <w:ilvl w:val="0"/>
          <w:numId w:val="0"/>
        </w:numPr>
        <w:ind w:left="284" w:hanging="284"/>
        <w:rPr>
          <w:lang w:eastAsia="en-US"/>
        </w:rPr>
      </w:pPr>
      <w:r>
        <w:rPr>
          <w:noProof/>
        </w:rPr>
        <w:lastRenderedPageBreak/>
        <w:drawing>
          <wp:inline distT="0" distB="0" distL="0" distR="0" wp14:anchorId="7E05B853" wp14:editId="6DDE06CA">
            <wp:extent cx="5004262" cy="3131767"/>
            <wp:effectExtent l="0" t="0" r="635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5018751" cy="3140835"/>
                    </a:xfrm>
                    <a:prstGeom prst="rect">
                      <a:avLst/>
                    </a:prstGeom>
                  </pic:spPr>
                </pic:pic>
              </a:graphicData>
            </a:graphic>
          </wp:inline>
        </w:drawing>
      </w:r>
    </w:p>
    <w:p w14:paraId="09B37FE2" w14:textId="172A2206" w:rsidR="00AB0E87" w:rsidRPr="00072F1B" w:rsidRDefault="00AB0E87" w:rsidP="00072F1B">
      <w:pPr>
        <w:rPr>
          <w:b/>
          <w:bCs/>
          <w:sz w:val="20"/>
          <w:szCs w:val="18"/>
          <w:lang w:eastAsia="en-US"/>
        </w:rPr>
      </w:pPr>
      <w:r w:rsidRPr="00072F1B">
        <w:rPr>
          <w:b/>
          <w:bCs/>
          <w:sz w:val="20"/>
          <w:szCs w:val="18"/>
          <w:lang w:eastAsia="en-US"/>
        </w:rPr>
        <w:t xml:space="preserve">Figure 6: Percentage of kaimahi who can sing at least two agency waiata from </w:t>
      </w:r>
      <w:proofErr w:type="gramStart"/>
      <w:r w:rsidRPr="00072F1B">
        <w:rPr>
          <w:b/>
          <w:bCs/>
          <w:sz w:val="20"/>
          <w:szCs w:val="18"/>
          <w:lang w:eastAsia="en-US"/>
        </w:rPr>
        <w:t>memory</w:t>
      </w:r>
      <w:proofErr w:type="gramEnd"/>
    </w:p>
    <w:p w14:paraId="466808DC" w14:textId="2028C11B" w:rsidR="00AB0E87" w:rsidRDefault="00AB0E87" w:rsidP="00AB0E87">
      <w:pPr>
        <w:rPr>
          <w:lang w:eastAsia="en-US"/>
        </w:rPr>
      </w:pPr>
    </w:p>
    <w:p w14:paraId="5684F2D6" w14:textId="4724DFED" w:rsidR="00AB0E87" w:rsidRDefault="00AB0E87" w:rsidP="00AB0E87">
      <w:pPr>
        <w:rPr>
          <w:lang w:eastAsia="en-US"/>
        </w:rPr>
      </w:pPr>
      <w:r w:rsidRPr="00AB0E87">
        <w:rPr>
          <w:noProof/>
        </w:rPr>
        <w:drawing>
          <wp:inline distT="0" distB="0" distL="0" distR="0" wp14:anchorId="2BD3FA3E" wp14:editId="79B75743">
            <wp:extent cx="4987636" cy="3119511"/>
            <wp:effectExtent l="0" t="0" r="3810" b="508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Lst>
                    </a:blip>
                    <a:stretch>
                      <a:fillRect/>
                    </a:stretch>
                  </pic:blipFill>
                  <pic:spPr>
                    <a:xfrm>
                      <a:off x="0" y="0"/>
                      <a:ext cx="5002507" cy="3128812"/>
                    </a:xfrm>
                    <a:prstGeom prst="rect">
                      <a:avLst/>
                    </a:prstGeom>
                  </pic:spPr>
                </pic:pic>
              </a:graphicData>
            </a:graphic>
          </wp:inline>
        </w:drawing>
      </w:r>
    </w:p>
    <w:p w14:paraId="48A6A6E7" w14:textId="77777777" w:rsidR="00AB0E87" w:rsidRPr="00072F1B" w:rsidRDefault="00AB0E87" w:rsidP="00072F1B">
      <w:pPr>
        <w:rPr>
          <w:b/>
          <w:bCs/>
          <w:sz w:val="20"/>
          <w:szCs w:val="18"/>
          <w:lang w:eastAsia="en-US"/>
        </w:rPr>
        <w:sectPr w:rsidR="00AB0E87" w:rsidRPr="00072F1B" w:rsidSect="005E645F">
          <w:pgSz w:w="11907" w:h="16840" w:code="9"/>
          <w:pgMar w:top="1418" w:right="1701" w:bottom="1134" w:left="1843" w:header="284" w:footer="425" w:gutter="284"/>
          <w:cols w:space="720"/>
        </w:sectPr>
      </w:pPr>
      <w:r w:rsidRPr="00072F1B">
        <w:rPr>
          <w:b/>
          <w:bCs/>
          <w:sz w:val="20"/>
          <w:szCs w:val="18"/>
          <w:lang w:eastAsia="en-US"/>
        </w:rPr>
        <w:t>Figure 7: Percentage of kaimahi who can pronounce te reo Māori words correctly</w:t>
      </w:r>
    </w:p>
    <w:p w14:paraId="6BD3BF78" w14:textId="77777777" w:rsidR="00067F8D" w:rsidRDefault="00067F8D" w:rsidP="00067F8D">
      <w:pPr>
        <w:spacing w:before="120"/>
        <w:rPr>
          <w:b/>
          <w:bCs/>
          <w:sz w:val="20"/>
          <w:szCs w:val="18"/>
          <w:lang w:eastAsia="en-US"/>
        </w:rPr>
      </w:pPr>
      <w:r w:rsidRPr="00067F8D">
        <w:rPr>
          <w:b/>
          <w:bCs/>
          <w:noProof/>
          <w:sz w:val="20"/>
          <w:szCs w:val="18"/>
          <w:lang w:eastAsia="en-US"/>
        </w:rPr>
        <w:lastRenderedPageBreak/>
        <w:drawing>
          <wp:inline distT="0" distB="0" distL="0" distR="0" wp14:anchorId="4E988217" wp14:editId="099B8FAB">
            <wp:extent cx="5130165" cy="3207385"/>
            <wp:effectExtent l="0" t="0" r="0" b="0"/>
            <wp:docPr id="1574" name="Picture 1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Picture 1574">
                      <a:extLst>
                        <a:ext uri="{C183D7F6-B498-43B3-948B-1728B52AA6E4}">
                          <adec:decorative xmlns:adec="http://schemas.microsoft.com/office/drawing/2017/decorative" val="1"/>
                        </a:ext>
                      </a:extLst>
                    </pic:cNvPr>
                    <pic:cNvPicPr/>
                  </pic:nvPicPr>
                  <pic:blipFill>
                    <a:blip r:embed="rId74">
                      <a:extLst>
                        <a:ext uri="{28A0092B-C50C-407E-A947-70E740481C1C}">
                          <a14:useLocalDpi xmlns:a14="http://schemas.microsoft.com/office/drawing/2010/main" val="0"/>
                        </a:ext>
                      </a:extLst>
                    </a:blip>
                    <a:stretch>
                      <a:fillRect/>
                    </a:stretch>
                  </pic:blipFill>
                  <pic:spPr>
                    <a:xfrm>
                      <a:off x="0" y="0"/>
                      <a:ext cx="5130165" cy="3207385"/>
                    </a:xfrm>
                    <a:prstGeom prst="rect">
                      <a:avLst/>
                    </a:prstGeom>
                  </pic:spPr>
                </pic:pic>
              </a:graphicData>
            </a:graphic>
          </wp:inline>
        </w:drawing>
      </w:r>
    </w:p>
    <w:p w14:paraId="42BB5CC7" w14:textId="35655EF2" w:rsidR="00067F8D" w:rsidRPr="00176F1F" w:rsidRDefault="00176F1F" w:rsidP="00067F8D">
      <w:pPr>
        <w:spacing w:before="120"/>
        <w:rPr>
          <w:b/>
          <w:bCs/>
          <w:sz w:val="20"/>
          <w:szCs w:val="18"/>
          <w:lang w:eastAsia="en-US"/>
        </w:rPr>
      </w:pPr>
      <w:r w:rsidRPr="00067F8D">
        <w:rPr>
          <w:b/>
          <w:bCs/>
          <w:sz w:val="20"/>
          <w:szCs w:val="18"/>
          <w:lang w:eastAsia="en-US"/>
        </w:rPr>
        <w:t xml:space="preserve">Figure 8: Percentage of kaimahi who feel comfortable introducing themselves in te reo </w:t>
      </w:r>
      <w:proofErr w:type="gramStart"/>
      <w:r w:rsidRPr="00067F8D">
        <w:rPr>
          <w:b/>
          <w:bCs/>
          <w:sz w:val="20"/>
          <w:szCs w:val="18"/>
          <w:lang w:eastAsia="en-US"/>
        </w:rPr>
        <w:t>Māori</w:t>
      </w:r>
      <w:proofErr w:type="gramEnd"/>
      <w:r w:rsidRPr="00067F8D">
        <w:rPr>
          <w:b/>
          <w:bCs/>
          <w:sz w:val="20"/>
          <w:szCs w:val="18"/>
          <w:lang w:eastAsia="en-US"/>
        </w:rPr>
        <w:t xml:space="preserve"> </w:t>
      </w:r>
    </w:p>
    <w:p w14:paraId="204F92ED" w14:textId="543F6D7B" w:rsidR="00AB0E87" w:rsidRDefault="00AB0E87" w:rsidP="00067F8D">
      <w:pPr>
        <w:pStyle w:val="Heading4"/>
        <w:spacing w:before="360"/>
        <w:rPr>
          <w:lang w:eastAsia="en-US"/>
        </w:rPr>
      </w:pPr>
      <w:r w:rsidRPr="00176F1F">
        <w:t>Tikanga</w:t>
      </w:r>
      <w:r>
        <w:rPr>
          <w:lang w:eastAsia="en-US"/>
        </w:rPr>
        <w:t xml:space="preserve"> / Kawa</w:t>
      </w:r>
    </w:p>
    <w:p w14:paraId="27C43F2D" w14:textId="77777777" w:rsidR="00AB0E87" w:rsidRPr="00AB0E87" w:rsidRDefault="00AB0E87" w:rsidP="00AB0E87">
      <w:pPr>
        <w:rPr>
          <w:b/>
          <w:bCs/>
          <w:lang w:eastAsia="en-US"/>
        </w:rPr>
      </w:pPr>
      <w:r w:rsidRPr="00AB0E87">
        <w:rPr>
          <w:b/>
          <w:bCs/>
          <w:lang w:eastAsia="en-US"/>
        </w:rPr>
        <w:t>Goal:</w:t>
      </w:r>
    </w:p>
    <w:p w14:paraId="2EB87A37" w14:textId="2656412A" w:rsidR="00AB0E87" w:rsidRDefault="00AB0E87" w:rsidP="00AB0E87">
      <w:pPr>
        <w:rPr>
          <w:lang w:eastAsia="en-US"/>
        </w:rPr>
      </w:pPr>
      <w:r>
        <w:rPr>
          <w:lang w:eastAsia="en-US"/>
        </w:rPr>
        <w:t>Te Aho o Te Kahu creates and adopts a culture where tikanga is welcomed and practiced.</w:t>
      </w:r>
    </w:p>
    <w:p w14:paraId="560EBA9A" w14:textId="77777777" w:rsidR="00AB0E87" w:rsidRDefault="00AB0E87" w:rsidP="00AB0E87">
      <w:pPr>
        <w:rPr>
          <w:lang w:eastAsia="en-US"/>
        </w:rPr>
      </w:pPr>
    </w:p>
    <w:p w14:paraId="763553CA" w14:textId="77777777" w:rsidR="00AB0E87" w:rsidRPr="00AB0E87" w:rsidRDefault="00AB0E87" w:rsidP="00AB0E87">
      <w:pPr>
        <w:rPr>
          <w:b/>
          <w:bCs/>
          <w:lang w:eastAsia="en-US"/>
        </w:rPr>
      </w:pPr>
      <w:r w:rsidRPr="00AB0E87">
        <w:rPr>
          <w:b/>
          <w:bCs/>
          <w:lang w:eastAsia="en-US"/>
        </w:rPr>
        <w:t>What we achieved in 2023/24:</w:t>
      </w:r>
    </w:p>
    <w:p w14:paraId="76DC54FB" w14:textId="06DD0A71" w:rsidR="00AB0E87" w:rsidRDefault="00AB0E87" w:rsidP="00AB0E87">
      <w:pPr>
        <w:pStyle w:val="Bullet"/>
        <w:rPr>
          <w:lang w:eastAsia="en-US"/>
        </w:rPr>
      </w:pPr>
      <w:r>
        <w:rPr>
          <w:lang w:eastAsia="en-US"/>
        </w:rPr>
        <w:t xml:space="preserve">88% of kaimahi correctly identified our Pou Herenga, and 75% knew how that role supports our </w:t>
      </w:r>
      <w:proofErr w:type="gramStart"/>
      <w:r>
        <w:rPr>
          <w:lang w:eastAsia="en-US"/>
        </w:rPr>
        <w:t>work</w:t>
      </w:r>
      <w:proofErr w:type="gramEnd"/>
    </w:p>
    <w:p w14:paraId="3FDA3D3E" w14:textId="5ACE5BC2" w:rsidR="00AB0E87" w:rsidRDefault="00AB0E87" w:rsidP="00AB0E87">
      <w:pPr>
        <w:pStyle w:val="Bullet"/>
        <w:rPr>
          <w:lang w:eastAsia="en-US"/>
        </w:rPr>
      </w:pPr>
      <w:r>
        <w:rPr>
          <w:lang w:eastAsia="en-US"/>
        </w:rPr>
        <w:t xml:space="preserve">Regular Tikanga </w:t>
      </w:r>
      <w:proofErr w:type="gramStart"/>
      <w:r>
        <w:rPr>
          <w:lang w:eastAsia="en-US"/>
        </w:rPr>
        <w:t>Tuesdays</w:t>
      </w:r>
      <w:proofErr w:type="gramEnd"/>
      <w:r>
        <w:rPr>
          <w:lang w:eastAsia="en-US"/>
        </w:rPr>
        <w:t xml:space="preserve"> sessions were run by our Pou Herenga for the agency and Ministry of Health.</w:t>
      </w:r>
    </w:p>
    <w:p w14:paraId="39A3085B" w14:textId="77777777" w:rsidR="000A1102" w:rsidRDefault="000A1102" w:rsidP="000A1102">
      <w:pPr>
        <w:rPr>
          <w:lang w:eastAsia="en-US"/>
        </w:rPr>
      </w:pPr>
    </w:p>
    <w:p w14:paraId="785F35DF" w14:textId="2E87E02D" w:rsidR="00AB0E87" w:rsidRDefault="00AB0E87" w:rsidP="000A1102">
      <w:pPr>
        <w:rPr>
          <w:lang w:eastAsia="en-US"/>
        </w:rPr>
      </w:pPr>
      <w:r>
        <w:rPr>
          <w:lang w:eastAsia="en-US"/>
        </w:rPr>
        <w:t>Understanding racial equity and institutional racism</w:t>
      </w:r>
    </w:p>
    <w:p w14:paraId="51418D16" w14:textId="77777777" w:rsidR="000A1102" w:rsidRDefault="000A1102" w:rsidP="00AB0E87">
      <w:pPr>
        <w:rPr>
          <w:b/>
          <w:bCs/>
          <w:lang w:eastAsia="en-US"/>
        </w:rPr>
      </w:pPr>
    </w:p>
    <w:p w14:paraId="77A2913D" w14:textId="2DAFEDC6" w:rsidR="00AB0E87" w:rsidRPr="00AB0E87" w:rsidRDefault="00AB0E87" w:rsidP="00AB0E87">
      <w:pPr>
        <w:rPr>
          <w:b/>
          <w:bCs/>
          <w:lang w:eastAsia="en-US"/>
        </w:rPr>
      </w:pPr>
      <w:r w:rsidRPr="00AB0E87">
        <w:rPr>
          <w:b/>
          <w:bCs/>
          <w:lang w:eastAsia="en-US"/>
        </w:rPr>
        <w:t>Goal:</w:t>
      </w:r>
    </w:p>
    <w:p w14:paraId="32AABA49" w14:textId="77777777" w:rsidR="00AB0E87" w:rsidRDefault="00AB0E87" w:rsidP="00AB0E87">
      <w:pPr>
        <w:rPr>
          <w:lang w:eastAsia="en-US"/>
        </w:rPr>
      </w:pPr>
      <w:r>
        <w:rPr>
          <w:lang w:eastAsia="en-US"/>
        </w:rPr>
        <w:t xml:space="preserve">Te Aho o Te Kahu identifies and addresses institutional </w:t>
      </w:r>
      <w:proofErr w:type="gramStart"/>
      <w:r>
        <w:rPr>
          <w:lang w:eastAsia="en-US"/>
        </w:rPr>
        <w:t>racism</w:t>
      </w:r>
      <w:proofErr w:type="gramEnd"/>
    </w:p>
    <w:p w14:paraId="5AB9565D" w14:textId="77777777" w:rsidR="00AB0E87" w:rsidRDefault="00AB0E87" w:rsidP="00AB0E87">
      <w:pPr>
        <w:rPr>
          <w:lang w:eastAsia="en-US"/>
        </w:rPr>
      </w:pPr>
    </w:p>
    <w:p w14:paraId="13331171" w14:textId="77777777" w:rsidR="00AB0E87" w:rsidRPr="00AB0E87" w:rsidRDefault="00AB0E87" w:rsidP="00AB0E87">
      <w:pPr>
        <w:rPr>
          <w:b/>
          <w:bCs/>
          <w:lang w:eastAsia="en-US"/>
        </w:rPr>
      </w:pPr>
      <w:r w:rsidRPr="00AB0E87">
        <w:rPr>
          <w:b/>
          <w:bCs/>
          <w:lang w:eastAsia="en-US"/>
        </w:rPr>
        <w:t>What we achieved in 2023/24:</w:t>
      </w:r>
    </w:p>
    <w:p w14:paraId="183CA5E9" w14:textId="77777777" w:rsidR="00AB0E87" w:rsidRDefault="00AB0E87" w:rsidP="00AB0E87">
      <w:pPr>
        <w:rPr>
          <w:lang w:eastAsia="en-US"/>
        </w:rPr>
      </w:pPr>
      <w:r>
        <w:rPr>
          <w:lang w:eastAsia="en-US"/>
        </w:rPr>
        <w:t>More kaimahi felt confident / very confident in identifying practices and processes in our work that may inadvertently disadvantage Māori than in the previous year.</w:t>
      </w:r>
    </w:p>
    <w:p w14:paraId="66FB1CE7" w14:textId="77777777" w:rsidR="00DD3379" w:rsidRDefault="00DD3379" w:rsidP="0003517E">
      <w:pPr>
        <w:pStyle w:val="Heading4"/>
        <w:rPr>
          <w:lang w:eastAsia="en-US"/>
        </w:rPr>
        <w:sectPr w:rsidR="00DD3379" w:rsidSect="005E645F">
          <w:pgSz w:w="11907" w:h="16840" w:code="9"/>
          <w:pgMar w:top="1418" w:right="1701" w:bottom="1134" w:left="1843" w:header="284" w:footer="425" w:gutter="284"/>
          <w:cols w:space="720"/>
        </w:sectPr>
      </w:pPr>
    </w:p>
    <w:p w14:paraId="63B309B9" w14:textId="03D6EAD2" w:rsidR="0003517E" w:rsidRDefault="0003517E" w:rsidP="0003517E">
      <w:pPr>
        <w:pStyle w:val="Heading4"/>
        <w:rPr>
          <w:lang w:eastAsia="en-US"/>
        </w:rPr>
      </w:pPr>
      <w:r>
        <w:rPr>
          <w:lang w:eastAsia="en-US"/>
        </w:rPr>
        <w:lastRenderedPageBreak/>
        <w:t>Worldview knowledge</w:t>
      </w:r>
    </w:p>
    <w:p w14:paraId="6688DE0A" w14:textId="77777777" w:rsidR="0003517E" w:rsidRPr="0003517E" w:rsidRDefault="0003517E" w:rsidP="0003517E">
      <w:pPr>
        <w:rPr>
          <w:b/>
          <w:bCs/>
          <w:lang w:eastAsia="en-US"/>
        </w:rPr>
      </w:pPr>
      <w:r w:rsidRPr="0003517E">
        <w:rPr>
          <w:b/>
          <w:bCs/>
          <w:lang w:eastAsia="en-US"/>
        </w:rPr>
        <w:t>Goal:</w:t>
      </w:r>
    </w:p>
    <w:p w14:paraId="2BBB0BB0" w14:textId="77777777" w:rsidR="0003517E" w:rsidRDefault="0003517E" w:rsidP="0003517E">
      <w:pPr>
        <w:rPr>
          <w:lang w:eastAsia="en-US"/>
        </w:rPr>
      </w:pPr>
      <w:r>
        <w:rPr>
          <w:lang w:eastAsia="en-US"/>
        </w:rPr>
        <w:t>Te ao Māori informs the development of agency work.</w:t>
      </w:r>
    </w:p>
    <w:p w14:paraId="41BC218D" w14:textId="77777777" w:rsidR="0003517E" w:rsidRDefault="0003517E" w:rsidP="0003517E">
      <w:pPr>
        <w:rPr>
          <w:lang w:eastAsia="en-US"/>
        </w:rPr>
      </w:pPr>
    </w:p>
    <w:p w14:paraId="695FE40E" w14:textId="7854EF76" w:rsidR="0003517E" w:rsidRPr="0003517E" w:rsidRDefault="0003517E" w:rsidP="0003517E">
      <w:pPr>
        <w:rPr>
          <w:b/>
          <w:bCs/>
          <w:lang w:eastAsia="en-US"/>
        </w:rPr>
      </w:pPr>
      <w:r w:rsidRPr="0003517E">
        <w:rPr>
          <w:b/>
          <w:bCs/>
          <w:lang w:eastAsia="en-US"/>
        </w:rPr>
        <w:t>What we achieved in 2023/24:</w:t>
      </w:r>
    </w:p>
    <w:p w14:paraId="1EBCD204" w14:textId="0D9893CD" w:rsidR="0003517E" w:rsidRDefault="0003517E" w:rsidP="0003517E">
      <w:pPr>
        <w:pStyle w:val="Bullet"/>
        <w:rPr>
          <w:lang w:eastAsia="en-US"/>
        </w:rPr>
      </w:pPr>
      <w:r>
        <w:rPr>
          <w:lang w:eastAsia="en-US"/>
        </w:rPr>
        <w:t>More kaimahi felt confident explaining kaupapa Māori concepts compared with previous years.</w:t>
      </w:r>
    </w:p>
    <w:p w14:paraId="4CD1B0A1" w14:textId="6B031C3F" w:rsidR="0003517E" w:rsidRDefault="0003517E" w:rsidP="0003517E">
      <w:pPr>
        <w:pStyle w:val="Bullet"/>
        <w:rPr>
          <w:lang w:eastAsia="en-US"/>
        </w:rPr>
      </w:pPr>
      <w:r>
        <w:rPr>
          <w:lang w:eastAsia="en-US"/>
        </w:rPr>
        <w:t xml:space="preserve">Most kaimahi believe understanding te ao Māori is relevant to their own, and the broader agency’s </w:t>
      </w:r>
      <w:proofErr w:type="gramStart"/>
      <w:r>
        <w:rPr>
          <w:lang w:eastAsia="en-US"/>
        </w:rPr>
        <w:t>work</w:t>
      </w:r>
      <w:proofErr w:type="gramEnd"/>
    </w:p>
    <w:p w14:paraId="683484E6" w14:textId="252866D7" w:rsidR="007E5E67" w:rsidRPr="000A1102" w:rsidRDefault="0003517E" w:rsidP="000A1102">
      <w:pPr>
        <w:pStyle w:val="Bullet"/>
      </w:pPr>
      <w:r w:rsidRPr="000A1102">
        <w:t>Keynote speaker at the World Indigenous Cancer Conference 2024 in Melbourne, Australia.</w:t>
      </w:r>
    </w:p>
    <w:p w14:paraId="19449653" w14:textId="77777777" w:rsidR="007E5E67" w:rsidRDefault="007E5E67" w:rsidP="00176F1F">
      <w:pPr>
        <w:pStyle w:val="Bullet"/>
        <w:spacing w:before="120"/>
        <w:rPr>
          <w:lang w:eastAsia="en-US"/>
        </w:rPr>
      </w:pPr>
      <w:r>
        <w:rPr>
          <w:lang w:eastAsia="en-US"/>
        </w:rPr>
        <w:t xml:space="preserve">We purchased, or were gifted, books to support kaimahi </w:t>
      </w:r>
      <w:proofErr w:type="gramStart"/>
      <w:r>
        <w:rPr>
          <w:lang w:eastAsia="en-US"/>
        </w:rPr>
        <w:t>education</w:t>
      </w:r>
      <w:proofErr w:type="gramEnd"/>
    </w:p>
    <w:p w14:paraId="7747B927" w14:textId="77777777" w:rsidR="007E5E67" w:rsidRDefault="007E5E67" w:rsidP="007E5E67">
      <w:pPr>
        <w:pStyle w:val="Bullet"/>
        <w:rPr>
          <w:lang w:eastAsia="en-US"/>
        </w:rPr>
      </w:pPr>
      <w:r>
        <w:rPr>
          <w:lang w:eastAsia="en-US"/>
        </w:rPr>
        <w:t>The agency hosted a lunchtime screening of the documentary Whetū Marama during Matariki</w:t>
      </w:r>
    </w:p>
    <w:p w14:paraId="1597068E" w14:textId="56B1A25B" w:rsidR="007E5E67" w:rsidRDefault="007E5E67" w:rsidP="007E5E67">
      <w:pPr>
        <w:pStyle w:val="Bullet"/>
        <w:rPr>
          <w:lang w:eastAsia="en-US"/>
        </w:rPr>
      </w:pPr>
      <w:r>
        <w:rPr>
          <w:lang w:eastAsia="en-US"/>
        </w:rPr>
        <w:t>Our Pou Herenga delivered a 3 Kete workshop to develop an agency culture that enhances mana.</w:t>
      </w:r>
    </w:p>
    <w:p w14:paraId="76F441D7" w14:textId="6A72CC3E" w:rsidR="007E5E67" w:rsidRDefault="007E5E67" w:rsidP="007E5E67">
      <w:pPr>
        <w:rPr>
          <w:lang w:eastAsia="en-US"/>
        </w:rPr>
      </w:pPr>
      <w:r>
        <w:rPr>
          <w:noProof/>
        </w:rPr>
        <w:drawing>
          <wp:inline distT="0" distB="0" distL="0" distR="0" wp14:anchorId="76187058" wp14:editId="2FE33D02">
            <wp:extent cx="5062451" cy="3175000"/>
            <wp:effectExtent l="0" t="0" r="5080" b="635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rotWithShape="1">
                    <a:blip r:embed="rId75">
                      <a:extLst>
                        <a:ext uri="{28A0092B-C50C-407E-A947-70E740481C1C}">
                          <a14:useLocalDpi xmlns:a14="http://schemas.microsoft.com/office/drawing/2010/main" val="0"/>
                        </a:ext>
                      </a:extLst>
                    </a:blip>
                    <a:srcRect r="1320"/>
                    <a:stretch/>
                  </pic:blipFill>
                  <pic:spPr bwMode="auto">
                    <a:xfrm>
                      <a:off x="0" y="0"/>
                      <a:ext cx="5062451" cy="3175000"/>
                    </a:xfrm>
                    <a:prstGeom prst="rect">
                      <a:avLst/>
                    </a:prstGeom>
                    <a:ln>
                      <a:noFill/>
                    </a:ln>
                    <a:extLst>
                      <a:ext uri="{53640926-AAD7-44D8-BBD7-CCE9431645EC}">
                        <a14:shadowObscured xmlns:a14="http://schemas.microsoft.com/office/drawing/2010/main"/>
                      </a:ext>
                    </a:extLst>
                  </pic:spPr>
                </pic:pic>
              </a:graphicData>
            </a:graphic>
          </wp:inline>
        </w:drawing>
      </w:r>
    </w:p>
    <w:p w14:paraId="51125BA3" w14:textId="5B8D6ADA" w:rsidR="007E5E67" w:rsidRPr="00176F1F" w:rsidRDefault="007E5E67" w:rsidP="00176F1F">
      <w:pPr>
        <w:rPr>
          <w:b/>
          <w:bCs/>
          <w:sz w:val="20"/>
          <w:szCs w:val="18"/>
          <w:lang w:eastAsia="en-US"/>
        </w:rPr>
      </w:pPr>
      <w:r w:rsidRPr="00176F1F">
        <w:rPr>
          <w:b/>
          <w:bCs/>
          <w:sz w:val="20"/>
          <w:szCs w:val="18"/>
          <w:lang w:eastAsia="en-US"/>
        </w:rPr>
        <w:t xml:space="preserve">Figure 9: Percentage of kaimahi who can explain kaupapa Māori </w:t>
      </w:r>
      <w:proofErr w:type="gramStart"/>
      <w:r w:rsidRPr="00176F1F">
        <w:rPr>
          <w:b/>
          <w:bCs/>
          <w:sz w:val="20"/>
          <w:szCs w:val="18"/>
          <w:lang w:eastAsia="en-US"/>
        </w:rPr>
        <w:t>concepts</w:t>
      </w:r>
      <w:proofErr w:type="gramEnd"/>
    </w:p>
    <w:p w14:paraId="5B491246" w14:textId="77777777" w:rsidR="007E5E67" w:rsidRPr="007E5E67" w:rsidRDefault="007E5E67" w:rsidP="007E5E67">
      <w:pPr>
        <w:rPr>
          <w:lang w:eastAsia="en-US"/>
        </w:rPr>
      </w:pPr>
    </w:p>
    <w:p w14:paraId="51633C70" w14:textId="426AA975" w:rsidR="0003517E" w:rsidRDefault="00067F8D" w:rsidP="0003517E">
      <w:pPr>
        <w:rPr>
          <w:lang w:eastAsia="en-US"/>
        </w:rPr>
      </w:pPr>
      <w:r>
        <w:rPr>
          <w:noProof/>
        </w:rPr>
        <w:lastRenderedPageBreak/>
        <w:drawing>
          <wp:inline distT="0" distB="0" distL="0" distR="0" wp14:anchorId="10F3C805" wp14:editId="3BA83DCF">
            <wp:extent cx="5130165" cy="3183255"/>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5130165" cy="3183255"/>
                    </a:xfrm>
                    <a:prstGeom prst="rect">
                      <a:avLst/>
                    </a:prstGeom>
                  </pic:spPr>
                </pic:pic>
              </a:graphicData>
            </a:graphic>
          </wp:inline>
        </w:drawing>
      </w:r>
    </w:p>
    <w:p w14:paraId="12515C89" w14:textId="77777777" w:rsidR="007E5E67" w:rsidRPr="00176F1F" w:rsidRDefault="007E5E67" w:rsidP="00176F1F">
      <w:pPr>
        <w:rPr>
          <w:b/>
          <w:bCs/>
          <w:sz w:val="20"/>
          <w:szCs w:val="18"/>
          <w:lang w:eastAsia="en-US"/>
        </w:rPr>
      </w:pPr>
      <w:r w:rsidRPr="00067F8D">
        <w:rPr>
          <w:b/>
          <w:bCs/>
          <w:sz w:val="20"/>
          <w:szCs w:val="18"/>
          <w:lang w:eastAsia="en-US"/>
        </w:rPr>
        <w:t xml:space="preserve">Figure 10: Percentage of kaimahi who believe te ao Māori perspectives are relevant to their </w:t>
      </w:r>
      <w:proofErr w:type="gramStart"/>
      <w:r w:rsidRPr="00067F8D">
        <w:rPr>
          <w:b/>
          <w:bCs/>
          <w:sz w:val="20"/>
          <w:szCs w:val="18"/>
          <w:lang w:eastAsia="en-US"/>
        </w:rPr>
        <w:t>work</w:t>
      </w:r>
      <w:proofErr w:type="gramEnd"/>
    </w:p>
    <w:p w14:paraId="28C016ED" w14:textId="77777777" w:rsidR="007E5E67" w:rsidRPr="007E5E67" w:rsidRDefault="007E5E67" w:rsidP="007E5E67">
      <w:pPr>
        <w:pStyle w:val="Heading4"/>
        <w:rPr>
          <w:lang w:eastAsia="en-US"/>
        </w:rPr>
      </w:pPr>
      <w:r w:rsidRPr="007E5E67">
        <w:rPr>
          <w:lang w:eastAsia="en-US"/>
        </w:rPr>
        <w:t>Engagement with Māori</w:t>
      </w:r>
    </w:p>
    <w:p w14:paraId="6C3C3FC3" w14:textId="77777777" w:rsidR="007E5E67" w:rsidRPr="007E5E67" w:rsidRDefault="007E5E67" w:rsidP="007E5E67">
      <w:pPr>
        <w:rPr>
          <w:b/>
          <w:bCs/>
          <w:lang w:eastAsia="en-US"/>
        </w:rPr>
      </w:pPr>
      <w:r w:rsidRPr="007E5E67">
        <w:rPr>
          <w:b/>
          <w:bCs/>
          <w:lang w:eastAsia="en-US"/>
        </w:rPr>
        <w:t>Goal:</w:t>
      </w:r>
    </w:p>
    <w:p w14:paraId="5E67087C" w14:textId="77777777" w:rsidR="007E5E67" w:rsidRPr="007E5E67" w:rsidRDefault="007E5E67" w:rsidP="007E5E67">
      <w:pPr>
        <w:rPr>
          <w:lang w:eastAsia="en-US"/>
        </w:rPr>
      </w:pPr>
      <w:r w:rsidRPr="007E5E67">
        <w:rPr>
          <w:lang w:eastAsia="en-US"/>
        </w:rPr>
        <w:t>Te Aho o Te Kahu has the knowledge, skills, and processes to engage with Māori. Māori voices are heard, and their feedback influences the direction of our work.</w:t>
      </w:r>
    </w:p>
    <w:p w14:paraId="31BD6593" w14:textId="77777777" w:rsidR="007E5E67" w:rsidRPr="007E5E67" w:rsidRDefault="007E5E67" w:rsidP="007E5E67">
      <w:pPr>
        <w:rPr>
          <w:lang w:eastAsia="en-US"/>
        </w:rPr>
      </w:pPr>
    </w:p>
    <w:p w14:paraId="49EE7ACA" w14:textId="77777777" w:rsidR="007E5E67" w:rsidRPr="007E5E67" w:rsidRDefault="007E5E67" w:rsidP="007E5E67">
      <w:pPr>
        <w:rPr>
          <w:b/>
          <w:bCs/>
          <w:lang w:eastAsia="en-US"/>
        </w:rPr>
      </w:pPr>
      <w:r w:rsidRPr="007E5E67">
        <w:rPr>
          <w:b/>
          <w:bCs/>
          <w:lang w:eastAsia="en-US"/>
        </w:rPr>
        <w:t>What we achieved in 2023/24:</w:t>
      </w:r>
    </w:p>
    <w:p w14:paraId="5CE96EAC" w14:textId="40C41AB6" w:rsidR="007E5E67" w:rsidRPr="007E5E67" w:rsidRDefault="007E5E67" w:rsidP="007E5E67">
      <w:pPr>
        <w:pStyle w:val="Bullet"/>
        <w:rPr>
          <w:lang w:eastAsia="en-US"/>
        </w:rPr>
      </w:pPr>
      <w:r w:rsidRPr="007E5E67">
        <w:rPr>
          <w:lang w:eastAsia="en-US"/>
        </w:rPr>
        <w:t xml:space="preserve">Six kaimahi attended the Te Arawhiti Engaging with Māori </w:t>
      </w:r>
      <w:proofErr w:type="gramStart"/>
      <w:r w:rsidRPr="007E5E67">
        <w:rPr>
          <w:lang w:eastAsia="en-US"/>
        </w:rPr>
        <w:t>training</w:t>
      </w:r>
      <w:proofErr w:type="gramEnd"/>
    </w:p>
    <w:p w14:paraId="0247ADC8" w14:textId="71C055BF" w:rsidR="007E5E67" w:rsidRPr="007E5E67" w:rsidRDefault="007E5E67" w:rsidP="007E5E67">
      <w:pPr>
        <w:pStyle w:val="Bullet"/>
        <w:rPr>
          <w:lang w:eastAsia="en-US"/>
        </w:rPr>
      </w:pPr>
      <w:r w:rsidRPr="007E5E67">
        <w:rPr>
          <w:lang w:eastAsia="en-US"/>
        </w:rPr>
        <w:t xml:space="preserve">A kaimahi Māori rōpū was set up which meets </w:t>
      </w:r>
      <w:proofErr w:type="gramStart"/>
      <w:r w:rsidRPr="007E5E67">
        <w:rPr>
          <w:lang w:eastAsia="en-US"/>
        </w:rPr>
        <w:t>monthly</w:t>
      </w:r>
      <w:proofErr w:type="gramEnd"/>
    </w:p>
    <w:p w14:paraId="0C90AD94" w14:textId="77777777" w:rsidR="007E5E67" w:rsidRDefault="007E5E67" w:rsidP="007E5E67">
      <w:pPr>
        <w:pStyle w:val="Bullet"/>
        <w:rPr>
          <w:lang w:eastAsia="en-US"/>
        </w:rPr>
      </w:pPr>
      <w:r w:rsidRPr="007E5E67">
        <w:rPr>
          <w:lang w:eastAsia="en-US"/>
        </w:rPr>
        <w:t>The disability and cancer project involved tāngata Whaikaha Māori lived experience.</w:t>
      </w:r>
    </w:p>
    <w:p w14:paraId="0B27CA2C" w14:textId="77777777" w:rsidR="007E5E67" w:rsidRDefault="007E5E67" w:rsidP="00176F1F">
      <w:pPr>
        <w:spacing w:before="240"/>
        <w:rPr>
          <w:lang w:eastAsia="en-US"/>
        </w:rPr>
      </w:pPr>
      <w:r>
        <w:rPr>
          <w:noProof/>
        </w:rPr>
        <w:drawing>
          <wp:inline distT="0" distB="0" distL="0" distR="0" wp14:anchorId="2D5B8DF7" wp14:editId="4057FE00">
            <wp:extent cx="5020887" cy="3186296"/>
            <wp:effectExtent l="0" t="0" r="889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Lst>
                    </a:blip>
                    <a:stretch>
                      <a:fillRect/>
                    </a:stretch>
                  </pic:blipFill>
                  <pic:spPr>
                    <a:xfrm>
                      <a:off x="0" y="0"/>
                      <a:ext cx="5040204" cy="3198555"/>
                    </a:xfrm>
                    <a:prstGeom prst="rect">
                      <a:avLst/>
                    </a:prstGeom>
                  </pic:spPr>
                </pic:pic>
              </a:graphicData>
            </a:graphic>
          </wp:inline>
        </w:drawing>
      </w:r>
    </w:p>
    <w:p w14:paraId="39C56916" w14:textId="77777777" w:rsidR="007E5E67" w:rsidRDefault="007E5E67" w:rsidP="00176F1F">
      <w:pPr>
        <w:rPr>
          <w:b/>
          <w:bCs/>
          <w:sz w:val="20"/>
          <w:szCs w:val="18"/>
          <w:lang w:eastAsia="en-US"/>
        </w:rPr>
      </w:pPr>
      <w:r w:rsidRPr="00176F1F">
        <w:rPr>
          <w:b/>
          <w:bCs/>
          <w:sz w:val="20"/>
          <w:szCs w:val="18"/>
          <w:lang w:eastAsia="en-US"/>
        </w:rPr>
        <w:lastRenderedPageBreak/>
        <w:t xml:space="preserve">Figure 11: Percentage of kaimahi who feel confident in judging when and how the Crown needs to engage with </w:t>
      </w:r>
      <w:proofErr w:type="gramStart"/>
      <w:r w:rsidRPr="00176F1F">
        <w:rPr>
          <w:b/>
          <w:bCs/>
          <w:sz w:val="20"/>
          <w:szCs w:val="18"/>
          <w:lang w:eastAsia="en-US"/>
        </w:rPr>
        <w:t>Māori</w:t>
      </w:r>
      <w:proofErr w:type="gramEnd"/>
    </w:p>
    <w:p w14:paraId="4526D4E8" w14:textId="77777777" w:rsidR="00176F1F" w:rsidRDefault="00176F1F" w:rsidP="00176F1F">
      <w:pPr>
        <w:rPr>
          <w:b/>
          <w:bCs/>
          <w:sz w:val="20"/>
          <w:szCs w:val="18"/>
          <w:lang w:eastAsia="en-US"/>
        </w:rPr>
      </w:pPr>
    </w:p>
    <w:p w14:paraId="15052F76" w14:textId="43AB27F0" w:rsidR="00AB0E87" w:rsidRDefault="007E5E67" w:rsidP="00AB0E87">
      <w:pPr>
        <w:pStyle w:val="Figure"/>
        <w:spacing w:before="0"/>
        <w:rPr>
          <w:lang w:eastAsia="en-US"/>
        </w:rPr>
      </w:pPr>
      <w:r>
        <w:rPr>
          <w:noProof/>
        </w:rPr>
        <w:drawing>
          <wp:inline distT="0" distB="0" distL="0" distR="0" wp14:anchorId="18280924" wp14:editId="0AB80AA3">
            <wp:extent cx="5130165" cy="3170555"/>
            <wp:effectExtent l="0" t="0" r="0" b="0"/>
            <wp:docPr id="1568" name="Picture 1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1568">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5130165" cy="3170555"/>
                    </a:xfrm>
                    <a:prstGeom prst="rect">
                      <a:avLst/>
                    </a:prstGeom>
                  </pic:spPr>
                </pic:pic>
              </a:graphicData>
            </a:graphic>
          </wp:inline>
        </w:drawing>
      </w:r>
    </w:p>
    <w:p w14:paraId="389AF746" w14:textId="7AC64372" w:rsidR="00AB0E87" w:rsidRPr="00176F1F" w:rsidRDefault="007E5E67" w:rsidP="00176F1F">
      <w:pPr>
        <w:rPr>
          <w:b/>
          <w:bCs/>
          <w:sz w:val="20"/>
          <w:szCs w:val="18"/>
          <w:lang w:eastAsia="en-US"/>
        </w:rPr>
      </w:pPr>
      <w:r w:rsidRPr="00176F1F">
        <w:rPr>
          <w:b/>
          <w:bCs/>
          <w:sz w:val="20"/>
          <w:szCs w:val="18"/>
          <w:lang w:eastAsia="en-US"/>
        </w:rPr>
        <w:t xml:space="preserve">Figure 12: Percentage of kaimahi who believe that Te Aho o Te Kahu engages effectively with </w:t>
      </w:r>
      <w:proofErr w:type="gramStart"/>
      <w:r w:rsidRPr="00176F1F">
        <w:rPr>
          <w:b/>
          <w:bCs/>
          <w:sz w:val="20"/>
          <w:szCs w:val="18"/>
          <w:lang w:eastAsia="en-US"/>
        </w:rPr>
        <w:t>Māori</w:t>
      </w:r>
      <w:proofErr w:type="gramEnd"/>
    </w:p>
    <w:p w14:paraId="7334C710" w14:textId="77777777" w:rsidR="007E5E67" w:rsidRDefault="007E5E67" w:rsidP="00176F1F">
      <w:pPr>
        <w:pStyle w:val="Heading4"/>
        <w:rPr>
          <w:lang w:eastAsia="en-US"/>
        </w:rPr>
      </w:pPr>
      <w:r w:rsidRPr="00176F1F">
        <w:t>Aoteroa</w:t>
      </w:r>
      <w:r>
        <w:rPr>
          <w:lang w:eastAsia="en-US"/>
        </w:rPr>
        <w:t xml:space="preserve"> New Zealand history and Te Tiriti o Waitangi / Treaty of Waitangi</w:t>
      </w:r>
    </w:p>
    <w:p w14:paraId="4AC5A2A1" w14:textId="77777777" w:rsidR="007E5E67" w:rsidRPr="007E5E67" w:rsidRDefault="007E5E67" w:rsidP="007E5E67">
      <w:pPr>
        <w:rPr>
          <w:b/>
          <w:bCs/>
          <w:lang w:eastAsia="en-US"/>
        </w:rPr>
      </w:pPr>
      <w:r w:rsidRPr="007E5E67">
        <w:rPr>
          <w:b/>
          <w:bCs/>
          <w:lang w:eastAsia="en-US"/>
        </w:rPr>
        <w:t>Goal:</w:t>
      </w:r>
    </w:p>
    <w:p w14:paraId="1AFCD108" w14:textId="77777777" w:rsidR="007E5E67" w:rsidRDefault="007E5E67" w:rsidP="007E5E67">
      <w:pPr>
        <w:rPr>
          <w:lang w:eastAsia="en-US"/>
        </w:rPr>
      </w:pPr>
      <w:r>
        <w:rPr>
          <w:lang w:eastAsia="en-US"/>
        </w:rPr>
        <w:t>Te Aho o Te Kahu kaimahi understand differences between Te Tiriti o Waitangi and The Treaty of Waitangi and have space to discuss questions.</w:t>
      </w:r>
    </w:p>
    <w:p w14:paraId="6FEBF1E0" w14:textId="77777777" w:rsidR="007E5E67" w:rsidRDefault="007E5E67" w:rsidP="007E5E67">
      <w:pPr>
        <w:rPr>
          <w:lang w:eastAsia="en-US"/>
        </w:rPr>
      </w:pPr>
    </w:p>
    <w:p w14:paraId="49AB13A3" w14:textId="77777777" w:rsidR="007E5E67" w:rsidRPr="007E5E67" w:rsidRDefault="007E5E67" w:rsidP="007E5E67">
      <w:pPr>
        <w:rPr>
          <w:b/>
          <w:bCs/>
          <w:lang w:eastAsia="en-US"/>
        </w:rPr>
      </w:pPr>
      <w:r w:rsidRPr="007E5E67">
        <w:rPr>
          <w:b/>
          <w:bCs/>
          <w:lang w:eastAsia="en-US"/>
        </w:rPr>
        <w:t>What we achieved in 2023/24:</w:t>
      </w:r>
    </w:p>
    <w:p w14:paraId="431D3865" w14:textId="4FD5F10E" w:rsidR="007E5E67" w:rsidRDefault="007E5E67" w:rsidP="007E5E67">
      <w:pPr>
        <w:pStyle w:val="Bullet"/>
        <w:rPr>
          <w:lang w:eastAsia="en-US"/>
        </w:rPr>
      </w:pPr>
      <w:r>
        <w:rPr>
          <w:lang w:eastAsia="en-US"/>
        </w:rPr>
        <w:t>14% of kaimahi have a minimum of one goal in their Personal Development Plan</w:t>
      </w:r>
    </w:p>
    <w:p w14:paraId="272520C8" w14:textId="0B9962FE" w:rsidR="007E5E67" w:rsidRDefault="007E5E67" w:rsidP="00200C8F">
      <w:pPr>
        <w:pStyle w:val="Bullet"/>
        <w:rPr>
          <w:lang w:eastAsia="en-US"/>
        </w:rPr>
      </w:pPr>
      <w:r>
        <w:rPr>
          <w:lang w:eastAsia="en-US"/>
        </w:rPr>
        <w:t xml:space="preserve">During Te Wiki o Te Reo Māori, the agency screened the documentary drama ‘Te Tiriti o Waitangi – What really happened’ for Manatū Hauora and agency </w:t>
      </w:r>
      <w:proofErr w:type="gramStart"/>
      <w:r>
        <w:rPr>
          <w:lang w:eastAsia="en-US"/>
        </w:rPr>
        <w:t>kaimahi</w:t>
      </w:r>
      <w:proofErr w:type="gramEnd"/>
    </w:p>
    <w:p w14:paraId="778D8BC1" w14:textId="4BE4CB84" w:rsidR="007E5E67" w:rsidRDefault="007E5E67" w:rsidP="007E5E67">
      <w:pPr>
        <w:pStyle w:val="Bullet"/>
        <w:rPr>
          <w:lang w:eastAsia="en-US"/>
        </w:rPr>
      </w:pPr>
      <w:r>
        <w:rPr>
          <w:lang w:eastAsia="en-US"/>
        </w:rPr>
        <w:t>4 kaimahi attended Wall Walk® on Te Tiriti</w:t>
      </w:r>
    </w:p>
    <w:p w14:paraId="23606DAF" w14:textId="455C872D" w:rsidR="007E5E67" w:rsidRDefault="007E5E67" w:rsidP="007E5E67">
      <w:pPr>
        <w:rPr>
          <w:lang w:eastAsia="en-US"/>
        </w:rPr>
      </w:pPr>
    </w:p>
    <w:p w14:paraId="09BA9075" w14:textId="61E7BF63" w:rsidR="007E5E67" w:rsidRDefault="007E5E67" w:rsidP="007E5E67">
      <w:pPr>
        <w:rPr>
          <w:lang w:eastAsia="en-US"/>
        </w:rPr>
      </w:pPr>
      <w:r>
        <w:rPr>
          <w:noProof/>
        </w:rPr>
        <w:lastRenderedPageBreak/>
        <w:drawing>
          <wp:inline distT="0" distB="0" distL="0" distR="0" wp14:anchorId="518ED443" wp14:editId="517CD160">
            <wp:extent cx="5130165" cy="3291205"/>
            <wp:effectExtent l="0" t="0" r="0" b="4445"/>
            <wp:docPr id="1570" name="Picture 1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1570">
                      <a:extLst>
                        <a:ext uri="{C183D7F6-B498-43B3-948B-1728B52AA6E4}">
                          <adec:decorative xmlns:adec="http://schemas.microsoft.com/office/drawing/2017/decorative" val="1"/>
                        </a:ext>
                      </a:extLst>
                    </pic:cNvPr>
                    <pic:cNvPicPr/>
                  </pic:nvPicPr>
                  <pic:blipFill>
                    <a:blip r:embed="rId79">
                      <a:extLst>
                        <a:ext uri="{28A0092B-C50C-407E-A947-70E740481C1C}">
                          <a14:useLocalDpi xmlns:a14="http://schemas.microsoft.com/office/drawing/2010/main" val="0"/>
                        </a:ext>
                      </a:extLst>
                    </a:blip>
                    <a:stretch>
                      <a:fillRect/>
                    </a:stretch>
                  </pic:blipFill>
                  <pic:spPr>
                    <a:xfrm>
                      <a:off x="0" y="0"/>
                      <a:ext cx="5130165" cy="3291205"/>
                    </a:xfrm>
                    <a:prstGeom prst="rect">
                      <a:avLst/>
                    </a:prstGeom>
                  </pic:spPr>
                </pic:pic>
              </a:graphicData>
            </a:graphic>
          </wp:inline>
        </w:drawing>
      </w:r>
    </w:p>
    <w:p w14:paraId="12A61F8B" w14:textId="29704F6E" w:rsidR="007E5E67" w:rsidRPr="00176F1F" w:rsidRDefault="007E5E67" w:rsidP="00176F1F">
      <w:pPr>
        <w:rPr>
          <w:b/>
          <w:bCs/>
          <w:sz w:val="20"/>
          <w:szCs w:val="18"/>
          <w:lang w:eastAsia="en-US"/>
        </w:rPr>
      </w:pPr>
      <w:r w:rsidRPr="00176F1F">
        <w:rPr>
          <w:b/>
          <w:bCs/>
          <w:sz w:val="20"/>
          <w:szCs w:val="18"/>
          <w:lang w:eastAsia="en-US"/>
        </w:rPr>
        <w:t>Figure 13: Percentage of kaimahi able to describe the articles and principles of Te Tiriti</w:t>
      </w:r>
    </w:p>
    <w:p w14:paraId="54A405CD" w14:textId="77777777" w:rsidR="007E5E67" w:rsidRPr="007E5E67" w:rsidRDefault="007E5E67" w:rsidP="007E5E67">
      <w:pPr>
        <w:rPr>
          <w:lang w:eastAsia="en-US"/>
        </w:rPr>
      </w:pPr>
    </w:p>
    <w:p w14:paraId="351E693B" w14:textId="27AEADA4" w:rsidR="007E5E67" w:rsidRDefault="007E5E67" w:rsidP="007E5E67">
      <w:pPr>
        <w:rPr>
          <w:lang w:eastAsia="en-US"/>
        </w:rPr>
      </w:pPr>
      <w:r>
        <w:rPr>
          <w:noProof/>
        </w:rPr>
        <w:drawing>
          <wp:inline distT="0" distB="0" distL="0" distR="0" wp14:anchorId="73483D20" wp14:editId="3C7938A0">
            <wp:extent cx="5130165" cy="3263900"/>
            <wp:effectExtent l="0" t="0" r="0" b="0"/>
            <wp:docPr id="1571" name="Picture 1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Picture 1571">
                      <a:extLst>
                        <a:ext uri="{C183D7F6-B498-43B3-948B-1728B52AA6E4}">
                          <adec:decorative xmlns:adec="http://schemas.microsoft.com/office/drawing/2017/decorative" val="1"/>
                        </a:ext>
                      </a:extLst>
                    </pic:cNvPr>
                    <pic:cNvPicPr/>
                  </pic:nvPicPr>
                  <pic:blipFill>
                    <a:blip r:embed="rId80">
                      <a:extLst>
                        <a:ext uri="{28A0092B-C50C-407E-A947-70E740481C1C}">
                          <a14:useLocalDpi xmlns:a14="http://schemas.microsoft.com/office/drawing/2010/main" val="0"/>
                        </a:ext>
                      </a:extLst>
                    </a:blip>
                    <a:stretch>
                      <a:fillRect/>
                    </a:stretch>
                  </pic:blipFill>
                  <pic:spPr>
                    <a:xfrm>
                      <a:off x="0" y="0"/>
                      <a:ext cx="5130165" cy="3263900"/>
                    </a:xfrm>
                    <a:prstGeom prst="rect">
                      <a:avLst/>
                    </a:prstGeom>
                  </pic:spPr>
                </pic:pic>
              </a:graphicData>
            </a:graphic>
          </wp:inline>
        </w:drawing>
      </w:r>
    </w:p>
    <w:p w14:paraId="3F53C65F" w14:textId="62006D4E" w:rsidR="007E5E67" w:rsidRPr="00176F1F" w:rsidRDefault="007E5E67" w:rsidP="00176F1F">
      <w:pPr>
        <w:rPr>
          <w:b/>
          <w:bCs/>
          <w:sz w:val="20"/>
          <w:szCs w:val="18"/>
          <w:lang w:eastAsia="en-US"/>
        </w:rPr>
      </w:pPr>
      <w:r w:rsidRPr="00176F1F">
        <w:rPr>
          <w:b/>
          <w:bCs/>
          <w:sz w:val="20"/>
          <w:szCs w:val="18"/>
          <w:lang w:eastAsia="en-US"/>
        </w:rPr>
        <w:t xml:space="preserve">Figure 14: Percentage of kaimahi able to describe how Te Tiriti applies to their </w:t>
      </w:r>
      <w:proofErr w:type="gramStart"/>
      <w:r w:rsidRPr="00176F1F">
        <w:rPr>
          <w:b/>
          <w:bCs/>
          <w:sz w:val="20"/>
          <w:szCs w:val="18"/>
          <w:lang w:eastAsia="en-US"/>
        </w:rPr>
        <w:t>work</w:t>
      </w:r>
      <w:proofErr w:type="gramEnd"/>
    </w:p>
    <w:p w14:paraId="06681529" w14:textId="3F55E476" w:rsidR="007E5E67" w:rsidRDefault="007E5E67" w:rsidP="007E5E67">
      <w:pPr>
        <w:rPr>
          <w:lang w:eastAsia="en-US"/>
        </w:rPr>
      </w:pPr>
    </w:p>
    <w:p w14:paraId="5586E7E4" w14:textId="77777777" w:rsidR="007E5E67" w:rsidRDefault="007E5E67" w:rsidP="007E5E67">
      <w:pPr>
        <w:pStyle w:val="Heading4"/>
        <w:rPr>
          <w:lang w:eastAsia="en-US"/>
        </w:rPr>
      </w:pPr>
      <w:r>
        <w:rPr>
          <w:lang w:eastAsia="en-US"/>
        </w:rPr>
        <w:t>E Tipu E Tipu – Māori Language Plan</w:t>
      </w:r>
    </w:p>
    <w:p w14:paraId="0F0CBC01" w14:textId="77777777" w:rsidR="007E5E67" w:rsidRDefault="007E5E67" w:rsidP="007E5E67">
      <w:pPr>
        <w:rPr>
          <w:lang w:eastAsia="en-US"/>
        </w:rPr>
      </w:pPr>
      <w:r>
        <w:rPr>
          <w:lang w:eastAsia="en-US"/>
        </w:rPr>
        <w:t>We identified the following five capability goals in our Māori language plan, E Tipu E Tipu.</w:t>
      </w:r>
    </w:p>
    <w:p w14:paraId="769519B3" w14:textId="255A0355" w:rsidR="007E5E67" w:rsidRDefault="007E5E67" w:rsidP="007E5E67">
      <w:pPr>
        <w:pStyle w:val="Bullet"/>
        <w:rPr>
          <w:lang w:eastAsia="en-US"/>
        </w:rPr>
      </w:pPr>
      <w:r w:rsidRPr="007E5E67">
        <w:rPr>
          <w:b/>
          <w:bCs/>
          <w:lang w:eastAsia="en-US"/>
        </w:rPr>
        <w:t>Status</w:t>
      </w:r>
      <w:r>
        <w:rPr>
          <w:lang w:eastAsia="en-US"/>
        </w:rPr>
        <w:t>: Raising the profile and value of the Māori language across the agency.</w:t>
      </w:r>
    </w:p>
    <w:p w14:paraId="5107CFBA" w14:textId="40E3C853" w:rsidR="007E5E67" w:rsidRDefault="007E5E67" w:rsidP="007E5E67">
      <w:pPr>
        <w:pStyle w:val="Bullet"/>
        <w:rPr>
          <w:lang w:eastAsia="en-US"/>
        </w:rPr>
      </w:pPr>
      <w:r w:rsidRPr="007E5E67">
        <w:rPr>
          <w:b/>
          <w:bCs/>
          <w:lang w:eastAsia="en-US"/>
        </w:rPr>
        <w:t>Critical awareness</w:t>
      </w:r>
      <w:r>
        <w:rPr>
          <w:lang w:eastAsia="en-US"/>
        </w:rPr>
        <w:t>: Raising awareness of the need to revitalise te reo Māori.</w:t>
      </w:r>
    </w:p>
    <w:p w14:paraId="33B8FB65" w14:textId="071AAD15" w:rsidR="007E5E67" w:rsidRDefault="007E5E67" w:rsidP="007E5E67">
      <w:pPr>
        <w:pStyle w:val="Bullet"/>
        <w:rPr>
          <w:lang w:eastAsia="en-US"/>
        </w:rPr>
      </w:pPr>
      <w:r w:rsidRPr="007E5E67">
        <w:rPr>
          <w:b/>
          <w:bCs/>
          <w:lang w:eastAsia="en-US"/>
        </w:rPr>
        <w:lastRenderedPageBreak/>
        <w:t>Acquisition</w:t>
      </w:r>
      <w:r>
        <w:rPr>
          <w:lang w:eastAsia="en-US"/>
        </w:rPr>
        <w:t>: Growing the number of kaimahi learning te reo Māori, through formal or informal learning.</w:t>
      </w:r>
    </w:p>
    <w:p w14:paraId="5A912FF3" w14:textId="22D04630" w:rsidR="007E5E67" w:rsidRDefault="007E5E67" w:rsidP="007E5E67">
      <w:pPr>
        <w:pStyle w:val="Bullet"/>
        <w:rPr>
          <w:lang w:eastAsia="en-US"/>
        </w:rPr>
      </w:pPr>
      <w:r w:rsidRPr="007E5E67">
        <w:rPr>
          <w:b/>
          <w:bCs/>
          <w:lang w:eastAsia="en-US"/>
        </w:rPr>
        <w:t>Use</w:t>
      </w:r>
      <w:r>
        <w:rPr>
          <w:lang w:eastAsia="en-US"/>
        </w:rPr>
        <w:t>: Normalising and increasing kaimahi and stakeholders use of te reo Māori.</w:t>
      </w:r>
    </w:p>
    <w:p w14:paraId="0EE96A74" w14:textId="3DB7F028" w:rsidR="007E5E67" w:rsidRDefault="007E5E67" w:rsidP="007E5E67">
      <w:pPr>
        <w:pStyle w:val="Bullet"/>
        <w:rPr>
          <w:lang w:eastAsia="en-US"/>
        </w:rPr>
      </w:pPr>
      <w:r w:rsidRPr="007E5E67">
        <w:rPr>
          <w:b/>
          <w:bCs/>
          <w:lang w:eastAsia="en-US"/>
        </w:rPr>
        <w:t>Corpus</w:t>
      </w:r>
      <w:r>
        <w:rPr>
          <w:lang w:eastAsia="en-US"/>
        </w:rPr>
        <w:t>: Increasing the availability and/or development of relevant terms and words to widen language use specific to Te Aho o Te Kahu.</w:t>
      </w:r>
    </w:p>
    <w:p w14:paraId="2BA58A35" w14:textId="77777777" w:rsidR="007E5E67" w:rsidRDefault="007E5E67" w:rsidP="007E5E67">
      <w:pPr>
        <w:rPr>
          <w:lang w:eastAsia="en-US"/>
        </w:rPr>
      </w:pPr>
    </w:p>
    <w:p w14:paraId="08B3D139" w14:textId="77777777" w:rsidR="007E5E67" w:rsidRDefault="007E5E67" w:rsidP="007E5E67">
      <w:pPr>
        <w:rPr>
          <w:lang w:eastAsia="en-US"/>
        </w:rPr>
      </w:pPr>
      <w:r>
        <w:rPr>
          <w:lang w:eastAsia="en-US"/>
        </w:rPr>
        <w:t>Some examples of these goals being applied across our agency include:</w:t>
      </w:r>
    </w:p>
    <w:p w14:paraId="756E337F" w14:textId="7FC348F8" w:rsidR="007E5E67" w:rsidRDefault="007E5E67" w:rsidP="007E5E67">
      <w:pPr>
        <w:pStyle w:val="Bullet"/>
        <w:rPr>
          <w:lang w:eastAsia="en-US"/>
        </w:rPr>
      </w:pPr>
      <w:r>
        <w:rPr>
          <w:lang w:eastAsia="en-US"/>
        </w:rPr>
        <w:t xml:space="preserve">our induction information describing our ingoa, values and commitment to te ao </w:t>
      </w:r>
      <w:proofErr w:type="gramStart"/>
      <w:r>
        <w:rPr>
          <w:lang w:eastAsia="en-US"/>
        </w:rPr>
        <w:t>Māori</w:t>
      </w:r>
      <w:proofErr w:type="gramEnd"/>
    </w:p>
    <w:p w14:paraId="1FBA8D65" w14:textId="2505C864" w:rsidR="007E5E67" w:rsidRDefault="007E5E67" w:rsidP="007E5E67">
      <w:pPr>
        <w:pStyle w:val="Bullet"/>
        <w:rPr>
          <w:lang w:eastAsia="en-US"/>
        </w:rPr>
      </w:pPr>
      <w:r>
        <w:rPr>
          <w:lang w:eastAsia="en-US"/>
        </w:rPr>
        <w:t xml:space="preserve">our communication plans detailing appropriate inclusion of te reo </w:t>
      </w:r>
      <w:proofErr w:type="gramStart"/>
      <w:r>
        <w:rPr>
          <w:lang w:eastAsia="en-US"/>
        </w:rPr>
        <w:t>Māori</w:t>
      </w:r>
      <w:proofErr w:type="gramEnd"/>
    </w:p>
    <w:p w14:paraId="52CF11B7" w14:textId="2400C1FB" w:rsidR="007E5E67" w:rsidRDefault="007E5E67" w:rsidP="007E5E67">
      <w:pPr>
        <w:pStyle w:val="Bullet"/>
        <w:rPr>
          <w:lang w:eastAsia="en-US"/>
        </w:rPr>
      </w:pPr>
      <w:r>
        <w:rPr>
          <w:lang w:eastAsia="en-US"/>
        </w:rPr>
        <w:t>providing opportunities for kaimahi to learn te reo Māori, te ao Māori or Te Tiriti via courses or free online resources.</w:t>
      </w:r>
    </w:p>
    <w:p w14:paraId="6CE771E5" w14:textId="473C343D" w:rsidR="007E5E67" w:rsidRDefault="007E5E67" w:rsidP="007E5E67">
      <w:pPr>
        <w:pStyle w:val="Bullet"/>
        <w:rPr>
          <w:lang w:eastAsia="en-US"/>
        </w:rPr>
      </w:pPr>
      <w:r>
        <w:rPr>
          <w:lang w:eastAsia="en-US"/>
        </w:rPr>
        <w:t xml:space="preserve">key meetings (for example, kaimahi hui) include karakia and/or </w:t>
      </w:r>
      <w:proofErr w:type="gramStart"/>
      <w:r>
        <w:rPr>
          <w:lang w:eastAsia="en-US"/>
        </w:rPr>
        <w:t>waiata</w:t>
      </w:r>
      <w:proofErr w:type="gramEnd"/>
    </w:p>
    <w:p w14:paraId="060944EC" w14:textId="6164374F" w:rsidR="007E5E67" w:rsidRDefault="007E5E67" w:rsidP="007E5E67">
      <w:pPr>
        <w:pStyle w:val="Bullet"/>
        <w:rPr>
          <w:lang w:eastAsia="en-US"/>
        </w:rPr>
      </w:pPr>
      <w:r>
        <w:rPr>
          <w:lang w:eastAsia="en-US"/>
        </w:rPr>
        <w:t xml:space="preserve">te reo Māori goals are included in each personal development </w:t>
      </w:r>
      <w:proofErr w:type="gramStart"/>
      <w:r>
        <w:rPr>
          <w:lang w:eastAsia="en-US"/>
        </w:rPr>
        <w:t>plans</w:t>
      </w:r>
      <w:proofErr w:type="gramEnd"/>
    </w:p>
    <w:p w14:paraId="2CA5C669" w14:textId="1E49735B" w:rsidR="007E5E67" w:rsidRDefault="007E5E67" w:rsidP="007E5E67">
      <w:pPr>
        <w:pStyle w:val="Bullet"/>
        <w:rPr>
          <w:lang w:eastAsia="en-US"/>
        </w:rPr>
      </w:pPr>
      <w:r>
        <w:rPr>
          <w:lang w:eastAsia="en-US"/>
        </w:rPr>
        <w:t>encouraging good pronunciation of key reo Māori kupu (words) relating to our work</w:t>
      </w:r>
    </w:p>
    <w:p w14:paraId="6EB97838" w14:textId="2A6DA96D" w:rsidR="007E5E67" w:rsidRDefault="007E5E67" w:rsidP="007E5E67">
      <w:pPr>
        <w:pStyle w:val="Bullet"/>
        <w:rPr>
          <w:lang w:eastAsia="en-US"/>
        </w:rPr>
      </w:pPr>
      <w:r>
        <w:rPr>
          <w:lang w:eastAsia="en-US"/>
        </w:rPr>
        <w:t>bilingual signs, job titles, email greetings and signoffs.</w:t>
      </w:r>
    </w:p>
    <w:p w14:paraId="0FDD168F" w14:textId="77777777" w:rsidR="00226DFD" w:rsidRDefault="00226DFD" w:rsidP="00226DFD">
      <w:pPr>
        <w:rPr>
          <w:lang w:eastAsia="en-US"/>
        </w:rPr>
        <w:sectPr w:rsidR="00226DFD" w:rsidSect="005E645F">
          <w:pgSz w:w="11907" w:h="16840" w:code="9"/>
          <w:pgMar w:top="1418" w:right="1701" w:bottom="1134" w:left="1843" w:header="284" w:footer="425" w:gutter="284"/>
          <w:cols w:space="720"/>
        </w:sectPr>
      </w:pPr>
    </w:p>
    <w:p w14:paraId="0DBD737A" w14:textId="0D48B42A" w:rsidR="00226DFD" w:rsidRDefault="00226DFD" w:rsidP="00226DFD">
      <w:pPr>
        <w:pStyle w:val="Heading2"/>
        <w:spacing w:before="0"/>
        <w:rPr>
          <w:lang w:eastAsia="en-US"/>
        </w:rPr>
      </w:pPr>
      <w:bookmarkStart w:id="67" w:name="_Toc180077062"/>
      <w:r>
        <w:rPr>
          <w:lang w:eastAsia="en-US"/>
        </w:rPr>
        <w:lastRenderedPageBreak/>
        <w:t xml:space="preserve">Haepapa Tauākī </w:t>
      </w:r>
      <w:r w:rsidR="00C42F6C">
        <w:t>–</w:t>
      </w:r>
      <w:r>
        <w:rPr>
          <w:lang w:eastAsia="en-US"/>
        </w:rPr>
        <w:t xml:space="preserve"> Statement of responsibility</w:t>
      </w:r>
      <w:bookmarkEnd w:id="67"/>
    </w:p>
    <w:p w14:paraId="05714579" w14:textId="0C7A7931" w:rsidR="00226DFD" w:rsidRDefault="00226DFD" w:rsidP="00226DFD">
      <w:pPr>
        <w:rPr>
          <w:lang w:eastAsia="en-US"/>
        </w:rPr>
      </w:pPr>
      <w:r>
        <w:rPr>
          <w:lang w:eastAsia="en-US"/>
        </w:rPr>
        <w:t>I am responsible for the accuracy of any end-of-year performance information prepared by Te Aho o Te Kahu, and for whether that information is included in the annual report.</w:t>
      </w:r>
    </w:p>
    <w:p w14:paraId="5187F27D" w14:textId="77777777" w:rsidR="00226DFD" w:rsidRDefault="00226DFD" w:rsidP="00226DFD">
      <w:pPr>
        <w:rPr>
          <w:lang w:eastAsia="en-US"/>
        </w:rPr>
      </w:pPr>
    </w:p>
    <w:p w14:paraId="689E4FB4" w14:textId="172E13BE" w:rsidR="00226DFD" w:rsidRDefault="00226DFD" w:rsidP="00226DFD">
      <w:pPr>
        <w:rPr>
          <w:lang w:eastAsia="en-US"/>
        </w:rPr>
      </w:pPr>
      <w:r>
        <w:rPr>
          <w:lang w:eastAsia="en-US"/>
        </w:rPr>
        <w:t>In my opinion, this annual report fairly reflects the operations, progress, and organisational health and capability of Te Aho o Te Kahu over the year 1 July 2023 to 30 June 2024.</w:t>
      </w:r>
    </w:p>
    <w:p w14:paraId="1C64949E" w14:textId="77777777" w:rsidR="00226DFD" w:rsidRDefault="00226DFD" w:rsidP="00226DFD">
      <w:pPr>
        <w:rPr>
          <w:lang w:eastAsia="en-US"/>
        </w:rPr>
      </w:pPr>
    </w:p>
    <w:p w14:paraId="59A63E46" w14:textId="5DB80FAD" w:rsidR="00226DFD" w:rsidRDefault="00226DFD" w:rsidP="00226DFD">
      <w:pPr>
        <w:rPr>
          <w:lang w:eastAsia="en-US"/>
        </w:rPr>
      </w:pPr>
      <w:r>
        <w:rPr>
          <w:lang w:eastAsia="en-US"/>
        </w:rPr>
        <w:t>Ngā manaakitanga,</w:t>
      </w:r>
    </w:p>
    <w:p w14:paraId="793E4DC4" w14:textId="77777777" w:rsidR="00226DFD" w:rsidRDefault="00226DFD" w:rsidP="00226DFD">
      <w:pPr>
        <w:rPr>
          <w:lang w:eastAsia="en-US"/>
        </w:rPr>
      </w:pPr>
    </w:p>
    <w:p w14:paraId="59AFEB34" w14:textId="31308291" w:rsidR="00226DFD" w:rsidRDefault="00226DFD" w:rsidP="00226DFD">
      <w:pPr>
        <w:rPr>
          <w:lang w:eastAsia="en-US"/>
        </w:rPr>
      </w:pPr>
      <w:r>
        <w:rPr>
          <w:noProof/>
        </w:rPr>
        <w:drawing>
          <wp:inline distT="0" distB="0" distL="0" distR="0" wp14:anchorId="2D0DD46C" wp14:editId="117E296B">
            <wp:extent cx="923758" cy="402050"/>
            <wp:effectExtent l="0" t="0" r="0" b="0"/>
            <wp:docPr id="2999" name="Image 2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9" name="Image 2999">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23758" cy="402050"/>
                    </a:xfrm>
                    <a:prstGeom prst="rect">
                      <a:avLst/>
                    </a:prstGeom>
                  </pic:spPr>
                </pic:pic>
              </a:graphicData>
            </a:graphic>
          </wp:inline>
        </w:drawing>
      </w:r>
    </w:p>
    <w:p w14:paraId="4CDF19AF" w14:textId="77777777" w:rsidR="00226DFD" w:rsidRDefault="00226DFD" w:rsidP="00226DFD">
      <w:pPr>
        <w:spacing w:before="120"/>
        <w:rPr>
          <w:lang w:eastAsia="en-US"/>
        </w:rPr>
      </w:pPr>
      <w:r>
        <w:rPr>
          <w:lang w:eastAsia="en-US"/>
        </w:rPr>
        <w:t>Rami Rahal</w:t>
      </w:r>
    </w:p>
    <w:p w14:paraId="25E928B7" w14:textId="77777777" w:rsidR="00226DFD" w:rsidRDefault="00226DFD" w:rsidP="00226DFD">
      <w:pPr>
        <w:rPr>
          <w:lang w:eastAsia="en-US"/>
        </w:rPr>
      </w:pPr>
      <w:r>
        <w:rPr>
          <w:lang w:eastAsia="en-US"/>
        </w:rPr>
        <w:t>Tumu Whakarae, Chief Executive</w:t>
      </w:r>
    </w:p>
    <w:p w14:paraId="644DA2E8" w14:textId="77777777" w:rsidR="00226DFD" w:rsidRDefault="00226DFD" w:rsidP="00226DFD">
      <w:pPr>
        <w:rPr>
          <w:lang w:eastAsia="en-US"/>
        </w:rPr>
      </w:pPr>
      <w:r>
        <w:rPr>
          <w:lang w:eastAsia="en-US"/>
        </w:rPr>
        <w:t xml:space="preserve">Te Aho o Te Kahu, Cancer Control Agency </w:t>
      </w:r>
    </w:p>
    <w:p w14:paraId="5D2A56C9" w14:textId="663A43F3" w:rsidR="007E5E67" w:rsidRPr="007E5E67" w:rsidRDefault="00226DFD" w:rsidP="00226DFD">
      <w:pPr>
        <w:rPr>
          <w:lang w:eastAsia="en-US"/>
        </w:rPr>
      </w:pPr>
      <w:r>
        <w:rPr>
          <w:lang w:eastAsia="en-US"/>
        </w:rPr>
        <w:t>30 September 2024</w:t>
      </w:r>
    </w:p>
    <w:sectPr w:rsidR="007E5E67" w:rsidRPr="007E5E67" w:rsidSect="005E645F">
      <w:pgSz w:w="11907" w:h="16840"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3F089" w14:textId="77777777" w:rsidR="00A24B4F" w:rsidRDefault="00A24B4F">
      <w:r>
        <w:separator/>
      </w:r>
    </w:p>
    <w:p w14:paraId="602F7A01" w14:textId="77777777" w:rsidR="00A24B4F" w:rsidRDefault="00A24B4F"/>
  </w:endnote>
  <w:endnote w:type="continuationSeparator" w:id="0">
    <w:p w14:paraId="786DC0CC" w14:textId="77777777" w:rsidR="00A24B4F" w:rsidRDefault="00A24B4F">
      <w:r>
        <w:continuationSeparator/>
      </w:r>
    </w:p>
    <w:p w14:paraId="258A43C7" w14:textId="77777777" w:rsidR="00A24B4F" w:rsidRDefault="00A24B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591FC9BE" w:rsidR="000A1102" w:rsidRPr="00581136" w:rsidRDefault="000A1102" w:rsidP="005A79E5">
    <w:pPr>
      <w:pStyle w:val="Footer"/>
      <w:pBdr>
        <w:bottom w:val="single" w:sz="4" w:space="1" w:color="auto"/>
      </w:pBdr>
      <w:tabs>
        <w:tab w:val="right" w:pos="9639"/>
      </w:tabs>
      <w:rPr>
        <w:b/>
      </w:rPr>
    </w:pPr>
    <w:r w:rsidRPr="00581136">
      <w:rPr>
        <w:b/>
      </w:rPr>
      <w:t>Released 20</w:t>
    </w:r>
    <w:r>
      <w:rPr>
        <w:b/>
      </w:rPr>
      <w:t>23</w:t>
    </w:r>
    <w:r w:rsidRPr="00581136">
      <w:rPr>
        <w:b/>
      </w:rPr>
      <w:tab/>
      <w:t>health.govt.nz</w:t>
    </w:r>
  </w:p>
  <w:p w14:paraId="524869F6" w14:textId="77777777" w:rsidR="000A1102" w:rsidRPr="005A79E5" w:rsidRDefault="000A1102">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0A1102" w14:paraId="7DB74E0B" w14:textId="77777777" w:rsidTr="00D662F8">
      <w:trPr>
        <w:cantSplit/>
      </w:trPr>
      <w:tc>
        <w:tcPr>
          <w:tcW w:w="709" w:type="dxa"/>
          <w:vAlign w:val="center"/>
        </w:tcPr>
        <w:p w14:paraId="7FB9EB7B" w14:textId="77777777" w:rsidR="000A1102" w:rsidRPr="00931466" w:rsidRDefault="000A1102"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A8BBBFB" w14:textId="4ED4D413" w:rsidR="000A1102" w:rsidRDefault="000A1102" w:rsidP="00926083">
          <w:pPr>
            <w:pStyle w:val="RectoFooter"/>
            <w:jc w:val="left"/>
          </w:pPr>
          <w:r w:rsidRPr="00013FA8">
            <w:t>Ministry of Health – Manatū Hauora – 2023/2024 Annual Report</w:t>
          </w:r>
        </w:p>
      </w:tc>
    </w:tr>
  </w:tbl>
  <w:p w14:paraId="7C39EF3C" w14:textId="77777777" w:rsidR="000A1102" w:rsidRPr="00571223" w:rsidRDefault="000A1102"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0A1102" w14:paraId="038F9101" w14:textId="77777777" w:rsidTr="00266E11">
      <w:trPr>
        <w:cantSplit/>
      </w:trPr>
      <w:tc>
        <w:tcPr>
          <w:tcW w:w="8080" w:type="dxa"/>
          <w:vAlign w:val="center"/>
        </w:tcPr>
        <w:p w14:paraId="7363CE77" w14:textId="68B21B08" w:rsidR="000A1102" w:rsidRDefault="000A1102" w:rsidP="00C61360">
          <w:pPr>
            <w:pStyle w:val="RectoFooter"/>
          </w:pPr>
          <w:r w:rsidRPr="00013FA8">
            <w:t>Ministry of Health – Manatū Hauora – 2023/2024 Annual Report</w:t>
          </w:r>
        </w:p>
      </w:tc>
      <w:tc>
        <w:tcPr>
          <w:tcW w:w="709" w:type="dxa"/>
          <w:vAlign w:val="center"/>
        </w:tcPr>
        <w:p w14:paraId="56F4ACA1" w14:textId="77777777" w:rsidR="000A1102" w:rsidRPr="00931466" w:rsidRDefault="000A1102" w:rsidP="00C61360">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755CAC6B" w14:textId="77777777" w:rsidR="000A1102" w:rsidRPr="00C61360" w:rsidRDefault="000A1102" w:rsidP="00581EB8">
    <w:pPr>
      <w:pStyle w:val="Footer"/>
      <w:rPr>
        <w:b/>
        <w:bCs/>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0A1102" w14:paraId="71A9B4C6" w14:textId="77777777" w:rsidTr="00D662F8">
      <w:trPr>
        <w:cantSplit/>
      </w:trPr>
      <w:tc>
        <w:tcPr>
          <w:tcW w:w="709" w:type="dxa"/>
          <w:vAlign w:val="center"/>
        </w:tcPr>
        <w:p w14:paraId="78F16650" w14:textId="77777777" w:rsidR="000A1102" w:rsidRPr="00931466" w:rsidRDefault="000A1102"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5FEF129B" w14:textId="77777777" w:rsidR="000A1102" w:rsidRDefault="000A1102" w:rsidP="00926083">
          <w:pPr>
            <w:pStyle w:val="RectoFooter"/>
            <w:jc w:val="left"/>
          </w:pPr>
          <w:r w:rsidRPr="00013FA8">
            <w:t>Ministry of Health – Manatū Hauora – 2023/2024 Annual Report</w:t>
          </w:r>
        </w:p>
      </w:tc>
    </w:tr>
  </w:tbl>
  <w:p w14:paraId="1689026C" w14:textId="77777777" w:rsidR="000A1102" w:rsidRPr="00571223" w:rsidRDefault="000A1102" w:rsidP="00571223">
    <w:pPr>
      <w:pStyle w:val="Verso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0A1102" w14:paraId="741E6BA2" w14:textId="77777777" w:rsidTr="00D662F8">
      <w:trPr>
        <w:cantSplit/>
      </w:trPr>
      <w:tc>
        <w:tcPr>
          <w:tcW w:w="709" w:type="dxa"/>
          <w:vAlign w:val="center"/>
        </w:tcPr>
        <w:p w14:paraId="5693D094" w14:textId="77777777" w:rsidR="000A1102" w:rsidRPr="00931466" w:rsidRDefault="000A1102"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7FB594E7" w14:textId="28C663C7" w:rsidR="000A1102" w:rsidRDefault="000A1102" w:rsidP="00926083">
          <w:pPr>
            <w:pStyle w:val="RectoFooter"/>
            <w:jc w:val="left"/>
          </w:pPr>
          <w:r w:rsidRPr="0007762E">
            <w:t>TE AHO O TE KAHU, CANCER CONTROL AGENCY: ANNUAL REPORT 202</w:t>
          </w:r>
          <w:r>
            <w:t>3</w:t>
          </w:r>
          <w:r w:rsidRPr="0007762E">
            <w:t>/2</w:t>
          </w:r>
          <w:r>
            <w:t>4</w:t>
          </w:r>
        </w:p>
      </w:tc>
    </w:tr>
  </w:tbl>
  <w:p w14:paraId="4E1420A9" w14:textId="77777777" w:rsidR="000A1102" w:rsidRPr="00571223" w:rsidRDefault="000A1102" w:rsidP="00571223">
    <w:pPr>
      <w:pStyle w:val="VersoFoote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0A1102" w14:paraId="1D820D07" w14:textId="77777777" w:rsidTr="00266E11">
      <w:trPr>
        <w:cantSplit/>
      </w:trPr>
      <w:tc>
        <w:tcPr>
          <w:tcW w:w="8080" w:type="dxa"/>
          <w:vAlign w:val="center"/>
        </w:tcPr>
        <w:p w14:paraId="75D63B88" w14:textId="3ECAB601" w:rsidR="000A1102" w:rsidRDefault="000A1102" w:rsidP="00C61360">
          <w:pPr>
            <w:pStyle w:val="RectoFooter"/>
          </w:pPr>
          <w:r w:rsidRPr="0007762E">
            <w:t>TE AHO O TE KAHU, CANCER CONTROL AGENCY: ANNUAL REPORT 202</w:t>
          </w:r>
          <w:r>
            <w:t>3</w:t>
          </w:r>
          <w:r w:rsidRPr="0007762E">
            <w:t>/2</w:t>
          </w:r>
          <w:r>
            <w:t>4</w:t>
          </w:r>
        </w:p>
      </w:tc>
      <w:tc>
        <w:tcPr>
          <w:tcW w:w="709" w:type="dxa"/>
          <w:vAlign w:val="center"/>
        </w:tcPr>
        <w:p w14:paraId="36B6CA77" w14:textId="77777777" w:rsidR="000A1102" w:rsidRPr="00931466" w:rsidRDefault="000A1102" w:rsidP="00C61360">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3A7832" w14:textId="77777777" w:rsidR="000A1102" w:rsidRPr="00C61360" w:rsidRDefault="000A1102" w:rsidP="00581EB8">
    <w:pPr>
      <w:pStyle w:val="Footer"/>
      <w:rPr>
        <w:b/>
        <w:bCs/>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0A1102" w:rsidRDefault="000A1102"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0A1102" w:rsidRDefault="000A11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0A1102" w14:paraId="14235F3B" w14:textId="77777777" w:rsidTr="00266E11">
      <w:trPr>
        <w:cantSplit/>
      </w:trPr>
      <w:tc>
        <w:tcPr>
          <w:tcW w:w="709" w:type="dxa"/>
          <w:vAlign w:val="center"/>
        </w:tcPr>
        <w:p w14:paraId="162540FA" w14:textId="77777777" w:rsidR="000A1102" w:rsidRPr="00931466" w:rsidRDefault="000A1102" w:rsidP="00C61360">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2E3A783C" w14:textId="553FCAFB" w:rsidR="000A1102" w:rsidRDefault="000A1102" w:rsidP="00C61360">
          <w:pPr>
            <w:pStyle w:val="RectoFooter"/>
            <w:jc w:val="left"/>
          </w:pPr>
          <w:r w:rsidRPr="00013FA8">
            <w:t>Ministry of Health – Manatū Hauora – 2023/2024 Annual Report</w:t>
          </w:r>
        </w:p>
      </w:tc>
    </w:tr>
  </w:tbl>
  <w:p w14:paraId="172F2DDB" w14:textId="77777777" w:rsidR="000A1102" w:rsidRPr="00C61360" w:rsidRDefault="000A1102"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0A1102" w14:paraId="71F3685B" w14:textId="77777777" w:rsidTr="00D662F8">
      <w:trPr>
        <w:cantSplit/>
      </w:trPr>
      <w:tc>
        <w:tcPr>
          <w:tcW w:w="8080" w:type="dxa"/>
          <w:vAlign w:val="center"/>
        </w:tcPr>
        <w:p w14:paraId="5784B1D8" w14:textId="310C09C9" w:rsidR="000A1102" w:rsidRDefault="000A1102" w:rsidP="00926083">
          <w:pPr>
            <w:pStyle w:val="RectoFooter"/>
          </w:pPr>
          <w:r w:rsidRPr="00013FA8">
            <w:t>Ministry of Health – Manatū Hauora – 2023/2024 Annual Report</w:t>
          </w:r>
        </w:p>
      </w:tc>
      <w:tc>
        <w:tcPr>
          <w:tcW w:w="709" w:type="dxa"/>
          <w:vAlign w:val="center"/>
        </w:tcPr>
        <w:p w14:paraId="18A7A1B5" w14:textId="77777777" w:rsidR="000A1102" w:rsidRPr="00931466" w:rsidRDefault="000A1102"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77777777" w:rsidR="000A1102" w:rsidRPr="00581EB8" w:rsidRDefault="000A1102"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0A1102" w14:paraId="6C6FBFFD" w14:textId="77777777" w:rsidTr="00266E11">
      <w:trPr>
        <w:cantSplit/>
      </w:trPr>
      <w:tc>
        <w:tcPr>
          <w:tcW w:w="709" w:type="dxa"/>
          <w:vAlign w:val="center"/>
        </w:tcPr>
        <w:p w14:paraId="1ACDF2F3" w14:textId="77777777" w:rsidR="000A1102" w:rsidRPr="00931466" w:rsidRDefault="000A1102" w:rsidP="00C61360">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69EE0CD9" w14:textId="01A6E089" w:rsidR="000A1102" w:rsidRDefault="000A1102" w:rsidP="00C61360">
          <w:pPr>
            <w:pStyle w:val="RectoFooter"/>
            <w:jc w:val="left"/>
          </w:pPr>
          <w:r w:rsidRPr="00013FA8">
            <w:t>Ministry of Health – Manatū Hauora – 2023/2024 Annual Report</w:t>
          </w:r>
        </w:p>
      </w:tc>
    </w:tr>
  </w:tbl>
  <w:p w14:paraId="3139C60B" w14:textId="77777777" w:rsidR="000A1102" w:rsidRPr="00571223" w:rsidRDefault="000A1102"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0A1102" w14:paraId="0336F24B" w14:textId="77777777" w:rsidTr="00266E11">
      <w:trPr>
        <w:cantSplit/>
      </w:trPr>
      <w:tc>
        <w:tcPr>
          <w:tcW w:w="8080" w:type="dxa"/>
          <w:vAlign w:val="center"/>
        </w:tcPr>
        <w:p w14:paraId="323503C3" w14:textId="2F770298" w:rsidR="000A1102" w:rsidRDefault="000A1102" w:rsidP="00C61360">
          <w:pPr>
            <w:pStyle w:val="RectoFooter"/>
          </w:pPr>
          <w:r w:rsidRPr="00013FA8">
            <w:t>Ministry of Health – Manatū Hauora – 2023/2024 Annual Report</w:t>
          </w:r>
        </w:p>
      </w:tc>
      <w:tc>
        <w:tcPr>
          <w:tcW w:w="709" w:type="dxa"/>
          <w:vAlign w:val="center"/>
        </w:tcPr>
        <w:p w14:paraId="36DE24CF" w14:textId="77777777" w:rsidR="000A1102" w:rsidRPr="00931466" w:rsidRDefault="000A1102" w:rsidP="00C61360">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5CFC608" w14:textId="77777777" w:rsidR="000A1102" w:rsidRPr="00581EB8" w:rsidRDefault="000A1102"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0A1102" w14:paraId="4C3A3BF7" w14:textId="77777777" w:rsidTr="00D662F8">
      <w:trPr>
        <w:cantSplit/>
      </w:trPr>
      <w:tc>
        <w:tcPr>
          <w:tcW w:w="709" w:type="dxa"/>
          <w:vAlign w:val="center"/>
        </w:tcPr>
        <w:p w14:paraId="28F87ED7" w14:textId="77777777" w:rsidR="000A1102" w:rsidRPr="00931466" w:rsidRDefault="000A1102"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5A53F756" w:rsidR="000A1102" w:rsidRDefault="000A1102" w:rsidP="00926083">
          <w:pPr>
            <w:pStyle w:val="RectoFooter"/>
            <w:jc w:val="left"/>
          </w:pPr>
          <w:r w:rsidRPr="00013FA8">
            <w:t>Ministry of Health – Manatū Hauora – 2023/2024 Annual Report</w:t>
          </w:r>
        </w:p>
      </w:tc>
    </w:tr>
  </w:tbl>
  <w:p w14:paraId="711B5D80" w14:textId="77777777" w:rsidR="000A1102" w:rsidRPr="00571223" w:rsidRDefault="000A1102"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0A1102" w14:paraId="7C62BFC4" w14:textId="77777777" w:rsidTr="00266E11">
      <w:trPr>
        <w:cantSplit/>
      </w:trPr>
      <w:tc>
        <w:tcPr>
          <w:tcW w:w="8080" w:type="dxa"/>
          <w:vAlign w:val="center"/>
        </w:tcPr>
        <w:p w14:paraId="6DF9D998" w14:textId="755FCDFE" w:rsidR="000A1102" w:rsidRDefault="000A1102" w:rsidP="00C61360">
          <w:pPr>
            <w:pStyle w:val="RectoFooter"/>
          </w:pPr>
          <w:r w:rsidRPr="00013FA8">
            <w:t>Ministry of Health – Manatū Hauora – 2023/2024 Annual Report</w:t>
          </w:r>
        </w:p>
      </w:tc>
      <w:tc>
        <w:tcPr>
          <w:tcW w:w="709" w:type="dxa"/>
          <w:vAlign w:val="center"/>
        </w:tcPr>
        <w:p w14:paraId="251D9ED3" w14:textId="77777777" w:rsidR="000A1102" w:rsidRPr="00931466" w:rsidRDefault="000A1102" w:rsidP="00C61360">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7602107" w14:textId="77777777" w:rsidR="000A1102" w:rsidRPr="00581EB8" w:rsidRDefault="000A1102"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E1971" w14:textId="77777777" w:rsidR="00A24B4F" w:rsidRPr="00A26E6B" w:rsidRDefault="00A24B4F" w:rsidP="00A26E6B"/>
  </w:footnote>
  <w:footnote w:type="continuationSeparator" w:id="0">
    <w:p w14:paraId="0D028F13" w14:textId="77777777" w:rsidR="00A24B4F" w:rsidRDefault="00A24B4F">
      <w:r>
        <w:continuationSeparator/>
      </w:r>
    </w:p>
    <w:p w14:paraId="36377CFB" w14:textId="77777777" w:rsidR="00A24B4F" w:rsidRDefault="00A24B4F"/>
  </w:footnote>
  <w:footnote w:id="1">
    <w:p w14:paraId="2EE4A115" w14:textId="48650086" w:rsidR="000A1102" w:rsidRPr="005F5CA5" w:rsidRDefault="000A1102">
      <w:pPr>
        <w:pStyle w:val="FootnoteText"/>
        <w:rPr>
          <w:lang w:val="en-US"/>
        </w:rPr>
      </w:pPr>
      <w:r>
        <w:rPr>
          <w:rStyle w:val="FootnoteReference"/>
        </w:rPr>
        <w:footnoteRef/>
      </w:r>
      <w:r>
        <w:t xml:space="preserve"> </w:t>
      </w:r>
      <w:r w:rsidRPr="005F5CA5">
        <w:t xml:space="preserve">Coalition Government’s Action Plan for New Zealand: 1 April – 30 June 2024. URL: </w:t>
      </w:r>
      <w:hyperlink r:id="rId1" w:history="1">
        <w:r w:rsidRPr="005F5CA5">
          <w:rPr>
            <w:rStyle w:val="Hyperlink"/>
          </w:rPr>
          <w:t>beehive.govt.nz/sites/default/ files/2024-04/Action%20Plan.pdf</w:t>
        </w:r>
      </w:hyperlink>
      <w:r w:rsidRPr="005F5CA5">
        <w:t xml:space="preserve"> (accessed 10 September 2024).</w:t>
      </w:r>
    </w:p>
  </w:footnote>
  <w:footnote w:id="2">
    <w:p w14:paraId="6545F38C" w14:textId="03A20B7E" w:rsidR="000A1102" w:rsidRPr="00784C2F" w:rsidRDefault="000A1102">
      <w:pPr>
        <w:pStyle w:val="FootnoteText"/>
        <w:rPr>
          <w:lang w:val="en-US"/>
        </w:rPr>
      </w:pPr>
      <w:r>
        <w:rPr>
          <w:rStyle w:val="FootnoteReference"/>
        </w:rPr>
        <w:footnoteRef/>
      </w:r>
      <w:r>
        <w:t xml:space="preserve"> M</w:t>
      </w:r>
      <w:r w:rsidRPr="00784C2F">
        <w:t xml:space="preserve">inisterial Advisory Committee for Health reform Implementation. 2023. </w:t>
      </w:r>
      <w:r w:rsidRPr="00784C2F">
        <w:rPr>
          <w:i/>
          <w:iCs/>
        </w:rPr>
        <w:t>High-level assessment to support future focused health reform implementation</w:t>
      </w:r>
      <w:r w:rsidRPr="00784C2F">
        <w:t xml:space="preserve">. URL: </w:t>
      </w:r>
      <w:hyperlink r:id="rId2" w:history="1">
        <w:r w:rsidRPr="00784C2F">
          <w:rPr>
            <w:rStyle w:val="Hyperlink"/>
          </w:rPr>
          <w:t>health.govt.nz/system/files/2023-11/27-november-mac- high-level-assessment.pdf</w:t>
        </w:r>
      </w:hyperlink>
      <w:r>
        <w:t xml:space="preserve"> </w:t>
      </w:r>
      <w:r w:rsidRPr="00784C2F">
        <w:t>(accessed 10 September 2024).</w:t>
      </w:r>
    </w:p>
  </w:footnote>
  <w:footnote w:id="3">
    <w:p w14:paraId="405C3AEC" w14:textId="4817706A" w:rsidR="000A1102" w:rsidRPr="00784C2F" w:rsidRDefault="000A1102">
      <w:pPr>
        <w:pStyle w:val="FootnoteText"/>
        <w:rPr>
          <w:lang w:val="en-US"/>
        </w:rPr>
      </w:pPr>
      <w:r>
        <w:rPr>
          <w:rStyle w:val="FootnoteReference"/>
        </w:rPr>
        <w:footnoteRef/>
      </w:r>
      <w:r>
        <w:t xml:space="preserve"> </w:t>
      </w:r>
      <w:r w:rsidRPr="00784C2F">
        <w:t>The Joint Leaders Group includes the Director-General of Health and chief executives from Health New Zealand, Whaikaha and (before its disestablishment) Te Aka Whai Ora.</w:t>
      </w:r>
    </w:p>
  </w:footnote>
  <w:footnote w:id="4">
    <w:p w14:paraId="378972B4" w14:textId="58C82136" w:rsidR="000A1102" w:rsidRPr="00AE665C" w:rsidRDefault="000A1102" w:rsidP="00AE665C">
      <w:pPr>
        <w:pStyle w:val="FootnoteText"/>
        <w:rPr>
          <w:lang w:val="en-US"/>
        </w:rPr>
      </w:pPr>
      <w:r>
        <w:rPr>
          <w:rStyle w:val="FootnoteReference"/>
        </w:rPr>
        <w:footnoteRef/>
      </w:r>
      <w:r>
        <w:t xml:space="preserve"> Ministry of Health. 2022. </w:t>
      </w:r>
      <w:r w:rsidRPr="00AE665C">
        <w:rPr>
          <w:i/>
          <w:iCs/>
        </w:rPr>
        <w:t>Developing the future Ministry of Health: Our strategy and strategic intentions, 2022 to 2026</w:t>
      </w:r>
      <w:r>
        <w:t xml:space="preserve">. Wellington: Ministry of Health. URL: </w:t>
      </w:r>
      <w:hyperlink r:id="rId3" w:history="1">
        <w:r w:rsidRPr="00AE665C">
          <w:rPr>
            <w:rStyle w:val="Hyperlink"/>
          </w:rPr>
          <w:t>health.govt.nz/publications/developing-the-future-ministry-of-health-our-strategy-and-strategic-intentions-2022-to-2026</w:t>
        </w:r>
      </w:hyperlink>
      <w:r>
        <w:t xml:space="preserve"> (accessed 10 September 2024).</w:t>
      </w:r>
    </w:p>
  </w:footnote>
  <w:footnote w:id="5">
    <w:p w14:paraId="3AE4AC79" w14:textId="24114B24" w:rsidR="000A1102" w:rsidRPr="002E5BF6" w:rsidRDefault="000A1102">
      <w:pPr>
        <w:pStyle w:val="FootnoteText"/>
        <w:rPr>
          <w:lang w:val="en-US"/>
        </w:rPr>
      </w:pPr>
      <w:r>
        <w:rPr>
          <w:rStyle w:val="FootnoteReference"/>
        </w:rPr>
        <w:footnoteRef/>
      </w:r>
      <w:r>
        <w:t xml:space="preserve"> </w:t>
      </w:r>
      <w:r w:rsidRPr="002E5BF6">
        <w:t>This activity includes the work on the Ministry’s stewardship role (under priority 1), the Ministry’s role of monitoring the health system and Crown entities (under priority 2) and assurance for delivery of the reformed system (under priority 5).</w:t>
      </w:r>
    </w:p>
  </w:footnote>
  <w:footnote w:id="6">
    <w:p w14:paraId="54A33623" w14:textId="3D60D830" w:rsidR="000A1102" w:rsidRPr="002E5BF6" w:rsidRDefault="000A1102">
      <w:pPr>
        <w:pStyle w:val="FootnoteText"/>
        <w:rPr>
          <w:lang w:val="en-US"/>
        </w:rPr>
      </w:pPr>
      <w:r>
        <w:rPr>
          <w:rStyle w:val="FootnoteReference"/>
        </w:rPr>
        <w:footnoteRef/>
      </w:r>
      <w:r>
        <w:t xml:space="preserve"> </w:t>
      </w:r>
      <w:r w:rsidRPr="002E5BF6">
        <w:t>This activity has been reworded from ‘In partnership with Te Puni Kōkiri and Te Aka Whai Ora, expand and mature the approach to monitoring the performance of the health sector for Māori …’ given the disestablishment of Te Aka Whai Ora.</w:t>
      </w:r>
    </w:p>
  </w:footnote>
  <w:footnote w:id="7">
    <w:p w14:paraId="7A498F88" w14:textId="76367641" w:rsidR="000A1102" w:rsidRPr="00C8582F" w:rsidRDefault="000A1102">
      <w:pPr>
        <w:pStyle w:val="FootnoteText"/>
        <w:rPr>
          <w:lang w:val="en-US"/>
        </w:rPr>
      </w:pPr>
      <w:r>
        <w:rPr>
          <w:rStyle w:val="FootnoteReference"/>
        </w:rPr>
        <w:footnoteRef/>
      </w:r>
      <w:r>
        <w:t xml:space="preserve"> </w:t>
      </w:r>
      <w:r w:rsidRPr="00C8582F">
        <w:t>This has been renamed ‘Future-focused Ministry transformation programme’ and includes designing a new approach to prioritisation and business planning.</w:t>
      </w:r>
    </w:p>
  </w:footnote>
  <w:footnote w:id="8">
    <w:p w14:paraId="0C3F518E" w14:textId="18866902" w:rsidR="000A1102" w:rsidRPr="005B2181" w:rsidRDefault="000A1102">
      <w:pPr>
        <w:pStyle w:val="FootnoteText"/>
        <w:rPr>
          <w:lang w:val="en-US"/>
        </w:rPr>
      </w:pPr>
      <w:r>
        <w:rPr>
          <w:rStyle w:val="FootnoteReference"/>
        </w:rPr>
        <w:footnoteRef/>
      </w:r>
      <w:r>
        <w:t xml:space="preserve"> </w:t>
      </w:r>
      <w:r w:rsidRPr="005B2181">
        <w:t xml:space="preserve">The six strategies are available at </w:t>
      </w:r>
      <w:hyperlink r:id="rId4" w:history="1">
        <w:r w:rsidRPr="005B2181">
          <w:rPr>
            <w:rStyle w:val="Hyperlink"/>
          </w:rPr>
          <w:t>health.govt.nz/strategies-initiatives/health-strategies/pae-ora-strategies</w:t>
        </w:r>
      </w:hyperlink>
    </w:p>
  </w:footnote>
  <w:footnote w:id="9">
    <w:p w14:paraId="24AA7C1A" w14:textId="64B2FE92" w:rsidR="000A1102" w:rsidRPr="005B2181" w:rsidRDefault="000A1102">
      <w:pPr>
        <w:pStyle w:val="FootnoteText"/>
        <w:rPr>
          <w:lang w:val="en-US"/>
        </w:rPr>
      </w:pPr>
      <w:r>
        <w:rPr>
          <w:rStyle w:val="FootnoteReference"/>
        </w:rPr>
        <w:footnoteRef/>
      </w:r>
      <w:r>
        <w:t xml:space="preserve"> </w:t>
      </w:r>
      <w:r w:rsidRPr="005B2181">
        <w:t xml:space="preserve">Ministry of Health. 2024. </w:t>
      </w:r>
      <w:r w:rsidRPr="005B2181">
        <w:rPr>
          <w:i/>
          <w:iCs/>
        </w:rPr>
        <w:t>Te Rautaki o Aotearoa e Pā ana ki ngā Mate Mokorea – Aotearoa New Zealand Rare Disorders Strategy</w:t>
      </w:r>
      <w:r w:rsidRPr="005B2181">
        <w:t xml:space="preserve">. Wellington: Ministry of Health. URL: </w:t>
      </w:r>
      <w:hyperlink r:id="rId5" w:history="1">
        <w:r w:rsidRPr="005B2181">
          <w:rPr>
            <w:rStyle w:val="Hyperlink"/>
          </w:rPr>
          <w:t>health.govt.nz/publications/aotearoa-new-zealand-rare-disorders-strategy</w:t>
        </w:r>
      </w:hyperlink>
      <w:r w:rsidRPr="005B2181">
        <w:t xml:space="preserve"> (accessed 10 September 2024).</w:t>
      </w:r>
    </w:p>
  </w:footnote>
  <w:footnote w:id="10">
    <w:p w14:paraId="62E5EC0D" w14:textId="6C80E6CD" w:rsidR="000A1102" w:rsidRPr="00781B82" w:rsidRDefault="000A1102" w:rsidP="00781B82">
      <w:pPr>
        <w:pStyle w:val="FootnoteText"/>
        <w:rPr>
          <w:lang w:val="en-US"/>
        </w:rPr>
      </w:pPr>
      <w:r>
        <w:rPr>
          <w:rStyle w:val="FootnoteReference"/>
        </w:rPr>
        <w:footnoteRef/>
      </w:r>
      <w:r>
        <w:t xml:space="preserve"> Ministry of Health. 2023. </w:t>
      </w:r>
      <w:r w:rsidRPr="00AA10BF">
        <w:rPr>
          <w:i/>
          <w:iCs/>
        </w:rPr>
        <w:t>Clinical Leadership in Manatū Hauora</w:t>
      </w:r>
      <w:r>
        <w:t xml:space="preserve">. URL: </w:t>
      </w:r>
      <w:hyperlink r:id="rId6" w:history="1">
        <w:r w:rsidRPr="00781B82">
          <w:rPr>
            <w:rStyle w:val="Hyperlink"/>
          </w:rPr>
          <w:t>health.govt.nz/publications/clinical-leadership-in-manatu-hauora</w:t>
        </w:r>
      </w:hyperlink>
      <w:r>
        <w:t xml:space="preserve"> (accessed 11 September 2024).</w:t>
      </w:r>
    </w:p>
  </w:footnote>
  <w:footnote w:id="11">
    <w:p w14:paraId="75591657" w14:textId="32021B15" w:rsidR="000A1102" w:rsidRPr="00781B82" w:rsidRDefault="000A1102">
      <w:pPr>
        <w:pStyle w:val="FootnoteText"/>
        <w:rPr>
          <w:lang w:val="en-US"/>
        </w:rPr>
      </w:pPr>
      <w:r>
        <w:rPr>
          <w:rStyle w:val="FootnoteReference"/>
        </w:rPr>
        <w:footnoteRef/>
      </w:r>
      <w:r>
        <w:t xml:space="preserve"> </w:t>
      </w:r>
      <w:r w:rsidRPr="00781B82">
        <w:t xml:space="preserve">Ministry of Health. 2024. </w:t>
      </w:r>
      <w:r w:rsidRPr="00AA10BF">
        <w:rPr>
          <w:i/>
          <w:iCs/>
        </w:rPr>
        <w:t>Hauora Haumi Allied Health Report 2024</w:t>
      </w:r>
      <w:r w:rsidRPr="00781B82">
        <w:t xml:space="preserve">. URL: </w:t>
      </w:r>
      <w:hyperlink r:id="rId7" w:history="1">
        <w:r w:rsidRPr="00781B82">
          <w:rPr>
            <w:rStyle w:val="Hyperlink"/>
          </w:rPr>
          <w:t>health.govt.nz/publications/hauora-haumi-allied-health-report-2024</w:t>
        </w:r>
      </w:hyperlink>
      <w:r w:rsidRPr="00781B82">
        <w:t xml:space="preserve"> (accessed 11 September 2024).</w:t>
      </w:r>
    </w:p>
  </w:footnote>
  <w:footnote w:id="12">
    <w:p w14:paraId="11DE991B" w14:textId="3E93D963" w:rsidR="000A1102" w:rsidRPr="00191792" w:rsidRDefault="000A1102">
      <w:pPr>
        <w:pStyle w:val="FootnoteText"/>
        <w:rPr>
          <w:lang w:val="en-US"/>
        </w:rPr>
      </w:pPr>
      <w:r>
        <w:rPr>
          <w:rStyle w:val="FootnoteReference"/>
        </w:rPr>
        <w:footnoteRef/>
      </w:r>
      <w:r>
        <w:t xml:space="preserve"> </w:t>
      </w:r>
      <w:r w:rsidRPr="00191792">
        <w:t xml:space="preserve">Minister of Health. 2024. </w:t>
      </w:r>
      <w:r w:rsidRPr="008870DC">
        <w:rPr>
          <w:i/>
          <w:iCs/>
        </w:rPr>
        <w:t>Government Policy Statement on Health 2024–2027</w:t>
      </w:r>
      <w:r w:rsidRPr="00191792">
        <w:t xml:space="preserve">. Wellington: Ministry of Health. URL: </w:t>
      </w:r>
      <w:hyperlink r:id="rId8" w:history="1">
        <w:r w:rsidRPr="00191792">
          <w:rPr>
            <w:rStyle w:val="Hyperlink"/>
          </w:rPr>
          <w:t>health.govt.nz/publications/government-policy-statement-on-health-2024-2027</w:t>
        </w:r>
      </w:hyperlink>
      <w:r w:rsidRPr="00191792">
        <w:t xml:space="preserve"> (accessed 11 September 2024).</w:t>
      </w:r>
    </w:p>
  </w:footnote>
  <w:footnote w:id="13">
    <w:p w14:paraId="7EA8EE26" w14:textId="6BE87887" w:rsidR="000A1102" w:rsidRPr="00C80E16" w:rsidRDefault="000A1102" w:rsidP="00C80E16">
      <w:pPr>
        <w:pStyle w:val="FootnoteText"/>
        <w:rPr>
          <w:lang w:val="en-US"/>
        </w:rPr>
      </w:pPr>
      <w:r>
        <w:rPr>
          <w:rStyle w:val="FootnoteReference"/>
        </w:rPr>
        <w:footnoteRef/>
      </w:r>
      <w:r>
        <w:t xml:space="preserve"> Health New Zealand and Te Aka Whai Ora. 2022. </w:t>
      </w:r>
      <w:r w:rsidRPr="00381C8B">
        <w:rPr>
          <w:i/>
          <w:iCs/>
        </w:rPr>
        <w:t>Te Pae Tata Interim New Zealand Health Plan 2022</w:t>
      </w:r>
      <w:r>
        <w:t xml:space="preserve">. URL: </w:t>
      </w:r>
      <w:hyperlink r:id="rId9" w:history="1">
        <w:r w:rsidRPr="00CE306F">
          <w:rPr>
            <w:rStyle w:val="Hyperlink"/>
          </w:rPr>
          <w:t>tewhatuora.govt.nz/publications/te-pae-tata-interim-new-zealand-health-plan-2022/</w:t>
        </w:r>
      </w:hyperlink>
      <w:r>
        <w:t xml:space="preserve"> (accessed 11 September 2024).</w:t>
      </w:r>
    </w:p>
  </w:footnote>
  <w:footnote w:id="14">
    <w:p w14:paraId="2D587BE0" w14:textId="56FFEB80" w:rsidR="000A1102" w:rsidRPr="00C80E16" w:rsidRDefault="000A1102">
      <w:pPr>
        <w:pStyle w:val="FootnoteText"/>
        <w:rPr>
          <w:lang w:val="en-US"/>
        </w:rPr>
      </w:pPr>
      <w:r>
        <w:rPr>
          <w:rStyle w:val="FootnoteReference"/>
        </w:rPr>
        <w:footnoteRef/>
      </w:r>
      <w:r>
        <w:t xml:space="preserve"> </w:t>
      </w:r>
      <w:r w:rsidRPr="00C80E16">
        <w:t xml:space="preserve">Ministry of Health. 2022. </w:t>
      </w:r>
      <w:r w:rsidRPr="00381C8B">
        <w:rPr>
          <w:i/>
          <w:iCs/>
        </w:rPr>
        <w:t>Interim Government Policy Statement on Health 2022–2024</w:t>
      </w:r>
      <w:r w:rsidRPr="00C80E16">
        <w:t xml:space="preserve">. Wellington: Ministry of Health. URL: </w:t>
      </w:r>
      <w:hyperlink r:id="rId10" w:history="1">
        <w:r w:rsidRPr="00CE306F">
          <w:rPr>
            <w:rStyle w:val="Hyperlink"/>
          </w:rPr>
          <w:t>health.govt.nz/publications/interim-government-policy-statement-on-health-2022-2024</w:t>
        </w:r>
      </w:hyperlink>
      <w:r w:rsidRPr="00C80E16">
        <w:t xml:space="preserve"> (accessed 11 September 2024).</w:t>
      </w:r>
    </w:p>
  </w:footnote>
  <w:footnote w:id="15">
    <w:p w14:paraId="571D1B6C" w14:textId="616229EE" w:rsidR="000A1102" w:rsidRPr="00C80E16" w:rsidRDefault="000A1102">
      <w:pPr>
        <w:pStyle w:val="FootnoteText"/>
        <w:rPr>
          <w:lang w:val="en-US"/>
        </w:rPr>
      </w:pPr>
      <w:r>
        <w:rPr>
          <w:rStyle w:val="FootnoteReference"/>
        </w:rPr>
        <w:footnoteRef/>
      </w:r>
      <w:r>
        <w:t xml:space="preserve"> </w:t>
      </w:r>
      <w:r w:rsidRPr="00C80E16">
        <w:t xml:space="preserve">Ministry of Health. 2020. </w:t>
      </w:r>
      <w:r w:rsidRPr="00381C8B">
        <w:rPr>
          <w:i/>
          <w:iCs/>
        </w:rPr>
        <w:t>Whakamaua: Māori Health Action Plan 2020–2025</w:t>
      </w:r>
      <w:r w:rsidRPr="00C80E16">
        <w:t xml:space="preserve">. Wellington: Ministry of Health. URL: </w:t>
      </w:r>
      <w:hyperlink r:id="rId11" w:history="1">
        <w:r w:rsidRPr="00CE306F">
          <w:rPr>
            <w:rStyle w:val="Hyperlink"/>
          </w:rPr>
          <w:t>health.govt.nz/maori-health/whakamaua-maori-health-action-plan-2020-2025</w:t>
        </w:r>
      </w:hyperlink>
      <w:r w:rsidRPr="00C80E16">
        <w:t xml:space="preserve"> (accessed 11 September 2024).</w:t>
      </w:r>
    </w:p>
  </w:footnote>
  <w:footnote w:id="16">
    <w:p w14:paraId="0C6D4620" w14:textId="3C96D974" w:rsidR="000A1102" w:rsidRPr="00C80E16" w:rsidRDefault="000A1102">
      <w:pPr>
        <w:pStyle w:val="FootnoteText"/>
        <w:rPr>
          <w:lang w:val="en-US"/>
        </w:rPr>
      </w:pPr>
      <w:r>
        <w:rPr>
          <w:rStyle w:val="FootnoteReference"/>
        </w:rPr>
        <w:footnoteRef/>
      </w:r>
      <w:r>
        <w:t xml:space="preserve"> </w:t>
      </w:r>
      <w:r w:rsidRPr="00C80E16">
        <w:t xml:space="preserve">Waitangi Tribunal. 2019. </w:t>
      </w:r>
      <w:r w:rsidRPr="00381C8B">
        <w:rPr>
          <w:i/>
          <w:iCs/>
        </w:rPr>
        <w:t xml:space="preserve">Hauora: Report on Stage One of the Health Services and Outcomes Kaupapa Inquiry </w:t>
      </w:r>
      <w:r w:rsidRPr="00C80E16">
        <w:t xml:space="preserve">(Wai 2575). Lower Hutt. URL: </w:t>
      </w:r>
      <w:hyperlink r:id="rId12" w:history="1">
        <w:r w:rsidRPr="00CE306F">
          <w:rPr>
            <w:rStyle w:val="Hyperlink"/>
          </w:rPr>
          <w:t>waitangitribunal.govt.nz/news/report-on-stage-one-of-health-services-and-outcomes-released/</w:t>
        </w:r>
      </w:hyperlink>
      <w:r w:rsidRPr="00C80E16">
        <w:t xml:space="preserve"> (accessed 11 September 2024).</w:t>
      </w:r>
    </w:p>
  </w:footnote>
  <w:footnote w:id="17">
    <w:p w14:paraId="499C7028" w14:textId="62EA86CA" w:rsidR="000A1102" w:rsidRPr="00172A00" w:rsidRDefault="000A1102">
      <w:pPr>
        <w:pStyle w:val="FootnoteText"/>
        <w:rPr>
          <w:lang w:val="en-US"/>
        </w:rPr>
      </w:pPr>
      <w:r>
        <w:rPr>
          <w:rStyle w:val="FootnoteReference"/>
        </w:rPr>
        <w:footnoteRef/>
      </w:r>
      <w:r>
        <w:t xml:space="preserve"> </w:t>
      </w:r>
      <w:r w:rsidRPr="00172A00">
        <w:t xml:space="preserve">Te Aka Whai Ora. 2023. </w:t>
      </w:r>
      <w:r w:rsidRPr="00E967BB">
        <w:rPr>
          <w:i/>
          <w:iCs/>
        </w:rPr>
        <w:t>Rongoā Māori Action Plan</w:t>
      </w:r>
      <w:r w:rsidRPr="00172A00">
        <w:t xml:space="preserve">. URL: </w:t>
      </w:r>
      <w:hyperlink r:id="rId13" w:history="1">
        <w:r w:rsidRPr="00172A00">
          <w:rPr>
            <w:rStyle w:val="Hyperlink"/>
          </w:rPr>
          <w:t>tewhatuora.govt.nz/health-services-and- programmes/maori-health/rongoa-maori/</w:t>
        </w:r>
      </w:hyperlink>
      <w:r w:rsidRPr="00172A00">
        <w:t xml:space="preserve"> (accessed 11 September 2024).</w:t>
      </w:r>
    </w:p>
  </w:footnote>
  <w:footnote w:id="18">
    <w:p w14:paraId="4CE3A07F" w14:textId="4E3F1699" w:rsidR="000A1102" w:rsidRPr="00172A00" w:rsidRDefault="000A1102">
      <w:pPr>
        <w:pStyle w:val="FootnoteText"/>
        <w:rPr>
          <w:lang w:val="en-US"/>
        </w:rPr>
      </w:pPr>
      <w:r>
        <w:rPr>
          <w:rStyle w:val="FootnoteReference"/>
        </w:rPr>
        <w:footnoteRef/>
      </w:r>
      <w:r>
        <w:t xml:space="preserve"> </w:t>
      </w:r>
      <w:r w:rsidRPr="00172A00">
        <w:t xml:space="preserve">Minister of Health. 2023. </w:t>
      </w:r>
      <w:r w:rsidRPr="00E967BB">
        <w:rPr>
          <w:i/>
          <w:iCs/>
        </w:rPr>
        <w:t>Pae Tū: Hauora Māori Strategy</w:t>
      </w:r>
      <w:r w:rsidRPr="00172A00">
        <w:t xml:space="preserve">. Wellington: Ministry of Health. URL: </w:t>
      </w:r>
      <w:hyperlink r:id="rId14" w:history="1">
        <w:r w:rsidRPr="00172A00">
          <w:rPr>
            <w:rStyle w:val="Hyperlink"/>
          </w:rPr>
          <w:t>health.govt.nz/publications/pae-tu-hauora-maori-strategy</w:t>
        </w:r>
      </w:hyperlink>
      <w:r w:rsidRPr="00172A00">
        <w:t xml:space="preserve"> (accessed 11 September 2024).</w:t>
      </w:r>
    </w:p>
  </w:footnote>
  <w:footnote w:id="19">
    <w:p w14:paraId="3C68C0DF" w14:textId="33CE3187" w:rsidR="000A1102" w:rsidRPr="00F355C6" w:rsidRDefault="000A1102" w:rsidP="00F355C6">
      <w:pPr>
        <w:pStyle w:val="FootnoteText"/>
        <w:rPr>
          <w:lang w:val="en-US"/>
        </w:rPr>
      </w:pPr>
      <w:r>
        <w:rPr>
          <w:rStyle w:val="FootnoteReference"/>
        </w:rPr>
        <w:footnoteRef/>
      </w:r>
      <w:r>
        <w:t xml:space="preserve"> Minister of Health. 2023. </w:t>
      </w:r>
      <w:r w:rsidRPr="00381C8B">
        <w:rPr>
          <w:i/>
          <w:iCs/>
        </w:rPr>
        <w:t>Te Mana Ola: The Pacific Health Strategy</w:t>
      </w:r>
      <w:r>
        <w:t xml:space="preserve">. Wellington: Ministry of Health. URL: </w:t>
      </w:r>
      <w:hyperlink r:id="rId15" w:history="1">
        <w:r w:rsidRPr="00F355C6">
          <w:rPr>
            <w:rStyle w:val="Hyperlink"/>
          </w:rPr>
          <w:t>health.govt.nz/strategies-initiatives/health-strategies/te-mana-ola-the-pacific-health-strategy</w:t>
        </w:r>
      </w:hyperlink>
      <w:r>
        <w:t xml:space="preserve"> (accessed 11 September 2024).</w:t>
      </w:r>
    </w:p>
  </w:footnote>
  <w:footnote w:id="20">
    <w:p w14:paraId="610D0769" w14:textId="7D14E534" w:rsidR="000A1102" w:rsidRPr="00F355C6" w:rsidRDefault="000A1102">
      <w:pPr>
        <w:pStyle w:val="FootnoteText"/>
        <w:rPr>
          <w:lang w:val="en-US"/>
        </w:rPr>
      </w:pPr>
      <w:r>
        <w:rPr>
          <w:rStyle w:val="FootnoteReference"/>
        </w:rPr>
        <w:footnoteRef/>
      </w:r>
      <w:r>
        <w:t xml:space="preserve"> </w:t>
      </w:r>
      <w:r w:rsidRPr="00F355C6">
        <w:t>Ministry of Health. 2023</w:t>
      </w:r>
      <w:r w:rsidRPr="00381C8B">
        <w:rPr>
          <w:i/>
          <w:iCs/>
        </w:rPr>
        <w:t>. Te Mana Ola Engagement Report: What we heard from Pacific peoples</w:t>
      </w:r>
      <w:r w:rsidRPr="00F355C6">
        <w:t xml:space="preserve">. Wellington: Ministry of Health. URL: </w:t>
      </w:r>
      <w:hyperlink r:id="rId16" w:history="1">
        <w:r w:rsidRPr="00F355C6">
          <w:rPr>
            <w:rStyle w:val="Hyperlink"/>
          </w:rPr>
          <w:t>health.govt.nz/publications/te-mana-ola-engagement-report</w:t>
        </w:r>
      </w:hyperlink>
      <w:r w:rsidRPr="00F355C6">
        <w:t xml:space="preserve"> (accessed 11 September 2024).</w:t>
      </w:r>
    </w:p>
  </w:footnote>
  <w:footnote w:id="21">
    <w:p w14:paraId="742C0752" w14:textId="6303D31B" w:rsidR="000A1102" w:rsidRPr="00F355C6" w:rsidRDefault="000A1102">
      <w:pPr>
        <w:pStyle w:val="FootnoteText"/>
        <w:rPr>
          <w:lang w:val="en-US"/>
        </w:rPr>
      </w:pPr>
      <w:r>
        <w:rPr>
          <w:rStyle w:val="FootnoteReference"/>
        </w:rPr>
        <w:footnoteRef/>
      </w:r>
      <w:r>
        <w:t xml:space="preserve"> </w:t>
      </w:r>
      <w:r w:rsidRPr="00F355C6">
        <w:t>This abbreviation stands for the names of the broad gender spectrum from across the Pacific region: mahu (Tahiti and Hawaii), vakasalewa (Fiji), palopa (Papua New Guinea), fa‘afafine (Samoa), akava‘ine (Cook Islands) fakaleiti (leiti) (Tonga) and fakafifine (Niue).</w:t>
      </w:r>
    </w:p>
  </w:footnote>
  <w:footnote w:id="22">
    <w:p w14:paraId="1CE9F4B7" w14:textId="68986618" w:rsidR="000A1102" w:rsidRPr="005325C8" w:rsidRDefault="000A1102">
      <w:pPr>
        <w:pStyle w:val="FootnoteText"/>
        <w:rPr>
          <w:lang w:val="en-US"/>
        </w:rPr>
      </w:pPr>
      <w:r>
        <w:rPr>
          <w:rStyle w:val="FootnoteReference"/>
        </w:rPr>
        <w:footnoteRef/>
      </w:r>
      <w:r>
        <w:t xml:space="preserve"> </w:t>
      </w:r>
      <w:r w:rsidRPr="005325C8">
        <w:t xml:space="preserve">Ministry of Health. 2023. </w:t>
      </w:r>
      <w:r w:rsidRPr="005325C8">
        <w:rPr>
          <w:i/>
          <w:iCs/>
        </w:rPr>
        <w:t>Precision health: exploring opportunities and challenges to predict, prevent, diagnose, and treat health needs more precisely in Aotearoa New Zealand</w:t>
      </w:r>
      <w:r w:rsidRPr="005325C8">
        <w:t xml:space="preserve">. Wellington: Ministry of Health. URL: </w:t>
      </w:r>
      <w:hyperlink r:id="rId17" w:history="1">
        <w:r w:rsidRPr="005325C8">
          <w:rPr>
            <w:rStyle w:val="Hyperlink"/>
          </w:rPr>
          <w:t>health.govt.nz/publications/precision-health-exploring-opportunities-and-challenges-to-predict-prevent-diagnose-and-treat-health</w:t>
        </w:r>
      </w:hyperlink>
      <w:r w:rsidRPr="005325C8">
        <w:t xml:space="preserve"> (accessed 11 September 2024).</w:t>
      </w:r>
    </w:p>
  </w:footnote>
  <w:footnote w:id="23">
    <w:p w14:paraId="3FAFB2E8" w14:textId="5DE4CD27" w:rsidR="000A1102" w:rsidRPr="006947B9" w:rsidRDefault="000A1102">
      <w:pPr>
        <w:pStyle w:val="FootnoteText"/>
        <w:rPr>
          <w:lang w:val="en-US"/>
        </w:rPr>
      </w:pPr>
      <w:r>
        <w:rPr>
          <w:rStyle w:val="FootnoteReference"/>
        </w:rPr>
        <w:footnoteRef/>
      </w:r>
      <w:r>
        <w:t xml:space="preserve"> </w:t>
      </w:r>
      <w:r w:rsidRPr="006947B9">
        <w:t xml:space="preserve">Ministry of Health. 2023. </w:t>
      </w:r>
      <w:r w:rsidRPr="005A2ABD">
        <w:rPr>
          <w:i/>
          <w:iCs/>
        </w:rPr>
        <w:t>Health and Independence Report 2022</w:t>
      </w:r>
      <w:r w:rsidRPr="006947B9">
        <w:t xml:space="preserve">. Wellington: Ministry of Health. URL: </w:t>
      </w:r>
      <w:hyperlink r:id="rId18" w:history="1">
        <w:r w:rsidRPr="005A2ABD">
          <w:rPr>
            <w:rStyle w:val="Hyperlink"/>
          </w:rPr>
          <w:t>health.govt.nz/publications/health-and-independence-report-2022</w:t>
        </w:r>
      </w:hyperlink>
      <w:r w:rsidRPr="006947B9">
        <w:t xml:space="preserve"> (accessed 11 September 2024).</w:t>
      </w:r>
    </w:p>
  </w:footnote>
  <w:footnote w:id="24">
    <w:p w14:paraId="016B7247" w14:textId="301ABCAA" w:rsidR="000A1102" w:rsidRPr="008533B4" w:rsidRDefault="000A1102">
      <w:pPr>
        <w:pStyle w:val="FootnoteText"/>
        <w:rPr>
          <w:lang w:val="en-US"/>
        </w:rPr>
      </w:pPr>
      <w:r>
        <w:rPr>
          <w:rStyle w:val="FootnoteReference"/>
        </w:rPr>
        <w:footnoteRef/>
      </w:r>
      <w:r>
        <w:t xml:space="preserve"> </w:t>
      </w:r>
      <w:r w:rsidRPr="008533B4">
        <w:t>Ministry of Health. 2019</w:t>
      </w:r>
      <w:r w:rsidRPr="00381C8B">
        <w:rPr>
          <w:i/>
          <w:iCs/>
        </w:rPr>
        <w:t>. Strategy to Prevent and Minimise Gambling Harm 2019/20 to 2021/22</w:t>
      </w:r>
      <w:r w:rsidRPr="008533B4">
        <w:t xml:space="preserve">. Wellington: Ministry of Health. URL: </w:t>
      </w:r>
      <w:hyperlink r:id="rId19" w:history="1">
        <w:r w:rsidRPr="008533B4">
          <w:rPr>
            <w:rStyle w:val="Hyperlink"/>
          </w:rPr>
          <w:t>health.govt.nz/publications/strategy-to-prevent-and-minimise-gambling- harm-201920-202122</w:t>
        </w:r>
      </w:hyperlink>
      <w:r w:rsidRPr="008533B4">
        <w:t xml:space="preserve"> (accessed 11 September 2024).</w:t>
      </w:r>
    </w:p>
  </w:footnote>
  <w:footnote w:id="25">
    <w:p w14:paraId="4695AE0F" w14:textId="5A3F1225" w:rsidR="000A1102" w:rsidRPr="00A56E6D" w:rsidRDefault="000A1102">
      <w:pPr>
        <w:pStyle w:val="FootnoteText"/>
        <w:rPr>
          <w:lang w:val="en-US"/>
        </w:rPr>
      </w:pPr>
      <w:r>
        <w:rPr>
          <w:rStyle w:val="FootnoteReference"/>
        </w:rPr>
        <w:footnoteRef/>
      </w:r>
      <w:r>
        <w:t xml:space="preserve"> </w:t>
      </w:r>
      <w:r w:rsidRPr="00A56E6D">
        <w:t>Malatest International. 2024</w:t>
      </w:r>
      <w:r w:rsidRPr="007C0172">
        <w:rPr>
          <w:i/>
          <w:iCs/>
        </w:rPr>
        <w:t>. Ngā Paerewa Implementation Evaluation: Final report</w:t>
      </w:r>
      <w:r w:rsidRPr="00A56E6D">
        <w:t xml:space="preserve">. URL: </w:t>
      </w:r>
      <w:hyperlink r:id="rId20" w:history="1">
        <w:r w:rsidRPr="00A56E6D">
          <w:rPr>
            <w:rStyle w:val="Hyperlink"/>
          </w:rPr>
          <w:t>health.govt.nz/ system/files/2024-05/final_nga_paerewa_report_accessible_pdf.pdf</w:t>
        </w:r>
      </w:hyperlink>
      <w:r w:rsidRPr="00A56E6D">
        <w:t xml:space="preserve"> (accessed 11 September 2024).</w:t>
      </w:r>
    </w:p>
  </w:footnote>
  <w:footnote w:id="26">
    <w:p w14:paraId="33472275" w14:textId="1A52469F" w:rsidR="000A1102" w:rsidRPr="006D5289" w:rsidRDefault="000A1102">
      <w:pPr>
        <w:pStyle w:val="FootnoteText"/>
        <w:rPr>
          <w:lang w:val="en-US"/>
        </w:rPr>
      </w:pPr>
      <w:r>
        <w:rPr>
          <w:rStyle w:val="FootnoteReference"/>
        </w:rPr>
        <w:footnoteRef/>
      </w:r>
      <w:r>
        <w:t xml:space="preserve"> </w:t>
      </w:r>
      <w:r w:rsidRPr="00AF55A3">
        <w:t xml:space="preserve">Results from earlier years have been updated as the estimates are recalibrated and re-estimated based on new information, data and methods each year. See: Global Health Data Exchange (GHDx) for Global Burden of Disease study results: </w:t>
      </w:r>
      <w:hyperlink r:id="rId21" w:history="1">
        <w:r w:rsidRPr="00AF55A3">
          <w:rPr>
            <w:rStyle w:val="Hyperlink"/>
          </w:rPr>
          <w:t>vizhub.healthdata.org/gbd-results/</w:t>
        </w:r>
      </w:hyperlink>
    </w:p>
  </w:footnote>
  <w:footnote w:id="27">
    <w:p w14:paraId="61AB725B" w14:textId="47A4EC6A" w:rsidR="000A1102" w:rsidRPr="006D5289" w:rsidRDefault="000A1102">
      <w:pPr>
        <w:pStyle w:val="FootnoteText"/>
        <w:rPr>
          <w:lang w:val="en-US"/>
        </w:rPr>
      </w:pPr>
      <w:r>
        <w:rPr>
          <w:rStyle w:val="FootnoteReference"/>
        </w:rPr>
        <w:footnoteRef/>
      </w:r>
      <w:r>
        <w:t xml:space="preserve"> </w:t>
      </w:r>
      <w:r w:rsidRPr="00AF55A3">
        <w:t>These figures are from GHDx health-adjusted life expectancy for age group (0–6 days), downloaded 17 June 2024</w:t>
      </w:r>
    </w:p>
  </w:footnote>
  <w:footnote w:id="28">
    <w:p w14:paraId="33E3E77A" w14:textId="75EFE63F" w:rsidR="000A1102" w:rsidRDefault="000A1102" w:rsidP="00CE4636">
      <w:pPr>
        <w:pStyle w:val="FootnoteText"/>
      </w:pPr>
      <w:r>
        <w:rPr>
          <w:rStyle w:val="FootnoteReference"/>
        </w:rPr>
        <w:footnoteRef/>
      </w:r>
      <w:r>
        <w:t xml:space="preserve"> Data in this table is available at the following locations:</w:t>
      </w:r>
    </w:p>
    <w:p w14:paraId="4933F089" w14:textId="3C201360" w:rsidR="000A1102" w:rsidRPr="00CE4636" w:rsidRDefault="000A1102" w:rsidP="00CE4636">
      <w:pPr>
        <w:pStyle w:val="Bullet"/>
        <w:tabs>
          <w:tab w:val="clear" w:pos="284"/>
          <w:tab w:val="num" w:pos="567"/>
        </w:tabs>
        <w:spacing w:before="60"/>
        <w:ind w:left="567" w:hanging="231"/>
        <w:rPr>
          <w:sz w:val="17"/>
          <w:szCs w:val="17"/>
        </w:rPr>
      </w:pPr>
      <w:r w:rsidRPr="00CE4636">
        <w:rPr>
          <w:sz w:val="17"/>
          <w:szCs w:val="17"/>
        </w:rPr>
        <w:t xml:space="preserve">1995–97 to 2017–19: </w:t>
      </w:r>
      <w:hyperlink r:id="rId22" w:history="1">
        <w:r w:rsidRPr="00CE4636">
          <w:rPr>
            <w:rStyle w:val="Hyperlink"/>
            <w:sz w:val="17"/>
            <w:szCs w:val="17"/>
          </w:rPr>
          <w:t>stats.govt.nz/information-releases/national-and-subnational-period-life- tables-2017-2019</w:t>
        </w:r>
      </w:hyperlink>
    </w:p>
    <w:p w14:paraId="689FA0F7" w14:textId="191A010D" w:rsidR="000A1102" w:rsidRPr="00CE4636" w:rsidRDefault="000A1102" w:rsidP="00CE4636">
      <w:pPr>
        <w:pStyle w:val="Bullet"/>
        <w:tabs>
          <w:tab w:val="clear" w:pos="284"/>
          <w:tab w:val="num" w:pos="567"/>
        </w:tabs>
        <w:spacing w:before="60"/>
        <w:ind w:left="567" w:hanging="231"/>
        <w:rPr>
          <w:sz w:val="17"/>
          <w:szCs w:val="17"/>
        </w:rPr>
      </w:pPr>
      <w:r w:rsidRPr="00CE4636">
        <w:rPr>
          <w:sz w:val="17"/>
          <w:szCs w:val="17"/>
        </w:rPr>
        <w:t xml:space="preserve">2019-21: </w:t>
      </w:r>
      <w:hyperlink r:id="rId23" w:history="1">
        <w:r w:rsidRPr="00CE4636">
          <w:rPr>
            <w:rStyle w:val="Hyperlink"/>
            <w:sz w:val="17"/>
            <w:szCs w:val="17"/>
          </w:rPr>
          <w:t>stats.govt.nz/information-releases/births-and-deaths-year-ended-december-2021-including- abridged-period-life-table/</w:t>
        </w:r>
      </w:hyperlink>
    </w:p>
    <w:p w14:paraId="4EEF24D5" w14:textId="2F84F887" w:rsidR="000A1102" w:rsidRPr="00CE4636" w:rsidRDefault="000A1102" w:rsidP="00CE4636">
      <w:pPr>
        <w:pStyle w:val="Bullet"/>
        <w:tabs>
          <w:tab w:val="clear" w:pos="284"/>
          <w:tab w:val="num" w:pos="567"/>
        </w:tabs>
        <w:spacing w:before="60"/>
        <w:ind w:left="567" w:hanging="231"/>
        <w:rPr>
          <w:sz w:val="17"/>
          <w:szCs w:val="17"/>
        </w:rPr>
      </w:pPr>
      <w:r w:rsidRPr="00CE4636">
        <w:rPr>
          <w:sz w:val="17"/>
          <w:szCs w:val="17"/>
        </w:rPr>
        <w:t xml:space="preserve">2020–2022: </w:t>
      </w:r>
      <w:hyperlink r:id="rId24" w:history="1">
        <w:r w:rsidRPr="00CE4636">
          <w:rPr>
            <w:rStyle w:val="Hyperlink"/>
            <w:sz w:val="17"/>
            <w:szCs w:val="17"/>
          </w:rPr>
          <w:t>stats.govt.nz/information-releases/births-and-deaths-year-ended-december-2022- including-abridged-period-life-table/</w:t>
        </w:r>
      </w:hyperlink>
    </w:p>
    <w:p w14:paraId="374636D6" w14:textId="29A2EBD3" w:rsidR="000A1102" w:rsidRPr="00CE4636" w:rsidRDefault="000A1102" w:rsidP="00CE4636">
      <w:pPr>
        <w:pStyle w:val="Bullet"/>
        <w:tabs>
          <w:tab w:val="clear" w:pos="284"/>
          <w:tab w:val="num" w:pos="567"/>
        </w:tabs>
        <w:spacing w:before="60"/>
        <w:ind w:left="567" w:hanging="231"/>
        <w:rPr>
          <w:lang w:val="en-US"/>
        </w:rPr>
      </w:pPr>
      <w:r w:rsidRPr="00CE4636">
        <w:rPr>
          <w:sz w:val="17"/>
          <w:szCs w:val="17"/>
        </w:rPr>
        <w:t xml:space="preserve">2021–23: </w:t>
      </w:r>
      <w:hyperlink r:id="rId25" w:history="1">
        <w:r w:rsidRPr="00CE4636">
          <w:rPr>
            <w:rStyle w:val="Hyperlink"/>
            <w:sz w:val="17"/>
            <w:szCs w:val="17"/>
          </w:rPr>
          <w:t>stats.govt.nz/information-releases/births-and-deaths-year-ended-december-2023- including-abridged-period-life-table/</w:t>
        </w:r>
      </w:hyperlink>
    </w:p>
    <w:p w14:paraId="7D05779C" w14:textId="3F54ED8B" w:rsidR="000A1102" w:rsidRPr="00240F96" w:rsidRDefault="000A1102" w:rsidP="00CE4636">
      <w:pPr>
        <w:pStyle w:val="Bullet"/>
        <w:numPr>
          <w:ilvl w:val="0"/>
          <w:numId w:val="0"/>
        </w:numPr>
        <w:spacing w:before="60"/>
        <w:ind w:left="336"/>
        <w:rPr>
          <w:lang w:val="en-US"/>
        </w:rPr>
      </w:pPr>
      <w:r w:rsidRPr="00CE4636">
        <w:rPr>
          <w:sz w:val="17"/>
        </w:rPr>
        <w:t>Each number given is the median (50th percentile) expected years of life remaining at age zero.</w:t>
      </w:r>
    </w:p>
  </w:footnote>
  <w:footnote w:id="29">
    <w:p w14:paraId="5F37B7AB" w14:textId="59B0AE17" w:rsidR="000A1102" w:rsidRPr="00240F96" w:rsidRDefault="000A1102">
      <w:pPr>
        <w:pStyle w:val="FootnoteText"/>
        <w:rPr>
          <w:lang w:val="en-US"/>
        </w:rPr>
      </w:pPr>
      <w:r>
        <w:rPr>
          <w:rStyle w:val="FootnoteReference"/>
        </w:rPr>
        <w:footnoteRef/>
      </w:r>
      <w:r>
        <w:t xml:space="preserve"> </w:t>
      </w:r>
      <w:r w:rsidRPr="00CE4636">
        <w:t>National and subnational period life tables: 2022–24 will be released in 2025.</w:t>
      </w:r>
    </w:p>
  </w:footnote>
  <w:footnote w:id="30">
    <w:p w14:paraId="46A2C75C" w14:textId="0F356684" w:rsidR="000A1102" w:rsidRPr="00DC1132" w:rsidRDefault="000A1102">
      <w:pPr>
        <w:pStyle w:val="FootnoteText"/>
        <w:rPr>
          <w:lang w:val="en-US"/>
        </w:rPr>
      </w:pPr>
      <w:r>
        <w:rPr>
          <w:rStyle w:val="FootnoteReference"/>
        </w:rPr>
        <w:footnoteRef/>
      </w:r>
      <w:r>
        <w:t xml:space="preserve"> </w:t>
      </w:r>
      <w:r w:rsidRPr="00DC1132">
        <w:t xml:space="preserve">Results from previous years have been updated as the estimates are recalibrated and re-estimated based on new information, data and methods each year. For more information, see: </w:t>
      </w:r>
      <w:hyperlink r:id="rId26" w:history="1">
        <w:r w:rsidRPr="00DC1132">
          <w:rPr>
            <w:rStyle w:val="Hyperlink"/>
          </w:rPr>
          <w:t>ghdx.healthdata.org/gbd- results-tool</w:t>
        </w:r>
      </w:hyperlink>
      <w:r w:rsidRPr="00DC1132">
        <w:t>.</w:t>
      </w:r>
    </w:p>
  </w:footnote>
  <w:footnote w:id="31">
    <w:p w14:paraId="6A150DD5" w14:textId="2221B966" w:rsidR="000A1102" w:rsidRPr="00DC1132" w:rsidRDefault="000A1102">
      <w:pPr>
        <w:pStyle w:val="FootnoteText"/>
        <w:rPr>
          <w:lang w:val="en-US"/>
        </w:rPr>
      </w:pPr>
      <w:r>
        <w:rPr>
          <w:rStyle w:val="FootnoteReference"/>
        </w:rPr>
        <w:footnoteRef/>
      </w:r>
      <w:r>
        <w:t xml:space="preserve"> </w:t>
      </w:r>
      <w:r w:rsidRPr="00971872">
        <w:t>Health expenditure as reported here covers expenditure on health by both government and households. Downloaded from OECD Data Explorer, data-explorer.oecd.org, 11 July 2024.</w:t>
      </w:r>
    </w:p>
  </w:footnote>
  <w:footnote w:id="32">
    <w:p w14:paraId="3B4EC054" w14:textId="4B648169" w:rsidR="000A1102" w:rsidRPr="00DC1132" w:rsidRDefault="000A1102">
      <w:pPr>
        <w:pStyle w:val="FootnoteText"/>
        <w:rPr>
          <w:lang w:val="en-US"/>
        </w:rPr>
      </w:pPr>
      <w:r>
        <w:rPr>
          <w:rStyle w:val="FootnoteReference"/>
        </w:rPr>
        <w:footnoteRef/>
      </w:r>
      <w:r>
        <w:t xml:space="preserve"> </w:t>
      </w:r>
      <w:r w:rsidRPr="00971872">
        <w:t xml:space="preserve">This data was obtained from OECD Data Explorer’s health statistics data base </w:t>
      </w:r>
      <w:hyperlink r:id="rId27" w:history="1">
        <w:r w:rsidRPr="00971872">
          <w:rPr>
            <w:rStyle w:val="Hyperlink"/>
          </w:rPr>
          <w:t>stats.oecd.org/index. aspx?DataSetCode=HEALTH_STAT#</w:t>
        </w:r>
      </w:hyperlink>
      <w:r w:rsidRPr="00971872">
        <w:t>, 18 June 2024. When countries are tied, each country is given the minimum ranking for that value. For example, if two countries have an equal life expectancy that is in second place, they will both be given the ranking 2 and the next country will be ranked 4.</w:t>
      </w:r>
    </w:p>
  </w:footnote>
  <w:footnote w:id="33">
    <w:p w14:paraId="57D42C43" w14:textId="72C9D076" w:rsidR="000A1102" w:rsidRPr="00971872" w:rsidRDefault="000A1102">
      <w:pPr>
        <w:pStyle w:val="FootnoteText"/>
        <w:rPr>
          <w:lang w:val="en-US"/>
        </w:rPr>
      </w:pPr>
      <w:r>
        <w:rPr>
          <w:rStyle w:val="FootnoteReference"/>
        </w:rPr>
        <w:footnoteRef/>
      </w:r>
      <w:r>
        <w:t xml:space="preserve"> </w:t>
      </w:r>
      <w:r w:rsidRPr="00971872">
        <w:t>Life expectancy about birth data for New Zealand is not available in the OECD dataset as of 25 June 2024.</w:t>
      </w:r>
    </w:p>
  </w:footnote>
  <w:footnote w:id="34">
    <w:p w14:paraId="00F19EE2" w14:textId="1FBE28E6" w:rsidR="000A1102" w:rsidRPr="008D5FB2" w:rsidRDefault="000A1102">
      <w:pPr>
        <w:pStyle w:val="FootnoteText"/>
        <w:rPr>
          <w:lang w:val="en-US"/>
        </w:rPr>
      </w:pPr>
      <w:r>
        <w:rPr>
          <w:rStyle w:val="FootnoteReference"/>
        </w:rPr>
        <w:footnoteRef/>
      </w:r>
      <w:r>
        <w:t xml:space="preserve"> </w:t>
      </w:r>
      <w:r w:rsidRPr="008D5FB2">
        <w:t>The strategic intentions 2022–2026 incorrectly provides the baseline data for this indicator alongside ASH for children (age range 0–4 years).</w:t>
      </w:r>
    </w:p>
  </w:footnote>
  <w:footnote w:id="35">
    <w:p w14:paraId="6386F406" w14:textId="78874F40" w:rsidR="000A1102" w:rsidRPr="00874C6C" w:rsidRDefault="000A1102">
      <w:pPr>
        <w:pStyle w:val="FootnoteText"/>
        <w:rPr>
          <w:lang w:val="en-US"/>
        </w:rPr>
      </w:pPr>
      <w:r>
        <w:rPr>
          <w:rStyle w:val="FootnoteReference"/>
        </w:rPr>
        <w:footnoteRef/>
      </w:r>
      <w:r>
        <w:t xml:space="preserve"> </w:t>
      </w:r>
      <w:r w:rsidRPr="00874C6C">
        <w:t>The strategic intentions 2022–2026 incorrectly provides baseline data for this indicator alongside immunisation rates for children at 24 months of age.</w:t>
      </w:r>
    </w:p>
  </w:footnote>
  <w:footnote w:id="36">
    <w:p w14:paraId="668BC467" w14:textId="4AA3716A" w:rsidR="000A1102" w:rsidRPr="00B76EEF" w:rsidRDefault="000A1102">
      <w:pPr>
        <w:pStyle w:val="FootnoteText"/>
        <w:rPr>
          <w:lang w:val="en-US"/>
        </w:rPr>
      </w:pPr>
      <w:r>
        <w:rPr>
          <w:rStyle w:val="FootnoteReference"/>
        </w:rPr>
        <w:footnoteRef/>
      </w:r>
      <w:r>
        <w:t xml:space="preserve"> </w:t>
      </w:r>
      <w:r w:rsidRPr="00B76EEF">
        <w:t xml:space="preserve">Ministry of Health. 2024. </w:t>
      </w:r>
      <w:r w:rsidRPr="004A4D64">
        <w:rPr>
          <w:i/>
          <w:iCs/>
        </w:rPr>
        <w:t>Funding to Māori Health Providers 2018/19 to 2022/23</w:t>
      </w:r>
      <w:r w:rsidRPr="00B76EEF">
        <w:t xml:space="preserve">. URL: </w:t>
      </w:r>
      <w:hyperlink r:id="rId28" w:history="1">
        <w:r w:rsidRPr="00B76EEF">
          <w:rPr>
            <w:rStyle w:val="Hyperlink"/>
          </w:rPr>
          <w:t>health.govt.nz/publications/funding-to-maori-health-providers-201819-to-202223</w:t>
        </w:r>
      </w:hyperlink>
      <w:r w:rsidRPr="00B76EEF">
        <w:t xml:space="preserve"> (accessed 1 September 2024).</w:t>
      </w:r>
    </w:p>
  </w:footnote>
  <w:footnote w:id="37">
    <w:p w14:paraId="361B862A" w14:textId="16B37C2B" w:rsidR="000A1102" w:rsidRPr="0015744F" w:rsidRDefault="000A1102">
      <w:pPr>
        <w:pStyle w:val="FootnoteText"/>
        <w:rPr>
          <w:lang w:val="en-US"/>
        </w:rPr>
      </w:pPr>
      <w:r>
        <w:rPr>
          <w:rStyle w:val="FootnoteReference"/>
        </w:rPr>
        <w:footnoteRef/>
      </w:r>
      <w:r>
        <w:t xml:space="preserve"> </w:t>
      </w:r>
      <w:r w:rsidRPr="0015744F">
        <w:t xml:space="preserve">Ministry of Health. 2024. Executive Governance Team. URL: </w:t>
      </w:r>
      <w:hyperlink r:id="rId29" w:history="1">
        <w:r w:rsidRPr="0015744F">
          <w:rPr>
            <w:rStyle w:val="Hyperlink"/>
          </w:rPr>
          <w:t>health.govt.nz/about-us/organisation-and- leadership/executive-governance-team</w:t>
        </w:r>
      </w:hyperlink>
      <w:r w:rsidRPr="0015744F">
        <w:t xml:space="preserve"> (accessed 12 September 2024).</w:t>
      </w:r>
    </w:p>
  </w:footnote>
  <w:footnote w:id="38">
    <w:p w14:paraId="0224653B" w14:textId="0557EE29" w:rsidR="000A1102" w:rsidRPr="00A73A57" w:rsidRDefault="000A1102">
      <w:pPr>
        <w:pStyle w:val="FootnoteText"/>
        <w:rPr>
          <w:lang w:val="en-US"/>
        </w:rPr>
      </w:pPr>
      <w:r>
        <w:rPr>
          <w:rStyle w:val="FootnoteReference"/>
        </w:rPr>
        <w:footnoteRef/>
      </w:r>
      <w:r>
        <w:t xml:space="preserve"> </w:t>
      </w:r>
      <w:r w:rsidRPr="00A73A57">
        <w:t xml:space="preserve">Ministry of Health. Pay Gap Action Plan. URL: </w:t>
      </w:r>
      <w:hyperlink r:id="rId30" w:history="1">
        <w:r w:rsidRPr="00A73A57">
          <w:rPr>
            <w:rStyle w:val="Hyperlink"/>
          </w:rPr>
          <w:t>health.govt.nz/about-us/careers/pay-gap-action-plan</w:t>
        </w:r>
      </w:hyperlink>
      <w:r w:rsidRPr="00A73A57">
        <w:t xml:space="preserve"> (accessed 2 September 2024).</w:t>
      </w:r>
    </w:p>
  </w:footnote>
  <w:footnote w:id="39">
    <w:p w14:paraId="4E5F1E59" w14:textId="297BCEB5" w:rsidR="000A1102" w:rsidRPr="00F13919" w:rsidRDefault="000A1102">
      <w:pPr>
        <w:pStyle w:val="FootnoteText"/>
        <w:rPr>
          <w:lang w:val="en-US"/>
        </w:rPr>
      </w:pPr>
      <w:r>
        <w:rPr>
          <w:rStyle w:val="FootnoteReference"/>
        </w:rPr>
        <w:footnoteRef/>
      </w:r>
      <w:r>
        <w:t xml:space="preserve"> </w:t>
      </w:r>
      <w:r w:rsidRPr="00F13919">
        <w:t xml:space="preserve">For more information, see </w:t>
      </w:r>
      <w:hyperlink r:id="rId31" w:history="1">
        <w:r>
          <w:rPr>
            <w:rStyle w:val="Hyperlink"/>
          </w:rPr>
          <w:t>accessibilitytick.nz</w:t>
        </w:r>
      </w:hyperlink>
    </w:p>
  </w:footnote>
  <w:footnote w:id="40">
    <w:p w14:paraId="1E73AFA2" w14:textId="065D38AF" w:rsidR="000A1102" w:rsidRPr="00F13919" w:rsidRDefault="000A1102" w:rsidP="00FE662D">
      <w:pPr>
        <w:pStyle w:val="FootnoteText"/>
        <w:rPr>
          <w:lang w:val="en-US"/>
        </w:rPr>
      </w:pPr>
      <w:r>
        <w:rPr>
          <w:rStyle w:val="FootnoteReference"/>
        </w:rPr>
        <w:footnoteRef/>
      </w:r>
      <w:r>
        <w:t xml:space="preserve"> Ministry of Health. 2022. </w:t>
      </w:r>
      <w:r w:rsidRPr="00FE662D">
        <w:rPr>
          <w:i/>
          <w:iCs/>
        </w:rPr>
        <w:t>Developing the future Ministry of Health: Our strategy and strategic intentions, 2022 to 2026</w:t>
      </w:r>
      <w:r>
        <w:t xml:space="preserve">. URL: </w:t>
      </w:r>
      <w:hyperlink r:id="rId32" w:history="1">
        <w:r w:rsidRPr="00FE662D">
          <w:rPr>
            <w:rStyle w:val="Hyperlink"/>
          </w:rPr>
          <w:t>health.govt.nz/publications/developing-the-future-ministry-of-health-our-strategy-and- strategic-intentions-2022-to-2026</w:t>
        </w:r>
      </w:hyperlink>
      <w:r>
        <w:t xml:space="preserve"> (accessed 2 September 2024).</w:t>
      </w:r>
    </w:p>
  </w:footnote>
  <w:footnote w:id="41">
    <w:p w14:paraId="71136DB9" w14:textId="1342432C" w:rsidR="000A1102" w:rsidRPr="00FE662D" w:rsidRDefault="000A1102">
      <w:pPr>
        <w:pStyle w:val="FootnoteText"/>
        <w:rPr>
          <w:lang w:val="en-US"/>
        </w:rPr>
      </w:pPr>
      <w:r>
        <w:rPr>
          <w:rStyle w:val="FootnoteReference"/>
        </w:rPr>
        <w:footnoteRef/>
      </w:r>
      <w:r>
        <w:t xml:space="preserve"> </w:t>
      </w:r>
      <w:r w:rsidRPr="00FE662D">
        <w:t xml:space="preserve">External Reporting Board. 2020. </w:t>
      </w:r>
      <w:r w:rsidRPr="00FE662D">
        <w:rPr>
          <w:i/>
          <w:iCs/>
        </w:rPr>
        <w:t>Public Benefit Entity Financial Reporting Standard 48 Service Performance Reporting (PBE FRS 48)</w:t>
      </w:r>
      <w:r w:rsidRPr="00FE662D">
        <w:t xml:space="preserve">. URL: </w:t>
      </w:r>
      <w:hyperlink r:id="rId33" w:history="1">
        <w:r w:rsidRPr="00FE662D">
          <w:rPr>
            <w:rStyle w:val="Hyperlink"/>
          </w:rPr>
          <w:t>xrb.govt.nz/standards/accounting-standards/public-sector-standards/ standards-list/pbe-frs-48/</w:t>
        </w:r>
      </w:hyperlink>
      <w:r w:rsidRPr="00FE662D">
        <w:t xml:space="preserve"> (accessed 2 September 2024).</w:t>
      </w:r>
    </w:p>
  </w:footnote>
  <w:footnote w:id="42">
    <w:p w14:paraId="280D0C05" w14:textId="1DC802EB" w:rsidR="000A1102" w:rsidRPr="00673E82" w:rsidRDefault="000A1102" w:rsidP="00673E82">
      <w:pPr>
        <w:pStyle w:val="FootnoteText"/>
        <w:rPr>
          <w:lang w:val="en-US"/>
        </w:rPr>
      </w:pPr>
      <w:r>
        <w:rPr>
          <w:rStyle w:val="FootnoteReference"/>
        </w:rPr>
        <w:footnoteRef/>
      </w:r>
      <w:r>
        <w:t xml:space="preserve"> The Treasury. 2023. </w:t>
      </w:r>
      <w:r w:rsidRPr="00673E82">
        <w:rPr>
          <w:i/>
          <w:iCs/>
        </w:rPr>
        <w:t>Vote Health – Health Sector – Estimates of Appropriations 2023/24</w:t>
      </w:r>
      <w:r>
        <w:t xml:space="preserve">, B.5 Vol 5. URL: </w:t>
      </w:r>
      <w:hyperlink r:id="rId34" w:history="1">
        <w:r w:rsidRPr="00AF5E3F">
          <w:rPr>
            <w:rStyle w:val="Hyperlink"/>
          </w:rPr>
          <w:t>treasury.govt.nz/sites/default/files/2023-06/est23-v5-health.pdf</w:t>
        </w:r>
      </w:hyperlink>
      <w:r>
        <w:t xml:space="preserve"> (accessed 5 September 2024).</w:t>
      </w:r>
    </w:p>
  </w:footnote>
  <w:footnote w:id="43">
    <w:p w14:paraId="321C6844" w14:textId="0E4C3CDF" w:rsidR="000A1102" w:rsidRPr="00AF5E3F" w:rsidRDefault="000A1102">
      <w:pPr>
        <w:pStyle w:val="FootnoteText"/>
        <w:rPr>
          <w:lang w:val="en-US"/>
        </w:rPr>
      </w:pPr>
      <w:r>
        <w:rPr>
          <w:rStyle w:val="FootnoteReference"/>
        </w:rPr>
        <w:footnoteRef/>
      </w:r>
      <w:r>
        <w:t xml:space="preserve"> </w:t>
      </w:r>
      <w:r w:rsidRPr="00AF5E3F">
        <w:t xml:space="preserve">The Treasury. 2023. </w:t>
      </w:r>
      <w:r w:rsidRPr="00AE2C86">
        <w:rPr>
          <w:i/>
          <w:iCs/>
        </w:rPr>
        <w:t>Vote Health – The Supplementary Estimates of Appropriations 2023/24</w:t>
      </w:r>
      <w:r w:rsidRPr="00AF5E3F">
        <w:t xml:space="preserve">, B.7. URL: </w:t>
      </w:r>
      <w:hyperlink r:id="rId35" w:history="1">
        <w:r>
          <w:rPr>
            <w:rStyle w:val="Hyperlink"/>
          </w:rPr>
          <w:t>treasury.govt.nz/sites/default/files/2024-06/suppest24health.pdf</w:t>
        </w:r>
      </w:hyperlink>
      <w:r>
        <w:t xml:space="preserve"> </w:t>
      </w:r>
      <w:r w:rsidRPr="00AF5E3F">
        <w:t>(accessed 5 September 2024).</w:t>
      </w:r>
    </w:p>
  </w:footnote>
  <w:footnote w:id="44">
    <w:p w14:paraId="1D718899" w14:textId="05758C66" w:rsidR="000A1102" w:rsidRPr="00C83D9B" w:rsidRDefault="000A1102">
      <w:pPr>
        <w:pStyle w:val="FootnoteText"/>
        <w:rPr>
          <w:lang w:val="en-US"/>
        </w:rPr>
      </w:pPr>
      <w:r>
        <w:rPr>
          <w:rStyle w:val="FootnoteReference"/>
        </w:rPr>
        <w:footnoteRef/>
      </w:r>
      <w:r>
        <w:t xml:space="preserve"> </w:t>
      </w:r>
      <w:r w:rsidRPr="00C83D9B">
        <w:t>The Ministerial Advisory Committee for Health Reform Implementation.</w:t>
      </w:r>
    </w:p>
  </w:footnote>
  <w:footnote w:id="45">
    <w:p w14:paraId="4F86D5DD" w14:textId="4537CFCC" w:rsidR="000A1102" w:rsidRPr="005437CA" w:rsidRDefault="000A1102" w:rsidP="005437CA">
      <w:pPr>
        <w:pStyle w:val="FootnoteText"/>
        <w:rPr>
          <w:lang w:val="en-US"/>
        </w:rPr>
      </w:pPr>
      <w:r>
        <w:rPr>
          <w:rStyle w:val="FootnoteReference"/>
        </w:rPr>
        <w:footnoteRef/>
      </w:r>
      <w:r>
        <w:t xml:space="preserve"> </w:t>
      </w:r>
      <w:r w:rsidRPr="00530ED2">
        <w:t xml:space="preserve">Department of the Prime Minister and Cabinet. 2024. </w:t>
      </w:r>
      <w:r w:rsidRPr="004819F0">
        <w:rPr>
          <w:i/>
          <w:iCs/>
        </w:rPr>
        <w:t>Policy Quality Framework: A guide on panels and processes for assessing policy advice papers</w:t>
      </w:r>
      <w:r w:rsidRPr="00530ED2">
        <w:t xml:space="preserve">. URL: </w:t>
      </w:r>
      <w:hyperlink r:id="rId36" w:history="1">
        <w:r w:rsidRPr="00530ED2">
          <w:rPr>
            <w:rStyle w:val="Hyperlink"/>
          </w:rPr>
          <w:t>dpmc.govt.nz/publications/using-policy-quality- framework-assess-papers</w:t>
        </w:r>
      </w:hyperlink>
      <w:r w:rsidRPr="00530ED2">
        <w:t xml:space="preserve"> (accessed 2 September 2024).</w:t>
      </w:r>
    </w:p>
  </w:footnote>
  <w:footnote w:id="46">
    <w:p w14:paraId="02A42E7B" w14:textId="31513529" w:rsidR="000A1102" w:rsidRPr="005437CA" w:rsidRDefault="000A1102">
      <w:pPr>
        <w:pStyle w:val="FootnoteText"/>
        <w:rPr>
          <w:lang w:val="en-US"/>
        </w:rPr>
      </w:pPr>
      <w:r>
        <w:rPr>
          <w:rStyle w:val="FootnoteReference"/>
        </w:rPr>
        <w:footnoteRef/>
      </w:r>
      <w:r>
        <w:t xml:space="preserve"> </w:t>
      </w:r>
      <w:r w:rsidRPr="00530ED2">
        <w:t>This measure breaks down the overall quality of policy advice. Of the 50 papers reviewed, 17 received a score of 4 or above and 30 received a scope of 3 or above</w:t>
      </w:r>
      <w:r>
        <w:t>.</w:t>
      </w:r>
    </w:p>
  </w:footnote>
  <w:footnote w:id="47">
    <w:p w14:paraId="4468C2BB" w14:textId="4B5AD2CC" w:rsidR="000A1102" w:rsidRPr="004312D0" w:rsidRDefault="000A1102" w:rsidP="004312D0">
      <w:pPr>
        <w:pStyle w:val="FootnoteText"/>
        <w:rPr>
          <w:lang w:val="en-US"/>
        </w:rPr>
      </w:pPr>
      <w:r>
        <w:rPr>
          <w:rStyle w:val="FootnoteReference"/>
        </w:rPr>
        <w:footnoteRef/>
      </w:r>
      <w:r>
        <w:t xml:space="preserve"> Ministry of Health. 2022. </w:t>
      </w:r>
      <w:r w:rsidRPr="004312D0">
        <w:rPr>
          <w:i/>
          <w:iCs/>
        </w:rPr>
        <w:t>Strategy to Prevent and Minimise Gambling Harm 2022/23 to 2024/25</w:t>
      </w:r>
      <w:r>
        <w:t xml:space="preserve">. URL: </w:t>
      </w:r>
      <w:hyperlink r:id="rId37" w:history="1">
        <w:r w:rsidRPr="004312D0">
          <w:rPr>
            <w:rStyle w:val="Hyperlink"/>
          </w:rPr>
          <w:t>health.govt.nz/publications/strategy-to-prevent-and-minimise-gambling-harm-202223-to-202425</w:t>
        </w:r>
      </w:hyperlink>
      <w:r>
        <w:t xml:space="preserve"> (accessed 3 September 2024).</w:t>
      </w:r>
    </w:p>
  </w:footnote>
  <w:footnote w:id="48">
    <w:p w14:paraId="105356D8" w14:textId="5F9A0B5F" w:rsidR="000A1102" w:rsidRPr="00A904C6" w:rsidRDefault="000A1102">
      <w:pPr>
        <w:pStyle w:val="FootnoteText"/>
        <w:rPr>
          <w:lang w:val="en-US"/>
        </w:rPr>
      </w:pPr>
      <w:r>
        <w:rPr>
          <w:rStyle w:val="FootnoteReference"/>
        </w:rPr>
        <w:footnoteRef/>
      </w:r>
      <w:r>
        <w:t xml:space="preserve"> </w:t>
      </w:r>
      <w:r w:rsidRPr="00A904C6">
        <w:t>COVAX is the vaccines pillar of the Access to COVID-19 Tools (ACT) Accelerator. The ACT Accelerator is a ground-breaking global collaboration to accelerate the development, production and equitable access to COVID-19 tests, treatments and vaccines.</w:t>
      </w:r>
    </w:p>
  </w:footnote>
  <w:footnote w:id="49">
    <w:p w14:paraId="3C100D5B" w14:textId="20131A8D" w:rsidR="000A1102" w:rsidRPr="007123AC" w:rsidRDefault="000A1102">
      <w:pPr>
        <w:pStyle w:val="FootnoteText"/>
        <w:rPr>
          <w:lang w:val="en-US"/>
        </w:rPr>
      </w:pPr>
      <w:r>
        <w:rPr>
          <w:rStyle w:val="FootnoteReference"/>
        </w:rPr>
        <w:footnoteRef/>
      </w:r>
      <w:r>
        <w:t xml:space="preserve"> </w:t>
      </w:r>
      <w:r w:rsidRPr="007123AC">
        <w:t>The Disabled Persons Community Welfare Act 1975 is administered by both the Ministry of Social Development and the Ministry of Health.</w:t>
      </w:r>
    </w:p>
  </w:footnote>
  <w:footnote w:id="50">
    <w:p w14:paraId="30D22869" w14:textId="0A03693D" w:rsidR="000A1102" w:rsidRDefault="000A1102" w:rsidP="004B6891">
      <w:pPr>
        <w:pStyle w:val="FootnoteText"/>
      </w:pPr>
      <w:r>
        <w:rPr>
          <w:rStyle w:val="FootnoteReference"/>
        </w:rPr>
        <w:footnoteRef/>
      </w:r>
      <w:r>
        <w:t xml:space="preserve"> Programme for the Integration of Mental Health Data (PRIMHD) is a Health New Zealand single national mental health and addiction information collection of service activity and outcomes data for health consumers. The data is collected from Health New Zealand district services and non-governmental organisations.</w:t>
      </w:r>
    </w:p>
    <w:p w14:paraId="20907A26" w14:textId="09651F56" w:rsidR="000A1102" w:rsidRPr="004B6891" w:rsidRDefault="000A1102" w:rsidP="004B6891">
      <w:pPr>
        <w:pStyle w:val="FootnoteText"/>
        <w:ind w:firstLine="0"/>
        <w:rPr>
          <w:lang w:val="en-US"/>
        </w:rPr>
      </w:pPr>
      <w:r>
        <w:t>As the data from PRIMHD is only able to measure mental health and addiction outcomes, these results may not fully encompass or recognise other sources of support people recovering from severe substance addiction are receiving (eg, patients that have received support for access to housing).</w:t>
      </w:r>
    </w:p>
  </w:footnote>
  <w:footnote w:id="51">
    <w:p w14:paraId="65B29558" w14:textId="1098266B" w:rsidR="000A1102" w:rsidRPr="004B6891" w:rsidRDefault="000A1102">
      <w:pPr>
        <w:pStyle w:val="FootnoteText"/>
        <w:rPr>
          <w:lang w:val="en-US"/>
        </w:rPr>
      </w:pPr>
      <w:r>
        <w:rPr>
          <w:rStyle w:val="FootnoteReference"/>
        </w:rPr>
        <w:footnoteRef/>
      </w:r>
      <w:r>
        <w:t xml:space="preserve"> </w:t>
      </w:r>
      <w:r w:rsidRPr="004B6891">
        <w:t xml:space="preserve">There may be cases where a person first came under the Substance Addiction Act late in the prior year or engaged in the process late in the prior year and continued through the current report period year. Due to this </w:t>
      </w:r>
      <w:proofErr w:type="gramStart"/>
      <w:r w:rsidRPr="004B6891">
        <w:t>possibility</w:t>
      </w:r>
      <w:proofErr w:type="gramEnd"/>
      <w:r w:rsidRPr="004B6891">
        <w:t xml:space="preserve"> there may be discrepancies in reporting, where the number of people for whom compulsory treatment orders were made (or extended) was higher than the number who were detained under the Substance Addiction Act.</w:t>
      </w:r>
    </w:p>
  </w:footnote>
  <w:footnote w:id="52">
    <w:p w14:paraId="25CA7A03" w14:textId="3EB6FDD0" w:rsidR="000A1102" w:rsidRPr="00FF445D" w:rsidRDefault="000A1102">
      <w:pPr>
        <w:pStyle w:val="FootnoteText"/>
        <w:rPr>
          <w:lang w:val="en-US"/>
        </w:rPr>
      </w:pPr>
      <w:r>
        <w:rPr>
          <w:rStyle w:val="FootnoteReference"/>
        </w:rPr>
        <w:footnoteRef/>
      </w:r>
      <w:r>
        <w:t xml:space="preserve"> </w:t>
      </w:r>
      <w:r w:rsidRPr="00FF445D">
        <w:t>The categories are defined as up to, and including, the upper limit. For example, one week and one day would be included in 1-2 weeks; seven weeks exactly would be included in 6-7 weeks.</w:t>
      </w:r>
    </w:p>
  </w:footnote>
  <w:footnote w:id="53">
    <w:p w14:paraId="337CC5F4" w14:textId="16A89B69" w:rsidR="000A1102" w:rsidRPr="0007762E" w:rsidRDefault="000A1102">
      <w:pPr>
        <w:pStyle w:val="FootnoteText"/>
        <w:rPr>
          <w:lang w:val="en-US"/>
        </w:rPr>
      </w:pPr>
      <w:r>
        <w:rPr>
          <w:rStyle w:val="FootnoteReference"/>
        </w:rPr>
        <w:footnoteRef/>
      </w:r>
      <w:r>
        <w:t xml:space="preserve"> </w:t>
      </w:r>
      <w:r w:rsidRPr="0007762E">
        <w:t xml:space="preserve">Our emissions will be formally audited by a certified carbon auditor and published on the Ministry’s website </w:t>
      </w:r>
      <w:hyperlink r:id="rId38" w:history="1">
        <w:r w:rsidRPr="0007762E">
          <w:rPr>
            <w:rStyle w:val="Hyperlink"/>
          </w:rPr>
          <w:t>health.govt.nz</w:t>
        </w:r>
      </w:hyperlink>
      <w:r w:rsidRPr="0007762E">
        <w:t>. As such, the emissions reported here for 2023/24 are considered provisional and unverified.</w:t>
      </w:r>
    </w:p>
  </w:footnote>
  <w:footnote w:id="54">
    <w:p w14:paraId="755B1928" w14:textId="12328140" w:rsidR="000A1102" w:rsidRPr="00380909" w:rsidRDefault="000A1102">
      <w:pPr>
        <w:pStyle w:val="FootnoteText"/>
        <w:rPr>
          <w:lang w:val="en-US"/>
        </w:rPr>
      </w:pPr>
      <w:r>
        <w:rPr>
          <w:rStyle w:val="FootnoteReference"/>
        </w:rPr>
        <w:footnoteRef/>
      </w:r>
      <w:r>
        <w:t xml:space="preserve"> </w:t>
      </w:r>
      <w:r w:rsidRPr="00380909">
        <w:t xml:space="preserve">Minister of Health. 2003. The New Zealand Cancer Control Strategy. Wellington: Ministry of Health and the New Zealand Cancer Control Trust. URL: </w:t>
      </w:r>
      <w:hyperlink r:id="rId39" w:history="1">
        <w:r w:rsidRPr="00380909">
          <w:rPr>
            <w:rStyle w:val="Hyperlink"/>
          </w:rPr>
          <w:t>http://www.health.govt.nz/system/files/2011-11/cancercontrolstrategy.pdf</w:t>
        </w:r>
      </w:hyperlink>
      <w:r>
        <w:t xml:space="preserve"> </w:t>
      </w:r>
      <w:r w:rsidRPr="00380909">
        <w:t>(accessed 8 September 2024).</w:t>
      </w:r>
    </w:p>
  </w:footnote>
  <w:footnote w:id="55">
    <w:p w14:paraId="19F846F9" w14:textId="7321B81B" w:rsidR="000A1102" w:rsidRPr="00380909" w:rsidRDefault="000A1102">
      <w:pPr>
        <w:pStyle w:val="FootnoteText"/>
        <w:rPr>
          <w:lang w:val="en-US"/>
        </w:rPr>
      </w:pPr>
      <w:r>
        <w:rPr>
          <w:rStyle w:val="FootnoteReference"/>
        </w:rPr>
        <w:footnoteRef/>
      </w:r>
      <w:r>
        <w:t xml:space="preserve"> </w:t>
      </w:r>
      <w:r w:rsidRPr="00380909">
        <w:t xml:space="preserve">Ministry of Health. 2019. New Zealand Cancer Action Plan 2019–2029 – Te Mahere mō te Mate Pukupuku o Aotearoa 2019–2029. Revised January 2020 Wellington: Ministry of Health. URL: </w:t>
      </w:r>
      <w:hyperlink r:id="rId40" w:history="1">
        <w:r w:rsidRPr="00380909">
          <w:rPr>
            <w:rStyle w:val="Hyperlink"/>
          </w:rPr>
          <w:t>http://www.health.govt.nz/publications/new-zealand-cancer-action-plan-2019-2029</w:t>
        </w:r>
      </w:hyperlink>
      <w:r>
        <w:t xml:space="preserve"> </w:t>
      </w:r>
      <w:r w:rsidRPr="00380909">
        <w:t>(accessed 8 September 2024).</w:t>
      </w:r>
    </w:p>
  </w:footnote>
  <w:footnote w:id="56">
    <w:p w14:paraId="06FA47B8" w14:textId="3CC51A5C" w:rsidR="000A1102" w:rsidRPr="00380909" w:rsidRDefault="000A1102" w:rsidP="00380909">
      <w:pPr>
        <w:pStyle w:val="FootnoteText"/>
        <w:rPr>
          <w:lang w:val="en-US"/>
        </w:rPr>
      </w:pPr>
      <w:r>
        <w:rPr>
          <w:rStyle w:val="FootnoteReference"/>
        </w:rPr>
        <w:footnoteRef/>
      </w:r>
      <w:r>
        <w:t xml:space="preserve"> Minister of Health. 2024. Government Policy Statement on Health 2024–2027. Wellington: Ministry of Health. URL: </w:t>
      </w:r>
      <w:hyperlink r:id="rId41" w:history="1">
        <w:r w:rsidRPr="00380909">
          <w:rPr>
            <w:rStyle w:val="Hyperlink"/>
          </w:rPr>
          <w:t>http://www.health.govt.nz/publications/government-policy-statement-on-health-2024-2027</w:t>
        </w:r>
      </w:hyperlink>
      <w:r>
        <w:t>(accessed 9 September 2024).</w:t>
      </w:r>
    </w:p>
  </w:footnote>
  <w:footnote w:id="57">
    <w:p w14:paraId="6809527D" w14:textId="5BA544AD" w:rsidR="000A1102" w:rsidRPr="00872392" w:rsidRDefault="000A1102">
      <w:pPr>
        <w:pStyle w:val="FootnoteText"/>
        <w:rPr>
          <w:lang w:val="en-US"/>
        </w:rPr>
      </w:pPr>
      <w:r>
        <w:rPr>
          <w:rStyle w:val="FootnoteReference"/>
        </w:rPr>
        <w:footnoteRef/>
      </w:r>
      <w:r>
        <w:t xml:space="preserve"> </w:t>
      </w:r>
      <w:r w:rsidRPr="00872392">
        <w:t>Te Aho o Te Kahu. 2024. Quality Improvement Monitoring Report – Route to diagnosis: People diagnosed with cancer within 30 days of an emergency or acute (unplanned) hospital admission. Wellington: Te Aho o Te Kahu – Cancer Control Agency.</w:t>
      </w:r>
    </w:p>
  </w:footnote>
  <w:footnote w:id="58">
    <w:p w14:paraId="5F0186C5" w14:textId="431A29EF" w:rsidR="000A1102" w:rsidRPr="00866318" w:rsidRDefault="000A1102" w:rsidP="00866318">
      <w:pPr>
        <w:pStyle w:val="FootnoteText"/>
        <w:rPr>
          <w:lang w:val="en-US"/>
        </w:rPr>
      </w:pPr>
      <w:r>
        <w:rPr>
          <w:rStyle w:val="FootnoteReference"/>
        </w:rPr>
        <w:footnoteRef/>
      </w:r>
      <w:r>
        <w:t xml:space="preserve"> Minister of Health. 2023</w:t>
      </w:r>
      <w:r w:rsidRPr="00072F1B">
        <w:rPr>
          <w:i/>
          <w:iCs/>
        </w:rPr>
        <w:t>. Pae Tū: Hauora Māori Strategy</w:t>
      </w:r>
      <w:r>
        <w:t xml:space="preserve">. Wellington: Ministry of Health. URL: </w:t>
      </w:r>
      <w:hyperlink r:id="rId42" w:history="1">
        <w:r w:rsidRPr="00866318">
          <w:rPr>
            <w:rStyle w:val="Hyperlink"/>
          </w:rPr>
          <w:t>http://www.health.govt.nz/system/files/2023-07/hp8748-pae-tu-hauora-maori-strategy.pdf</w:t>
        </w:r>
      </w:hyperlink>
      <w:r>
        <w:t xml:space="preserve"> (accessed 9 September 2024).</w:t>
      </w:r>
    </w:p>
  </w:footnote>
  <w:footnote w:id="59">
    <w:p w14:paraId="6435DC68" w14:textId="523AF6A3" w:rsidR="000A1102" w:rsidRPr="00866318" w:rsidRDefault="000A1102" w:rsidP="00866318">
      <w:pPr>
        <w:pStyle w:val="FootnoteText"/>
        <w:rPr>
          <w:lang w:val="en-US"/>
        </w:rPr>
      </w:pPr>
      <w:r>
        <w:rPr>
          <w:rStyle w:val="FootnoteReference"/>
        </w:rPr>
        <w:footnoteRef/>
      </w:r>
      <w:r>
        <w:t xml:space="preserve"> Ministry of Health. 2020. </w:t>
      </w:r>
      <w:r w:rsidRPr="00072F1B">
        <w:rPr>
          <w:i/>
          <w:iCs/>
        </w:rPr>
        <w:t>Whakamaua: Māori Health Action Plan 2020–2025</w:t>
      </w:r>
      <w:r>
        <w:t xml:space="preserve">. Wellington: Ministry of Health. URL: </w:t>
      </w:r>
      <w:hyperlink r:id="rId43" w:history="1">
        <w:r w:rsidRPr="00866318">
          <w:rPr>
            <w:rStyle w:val="Hyperlink"/>
          </w:rPr>
          <w:t>http://www.health.govt.nz/publications/whakamaua-maori-health-action-plan-2020-2025</w:t>
        </w:r>
      </w:hyperlink>
      <w:r>
        <w:t xml:space="preserve"> (accessed 9 September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0A1102" w14:paraId="11530A0D" w14:textId="77777777" w:rsidTr="008F2B72">
      <w:trPr>
        <w:cantSplit/>
      </w:trPr>
      <w:tc>
        <w:tcPr>
          <w:tcW w:w="5210" w:type="dxa"/>
          <w:vAlign w:val="center"/>
        </w:tcPr>
        <w:p w14:paraId="2BDE3162" w14:textId="50D4772D" w:rsidR="000A1102" w:rsidRDefault="000A1102" w:rsidP="00B26F0F">
          <w:pPr>
            <w:pStyle w:val="Header"/>
          </w:pPr>
          <w:bookmarkStart w:id="0" w:name="_Hlk110933925"/>
        </w:p>
      </w:tc>
      <w:tc>
        <w:tcPr>
          <w:tcW w:w="4429" w:type="dxa"/>
          <w:vAlign w:val="center"/>
        </w:tcPr>
        <w:p w14:paraId="06193D58" w14:textId="01ECE061" w:rsidR="000A1102" w:rsidRDefault="000A1102" w:rsidP="00266E11">
          <w:pPr>
            <w:pStyle w:val="Header"/>
            <w:jc w:val="right"/>
          </w:pPr>
        </w:p>
      </w:tc>
    </w:tr>
    <w:bookmarkEnd w:id="0"/>
  </w:tbl>
  <w:p w14:paraId="4AC8EC99" w14:textId="1B35D83E" w:rsidR="000A1102" w:rsidRDefault="000A1102">
    <w:pPr>
      <w:pStyle w:val="Header"/>
    </w:pPr>
  </w:p>
  <w:p w14:paraId="293FEA1D" w14:textId="77777777" w:rsidR="000A1102" w:rsidRDefault="000A1102">
    <w:pPr>
      <w:pStyle w:val="Header"/>
    </w:pPr>
  </w:p>
  <w:p w14:paraId="53D75101" w14:textId="79F35CC8" w:rsidR="000A1102" w:rsidRDefault="000A1102" w:rsidP="00381B91">
    <w:pPr>
      <w:jc w:val="right"/>
    </w:pPr>
    <w:r>
      <w:rPr>
        <w:noProof/>
      </w:rPr>
      <mc:AlternateContent>
        <mc:Choice Requires="wps">
          <w:drawing>
            <wp:anchor distT="0" distB="0" distL="114300" distR="114300" simplePos="0" relativeHeight="251669504" behindDoc="1" locked="0" layoutInCell="1" allowOverlap="1" wp14:anchorId="064B6603" wp14:editId="159541FB">
              <wp:simplePos x="0" y="0"/>
              <wp:positionH relativeFrom="page">
                <wp:posOffset>3983990</wp:posOffset>
              </wp:positionH>
              <wp:positionV relativeFrom="page">
                <wp:posOffset>9926320</wp:posOffset>
              </wp:positionV>
              <wp:extent cx="3091180" cy="21780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8B9D9" w14:textId="77777777" w:rsidR="000A1102" w:rsidRDefault="000A1102" w:rsidP="00381B91">
                          <w:pPr>
                            <w:tabs>
                              <w:tab w:val="left" w:pos="4808"/>
                            </w:tabs>
                            <w:spacing w:before="38"/>
                            <w:rPr>
                              <w:rFonts w:ascii="Arial" w:hAnsi="Arial"/>
                              <w:b/>
                              <w:sz w:val="20"/>
                            </w:rPr>
                          </w:pPr>
                          <w:r>
                            <w:rPr>
                              <w:rFonts w:ascii="Trebuchet MS" w:hAnsi="Trebuchet MS"/>
                              <w:color w:val="1E83A1"/>
                              <w:w w:val="110"/>
                              <w:sz w:val="19"/>
                            </w:rPr>
                            <w:t>Ministry</w:t>
                          </w:r>
                          <w:r>
                            <w:rPr>
                              <w:rFonts w:ascii="Trebuchet MS" w:hAnsi="Trebuchet MS"/>
                              <w:color w:val="1E83A1"/>
                              <w:spacing w:val="-4"/>
                              <w:w w:val="110"/>
                              <w:sz w:val="19"/>
                            </w:rPr>
                            <w:t xml:space="preserve"> </w:t>
                          </w:r>
                          <w:r>
                            <w:rPr>
                              <w:rFonts w:ascii="Trebuchet MS" w:hAnsi="Trebuchet MS"/>
                              <w:color w:val="1E83A1"/>
                              <w:w w:val="110"/>
                              <w:sz w:val="19"/>
                            </w:rPr>
                            <w:t>of</w:t>
                          </w:r>
                          <w:r>
                            <w:rPr>
                              <w:rFonts w:ascii="Trebuchet MS" w:hAnsi="Trebuchet MS"/>
                              <w:color w:val="1E83A1"/>
                              <w:spacing w:val="-3"/>
                              <w:w w:val="110"/>
                              <w:sz w:val="19"/>
                            </w:rPr>
                            <w:t xml:space="preserve"> </w:t>
                          </w:r>
                          <w:r>
                            <w:rPr>
                              <w:rFonts w:ascii="Trebuchet MS" w:hAnsi="Trebuchet MS"/>
                              <w:color w:val="1E83A1"/>
                              <w:w w:val="110"/>
                              <w:sz w:val="19"/>
                            </w:rPr>
                            <w:t>Health</w:t>
                          </w:r>
                          <w:r>
                            <w:rPr>
                              <w:rFonts w:ascii="Trebuchet MS" w:hAnsi="Trebuchet MS"/>
                              <w:color w:val="1E83A1"/>
                              <w:spacing w:val="-3"/>
                              <w:w w:val="110"/>
                              <w:sz w:val="19"/>
                            </w:rPr>
                            <w:t xml:space="preserve"> </w:t>
                          </w:r>
                          <w:r>
                            <w:rPr>
                              <w:rFonts w:ascii="Trebuchet MS" w:hAnsi="Trebuchet MS"/>
                              <w:color w:val="1E83A1"/>
                              <w:w w:val="110"/>
                              <w:sz w:val="19"/>
                            </w:rPr>
                            <w:t>–</w:t>
                          </w:r>
                          <w:r>
                            <w:rPr>
                              <w:rFonts w:ascii="Trebuchet MS" w:hAnsi="Trebuchet MS"/>
                              <w:color w:val="1E83A1"/>
                              <w:spacing w:val="-4"/>
                              <w:w w:val="110"/>
                              <w:sz w:val="19"/>
                            </w:rPr>
                            <w:t xml:space="preserve"> </w:t>
                          </w:r>
                          <w:r>
                            <w:rPr>
                              <w:rFonts w:ascii="Trebuchet MS" w:hAnsi="Trebuchet MS"/>
                              <w:color w:val="1E83A1"/>
                              <w:w w:val="110"/>
                              <w:sz w:val="19"/>
                            </w:rPr>
                            <w:t>2021/2022</w:t>
                          </w:r>
                          <w:r>
                            <w:rPr>
                              <w:rFonts w:ascii="Trebuchet MS" w:hAnsi="Trebuchet MS"/>
                              <w:color w:val="1E83A1"/>
                              <w:spacing w:val="-3"/>
                              <w:w w:val="110"/>
                              <w:sz w:val="19"/>
                            </w:rPr>
                            <w:t xml:space="preserve"> </w:t>
                          </w:r>
                          <w:r>
                            <w:rPr>
                              <w:rFonts w:ascii="Trebuchet MS" w:hAnsi="Trebuchet MS"/>
                              <w:color w:val="1E83A1"/>
                              <w:w w:val="110"/>
                              <w:sz w:val="19"/>
                            </w:rPr>
                            <w:t>Annual</w:t>
                          </w:r>
                          <w:r>
                            <w:rPr>
                              <w:rFonts w:ascii="Trebuchet MS" w:hAnsi="Trebuchet MS"/>
                              <w:color w:val="1E83A1"/>
                              <w:spacing w:val="-3"/>
                              <w:w w:val="110"/>
                              <w:sz w:val="19"/>
                            </w:rPr>
                            <w:t xml:space="preserve"> </w:t>
                          </w:r>
                          <w:r>
                            <w:rPr>
                              <w:rFonts w:ascii="Trebuchet MS" w:hAnsi="Trebuchet MS"/>
                              <w:color w:val="1E83A1"/>
                              <w:w w:val="110"/>
                              <w:sz w:val="19"/>
                            </w:rPr>
                            <w:t>Report</w:t>
                          </w:r>
                          <w:r>
                            <w:rPr>
                              <w:rFonts w:ascii="Trebuchet MS" w:hAnsi="Trebuchet MS"/>
                              <w:color w:val="1E83A1"/>
                              <w:w w:val="110"/>
                              <w:sz w:val="19"/>
                            </w:rPr>
                            <w:tab/>
                          </w:r>
                          <w:r>
                            <w:rPr>
                              <w:rFonts w:ascii="Arial" w:hAnsi="Arial"/>
                              <w:b/>
                              <w:spacing w:val="-11"/>
                              <w:w w:val="115"/>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B6603" id="_x0000_t202" coordsize="21600,21600" o:spt="202" path="m,l,21600r21600,l21600,xe">
              <v:stroke joinstyle="miter"/>
              <v:path gradientshapeok="t" o:connecttype="rect"/>
            </v:shapetype>
            <v:shape id="Text Box 9" o:spid="_x0000_s1026" type="#_x0000_t202" style="position:absolute;left:0;text-align:left;margin-left:313.7pt;margin-top:781.6pt;width:243.4pt;height:17.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" filled="f" stroked="f">
              <v:textbox inset="0,0,0,0">
                <w:txbxContent>
                  <w:p w14:paraId="4D68B9D9" w14:textId="77777777" w:rsidR="000A1102" w:rsidRDefault="000A1102" w:rsidP="00381B91">
                    <w:pPr>
                      <w:tabs>
                        <w:tab w:val="left" w:pos="4808"/>
                      </w:tabs>
                      <w:spacing w:before="38"/>
                      <w:rPr>
                        <w:rFonts w:ascii="Arial" w:hAnsi="Arial"/>
                        <w:b/>
                        <w:sz w:val="20"/>
                      </w:rPr>
                    </w:pPr>
                    <w:r>
                      <w:rPr>
                        <w:rFonts w:ascii="Trebuchet MS" w:hAnsi="Trebuchet MS"/>
                        <w:color w:val="1E83A1"/>
                        <w:w w:val="110"/>
                        <w:sz w:val="19"/>
                      </w:rPr>
                      <w:t>Ministry</w:t>
                    </w:r>
                    <w:r>
                      <w:rPr>
                        <w:rFonts w:ascii="Trebuchet MS" w:hAnsi="Trebuchet MS"/>
                        <w:color w:val="1E83A1"/>
                        <w:spacing w:val="-4"/>
                        <w:w w:val="110"/>
                        <w:sz w:val="19"/>
                      </w:rPr>
                      <w:t xml:space="preserve"> </w:t>
                    </w:r>
                    <w:r>
                      <w:rPr>
                        <w:rFonts w:ascii="Trebuchet MS" w:hAnsi="Trebuchet MS"/>
                        <w:color w:val="1E83A1"/>
                        <w:w w:val="110"/>
                        <w:sz w:val="19"/>
                      </w:rPr>
                      <w:t>of</w:t>
                    </w:r>
                    <w:r>
                      <w:rPr>
                        <w:rFonts w:ascii="Trebuchet MS" w:hAnsi="Trebuchet MS"/>
                        <w:color w:val="1E83A1"/>
                        <w:spacing w:val="-3"/>
                        <w:w w:val="110"/>
                        <w:sz w:val="19"/>
                      </w:rPr>
                      <w:t xml:space="preserve"> </w:t>
                    </w:r>
                    <w:r>
                      <w:rPr>
                        <w:rFonts w:ascii="Trebuchet MS" w:hAnsi="Trebuchet MS"/>
                        <w:color w:val="1E83A1"/>
                        <w:w w:val="110"/>
                        <w:sz w:val="19"/>
                      </w:rPr>
                      <w:t>Health</w:t>
                    </w:r>
                    <w:r>
                      <w:rPr>
                        <w:rFonts w:ascii="Trebuchet MS" w:hAnsi="Trebuchet MS"/>
                        <w:color w:val="1E83A1"/>
                        <w:spacing w:val="-3"/>
                        <w:w w:val="110"/>
                        <w:sz w:val="19"/>
                      </w:rPr>
                      <w:t xml:space="preserve"> </w:t>
                    </w:r>
                    <w:r>
                      <w:rPr>
                        <w:rFonts w:ascii="Trebuchet MS" w:hAnsi="Trebuchet MS"/>
                        <w:color w:val="1E83A1"/>
                        <w:w w:val="110"/>
                        <w:sz w:val="19"/>
                      </w:rPr>
                      <w:t>–</w:t>
                    </w:r>
                    <w:r>
                      <w:rPr>
                        <w:rFonts w:ascii="Trebuchet MS" w:hAnsi="Trebuchet MS"/>
                        <w:color w:val="1E83A1"/>
                        <w:spacing w:val="-4"/>
                        <w:w w:val="110"/>
                        <w:sz w:val="19"/>
                      </w:rPr>
                      <w:t xml:space="preserve"> </w:t>
                    </w:r>
                    <w:r>
                      <w:rPr>
                        <w:rFonts w:ascii="Trebuchet MS" w:hAnsi="Trebuchet MS"/>
                        <w:color w:val="1E83A1"/>
                        <w:w w:val="110"/>
                        <w:sz w:val="19"/>
                      </w:rPr>
                      <w:t>2021/2022</w:t>
                    </w:r>
                    <w:r>
                      <w:rPr>
                        <w:rFonts w:ascii="Trebuchet MS" w:hAnsi="Trebuchet MS"/>
                        <w:color w:val="1E83A1"/>
                        <w:spacing w:val="-3"/>
                        <w:w w:val="110"/>
                        <w:sz w:val="19"/>
                      </w:rPr>
                      <w:t xml:space="preserve"> </w:t>
                    </w:r>
                    <w:r>
                      <w:rPr>
                        <w:rFonts w:ascii="Trebuchet MS" w:hAnsi="Trebuchet MS"/>
                        <w:color w:val="1E83A1"/>
                        <w:w w:val="110"/>
                        <w:sz w:val="19"/>
                      </w:rPr>
                      <w:t>Annual</w:t>
                    </w:r>
                    <w:r>
                      <w:rPr>
                        <w:rFonts w:ascii="Trebuchet MS" w:hAnsi="Trebuchet MS"/>
                        <w:color w:val="1E83A1"/>
                        <w:spacing w:val="-3"/>
                        <w:w w:val="110"/>
                        <w:sz w:val="19"/>
                      </w:rPr>
                      <w:t xml:space="preserve"> </w:t>
                    </w:r>
                    <w:r>
                      <w:rPr>
                        <w:rFonts w:ascii="Trebuchet MS" w:hAnsi="Trebuchet MS"/>
                        <w:color w:val="1E83A1"/>
                        <w:w w:val="110"/>
                        <w:sz w:val="19"/>
                      </w:rPr>
                      <w:t>Report</w:t>
                    </w:r>
                    <w:r>
                      <w:rPr>
                        <w:rFonts w:ascii="Trebuchet MS" w:hAnsi="Trebuchet MS"/>
                        <w:color w:val="1E83A1"/>
                        <w:w w:val="110"/>
                        <w:sz w:val="19"/>
                      </w:rPr>
                      <w:tab/>
                    </w:r>
                    <w:r>
                      <w:rPr>
                        <w:rFonts w:ascii="Arial" w:hAnsi="Arial"/>
                        <w:b/>
                        <w:spacing w:val="-11"/>
                        <w:w w:val="115"/>
                        <w:sz w:val="20"/>
                      </w:rPr>
                      <w:t>I</w:t>
                    </w:r>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1A10F933" wp14:editId="1834EA27">
              <wp:simplePos x="0" y="0"/>
              <wp:positionH relativeFrom="page">
                <wp:posOffset>0</wp:posOffset>
              </wp:positionH>
              <wp:positionV relativeFrom="page">
                <wp:posOffset>9588500</wp:posOffset>
              </wp:positionV>
              <wp:extent cx="7560310" cy="923925"/>
              <wp:effectExtent l="0" t="0" r="0" b="0"/>
              <wp:wrapNone/>
              <wp:docPr id="15" name="Rectangl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B9AA4" id="Rectangle 15" o:spid="_x0000_s1026" alt="&quot;&quot;" style="position:absolute;margin-left:0;margin-top:755pt;width:595.3pt;height:72.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" stroked="f">
              <w10:wrap anchorx="page" anchory="page"/>
            </v:rect>
          </w:pict>
        </mc:Fallback>
      </mc:AlternateContent>
    </w:r>
    <w:r>
      <w:t>E.10</w:t>
    </w:r>
    <w:r>
      <w:rPr>
        <w:spacing w:val="-11"/>
      </w:rPr>
      <w:t xml:space="preserve"> </w:t>
    </w:r>
    <w:r>
      <w:t>AR</w:t>
    </w:r>
    <w:r>
      <w:rPr>
        <w:spacing w:val="-11"/>
      </w:rPr>
      <w:t xml:space="preserve"> </w:t>
    </w:r>
    <w:r>
      <w:t>(2023/2024)</w:t>
    </w:r>
  </w:p>
  <w:p w14:paraId="5D65328A" w14:textId="77777777" w:rsidR="000A1102" w:rsidRDefault="000A11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5B58" w14:textId="77777777" w:rsidR="000A1102" w:rsidRDefault="000A1102"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4B1" w14:textId="77777777" w:rsidR="000A1102" w:rsidRDefault="000A1102"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27A3E6E0" w:rsidR="000A1102" w:rsidRDefault="000A1102"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8A403" w14:textId="4D60BA30" w:rsidR="000A1102" w:rsidRDefault="000A1102" w:rsidP="000C1513"/>
  <w:p w14:paraId="653117B0" w14:textId="77777777" w:rsidR="000A1102" w:rsidRDefault="000A1102"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6ED4B" w14:textId="555E07CB" w:rsidR="000A1102" w:rsidRDefault="000A1102" w:rsidP="00533B9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7397E" w14:textId="6FA7ED85" w:rsidR="000A1102" w:rsidRDefault="000A1102" w:rsidP="000C1513"/>
  <w:p w14:paraId="23F54B13" w14:textId="184FFF34" w:rsidR="000A1102" w:rsidRDefault="000A1102" w:rsidP="00900197">
    <w:pPr>
      <w:pStyle w:val="Header"/>
    </w:pPr>
    <w:r w:rsidRPr="0064568D">
      <w:rPr>
        <w:noProof/>
      </w:rPr>
      <w:drawing>
        <wp:anchor distT="0" distB="0" distL="114300" distR="114300" simplePos="0" relativeHeight="251671552" behindDoc="1" locked="0" layoutInCell="1" allowOverlap="1" wp14:anchorId="60B6370F" wp14:editId="666C09B0">
          <wp:simplePos x="0" y="0"/>
          <wp:positionH relativeFrom="margin">
            <wp:align>left</wp:align>
          </wp:positionH>
          <wp:positionV relativeFrom="paragraph">
            <wp:posOffset>196677</wp:posOffset>
          </wp:positionV>
          <wp:extent cx="5130165" cy="679450"/>
          <wp:effectExtent l="0" t="0" r="0" b="0"/>
          <wp:wrapNone/>
          <wp:docPr id="1634905130" name="Picture 1634905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05130" name="Picture 163490513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0165" cy="679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74499" w14:textId="202ADBBF" w:rsidR="000A1102" w:rsidRDefault="000A1102" w:rsidP="00533B9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89B57" w14:textId="0EB04652" w:rsidR="000A1102" w:rsidRDefault="000A1102" w:rsidP="000C1513"/>
  <w:p w14:paraId="447C3DAF" w14:textId="77777777" w:rsidR="000A1102" w:rsidRDefault="000A1102"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E435D74"/>
    <w:multiLevelType w:val="hybridMultilevel"/>
    <w:tmpl w:val="F9CCA492"/>
    <w:lvl w:ilvl="0" w:tplc="1B1EAD14">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13CD41EA"/>
    <w:multiLevelType w:val="hybridMultilevel"/>
    <w:tmpl w:val="C7DE0E4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3DC7796"/>
    <w:multiLevelType w:val="multilevel"/>
    <w:tmpl w:val="76505944"/>
    <w:lvl w:ilvl="0">
      <w:start w:val="1"/>
      <w:numFmt w:val="decimal"/>
      <w:pStyle w:val="Number"/>
      <w:lvlText w:val="%1."/>
      <w:lvlJc w:val="left"/>
      <w:pPr>
        <w:ind w:left="567" w:hanging="567"/>
      </w:pPr>
      <w:rPr>
        <w:rFonts w:hint="default"/>
        <w:b w:val="0"/>
        <w:bCs/>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16cid:durableId="1747074013">
    <w:abstractNumId w:val="6"/>
  </w:num>
  <w:num w:numId="2" w16cid:durableId="969438555">
    <w:abstractNumId w:val="4"/>
  </w:num>
  <w:num w:numId="3" w16cid:durableId="1482846770">
    <w:abstractNumId w:val="5"/>
  </w:num>
  <w:num w:numId="4" w16cid:durableId="1751731334">
    <w:abstractNumId w:val="0"/>
  </w:num>
  <w:num w:numId="5" w16cid:durableId="15650661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20108964">
    <w:abstractNumId w:val="1"/>
  </w:num>
  <w:num w:numId="7" w16cid:durableId="9002843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479826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06705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585676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138069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730602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900515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280155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732303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80224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562544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851869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523797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633847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700366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381451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504460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458573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462167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97232720">
    <w:abstractNumId w:val="2"/>
  </w:num>
  <w:num w:numId="27" w16cid:durableId="1632086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817904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909341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30229948">
    <w:abstractNumId w:val="3"/>
  </w:num>
  <w:num w:numId="31" w16cid:durableId="329868401">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32" w16cid:durableId="4986932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58248770">
    <w:abstractNumId w:val="6"/>
  </w:num>
  <w:num w:numId="34" w16cid:durableId="17898566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98833360">
    <w:abstractNumId w:val="3"/>
  </w:num>
  <w:num w:numId="36" w16cid:durableId="1941522398">
    <w:abstractNumId w:val="3"/>
  </w:num>
  <w:num w:numId="37" w16cid:durableId="84689917">
    <w:abstractNumId w:val="3"/>
    <w:lvlOverride w:ilvl="0">
      <w:startOverride w:val="6"/>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302397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revisionView w:inkAnnotation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2BA3"/>
    <w:rsid w:val="00005529"/>
    <w:rsid w:val="00005BB5"/>
    <w:rsid w:val="0001198B"/>
    <w:rsid w:val="0001202A"/>
    <w:rsid w:val="00013FA8"/>
    <w:rsid w:val="000201B5"/>
    <w:rsid w:val="00020E23"/>
    <w:rsid w:val="00021A44"/>
    <w:rsid w:val="00023834"/>
    <w:rsid w:val="00025A6F"/>
    <w:rsid w:val="0002618D"/>
    <w:rsid w:val="00026396"/>
    <w:rsid w:val="00026C4D"/>
    <w:rsid w:val="00030B26"/>
    <w:rsid w:val="00030E84"/>
    <w:rsid w:val="00032C0A"/>
    <w:rsid w:val="00034D00"/>
    <w:rsid w:val="0003517E"/>
    <w:rsid w:val="00035257"/>
    <w:rsid w:val="00035D68"/>
    <w:rsid w:val="00040160"/>
    <w:rsid w:val="00040574"/>
    <w:rsid w:val="00052A3A"/>
    <w:rsid w:val="00054B44"/>
    <w:rsid w:val="0006228D"/>
    <w:rsid w:val="0006455F"/>
    <w:rsid w:val="00067F8D"/>
    <w:rsid w:val="00072BD6"/>
    <w:rsid w:val="00072F1B"/>
    <w:rsid w:val="000744EA"/>
    <w:rsid w:val="00075B78"/>
    <w:rsid w:val="000763E9"/>
    <w:rsid w:val="0007762E"/>
    <w:rsid w:val="00077D86"/>
    <w:rsid w:val="000802A1"/>
    <w:rsid w:val="00082CD6"/>
    <w:rsid w:val="0008437D"/>
    <w:rsid w:val="00085055"/>
    <w:rsid w:val="00085AFE"/>
    <w:rsid w:val="00087DC8"/>
    <w:rsid w:val="00094800"/>
    <w:rsid w:val="000A1102"/>
    <w:rsid w:val="000A2CBE"/>
    <w:rsid w:val="000A2D8B"/>
    <w:rsid w:val="000A3324"/>
    <w:rsid w:val="000A41ED"/>
    <w:rsid w:val="000A79F2"/>
    <w:rsid w:val="000B0730"/>
    <w:rsid w:val="000B1D0C"/>
    <w:rsid w:val="000B706D"/>
    <w:rsid w:val="000C1513"/>
    <w:rsid w:val="000C3289"/>
    <w:rsid w:val="000D19F4"/>
    <w:rsid w:val="000D58DD"/>
    <w:rsid w:val="000E0216"/>
    <w:rsid w:val="000F0E12"/>
    <w:rsid w:val="000F2AE2"/>
    <w:rsid w:val="000F2BFF"/>
    <w:rsid w:val="000F31E9"/>
    <w:rsid w:val="00102063"/>
    <w:rsid w:val="0010541C"/>
    <w:rsid w:val="00106E53"/>
    <w:rsid w:val="00106F93"/>
    <w:rsid w:val="0011115F"/>
    <w:rsid w:val="00111D50"/>
    <w:rsid w:val="00113B8E"/>
    <w:rsid w:val="001147D0"/>
    <w:rsid w:val="00114E59"/>
    <w:rsid w:val="0012053C"/>
    <w:rsid w:val="00122363"/>
    <w:rsid w:val="001342C7"/>
    <w:rsid w:val="0013585C"/>
    <w:rsid w:val="00142261"/>
    <w:rsid w:val="00142954"/>
    <w:rsid w:val="001460E0"/>
    <w:rsid w:val="001472F0"/>
    <w:rsid w:val="00147F71"/>
    <w:rsid w:val="00150A6E"/>
    <w:rsid w:val="0015744F"/>
    <w:rsid w:val="0016304B"/>
    <w:rsid w:val="0016468A"/>
    <w:rsid w:val="00167EE8"/>
    <w:rsid w:val="00172A00"/>
    <w:rsid w:val="0017357F"/>
    <w:rsid w:val="00176F1F"/>
    <w:rsid w:val="00181008"/>
    <w:rsid w:val="001835FD"/>
    <w:rsid w:val="0018662D"/>
    <w:rsid w:val="0018732B"/>
    <w:rsid w:val="00190388"/>
    <w:rsid w:val="00191792"/>
    <w:rsid w:val="00192B32"/>
    <w:rsid w:val="00193FAC"/>
    <w:rsid w:val="00197427"/>
    <w:rsid w:val="001A21B4"/>
    <w:rsid w:val="001A3F18"/>
    <w:rsid w:val="001A5CF5"/>
    <w:rsid w:val="001B13B7"/>
    <w:rsid w:val="001B39D2"/>
    <w:rsid w:val="001B4BF8"/>
    <w:rsid w:val="001C4326"/>
    <w:rsid w:val="001C4B8E"/>
    <w:rsid w:val="001C665E"/>
    <w:rsid w:val="001D1548"/>
    <w:rsid w:val="001D2640"/>
    <w:rsid w:val="001D3541"/>
    <w:rsid w:val="001D3E4E"/>
    <w:rsid w:val="001E1FA0"/>
    <w:rsid w:val="001E254A"/>
    <w:rsid w:val="001E2D6F"/>
    <w:rsid w:val="001E3080"/>
    <w:rsid w:val="001E5DEE"/>
    <w:rsid w:val="001E7386"/>
    <w:rsid w:val="001F02F0"/>
    <w:rsid w:val="001F45A7"/>
    <w:rsid w:val="001F550B"/>
    <w:rsid w:val="00200C8F"/>
    <w:rsid w:val="00201A01"/>
    <w:rsid w:val="00204EEE"/>
    <w:rsid w:val="0020754B"/>
    <w:rsid w:val="002104D3"/>
    <w:rsid w:val="00210648"/>
    <w:rsid w:val="00213A33"/>
    <w:rsid w:val="0021763B"/>
    <w:rsid w:val="00224F49"/>
    <w:rsid w:val="00226D1D"/>
    <w:rsid w:val="00226DFD"/>
    <w:rsid w:val="0023621D"/>
    <w:rsid w:val="002404CD"/>
    <w:rsid w:val="00240F96"/>
    <w:rsid w:val="00246DB1"/>
    <w:rsid w:val="002476B5"/>
    <w:rsid w:val="002520CC"/>
    <w:rsid w:val="00253224"/>
    <w:rsid w:val="00253ECF"/>
    <w:rsid w:val="002546A1"/>
    <w:rsid w:val="00256FB9"/>
    <w:rsid w:val="002628F4"/>
    <w:rsid w:val="00266E11"/>
    <w:rsid w:val="00275D08"/>
    <w:rsid w:val="00277DE3"/>
    <w:rsid w:val="00282E64"/>
    <w:rsid w:val="002858E3"/>
    <w:rsid w:val="00286A2A"/>
    <w:rsid w:val="00287BE9"/>
    <w:rsid w:val="0029190A"/>
    <w:rsid w:val="00292C5A"/>
    <w:rsid w:val="00295241"/>
    <w:rsid w:val="002A4DFC"/>
    <w:rsid w:val="002A568E"/>
    <w:rsid w:val="002A6794"/>
    <w:rsid w:val="002B047D"/>
    <w:rsid w:val="002B185A"/>
    <w:rsid w:val="002B31D8"/>
    <w:rsid w:val="002B3FE9"/>
    <w:rsid w:val="002B732B"/>
    <w:rsid w:val="002B76A7"/>
    <w:rsid w:val="002C2219"/>
    <w:rsid w:val="002C2552"/>
    <w:rsid w:val="002C380A"/>
    <w:rsid w:val="002C5722"/>
    <w:rsid w:val="002D0DF2"/>
    <w:rsid w:val="002D23BD"/>
    <w:rsid w:val="002D5D61"/>
    <w:rsid w:val="002E0B47"/>
    <w:rsid w:val="002E5BF6"/>
    <w:rsid w:val="002E7DD1"/>
    <w:rsid w:val="002F4685"/>
    <w:rsid w:val="002F7213"/>
    <w:rsid w:val="0030382F"/>
    <w:rsid w:val="0030408D"/>
    <w:rsid w:val="0030437F"/>
    <w:rsid w:val="003060E4"/>
    <w:rsid w:val="003064E7"/>
    <w:rsid w:val="00306C45"/>
    <w:rsid w:val="00311BC7"/>
    <w:rsid w:val="003160E7"/>
    <w:rsid w:val="0031739E"/>
    <w:rsid w:val="003221B6"/>
    <w:rsid w:val="00323E44"/>
    <w:rsid w:val="00325A26"/>
    <w:rsid w:val="00327BCE"/>
    <w:rsid w:val="003309CA"/>
    <w:rsid w:val="003325AB"/>
    <w:rsid w:val="003332D1"/>
    <w:rsid w:val="0033412B"/>
    <w:rsid w:val="003360DD"/>
    <w:rsid w:val="00341161"/>
    <w:rsid w:val="00343365"/>
    <w:rsid w:val="003445F4"/>
    <w:rsid w:val="00345746"/>
    <w:rsid w:val="00347197"/>
    <w:rsid w:val="003476EE"/>
    <w:rsid w:val="0035284C"/>
    <w:rsid w:val="00353501"/>
    <w:rsid w:val="00353734"/>
    <w:rsid w:val="00360374"/>
    <w:rsid w:val="003606F8"/>
    <w:rsid w:val="003648EF"/>
    <w:rsid w:val="00364C59"/>
    <w:rsid w:val="00364D6C"/>
    <w:rsid w:val="003673E6"/>
    <w:rsid w:val="00375553"/>
    <w:rsid w:val="00376F13"/>
    <w:rsid w:val="00377264"/>
    <w:rsid w:val="003779D2"/>
    <w:rsid w:val="00380909"/>
    <w:rsid w:val="00381B91"/>
    <w:rsid w:val="00381C8B"/>
    <w:rsid w:val="00385E38"/>
    <w:rsid w:val="00386646"/>
    <w:rsid w:val="003A26A5"/>
    <w:rsid w:val="003A3761"/>
    <w:rsid w:val="003A512D"/>
    <w:rsid w:val="003A5FEA"/>
    <w:rsid w:val="003A7F19"/>
    <w:rsid w:val="003B1D10"/>
    <w:rsid w:val="003C3B2F"/>
    <w:rsid w:val="003C422F"/>
    <w:rsid w:val="003C76D4"/>
    <w:rsid w:val="003D137D"/>
    <w:rsid w:val="003D1BBE"/>
    <w:rsid w:val="003D2CC5"/>
    <w:rsid w:val="003E04C1"/>
    <w:rsid w:val="003E0887"/>
    <w:rsid w:val="003E74C8"/>
    <w:rsid w:val="003E7C46"/>
    <w:rsid w:val="003F2106"/>
    <w:rsid w:val="003F34F7"/>
    <w:rsid w:val="003F52A7"/>
    <w:rsid w:val="003F7013"/>
    <w:rsid w:val="00400290"/>
    <w:rsid w:val="0040240C"/>
    <w:rsid w:val="00412B8B"/>
    <w:rsid w:val="00413021"/>
    <w:rsid w:val="00415891"/>
    <w:rsid w:val="004301C6"/>
    <w:rsid w:val="004312D0"/>
    <w:rsid w:val="0043478F"/>
    <w:rsid w:val="0043602B"/>
    <w:rsid w:val="00440BE0"/>
    <w:rsid w:val="00442C1C"/>
    <w:rsid w:val="0044431F"/>
    <w:rsid w:val="0044584B"/>
    <w:rsid w:val="00447CB7"/>
    <w:rsid w:val="00447E24"/>
    <w:rsid w:val="00450325"/>
    <w:rsid w:val="00455CC9"/>
    <w:rsid w:val="00460826"/>
    <w:rsid w:val="00460EA7"/>
    <w:rsid w:val="0046195B"/>
    <w:rsid w:val="00462006"/>
    <w:rsid w:val="0046362D"/>
    <w:rsid w:val="00463D30"/>
    <w:rsid w:val="0046596D"/>
    <w:rsid w:val="004703A7"/>
    <w:rsid w:val="00470B63"/>
    <w:rsid w:val="00471CB0"/>
    <w:rsid w:val="00471FDF"/>
    <w:rsid w:val="004731A3"/>
    <w:rsid w:val="004819F0"/>
    <w:rsid w:val="00487C04"/>
    <w:rsid w:val="004907E1"/>
    <w:rsid w:val="004A035B"/>
    <w:rsid w:val="004A2108"/>
    <w:rsid w:val="004A38D7"/>
    <w:rsid w:val="004A4D64"/>
    <w:rsid w:val="004A778C"/>
    <w:rsid w:val="004B0B54"/>
    <w:rsid w:val="004B26CB"/>
    <w:rsid w:val="004B2D25"/>
    <w:rsid w:val="004B48C7"/>
    <w:rsid w:val="004B6891"/>
    <w:rsid w:val="004B68CC"/>
    <w:rsid w:val="004C1395"/>
    <w:rsid w:val="004C2E6A"/>
    <w:rsid w:val="004C3776"/>
    <w:rsid w:val="004C64B8"/>
    <w:rsid w:val="004D065B"/>
    <w:rsid w:val="004D14A7"/>
    <w:rsid w:val="004D2A2D"/>
    <w:rsid w:val="004D479F"/>
    <w:rsid w:val="004D6689"/>
    <w:rsid w:val="004E1367"/>
    <w:rsid w:val="004E1D1D"/>
    <w:rsid w:val="004E64BF"/>
    <w:rsid w:val="004E7AC8"/>
    <w:rsid w:val="004F0C94"/>
    <w:rsid w:val="004F1B86"/>
    <w:rsid w:val="004F3ACA"/>
    <w:rsid w:val="004F66C7"/>
    <w:rsid w:val="005019AE"/>
    <w:rsid w:val="00503749"/>
    <w:rsid w:val="00503877"/>
    <w:rsid w:val="00504CF4"/>
    <w:rsid w:val="0050635B"/>
    <w:rsid w:val="0051317F"/>
    <w:rsid w:val="00513B74"/>
    <w:rsid w:val="005151C2"/>
    <w:rsid w:val="00522B24"/>
    <w:rsid w:val="005305B9"/>
    <w:rsid w:val="00530ED2"/>
    <w:rsid w:val="0053199F"/>
    <w:rsid w:val="00531E12"/>
    <w:rsid w:val="005325C8"/>
    <w:rsid w:val="0053326D"/>
    <w:rsid w:val="00533B90"/>
    <w:rsid w:val="00537810"/>
    <w:rsid w:val="005410F8"/>
    <w:rsid w:val="005437CA"/>
    <w:rsid w:val="005440BE"/>
    <w:rsid w:val="005441F5"/>
    <w:rsid w:val="005448EC"/>
    <w:rsid w:val="00544BD1"/>
    <w:rsid w:val="00545963"/>
    <w:rsid w:val="00550256"/>
    <w:rsid w:val="00550A43"/>
    <w:rsid w:val="005514C2"/>
    <w:rsid w:val="00553165"/>
    <w:rsid w:val="00553958"/>
    <w:rsid w:val="00556BB7"/>
    <w:rsid w:val="005570ED"/>
    <w:rsid w:val="0055763D"/>
    <w:rsid w:val="00561516"/>
    <w:rsid w:val="005621F2"/>
    <w:rsid w:val="00563817"/>
    <w:rsid w:val="0056634A"/>
    <w:rsid w:val="005665FD"/>
    <w:rsid w:val="00567B58"/>
    <w:rsid w:val="00567C6E"/>
    <w:rsid w:val="00571223"/>
    <w:rsid w:val="005734DE"/>
    <w:rsid w:val="005763E0"/>
    <w:rsid w:val="00581136"/>
    <w:rsid w:val="00581EB8"/>
    <w:rsid w:val="005A27CA"/>
    <w:rsid w:val="005A2ABD"/>
    <w:rsid w:val="005A43BD"/>
    <w:rsid w:val="005A79E5"/>
    <w:rsid w:val="005B1BDD"/>
    <w:rsid w:val="005B2181"/>
    <w:rsid w:val="005B3C53"/>
    <w:rsid w:val="005B44A6"/>
    <w:rsid w:val="005C6CAE"/>
    <w:rsid w:val="005D034C"/>
    <w:rsid w:val="005D28D3"/>
    <w:rsid w:val="005D7C77"/>
    <w:rsid w:val="005E226E"/>
    <w:rsid w:val="005E2636"/>
    <w:rsid w:val="005E5DED"/>
    <w:rsid w:val="005E645F"/>
    <w:rsid w:val="005F4A9A"/>
    <w:rsid w:val="005F4D17"/>
    <w:rsid w:val="005F587D"/>
    <w:rsid w:val="005F5CA5"/>
    <w:rsid w:val="005F77FC"/>
    <w:rsid w:val="00600196"/>
    <w:rsid w:val="006015D7"/>
    <w:rsid w:val="00601B21"/>
    <w:rsid w:val="006041F0"/>
    <w:rsid w:val="00605C6D"/>
    <w:rsid w:val="006079F5"/>
    <w:rsid w:val="006120CA"/>
    <w:rsid w:val="00612761"/>
    <w:rsid w:val="00613AC5"/>
    <w:rsid w:val="00617B8E"/>
    <w:rsid w:val="00624174"/>
    <w:rsid w:val="00626CF8"/>
    <w:rsid w:val="006314AF"/>
    <w:rsid w:val="00634ED8"/>
    <w:rsid w:val="00636D7D"/>
    <w:rsid w:val="00637408"/>
    <w:rsid w:val="00642868"/>
    <w:rsid w:val="006452AF"/>
    <w:rsid w:val="0064568D"/>
    <w:rsid w:val="00647AFE"/>
    <w:rsid w:val="006512BC"/>
    <w:rsid w:val="00651CC6"/>
    <w:rsid w:val="0065257A"/>
    <w:rsid w:val="00653A5A"/>
    <w:rsid w:val="006554AC"/>
    <w:rsid w:val="006575F4"/>
    <w:rsid w:val="006579E6"/>
    <w:rsid w:val="00660682"/>
    <w:rsid w:val="00660F74"/>
    <w:rsid w:val="00661D2E"/>
    <w:rsid w:val="00663EDC"/>
    <w:rsid w:val="00667E20"/>
    <w:rsid w:val="00671078"/>
    <w:rsid w:val="00672DB3"/>
    <w:rsid w:val="00673E82"/>
    <w:rsid w:val="006758CA"/>
    <w:rsid w:val="00676FF1"/>
    <w:rsid w:val="0067720E"/>
    <w:rsid w:val="00680A04"/>
    <w:rsid w:val="00681CA2"/>
    <w:rsid w:val="006839B0"/>
    <w:rsid w:val="0068431B"/>
    <w:rsid w:val="0068522C"/>
    <w:rsid w:val="00686D80"/>
    <w:rsid w:val="00690429"/>
    <w:rsid w:val="006947B9"/>
    <w:rsid w:val="00694895"/>
    <w:rsid w:val="00697E2E"/>
    <w:rsid w:val="006A0C3B"/>
    <w:rsid w:val="006A1C97"/>
    <w:rsid w:val="006A25A2"/>
    <w:rsid w:val="006A34ED"/>
    <w:rsid w:val="006A3B87"/>
    <w:rsid w:val="006B0E73"/>
    <w:rsid w:val="006B135F"/>
    <w:rsid w:val="006B1E3D"/>
    <w:rsid w:val="006B24F1"/>
    <w:rsid w:val="006B4A4D"/>
    <w:rsid w:val="006B5695"/>
    <w:rsid w:val="006B7B2E"/>
    <w:rsid w:val="006C0D87"/>
    <w:rsid w:val="006C13FF"/>
    <w:rsid w:val="006C1F33"/>
    <w:rsid w:val="006C78EB"/>
    <w:rsid w:val="006D1660"/>
    <w:rsid w:val="006D290A"/>
    <w:rsid w:val="006D3572"/>
    <w:rsid w:val="006D5289"/>
    <w:rsid w:val="006D63E5"/>
    <w:rsid w:val="006D6AFB"/>
    <w:rsid w:val="006E1753"/>
    <w:rsid w:val="006E3911"/>
    <w:rsid w:val="006E57D9"/>
    <w:rsid w:val="006E7C29"/>
    <w:rsid w:val="006F1B67"/>
    <w:rsid w:val="006F4D9C"/>
    <w:rsid w:val="006F5694"/>
    <w:rsid w:val="0070091D"/>
    <w:rsid w:val="00702854"/>
    <w:rsid w:val="00704067"/>
    <w:rsid w:val="00707566"/>
    <w:rsid w:val="007123AC"/>
    <w:rsid w:val="007147F5"/>
    <w:rsid w:val="00714BC0"/>
    <w:rsid w:val="0071741C"/>
    <w:rsid w:val="00717456"/>
    <w:rsid w:val="007313FB"/>
    <w:rsid w:val="00732F44"/>
    <w:rsid w:val="00733219"/>
    <w:rsid w:val="007359E3"/>
    <w:rsid w:val="00736567"/>
    <w:rsid w:val="007420BA"/>
    <w:rsid w:val="00742B90"/>
    <w:rsid w:val="007436C4"/>
    <w:rsid w:val="0074434D"/>
    <w:rsid w:val="007570C4"/>
    <w:rsid w:val="007605B8"/>
    <w:rsid w:val="007615A9"/>
    <w:rsid w:val="00762CBA"/>
    <w:rsid w:val="00771B1E"/>
    <w:rsid w:val="00773C95"/>
    <w:rsid w:val="007756B9"/>
    <w:rsid w:val="007815BA"/>
    <w:rsid w:val="0078171E"/>
    <w:rsid w:val="00781B82"/>
    <w:rsid w:val="00783F37"/>
    <w:rsid w:val="00784748"/>
    <w:rsid w:val="00784C2F"/>
    <w:rsid w:val="0078658E"/>
    <w:rsid w:val="007920E2"/>
    <w:rsid w:val="0079566E"/>
    <w:rsid w:val="00795B34"/>
    <w:rsid w:val="007A067F"/>
    <w:rsid w:val="007A51DA"/>
    <w:rsid w:val="007B1770"/>
    <w:rsid w:val="007B3392"/>
    <w:rsid w:val="007B4D3E"/>
    <w:rsid w:val="007B7C70"/>
    <w:rsid w:val="007B7DEB"/>
    <w:rsid w:val="007C0172"/>
    <w:rsid w:val="007C0449"/>
    <w:rsid w:val="007D17C1"/>
    <w:rsid w:val="007D1E25"/>
    <w:rsid w:val="007D2151"/>
    <w:rsid w:val="007D3B90"/>
    <w:rsid w:val="007D42CC"/>
    <w:rsid w:val="007D57B1"/>
    <w:rsid w:val="007D5DE4"/>
    <w:rsid w:val="007D6DFE"/>
    <w:rsid w:val="007D7A9C"/>
    <w:rsid w:val="007D7C3A"/>
    <w:rsid w:val="007E0777"/>
    <w:rsid w:val="007E12B7"/>
    <w:rsid w:val="007E1341"/>
    <w:rsid w:val="007E1B41"/>
    <w:rsid w:val="007E1EC4"/>
    <w:rsid w:val="007E30B9"/>
    <w:rsid w:val="007E5E67"/>
    <w:rsid w:val="007E74F1"/>
    <w:rsid w:val="007E76C4"/>
    <w:rsid w:val="007F06C3"/>
    <w:rsid w:val="007F0F0C"/>
    <w:rsid w:val="007F1288"/>
    <w:rsid w:val="00800A8A"/>
    <w:rsid w:val="0080155C"/>
    <w:rsid w:val="00803E7B"/>
    <w:rsid w:val="008052E1"/>
    <w:rsid w:val="0080707C"/>
    <w:rsid w:val="0081177B"/>
    <w:rsid w:val="0082034E"/>
    <w:rsid w:val="00822F2C"/>
    <w:rsid w:val="00823DEE"/>
    <w:rsid w:val="0082664F"/>
    <w:rsid w:val="008305E8"/>
    <w:rsid w:val="008325A5"/>
    <w:rsid w:val="00836165"/>
    <w:rsid w:val="0083767A"/>
    <w:rsid w:val="008377CD"/>
    <w:rsid w:val="008420FD"/>
    <w:rsid w:val="0084640C"/>
    <w:rsid w:val="008533B4"/>
    <w:rsid w:val="00853BA8"/>
    <w:rsid w:val="00856088"/>
    <w:rsid w:val="00860826"/>
    <w:rsid w:val="00860E21"/>
    <w:rsid w:val="00862096"/>
    <w:rsid w:val="00863117"/>
    <w:rsid w:val="0086388B"/>
    <w:rsid w:val="008642E5"/>
    <w:rsid w:val="00864488"/>
    <w:rsid w:val="0086516C"/>
    <w:rsid w:val="00866318"/>
    <w:rsid w:val="00870A36"/>
    <w:rsid w:val="00872392"/>
    <w:rsid w:val="00872D93"/>
    <w:rsid w:val="00873F54"/>
    <w:rsid w:val="00874C6C"/>
    <w:rsid w:val="00880470"/>
    <w:rsid w:val="008804DA"/>
    <w:rsid w:val="00880D94"/>
    <w:rsid w:val="0088520D"/>
    <w:rsid w:val="00886F64"/>
    <w:rsid w:val="008870DC"/>
    <w:rsid w:val="00887A71"/>
    <w:rsid w:val="00890289"/>
    <w:rsid w:val="008924DE"/>
    <w:rsid w:val="00897AAC"/>
    <w:rsid w:val="008A3755"/>
    <w:rsid w:val="008B1451"/>
    <w:rsid w:val="008B19DC"/>
    <w:rsid w:val="008B264F"/>
    <w:rsid w:val="008B2CFF"/>
    <w:rsid w:val="008B6F83"/>
    <w:rsid w:val="008B7FD8"/>
    <w:rsid w:val="008C1108"/>
    <w:rsid w:val="008C2973"/>
    <w:rsid w:val="008C4E75"/>
    <w:rsid w:val="008C6324"/>
    <w:rsid w:val="008C64C4"/>
    <w:rsid w:val="008D2CDD"/>
    <w:rsid w:val="008D5FB2"/>
    <w:rsid w:val="008D74D5"/>
    <w:rsid w:val="008E0ED1"/>
    <w:rsid w:val="008E24DE"/>
    <w:rsid w:val="008E3A07"/>
    <w:rsid w:val="008E537B"/>
    <w:rsid w:val="008F0115"/>
    <w:rsid w:val="008F29BE"/>
    <w:rsid w:val="008F2B72"/>
    <w:rsid w:val="008F4889"/>
    <w:rsid w:val="008F4AE5"/>
    <w:rsid w:val="008F51EB"/>
    <w:rsid w:val="008F7455"/>
    <w:rsid w:val="00900197"/>
    <w:rsid w:val="009009B5"/>
    <w:rsid w:val="00902F55"/>
    <w:rsid w:val="009040B9"/>
    <w:rsid w:val="0090582B"/>
    <w:rsid w:val="009060C0"/>
    <w:rsid w:val="009114A2"/>
    <w:rsid w:val="009133F5"/>
    <w:rsid w:val="0091756F"/>
    <w:rsid w:val="009177DD"/>
    <w:rsid w:val="00920A03"/>
    <w:rsid w:val="00920A27"/>
    <w:rsid w:val="00921216"/>
    <w:rsid w:val="009216CC"/>
    <w:rsid w:val="00926083"/>
    <w:rsid w:val="00930360"/>
    <w:rsid w:val="00930D08"/>
    <w:rsid w:val="00931466"/>
    <w:rsid w:val="00932D69"/>
    <w:rsid w:val="009352E8"/>
    <w:rsid w:val="00935589"/>
    <w:rsid w:val="00941289"/>
    <w:rsid w:val="00941EF1"/>
    <w:rsid w:val="00944647"/>
    <w:rsid w:val="00950975"/>
    <w:rsid w:val="00952A89"/>
    <w:rsid w:val="0095565C"/>
    <w:rsid w:val="00956117"/>
    <w:rsid w:val="009621CB"/>
    <w:rsid w:val="00964AB6"/>
    <w:rsid w:val="00964BF6"/>
    <w:rsid w:val="00966F9A"/>
    <w:rsid w:val="00967E81"/>
    <w:rsid w:val="00971872"/>
    <w:rsid w:val="00977B8A"/>
    <w:rsid w:val="00982971"/>
    <w:rsid w:val="009834D1"/>
    <w:rsid w:val="009845AD"/>
    <w:rsid w:val="00984835"/>
    <w:rsid w:val="0098639B"/>
    <w:rsid w:val="00991CAB"/>
    <w:rsid w:val="00992461"/>
    <w:rsid w:val="009933EF"/>
    <w:rsid w:val="00995BA0"/>
    <w:rsid w:val="009A418B"/>
    <w:rsid w:val="009A426F"/>
    <w:rsid w:val="009A42D5"/>
    <w:rsid w:val="009A4473"/>
    <w:rsid w:val="009A49F2"/>
    <w:rsid w:val="009A70C2"/>
    <w:rsid w:val="009A7433"/>
    <w:rsid w:val="009B05C9"/>
    <w:rsid w:val="009B286C"/>
    <w:rsid w:val="009C14BD"/>
    <w:rsid w:val="009C151C"/>
    <w:rsid w:val="009C440A"/>
    <w:rsid w:val="009C5D45"/>
    <w:rsid w:val="009C7568"/>
    <w:rsid w:val="009D0259"/>
    <w:rsid w:val="009D5125"/>
    <w:rsid w:val="009D60B8"/>
    <w:rsid w:val="009D7D4B"/>
    <w:rsid w:val="009E3267"/>
    <w:rsid w:val="009E36ED"/>
    <w:rsid w:val="009E3C8C"/>
    <w:rsid w:val="009E5527"/>
    <w:rsid w:val="009E5930"/>
    <w:rsid w:val="009E6B77"/>
    <w:rsid w:val="009E7E59"/>
    <w:rsid w:val="009F460A"/>
    <w:rsid w:val="00A043FB"/>
    <w:rsid w:val="00A06BE4"/>
    <w:rsid w:val="00A0729C"/>
    <w:rsid w:val="00A07779"/>
    <w:rsid w:val="00A101D7"/>
    <w:rsid w:val="00A1166A"/>
    <w:rsid w:val="00A15128"/>
    <w:rsid w:val="00A1540A"/>
    <w:rsid w:val="00A2059F"/>
    <w:rsid w:val="00A20B2E"/>
    <w:rsid w:val="00A24B4F"/>
    <w:rsid w:val="00A24F33"/>
    <w:rsid w:val="00A25069"/>
    <w:rsid w:val="00A25CE6"/>
    <w:rsid w:val="00A26E6B"/>
    <w:rsid w:val="00A3068F"/>
    <w:rsid w:val="00A3145B"/>
    <w:rsid w:val="00A32DA9"/>
    <w:rsid w:val="00A339D0"/>
    <w:rsid w:val="00A364A3"/>
    <w:rsid w:val="00A41002"/>
    <w:rsid w:val="00A41307"/>
    <w:rsid w:val="00A4201A"/>
    <w:rsid w:val="00A43E55"/>
    <w:rsid w:val="00A5465D"/>
    <w:rsid w:val="00A553CE"/>
    <w:rsid w:val="00A555A4"/>
    <w:rsid w:val="00A5677A"/>
    <w:rsid w:val="00A56DCC"/>
    <w:rsid w:val="00A56E6D"/>
    <w:rsid w:val="00A6210E"/>
    <w:rsid w:val="00A625E8"/>
    <w:rsid w:val="00A63DFF"/>
    <w:rsid w:val="00A6490D"/>
    <w:rsid w:val="00A66B6E"/>
    <w:rsid w:val="00A71D99"/>
    <w:rsid w:val="00A71F33"/>
    <w:rsid w:val="00A73A57"/>
    <w:rsid w:val="00A7415D"/>
    <w:rsid w:val="00A74F96"/>
    <w:rsid w:val="00A80363"/>
    <w:rsid w:val="00A80939"/>
    <w:rsid w:val="00A83E9D"/>
    <w:rsid w:val="00A83F08"/>
    <w:rsid w:val="00A87586"/>
    <w:rsid w:val="00A87C05"/>
    <w:rsid w:val="00A904C6"/>
    <w:rsid w:val="00A9169D"/>
    <w:rsid w:val="00A9356A"/>
    <w:rsid w:val="00A956AE"/>
    <w:rsid w:val="00A95EF7"/>
    <w:rsid w:val="00A96277"/>
    <w:rsid w:val="00AA10BF"/>
    <w:rsid w:val="00AA240C"/>
    <w:rsid w:val="00AB0E87"/>
    <w:rsid w:val="00AB3CC3"/>
    <w:rsid w:val="00AC101C"/>
    <w:rsid w:val="00AC29C2"/>
    <w:rsid w:val="00AC29E4"/>
    <w:rsid w:val="00AD19CD"/>
    <w:rsid w:val="00AD1BB6"/>
    <w:rsid w:val="00AD4CF1"/>
    <w:rsid w:val="00AD5988"/>
    <w:rsid w:val="00AD6293"/>
    <w:rsid w:val="00AE2C86"/>
    <w:rsid w:val="00AE3D4C"/>
    <w:rsid w:val="00AE665C"/>
    <w:rsid w:val="00AE737E"/>
    <w:rsid w:val="00AF1BA8"/>
    <w:rsid w:val="00AF55A3"/>
    <w:rsid w:val="00AF5E3F"/>
    <w:rsid w:val="00AF7800"/>
    <w:rsid w:val="00B00CF5"/>
    <w:rsid w:val="00B06444"/>
    <w:rsid w:val="00B06FB2"/>
    <w:rsid w:val="00B072E0"/>
    <w:rsid w:val="00B1007E"/>
    <w:rsid w:val="00B1451F"/>
    <w:rsid w:val="00B15360"/>
    <w:rsid w:val="00B253F6"/>
    <w:rsid w:val="00B25900"/>
    <w:rsid w:val="00B26675"/>
    <w:rsid w:val="00B26F0F"/>
    <w:rsid w:val="00B305DB"/>
    <w:rsid w:val="00B332F8"/>
    <w:rsid w:val="00B3492B"/>
    <w:rsid w:val="00B4646F"/>
    <w:rsid w:val="00B5043C"/>
    <w:rsid w:val="00B5105F"/>
    <w:rsid w:val="00B55C7D"/>
    <w:rsid w:val="00B63038"/>
    <w:rsid w:val="00B64BD8"/>
    <w:rsid w:val="00B65465"/>
    <w:rsid w:val="00B6664B"/>
    <w:rsid w:val="00B677C9"/>
    <w:rsid w:val="00B701D1"/>
    <w:rsid w:val="00B7064D"/>
    <w:rsid w:val="00B72E45"/>
    <w:rsid w:val="00B73AF2"/>
    <w:rsid w:val="00B74E99"/>
    <w:rsid w:val="00B7551A"/>
    <w:rsid w:val="00B76EEF"/>
    <w:rsid w:val="00B773F1"/>
    <w:rsid w:val="00B776E6"/>
    <w:rsid w:val="00B81D36"/>
    <w:rsid w:val="00B86AB1"/>
    <w:rsid w:val="00B97F07"/>
    <w:rsid w:val="00BA301B"/>
    <w:rsid w:val="00BA684B"/>
    <w:rsid w:val="00BA7184"/>
    <w:rsid w:val="00BA7EBA"/>
    <w:rsid w:val="00BB014F"/>
    <w:rsid w:val="00BB031A"/>
    <w:rsid w:val="00BB2A06"/>
    <w:rsid w:val="00BB2CBB"/>
    <w:rsid w:val="00BB4198"/>
    <w:rsid w:val="00BC03EE"/>
    <w:rsid w:val="00BC0D68"/>
    <w:rsid w:val="00BC59F1"/>
    <w:rsid w:val="00BD5816"/>
    <w:rsid w:val="00BE1F25"/>
    <w:rsid w:val="00BF3DE1"/>
    <w:rsid w:val="00BF4692"/>
    <w:rsid w:val="00BF4843"/>
    <w:rsid w:val="00BF5205"/>
    <w:rsid w:val="00BF5468"/>
    <w:rsid w:val="00C020C1"/>
    <w:rsid w:val="00C03600"/>
    <w:rsid w:val="00C045C9"/>
    <w:rsid w:val="00C05132"/>
    <w:rsid w:val="00C12508"/>
    <w:rsid w:val="00C2359C"/>
    <w:rsid w:val="00C23728"/>
    <w:rsid w:val="00C3026C"/>
    <w:rsid w:val="00C313A9"/>
    <w:rsid w:val="00C33AB4"/>
    <w:rsid w:val="00C34E37"/>
    <w:rsid w:val="00C3646E"/>
    <w:rsid w:val="00C41AAC"/>
    <w:rsid w:val="00C42F6C"/>
    <w:rsid w:val="00C441CF"/>
    <w:rsid w:val="00C45AA2"/>
    <w:rsid w:val="00C46542"/>
    <w:rsid w:val="00C47704"/>
    <w:rsid w:val="00C4792C"/>
    <w:rsid w:val="00C47C6C"/>
    <w:rsid w:val="00C55AFB"/>
    <w:rsid w:val="00C55BEF"/>
    <w:rsid w:val="00C601AF"/>
    <w:rsid w:val="00C61360"/>
    <w:rsid w:val="00C61A63"/>
    <w:rsid w:val="00C642F8"/>
    <w:rsid w:val="00C6562D"/>
    <w:rsid w:val="00C66296"/>
    <w:rsid w:val="00C7394D"/>
    <w:rsid w:val="00C76117"/>
    <w:rsid w:val="00C77282"/>
    <w:rsid w:val="00C77DA1"/>
    <w:rsid w:val="00C80E16"/>
    <w:rsid w:val="00C831F5"/>
    <w:rsid w:val="00C83D9B"/>
    <w:rsid w:val="00C84DE5"/>
    <w:rsid w:val="00C8582F"/>
    <w:rsid w:val="00C86248"/>
    <w:rsid w:val="00C86966"/>
    <w:rsid w:val="00C90B31"/>
    <w:rsid w:val="00C9300E"/>
    <w:rsid w:val="00C932DD"/>
    <w:rsid w:val="00C957C2"/>
    <w:rsid w:val="00CA0095"/>
    <w:rsid w:val="00CA0D6F"/>
    <w:rsid w:val="00CA4C33"/>
    <w:rsid w:val="00CA580A"/>
    <w:rsid w:val="00CA6F4A"/>
    <w:rsid w:val="00CB10A6"/>
    <w:rsid w:val="00CB39A6"/>
    <w:rsid w:val="00CB6427"/>
    <w:rsid w:val="00CC0FBE"/>
    <w:rsid w:val="00CD066D"/>
    <w:rsid w:val="00CD2119"/>
    <w:rsid w:val="00CD237A"/>
    <w:rsid w:val="00CD36AC"/>
    <w:rsid w:val="00CD486A"/>
    <w:rsid w:val="00CE0724"/>
    <w:rsid w:val="00CE13A3"/>
    <w:rsid w:val="00CE306F"/>
    <w:rsid w:val="00CE3221"/>
    <w:rsid w:val="00CE36BC"/>
    <w:rsid w:val="00CE40AF"/>
    <w:rsid w:val="00CE4636"/>
    <w:rsid w:val="00CF0688"/>
    <w:rsid w:val="00CF1747"/>
    <w:rsid w:val="00CF60ED"/>
    <w:rsid w:val="00CF7CAF"/>
    <w:rsid w:val="00D05D74"/>
    <w:rsid w:val="00D06007"/>
    <w:rsid w:val="00D14F82"/>
    <w:rsid w:val="00D20C59"/>
    <w:rsid w:val="00D21261"/>
    <w:rsid w:val="00D23323"/>
    <w:rsid w:val="00D2392A"/>
    <w:rsid w:val="00D240B5"/>
    <w:rsid w:val="00D25FFE"/>
    <w:rsid w:val="00D30BBE"/>
    <w:rsid w:val="00D315C2"/>
    <w:rsid w:val="00D37D80"/>
    <w:rsid w:val="00D4476F"/>
    <w:rsid w:val="00D47CC5"/>
    <w:rsid w:val="00D50573"/>
    <w:rsid w:val="00D54D50"/>
    <w:rsid w:val="00D560B4"/>
    <w:rsid w:val="00D600E2"/>
    <w:rsid w:val="00D63047"/>
    <w:rsid w:val="00D63F8D"/>
    <w:rsid w:val="00D65845"/>
    <w:rsid w:val="00D662F8"/>
    <w:rsid w:val="00D66540"/>
    <w:rsid w:val="00D66797"/>
    <w:rsid w:val="00D7074B"/>
    <w:rsid w:val="00D7087C"/>
    <w:rsid w:val="00D70C3C"/>
    <w:rsid w:val="00D71DF7"/>
    <w:rsid w:val="00D72BE5"/>
    <w:rsid w:val="00D76F07"/>
    <w:rsid w:val="00D77A64"/>
    <w:rsid w:val="00D80129"/>
    <w:rsid w:val="00D81462"/>
    <w:rsid w:val="00D824C9"/>
    <w:rsid w:val="00D82F26"/>
    <w:rsid w:val="00D85B45"/>
    <w:rsid w:val="00D863D0"/>
    <w:rsid w:val="00D86B00"/>
    <w:rsid w:val="00D86FB9"/>
    <w:rsid w:val="00D87C87"/>
    <w:rsid w:val="00D90BB4"/>
    <w:rsid w:val="00D90E07"/>
    <w:rsid w:val="00D932C2"/>
    <w:rsid w:val="00D93421"/>
    <w:rsid w:val="00D93C9D"/>
    <w:rsid w:val="00DA365D"/>
    <w:rsid w:val="00DA5AF9"/>
    <w:rsid w:val="00DA67F7"/>
    <w:rsid w:val="00DA7195"/>
    <w:rsid w:val="00DB3186"/>
    <w:rsid w:val="00DB39CF"/>
    <w:rsid w:val="00DB51D7"/>
    <w:rsid w:val="00DB7256"/>
    <w:rsid w:val="00DC0401"/>
    <w:rsid w:val="00DC1132"/>
    <w:rsid w:val="00DC1EDE"/>
    <w:rsid w:val="00DC20BD"/>
    <w:rsid w:val="00DD0BCD"/>
    <w:rsid w:val="00DD1EC3"/>
    <w:rsid w:val="00DD3379"/>
    <w:rsid w:val="00DD447A"/>
    <w:rsid w:val="00DD5045"/>
    <w:rsid w:val="00DE3B20"/>
    <w:rsid w:val="00DE6C94"/>
    <w:rsid w:val="00DE6FD7"/>
    <w:rsid w:val="00DF2A51"/>
    <w:rsid w:val="00DF7676"/>
    <w:rsid w:val="00E000E3"/>
    <w:rsid w:val="00E016BC"/>
    <w:rsid w:val="00E212EF"/>
    <w:rsid w:val="00E21791"/>
    <w:rsid w:val="00E23271"/>
    <w:rsid w:val="00E24D67"/>
    <w:rsid w:val="00E24F80"/>
    <w:rsid w:val="00E259F3"/>
    <w:rsid w:val="00E30985"/>
    <w:rsid w:val="00E33238"/>
    <w:rsid w:val="00E376B7"/>
    <w:rsid w:val="00E40478"/>
    <w:rsid w:val="00E429EB"/>
    <w:rsid w:val="00E42F5D"/>
    <w:rsid w:val="00E4486C"/>
    <w:rsid w:val="00E460B6"/>
    <w:rsid w:val="00E5104A"/>
    <w:rsid w:val="00E511D5"/>
    <w:rsid w:val="00E53A9F"/>
    <w:rsid w:val="00E60249"/>
    <w:rsid w:val="00E6446F"/>
    <w:rsid w:val="00E65269"/>
    <w:rsid w:val="00E66CC7"/>
    <w:rsid w:val="00E67438"/>
    <w:rsid w:val="00E74BB9"/>
    <w:rsid w:val="00E76D66"/>
    <w:rsid w:val="00E811B7"/>
    <w:rsid w:val="00E94E97"/>
    <w:rsid w:val="00E967BB"/>
    <w:rsid w:val="00EA249E"/>
    <w:rsid w:val="00EA73C1"/>
    <w:rsid w:val="00EA796A"/>
    <w:rsid w:val="00EB1856"/>
    <w:rsid w:val="00EB6A2A"/>
    <w:rsid w:val="00EC50CE"/>
    <w:rsid w:val="00EC5B34"/>
    <w:rsid w:val="00EC5D95"/>
    <w:rsid w:val="00ED021E"/>
    <w:rsid w:val="00ED323C"/>
    <w:rsid w:val="00ED640F"/>
    <w:rsid w:val="00EE2D5C"/>
    <w:rsid w:val="00EE4ADE"/>
    <w:rsid w:val="00EE4DE8"/>
    <w:rsid w:val="00EE5CB7"/>
    <w:rsid w:val="00EF4488"/>
    <w:rsid w:val="00EF61EC"/>
    <w:rsid w:val="00EF6CD7"/>
    <w:rsid w:val="00F008EF"/>
    <w:rsid w:val="00F024FE"/>
    <w:rsid w:val="00F030EA"/>
    <w:rsid w:val="00F05AD4"/>
    <w:rsid w:val="00F10EB6"/>
    <w:rsid w:val="00F1358C"/>
    <w:rsid w:val="00F13919"/>
    <w:rsid w:val="00F13F07"/>
    <w:rsid w:val="00F140B2"/>
    <w:rsid w:val="00F15B4B"/>
    <w:rsid w:val="00F22DC8"/>
    <w:rsid w:val="00F25970"/>
    <w:rsid w:val="00F31143"/>
    <w:rsid w:val="00F311A9"/>
    <w:rsid w:val="00F3197E"/>
    <w:rsid w:val="00F31F8B"/>
    <w:rsid w:val="00F327B6"/>
    <w:rsid w:val="00F32CA0"/>
    <w:rsid w:val="00F355C6"/>
    <w:rsid w:val="00F36CFC"/>
    <w:rsid w:val="00F44A53"/>
    <w:rsid w:val="00F5180D"/>
    <w:rsid w:val="00F63781"/>
    <w:rsid w:val="00F67496"/>
    <w:rsid w:val="00F71CFC"/>
    <w:rsid w:val="00F801BA"/>
    <w:rsid w:val="00F8194C"/>
    <w:rsid w:val="00F9366A"/>
    <w:rsid w:val="00F93BC7"/>
    <w:rsid w:val="00F946C9"/>
    <w:rsid w:val="00FA0EA5"/>
    <w:rsid w:val="00FA67B0"/>
    <w:rsid w:val="00FA74EE"/>
    <w:rsid w:val="00FB0018"/>
    <w:rsid w:val="00FB48F3"/>
    <w:rsid w:val="00FB615F"/>
    <w:rsid w:val="00FC3711"/>
    <w:rsid w:val="00FC46E7"/>
    <w:rsid w:val="00FC5289"/>
    <w:rsid w:val="00FC5D25"/>
    <w:rsid w:val="00FD0D7E"/>
    <w:rsid w:val="00FD1901"/>
    <w:rsid w:val="00FD2474"/>
    <w:rsid w:val="00FD4FFB"/>
    <w:rsid w:val="00FD591F"/>
    <w:rsid w:val="00FD7891"/>
    <w:rsid w:val="00FE1495"/>
    <w:rsid w:val="00FE2676"/>
    <w:rsid w:val="00FE662D"/>
    <w:rsid w:val="00FE6E13"/>
    <w:rsid w:val="00FF0D54"/>
    <w:rsid w:val="00FF15F6"/>
    <w:rsid w:val="00FF445D"/>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4E64BF"/>
    <w:pPr>
      <w:keepNext/>
      <w:spacing w:after="360"/>
      <w:outlineLvl w:val="0"/>
    </w:pPr>
    <w:rPr>
      <w:b/>
      <w:color w:val="23305D"/>
      <w:spacing w:val="-10"/>
      <w:sz w:val="56"/>
      <w:szCs w:val="18"/>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345746"/>
    <w:pPr>
      <w:keepNext/>
      <w:spacing w:before="24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4E64BF"/>
    <w:rPr>
      <w:rFonts w:ascii="Segoe UI" w:hAnsi="Segoe UI"/>
      <w:b/>
      <w:color w:val="23305D"/>
      <w:spacing w:val="-10"/>
      <w:sz w:val="56"/>
      <w:szCs w:val="18"/>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345746"/>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2E5BF6"/>
    <w:pPr>
      <w:numPr>
        <w:numId w:val="30"/>
      </w:numPr>
      <w:spacing w:before="120"/>
    </w:pPr>
    <w:rPr>
      <w:szCs w:val="24"/>
    </w:rPr>
  </w:style>
  <w:style w:type="paragraph" w:customStyle="1" w:styleId="Letter">
    <w:name w:val="Letter"/>
    <w:basedOn w:val="Normal"/>
    <w:qFormat/>
    <w:rsid w:val="00F140B2"/>
    <w:pPr>
      <w:numPr>
        <w:ilvl w:val="1"/>
        <w:numId w:val="30"/>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30"/>
      </w:numPr>
      <w:spacing w:before="90"/>
    </w:pPr>
    <w:rPr>
      <w:rFonts w:eastAsia="Arial Unicode MS"/>
    </w:rPr>
  </w:style>
  <w:style w:type="paragraph" w:styleId="Caption">
    <w:name w:val="caption"/>
    <w:basedOn w:val="Normal"/>
    <w:next w:val="Normal"/>
    <w:unhideWhenUsed/>
    <w:qFormat/>
    <w:rsid w:val="004E64BF"/>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4E64BF"/>
    <w:rPr>
      <w:color w:val="605E5C"/>
      <w:shd w:val="clear" w:color="auto" w:fill="E1DFDD"/>
    </w:rPr>
  </w:style>
  <w:style w:type="paragraph" w:customStyle="1" w:styleId="TableParagraph">
    <w:name w:val="Table Paragraph"/>
    <w:basedOn w:val="Normal"/>
    <w:uiPriority w:val="1"/>
    <w:qFormat/>
    <w:rsid w:val="00192B32"/>
    <w:pPr>
      <w:widowControl w:val="0"/>
      <w:autoSpaceDE w:val="0"/>
      <w:autoSpaceDN w:val="0"/>
    </w:pPr>
    <w:rPr>
      <w:rFonts w:ascii="Lucida Sans Unicode" w:eastAsia="Lucida Sans Unicode" w:hAnsi="Lucida Sans Unicode" w:cs="Lucida Sans Unicode"/>
      <w:sz w:val="22"/>
      <w:szCs w:val="22"/>
      <w:lang w:val="en-GB" w:eastAsia="en-US"/>
    </w:rPr>
  </w:style>
  <w:style w:type="character" w:styleId="FollowedHyperlink">
    <w:name w:val="FollowedHyperlink"/>
    <w:basedOn w:val="DefaultParagraphFont"/>
    <w:uiPriority w:val="99"/>
    <w:semiHidden/>
    <w:unhideWhenUsed/>
    <w:rsid w:val="007D6DFE"/>
    <w:rPr>
      <w:color w:val="800080" w:themeColor="followedHyperlink"/>
      <w:u w:val="single"/>
    </w:rPr>
  </w:style>
  <w:style w:type="paragraph" w:styleId="ListParagraph">
    <w:name w:val="List Paragraph"/>
    <w:basedOn w:val="Normal"/>
    <w:uiPriority w:val="1"/>
    <w:qFormat/>
    <w:rsid w:val="00714BC0"/>
    <w:pPr>
      <w:ind w:left="720"/>
      <w:contextualSpacing/>
    </w:pPr>
  </w:style>
  <w:style w:type="paragraph" w:styleId="BodyText">
    <w:name w:val="Body Text"/>
    <w:basedOn w:val="Normal"/>
    <w:link w:val="BodyTextChar"/>
    <w:uiPriority w:val="1"/>
    <w:unhideWhenUsed/>
    <w:qFormat/>
    <w:rsid w:val="00240F96"/>
    <w:pPr>
      <w:widowControl w:val="0"/>
      <w:autoSpaceDE w:val="0"/>
      <w:autoSpaceDN w:val="0"/>
    </w:pPr>
    <w:rPr>
      <w:rFonts w:ascii="Lucida Sans Unicode" w:eastAsia="Lucida Sans Unicode" w:hAnsi="Lucida Sans Unicode" w:cs="Lucida Sans Unicode"/>
      <w:sz w:val="19"/>
      <w:szCs w:val="19"/>
      <w:lang w:val="en-US" w:eastAsia="en-US"/>
    </w:rPr>
  </w:style>
  <w:style w:type="character" w:customStyle="1" w:styleId="BodyTextChar">
    <w:name w:val="Body Text Char"/>
    <w:basedOn w:val="DefaultParagraphFont"/>
    <w:link w:val="BodyText"/>
    <w:uiPriority w:val="1"/>
    <w:rsid w:val="00240F96"/>
    <w:rPr>
      <w:rFonts w:ascii="Lucida Sans Unicode" w:eastAsia="Lucida Sans Unicode" w:hAnsi="Lucida Sans Unicode" w:cs="Lucida Sans Unicode"/>
      <w:sz w:val="19"/>
      <w:szCs w:val="19"/>
      <w:lang w:val="en-US" w:eastAsia="en-US"/>
    </w:rPr>
  </w:style>
  <w:style w:type="paragraph" w:styleId="TOC4">
    <w:name w:val="toc 4"/>
    <w:basedOn w:val="Normal"/>
    <w:next w:val="Normal"/>
    <w:autoRedefine/>
    <w:uiPriority w:val="39"/>
    <w:unhideWhenUsed/>
    <w:rsid w:val="00210648"/>
    <w:pPr>
      <w:spacing w:after="100" w:line="259" w:lineRule="auto"/>
      <w:ind w:left="660"/>
    </w:pPr>
    <w:rPr>
      <w:rFonts w:asciiTheme="minorHAnsi" w:eastAsiaTheme="minorEastAsia" w:hAnsiTheme="minorHAnsi" w:cstheme="minorBidi"/>
      <w:kern w:val="2"/>
      <w:sz w:val="22"/>
      <w:szCs w:val="22"/>
      <w:lang w:eastAsia="en-NZ"/>
      <w14:ligatures w14:val="standardContextual"/>
    </w:rPr>
  </w:style>
  <w:style w:type="paragraph" w:styleId="TOC5">
    <w:name w:val="toc 5"/>
    <w:basedOn w:val="Normal"/>
    <w:next w:val="Normal"/>
    <w:autoRedefine/>
    <w:uiPriority w:val="39"/>
    <w:unhideWhenUsed/>
    <w:rsid w:val="00210648"/>
    <w:pPr>
      <w:spacing w:after="100" w:line="259" w:lineRule="auto"/>
      <w:ind w:left="880"/>
    </w:pPr>
    <w:rPr>
      <w:rFonts w:asciiTheme="minorHAnsi" w:eastAsiaTheme="minorEastAsia" w:hAnsiTheme="minorHAnsi" w:cstheme="minorBidi"/>
      <w:kern w:val="2"/>
      <w:sz w:val="22"/>
      <w:szCs w:val="22"/>
      <w:lang w:eastAsia="en-NZ"/>
      <w14:ligatures w14:val="standardContextual"/>
    </w:rPr>
  </w:style>
  <w:style w:type="paragraph" w:styleId="TOC6">
    <w:name w:val="toc 6"/>
    <w:basedOn w:val="Normal"/>
    <w:next w:val="Normal"/>
    <w:autoRedefine/>
    <w:uiPriority w:val="39"/>
    <w:unhideWhenUsed/>
    <w:rsid w:val="00210648"/>
    <w:pPr>
      <w:spacing w:after="100" w:line="259" w:lineRule="auto"/>
      <w:ind w:left="1100"/>
    </w:pPr>
    <w:rPr>
      <w:rFonts w:asciiTheme="minorHAnsi" w:eastAsiaTheme="minorEastAsia" w:hAnsiTheme="minorHAnsi" w:cstheme="minorBidi"/>
      <w:kern w:val="2"/>
      <w:sz w:val="22"/>
      <w:szCs w:val="22"/>
      <w:lang w:eastAsia="en-NZ"/>
      <w14:ligatures w14:val="standardContextual"/>
    </w:rPr>
  </w:style>
  <w:style w:type="paragraph" w:styleId="TOC7">
    <w:name w:val="toc 7"/>
    <w:basedOn w:val="Normal"/>
    <w:next w:val="Normal"/>
    <w:autoRedefine/>
    <w:uiPriority w:val="39"/>
    <w:unhideWhenUsed/>
    <w:rsid w:val="00210648"/>
    <w:pPr>
      <w:spacing w:after="100" w:line="259" w:lineRule="auto"/>
      <w:ind w:left="1320"/>
    </w:pPr>
    <w:rPr>
      <w:rFonts w:asciiTheme="minorHAnsi" w:eastAsiaTheme="minorEastAsia" w:hAnsiTheme="minorHAnsi" w:cstheme="minorBidi"/>
      <w:kern w:val="2"/>
      <w:sz w:val="22"/>
      <w:szCs w:val="22"/>
      <w:lang w:eastAsia="en-NZ"/>
      <w14:ligatures w14:val="standardContextual"/>
    </w:rPr>
  </w:style>
  <w:style w:type="paragraph" w:styleId="TOC8">
    <w:name w:val="toc 8"/>
    <w:basedOn w:val="Normal"/>
    <w:next w:val="Normal"/>
    <w:autoRedefine/>
    <w:uiPriority w:val="39"/>
    <w:unhideWhenUsed/>
    <w:rsid w:val="00210648"/>
    <w:pPr>
      <w:spacing w:after="100" w:line="259" w:lineRule="auto"/>
      <w:ind w:left="1540"/>
    </w:pPr>
    <w:rPr>
      <w:rFonts w:asciiTheme="minorHAnsi" w:eastAsiaTheme="minorEastAsia" w:hAnsiTheme="minorHAnsi" w:cstheme="minorBidi"/>
      <w:kern w:val="2"/>
      <w:sz w:val="22"/>
      <w:szCs w:val="22"/>
      <w:lang w:eastAsia="en-NZ"/>
      <w14:ligatures w14:val="standardContextual"/>
    </w:rPr>
  </w:style>
  <w:style w:type="paragraph" w:styleId="TOC9">
    <w:name w:val="toc 9"/>
    <w:basedOn w:val="Normal"/>
    <w:next w:val="Normal"/>
    <w:autoRedefine/>
    <w:uiPriority w:val="39"/>
    <w:unhideWhenUsed/>
    <w:rsid w:val="00210648"/>
    <w:pPr>
      <w:spacing w:after="100" w:line="259" w:lineRule="auto"/>
      <w:ind w:left="1760"/>
    </w:pPr>
    <w:rPr>
      <w:rFonts w:asciiTheme="minorHAnsi" w:eastAsiaTheme="minorEastAsia" w:hAnsiTheme="minorHAnsi" w:cstheme="minorBidi"/>
      <w:kern w:val="2"/>
      <w:sz w:val="22"/>
      <w:szCs w:val="22"/>
      <w:lang w:eastAsia="en-NZ"/>
      <w14:ligatures w14:val="standardContextual"/>
    </w:rPr>
  </w:style>
  <w:style w:type="character" w:styleId="CommentReference">
    <w:name w:val="annotation reference"/>
    <w:basedOn w:val="DefaultParagraphFont"/>
    <w:uiPriority w:val="99"/>
    <w:semiHidden/>
    <w:unhideWhenUsed/>
    <w:rsid w:val="00282E64"/>
    <w:rPr>
      <w:sz w:val="16"/>
      <w:szCs w:val="16"/>
    </w:rPr>
  </w:style>
  <w:style w:type="paragraph" w:styleId="CommentText">
    <w:name w:val="annotation text"/>
    <w:basedOn w:val="Normal"/>
    <w:link w:val="CommentTextChar"/>
    <w:uiPriority w:val="99"/>
    <w:unhideWhenUsed/>
    <w:rsid w:val="00282E64"/>
    <w:rPr>
      <w:sz w:val="20"/>
    </w:rPr>
  </w:style>
  <w:style w:type="character" w:customStyle="1" w:styleId="CommentTextChar">
    <w:name w:val="Comment Text Char"/>
    <w:basedOn w:val="DefaultParagraphFont"/>
    <w:link w:val="CommentText"/>
    <w:uiPriority w:val="99"/>
    <w:rsid w:val="00282E64"/>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282E64"/>
    <w:rPr>
      <w:b/>
      <w:bCs/>
    </w:rPr>
  </w:style>
  <w:style w:type="character" w:customStyle="1" w:styleId="CommentSubjectChar">
    <w:name w:val="Comment Subject Char"/>
    <w:basedOn w:val="CommentTextChar"/>
    <w:link w:val="CommentSubject"/>
    <w:uiPriority w:val="99"/>
    <w:semiHidden/>
    <w:rsid w:val="00282E64"/>
    <w:rPr>
      <w:rFonts w:ascii="Segoe UI" w:hAnsi="Segoe UI"/>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832">
      <w:bodyDiv w:val="1"/>
      <w:marLeft w:val="0"/>
      <w:marRight w:val="0"/>
      <w:marTop w:val="0"/>
      <w:marBottom w:val="0"/>
      <w:divBdr>
        <w:top w:val="none" w:sz="0" w:space="0" w:color="auto"/>
        <w:left w:val="none" w:sz="0" w:space="0" w:color="auto"/>
        <w:bottom w:val="none" w:sz="0" w:space="0" w:color="auto"/>
        <w:right w:val="none" w:sz="0" w:space="0" w:color="auto"/>
      </w:divBdr>
    </w:div>
    <w:div w:id="64882967">
      <w:bodyDiv w:val="1"/>
      <w:marLeft w:val="0"/>
      <w:marRight w:val="0"/>
      <w:marTop w:val="0"/>
      <w:marBottom w:val="0"/>
      <w:divBdr>
        <w:top w:val="none" w:sz="0" w:space="0" w:color="auto"/>
        <w:left w:val="none" w:sz="0" w:space="0" w:color="auto"/>
        <w:bottom w:val="none" w:sz="0" w:space="0" w:color="auto"/>
        <w:right w:val="none" w:sz="0" w:space="0" w:color="auto"/>
      </w:divBdr>
    </w:div>
    <w:div w:id="87431635">
      <w:bodyDiv w:val="1"/>
      <w:marLeft w:val="0"/>
      <w:marRight w:val="0"/>
      <w:marTop w:val="0"/>
      <w:marBottom w:val="0"/>
      <w:divBdr>
        <w:top w:val="none" w:sz="0" w:space="0" w:color="auto"/>
        <w:left w:val="none" w:sz="0" w:space="0" w:color="auto"/>
        <w:bottom w:val="none" w:sz="0" w:space="0" w:color="auto"/>
        <w:right w:val="none" w:sz="0" w:space="0" w:color="auto"/>
      </w:divBdr>
    </w:div>
    <w:div w:id="99223318">
      <w:bodyDiv w:val="1"/>
      <w:marLeft w:val="0"/>
      <w:marRight w:val="0"/>
      <w:marTop w:val="0"/>
      <w:marBottom w:val="0"/>
      <w:divBdr>
        <w:top w:val="none" w:sz="0" w:space="0" w:color="auto"/>
        <w:left w:val="none" w:sz="0" w:space="0" w:color="auto"/>
        <w:bottom w:val="none" w:sz="0" w:space="0" w:color="auto"/>
        <w:right w:val="none" w:sz="0" w:space="0" w:color="auto"/>
      </w:divBdr>
    </w:div>
    <w:div w:id="118690260">
      <w:bodyDiv w:val="1"/>
      <w:marLeft w:val="0"/>
      <w:marRight w:val="0"/>
      <w:marTop w:val="0"/>
      <w:marBottom w:val="0"/>
      <w:divBdr>
        <w:top w:val="none" w:sz="0" w:space="0" w:color="auto"/>
        <w:left w:val="none" w:sz="0" w:space="0" w:color="auto"/>
        <w:bottom w:val="none" w:sz="0" w:space="0" w:color="auto"/>
        <w:right w:val="none" w:sz="0" w:space="0" w:color="auto"/>
      </w:divBdr>
    </w:div>
    <w:div w:id="150024752">
      <w:bodyDiv w:val="1"/>
      <w:marLeft w:val="0"/>
      <w:marRight w:val="0"/>
      <w:marTop w:val="0"/>
      <w:marBottom w:val="0"/>
      <w:divBdr>
        <w:top w:val="none" w:sz="0" w:space="0" w:color="auto"/>
        <w:left w:val="none" w:sz="0" w:space="0" w:color="auto"/>
        <w:bottom w:val="none" w:sz="0" w:space="0" w:color="auto"/>
        <w:right w:val="none" w:sz="0" w:space="0" w:color="auto"/>
      </w:divBdr>
    </w:div>
    <w:div w:id="152572201">
      <w:bodyDiv w:val="1"/>
      <w:marLeft w:val="0"/>
      <w:marRight w:val="0"/>
      <w:marTop w:val="0"/>
      <w:marBottom w:val="0"/>
      <w:divBdr>
        <w:top w:val="none" w:sz="0" w:space="0" w:color="auto"/>
        <w:left w:val="none" w:sz="0" w:space="0" w:color="auto"/>
        <w:bottom w:val="none" w:sz="0" w:space="0" w:color="auto"/>
        <w:right w:val="none" w:sz="0" w:space="0" w:color="auto"/>
      </w:divBdr>
    </w:div>
    <w:div w:id="163015445">
      <w:bodyDiv w:val="1"/>
      <w:marLeft w:val="0"/>
      <w:marRight w:val="0"/>
      <w:marTop w:val="0"/>
      <w:marBottom w:val="0"/>
      <w:divBdr>
        <w:top w:val="none" w:sz="0" w:space="0" w:color="auto"/>
        <w:left w:val="none" w:sz="0" w:space="0" w:color="auto"/>
        <w:bottom w:val="none" w:sz="0" w:space="0" w:color="auto"/>
        <w:right w:val="none" w:sz="0" w:space="0" w:color="auto"/>
      </w:divBdr>
    </w:div>
    <w:div w:id="175923979">
      <w:bodyDiv w:val="1"/>
      <w:marLeft w:val="0"/>
      <w:marRight w:val="0"/>
      <w:marTop w:val="0"/>
      <w:marBottom w:val="0"/>
      <w:divBdr>
        <w:top w:val="none" w:sz="0" w:space="0" w:color="auto"/>
        <w:left w:val="none" w:sz="0" w:space="0" w:color="auto"/>
        <w:bottom w:val="none" w:sz="0" w:space="0" w:color="auto"/>
        <w:right w:val="none" w:sz="0" w:space="0" w:color="auto"/>
      </w:divBdr>
    </w:div>
    <w:div w:id="238297826">
      <w:bodyDiv w:val="1"/>
      <w:marLeft w:val="0"/>
      <w:marRight w:val="0"/>
      <w:marTop w:val="0"/>
      <w:marBottom w:val="0"/>
      <w:divBdr>
        <w:top w:val="none" w:sz="0" w:space="0" w:color="auto"/>
        <w:left w:val="none" w:sz="0" w:space="0" w:color="auto"/>
        <w:bottom w:val="none" w:sz="0" w:space="0" w:color="auto"/>
        <w:right w:val="none" w:sz="0" w:space="0" w:color="auto"/>
      </w:divBdr>
    </w:div>
    <w:div w:id="257635985">
      <w:bodyDiv w:val="1"/>
      <w:marLeft w:val="0"/>
      <w:marRight w:val="0"/>
      <w:marTop w:val="0"/>
      <w:marBottom w:val="0"/>
      <w:divBdr>
        <w:top w:val="none" w:sz="0" w:space="0" w:color="auto"/>
        <w:left w:val="none" w:sz="0" w:space="0" w:color="auto"/>
        <w:bottom w:val="none" w:sz="0" w:space="0" w:color="auto"/>
        <w:right w:val="none" w:sz="0" w:space="0" w:color="auto"/>
      </w:divBdr>
    </w:div>
    <w:div w:id="297760182">
      <w:bodyDiv w:val="1"/>
      <w:marLeft w:val="0"/>
      <w:marRight w:val="0"/>
      <w:marTop w:val="0"/>
      <w:marBottom w:val="0"/>
      <w:divBdr>
        <w:top w:val="none" w:sz="0" w:space="0" w:color="auto"/>
        <w:left w:val="none" w:sz="0" w:space="0" w:color="auto"/>
        <w:bottom w:val="none" w:sz="0" w:space="0" w:color="auto"/>
        <w:right w:val="none" w:sz="0" w:space="0" w:color="auto"/>
      </w:divBdr>
    </w:div>
    <w:div w:id="318582429">
      <w:bodyDiv w:val="1"/>
      <w:marLeft w:val="0"/>
      <w:marRight w:val="0"/>
      <w:marTop w:val="0"/>
      <w:marBottom w:val="0"/>
      <w:divBdr>
        <w:top w:val="none" w:sz="0" w:space="0" w:color="auto"/>
        <w:left w:val="none" w:sz="0" w:space="0" w:color="auto"/>
        <w:bottom w:val="none" w:sz="0" w:space="0" w:color="auto"/>
        <w:right w:val="none" w:sz="0" w:space="0" w:color="auto"/>
      </w:divBdr>
    </w:div>
    <w:div w:id="329211066">
      <w:bodyDiv w:val="1"/>
      <w:marLeft w:val="0"/>
      <w:marRight w:val="0"/>
      <w:marTop w:val="0"/>
      <w:marBottom w:val="0"/>
      <w:divBdr>
        <w:top w:val="none" w:sz="0" w:space="0" w:color="auto"/>
        <w:left w:val="none" w:sz="0" w:space="0" w:color="auto"/>
        <w:bottom w:val="none" w:sz="0" w:space="0" w:color="auto"/>
        <w:right w:val="none" w:sz="0" w:space="0" w:color="auto"/>
      </w:divBdr>
    </w:div>
    <w:div w:id="333609558">
      <w:bodyDiv w:val="1"/>
      <w:marLeft w:val="0"/>
      <w:marRight w:val="0"/>
      <w:marTop w:val="0"/>
      <w:marBottom w:val="0"/>
      <w:divBdr>
        <w:top w:val="none" w:sz="0" w:space="0" w:color="auto"/>
        <w:left w:val="none" w:sz="0" w:space="0" w:color="auto"/>
        <w:bottom w:val="none" w:sz="0" w:space="0" w:color="auto"/>
        <w:right w:val="none" w:sz="0" w:space="0" w:color="auto"/>
      </w:divBdr>
    </w:div>
    <w:div w:id="393626041">
      <w:bodyDiv w:val="1"/>
      <w:marLeft w:val="0"/>
      <w:marRight w:val="0"/>
      <w:marTop w:val="0"/>
      <w:marBottom w:val="0"/>
      <w:divBdr>
        <w:top w:val="none" w:sz="0" w:space="0" w:color="auto"/>
        <w:left w:val="none" w:sz="0" w:space="0" w:color="auto"/>
        <w:bottom w:val="none" w:sz="0" w:space="0" w:color="auto"/>
        <w:right w:val="none" w:sz="0" w:space="0" w:color="auto"/>
      </w:divBdr>
    </w:div>
    <w:div w:id="401368758">
      <w:bodyDiv w:val="1"/>
      <w:marLeft w:val="0"/>
      <w:marRight w:val="0"/>
      <w:marTop w:val="0"/>
      <w:marBottom w:val="0"/>
      <w:divBdr>
        <w:top w:val="none" w:sz="0" w:space="0" w:color="auto"/>
        <w:left w:val="none" w:sz="0" w:space="0" w:color="auto"/>
        <w:bottom w:val="none" w:sz="0" w:space="0" w:color="auto"/>
        <w:right w:val="none" w:sz="0" w:space="0" w:color="auto"/>
      </w:divBdr>
    </w:div>
    <w:div w:id="404647569">
      <w:bodyDiv w:val="1"/>
      <w:marLeft w:val="0"/>
      <w:marRight w:val="0"/>
      <w:marTop w:val="0"/>
      <w:marBottom w:val="0"/>
      <w:divBdr>
        <w:top w:val="none" w:sz="0" w:space="0" w:color="auto"/>
        <w:left w:val="none" w:sz="0" w:space="0" w:color="auto"/>
        <w:bottom w:val="none" w:sz="0" w:space="0" w:color="auto"/>
        <w:right w:val="none" w:sz="0" w:space="0" w:color="auto"/>
      </w:divBdr>
    </w:div>
    <w:div w:id="432746072">
      <w:bodyDiv w:val="1"/>
      <w:marLeft w:val="0"/>
      <w:marRight w:val="0"/>
      <w:marTop w:val="0"/>
      <w:marBottom w:val="0"/>
      <w:divBdr>
        <w:top w:val="none" w:sz="0" w:space="0" w:color="auto"/>
        <w:left w:val="none" w:sz="0" w:space="0" w:color="auto"/>
        <w:bottom w:val="none" w:sz="0" w:space="0" w:color="auto"/>
        <w:right w:val="none" w:sz="0" w:space="0" w:color="auto"/>
      </w:divBdr>
    </w:div>
    <w:div w:id="469784063">
      <w:bodyDiv w:val="1"/>
      <w:marLeft w:val="0"/>
      <w:marRight w:val="0"/>
      <w:marTop w:val="0"/>
      <w:marBottom w:val="0"/>
      <w:divBdr>
        <w:top w:val="none" w:sz="0" w:space="0" w:color="auto"/>
        <w:left w:val="none" w:sz="0" w:space="0" w:color="auto"/>
        <w:bottom w:val="none" w:sz="0" w:space="0" w:color="auto"/>
        <w:right w:val="none" w:sz="0" w:space="0" w:color="auto"/>
      </w:divBdr>
    </w:div>
    <w:div w:id="546723373">
      <w:bodyDiv w:val="1"/>
      <w:marLeft w:val="0"/>
      <w:marRight w:val="0"/>
      <w:marTop w:val="0"/>
      <w:marBottom w:val="0"/>
      <w:divBdr>
        <w:top w:val="none" w:sz="0" w:space="0" w:color="auto"/>
        <w:left w:val="none" w:sz="0" w:space="0" w:color="auto"/>
        <w:bottom w:val="none" w:sz="0" w:space="0" w:color="auto"/>
        <w:right w:val="none" w:sz="0" w:space="0" w:color="auto"/>
      </w:divBdr>
    </w:div>
    <w:div w:id="549418333">
      <w:bodyDiv w:val="1"/>
      <w:marLeft w:val="0"/>
      <w:marRight w:val="0"/>
      <w:marTop w:val="0"/>
      <w:marBottom w:val="0"/>
      <w:divBdr>
        <w:top w:val="none" w:sz="0" w:space="0" w:color="auto"/>
        <w:left w:val="none" w:sz="0" w:space="0" w:color="auto"/>
        <w:bottom w:val="none" w:sz="0" w:space="0" w:color="auto"/>
        <w:right w:val="none" w:sz="0" w:space="0" w:color="auto"/>
      </w:divBdr>
    </w:div>
    <w:div w:id="575745050">
      <w:bodyDiv w:val="1"/>
      <w:marLeft w:val="0"/>
      <w:marRight w:val="0"/>
      <w:marTop w:val="0"/>
      <w:marBottom w:val="0"/>
      <w:divBdr>
        <w:top w:val="none" w:sz="0" w:space="0" w:color="auto"/>
        <w:left w:val="none" w:sz="0" w:space="0" w:color="auto"/>
        <w:bottom w:val="none" w:sz="0" w:space="0" w:color="auto"/>
        <w:right w:val="none" w:sz="0" w:space="0" w:color="auto"/>
      </w:divBdr>
    </w:div>
    <w:div w:id="579758382">
      <w:bodyDiv w:val="1"/>
      <w:marLeft w:val="0"/>
      <w:marRight w:val="0"/>
      <w:marTop w:val="0"/>
      <w:marBottom w:val="0"/>
      <w:divBdr>
        <w:top w:val="none" w:sz="0" w:space="0" w:color="auto"/>
        <w:left w:val="none" w:sz="0" w:space="0" w:color="auto"/>
        <w:bottom w:val="none" w:sz="0" w:space="0" w:color="auto"/>
        <w:right w:val="none" w:sz="0" w:space="0" w:color="auto"/>
      </w:divBdr>
    </w:div>
    <w:div w:id="631790158">
      <w:bodyDiv w:val="1"/>
      <w:marLeft w:val="0"/>
      <w:marRight w:val="0"/>
      <w:marTop w:val="0"/>
      <w:marBottom w:val="0"/>
      <w:divBdr>
        <w:top w:val="none" w:sz="0" w:space="0" w:color="auto"/>
        <w:left w:val="none" w:sz="0" w:space="0" w:color="auto"/>
        <w:bottom w:val="none" w:sz="0" w:space="0" w:color="auto"/>
        <w:right w:val="none" w:sz="0" w:space="0" w:color="auto"/>
      </w:divBdr>
    </w:div>
    <w:div w:id="651717663">
      <w:bodyDiv w:val="1"/>
      <w:marLeft w:val="0"/>
      <w:marRight w:val="0"/>
      <w:marTop w:val="0"/>
      <w:marBottom w:val="0"/>
      <w:divBdr>
        <w:top w:val="none" w:sz="0" w:space="0" w:color="auto"/>
        <w:left w:val="none" w:sz="0" w:space="0" w:color="auto"/>
        <w:bottom w:val="none" w:sz="0" w:space="0" w:color="auto"/>
        <w:right w:val="none" w:sz="0" w:space="0" w:color="auto"/>
      </w:divBdr>
    </w:div>
    <w:div w:id="677780310">
      <w:bodyDiv w:val="1"/>
      <w:marLeft w:val="0"/>
      <w:marRight w:val="0"/>
      <w:marTop w:val="0"/>
      <w:marBottom w:val="0"/>
      <w:divBdr>
        <w:top w:val="none" w:sz="0" w:space="0" w:color="auto"/>
        <w:left w:val="none" w:sz="0" w:space="0" w:color="auto"/>
        <w:bottom w:val="none" w:sz="0" w:space="0" w:color="auto"/>
        <w:right w:val="none" w:sz="0" w:space="0" w:color="auto"/>
      </w:divBdr>
    </w:div>
    <w:div w:id="709497045">
      <w:bodyDiv w:val="1"/>
      <w:marLeft w:val="0"/>
      <w:marRight w:val="0"/>
      <w:marTop w:val="0"/>
      <w:marBottom w:val="0"/>
      <w:divBdr>
        <w:top w:val="none" w:sz="0" w:space="0" w:color="auto"/>
        <w:left w:val="none" w:sz="0" w:space="0" w:color="auto"/>
        <w:bottom w:val="none" w:sz="0" w:space="0" w:color="auto"/>
        <w:right w:val="none" w:sz="0" w:space="0" w:color="auto"/>
      </w:divBdr>
    </w:div>
    <w:div w:id="710421586">
      <w:bodyDiv w:val="1"/>
      <w:marLeft w:val="0"/>
      <w:marRight w:val="0"/>
      <w:marTop w:val="0"/>
      <w:marBottom w:val="0"/>
      <w:divBdr>
        <w:top w:val="none" w:sz="0" w:space="0" w:color="auto"/>
        <w:left w:val="none" w:sz="0" w:space="0" w:color="auto"/>
        <w:bottom w:val="none" w:sz="0" w:space="0" w:color="auto"/>
        <w:right w:val="none" w:sz="0" w:space="0" w:color="auto"/>
      </w:divBdr>
    </w:div>
    <w:div w:id="722295954">
      <w:bodyDiv w:val="1"/>
      <w:marLeft w:val="0"/>
      <w:marRight w:val="0"/>
      <w:marTop w:val="0"/>
      <w:marBottom w:val="0"/>
      <w:divBdr>
        <w:top w:val="none" w:sz="0" w:space="0" w:color="auto"/>
        <w:left w:val="none" w:sz="0" w:space="0" w:color="auto"/>
        <w:bottom w:val="none" w:sz="0" w:space="0" w:color="auto"/>
        <w:right w:val="none" w:sz="0" w:space="0" w:color="auto"/>
      </w:divBdr>
    </w:div>
    <w:div w:id="726143916">
      <w:bodyDiv w:val="1"/>
      <w:marLeft w:val="0"/>
      <w:marRight w:val="0"/>
      <w:marTop w:val="0"/>
      <w:marBottom w:val="0"/>
      <w:divBdr>
        <w:top w:val="none" w:sz="0" w:space="0" w:color="auto"/>
        <w:left w:val="none" w:sz="0" w:space="0" w:color="auto"/>
        <w:bottom w:val="none" w:sz="0" w:space="0" w:color="auto"/>
        <w:right w:val="none" w:sz="0" w:space="0" w:color="auto"/>
      </w:divBdr>
    </w:div>
    <w:div w:id="750853919">
      <w:bodyDiv w:val="1"/>
      <w:marLeft w:val="0"/>
      <w:marRight w:val="0"/>
      <w:marTop w:val="0"/>
      <w:marBottom w:val="0"/>
      <w:divBdr>
        <w:top w:val="none" w:sz="0" w:space="0" w:color="auto"/>
        <w:left w:val="none" w:sz="0" w:space="0" w:color="auto"/>
        <w:bottom w:val="none" w:sz="0" w:space="0" w:color="auto"/>
        <w:right w:val="none" w:sz="0" w:space="0" w:color="auto"/>
      </w:divBdr>
    </w:div>
    <w:div w:id="789512979">
      <w:bodyDiv w:val="1"/>
      <w:marLeft w:val="0"/>
      <w:marRight w:val="0"/>
      <w:marTop w:val="0"/>
      <w:marBottom w:val="0"/>
      <w:divBdr>
        <w:top w:val="none" w:sz="0" w:space="0" w:color="auto"/>
        <w:left w:val="none" w:sz="0" w:space="0" w:color="auto"/>
        <w:bottom w:val="none" w:sz="0" w:space="0" w:color="auto"/>
        <w:right w:val="none" w:sz="0" w:space="0" w:color="auto"/>
      </w:divBdr>
    </w:div>
    <w:div w:id="795414625">
      <w:bodyDiv w:val="1"/>
      <w:marLeft w:val="0"/>
      <w:marRight w:val="0"/>
      <w:marTop w:val="0"/>
      <w:marBottom w:val="0"/>
      <w:divBdr>
        <w:top w:val="none" w:sz="0" w:space="0" w:color="auto"/>
        <w:left w:val="none" w:sz="0" w:space="0" w:color="auto"/>
        <w:bottom w:val="none" w:sz="0" w:space="0" w:color="auto"/>
        <w:right w:val="none" w:sz="0" w:space="0" w:color="auto"/>
      </w:divBdr>
    </w:div>
    <w:div w:id="817185288">
      <w:bodyDiv w:val="1"/>
      <w:marLeft w:val="0"/>
      <w:marRight w:val="0"/>
      <w:marTop w:val="0"/>
      <w:marBottom w:val="0"/>
      <w:divBdr>
        <w:top w:val="none" w:sz="0" w:space="0" w:color="auto"/>
        <w:left w:val="none" w:sz="0" w:space="0" w:color="auto"/>
        <w:bottom w:val="none" w:sz="0" w:space="0" w:color="auto"/>
        <w:right w:val="none" w:sz="0" w:space="0" w:color="auto"/>
      </w:divBdr>
    </w:div>
    <w:div w:id="833495853">
      <w:bodyDiv w:val="1"/>
      <w:marLeft w:val="0"/>
      <w:marRight w:val="0"/>
      <w:marTop w:val="0"/>
      <w:marBottom w:val="0"/>
      <w:divBdr>
        <w:top w:val="none" w:sz="0" w:space="0" w:color="auto"/>
        <w:left w:val="none" w:sz="0" w:space="0" w:color="auto"/>
        <w:bottom w:val="none" w:sz="0" w:space="0" w:color="auto"/>
        <w:right w:val="none" w:sz="0" w:space="0" w:color="auto"/>
      </w:divBdr>
    </w:div>
    <w:div w:id="861212543">
      <w:bodyDiv w:val="1"/>
      <w:marLeft w:val="0"/>
      <w:marRight w:val="0"/>
      <w:marTop w:val="0"/>
      <w:marBottom w:val="0"/>
      <w:divBdr>
        <w:top w:val="none" w:sz="0" w:space="0" w:color="auto"/>
        <w:left w:val="none" w:sz="0" w:space="0" w:color="auto"/>
        <w:bottom w:val="none" w:sz="0" w:space="0" w:color="auto"/>
        <w:right w:val="none" w:sz="0" w:space="0" w:color="auto"/>
      </w:divBdr>
    </w:div>
    <w:div w:id="898325833">
      <w:bodyDiv w:val="1"/>
      <w:marLeft w:val="0"/>
      <w:marRight w:val="0"/>
      <w:marTop w:val="0"/>
      <w:marBottom w:val="0"/>
      <w:divBdr>
        <w:top w:val="none" w:sz="0" w:space="0" w:color="auto"/>
        <w:left w:val="none" w:sz="0" w:space="0" w:color="auto"/>
        <w:bottom w:val="none" w:sz="0" w:space="0" w:color="auto"/>
        <w:right w:val="none" w:sz="0" w:space="0" w:color="auto"/>
      </w:divBdr>
    </w:div>
    <w:div w:id="901058707">
      <w:bodyDiv w:val="1"/>
      <w:marLeft w:val="0"/>
      <w:marRight w:val="0"/>
      <w:marTop w:val="0"/>
      <w:marBottom w:val="0"/>
      <w:divBdr>
        <w:top w:val="none" w:sz="0" w:space="0" w:color="auto"/>
        <w:left w:val="none" w:sz="0" w:space="0" w:color="auto"/>
        <w:bottom w:val="none" w:sz="0" w:space="0" w:color="auto"/>
        <w:right w:val="none" w:sz="0" w:space="0" w:color="auto"/>
      </w:divBdr>
    </w:div>
    <w:div w:id="968903736">
      <w:bodyDiv w:val="1"/>
      <w:marLeft w:val="0"/>
      <w:marRight w:val="0"/>
      <w:marTop w:val="0"/>
      <w:marBottom w:val="0"/>
      <w:divBdr>
        <w:top w:val="none" w:sz="0" w:space="0" w:color="auto"/>
        <w:left w:val="none" w:sz="0" w:space="0" w:color="auto"/>
        <w:bottom w:val="none" w:sz="0" w:space="0" w:color="auto"/>
        <w:right w:val="none" w:sz="0" w:space="0" w:color="auto"/>
      </w:divBdr>
    </w:div>
    <w:div w:id="991714753">
      <w:bodyDiv w:val="1"/>
      <w:marLeft w:val="0"/>
      <w:marRight w:val="0"/>
      <w:marTop w:val="0"/>
      <w:marBottom w:val="0"/>
      <w:divBdr>
        <w:top w:val="none" w:sz="0" w:space="0" w:color="auto"/>
        <w:left w:val="none" w:sz="0" w:space="0" w:color="auto"/>
        <w:bottom w:val="none" w:sz="0" w:space="0" w:color="auto"/>
        <w:right w:val="none" w:sz="0" w:space="0" w:color="auto"/>
      </w:divBdr>
    </w:div>
    <w:div w:id="1029377974">
      <w:bodyDiv w:val="1"/>
      <w:marLeft w:val="0"/>
      <w:marRight w:val="0"/>
      <w:marTop w:val="0"/>
      <w:marBottom w:val="0"/>
      <w:divBdr>
        <w:top w:val="none" w:sz="0" w:space="0" w:color="auto"/>
        <w:left w:val="none" w:sz="0" w:space="0" w:color="auto"/>
        <w:bottom w:val="none" w:sz="0" w:space="0" w:color="auto"/>
        <w:right w:val="none" w:sz="0" w:space="0" w:color="auto"/>
      </w:divBdr>
    </w:div>
    <w:div w:id="1038505153">
      <w:bodyDiv w:val="1"/>
      <w:marLeft w:val="0"/>
      <w:marRight w:val="0"/>
      <w:marTop w:val="0"/>
      <w:marBottom w:val="0"/>
      <w:divBdr>
        <w:top w:val="none" w:sz="0" w:space="0" w:color="auto"/>
        <w:left w:val="none" w:sz="0" w:space="0" w:color="auto"/>
        <w:bottom w:val="none" w:sz="0" w:space="0" w:color="auto"/>
        <w:right w:val="none" w:sz="0" w:space="0" w:color="auto"/>
      </w:divBdr>
    </w:div>
    <w:div w:id="1120104552">
      <w:bodyDiv w:val="1"/>
      <w:marLeft w:val="0"/>
      <w:marRight w:val="0"/>
      <w:marTop w:val="0"/>
      <w:marBottom w:val="0"/>
      <w:divBdr>
        <w:top w:val="none" w:sz="0" w:space="0" w:color="auto"/>
        <w:left w:val="none" w:sz="0" w:space="0" w:color="auto"/>
        <w:bottom w:val="none" w:sz="0" w:space="0" w:color="auto"/>
        <w:right w:val="none" w:sz="0" w:space="0" w:color="auto"/>
      </w:divBdr>
    </w:div>
    <w:div w:id="1139029097">
      <w:bodyDiv w:val="1"/>
      <w:marLeft w:val="0"/>
      <w:marRight w:val="0"/>
      <w:marTop w:val="0"/>
      <w:marBottom w:val="0"/>
      <w:divBdr>
        <w:top w:val="none" w:sz="0" w:space="0" w:color="auto"/>
        <w:left w:val="none" w:sz="0" w:space="0" w:color="auto"/>
        <w:bottom w:val="none" w:sz="0" w:space="0" w:color="auto"/>
        <w:right w:val="none" w:sz="0" w:space="0" w:color="auto"/>
      </w:divBdr>
    </w:div>
    <w:div w:id="1190217305">
      <w:bodyDiv w:val="1"/>
      <w:marLeft w:val="0"/>
      <w:marRight w:val="0"/>
      <w:marTop w:val="0"/>
      <w:marBottom w:val="0"/>
      <w:divBdr>
        <w:top w:val="none" w:sz="0" w:space="0" w:color="auto"/>
        <w:left w:val="none" w:sz="0" w:space="0" w:color="auto"/>
        <w:bottom w:val="none" w:sz="0" w:space="0" w:color="auto"/>
        <w:right w:val="none" w:sz="0" w:space="0" w:color="auto"/>
      </w:divBdr>
    </w:div>
    <w:div w:id="1205828301">
      <w:bodyDiv w:val="1"/>
      <w:marLeft w:val="0"/>
      <w:marRight w:val="0"/>
      <w:marTop w:val="0"/>
      <w:marBottom w:val="0"/>
      <w:divBdr>
        <w:top w:val="none" w:sz="0" w:space="0" w:color="auto"/>
        <w:left w:val="none" w:sz="0" w:space="0" w:color="auto"/>
        <w:bottom w:val="none" w:sz="0" w:space="0" w:color="auto"/>
        <w:right w:val="none" w:sz="0" w:space="0" w:color="auto"/>
      </w:divBdr>
    </w:div>
    <w:div w:id="1323966001">
      <w:bodyDiv w:val="1"/>
      <w:marLeft w:val="0"/>
      <w:marRight w:val="0"/>
      <w:marTop w:val="0"/>
      <w:marBottom w:val="0"/>
      <w:divBdr>
        <w:top w:val="none" w:sz="0" w:space="0" w:color="auto"/>
        <w:left w:val="none" w:sz="0" w:space="0" w:color="auto"/>
        <w:bottom w:val="none" w:sz="0" w:space="0" w:color="auto"/>
        <w:right w:val="none" w:sz="0" w:space="0" w:color="auto"/>
      </w:divBdr>
    </w:div>
    <w:div w:id="1363286730">
      <w:bodyDiv w:val="1"/>
      <w:marLeft w:val="0"/>
      <w:marRight w:val="0"/>
      <w:marTop w:val="0"/>
      <w:marBottom w:val="0"/>
      <w:divBdr>
        <w:top w:val="none" w:sz="0" w:space="0" w:color="auto"/>
        <w:left w:val="none" w:sz="0" w:space="0" w:color="auto"/>
        <w:bottom w:val="none" w:sz="0" w:space="0" w:color="auto"/>
        <w:right w:val="none" w:sz="0" w:space="0" w:color="auto"/>
      </w:divBdr>
    </w:div>
    <w:div w:id="1365784764">
      <w:bodyDiv w:val="1"/>
      <w:marLeft w:val="0"/>
      <w:marRight w:val="0"/>
      <w:marTop w:val="0"/>
      <w:marBottom w:val="0"/>
      <w:divBdr>
        <w:top w:val="none" w:sz="0" w:space="0" w:color="auto"/>
        <w:left w:val="none" w:sz="0" w:space="0" w:color="auto"/>
        <w:bottom w:val="none" w:sz="0" w:space="0" w:color="auto"/>
        <w:right w:val="none" w:sz="0" w:space="0" w:color="auto"/>
      </w:divBdr>
    </w:div>
    <w:div w:id="1422675995">
      <w:bodyDiv w:val="1"/>
      <w:marLeft w:val="0"/>
      <w:marRight w:val="0"/>
      <w:marTop w:val="0"/>
      <w:marBottom w:val="0"/>
      <w:divBdr>
        <w:top w:val="none" w:sz="0" w:space="0" w:color="auto"/>
        <w:left w:val="none" w:sz="0" w:space="0" w:color="auto"/>
        <w:bottom w:val="none" w:sz="0" w:space="0" w:color="auto"/>
        <w:right w:val="none" w:sz="0" w:space="0" w:color="auto"/>
      </w:divBdr>
    </w:div>
    <w:div w:id="1442801093">
      <w:bodyDiv w:val="1"/>
      <w:marLeft w:val="0"/>
      <w:marRight w:val="0"/>
      <w:marTop w:val="0"/>
      <w:marBottom w:val="0"/>
      <w:divBdr>
        <w:top w:val="none" w:sz="0" w:space="0" w:color="auto"/>
        <w:left w:val="none" w:sz="0" w:space="0" w:color="auto"/>
        <w:bottom w:val="none" w:sz="0" w:space="0" w:color="auto"/>
        <w:right w:val="none" w:sz="0" w:space="0" w:color="auto"/>
      </w:divBdr>
    </w:div>
    <w:div w:id="1453092169">
      <w:bodyDiv w:val="1"/>
      <w:marLeft w:val="0"/>
      <w:marRight w:val="0"/>
      <w:marTop w:val="0"/>
      <w:marBottom w:val="0"/>
      <w:divBdr>
        <w:top w:val="none" w:sz="0" w:space="0" w:color="auto"/>
        <w:left w:val="none" w:sz="0" w:space="0" w:color="auto"/>
        <w:bottom w:val="none" w:sz="0" w:space="0" w:color="auto"/>
        <w:right w:val="none" w:sz="0" w:space="0" w:color="auto"/>
      </w:divBdr>
    </w:div>
    <w:div w:id="1476294095">
      <w:bodyDiv w:val="1"/>
      <w:marLeft w:val="0"/>
      <w:marRight w:val="0"/>
      <w:marTop w:val="0"/>
      <w:marBottom w:val="0"/>
      <w:divBdr>
        <w:top w:val="none" w:sz="0" w:space="0" w:color="auto"/>
        <w:left w:val="none" w:sz="0" w:space="0" w:color="auto"/>
        <w:bottom w:val="none" w:sz="0" w:space="0" w:color="auto"/>
        <w:right w:val="none" w:sz="0" w:space="0" w:color="auto"/>
      </w:divBdr>
    </w:div>
    <w:div w:id="1489395602">
      <w:bodyDiv w:val="1"/>
      <w:marLeft w:val="0"/>
      <w:marRight w:val="0"/>
      <w:marTop w:val="0"/>
      <w:marBottom w:val="0"/>
      <w:divBdr>
        <w:top w:val="none" w:sz="0" w:space="0" w:color="auto"/>
        <w:left w:val="none" w:sz="0" w:space="0" w:color="auto"/>
        <w:bottom w:val="none" w:sz="0" w:space="0" w:color="auto"/>
        <w:right w:val="none" w:sz="0" w:space="0" w:color="auto"/>
      </w:divBdr>
    </w:div>
    <w:div w:id="1529642440">
      <w:bodyDiv w:val="1"/>
      <w:marLeft w:val="0"/>
      <w:marRight w:val="0"/>
      <w:marTop w:val="0"/>
      <w:marBottom w:val="0"/>
      <w:divBdr>
        <w:top w:val="none" w:sz="0" w:space="0" w:color="auto"/>
        <w:left w:val="none" w:sz="0" w:space="0" w:color="auto"/>
        <w:bottom w:val="none" w:sz="0" w:space="0" w:color="auto"/>
        <w:right w:val="none" w:sz="0" w:space="0" w:color="auto"/>
      </w:divBdr>
    </w:div>
    <w:div w:id="1530530319">
      <w:bodyDiv w:val="1"/>
      <w:marLeft w:val="0"/>
      <w:marRight w:val="0"/>
      <w:marTop w:val="0"/>
      <w:marBottom w:val="0"/>
      <w:divBdr>
        <w:top w:val="none" w:sz="0" w:space="0" w:color="auto"/>
        <w:left w:val="none" w:sz="0" w:space="0" w:color="auto"/>
        <w:bottom w:val="none" w:sz="0" w:space="0" w:color="auto"/>
        <w:right w:val="none" w:sz="0" w:space="0" w:color="auto"/>
      </w:divBdr>
    </w:div>
    <w:div w:id="1536458025">
      <w:bodyDiv w:val="1"/>
      <w:marLeft w:val="0"/>
      <w:marRight w:val="0"/>
      <w:marTop w:val="0"/>
      <w:marBottom w:val="0"/>
      <w:divBdr>
        <w:top w:val="none" w:sz="0" w:space="0" w:color="auto"/>
        <w:left w:val="none" w:sz="0" w:space="0" w:color="auto"/>
        <w:bottom w:val="none" w:sz="0" w:space="0" w:color="auto"/>
        <w:right w:val="none" w:sz="0" w:space="0" w:color="auto"/>
      </w:divBdr>
    </w:div>
    <w:div w:id="1562252494">
      <w:bodyDiv w:val="1"/>
      <w:marLeft w:val="0"/>
      <w:marRight w:val="0"/>
      <w:marTop w:val="0"/>
      <w:marBottom w:val="0"/>
      <w:divBdr>
        <w:top w:val="none" w:sz="0" w:space="0" w:color="auto"/>
        <w:left w:val="none" w:sz="0" w:space="0" w:color="auto"/>
        <w:bottom w:val="none" w:sz="0" w:space="0" w:color="auto"/>
        <w:right w:val="none" w:sz="0" w:space="0" w:color="auto"/>
      </w:divBdr>
    </w:div>
    <w:div w:id="1565219110">
      <w:bodyDiv w:val="1"/>
      <w:marLeft w:val="0"/>
      <w:marRight w:val="0"/>
      <w:marTop w:val="0"/>
      <w:marBottom w:val="0"/>
      <w:divBdr>
        <w:top w:val="none" w:sz="0" w:space="0" w:color="auto"/>
        <w:left w:val="none" w:sz="0" w:space="0" w:color="auto"/>
        <w:bottom w:val="none" w:sz="0" w:space="0" w:color="auto"/>
        <w:right w:val="none" w:sz="0" w:space="0" w:color="auto"/>
      </w:divBdr>
    </w:div>
    <w:div w:id="1579318421">
      <w:bodyDiv w:val="1"/>
      <w:marLeft w:val="0"/>
      <w:marRight w:val="0"/>
      <w:marTop w:val="0"/>
      <w:marBottom w:val="0"/>
      <w:divBdr>
        <w:top w:val="none" w:sz="0" w:space="0" w:color="auto"/>
        <w:left w:val="none" w:sz="0" w:space="0" w:color="auto"/>
        <w:bottom w:val="none" w:sz="0" w:space="0" w:color="auto"/>
        <w:right w:val="none" w:sz="0" w:space="0" w:color="auto"/>
      </w:divBdr>
    </w:div>
    <w:div w:id="1636910978">
      <w:bodyDiv w:val="1"/>
      <w:marLeft w:val="0"/>
      <w:marRight w:val="0"/>
      <w:marTop w:val="0"/>
      <w:marBottom w:val="0"/>
      <w:divBdr>
        <w:top w:val="none" w:sz="0" w:space="0" w:color="auto"/>
        <w:left w:val="none" w:sz="0" w:space="0" w:color="auto"/>
        <w:bottom w:val="none" w:sz="0" w:space="0" w:color="auto"/>
        <w:right w:val="none" w:sz="0" w:space="0" w:color="auto"/>
      </w:divBdr>
    </w:div>
    <w:div w:id="1650134931">
      <w:bodyDiv w:val="1"/>
      <w:marLeft w:val="0"/>
      <w:marRight w:val="0"/>
      <w:marTop w:val="0"/>
      <w:marBottom w:val="0"/>
      <w:divBdr>
        <w:top w:val="none" w:sz="0" w:space="0" w:color="auto"/>
        <w:left w:val="none" w:sz="0" w:space="0" w:color="auto"/>
        <w:bottom w:val="none" w:sz="0" w:space="0" w:color="auto"/>
        <w:right w:val="none" w:sz="0" w:space="0" w:color="auto"/>
      </w:divBdr>
    </w:div>
    <w:div w:id="1660571617">
      <w:bodyDiv w:val="1"/>
      <w:marLeft w:val="0"/>
      <w:marRight w:val="0"/>
      <w:marTop w:val="0"/>
      <w:marBottom w:val="0"/>
      <w:divBdr>
        <w:top w:val="none" w:sz="0" w:space="0" w:color="auto"/>
        <w:left w:val="none" w:sz="0" w:space="0" w:color="auto"/>
        <w:bottom w:val="none" w:sz="0" w:space="0" w:color="auto"/>
        <w:right w:val="none" w:sz="0" w:space="0" w:color="auto"/>
      </w:divBdr>
    </w:div>
    <w:div w:id="1672021009">
      <w:bodyDiv w:val="1"/>
      <w:marLeft w:val="0"/>
      <w:marRight w:val="0"/>
      <w:marTop w:val="0"/>
      <w:marBottom w:val="0"/>
      <w:divBdr>
        <w:top w:val="none" w:sz="0" w:space="0" w:color="auto"/>
        <w:left w:val="none" w:sz="0" w:space="0" w:color="auto"/>
        <w:bottom w:val="none" w:sz="0" w:space="0" w:color="auto"/>
        <w:right w:val="none" w:sz="0" w:space="0" w:color="auto"/>
      </w:divBdr>
    </w:div>
    <w:div w:id="1714618578">
      <w:bodyDiv w:val="1"/>
      <w:marLeft w:val="0"/>
      <w:marRight w:val="0"/>
      <w:marTop w:val="0"/>
      <w:marBottom w:val="0"/>
      <w:divBdr>
        <w:top w:val="none" w:sz="0" w:space="0" w:color="auto"/>
        <w:left w:val="none" w:sz="0" w:space="0" w:color="auto"/>
        <w:bottom w:val="none" w:sz="0" w:space="0" w:color="auto"/>
        <w:right w:val="none" w:sz="0" w:space="0" w:color="auto"/>
      </w:divBdr>
    </w:div>
    <w:div w:id="1733115416">
      <w:bodyDiv w:val="1"/>
      <w:marLeft w:val="0"/>
      <w:marRight w:val="0"/>
      <w:marTop w:val="0"/>
      <w:marBottom w:val="0"/>
      <w:divBdr>
        <w:top w:val="none" w:sz="0" w:space="0" w:color="auto"/>
        <w:left w:val="none" w:sz="0" w:space="0" w:color="auto"/>
        <w:bottom w:val="none" w:sz="0" w:space="0" w:color="auto"/>
        <w:right w:val="none" w:sz="0" w:space="0" w:color="auto"/>
      </w:divBdr>
    </w:div>
    <w:div w:id="1743986057">
      <w:bodyDiv w:val="1"/>
      <w:marLeft w:val="0"/>
      <w:marRight w:val="0"/>
      <w:marTop w:val="0"/>
      <w:marBottom w:val="0"/>
      <w:divBdr>
        <w:top w:val="none" w:sz="0" w:space="0" w:color="auto"/>
        <w:left w:val="none" w:sz="0" w:space="0" w:color="auto"/>
        <w:bottom w:val="none" w:sz="0" w:space="0" w:color="auto"/>
        <w:right w:val="none" w:sz="0" w:space="0" w:color="auto"/>
      </w:divBdr>
    </w:div>
    <w:div w:id="1757823591">
      <w:bodyDiv w:val="1"/>
      <w:marLeft w:val="0"/>
      <w:marRight w:val="0"/>
      <w:marTop w:val="0"/>
      <w:marBottom w:val="0"/>
      <w:divBdr>
        <w:top w:val="none" w:sz="0" w:space="0" w:color="auto"/>
        <w:left w:val="none" w:sz="0" w:space="0" w:color="auto"/>
        <w:bottom w:val="none" w:sz="0" w:space="0" w:color="auto"/>
        <w:right w:val="none" w:sz="0" w:space="0" w:color="auto"/>
      </w:divBdr>
    </w:div>
    <w:div w:id="1771046777">
      <w:bodyDiv w:val="1"/>
      <w:marLeft w:val="0"/>
      <w:marRight w:val="0"/>
      <w:marTop w:val="0"/>
      <w:marBottom w:val="0"/>
      <w:divBdr>
        <w:top w:val="none" w:sz="0" w:space="0" w:color="auto"/>
        <w:left w:val="none" w:sz="0" w:space="0" w:color="auto"/>
        <w:bottom w:val="none" w:sz="0" w:space="0" w:color="auto"/>
        <w:right w:val="none" w:sz="0" w:space="0" w:color="auto"/>
      </w:divBdr>
    </w:div>
    <w:div w:id="1822886757">
      <w:bodyDiv w:val="1"/>
      <w:marLeft w:val="0"/>
      <w:marRight w:val="0"/>
      <w:marTop w:val="0"/>
      <w:marBottom w:val="0"/>
      <w:divBdr>
        <w:top w:val="none" w:sz="0" w:space="0" w:color="auto"/>
        <w:left w:val="none" w:sz="0" w:space="0" w:color="auto"/>
        <w:bottom w:val="none" w:sz="0" w:space="0" w:color="auto"/>
        <w:right w:val="none" w:sz="0" w:space="0" w:color="auto"/>
      </w:divBdr>
    </w:div>
    <w:div w:id="1850369598">
      <w:bodyDiv w:val="1"/>
      <w:marLeft w:val="0"/>
      <w:marRight w:val="0"/>
      <w:marTop w:val="0"/>
      <w:marBottom w:val="0"/>
      <w:divBdr>
        <w:top w:val="none" w:sz="0" w:space="0" w:color="auto"/>
        <w:left w:val="none" w:sz="0" w:space="0" w:color="auto"/>
        <w:bottom w:val="none" w:sz="0" w:space="0" w:color="auto"/>
        <w:right w:val="none" w:sz="0" w:space="0" w:color="auto"/>
      </w:divBdr>
    </w:div>
    <w:div w:id="1870071227">
      <w:bodyDiv w:val="1"/>
      <w:marLeft w:val="0"/>
      <w:marRight w:val="0"/>
      <w:marTop w:val="0"/>
      <w:marBottom w:val="0"/>
      <w:divBdr>
        <w:top w:val="none" w:sz="0" w:space="0" w:color="auto"/>
        <w:left w:val="none" w:sz="0" w:space="0" w:color="auto"/>
        <w:bottom w:val="none" w:sz="0" w:space="0" w:color="auto"/>
        <w:right w:val="none" w:sz="0" w:space="0" w:color="auto"/>
      </w:divBdr>
    </w:div>
    <w:div w:id="1895194395">
      <w:bodyDiv w:val="1"/>
      <w:marLeft w:val="0"/>
      <w:marRight w:val="0"/>
      <w:marTop w:val="0"/>
      <w:marBottom w:val="0"/>
      <w:divBdr>
        <w:top w:val="none" w:sz="0" w:space="0" w:color="auto"/>
        <w:left w:val="none" w:sz="0" w:space="0" w:color="auto"/>
        <w:bottom w:val="none" w:sz="0" w:space="0" w:color="auto"/>
        <w:right w:val="none" w:sz="0" w:space="0" w:color="auto"/>
      </w:divBdr>
    </w:div>
    <w:div w:id="2003966196">
      <w:bodyDiv w:val="1"/>
      <w:marLeft w:val="0"/>
      <w:marRight w:val="0"/>
      <w:marTop w:val="0"/>
      <w:marBottom w:val="0"/>
      <w:divBdr>
        <w:top w:val="none" w:sz="0" w:space="0" w:color="auto"/>
        <w:left w:val="none" w:sz="0" w:space="0" w:color="auto"/>
        <w:bottom w:val="none" w:sz="0" w:space="0" w:color="auto"/>
        <w:right w:val="none" w:sz="0" w:space="0" w:color="auto"/>
      </w:divBdr>
    </w:div>
    <w:div w:id="2013679258">
      <w:bodyDiv w:val="1"/>
      <w:marLeft w:val="0"/>
      <w:marRight w:val="0"/>
      <w:marTop w:val="0"/>
      <w:marBottom w:val="0"/>
      <w:divBdr>
        <w:top w:val="none" w:sz="0" w:space="0" w:color="auto"/>
        <w:left w:val="none" w:sz="0" w:space="0" w:color="auto"/>
        <w:bottom w:val="none" w:sz="0" w:space="0" w:color="auto"/>
        <w:right w:val="none" w:sz="0" w:space="0" w:color="auto"/>
      </w:divBdr>
    </w:div>
    <w:div w:id="2032686922">
      <w:bodyDiv w:val="1"/>
      <w:marLeft w:val="0"/>
      <w:marRight w:val="0"/>
      <w:marTop w:val="0"/>
      <w:marBottom w:val="0"/>
      <w:divBdr>
        <w:top w:val="none" w:sz="0" w:space="0" w:color="auto"/>
        <w:left w:val="none" w:sz="0" w:space="0" w:color="auto"/>
        <w:bottom w:val="none" w:sz="0" w:space="0" w:color="auto"/>
        <w:right w:val="none" w:sz="0" w:space="0" w:color="auto"/>
      </w:divBdr>
    </w:div>
    <w:div w:id="2061900078">
      <w:bodyDiv w:val="1"/>
      <w:marLeft w:val="0"/>
      <w:marRight w:val="0"/>
      <w:marTop w:val="0"/>
      <w:marBottom w:val="0"/>
      <w:divBdr>
        <w:top w:val="none" w:sz="0" w:space="0" w:color="auto"/>
        <w:left w:val="none" w:sz="0" w:space="0" w:color="auto"/>
        <w:bottom w:val="none" w:sz="0" w:space="0" w:color="auto"/>
        <w:right w:val="none" w:sz="0" w:space="0" w:color="auto"/>
      </w:divBdr>
    </w:div>
    <w:div w:id="2068260766">
      <w:bodyDiv w:val="1"/>
      <w:marLeft w:val="0"/>
      <w:marRight w:val="0"/>
      <w:marTop w:val="0"/>
      <w:marBottom w:val="0"/>
      <w:divBdr>
        <w:top w:val="none" w:sz="0" w:space="0" w:color="auto"/>
        <w:left w:val="none" w:sz="0" w:space="0" w:color="auto"/>
        <w:bottom w:val="none" w:sz="0" w:space="0" w:color="auto"/>
        <w:right w:val="none" w:sz="0" w:space="0" w:color="auto"/>
      </w:divBdr>
    </w:div>
    <w:div w:id="214029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footer" Target="footer9.xml"/><Relationship Id="rId39" Type="http://schemas.openxmlformats.org/officeDocument/2006/relationships/image" Target="media/image11.png"/><Relationship Id="rId21" Type="http://schemas.openxmlformats.org/officeDocument/2006/relationships/footer" Target="footer6.xml"/><Relationship Id="rId34" Type="http://schemas.openxmlformats.org/officeDocument/2006/relationships/image" Target="media/image8.png"/><Relationship Id="rId42" Type="http://schemas.openxmlformats.org/officeDocument/2006/relationships/image" Target="media/image14.jpeg"/><Relationship Id="rId47" Type="http://schemas.openxmlformats.org/officeDocument/2006/relationships/header" Target="header8.xml"/><Relationship Id="rId50" Type="http://schemas.openxmlformats.org/officeDocument/2006/relationships/hyperlink" Target="http://www.health.govt.nz/publications" TargetMode="External"/><Relationship Id="rId55" Type="http://schemas.openxmlformats.org/officeDocument/2006/relationships/image" Target="media/image18.png"/><Relationship Id="rId63" Type="http://schemas.openxmlformats.org/officeDocument/2006/relationships/image" Target="media/image24.png"/><Relationship Id="rId68" Type="http://schemas.openxmlformats.org/officeDocument/2006/relationships/image" Target="media/image29.png"/><Relationship Id="rId76"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3.png"/><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oter" Target="footer12.xml"/><Relationship Id="rId53" Type="http://schemas.openxmlformats.org/officeDocument/2006/relationships/hyperlink" Target="http://www.building.govt.nz/managing-buildings/managing-your-bwof/inspection-and-maintenance-of-specified-systems" TargetMode="External"/><Relationship Id="rId58" Type="http://schemas.openxmlformats.org/officeDocument/2006/relationships/image" Target="media/image19.png"/><Relationship Id="rId66" Type="http://schemas.openxmlformats.org/officeDocument/2006/relationships/image" Target="media/image27.png"/><Relationship Id="rId74" Type="http://schemas.openxmlformats.org/officeDocument/2006/relationships/image" Target="media/image35.png"/><Relationship Id="rId79" Type="http://schemas.openxmlformats.org/officeDocument/2006/relationships/image" Target="media/image40.png"/><Relationship Id="rId5" Type="http://schemas.openxmlformats.org/officeDocument/2006/relationships/numbering" Target="numbering.xml"/><Relationship Id="rId61" Type="http://schemas.openxmlformats.org/officeDocument/2006/relationships/image" Target="media/image22.pn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5.jpeg"/><Relationship Id="rId44" Type="http://schemas.openxmlformats.org/officeDocument/2006/relationships/header" Target="header7.xml"/><Relationship Id="rId52" Type="http://schemas.openxmlformats.org/officeDocument/2006/relationships/hyperlink" Target="http://www.legislation.govt.nz" TargetMode="External"/><Relationship Id="rId60" Type="http://schemas.openxmlformats.org/officeDocument/2006/relationships/image" Target="media/image21.jpeg"/><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image" Target="media/image4.png"/><Relationship Id="rId35" Type="http://schemas.openxmlformats.org/officeDocument/2006/relationships/hyperlink" Target="https://mohgovtnz-my.sharepoint.com/personal/julianne_ryan_health_govt_nz/Documents/Desktop/Corporate%20Pubs/Annual%20report%202024/github.com/minhealthnz/health-and-%20independence-report" TargetMode="External"/><Relationship Id="rId43" Type="http://schemas.openxmlformats.org/officeDocument/2006/relationships/header" Target="header6.xml"/><Relationship Id="rId48" Type="http://schemas.openxmlformats.org/officeDocument/2006/relationships/header" Target="header9.xml"/><Relationship Id="rId56" Type="http://schemas.openxmlformats.org/officeDocument/2006/relationships/footer" Target="footer13.xml"/><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hyperlink" Target="http://www.health.govt.nz/regulation-legislation" TargetMode="External"/><Relationship Id="rId72" Type="http://schemas.openxmlformats.org/officeDocument/2006/relationships/image" Target="media/image33.png"/><Relationship Id="rId80"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8.xml"/><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image" Target="media/image16.jpeg"/><Relationship Id="rId59" Type="http://schemas.openxmlformats.org/officeDocument/2006/relationships/image" Target="media/image20.png"/><Relationship Id="rId67" Type="http://schemas.openxmlformats.org/officeDocument/2006/relationships/image" Target="media/image28.png"/><Relationship Id="rId20" Type="http://schemas.openxmlformats.org/officeDocument/2006/relationships/footer" Target="footer5.xml"/><Relationship Id="rId41" Type="http://schemas.openxmlformats.org/officeDocument/2006/relationships/image" Target="media/image13.jpeg"/><Relationship Id="rId54" Type="http://schemas.openxmlformats.org/officeDocument/2006/relationships/image" Target="media/image17.jpeg"/><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11.xml"/><Relationship Id="rId36" Type="http://schemas.openxmlformats.org/officeDocument/2006/relationships/hyperlink" Target="https://mohgovtnz-my.sharepoint.com/personal/julianne_ryan_health_govt_nz/Documents/Desktop/Corporate%20Pubs/Annual%20report%202024/health.govt.nz/system/files/2023-07/evidence_base_for_the_health_and_independence_%20report_2022.pdf" TargetMode="External"/><Relationship Id="rId49" Type="http://schemas.openxmlformats.org/officeDocument/2006/relationships/hyperlink" Target="https://mohgovtnz-my.sharepoint.com/personal/julianne_ryan_health_govt_nz/Documents/Desktop/Corporate%20Pubs/Annual%20report%202024/customs.govt.nz/about-us/border-executive-board/about-the-border-executive-board/" TargetMode="External"/><Relationship Id="rId57" Type="http://schemas.openxmlformats.org/officeDocument/2006/relationships/footer" Target="footer14.xml"/></Relationships>
</file>

<file path=word/_rels/footnotes.xml.rels><?xml version="1.0" encoding="UTF-8" standalone="yes"?>
<Relationships xmlns="http://schemas.openxmlformats.org/package/2006/relationships"><Relationship Id="rId8" Type="http://schemas.openxmlformats.org/officeDocument/2006/relationships/hyperlink" Target="https://mohgovtnz-my.sharepoint.com/personal/julianne_ryan_health_govt_nz/Documents/Desktop/Corporate%20Pubs/Annual%20report%202024/health.govt.nz/publications/government-policy-statement-on-health-2024-2027" TargetMode="External"/><Relationship Id="rId13" Type="http://schemas.openxmlformats.org/officeDocument/2006/relationships/hyperlink" Target="https://mohgovtnz-my.sharepoint.com/personal/julianne_ryan_health_govt_nz/Documents/Desktop/Corporate%20Pubs/Annual%20report%202024/tewhatuora.govt.nz/health-services-and-%20programmes/maori-health/rongoa-maori/" TargetMode="External"/><Relationship Id="rId18" Type="http://schemas.openxmlformats.org/officeDocument/2006/relationships/hyperlink" Target="https://mohgovtnz-my.sharepoint.com/personal/julianne_ryan_health_govt_nz/Documents/Desktop/Corporate%20Pubs/Annual%20report%202024/health.govt.nz/publications/health-and-independence-report-2022" TargetMode="External"/><Relationship Id="rId26" Type="http://schemas.openxmlformats.org/officeDocument/2006/relationships/hyperlink" Target="https://mohgovtnz-my.sharepoint.com/personal/julianne_ryan_health_govt_nz/Documents/Desktop/Corporate%20Pubs/Annual%20report%202024/ghdx.healthdata.org/gbd-%20results-tool" TargetMode="External"/><Relationship Id="rId39" Type="http://schemas.openxmlformats.org/officeDocument/2006/relationships/hyperlink" Target="http://www.health.govt.nz/system/files/2011-11/cancercontrolstrategy.pdf" TargetMode="External"/><Relationship Id="rId3" Type="http://schemas.openxmlformats.org/officeDocument/2006/relationships/hyperlink" Target="https://mohgovtnz-my.sharepoint.com/personal/julianne_ryan_health_govt_nz/Documents/Desktop/Corporate%20Pubs/Annual%20report%202024/health.govt.nz/publications/developing-the-future-ministry-of-health-our-strategy-and-strategic-intentions-2022-to-2026" TargetMode="External"/><Relationship Id="rId21" Type="http://schemas.openxmlformats.org/officeDocument/2006/relationships/hyperlink" Target="https://mohgovtnz-my.sharepoint.com/personal/julianne_ryan_health_govt_nz/Documents/Desktop/Corporate%20Pubs/Annual%20report%202024/vizhub.healthdata.org/gbd-results/" TargetMode="External"/><Relationship Id="rId34" Type="http://schemas.openxmlformats.org/officeDocument/2006/relationships/hyperlink" Target="http://www.treasury.govt.nz/sites/default/files/2023-06/est23-v5-health.pdf" TargetMode="External"/><Relationship Id="rId42" Type="http://schemas.openxmlformats.org/officeDocument/2006/relationships/hyperlink" Target="http://www.health.govt.nz/system/files/2023-07/hp8748-pae-tu-hauora-maori-strategy.pdf" TargetMode="External"/><Relationship Id="rId7" Type="http://schemas.openxmlformats.org/officeDocument/2006/relationships/hyperlink" Target="https://mohgovtnz-my.sharepoint.com/personal/julianne_ryan_health_govt_nz/Documents/Desktop/Corporate%20Pubs/Annual%20report%202024/health.govt.nz/publications/hauora-haumi-allied-health-report-2024" TargetMode="External"/><Relationship Id="rId12" Type="http://schemas.openxmlformats.org/officeDocument/2006/relationships/hyperlink" Target="https://mohgovtnz-my.sharepoint.com/personal/julianne_ryan_health_govt_nz/Documents/Desktop/Corporate%20Pubs/Annual%20report%202024/waitangitribunal.govt.nz/news/report-on-stage-one-of-health-services-and-outcomes-released/" TargetMode="External"/><Relationship Id="rId17" Type="http://schemas.openxmlformats.org/officeDocument/2006/relationships/hyperlink" Target="https://mohgovtnz-my.sharepoint.com/personal/julianne_ryan_health_govt_nz/Documents/Desktop/Corporate%20Pubs/Annual%20report%202024/health.govt.nz/publications/precision-health-exploring-opportunities-and-challenges-to-predict-prevent-diagnose-and-treat-health" TargetMode="External"/><Relationship Id="rId25" Type="http://schemas.openxmlformats.org/officeDocument/2006/relationships/hyperlink" Target="https://mohgovtnz-my.sharepoint.com/personal/julianne_ryan_health_govt_nz/Documents/Desktop/Corporate%20Pubs/Annual%20report%202024/stats.govt.nz/information-releases/births-and-deaths-year-ended-december-2023-%20including-abridged-period-life-table/" TargetMode="External"/><Relationship Id="rId33" Type="http://schemas.openxmlformats.org/officeDocument/2006/relationships/hyperlink" Target="https://mohgovtnz-my.sharepoint.com/personal/julianne_ryan_health_govt_nz/Documents/Desktop/Corporate%20Pubs/Annual%20report%202024/xrb.govt.nz/standards/accounting-standards/public-sector-standards/%20standards-list/pbe-frs-48/" TargetMode="External"/><Relationship Id="rId38" Type="http://schemas.openxmlformats.org/officeDocument/2006/relationships/hyperlink" Target="http://www.health.govt.nz/" TargetMode="External"/><Relationship Id="rId2" Type="http://schemas.openxmlformats.org/officeDocument/2006/relationships/hyperlink" Target="https://mohgovtnz-my.sharepoint.com/personal/julianne_ryan_health_govt_nz/Documents/Desktop/Corporate%20Pubs/Annual%20report%202024/health.govt.nz/system/files/2023-11/27-november-mac-%20high-level-assessment.pdf" TargetMode="External"/><Relationship Id="rId16" Type="http://schemas.openxmlformats.org/officeDocument/2006/relationships/hyperlink" Target="https://mohgovtnz-my.sharepoint.com/personal/julianne_ryan_health_govt_nz/Documents/Desktop/Corporate%20Pubs/Annual%20report%202024/health.govt.nz/publications/te-mana-ola-engagement-report" TargetMode="External"/><Relationship Id="rId20" Type="http://schemas.openxmlformats.org/officeDocument/2006/relationships/hyperlink" Target="https://mohgovtnz-my.sharepoint.com/personal/julianne_ryan_health_govt_nz/Documents/Desktop/Corporate%20Pubs/Annual%20report%202024/health.govt.nz/%20system/files/2024-05/final_nga_paerewa_report_accessible_pdf.pdf" TargetMode="External"/><Relationship Id="rId29" Type="http://schemas.openxmlformats.org/officeDocument/2006/relationships/hyperlink" Target="https://mohgovtnz-my.sharepoint.com/personal/julianne_ryan_health_govt_nz/Documents/Desktop/Corporate%20Pubs/Annual%20report%202024/health.govt.nz/about-us/organisation-and-%20leadership/executive-governance-team" TargetMode="External"/><Relationship Id="rId41" Type="http://schemas.openxmlformats.org/officeDocument/2006/relationships/hyperlink" Target="http://www.health.govt.nz/publications/government-policy-statement-on-health-2024-2027" TargetMode="External"/><Relationship Id="rId1" Type="http://schemas.openxmlformats.org/officeDocument/2006/relationships/hyperlink" Target="https://mohgovtnz-my.sharepoint.com/personal/julianne_ryan_health_govt_nz/Documents/Desktop/Corporate%20Pubs/Annual%20report%202024/beehive.govt.nz/sites/default/%20files/2024-04/Action%20Plan.pdf" TargetMode="External"/><Relationship Id="rId6" Type="http://schemas.openxmlformats.org/officeDocument/2006/relationships/hyperlink" Target="https://mohgovtnz-my.sharepoint.com/personal/julianne_ryan_health_govt_nz/Documents/Desktop/Corporate%20Pubs/Annual%20report%202024/health.govt.nz/publications/clinical-leadership-in-manatu-hauora" TargetMode="External"/><Relationship Id="rId11" Type="http://schemas.openxmlformats.org/officeDocument/2006/relationships/hyperlink" Target="https://mohgovtnz-my.sharepoint.com/personal/julianne_ryan_health_govt_nz/Documents/Desktop/Corporate%20Pubs/Annual%20report%202024/health.govt.nz/maori-health/whakamaua-maori-health-action-plan-2020-2025" TargetMode="External"/><Relationship Id="rId24" Type="http://schemas.openxmlformats.org/officeDocument/2006/relationships/hyperlink" Target="https://mohgovtnz-my.sharepoint.com/personal/julianne_ryan_health_govt_nz/Documents/Desktop/Corporate%20Pubs/Annual%20report%202024/stats.govt.nz/information-releases/births-and-deaths-year-ended-december-2022-%20including-abridged-period-life-table/" TargetMode="External"/><Relationship Id="rId32" Type="http://schemas.openxmlformats.org/officeDocument/2006/relationships/hyperlink" Target="https://mohgovtnz-my.sharepoint.com/personal/julianne_ryan_health_govt_nz/Documents/Desktop/Corporate%20Pubs/Annual%20report%202024/health.govt.nz/publications/developing-the-future-ministry-of-health-our-strategy-and-%20strategic-intentions-2022-to-2026" TargetMode="External"/><Relationship Id="rId37" Type="http://schemas.openxmlformats.org/officeDocument/2006/relationships/hyperlink" Target="https://mohgovtnz-my.sharepoint.com/personal/julianne_ryan_health_govt_nz/Documents/Desktop/Corporate%20Pubs/Annual%20report%202024/health.govt.nz/publications/strategy-to-prevent-and-minimise-gambling-harm-202223-to-202425" TargetMode="External"/><Relationship Id="rId40" Type="http://schemas.openxmlformats.org/officeDocument/2006/relationships/hyperlink" Target="http://www.health.govt.nz/publications/new-zealand-cancer-action-plan-2019-2029" TargetMode="External"/><Relationship Id="rId5" Type="http://schemas.openxmlformats.org/officeDocument/2006/relationships/hyperlink" Target="https://mohgovtnz-my.sharepoint.com/personal/julianne_ryan_health_govt_nz/Documents/Desktop/Corporate%20Pubs/Annual%20report%202024/health.govt.nz/publications/aotearoa-new-zealand-rare-disorders-strategy" TargetMode="External"/><Relationship Id="rId15" Type="http://schemas.openxmlformats.org/officeDocument/2006/relationships/hyperlink" Target="https://mohgovtnz-my.sharepoint.com/personal/julianne_ryan_health_govt_nz/Documents/Desktop/Corporate%20Pubs/Annual%20report%202024/health.govt.nz/strategies-initiatives/health-strategies/te-mana-ola-the-pacific-health-strategy" TargetMode="External"/><Relationship Id="rId23" Type="http://schemas.openxmlformats.org/officeDocument/2006/relationships/hyperlink" Target="https://mohgovtnz-my.sharepoint.com/personal/julianne_ryan_health_govt_nz/Documents/Desktop/Corporate%20Pubs/Annual%20report%202024/stats.govt.nz/information-releases/births-and-deaths-year-ended-december-2021-including-%20abridged-period-life-table/" TargetMode="External"/><Relationship Id="rId28" Type="http://schemas.openxmlformats.org/officeDocument/2006/relationships/hyperlink" Target="https://mohgovtnz-my.sharepoint.com/personal/julianne_ryan_health_govt_nz/Documents/Desktop/Corporate%20Pubs/Annual%20report%202024/health.govt.nz/publications/funding-to-maori-health-providers-201819-to-202223" TargetMode="External"/><Relationship Id="rId36" Type="http://schemas.openxmlformats.org/officeDocument/2006/relationships/hyperlink" Target="http://www.dpmc.govt.nz/publications/using-policy-quality-%20framework-assess-papers" TargetMode="External"/><Relationship Id="rId10" Type="http://schemas.openxmlformats.org/officeDocument/2006/relationships/hyperlink" Target="https://mohgovtnz-my.sharepoint.com/personal/julianne_ryan_health_govt_nz/Documents/Desktop/Corporate%20Pubs/Annual%20report%202024/health.govt.nz/publications/interim-government-policy-statement-on-health-2022-2024" TargetMode="External"/><Relationship Id="rId19" Type="http://schemas.openxmlformats.org/officeDocument/2006/relationships/hyperlink" Target="https://mohgovtnz-my.sharepoint.com/personal/julianne_ryan_health_govt_nz/Documents/Desktop/Corporate%20Pubs/Annual%20report%202024/health.govt.nz/publications/strategy-to-prevent-and-minimise-gambling-%20harm-201920-202122" TargetMode="External"/><Relationship Id="rId31" Type="http://schemas.openxmlformats.org/officeDocument/2006/relationships/hyperlink" Target="http://www.accessibilitytick.nz/" TargetMode="External"/><Relationship Id="rId4" Type="http://schemas.openxmlformats.org/officeDocument/2006/relationships/hyperlink" Target="https://mohgovtnz-my.sharepoint.com/personal/julianne_ryan_health_govt_nz/Documents/Desktop/Corporate%20Pubs/Annual%20report%202024/health.govt.nz/strategies-initiatives/health-strategies/pae-ora-strategies" TargetMode="External"/><Relationship Id="rId9" Type="http://schemas.openxmlformats.org/officeDocument/2006/relationships/hyperlink" Target="https://mohgovtnz-my.sharepoint.com/personal/julianne_ryan_health_govt_nz/Documents/Desktop/Corporate%20Pubs/Annual%20report%202024/tewhatuora.govt.nz/publications/te-pae-tata-interim-new-zealand-health-plan-2022/" TargetMode="External"/><Relationship Id="rId14" Type="http://schemas.openxmlformats.org/officeDocument/2006/relationships/hyperlink" Target="https://mohgovtnz-my.sharepoint.com/personal/julianne_ryan_health_govt_nz/Documents/Desktop/Corporate%20Pubs/Annual%20report%202024/health.govt.nz/publications/pae-tu-hauora-maori-strategy" TargetMode="External"/><Relationship Id="rId22" Type="http://schemas.openxmlformats.org/officeDocument/2006/relationships/hyperlink" Target="https://mohgovtnz-my.sharepoint.com/personal/julianne_ryan_health_govt_nz/Documents/Desktop/Corporate%20Pubs/Annual%20report%202024/stats.govt.nz/information-releases/national-and-subnational-period-life-%20tables-2017-2019" TargetMode="External"/><Relationship Id="rId27" Type="http://schemas.openxmlformats.org/officeDocument/2006/relationships/hyperlink" Target="https://mohgovtnz-my.sharepoint.com/personal/julianne_ryan_health_govt_nz/Documents/Desktop/Corporate%20Pubs/Annual%20report%202024/stats.oecd.org/index.%20aspx?DataSetCode=HEALTH_STAT" TargetMode="External"/><Relationship Id="rId30" Type="http://schemas.openxmlformats.org/officeDocument/2006/relationships/hyperlink" Target="https://mohgovtnz-my.sharepoint.com/personal/julianne_ryan_health_govt_nz/Documents/Desktop/Corporate%20Pubs/Annual%20report%202024/health.govt.nz/about-us/careers/pay-gap-action-plan" TargetMode="External"/><Relationship Id="rId35" Type="http://schemas.openxmlformats.org/officeDocument/2006/relationships/hyperlink" Target="http://www.treasury.govt.nz/sites/default/files/2024-06/suppest24health.pdf" TargetMode="External"/><Relationship Id="rId43" Type="http://schemas.openxmlformats.org/officeDocument/2006/relationships/hyperlink" Target="http://www.health.govt.nz/publications/whakamaua-maori-health-action-plan-2020-2025" TargetMode="External"/></Relationships>
</file>

<file path=word/_rels/header7.xml.rels><?xml version="1.0" encoding="UTF-8" standalone="yes"?>
<Relationships xmlns="http://schemas.openxmlformats.org/package/2006/relationships"><Relationship Id="rId1" Type="http://schemas.openxmlformats.org/officeDocument/2006/relationships/image" Target="media/image15.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4.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TotalTime>
  <Pages>228</Pages>
  <Words>61943</Words>
  <Characters>351141</Characters>
  <Application>Microsoft Office Word</Application>
  <DocSecurity>0</DocSecurity>
  <Lines>2926</Lines>
  <Paragraphs>824</Paragraphs>
  <ScaleCrop>false</ScaleCrop>
  <HeadingPairs>
    <vt:vector size="2" baseType="variant">
      <vt:variant>
        <vt:lpstr>Title</vt:lpstr>
      </vt:variant>
      <vt:variant>
        <vt:i4>1</vt:i4>
      </vt:variant>
    </vt:vector>
  </HeadingPairs>
  <TitlesOfParts>
    <vt:vector size="1" baseType="lpstr">
      <vt:lpstr>Annual Report for the Year Ended 30 June 2023</vt:lpstr>
    </vt:vector>
  </TitlesOfParts>
  <Company>Microsoft</Company>
  <LinksUpToDate>false</LinksUpToDate>
  <CharactersWithSpaces>412260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for the Year Ended 30 June 2024</dc:title>
  <dc:creator>Ministry of Health</dc:creator>
  <cp:lastModifiedBy>Ministry of Health</cp:lastModifiedBy>
  <cp:revision>3</cp:revision>
  <cp:lastPrinted>2024-10-17T00:25:00Z</cp:lastPrinted>
  <dcterms:created xsi:type="dcterms:W3CDTF">2024-11-22T04:23:00Z</dcterms:created>
  <dcterms:modified xsi:type="dcterms:W3CDTF">2024-11-22T04:25:00Z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