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0D335D4D" w14:textId="77777777" w:rsidTr="0092659B">
        <w:trPr>
          <w:cantSplit/>
        </w:trPr>
        <w:tc>
          <w:tcPr>
            <w:tcW w:w="6663" w:type="dxa"/>
            <w:shd w:val="clear" w:color="auto" w:fill="auto"/>
            <w:vAlign w:val="bottom"/>
          </w:tcPr>
          <w:p w14:paraId="6E098CD1" w14:textId="3AFC1E13" w:rsidR="008348B7" w:rsidRPr="00DD748F" w:rsidRDefault="00C66929" w:rsidP="00242284">
            <w:pPr>
              <w:pStyle w:val="Title"/>
            </w:pPr>
            <w:r w:rsidRPr="00C66929">
              <w:t>Position Statement on</w:t>
            </w:r>
            <w:r w:rsidR="00242284">
              <w:br/>
            </w:r>
            <w:r w:rsidRPr="00C66929">
              <w:rPr>
                <w:b w:val="0"/>
              </w:rPr>
              <w:t>the Use of Puberty Blockers in Gender-Affirming Care</w:t>
            </w:r>
          </w:p>
        </w:tc>
        <w:tc>
          <w:tcPr>
            <w:tcW w:w="2835" w:type="dxa"/>
            <w:shd w:val="clear" w:color="auto" w:fill="auto"/>
            <w:vAlign w:val="bottom"/>
          </w:tcPr>
          <w:p w14:paraId="7F6C11BA" w14:textId="77777777" w:rsidR="00CD373C" w:rsidRPr="00DD748F" w:rsidRDefault="00CD373C" w:rsidP="0092659B">
            <w:pPr>
              <w:spacing w:after="120"/>
              <w:jc w:val="right"/>
            </w:pPr>
          </w:p>
          <w:p w14:paraId="6FF10AAC" w14:textId="75B111EB" w:rsidR="00423830" w:rsidRPr="00242284" w:rsidRDefault="00C83A82" w:rsidP="00242284">
            <w:pPr>
              <w:spacing w:after="120"/>
              <w:jc w:val="right"/>
              <w:rPr>
                <w:rFonts w:cs="Segoe UI"/>
                <w:color w:val="002B7F"/>
                <w:sz w:val="28"/>
                <w:szCs w:val="28"/>
              </w:rPr>
            </w:pPr>
            <w:r>
              <w:rPr>
                <w:rFonts w:cs="Segoe UI"/>
                <w:sz w:val="28"/>
                <w:szCs w:val="28"/>
              </w:rPr>
              <w:t>November</w:t>
            </w:r>
            <w:r w:rsidR="00B17FFD">
              <w:rPr>
                <w:rFonts w:cs="Segoe UI"/>
                <w:sz w:val="28"/>
                <w:szCs w:val="28"/>
              </w:rPr>
              <w:t xml:space="preserve"> </w:t>
            </w:r>
            <w:r w:rsidR="00C66929">
              <w:rPr>
                <w:rFonts w:cs="Segoe UI"/>
                <w:sz w:val="28"/>
                <w:szCs w:val="28"/>
              </w:rPr>
              <w:t>2024</w:t>
            </w:r>
          </w:p>
        </w:tc>
      </w:tr>
    </w:tbl>
    <w:p w14:paraId="72B42744" w14:textId="77777777" w:rsidR="00C66929" w:rsidRPr="00D12E5B" w:rsidRDefault="00C66929" w:rsidP="00C66929">
      <w:pPr>
        <w:pStyle w:val="Heading1"/>
        <w:numPr>
          <w:ilvl w:val="0"/>
          <w:numId w:val="0"/>
        </w:numPr>
      </w:pPr>
      <w:r w:rsidRPr="00D12E5B">
        <w:t>Purpose</w:t>
      </w:r>
    </w:p>
    <w:p w14:paraId="58466EA4" w14:textId="47B418F3" w:rsidR="00D0354C" w:rsidRDefault="00C66929" w:rsidP="005261D4">
      <w:pPr>
        <w:rPr>
          <w:rStyle w:val="eop"/>
        </w:rPr>
      </w:pPr>
      <w:r w:rsidRPr="00AD5241">
        <w:rPr>
          <w:rStyle w:val="eop"/>
        </w:rPr>
        <w:t xml:space="preserve">This position statement accompanies the release of </w:t>
      </w:r>
      <w:r>
        <w:rPr>
          <w:rStyle w:val="eop"/>
        </w:rPr>
        <w:t>an</w:t>
      </w:r>
      <w:r w:rsidRPr="00AD5241">
        <w:rPr>
          <w:rStyle w:val="eop"/>
        </w:rPr>
        <w:t xml:space="preserve"> evidence brief which examines the safety and long-term impacts of puberty blockers</w:t>
      </w:r>
      <w:r w:rsidR="005D2463">
        <w:rPr>
          <w:rStyle w:val="eop"/>
        </w:rPr>
        <w:t xml:space="preserve"> </w:t>
      </w:r>
      <w:r w:rsidR="005D2463" w:rsidRPr="00507E3F">
        <w:rPr>
          <w:rStyle w:val="eop"/>
        </w:rPr>
        <w:t>when used in the context of gender-affirming care</w:t>
      </w:r>
      <w:r w:rsidR="002A3058">
        <w:rPr>
          <w:rStyle w:val="FootnoteReference"/>
        </w:rPr>
        <w:footnoteReference w:id="2"/>
      </w:r>
      <w:r w:rsidRPr="00AD5241">
        <w:rPr>
          <w:rStyle w:val="eop"/>
        </w:rPr>
        <w:t xml:space="preserve">. This statement summarises the brief’s findings and sets out the Ministry of Health’s </w:t>
      </w:r>
      <w:r w:rsidRPr="00862EB3">
        <w:rPr>
          <w:rStyle w:val="eop"/>
        </w:rPr>
        <w:t xml:space="preserve">expectations </w:t>
      </w:r>
      <w:r w:rsidR="00A4651A" w:rsidRPr="00862EB3">
        <w:rPr>
          <w:rStyle w:val="eop"/>
        </w:rPr>
        <w:t>for their</w:t>
      </w:r>
      <w:r w:rsidR="00274699" w:rsidRPr="007B5AB7">
        <w:rPr>
          <w:rStyle w:val="eop"/>
        </w:rPr>
        <w:t xml:space="preserve"> use</w:t>
      </w:r>
      <w:r w:rsidR="001B0FEE">
        <w:rPr>
          <w:rStyle w:val="eop"/>
        </w:rPr>
        <w:t>.</w:t>
      </w:r>
    </w:p>
    <w:p w14:paraId="6BA1C79D" w14:textId="77777777" w:rsidR="005002A7" w:rsidRDefault="005002A7" w:rsidP="005261D4">
      <w:pPr>
        <w:rPr>
          <w:rStyle w:val="eop"/>
        </w:rPr>
      </w:pPr>
    </w:p>
    <w:p w14:paraId="045342A9" w14:textId="2BB8C013" w:rsidR="00C66929" w:rsidRDefault="00D0354C" w:rsidP="005261D4">
      <w:pPr>
        <w:rPr>
          <w:rStyle w:val="eop"/>
        </w:rPr>
      </w:pPr>
      <w:r>
        <w:rPr>
          <w:rStyle w:val="eop"/>
        </w:rPr>
        <w:t xml:space="preserve">In addition, </w:t>
      </w:r>
      <w:r w:rsidR="00487C83">
        <w:rPr>
          <w:rStyle w:val="eop"/>
        </w:rPr>
        <w:t>i</w:t>
      </w:r>
      <w:r w:rsidR="00C66929" w:rsidRPr="00AD5241">
        <w:rPr>
          <w:rStyle w:val="eop"/>
        </w:rPr>
        <w:t xml:space="preserve">t outlines our next steps that will ensure young people with gender incongruence and </w:t>
      </w:r>
      <w:r w:rsidR="00C66929">
        <w:rPr>
          <w:rStyle w:val="eop"/>
        </w:rPr>
        <w:t xml:space="preserve">gender </w:t>
      </w:r>
      <w:r w:rsidR="00C66929" w:rsidRPr="00AD5241">
        <w:rPr>
          <w:rStyle w:val="eop"/>
        </w:rPr>
        <w:t>dysphoria have access to quality care</w:t>
      </w:r>
      <w:r w:rsidR="00C66929">
        <w:rPr>
          <w:rStyle w:val="eop"/>
        </w:rPr>
        <w:t>. It also</w:t>
      </w:r>
      <w:r w:rsidR="00C66929" w:rsidRPr="00AD5241">
        <w:rPr>
          <w:rStyle w:val="eop"/>
        </w:rPr>
        <w:t xml:space="preserve"> provides </w:t>
      </w:r>
      <w:r w:rsidR="00C66929">
        <w:rPr>
          <w:rStyle w:val="eop"/>
        </w:rPr>
        <w:t xml:space="preserve">relevant </w:t>
      </w:r>
      <w:r w:rsidR="00C66929" w:rsidRPr="00AD5241">
        <w:rPr>
          <w:rStyle w:val="eop"/>
        </w:rPr>
        <w:t>information for health professionals, rainbow communities, and the general public.</w:t>
      </w:r>
    </w:p>
    <w:p w14:paraId="0930F0B0" w14:textId="6AB93272" w:rsidR="00C66929" w:rsidRDefault="00C66929" w:rsidP="00C66929">
      <w:pPr>
        <w:pStyle w:val="Heading1"/>
        <w:numPr>
          <w:ilvl w:val="0"/>
          <w:numId w:val="0"/>
        </w:numPr>
        <w:ind w:left="567" w:hanging="567"/>
      </w:pPr>
      <w:r>
        <w:t>Background</w:t>
      </w:r>
    </w:p>
    <w:p w14:paraId="5DD14010" w14:textId="54766CAC" w:rsidR="00C66929" w:rsidRDefault="00C66929" w:rsidP="00C66929">
      <w:r w:rsidRPr="00C66929">
        <w:t>In September 2022, the Ministry of Health updated its position on the safety and reversibility of puberty blockers when used for gender-affirming care. This was in light of work underway in other jurisdictions examining the clinical effects of puberty blockers on adolescents. The evidence brief examines the risks and benefits of puberty blockers when used for gender-affirming care.</w:t>
      </w:r>
    </w:p>
    <w:p w14:paraId="5E33E0F8" w14:textId="1D7EADE8" w:rsidR="005261D4" w:rsidRDefault="005261D4" w:rsidP="005261D4">
      <w:pPr>
        <w:pStyle w:val="Heading2"/>
      </w:pPr>
      <w:r>
        <w:t xml:space="preserve">Reasons for </w:t>
      </w:r>
      <w:r w:rsidRPr="005261D4">
        <w:t>prescription of puberty blockers</w:t>
      </w:r>
    </w:p>
    <w:p w14:paraId="3039CC29" w14:textId="106859BC" w:rsidR="00C66929" w:rsidRDefault="00C66929" w:rsidP="00575A72">
      <w:pPr>
        <w:rPr>
          <w:rStyle w:val="eop"/>
        </w:rPr>
      </w:pPr>
      <w:r w:rsidRPr="0019240B">
        <w:rPr>
          <w:rStyle w:val="eop"/>
        </w:rPr>
        <w:t xml:space="preserve">Puberty blockers, or </w:t>
      </w:r>
      <w:r>
        <w:rPr>
          <w:rStyle w:val="eop"/>
        </w:rPr>
        <w:t>gonadotrophin releasing hormone (</w:t>
      </w:r>
      <w:r w:rsidRPr="0019240B">
        <w:rPr>
          <w:rStyle w:val="eop"/>
        </w:rPr>
        <w:t>GnRH</w:t>
      </w:r>
      <w:r>
        <w:rPr>
          <w:rStyle w:val="eop"/>
        </w:rPr>
        <w:t xml:space="preserve">) </w:t>
      </w:r>
      <w:r w:rsidRPr="0019240B">
        <w:rPr>
          <w:rStyle w:val="eop"/>
        </w:rPr>
        <w:t>a</w:t>
      </w:r>
      <w:r>
        <w:rPr>
          <w:rStyle w:val="eop"/>
        </w:rPr>
        <w:t>gonists,</w:t>
      </w:r>
      <w:r w:rsidRPr="006C3144" w:rsidDel="000011A4">
        <w:rPr>
          <w:rStyle w:val="eop"/>
        </w:rPr>
        <w:t xml:space="preserve"> </w:t>
      </w:r>
      <w:r>
        <w:rPr>
          <w:rStyle w:val="eop"/>
        </w:rPr>
        <w:t>are used</w:t>
      </w:r>
      <w:r w:rsidRPr="006C3144">
        <w:rPr>
          <w:rStyle w:val="eop"/>
        </w:rPr>
        <w:t xml:space="preserve"> to treat precocious puberty</w:t>
      </w:r>
      <w:r>
        <w:rPr>
          <w:rStyle w:val="FootnoteReference"/>
        </w:rPr>
        <w:footnoteReference w:id="3"/>
      </w:r>
      <w:r w:rsidRPr="006C3144">
        <w:rPr>
          <w:rStyle w:val="eop"/>
        </w:rPr>
        <w:t xml:space="preserve"> in children. In adults, </w:t>
      </w:r>
      <w:r>
        <w:rPr>
          <w:rStyle w:val="eop"/>
        </w:rPr>
        <w:t>the same medications</w:t>
      </w:r>
      <w:r w:rsidRPr="006C3144">
        <w:rPr>
          <w:rStyle w:val="eop"/>
        </w:rPr>
        <w:t xml:space="preserve"> can be used to </w:t>
      </w:r>
      <w:r>
        <w:rPr>
          <w:rStyle w:val="eop"/>
        </w:rPr>
        <w:t>treat endometriosis</w:t>
      </w:r>
      <w:r w:rsidRPr="00C66929">
        <w:rPr>
          <w:rStyle w:val="eop"/>
        </w:rPr>
        <w:t>, breast and prostate cancer</w:t>
      </w:r>
      <w:r w:rsidR="00004457">
        <w:rPr>
          <w:rStyle w:val="eop"/>
        </w:rPr>
        <w:t>,</w:t>
      </w:r>
      <w:r w:rsidRPr="00C66929">
        <w:rPr>
          <w:rStyle w:val="eop"/>
        </w:rPr>
        <w:t xml:space="preserve"> and polycystic ovary syndrome. </w:t>
      </w:r>
    </w:p>
    <w:p w14:paraId="7F8C378B" w14:textId="77777777" w:rsidR="00C66929" w:rsidRDefault="00C66929" w:rsidP="00575A72">
      <w:pPr>
        <w:rPr>
          <w:rStyle w:val="eop"/>
        </w:rPr>
      </w:pPr>
    </w:p>
    <w:p w14:paraId="345A060E" w14:textId="6958679F" w:rsidR="00C66929" w:rsidRDefault="00C66929" w:rsidP="00575A72">
      <w:pPr>
        <w:rPr>
          <w:rStyle w:val="eop"/>
        </w:rPr>
      </w:pPr>
      <w:r>
        <w:rPr>
          <w:rStyle w:val="eop"/>
        </w:rPr>
        <w:t xml:space="preserve">Puberty blockers </w:t>
      </w:r>
      <w:r w:rsidRPr="0019240B">
        <w:rPr>
          <w:rStyle w:val="eop"/>
        </w:rPr>
        <w:t>can</w:t>
      </w:r>
      <w:r>
        <w:rPr>
          <w:rStyle w:val="eop"/>
        </w:rPr>
        <w:t xml:space="preserve"> also</w:t>
      </w:r>
      <w:r w:rsidRPr="0019240B">
        <w:rPr>
          <w:rStyle w:val="eop"/>
        </w:rPr>
        <w:t xml:space="preserve"> be used </w:t>
      </w:r>
      <w:r>
        <w:rPr>
          <w:rStyle w:val="eop"/>
        </w:rPr>
        <w:t xml:space="preserve">as part of gender-affirming care </w:t>
      </w:r>
      <w:r w:rsidRPr="0019240B">
        <w:rPr>
          <w:rStyle w:val="eop"/>
        </w:rPr>
        <w:t xml:space="preserve">to delay the onset of puberty by suppressing oestrogen and testosterone. </w:t>
      </w:r>
      <w:r>
        <w:rPr>
          <w:rStyle w:val="eop"/>
        </w:rPr>
        <w:t>C</w:t>
      </w:r>
      <w:r w:rsidRPr="0019240B">
        <w:rPr>
          <w:rStyle w:val="eop"/>
        </w:rPr>
        <w:t xml:space="preserve">linicians </w:t>
      </w:r>
      <w:r>
        <w:rPr>
          <w:rStyle w:val="eop"/>
        </w:rPr>
        <w:t xml:space="preserve">can prescribe them </w:t>
      </w:r>
      <w:r w:rsidRPr="0019240B">
        <w:rPr>
          <w:rStyle w:val="eop"/>
        </w:rPr>
        <w:t xml:space="preserve">to young people experiencing gender incongruence or </w:t>
      </w:r>
      <w:r>
        <w:rPr>
          <w:rStyle w:val="eop"/>
        </w:rPr>
        <w:t xml:space="preserve">gender </w:t>
      </w:r>
      <w:r w:rsidRPr="0019240B">
        <w:rPr>
          <w:rStyle w:val="eop"/>
        </w:rPr>
        <w:t>dysphoria.</w:t>
      </w:r>
      <w:bookmarkStart w:id="0" w:name="_Hlk162947536"/>
    </w:p>
    <w:p w14:paraId="07F8C891" w14:textId="77777777" w:rsidR="00C66929" w:rsidRDefault="00C66929" w:rsidP="00575A72">
      <w:pPr>
        <w:rPr>
          <w:rStyle w:val="eop"/>
        </w:rPr>
      </w:pPr>
    </w:p>
    <w:p w14:paraId="7CA713A9" w14:textId="7CAAC428" w:rsidR="00C66929" w:rsidRDefault="00C66929" w:rsidP="00575A72">
      <w:r w:rsidRPr="00CA3352">
        <w:t xml:space="preserve">Gender </w:t>
      </w:r>
      <w:r>
        <w:t>i</w:t>
      </w:r>
      <w:r w:rsidRPr="00CA3352">
        <w:t>ncongruence is where an individual’s experienced gender and their assigned sex (at birt</w:t>
      </w:r>
      <w:r>
        <w:t xml:space="preserve">h) </w:t>
      </w:r>
      <w:r w:rsidRPr="00CA3352">
        <w:t>persistently do not match</w:t>
      </w:r>
      <w:r>
        <w:t xml:space="preserve">. </w:t>
      </w:r>
    </w:p>
    <w:p w14:paraId="1E5DC589" w14:textId="77777777" w:rsidR="00C66929" w:rsidRDefault="00C66929" w:rsidP="00C66929">
      <w:r>
        <w:lastRenderedPageBreak/>
        <w:t>Gender dysphoria is where an individual’s gender incongruence has an adverse impact on their health and wellbeing.</w:t>
      </w:r>
    </w:p>
    <w:p w14:paraId="0E6FD311" w14:textId="77777777" w:rsidR="00C66929" w:rsidRDefault="00C66929" w:rsidP="00C66929"/>
    <w:p w14:paraId="4A58BF3A" w14:textId="173751FC" w:rsidR="00C66929" w:rsidRDefault="00C66929" w:rsidP="00C66929">
      <w:r>
        <w:t>The evidence brief examines their use in the context of delaying puberty in adolescents experiencing gender incongruence or gender dysphoria.</w:t>
      </w:r>
    </w:p>
    <w:p w14:paraId="4050E825" w14:textId="57E23868" w:rsidR="00575A72" w:rsidRDefault="00575A72" w:rsidP="00575A72">
      <w:pPr>
        <w:pStyle w:val="Heading2"/>
      </w:pPr>
      <w:r w:rsidRPr="00575A72">
        <w:t>Prescription of puberty blockers in New Zealand</w:t>
      </w:r>
    </w:p>
    <w:bookmarkEnd w:id="0"/>
    <w:p w14:paraId="48370CC4" w14:textId="02BC5B93" w:rsidR="00C66929" w:rsidRDefault="00C66929" w:rsidP="00C66929">
      <w:pPr>
        <w:rPr>
          <w:lang w:eastAsia="en-NZ"/>
        </w:rPr>
      </w:pPr>
      <w:r w:rsidRPr="001A74D7">
        <w:rPr>
          <w:lang w:eastAsia="en-NZ"/>
        </w:rPr>
        <w:t xml:space="preserve">In recent years, there has been an increasing awareness of puberty blockers as an option for gender-affirming care. </w:t>
      </w:r>
      <w:r w:rsidRPr="00D57CC9">
        <w:rPr>
          <w:lang w:eastAsia="en-NZ"/>
        </w:rPr>
        <w:t xml:space="preserve">A preliminary review of prescribing data shows a steady increase in the number of young people aged </w:t>
      </w:r>
      <w:r w:rsidR="001B0CE6">
        <w:rPr>
          <w:lang w:eastAsia="en-NZ"/>
        </w:rPr>
        <w:t>12 to 17</w:t>
      </w:r>
      <w:r w:rsidRPr="00D57CC9">
        <w:rPr>
          <w:lang w:eastAsia="en-NZ"/>
        </w:rPr>
        <w:t xml:space="preserve"> receiving first-time prescriptions of GnRH agonists between 2010 and 202</w:t>
      </w:r>
      <w:r w:rsidR="00791163">
        <w:rPr>
          <w:lang w:eastAsia="en-NZ"/>
        </w:rPr>
        <w:t>3</w:t>
      </w:r>
      <w:r w:rsidRPr="00D57CC9">
        <w:rPr>
          <w:lang w:eastAsia="en-NZ"/>
        </w:rPr>
        <w:t xml:space="preserve">. Other countries have observed a similar increase in prescribing of puberty blockers </w:t>
      </w:r>
      <w:r>
        <w:rPr>
          <w:lang w:eastAsia="en-NZ"/>
        </w:rPr>
        <w:t>although</w:t>
      </w:r>
      <w:r w:rsidRPr="00D57CC9">
        <w:rPr>
          <w:lang w:eastAsia="en-NZ"/>
        </w:rPr>
        <w:t xml:space="preserve"> </w:t>
      </w:r>
      <w:r>
        <w:rPr>
          <w:lang w:eastAsia="en-NZ"/>
        </w:rPr>
        <w:t xml:space="preserve">due </w:t>
      </w:r>
      <w:r w:rsidRPr="00D57CC9">
        <w:rPr>
          <w:lang w:eastAsia="en-NZ"/>
        </w:rPr>
        <w:t>the quality of the data</w:t>
      </w:r>
      <w:r>
        <w:rPr>
          <w:lang w:eastAsia="en-NZ"/>
        </w:rPr>
        <w:t>,</w:t>
      </w:r>
      <w:r w:rsidRPr="00D57CC9">
        <w:rPr>
          <w:lang w:eastAsia="en-NZ"/>
        </w:rPr>
        <w:t xml:space="preserve"> </w:t>
      </w:r>
      <w:r>
        <w:rPr>
          <w:lang w:eastAsia="en-NZ"/>
        </w:rPr>
        <w:t xml:space="preserve">meaningful </w:t>
      </w:r>
      <w:r w:rsidRPr="00D57CC9">
        <w:rPr>
          <w:lang w:eastAsia="en-NZ"/>
        </w:rPr>
        <w:t xml:space="preserve">direct comparison of prescribing rates is not </w:t>
      </w:r>
      <w:r>
        <w:rPr>
          <w:lang w:eastAsia="en-NZ"/>
        </w:rPr>
        <w:t>possible</w:t>
      </w:r>
      <w:r w:rsidRPr="00D57CC9">
        <w:rPr>
          <w:lang w:eastAsia="en-NZ"/>
        </w:rPr>
        <w:t>.</w:t>
      </w:r>
      <w:r>
        <w:rPr>
          <w:lang w:eastAsia="en-NZ"/>
        </w:rPr>
        <w:t xml:space="preserve"> </w:t>
      </w:r>
    </w:p>
    <w:p w14:paraId="5105140F" w14:textId="77777777" w:rsidR="00C66929" w:rsidRPr="008E795B" w:rsidRDefault="00C66929" w:rsidP="00C66929">
      <w:pPr>
        <w:rPr>
          <w:rFonts w:ascii="Arial" w:hAnsi="Arial" w:cs="Arial"/>
          <w:lang w:eastAsia="en-NZ"/>
        </w:rPr>
      </w:pPr>
    </w:p>
    <w:p w14:paraId="02F18A2E" w14:textId="737BA2C7" w:rsidR="00C66929" w:rsidRDefault="00C66929" w:rsidP="00C66929">
      <w:r>
        <w:t xml:space="preserve">While these medicines are not approved by </w:t>
      </w:r>
      <w:proofErr w:type="spellStart"/>
      <w:r>
        <w:t>Medsafe</w:t>
      </w:r>
      <w:proofErr w:type="spellEnd"/>
      <w:r>
        <w:t xml:space="preserve"> for the purpose of delaying puberty</w:t>
      </w:r>
      <w:r w:rsidR="00D15DB1">
        <w:t xml:space="preserve"> in gender</w:t>
      </w:r>
      <w:r w:rsidR="000E41F7">
        <w:t xml:space="preserve"> incongruent or </w:t>
      </w:r>
      <w:r w:rsidR="00E13206">
        <w:t>gender dysphoric young people</w:t>
      </w:r>
      <w:r>
        <w:t>, clinicians can prescribe them ’off label’ under section 25 of the Medicines Act, 1981</w:t>
      </w:r>
      <w:r>
        <w:rPr>
          <w:rStyle w:val="FootnoteReference"/>
        </w:rPr>
        <w:footnoteReference w:id="4"/>
      </w:r>
      <w:r>
        <w:t>. Use of section 25 is common in clinical practice particularly in paediatric services. Other examples of medications prescribed to young people under section 25 are fluoxetine for depression and melatonin for insomnia.</w:t>
      </w:r>
    </w:p>
    <w:p w14:paraId="748982E2" w14:textId="77777777" w:rsidR="00C66929" w:rsidRDefault="00C66929" w:rsidP="00C66929"/>
    <w:p w14:paraId="074ECB6D" w14:textId="03C6A7AB" w:rsidR="00C66929" w:rsidRDefault="00C66929" w:rsidP="00C66929">
      <w:r>
        <w:t>When authorised prescribers prescribe an unapproved</w:t>
      </w:r>
      <w:r w:rsidR="0086144A">
        <w:rPr>
          <w:rStyle w:val="FootnoteReference"/>
        </w:rPr>
        <w:footnoteReference w:id="5"/>
      </w:r>
      <w:r>
        <w:t xml:space="preserve"> medicine they are expected to be working within their scope of practice. Clinicians need to make sure that the person receiving the medicine knows that the medicine is being used for an unapproved use and have an informed conversation with them about the potential risks and benefits, involving family, whānau, or caregivers where appropriate. </w:t>
      </w:r>
    </w:p>
    <w:p w14:paraId="6F77E2F2" w14:textId="77777777" w:rsidR="00C66929" w:rsidRPr="00C97A6F" w:rsidRDefault="00C66929" w:rsidP="00C66929"/>
    <w:p w14:paraId="72FD88C3" w14:textId="77777777" w:rsidR="002F5CDE" w:rsidRDefault="00C66929" w:rsidP="00C66929">
      <w:r>
        <w:t>Medical practitioners are expected to meet professional practice and ethical standards and also ensure that they meet the provisions of the Code of Health and Disability Services Consumer Rights.</w:t>
      </w:r>
    </w:p>
    <w:p w14:paraId="368EDB47" w14:textId="77777777" w:rsidR="002F5CDE" w:rsidRDefault="002F5CDE" w:rsidP="00C66929"/>
    <w:p w14:paraId="793C977F" w14:textId="2C03D139" w:rsidR="00FC0DC6" w:rsidRDefault="002F5CDE" w:rsidP="00C66929">
      <w:r w:rsidRPr="002F5CDE">
        <w:t xml:space="preserve">Guidelines for gender-affirming care have been </w:t>
      </w:r>
      <w:r w:rsidR="00517529">
        <w:t xml:space="preserve">independently </w:t>
      </w:r>
      <w:r w:rsidRPr="002F5CDE">
        <w:t>published in New Zealand</w:t>
      </w:r>
      <w:r w:rsidR="00517529">
        <w:rPr>
          <w:rStyle w:val="FootnoteReference"/>
        </w:rPr>
        <w:footnoteReference w:id="6"/>
      </w:r>
      <w:r w:rsidRPr="002F5CDE">
        <w:t xml:space="preserve">. These guidelines set out the key considerations for health teams, including the prescribing of puberty blockers. </w:t>
      </w:r>
      <w:r w:rsidR="00517529">
        <w:t>There are also local clinical pathways within primary care and specialist services across New Zealand, but there is not currently a nationally consistent approach.</w:t>
      </w:r>
    </w:p>
    <w:p w14:paraId="2CD81D67" w14:textId="77777777" w:rsidR="00530555" w:rsidRDefault="00530555" w:rsidP="00C66929"/>
    <w:p w14:paraId="1F2D6669" w14:textId="753E5C6D" w:rsidR="00C66929" w:rsidRDefault="00C66929" w:rsidP="00C66929">
      <w:r w:rsidRPr="00D11AB3">
        <w:t>Clinicians should take a holistic approach</w:t>
      </w:r>
      <w:r>
        <w:t xml:space="preserve"> and undertake a comprehensive assessment</w:t>
      </w:r>
      <w:r w:rsidRPr="00D11AB3">
        <w:t xml:space="preserve"> </w:t>
      </w:r>
      <w:r>
        <w:t xml:space="preserve">in </w:t>
      </w:r>
      <w:r w:rsidRPr="00D11AB3">
        <w:t>the provision of gender</w:t>
      </w:r>
      <w:r>
        <w:t>-</w:t>
      </w:r>
      <w:r w:rsidRPr="00D11AB3">
        <w:t xml:space="preserve">affirming care. </w:t>
      </w:r>
      <w:r w:rsidRPr="00612A65">
        <w:t>Puberty blockers are one of a range of options (</w:t>
      </w:r>
      <w:proofErr w:type="spellStart"/>
      <w:r w:rsidRPr="00612A65">
        <w:t>eg</w:t>
      </w:r>
      <w:proofErr w:type="spellEnd"/>
      <w:r w:rsidRPr="00612A65">
        <w:t>, medical, mental health</w:t>
      </w:r>
      <w:r w:rsidR="00F06056">
        <w:t>,</w:t>
      </w:r>
      <w:r w:rsidRPr="00612A65">
        <w:t xml:space="preserve"> and social support) clinicians can discuss with individuals and their families.</w:t>
      </w:r>
      <w:r w:rsidRPr="00D11AB3">
        <w:t xml:space="preserve"> </w:t>
      </w:r>
    </w:p>
    <w:p w14:paraId="0546FBD8" w14:textId="4A6A58A0" w:rsidR="00575A72" w:rsidRDefault="00575A72" w:rsidP="00575A72">
      <w:pPr>
        <w:pStyle w:val="Heading2"/>
        <w:rPr>
          <w:shd w:val="clear" w:color="auto" w:fill="FFFFFF"/>
        </w:rPr>
      </w:pPr>
      <w:r w:rsidRPr="00575A72">
        <w:rPr>
          <w:shd w:val="clear" w:color="auto" w:fill="FFFFFF"/>
        </w:rPr>
        <w:lastRenderedPageBreak/>
        <w:t>The international context</w:t>
      </w:r>
    </w:p>
    <w:p w14:paraId="11C6C039" w14:textId="7307975F" w:rsidR="00C66929" w:rsidRDefault="00C66929" w:rsidP="00C66929">
      <w:pPr>
        <w:rPr>
          <w:shd w:val="clear" w:color="auto" w:fill="FFFFFF"/>
        </w:rPr>
      </w:pPr>
      <w:r w:rsidRPr="00687652">
        <w:rPr>
          <w:shd w:val="clear" w:color="auto" w:fill="FFFFFF"/>
        </w:rPr>
        <w:t>The World Health Organi</w:t>
      </w:r>
      <w:r>
        <w:rPr>
          <w:shd w:val="clear" w:color="auto" w:fill="FFFFFF"/>
        </w:rPr>
        <w:t>z</w:t>
      </w:r>
      <w:r w:rsidRPr="00687652">
        <w:rPr>
          <w:shd w:val="clear" w:color="auto" w:fill="FFFFFF"/>
        </w:rPr>
        <w:t>ation (WHO) is in the process of developing a guideline on the health of transgender and gender</w:t>
      </w:r>
      <w:r>
        <w:rPr>
          <w:shd w:val="clear" w:color="auto" w:fill="FFFFFF"/>
        </w:rPr>
        <w:t>-</w:t>
      </w:r>
      <w:r w:rsidRPr="00687652">
        <w:rPr>
          <w:shd w:val="clear" w:color="auto" w:fill="FFFFFF"/>
        </w:rPr>
        <w:t>diverse people includ</w:t>
      </w:r>
      <w:r>
        <w:rPr>
          <w:shd w:val="clear" w:color="auto" w:fill="FFFFFF"/>
        </w:rPr>
        <w:t xml:space="preserve">ing </w:t>
      </w:r>
      <w:r w:rsidRPr="00687652">
        <w:rPr>
          <w:shd w:val="clear" w:color="auto" w:fill="FFFFFF"/>
        </w:rPr>
        <w:t>health policies and legal recognition of self-determined gender identity.</w:t>
      </w:r>
      <w:r>
        <w:rPr>
          <w:shd w:val="clear" w:color="auto" w:fill="FFFFFF"/>
        </w:rPr>
        <w:t xml:space="preserve"> While the guideline will not be legally binding, it may influence current or future governance and legal structures.</w:t>
      </w:r>
    </w:p>
    <w:p w14:paraId="71B30F16" w14:textId="77777777" w:rsidR="00C66929" w:rsidRPr="0008395A" w:rsidRDefault="00C66929" w:rsidP="00C66929">
      <w:pPr>
        <w:rPr>
          <w:rStyle w:val="eop"/>
          <w:shd w:val="clear" w:color="auto" w:fill="FFFFFF"/>
        </w:rPr>
      </w:pPr>
    </w:p>
    <w:p w14:paraId="2C255A9E" w14:textId="45F5E6E4" w:rsidR="00C84492" w:rsidRDefault="006C400F" w:rsidP="00C66929">
      <w:pPr>
        <w:rPr>
          <w:rStyle w:val="eop"/>
        </w:rPr>
      </w:pPr>
      <w:r>
        <w:rPr>
          <w:rStyle w:val="eop"/>
        </w:rPr>
        <w:t>The UK</w:t>
      </w:r>
      <w:r w:rsidR="00C66929" w:rsidRPr="00AD5241">
        <w:rPr>
          <w:rStyle w:val="eop"/>
        </w:rPr>
        <w:t xml:space="preserve">, Finland, Norway, and Sweden have recently decided to limit the </w:t>
      </w:r>
      <w:r w:rsidR="00D412CF">
        <w:rPr>
          <w:rStyle w:val="eop"/>
        </w:rPr>
        <w:t xml:space="preserve">initiation of new </w:t>
      </w:r>
      <w:r w:rsidR="00C66929" w:rsidRPr="00AD5241">
        <w:rPr>
          <w:rStyle w:val="eop"/>
        </w:rPr>
        <w:t>prescription</w:t>
      </w:r>
      <w:r w:rsidR="00624C86">
        <w:rPr>
          <w:rStyle w:val="eop"/>
        </w:rPr>
        <w:t>s</w:t>
      </w:r>
      <w:r w:rsidR="00C66929" w:rsidRPr="00AD5241">
        <w:rPr>
          <w:rStyle w:val="eop"/>
        </w:rPr>
        <w:t xml:space="preserve"> of puberty blockers for young people seeking gender</w:t>
      </w:r>
      <w:r w:rsidR="00C66929">
        <w:rPr>
          <w:rStyle w:val="eop"/>
        </w:rPr>
        <w:t>-</w:t>
      </w:r>
      <w:r w:rsidR="00C66929" w:rsidRPr="00AD5241">
        <w:rPr>
          <w:rStyle w:val="eop"/>
        </w:rPr>
        <w:t xml:space="preserve">affirming care to clinical trials. </w:t>
      </w:r>
      <w:r w:rsidR="007904FD">
        <w:rPr>
          <w:rStyle w:val="eop"/>
        </w:rPr>
        <w:t xml:space="preserve">Young people already initiated on puberty </w:t>
      </w:r>
      <w:r w:rsidR="003339FC">
        <w:rPr>
          <w:rStyle w:val="eop"/>
        </w:rPr>
        <w:t xml:space="preserve">blockers </w:t>
      </w:r>
      <w:r w:rsidR="00C84492">
        <w:rPr>
          <w:rStyle w:val="eop"/>
        </w:rPr>
        <w:t>will continue to have access to these medications.</w:t>
      </w:r>
      <w:r w:rsidR="00B73E29">
        <w:rPr>
          <w:rStyle w:val="eop"/>
        </w:rPr>
        <w:t xml:space="preserve"> </w:t>
      </w:r>
    </w:p>
    <w:p w14:paraId="3BA4B7E6" w14:textId="77777777" w:rsidR="00C945F4" w:rsidRDefault="00C945F4" w:rsidP="00C66929">
      <w:pPr>
        <w:rPr>
          <w:rStyle w:val="eop"/>
        </w:rPr>
      </w:pPr>
    </w:p>
    <w:p w14:paraId="10C90827" w14:textId="749AFAEC" w:rsidR="00C66929" w:rsidRDefault="00C66929" w:rsidP="00C66929">
      <w:pPr>
        <w:rPr>
          <w:rStyle w:val="eop"/>
        </w:rPr>
      </w:pPr>
      <w:r w:rsidRPr="00AD5241">
        <w:rPr>
          <w:rStyle w:val="eop"/>
        </w:rPr>
        <w:t>T</w:t>
      </w:r>
      <w:r>
        <w:rPr>
          <w:rStyle w:val="eop"/>
        </w:rPr>
        <w:t>h</w:t>
      </w:r>
      <w:r w:rsidR="003F5318">
        <w:rPr>
          <w:rStyle w:val="eop"/>
        </w:rPr>
        <w:t>e</w:t>
      </w:r>
      <w:r w:rsidRPr="00AD5241">
        <w:rPr>
          <w:rStyle w:val="eop"/>
        </w:rPr>
        <w:t xml:space="preserve">se </w:t>
      </w:r>
      <w:r w:rsidRPr="00EF63F1">
        <w:rPr>
          <w:rStyle w:val="eop"/>
        </w:rPr>
        <w:t xml:space="preserve">countries </w:t>
      </w:r>
      <w:r>
        <w:rPr>
          <w:rStyle w:val="eop"/>
        </w:rPr>
        <w:t xml:space="preserve">have </w:t>
      </w:r>
      <w:r w:rsidR="00924EFE">
        <w:rPr>
          <w:rStyle w:val="eop"/>
        </w:rPr>
        <w:t>all</w:t>
      </w:r>
      <w:r>
        <w:rPr>
          <w:rStyle w:val="eop"/>
        </w:rPr>
        <w:t xml:space="preserve"> expressed</w:t>
      </w:r>
      <w:r w:rsidRPr="00EF63F1">
        <w:rPr>
          <w:rStyle w:val="eop"/>
        </w:rPr>
        <w:t xml:space="preserve"> concern</w:t>
      </w:r>
      <w:r>
        <w:rPr>
          <w:rStyle w:val="eop"/>
        </w:rPr>
        <w:t>s</w:t>
      </w:r>
      <w:r w:rsidRPr="00EF63F1">
        <w:rPr>
          <w:rStyle w:val="eop"/>
        </w:rPr>
        <w:t xml:space="preserve"> about the lack of high</w:t>
      </w:r>
      <w:r w:rsidRPr="00AD5241">
        <w:rPr>
          <w:rStyle w:val="eop"/>
        </w:rPr>
        <w:t xml:space="preserve">-quality evidence </w:t>
      </w:r>
      <w:r>
        <w:rPr>
          <w:rStyle w:val="eop"/>
        </w:rPr>
        <w:t>on</w:t>
      </w:r>
      <w:r w:rsidRPr="00AD5241">
        <w:rPr>
          <w:rStyle w:val="eop"/>
        </w:rPr>
        <w:t xml:space="preserve"> outcomes </w:t>
      </w:r>
      <w:r>
        <w:rPr>
          <w:rStyle w:val="eop"/>
        </w:rPr>
        <w:t>in</w:t>
      </w:r>
      <w:r w:rsidRPr="00AD5241">
        <w:rPr>
          <w:rStyle w:val="eop"/>
        </w:rPr>
        <w:t xml:space="preserve"> the use of puberty blockers for gender incongruence and </w:t>
      </w:r>
      <w:r>
        <w:rPr>
          <w:rStyle w:val="eop"/>
        </w:rPr>
        <w:t xml:space="preserve">gender </w:t>
      </w:r>
      <w:r w:rsidRPr="00AD5241">
        <w:rPr>
          <w:rStyle w:val="eop"/>
        </w:rPr>
        <w:t xml:space="preserve">dysphoria. </w:t>
      </w:r>
      <w:r>
        <w:rPr>
          <w:rStyle w:val="eop"/>
        </w:rPr>
        <w:t xml:space="preserve">NHS </w:t>
      </w:r>
      <w:r w:rsidRPr="00AD5241">
        <w:rPr>
          <w:rStyle w:val="eop"/>
        </w:rPr>
        <w:t>England’s independent review</w:t>
      </w:r>
      <w:r w:rsidRPr="00AD5241">
        <w:rPr>
          <w:rStyle w:val="FootnoteReference"/>
        </w:rPr>
        <w:footnoteReference w:id="7"/>
      </w:r>
      <w:r w:rsidRPr="00AD5241">
        <w:rPr>
          <w:rStyle w:val="eop"/>
        </w:rPr>
        <w:t xml:space="preserve"> </w:t>
      </w:r>
      <w:r w:rsidR="00B1337E">
        <w:rPr>
          <w:rStyle w:val="eop"/>
        </w:rPr>
        <w:t xml:space="preserve">also </w:t>
      </w:r>
      <w:r w:rsidRPr="00AD5241">
        <w:rPr>
          <w:rStyle w:val="eop"/>
        </w:rPr>
        <w:t>identified gaps in interprofessional approaches and variability in service access by patients. In Sweden</w:t>
      </w:r>
      <w:r>
        <w:rPr>
          <w:rStyle w:val="FootnoteReference"/>
        </w:rPr>
        <w:footnoteReference w:id="8"/>
      </w:r>
      <w:r w:rsidRPr="00AD5241">
        <w:rPr>
          <w:rStyle w:val="eop"/>
        </w:rPr>
        <w:t xml:space="preserve"> there were concerns relating to </w:t>
      </w:r>
      <w:r>
        <w:rPr>
          <w:rStyle w:val="eop"/>
        </w:rPr>
        <w:t xml:space="preserve">the </w:t>
      </w:r>
      <w:r w:rsidRPr="00AD5241">
        <w:rPr>
          <w:rStyle w:val="eop"/>
        </w:rPr>
        <w:t>consent</w:t>
      </w:r>
      <w:r>
        <w:rPr>
          <w:rStyle w:val="eop"/>
        </w:rPr>
        <w:t xml:space="preserve"> process</w:t>
      </w:r>
      <w:r w:rsidRPr="00AD5241">
        <w:rPr>
          <w:rStyle w:val="eop"/>
        </w:rPr>
        <w:t xml:space="preserve">, and </w:t>
      </w:r>
      <w:r>
        <w:rPr>
          <w:rStyle w:val="eop"/>
        </w:rPr>
        <w:t>a</w:t>
      </w:r>
      <w:r w:rsidRPr="00AD5241">
        <w:rPr>
          <w:rStyle w:val="eop"/>
        </w:rPr>
        <w:t xml:space="preserve"> lack of data to understand the context in which puberty blockers </w:t>
      </w:r>
      <w:r>
        <w:rPr>
          <w:rStyle w:val="eop"/>
        </w:rPr>
        <w:t>have been</w:t>
      </w:r>
      <w:r w:rsidRPr="00AD5241">
        <w:rPr>
          <w:rStyle w:val="eop"/>
        </w:rPr>
        <w:t xml:space="preserve"> used.</w:t>
      </w:r>
    </w:p>
    <w:p w14:paraId="0405D216" w14:textId="77777777" w:rsidR="00C66929" w:rsidRDefault="00C66929" w:rsidP="00C66929">
      <w:pPr>
        <w:rPr>
          <w:rStyle w:val="eop"/>
        </w:rPr>
      </w:pPr>
    </w:p>
    <w:p w14:paraId="0B4A718D" w14:textId="082C0629" w:rsidR="00C66929" w:rsidRDefault="00C66929" w:rsidP="00C66929">
      <w:r>
        <w:t xml:space="preserve">In most </w:t>
      </w:r>
      <w:r w:rsidRPr="00687652">
        <w:t xml:space="preserve">Australian </w:t>
      </w:r>
      <w:r>
        <w:t>s</w:t>
      </w:r>
      <w:r w:rsidRPr="00687652">
        <w:t xml:space="preserve">tates </w:t>
      </w:r>
      <w:r>
        <w:t xml:space="preserve">and territories, the </w:t>
      </w:r>
      <w:r w:rsidRPr="00687652">
        <w:t xml:space="preserve">prescription of puberty blockers for </w:t>
      </w:r>
      <w:r>
        <w:t>people</w:t>
      </w:r>
      <w:r w:rsidRPr="00687652">
        <w:t xml:space="preserve"> </w:t>
      </w:r>
      <w:r>
        <w:t xml:space="preserve">aged </w:t>
      </w:r>
      <w:r w:rsidRPr="00687652">
        <w:t>under 18</w:t>
      </w:r>
      <w:r>
        <w:t xml:space="preserve"> years</w:t>
      </w:r>
      <w:r w:rsidRPr="00687652">
        <w:t xml:space="preserve"> requires consent from </w:t>
      </w:r>
      <w:r>
        <w:t xml:space="preserve">the young person, treating clinician and </w:t>
      </w:r>
      <w:r w:rsidRPr="00687652">
        <w:t xml:space="preserve">all parties who have parental responsibility for the young person. </w:t>
      </w:r>
      <w:r>
        <w:t xml:space="preserve">Prescribing </w:t>
      </w:r>
      <w:r w:rsidRPr="00F5102E">
        <w:t xml:space="preserve">is </w:t>
      </w:r>
      <w:r w:rsidR="00D429F0">
        <w:t>’</w:t>
      </w:r>
      <w:r w:rsidRPr="00F5102E">
        <w:t>off-label</w:t>
      </w:r>
      <w:r w:rsidR="00D429F0">
        <w:t>’</w:t>
      </w:r>
      <w:r w:rsidR="00D66F09" w:rsidRPr="00F5102E">
        <w:t>;</w:t>
      </w:r>
      <w:r w:rsidRPr="00F5102E">
        <w:t xml:space="preserve"> the medications are</w:t>
      </w:r>
      <w:r>
        <w:t xml:space="preserve"> not funded through the Pharmaceutical Benefits Scheme.</w:t>
      </w:r>
      <w:r w:rsidR="0002411B">
        <w:t xml:space="preserve"> </w:t>
      </w:r>
      <w:r w:rsidR="00970637">
        <w:t xml:space="preserve">As a </w:t>
      </w:r>
      <w:r w:rsidR="0002411B">
        <w:t>result</w:t>
      </w:r>
      <w:r w:rsidR="00AA634B">
        <w:t>,</w:t>
      </w:r>
      <w:r w:rsidR="0002411B">
        <w:t xml:space="preserve"> </w:t>
      </w:r>
      <w:r w:rsidR="00364330">
        <w:t>prescription</w:t>
      </w:r>
      <w:r w:rsidR="00F110D2">
        <w:t xml:space="preserve"> is most </w:t>
      </w:r>
      <w:r w:rsidR="001566B4">
        <w:t>often through</w:t>
      </w:r>
      <w:r w:rsidR="00142488">
        <w:t xml:space="preserve"> </w:t>
      </w:r>
      <w:r w:rsidR="00D26938">
        <w:t>specialist</w:t>
      </w:r>
      <w:r w:rsidR="009D1A82">
        <w:t xml:space="preserve"> services</w:t>
      </w:r>
      <w:r w:rsidR="000C6C24">
        <w:t xml:space="preserve"> </w:t>
      </w:r>
      <w:r w:rsidR="00623B50" w:rsidRPr="00623B50">
        <w:t>to enable access to heavily subsidised funding of the medicines through D</w:t>
      </w:r>
      <w:r w:rsidR="00623B50">
        <w:t>epartment of Health and Aged Care</w:t>
      </w:r>
      <w:r w:rsidR="00623B50" w:rsidRPr="00623B50">
        <w:t xml:space="preserve"> investment.</w:t>
      </w:r>
    </w:p>
    <w:p w14:paraId="7019ECA5" w14:textId="77777777" w:rsidR="00C66929" w:rsidRDefault="00C66929" w:rsidP="00C66929"/>
    <w:p w14:paraId="41F2D63C" w14:textId="4CA8E51E" w:rsidR="00C66929" w:rsidRDefault="00C66929" w:rsidP="00C66929">
      <w:r w:rsidRPr="00AD5241">
        <w:t>Other countries</w:t>
      </w:r>
      <w:r>
        <w:t>,</w:t>
      </w:r>
      <w:r w:rsidRPr="00AD5241">
        <w:t xml:space="preserve"> such as Canada and the Netherlands, continue to enable the prescription of puberty blockers through clinical processes involving individuals and their families, as part of comprehensive gender</w:t>
      </w:r>
      <w:r>
        <w:t>-</w:t>
      </w:r>
      <w:r w:rsidRPr="00AD5241">
        <w:t>affirming care</w:t>
      </w:r>
      <w:r>
        <w:t>.</w:t>
      </w:r>
      <w:r w:rsidRPr="00AD5241">
        <w:t xml:space="preserve"> </w:t>
      </w:r>
      <w:r>
        <w:t xml:space="preserve">However, the Canadian province of </w:t>
      </w:r>
      <w:r w:rsidRPr="00AD5241">
        <w:t xml:space="preserve">Alberta is currently considering banning the use of puberty blockers </w:t>
      </w:r>
      <w:r>
        <w:t>for</w:t>
      </w:r>
      <w:r w:rsidRPr="00AD5241">
        <w:t xml:space="preserve"> </w:t>
      </w:r>
      <w:r>
        <w:t>young people aged</w:t>
      </w:r>
      <w:r w:rsidRPr="00AD5241">
        <w:t xml:space="preserve"> under 16</w:t>
      </w:r>
      <w:r>
        <w:t xml:space="preserve"> years</w:t>
      </w:r>
      <w:bookmarkStart w:id="1" w:name="_Hlk168645216"/>
      <w:r w:rsidR="00A754E1">
        <w:t>, referencing the recent decision made by NHS England</w:t>
      </w:r>
      <w:r w:rsidRPr="00AD5241">
        <w:t>.</w:t>
      </w:r>
    </w:p>
    <w:bookmarkEnd w:id="1"/>
    <w:p w14:paraId="1C11957D" w14:textId="6CD6C405" w:rsidR="00C66929" w:rsidRDefault="00C66929" w:rsidP="00C66929">
      <w:pPr>
        <w:pStyle w:val="Heading1"/>
        <w:numPr>
          <w:ilvl w:val="0"/>
          <w:numId w:val="0"/>
        </w:numPr>
        <w:ind w:left="567" w:hanging="567"/>
      </w:pPr>
      <w:r w:rsidRPr="009839B9">
        <w:t xml:space="preserve">Evidence </w:t>
      </w:r>
      <w:r>
        <w:t>b</w:t>
      </w:r>
      <w:r w:rsidRPr="009839B9">
        <w:t>rief findings</w:t>
      </w:r>
    </w:p>
    <w:p w14:paraId="062AE21D" w14:textId="54BD8D7E" w:rsidR="00575A72" w:rsidRPr="00575A72" w:rsidRDefault="00575A72" w:rsidP="00575A72">
      <w:pPr>
        <w:pStyle w:val="Heading2"/>
      </w:pPr>
      <w:r w:rsidRPr="00575A72">
        <w:t>Scope of the evidence brief</w:t>
      </w:r>
    </w:p>
    <w:p w14:paraId="2BCC034D" w14:textId="24F91A0B" w:rsidR="00B736D1" w:rsidRDefault="00C66929" w:rsidP="00C66929">
      <w:r w:rsidRPr="0060697A">
        <w:t xml:space="preserve">The </w:t>
      </w:r>
      <w:r>
        <w:t>evidence b</w:t>
      </w:r>
      <w:r w:rsidRPr="0060697A">
        <w:t xml:space="preserve">rief considers national </w:t>
      </w:r>
      <w:r w:rsidR="6F8B8BEE">
        <w:t>and international</w:t>
      </w:r>
      <w:r>
        <w:t xml:space="preserve"> </w:t>
      </w:r>
      <w:r w:rsidR="3E70B109">
        <w:t xml:space="preserve">peer-reviewed </w:t>
      </w:r>
      <w:r w:rsidRPr="0060697A">
        <w:t>literature, published up until 30 September 2023.</w:t>
      </w:r>
      <w:r>
        <w:t xml:space="preserve"> </w:t>
      </w:r>
      <w:r w:rsidR="00AA75D4">
        <w:t xml:space="preserve">It also </w:t>
      </w:r>
      <w:r w:rsidR="00217E43">
        <w:t xml:space="preserve">provides an overview of international </w:t>
      </w:r>
      <w:r w:rsidR="00402A70">
        <w:t>regulations, governance structures</w:t>
      </w:r>
      <w:r w:rsidR="000B41C5">
        <w:t>, and guidelines</w:t>
      </w:r>
      <w:r w:rsidR="00F81521">
        <w:t>,</w:t>
      </w:r>
      <w:r w:rsidR="00C70F75">
        <w:t xml:space="preserve"> which has helped inform our </w:t>
      </w:r>
      <w:r w:rsidR="00D72F8C">
        <w:t>p</w:t>
      </w:r>
      <w:r w:rsidR="00186D4F">
        <w:t xml:space="preserve">osition </w:t>
      </w:r>
      <w:r w:rsidR="00D72F8C">
        <w:t>s</w:t>
      </w:r>
      <w:r w:rsidR="00186D4F">
        <w:t xml:space="preserve">tatement </w:t>
      </w:r>
      <w:r w:rsidR="3BFFA2E7">
        <w:t xml:space="preserve">and next steps </w:t>
      </w:r>
      <w:r w:rsidR="00701FDA">
        <w:t xml:space="preserve">within the </w:t>
      </w:r>
      <w:r w:rsidR="0024DFFC">
        <w:t>wider</w:t>
      </w:r>
      <w:r w:rsidR="00701FDA">
        <w:t xml:space="preserve"> context</w:t>
      </w:r>
      <w:r w:rsidR="006C0846">
        <w:t>.</w:t>
      </w:r>
    </w:p>
    <w:p w14:paraId="1FB92605" w14:textId="77777777" w:rsidR="00AA75D4" w:rsidRDefault="00AA75D4" w:rsidP="00C66929"/>
    <w:p w14:paraId="122CDF62" w14:textId="4E7E1BE4" w:rsidR="00C66929" w:rsidRPr="009B151F" w:rsidRDefault="00C66929" w:rsidP="00C66929">
      <w:r w:rsidRPr="009B151F">
        <w:t xml:space="preserve">Other international analyses and reports have been released since </w:t>
      </w:r>
      <w:r w:rsidR="004619AA">
        <w:t xml:space="preserve">the initial completion of </w:t>
      </w:r>
      <w:r w:rsidRPr="009B151F">
        <w:t xml:space="preserve">our evidence brief. </w:t>
      </w:r>
      <w:r w:rsidR="009B19FA">
        <w:t>A</w:t>
      </w:r>
      <w:r w:rsidR="006A6FDC">
        <w:t xml:space="preserve">n addendum to the evidence brief </w:t>
      </w:r>
      <w:r w:rsidR="00E822A9">
        <w:t>contains</w:t>
      </w:r>
      <w:r w:rsidR="006A6FDC">
        <w:t xml:space="preserve"> </w:t>
      </w:r>
      <w:r w:rsidR="00BA0876">
        <w:t>a</w:t>
      </w:r>
      <w:r w:rsidR="009B19FA">
        <w:t xml:space="preserve"> further review of </w:t>
      </w:r>
      <w:r w:rsidR="007A563C">
        <w:t xml:space="preserve">additional </w:t>
      </w:r>
      <w:r w:rsidR="00F41B58">
        <w:t>publications</w:t>
      </w:r>
      <w:r w:rsidR="00C67501">
        <w:t xml:space="preserve"> </w:t>
      </w:r>
      <w:r w:rsidR="004619AA">
        <w:t>between</w:t>
      </w:r>
      <w:r w:rsidR="00C67501">
        <w:t xml:space="preserve"> October 2023 to </w:t>
      </w:r>
      <w:r w:rsidR="00C67501" w:rsidRPr="00BA168B">
        <w:t>May 2024</w:t>
      </w:r>
      <w:r w:rsidR="00F41B58">
        <w:t xml:space="preserve">, including the </w:t>
      </w:r>
      <w:r w:rsidR="00090C24">
        <w:t>final Cass Report</w:t>
      </w:r>
      <w:r w:rsidR="00517D09">
        <w:t xml:space="preserve">. The addendum </w:t>
      </w:r>
      <w:r w:rsidR="00517D09">
        <w:lastRenderedPageBreak/>
        <w:t xml:space="preserve">should be </w:t>
      </w:r>
      <w:r w:rsidR="00155614">
        <w:t xml:space="preserve">read in conjunction with the </w:t>
      </w:r>
      <w:r w:rsidR="0022780D">
        <w:t xml:space="preserve">evidence brief. </w:t>
      </w:r>
      <w:r>
        <w:t xml:space="preserve">Our </w:t>
      </w:r>
      <w:r w:rsidR="6898F133">
        <w:t>overall</w:t>
      </w:r>
      <w:r w:rsidRPr="009B151F">
        <w:t xml:space="preserve"> assessment</w:t>
      </w:r>
      <w:r w:rsidRPr="009B151F" w:rsidDel="0022780D">
        <w:t xml:space="preserve"> </w:t>
      </w:r>
      <w:r w:rsidRPr="009B151F">
        <w:t xml:space="preserve">is that </w:t>
      </w:r>
      <w:r>
        <w:t>t</w:t>
      </w:r>
      <w:r w:rsidR="6547F615">
        <w:t>he</w:t>
      </w:r>
      <w:r w:rsidRPr="009B151F">
        <w:t xml:space="preserve"> new </w:t>
      </w:r>
      <w:r w:rsidRPr="009B151F" w:rsidDel="00DC1294">
        <w:t>evidence</w:t>
      </w:r>
      <w:r w:rsidRPr="009B151F">
        <w:t xml:space="preserve"> published since September 2023 </w:t>
      </w:r>
      <w:r w:rsidR="00BA0876">
        <w:t xml:space="preserve">does </w:t>
      </w:r>
      <w:r w:rsidR="59663DA4">
        <w:t>not</w:t>
      </w:r>
      <w:r w:rsidRPr="009B151F">
        <w:t xml:space="preserve"> differ from </w:t>
      </w:r>
      <w:r w:rsidR="001234EE">
        <w:t xml:space="preserve">the earlier evidence </w:t>
      </w:r>
      <w:r w:rsidRPr="009B151F">
        <w:t xml:space="preserve">that </w:t>
      </w:r>
      <w:r w:rsidR="001234EE">
        <w:t xml:space="preserve">we have </w:t>
      </w:r>
      <w:r w:rsidRPr="009B151F">
        <w:t xml:space="preserve">included in </w:t>
      </w:r>
      <w:r w:rsidR="2316D068">
        <w:t>the</w:t>
      </w:r>
      <w:r w:rsidR="009450B9">
        <w:t xml:space="preserve"> </w:t>
      </w:r>
      <w:r w:rsidRPr="009B151F">
        <w:t>evidence brief.</w:t>
      </w:r>
      <w:r w:rsidR="1D2AC6D7">
        <w:t xml:space="preserve"> Therefore, </w:t>
      </w:r>
      <w:r w:rsidR="001234EE">
        <w:t>our</w:t>
      </w:r>
      <w:r w:rsidR="00822060">
        <w:t xml:space="preserve"> </w:t>
      </w:r>
      <w:r w:rsidR="1D2AC6D7">
        <w:t xml:space="preserve">conclusions </w:t>
      </w:r>
      <w:r w:rsidR="00822060">
        <w:t>from</w:t>
      </w:r>
      <w:r w:rsidR="1D2AC6D7">
        <w:t xml:space="preserve"> the evidence brief remain. </w:t>
      </w:r>
    </w:p>
    <w:p w14:paraId="4A84AB18" w14:textId="77777777" w:rsidR="00C66929" w:rsidRPr="00CE4896" w:rsidRDefault="00C66929" w:rsidP="00C66929">
      <w:pPr>
        <w:pStyle w:val="Heading2"/>
      </w:pPr>
      <w:r w:rsidRPr="00CE4896">
        <w:t>Findings</w:t>
      </w:r>
    </w:p>
    <w:p w14:paraId="5EA494DA" w14:textId="5700D3AB" w:rsidR="00C66929" w:rsidRPr="00E52D0E" w:rsidRDefault="00C66929" w:rsidP="00575A72">
      <w:r>
        <w:t xml:space="preserve">The full evidence brief </w:t>
      </w:r>
      <w:r w:rsidR="000731D6">
        <w:t xml:space="preserve">and addendum </w:t>
      </w:r>
      <w:r w:rsidR="00964E4E">
        <w:t xml:space="preserve">are available </w:t>
      </w:r>
      <w:r>
        <w:t>on the Ministry of Health website. Key findings are as follows:</w:t>
      </w:r>
    </w:p>
    <w:p w14:paraId="6AEF66EE" w14:textId="77777777" w:rsidR="00C66929" w:rsidRPr="00575A72" w:rsidRDefault="00C66929" w:rsidP="00575A72">
      <w:pPr>
        <w:pStyle w:val="Bullet"/>
      </w:pPr>
      <w:r w:rsidRPr="00575A72">
        <w:t>There is some evidence that for people treated with puberty blockers, bone density appears to increase at less than the expected rate for individual stage of development.</w:t>
      </w:r>
    </w:p>
    <w:p w14:paraId="7D4C9C56" w14:textId="7E31EE46" w:rsidR="00C66929" w:rsidRPr="00575A72" w:rsidRDefault="00C66929" w:rsidP="00575A72">
      <w:pPr>
        <w:pStyle w:val="Bullet"/>
      </w:pPr>
      <w:r w:rsidRPr="00575A72">
        <w:t xml:space="preserve">Organ systems are often impacted by hormone medication. However, for those on puberty blockers, there is </w:t>
      </w:r>
      <w:r w:rsidR="26E8CF61" w:rsidRPr="00575A72">
        <w:t xml:space="preserve">currently </w:t>
      </w:r>
      <w:r w:rsidRPr="00575A72">
        <w:t xml:space="preserve">no evidence of impact on renal or liver function, the onset of diabetes, or fertility. </w:t>
      </w:r>
    </w:p>
    <w:p w14:paraId="7F169463" w14:textId="77777777" w:rsidR="00C66929" w:rsidRPr="00575A72" w:rsidRDefault="00C66929" w:rsidP="00575A72">
      <w:pPr>
        <w:pStyle w:val="Bullet"/>
      </w:pPr>
      <w:r w:rsidRPr="00575A72">
        <w:t>Whilst there are some studies that suggest an improvement in depression, anxiety, and suicidal ideation for individuals treated with puberty blockers, the quality of the evidence is poor.</w:t>
      </w:r>
    </w:p>
    <w:p w14:paraId="42EAD27B" w14:textId="77777777" w:rsidR="00C66929" w:rsidRDefault="00C66929" w:rsidP="00C66929"/>
    <w:p w14:paraId="204791A1" w14:textId="2E3656C3" w:rsidR="00C66929" w:rsidRDefault="00C66929" w:rsidP="00C66929">
      <w:r w:rsidRPr="00D12E5B">
        <w:t xml:space="preserve">Overall, the evidence brief found </w:t>
      </w:r>
      <w:r w:rsidR="6EC44239">
        <w:t>significant</w:t>
      </w:r>
      <w:r>
        <w:t xml:space="preserve"> limitations in the quality of</w:t>
      </w:r>
      <w:r w:rsidRPr="00D12E5B">
        <w:t xml:space="preserve"> evidence </w:t>
      </w:r>
      <w:r>
        <w:t>for</w:t>
      </w:r>
      <w:r w:rsidRPr="00D12E5B">
        <w:t xml:space="preserve"> either the benefits or risks (or lack thereof) of the use of puberty blockers.</w:t>
      </w:r>
      <w:r>
        <w:t xml:space="preserve"> </w:t>
      </w:r>
      <w:r w:rsidRPr="00D12E5B">
        <w:t xml:space="preserve">This means there is insufficient basis to say that puberty blockers are safe </w:t>
      </w:r>
      <w:r>
        <w:t xml:space="preserve">or reversible </w:t>
      </w:r>
      <w:r w:rsidRPr="00D12E5B">
        <w:t xml:space="preserve">(or not) for use </w:t>
      </w:r>
      <w:r>
        <w:t>as an intervention for</w:t>
      </w:r>
      <w:r w:rsidRPr="00D12E5B">
        <w:t xml:space="preserve"> gender dysphoria in adolescents.</w:t>
      </w:r>
    </w:p>
    <w:p w14:paraId="74AA841C" w14:textId="77777777" w:rsidR="00C66929" w:rsidRPr="00A36054" w:rsidRDefault="00C66929" w:rsidP="00C66929">
      <w:pPr>
        <w:pStyle w:val="Heading1"/>
        <w:numPr>
          <w:ilvl w:val="0"/>
          <w:numId w:val="0"/>
        </w:numPr>
        <w:ind w:left="567" w:hanging="567"/>
      </w:pPr>
      <w:r>
        <w:t xml:space="preserve">The </w:t>
      </w:r>
      <w:r w:rsidRPr="008F39A9">
        <w:t>Ministry</w:t>
      </w:r>
      <w:r>
        <w:t xml:space="preserve"> of Health</w:t>
      </w:r>
      <w:r w:rsidRPr="008F39A9">
        <w:t>’s position on the use of puberty blockers</w:t>
      </w:r>
    </w:p>
    <w:p w14:paraId="00491E99" w14:textId="0479B80E" w:rsidR="00736F8A" w:rsidRPr="000568F3" w:rsidRDefault="00F40D14" w:rsidP="00C66929">
      <w:pPr>
        <w:rPr>
          <w:rFonts w:cs="Segoe UI"/>
          <w:b/>
          <w:bCs/>
        </w:rPr>
      </w:pPr>
      <w:r w:rsidRPr="00F40D14">
        <w:rPr>
          <w:rFonts w:cs="Segoe UI"/>
          <w:b/>
          <w:bCs/>
        </w:rPr>
        <w:t xml:space="preserve">Noting that the Government has signalled an intent to </w:t>
      </w:r>
      <w:r w:rsidR="003549D7">
        <w:rPr>
          <w:rFonts w:cs="Segoe UI"/>
          <w:b/>
          <w:bCs/>
        </w:rPr>
        <w:t xml:space="preserve">consider </w:t>
      </w:r>
      <w:r w:rsidRPr="00F40D14">
        <w:rPr>
          <w:rFonts w:cs="Segoe UI"/>
          <w:b/>
          <w:bCs/>
        </w:rPr>
        <w:t>regulat</w:t>
      </w:r>
      <w:r w:rsidR="003549D7">
        <w:rPr>
          <w:rFonts w:cs="Segoe UI"/>
          <w:b/>
          <w:bCs/>
        </w:rPr>
        <w:t>ing</w:t>
      </w:r>
      <w:r w:rsidRPr="00F40D14">
        <w:rPr>
          <w:rFonts w:cs="Segoe UI"/>
          <w:b/>
          <w:bCs/>
        </w:rPr>
        <w:t xml:space="preserve"> puberty blocker prescribing in gender</w:t>
      </w:r>
      <w:r w:rsidR="00666818">
        <w:rPr>
          <w:rFonts w:cs="Segoe UI"/>
          <w:b/>
          <w:bCs/>
        </w:rPr>
        <w:t>-</w:t>
      </w:r>
      <w:r w:rsidRPr="00F40D14">
        <w:rPr>
          <w:rFonts w:cs="Segoe UI"/>
          <w:b/>
          <w:bCs/>
        </w:rPr>
        <w:t>affirming care, clinicians should exercise caution in prescribing. C</w:t>
      </w:r>
      <w:r w:rsidR="00736F8A" w:rsidRPr="00F40D14">
        <w:rPr>
          <w:rFonts w:cs="Segoe UI"/>
          <w:b/>
          <w:bCs/>
        </w:rPr>
        <w:t>linicians who initiate</w:t>
      </w:r>
      <w:r w:rsidR="00736F8A" w:rsidRPr="00F5102E">
        <w:rPr>
          <w:rFonts w:cs="Segoe UI"/>
          <w:b/>
          <w:bCs/>
        </w:rPr>
        <w:t xml:space="preserve"> puberty blockers should be experienced in providing gender</w:t>
      </w:r>
      <w:r w:rsidR="004D5889">
        <w:rPr>
          <w:rFonts w:cs="Segoe UI"/>
          <w:b/>
          <w:bCs/>
        </w:rPr>
        <w:t>-</w:t>
      </w:r>
      <w:r w:rsidR="00736F8A" w:rsidRPr="00F5102E">
        <w:rPr>
          <w:rFonts w:cs="Segoe UI"/>
          <w:b/>
          <w:bCs/>
        </w:rPr>
        <w:t>affirming care and be part of an interprofessional team offering a full range of supports to young people presenting with gender</w:t>
      </w:r>
      <w:r w:rsidR="000E2D6C">
        <w:rPr>
          <w:rFonts w:cs="Segoe UI"/>
          <w:b/>
          <w:bCs/>
        </w:rPr>
        <w:t>-</w:t>
      </w:r>
      <w:r w:rsidR="00736F8A" w:rsidRPr="00F5102E">
        <w:rPr>
          <w:rFonts w:cs="Segoe UI"/>
          <w:b/>
          <w:bCs/>
        </w:rPr>
        <w:t>related issues.</w:t>
      </w:r>
    </w:p>
    <w:p w14:paraId="11601695" w14:textId="77777777" w:rsidR="00736F8A" w:rsidRDefault="00736F8A" w:rsidP="00C66929"/>
    <w:p w14:paraId="4C9B0FF8" w14:textId="10F13A8E" w:rsidR="00C66929" w:rsidRDefault="00C66929" w:rsidP="00C66929">
      <w:r w:rsidRPr="001E3666">
        <w:t>The prescription of medication to delay the onset of puberty in young people is a complex issue. The Ministry of Health acknowledges that there are strong and varied views relating to the area of gender</w:t>
      </w:r>
      <w:r>
        <w:t>-</w:t>
      </w:r>
      <w:r w:rsidRPr="001E3666">
        <w:t>affirming healthcare</w:t>
      </w:r>
      <w:r w:rsidRPr="00686AF4">
        <w:t>. In relation to the use of puberty blockers, the Ministry is also aware of a range of experiences and views among young people who have lived experience of gender incongruence</w:t>
      </w:r>
      <w:r>
        <w:t xml:space="preserve"> or gender </w:t>
      </w:r>
      <w:r w:rsidRPr="00686AF4">
        <w:t>dysphoria.</w:t>
      </w:r>
      <w:r w:rsidRPr="00686AF4">
        <w:rPr>
          <w:rStyle w:val="FootnoteReference"/>
        </w:rPr>
        <w:footnoteReference w:id="9"/>
      </w:r>
    </w:p>
    <w:p w14:paraId="0F1AC7DD" w14:textId="77777777" w:rsidR="00C66929" w:rsidRPr="005210FB" w:rsidRDefault="00C66929" w:rsidP="00C66929"/>
    <w:p w14:paraId="73C08936" w14:textId="52C1C4FD" w:rsidR="00C66929" w:rsidRDefault="00C66929" w:rsidP="00C66929">
      <w:r w:rsidRPr="00686AF4">
        <w:t xml:space="preserve">It is the </w:t>
      </w:r>
      <w:r>
        <w:t xml:space="preserve">Ministry’s </w:t>
      </w:r>
      <w:r w:rsidRPr="00686AF4">
        <w:t xml:space="preserve">role to ensure everyone in New Zealand can access high quality health care that meets their needs. Young people who experience </w:t>
      </w:r>
      <w:r>
        <w:t>g</w:t>
      </w:r>
      <w:r w:rsidRPr="00686AF4">
        <w:t xml:space="preserve">ender incongruence or </w:t>
      </w:r>
      <w:r>
        <w:t xml:space="preserve">gender </w:t>
      </w:r>
      <w:r w:rsidRPr="00686AF4">
        <w:t xml:space="preserve">dysphoria have complex needs </w:t>
      </w:r>
      <w:r>
        <w:t xml:space="preserve">and </w:t>
      </w:r>
      <w:r w:rsidRPr="00686AF4">
        <w:t>requir</w:t>
      </w:r>
      <w:r>
        <w:t>e</w:t>
      </w:r>
      <w:r w:rsidRPr="00686AF4">
        <w:t xml:space="preserve"> a range of psychological and medical supports.</w:t>
      </w:r>
      <w:r w:rsidRPr="00686AF4">
        <w:rPr>
          <w:rStyle w:val="CommentReference"/>
        </w:rPr>
        <w:t xml:space="preserve"> </w:t>
      </w:r>
      <w:r w:rsidR="00D751BC">
        <w:rPr>
          <w:rStyle w:val="CommentReference"/>
          <w:sz w:val="21"/>
          <w:szCs w:val="21"/>
        </w:rPr>
        <w:t xml:space="preserve">In case where puberty blockers are prescribed </w:t>
      </w:r>
      <w:proofErr w:type="gramStart"/>
      <w:r w:rsidR="002F33F5">
        <w:rPr>
          <w:rStyle w:val="CommentReference"/>
          <w:sz w:val="21"/>
          <w:szCs w:val="21"/>
        </w:rPr>
        <w:t>patients</w:t>
      </w:r>
      <w:proofErr w:type="gramEnd"/>
      <w:r w:rsidR="002F33F5">
        <w:rPr>
          <w:rStyle w:val="CommentReference"/>
          <w:sz w:val="21"/>
          <w:szCs w:val="21"/>
        </w:rPr>
        <w:t xml:space="preserve"> and their care givers</w:t>
      </w:r>
      <w:r w:rsidR="00912396">
        <w:rPr>
          <w:rStyle w:val="CommentReference"/>
          <w:sz w:val="21"/>
          <w:szCs w:val="21"/>
        </w:rPr>
        <w:t xml:space="preserve"> must be</w:t>
      </w:r>
      <w:r w:rsidR="002F33F5">
        <w:rPr>
          <w:rStyle w:val="CommentReference"/>
          <w:sz w:val="21"/>
          <w:szCs w:val="21"/>
        </w:rPr>
        <w:t xml:space="preserve"> fully informed regarding the </w:t>
      </w:r>
      <w:r w:rsidR="00535209">
        <w:rPr>
          <w:rStyle w:val="CommentReference"/>
          <w:sz w:val="21"/>
          <w:szCs w:val="21"/>
        </w:rPr>
        <w:t>current</w:t>
      </w:r>
      <w:r w:rsidR="0012373A">
        <w:rPr>
          <w:rStyle w:val="CommentReference"/>
          <w:sz w:val="21"/>
          <w:szCs w:val="21"/>
        </w:rPr>
        <w:t xml:space="preserve"> state of the evidence regarding</w:t>
      </w:r>
      <w:r w:rsidR="004B5FD4">
        <w:rPr>
          <w:rStyle w:val="CommentReference"/>
          <w:sz w:val="21"/>
          <w:szCs w:val="21"/>
        </w:rPr>
        <w:t xml:space="preserve"> their benefits and risks</w:t>
      </w:r>
      <w:r w:rsidR="00151618">
        <w:rPr>
          <w:rStyle w:val="CommentReference"/>
          <w:sz w:val="21"/>
          <w:szCs w:val="21"/>
        </w:rPr>
        <w:t>.</w:t>
      </w:r>
    </w:p>
    <w:p w14:paraId="654CCDE7" w14:textId="77777777" w:rsidR="00C66929" w:rsidRDefault="00C66929" w:rsidP="00C66929"/>
    <w:p w14:paraId="3C5CE0F1" w14:textId="38853D74" w:rsidR="00C66929" w:rsidRDefault="004F168D" w:rsidP="00C66929">
      <w:r>
        <w:t>Given</w:t>
      </w:r>
      <w:r w:rsidR="00C66929">
        <w:t xml:space="preserve"> the limitations in the quality of the current evidence, there is a need for high-quality, longitudinal data </w:t>
      </w:r>
      <w:r w:rsidR="00C66929" w:rsidRPr="006D3104">
        <w:t xml:space="preserve">and </w:t>
      </w:r>
      <w:r w:rsidR="00C66929">
        <w:t xml:space="preserve">research to </w:t>
      </w:r>
      <w:r w:rsidR="00C66929" w:rsidRPr="006D3104">
        <w:t>understand</w:t>
      </w:r>
      <w:r w:rsidR="00C66929">
        <w:t xml:space="preserve"> </w:t>
      </w:r>
      <w:r w:rsidR="00C66929" w:rsidRPr="006D3104">
        <w:t xml:space="preserve">the </w:t>
      </w:r>
      <w:r w:rsidR="00C66929">
        <w:t>benefits and risks of puberty blockers when used for treatment of gender-incongruent and gender-dysphoric young people in New Zealand</w:t>
      </w:r>
      <w:r w:rsidR="00C66929" w:rsidRPr="006D3104">
        <w:t xml:space="preserve">. </w:t>
      </w:r>
    </w:p>
    <w:p w14:paraId="522E4EFF" w14:textId="77777777" w:rsidR="00C66929" w:rsidRPr="00462146" w:rsidRDefault="00C66929" w:rsidP="00C66929">
      <w:pPr>
        <w:pStyle w:val="Heading2"/>
      </w:pPr>
      <w:r w:rsidRPr="00462146">
        <w:t>Information for health professionals</w:t>
      </w:r>
    </w:p>
    <w:p w14:paraId="5599777C" w14:textId="338BC201" w:rsidR="00C66929" w:rsidRDefault="00D00A21" w:rsidP="00575A72">
      <w:r>
        <w:t>Under</w:t>
      </w:r>
      <w:r w:rsidR="006048C0">
        <w:t xml:space="preserve"> Right 6 of</w:t>
      </w:r>
      <w:r w:rsidR="00F313AF">
        <w:t xml:space="preserve"> </w:t>
      </w:r>
      <w:r w:rsidR="00370153">
        <w:t>the</w:t>
      </w:r>
      <w:r w:rsidR="000D35CC">
        <w:t xml:space="preserve"> </w:t>
      </w:r>
      <w:r w:rsidR="00865DD5" w:rsidRPr="00865DD5">
        <w:t>Code of Health and Disability Services Consumers' Rights Regulations 1996</w:t>
      </w:r>
      <w:r w:rsidR="00BE1A09">
        <w:rPr>
          <w:rStyle w:val="FootnoteReference"/>
        </w:rPr>
        <w:footnoteReference w:id="10"/>
      </w:r>
      <w:r w:rsidR="000D50C3">
        <w:t>, health professions</w:t>
      </w:r>
      <w:r w:rsidR="001C7E66">
        <w:t xml:space="preserve"> must ensure that people </w:t>
      </w:r>
      <w:r w:rsidR="00691424">
        <w:t>presenting with</w:t>
      </w:r>
      <w:r w:rsidR="00AC5304">
        <w:t xml:space="preserve"> any condition</w:t>
      </w:r>
      <w:r w:rsidR="00787F0C">
        <w:t xml:space="preserve"> are given </w:t>
      </w:r>
      <w:r w:rsidR="00E96D6B">
        <w:t>information</w:t>
      </w:r>
      <w:r w:rsidR="00E936FF">
        <w:t xml:space="preserve"> that explains the </w:t>
      </w:r>
      <w:r w:rsidR="001C3AAE">
        <w:t xml:space="preserve">options available to them including the </w:t>
      </w:r>
      <w:r w:rsidR="001F2F09">
        <w:t>expected risks, side effects and benefits</w:t>
      </w:r>
      <w:r w:rsidR="00BE4F84">
        <w:t xml:space="preserve"> of each option.</w:t>
      </w:r>
    </w:p>
    <w:p w14:paraId="42EB4BF0" w14:textId="77777777" w:rsidR="00C66929" w:rsidRDefault="00C66929" w:rsidP="00575A72"/>
    <w:p w14:paraId="7B89AAA2" w14:textId="7851EEFF" w:rsidR="00C66929" w:rsidRDefault="00C66929" w:rsidP="00575A72">
      <w:r>
        <w:t>Clinicians who initiate puberty blockers should be experienced in providing gender-affirming care and be part of an interprofessional team.</w:t>
      </w:r>
      <w:r w:rsidR="0059608B">
        <w:t xml:space="preserve"> </w:t>
      </w:r>
      <w:r w:rsidR="00E17BBD">
        <w:t>In their assessment, c</w:t>
      </w:r>
      <w:r w:rsidR="00E34537">
        <w:t>linicians</w:t>
      </w:r>
      <w:r w:rsidR="39F5E404">
        <w:t xml:space="preserve"> </w:t>
      </w:r>
      <w:r w:rsidR="0059608B">
        <w:t>need to consider</w:t>
      </w:r>
      <w:r w:rsidR="00BB0F55">
        <w:t xml:space="preserve"> </w:t>
      </w:r>
      <w:r w:rsidR="00C2196D">
        <w:t xml:space="preserve">the possible presence of </w:t>
      </w:r>
      <w:r w:rsidR="009B6121">
        <w:t>other associated</w:t>
      </w:r>
      <w:r w:rsidR="00FD5A8D">
        <w:t xml:space="preserve"> conditions.</w:t>
      </w:r>
      <w:r w:rsidR="0059608B">
        <w:t xml:space="preserve"> </w:t>
      </w:r>
      <w:r w:rsidR="00013173">
        <w:t>Young people who experience gender incongruence experience higher rates of anxiety, depression</w:t>
      </w:r>
      <w:r w:rsidR="007760BD">
        <w:t>,</w:t>
      </w:r>
      <w:r w:rsidR="00013173">
        <w:t xml:space="preserve"> and suicidal ideation. They should have timely access to therapeutic supports which meet their mental health needs. </w:t>
      </w:r>
    </w:p>
    <w:p w14:paraId="66A6F614" w14:textId="77777777" w:rsidR="00C66929" w:rsidRPr="00943DD8" w:rsidRDefault="00C66929" w:rsidP="00575A72"/>
    <w:p w14:paraId="7574AA02" w14:textId="5240D5F5" w:rsidR="00C66929" w:rsidRDefault="00DB305D" w:rsidP="00575A72">
      <w:r>
        <w:t>The</w:t>
      </w:r>
      <w:r w:rsidR="00A348AB">
        <w:t xml:space="preserve"> use of puberty blockers </w:t>
      </w:r>
      <w:r w:rsidR="00EA4843">
        <w:t>in gender-affirming care remains</w:t>
      </w:r>
      <w:r w:rsidR="008129F0">
        <w:t xml:space="preserve"> a relatively new area of medicine</w:t>
      </w:r>
      <w:r w:rsidR="00554382">
        <w:t>. A</w:t>
      </w:r>
      <w:r w:rsidR="00B64A93">
        <w:t xml:space="preserve">vailable evidence is </w:t>
      </w:r>
      <w:r w:rsidR="00A30789">
        <w:t xml:space="preserve">predominantly based on clinical experience and </w:t>
      </w:r>
      <w:r w:rsidR="003C693F">
        <w:t>patient values and preferences, rather than clinical trials.</w:t>
      </w:r>
      <w:r w:rsidR="00EA4843">
        <w:t xml:space="preserve"> </w:t>
      </w:r>
      <w:r w:rsidR="00C66929">
        <w:t xml:space="preserve">The Ministry </w:t>
      </w:r>
      <w:r w:rsidR="00626BB6">
        <w:t xml:space="preserve">of Health </w:t>
      </w:r>
      <w:r w:rsidR="00C66929">
        <w:t xml:space="preserve">expects healthcare professionals to ensure that clinical conversations about puberty blockers reflect the paucity of </w:t>
      </w:r>
      <w:r w:rsidR="00C827D4">
        <w:t>high-quality</w:t>
      </w:r>
      <w:r w:rsidR="00CA2E70">
        <w:t xml:space="preserve"> research</w:t>
      </w:r>
      <w:r w:rsidR="00933649">
        <w:t xml:space="preserve"> </w:t>
      </w:r>
      <w:r w:rsidR="00C66929">
        <w:t xml:space="preserve">evidence </w:t>
      </w:r>
      <w:r w:rsidR="00263AAC">
        <w:t xml:space="preserve">about </w:t>
      </w:r>
      <w:r w:rsidR="00C66929">
        <w:t>the benefits and risks</w:t>
      </w:r>
      <w:r w:rsidR="007E490F">
        <w:t xml:space="preserve"> of using these medicines</w:t>
      </w:r>
      <w:r w:rsidR="00C66929">
        <w:t>.</w:t>
      </w:r>
    </w:p>
    <w:p w14:paraId="17AB0724" w14:textId="5EBE8D51" w:rsidR="00C66929" w:rsidRPr="009839B9" w:rsidRDefault="00C66929" w:rsidP="00C66929">
      <w:pPr>
        <w:pStyle w:val="Heading2"/>
      </w:pPr>
      <w:r w:rsidRPr="009839B9">
        <w:t>Information for</w:t>
      </w:r>
      <w:r>
        <w:t xml:space="preserve"> </w:t>
      </w:r>
      <w:r w:rsidRPr="00686AF4">
        <w:t>young</w:t>
      </w:r>
      <w:r w:rsidRPr="009839B9">
        <w:t xml:space="preserve"> people </w:t>
      </w:r>
      <w:r w:rsidR="007E490F">
        <w:t xml:space="preserve">experiencing issues related to their identity </w:t>
      </w:r>
      <w:r w:rsidRPr="009839B9">
        <w:t xml:space="preserve">and </w:t>
      </w:r>
      <w:r w:rsidR="007E490F">
        <w:t>their family/</w:t>
      </w:r>
      <w:r w:rsidRPr="009839B9">
        <w:t>whānau</w:t>
      </w:r>
    </w:p>
    <w:p w14:paraId="173D9FA9" w14:textId="106877F6" w:rsidR="00C66929" w:rsidRDefault="00C66929" w:rsidP="00575A72">
      <w:r w:rsidRPr="00462146">
        <w:t>It is important to note that gender</w:t>
      </w:r>
      <w:r>
        <w:t>-</w:t>
      </w:r>
      <w:r w:rsidRPr="00462146">
        <w:t xml:space="preserve">affirming care is broader than just the prescription of </w:t>
      </w:r>
      <w:r>
        <w:t>puberty blockers.</w:t>
      </w:r>
      <w:r w:rsidRPr="00462146">
        <w:t xml:space="preserve"> </w:t>
      </w:r>
    </w:p>
    <w:p w14:paraId="339237E4" w14:textId="77777777" w:rsidR="00C66929" w:rsidRDefault="00C66929" w:rsidP="00575A72"/>
    <w:p w14:paraId="7D9E4B0C" w14:textId="3B5689F5" w:rsidR="00C66929" w:rsidRDefault="00B74440" w:rsidP="00575A72">
      <w:r>
        <w:t>Advice</w:t>
      </w:r>
      <w:r w:rsidR="00C66929" w:rsidRPr="00E26263">
        <w:t xml:space="preserve"> </w:t>
      </w:r>
      <w:r w:rsidR="00307979">
        <w:t>and support</w:t>
      </w:r>
      <w:r w:rsidR="00C66929" w:rsidRPr="00E26263">
        <w:t xml:space="preserve"> </w:t>
      </w:r>
      <w:r w:rsidR="000B4176">
        <w:t xml:space="preserve">are </w:t>
      </w:r>
      <w:r w:rsidR="00814BBE">
        <w:t xml:space="preserve">available </w:t>
      </w:r>
      <w:r w:rsidR="00C66929" w:rsidRPr="00E26263">
        <w:t xml:space="preserve">through </w:t>
      </w:r>
      <w:r w:rsidR="006E20AC">
        <w:t>primary care providers</w:t>
      </w:r>
      <w:r w:rsidR="00C8768E">
        <w:t xml:space="preserve"> including your</w:t>
      </w:r>
      <w:r w:rsidR="00C66929" w:rsidRPr="00E26263">
        <w:t xml:space="preserve"> general practi</w:t>
      </w:r>
      <w:r w:rsidR="00C66929">
        <w:t xml:space="preserve">ce </w:t>
      </w:r>
      <w:r w:rsidR="00C8768E">
        <w:t xml:space="preserve">and </w:t>
      </w:r>
      <w:r w:rsidR="00307979">
        <w:t>other community</w:t>
      </w:r>
      <w:r w:rsidR="00393928">
        <w:t>-</w:t>
      </w:r>
      <w:r w:rsidR="00C8768E">
        <w:t>based services.</w:t>
      </w:r>
      <w:r w:rsidR="00532FC3">
        <w:t xml:space="preserve"> A range of care options are available and</w:t>
      </w:r>
      <w:r w:rsidR="00B61D49">
        <w:t>,</w:t>
      </w:r>
      <w:r w:rsidR="00532FC3">
        <w:t xml:space="preserve"> </w:t>
      </w:r>
      <w:r w:rsidR="006425E2">
        <w:t>whe</w:t>
      </w:r>
      <w:r w:rsidR="00676A7E">
        <w:t>re</w:t>
      </w:r>
      <w:r w:rsidR="006425E2">
        <w:t xml:space="preserve"> appropriate</w:t>
      </w:r>
      <w:r w:rsidR="00662E49">
        <w:t>,</w:t>
      </w:r>
      <w:r w:rsidR="006425E2">
        <w:t xml:space="preserve"> </w:t>
      </w:r>
      <w:r w:rsidR="00B239D1">
        <w:t xml:space="preserve">primary care providers can make a </w:t>
      </w:r>
      <w:r w:rsidR="0084383D">
        <w:t xml:space="preserve">referral to specialist services. </w:t>
      </w:r>
      <w:r w:rsidR="001F394B">
        <w:t xml:space="preserve">It is important to have an individualised care plan </w:t>
      </w:r>
      <w:r w:rsidR="00EC1AB0">
        <w:t xml:space="preserve">that </w:t>
      </w:r>
      <w:r w:rsidR="00B37882">
        <w:t>meets your particular</w:t>
      </w:r>
      <w:r w:rsidR="00C9437C">
        <w:t xml:space="preserve"> needs.</w:t>
      </w:r>
    </w:p>
    <w:p w14:paraId="310C29BB" w14:textId="77777777" w:rsidR="00C66929" w:rsidRPr="00E26263" w:rsidRDefault="00C66929" w:rsidP="00575A72"/>
    <w:p w14:paraId="3CB212D5" w14:textId="729BE885" w:rsidR="00C66929" w:rsidRDefault="00C66929" w:rsidP="00575A72">
      <w:pPr>
        <w:rPr>
          <w:rStyle w:val="eop"/>
        </w:rPr>
      </w:pPr>
      <w:r>
        <w:rPr>
          <w:rStyle w:val="eop"/>
        </w:rPr>
        <w:t>N</w:t>
      </w:r>
      <w:r w:rsidRPr="0019240B">
        <w:rPr>
          <w:rStyle w:val="eop"/>
        </w:rPr>
        <w:t xml:space="preserve">o medical intervention is entirely without risk. </w:t>
      </w:r>
      <w:r>
        <w:rPr>
          <w:rStyle w:val="eop"/>
        </w:rPr>
        <w:t>Clinicians will continue to provide careful guidance to and follow-up for people and families considering gender-affirming care</w:t>
      </w:r>
      <w:r w:rsidR="00B77294">
        <w:rPr>
          <w:rStyle w:val="eop"/>
        </w:rPr>
        <w:t>.</w:t>
      </w:r>
    </w:p>
    <w:p w14:paraId="16893871" w14:textId="28A1662E" w:rsidR="00C66929" w:rsidRPr="008A3281" w:rsidRDefault="00C66929" w:rsidP="00C66929">
      <w:pPr>
        <w:pStyle w:val="Heading1"/>
        <w:numPr>
          <w:ilvl w:val="0"/>
          <w:numId w:val="0"/>
        </w:numPr>
        <w:ind w:left="567" w:hanging="567"/>
      </w:pPr>
      <w:r>
        <w:t>N</w:t>
      </w:r>
      <w:r w:rsidRPr="008A3281">
        <w:t>ext</w:t>
      </w:r>
      <w:r>
        <w:t xml:space="preserve"> steps</w:t>
      </w:r>
    </w:p>
    <w:p w14:paraId="6664D8C7" w14:textId="0C13D4B5" w:rsidR="00E74CB2" w:rsidRDefault="00EB4FF6" w:rsidP="004B7AB5">
      <w:pPr>
        <w:spacing w:after="120"/>
      </w:pPr>
      <w:r w:rsidDel="00223D55">
        <w:t xml:space="preserve">The Government has signalled an intention to </w:t>
      </w:r>
      <w:r w:rsidR="00DF3ECF">
        <w:t xml:space="preserve">consider </w:t>
      </w:r>
      <w:r>
        <w:t>regulat</w:t>
      </w:r>
      <w:r w:rsidR="00DF3ECF">
        <w:t>ing</w:t>
      </w:r>
      <w:r w:rsidDel="00223D55">
        <w:t xml:space="preserve"> the prescribing of puberty blockers in gender</w:t>
      </w:r>
      <w:r w:rsidR="00666818">
        <w:t>-</w:t>
      </w:r>
      <w:r w:rsidDel="00223D55">
        <w:t xml:space="preserve">affirming </w:t>
      </w:r>
      <w:r w:rsidR="00C71CC6" w:rsidDel="00223D55">
        <w:t>care</w:t>
      </w:r>
      <w:r w:rsidR="00174E02" w:rsidDel="00223D55">
        <w:t xml:space="preserve">. </w:t>
      </w:r>
      <w:r w:rsidR="004B7AB5" w:rsidRPr="004B7AB5">
        <w:t xml:space="preserve">The Ministry </w:t>
      </w:r>
      <w:r w:rsidR="00637338">
        <w:t xml:space="preserve">of Health </w:t>
      </w:r>
      <w:r w:rsidR="004B7AB5" w:rsidRPr="004B7AB5">
        <w:t xml:space="preserve">will continue to assess the emerging evidence on the </w:t>
      </w:r>
      <w:r w:rsidR="004B7AB5" w:rsidRPr="004B7AB5">
        <w:rPr>
          <w:rStyle w:val="eop"/>
        </w:rPr>
        <w:t>safety and long-term impacts</w:t>
      </w:r>
      <w:r w:rsidR="004B7AB5" w:rsidRPr="004B7AB5">
        <w:t xml:space="preserve"> of puberty blockers in gender</w:t>
      </w:r>
      <w:r w:rsidR="009B3677">
        <w:t>-</w:t>
      </w:r>
      <w:r w:rsidR="004B7AB5" w:rsidRPr="004B7AB5">
        <w:t>affirming care</w:t>
      </w:r>
      <w:r w:rsidR="00CB5A0C">
        <w:t xml:space="preserve">, and </w:t>
      </w:r>
      <w:r w:rsidR="002E768A">
        <w:t xml:space="preserve">will </w:t>
      </w:r>
      <w:r w:rsidR="004B7AB5" w:rsidRPr="004B7AB5">
        <w:t>provide updates to this position statement as necessary.</w:t>
      </w:r>
    </w:p>
    <w:p w14:paraId="29471055" w14:textId="58575255" w:rsidR="00C66929" w:rsidRPr="00230148" w:rsidRDefault="00C66929" w:rsidP="00575A72">
      <w:r w:rsidRPr="00230148">
        <w:t>Young people experiencing gender incongruence or gender dysphoria should have access to comprehensive quality care. To that end the Ministry of Health:</w:t>
      </w:r>
    </w:p>
    <w:p w14:paraId="253C7508" w14:textId="51463332" w:rsidR="00304C3F" w:rsidRPr="00575A72" w:rsidRDefault="004D1A5A" w:rsidP="00575A72">
      <w:pPr>
        <w:pStyle w:val="Bullet"/>
      </w:pPr>
      <w:r w:rsidRPr="00575A72">
        <w:t>w</w:t>
      </w:r>
      <w:r w:rsidR="00817CD1" w:rsidRPr="00575A72">
        <w:t xml:space="preserve">ill work with Health New Zealand – </w:t>
      </w:r>
      <w:proofErr w:type="spellStart"/>
      <w:r w:rsidR="00817CD1" w:rsidRPr="00575A72">
        <w:t>Te</w:t>
      </w:r>
      <w:proofErr w:type="spellEnd"/>
      <w:r w:rsidR="00817CD1" w:rsidRPr="00575A72">
        <w:t xml:space="preserve"> </w:t>
      </w:r>
      <w:proofErr w:type="spellStart"/>
      <w:r w:rsidR="00817CD1" w:rsidRPr="00575A72">
        <w:t>Whatu</w:t>
      </w:r>
      <w:proofErr w:type="spellEnd"/>
      <w:r w:rsidR="00817CD1" w:rsidRPr="00575A72">
        <w:t xml:space="preserve"> Ora </w:t>
      </w:r>
      <w:r w:rsidR="005E68CF" w:rsidRPr="00575A72">
        <w:t xml:space="preserve">to </w:t>
      </w:r>
      <w:r w:rsidR="00817CD1" w:rsidRPr="00575A72">
        <w:t>enhance</w:t>
      </w:r>
      <w:r w:rsidR="00304C3F" w:rsidRPr="00575A72">
        <w:t xml:space="preserve"> </w:t>
      </w:r>
      <w:r w:rsidR="000D296A" w:rsidRPr="00575A72">
        <w:t>governance and monitoring</w:t>
      </w:r>
      <w:r w:rsidR="00274F79" w:rsidRPr="00575A72">
        <w:t xml:space="preserve"> of </w:t>
      </w:r>
      <w:r w:rsidR="00B16FDA" w:rsidRPr="00575A72">
        <w:t xml:space="preserve">gender-affirming </w:t>
      </w:r>
      <w:r w:rsidR="00023C7D" w:rsidRPr="00575A72">
        <w:t>care</w:t>
      </w:r>
      <w:r w:rsidR="00817CD1" w:rsidRPr="00575A72">
        <w:t xml:space="preserve"> </w:t>
      </w:r>
      <w:r w:rsidRPr="00575A72">
        <w:t xml:space="preserve">to ensure the safe and evidence-based delivery of gender-affirming </w:t>
      </w:r>
      <w:r w:rsidRPr="00575A72" w:rsidDel="00327CF3">
        <w:t>care</w:t>
      </w:r>
    </w:p>
    <w:p w14:paraId="364BBC52" w14:textId="208874C5" w:rsidR="005E68CF" w:rsidRPr="00575A72" w:rsidRDefault="006209A8" w:rsidP="00575A72">
      <w:pPr>
        <w:pStyle w:val="Bullet"/>
      </w:pPr>
      <w:r w:rsidRPr="00575A72">
        <w:t xml:space="preserve">will </w:t>
      </w:r>
      <w:r w:rsidR="00E73928" w:rsidRPr="00575A72">
        <w:t xml:space="preserve">continue to monitor emerging evidence in the field of gender-affirming care and review the international context in relation to the use of puberty blockers </w:t>
      </w:r>
    </w:p>
    <w:p w14:paraId="1EED2C54" w14:textId="6B1D6C08" w:rsidR="005E68CF" w:rsidRPr="00575A72" w:rsidRDefault="00C66929" w:rsidP="00575A72">
      <w:pPr>
        <w:pStyle w:val="Bullet"/>
      </w:pPr>
      <w:r w:rsidRPr="00575A72">
        <w:t xml:space="preserve">will commission New Zealand research to determine the long-term clinical and mental health and wellbeing impacts of puberty blockers in young people with gender incongruence or gender dysphoria </w:t>
      </w:r>
    </w:p>
    <w:p w14:paraId="1175ACD5" w14:textId="10ACF09E" w:rsidR="00C66929" w:rsidRPr="00575A72" w:rsidRDefault="005E623E" w:rsidP="00575A72">
      <w:pPr>
        <w:pStyle w:val="Bullet"/>
      </w:pPr>
      <w:r w:rsidRPr="00575A72">
        <w:t>has established an external advisory group to consider system wide issues and provide advice relating to gender</w:t>
      </w:r>
      <w:r w:rsidR="001D1692" w:rsidRPr="00575A72">
        <w:t>-</w:t>
      </w:r>
      <w:r w:rsidRPr="00575A72">
        <w:t>affirming care</w:t>
      </w:r>
      <w:r w:rsidR="004A6A2B" w:rsidRPr="00575A72">
        <w:t xml:space="preserve">. </w:t>
      </w:r>
    </w:p>
    <w:p w14:paraId="042E6486" w14:textId="77777777" w:rsidR="00C66929" w:rsidRDefault="00C66929" w:rsidP="00575A72"/>
    <w:p w14:paraId="44339D8B" w14:textId="41A7659D" w:rsidR="00A16714" w:rsidRDefault="00A16714" w:rsidP="00575A72">
      <w:r w:rsidRPr="005C63B5">
        <w:t>Health New Zealand is currently developing an updated set of guidance to support clinicians providing gender-affirming care, including the use of puberty blockers. The evidence brief will be available to inform those guidelines</w:t>
      </w:r>
      <w:r w:rsidR="00286653">
        <w:t>.</w:t>
      </w:r>
    </w:p>
    <w:p w14:paraId="3D31D692" w14:textId="77777777" w:rsidR="00A16714" w:rsidRDefault="00A16714" w:rsidP="00575A72"/>
    <w:p w14:paraId="5963F41A" w14:textId="2436047B" w:rsidR="00C66929" w:rsidRDefault="00C66929" w:rsidP="00575A72">
      <w:r w:rsidRPr="00A3597B">
        <w:t xml:space="preserve">The Ministry </w:t>
      </w:r>
      <w:r w:rsidR="00DF4A3B">
        <w:t xml:space="preserve">of Health </w:t>
      </w:r>
      <w:r w:rsidRPr="00A3597B">
        <w:t xml:space="preserve">will work closely with Health New Zealand and other partners to ensure young people experiencing gender incongruence or gender dysphoria have access to care which meets their physical and mental health needs and upholds their holistic range of rights as young people. </w:t>
      </w:r>
    </w:p>
    <w:p w14:paraId="234B802A" w14:textId="77777777" w:rsidR="00C66929" w:rsidRPr="00C66929" w:rsidRDefault="00C66929" w:rsidP="00C66929"/>
    <w:p w14:paraId="53D0E226" w14:textId="77777777" w:rsidR="00783D9C" w:rsidRPr="00DD748F" w:rsidRDefault="00783D9C" w:rsidP="00A401D7"/>
    <w:p w14:paraId="0F80B528" w14:textId="77777777"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12CD39CC" wp14:editId="4CD26239">
            <wp:extent cx="1346835" cy="546014"/>
            <wp:effectExtent l="0" t="0" r="5715" b="698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46835" cy="546014"/>
                    </a:xfrm>
                    <a:prstGeom prst="rect">
                      <a:avLst/>
                    </a:prstGeom>
                    <a:noFill/>
                    <a:ln>
                      <a:noFill/>
                    </a:ln>
                  </pic:spPr>
                </pic:pic>
              </a:graphicData>
            </a:graphic>
          </wp:inline>
        </w:drawing>
      </w:r>
    </w:p>
    <w:p w14:paraId="57B281D7" w14:textId="5528987E" w:rsidR="00EB461E" w:rsidRDefault="00C83A82" w:rsidP="002233D8">
      <w:pPr>
        <w:spacing w:before="240"/>
        <w:jc w:val="center"/>
        <w:rPr>
          <w:lang w:eastAsia="en-NZ"/>
        </w:rPr>
      </w:pPr>
      <w:r>
        <w:t>November</w:t>
      </w:r>
      <w:r w:rsidR="00F52F4B">
        <w:t xml:space="preserve"> </w:t>
      </w:r>
      <w:r w:rsidR="00C66929">
        <w:t>2024</w:t>
      </w:r>
      <w:r w:rsidR="00C34608" w:rsidRPr="00DD748F">
        <w:br/>
      </w:r>
      <w:r w:rsidR="00EB461E" w:rsidRPr="00DD748F">
        <w:rPr>
          <w:lang w:eastAsia="en-NZ"/>
        </w:rPr>
        <w:t>HP</w:t>
      </w:r>
      <w:r w:rsidR="004C0C07">
        <w:rPr>
          <w:lang w:eastAsia="en-NZ"/>
        </w:rPr>
        <w:t xml:space="preserve"> </w:t>
      </w:r>
      <w:r w:rsidR="005940EA">
        <w:rPr>
          <w:lang w:eastAsia="en-NZ"/>
        </w:rPr>
        <w:t>9068</w:t>
      </w:r>
    </w:p>
    <w:p w14:paraId="762C0BCA" w14:textId="77777777" w:rsidR="00660619" w:rsidRDefault="00660619" w:rsidP="00660619">
      <w:pPr>
        <w:rPr>
          <w:lang w:eastAsia="en-NZ"/>
        </w:rPr>
      </w:pPr>
    </w:p>
    <w:sectPr w:rsidR="00660619" w:rsidSect="000E4E05">
      <w:footerReference w:type="even" r:id="rId13"/>
      <w:footerReference w:type="default" r:id="rId14"/>
      <w:headerReference w:type="first" r:id="rId15"/>
      <w:footerReference w:type="first" r:id="rId16"/>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4080" w14:textId="77777777" w:rsidR="00B92C29" w:rsidRDefault="00B92C29">
      <w:r>
        <w:separator/>
      </w:r>
    </w:p>
  </w:endnote>
  <w:endnote w:type="continuationSeparator" w:id="0">
    <w:p w14:paraId="75E3EE95" w14:textId="77777777" w:rsidR="00B92C29" w:rsidRDefault="00B92C29">
      <w:r>
        <w:continuationSeparator/>
      </w:r>
    </w:p>
  </w:endnote>
  <w:endnote w:type="continuationNotice" w:id="1">
    <w:p w14:paraId="1CEDBDD2" w14:textId="77777777" w:rsidR="00B92C29" w:rsidRDefault="00B92C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1406B5A8" w:rsidR="00525FFB" w:rsidRDefault="00C66929" w:rsidP="00525FFB">
          <w:pPr>
            <w:pStyle w:val="RectoFooter"/>
            <w:jc w:val="left"/>
          </w:pPr>
          <w:r>
            <w:t>Position Statement on the Use of Puberty Blockers in Gender-Affirming Care</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1CF89831" w:rsidR="00525FFB" w:rsidRDefault="00C66929" w:rsidP="00C66929">
          <w:pPr>
            <w:pStyle w:val="RectoFooter"/>
          </w:pPr>
          <w:r>
            <w:t>Position Statement on the Use of Puberty Blockers in Gender-Affirming Care</w:t>
          </w:r>
        </w:p>
      </w:tc>
      <w:tc>
        <w:tcPr>
          <w:tcW w:w="709" w:type="dxa"/>
          <w:vAlign w:val="center"/>
        </w:tcPr>
        <w:p w14:paraId="0A1C0C1A" w14:textId="77777777" w:rsidR="00525FFB" w:rsidRPr="00525FFB" w:rsidRDefault="00525FF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trPr>
        <w:cantSplit/>
      </w:trPr>
      <w:tc>
        <w:tcPr>
          <w:tcW w:w="8647" w:type="dxa"/>
          <w:vAlign w:val="center"/>
        </w:tcPr>
        <w:p w14:paraId="0A280F73" w14:textId="33B95363" w:rsidR="00113C1B" w:rsidRDefault="008935DC">
          <w:pPr>
            <w:pStyle w:val="RectoFooter"/>
          </w:pPr>
          <w:r w:rsidRPr="008935DC">
            <w:t>POSITION STATEMENT ON THE USE OF PUBERTY BLOCKERS IN GENDER-AFFIRMING CARE</w:t>
          </w:r>
        </w:p>
      </w:tc>
      <w:tc>
        <w:tcPr>
          <w:tcW w:w="709" w:type="dxa"/>
          <w:vAlign w:val="center"/>
        </w:tcPr>
        <w:p w14:paraId="3DE55418" w14:textId="77777777" w:rsidR="00113C1B" w:rsidRPr="00525FFB" w:rsidRDefault="00113C1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A19A" w14:textId="77777777" w:rsidR="00B92C29" w:rsidRPr="00680D2D" w:rsidRDefault="00B92C29" w:rsidP="00680D2D">
      <w:pPr>
        <w:pStyle w:val="Footer"/>
      </w:pPr>
    </w:p>
  </w:footnote>
  <w:footnote w:type="continuationSeparator" w:id="0">
    <w:p w14:paraId="13866444" w14:textId="77777777" w:rsidR="00B92C29" w:rsidRDefault="00B92C29">
      <w:r>
        <w:continuationSeparator/>
      </w:r>
    </w:p>
  </w:footnote>
  <w:footnote w:type="continuationNotice" w:id="1">
    <w:p w14:paraId="0304D253" w14:textId="77777777" w:rsidR="00B92C29" w:rsidRDefault="00B92C29">
      <w:pPr>
        <w:spacing w:line="240" w:lineRule="auto"/>
      </w:pPr>
    </w:p>
  </w:footnote>
  <w:footnote w:id="2">
    <w:p w14:paraId="5B7FBA8D" w14:textId="3A41C96F" w:rsidR="002A3058" w:rsidRPr="00464A1C" w:rsidRDefault="002A3058" w:rsidP="002A3058">
      <w:pPr>
        <w:pStyle w:val="FootnoteText"/>
        <w:spacing w:before="0"/>
        <w:rPr>
          <w:sz w:val="18"/>
          <w:szCs w:val="18"/>
        </w:rPr>
      </w:pPr>
      <w:r w:rsidRPr="00464A1C">
        <w:rPr>
          <w:rStyle w:val="FootnoteReference"/>
          <w:sz w:val="18"/>
          <w:szCs w:val="18"/>
        </w:rPr>
        <w:footnoteRef/>
      </w:r>
      <w:r>
        <w:rPr>
          <w:sz w:val="18"/>
          <w:szCs w:val="18"/>
        </w:rPr>
        <w:t xml:space="preserve"> </w:t>
      </w:r>
      <w:r w:rsidRPr="00C66929">
        <w:t>Gender-affirmative health care can include any single or combination of a number of social, psychological, behavioural</w:t>
      </w:r>
      <w:r w:rsidR="00EA5B23">
        <w:t>,</w:t>
      </w:r>
      <w:r w:rsidRPr="00C66929">
        <w:t xml:space="preserve"> or medical (including hormonal treatment or surgery) interventions designed to support and affirm an individual’s gender identity. Source:</w:t>
      </w:r>
      <w:r>
        <w:t xml:space="preserve"> </w:t>
      </w:r>
      <w:r w:rsidR="00A87AD8">
        <w:t>W</w:t>
      </w:r>
      <w:r w:rsidR="0009437A">
        <w:t xml:space="preserve">orld Health Organisation. n.d. </w:t>
      </w:r>
      <w:r w:rsidRPr="00C66929">
        <w:rPr>
          <w:i/>
          <w:iCs/>
        </w:rPr>
        <w:t>Gender Incongruence and Transgender Health in the ICD</w:t>
      </w:r>
      <w:r w:rsidRPr="00C66929">
        <w:t xml:space="preserve">. URL: </w:t>
      </w:r>
      <w:hyperlink r:id="rId1" w:history="1">
        <w:r w:rsidRPr="00C66929">
          <w:rPr>
            <w:b/>
            <w:bCs/>
            <w:color w:val="404040" w:themeColor="text1" w:themeTint="BF"/>
          </w:rPr>
          <w:t>www.who.int/standards/classifications/frequently-asked-questions/gender-incongruence-and-transgender-health-in-the-icd</w:t>
        </w:r>
      </w:hyperlink>
      <w:r w:rsidRPr="00C66929">
        <w:t xml:space="preserve"> (accessed 22 April 2024).</w:t>
      </w:r>
    </w:p>
  </w:footnote>
  <w:footnote w:id="3">
    <w:p w14:paraId="63116977" w14:textId="3460FEBE" w:rsidR="00C66929" w:rsidRPr="00D43CBE" w:rsidRDefault="00C66929" w:rsidP="00C66929">
      <w:pPr>
        <w:pStyle w:val="FootnoteText"/>
        <w:rPr>
          <w:sz w:val="18"/>
          <w:szCs w:val="18"/>
        </w:rPr>
      </w:pPr>
      <w:r w:rsidRPr="00D43CBE">
        <w:rPr>
          <w:rStyle w:val="FootnoteReference"/>
          <w:sz w:val="18"/>
          <w:szCs w:val="18"/>
        </w:rPr>
        <w:footnoteRef/>
      </w:r>
      <w:r w:rsidRPr="00D43CBE">
        <w:rPr>
          <w:sz w:val="18"/>
          <w:szCs w:val="18"/>
        </w:rPr>
        <w:t xml:space="preserve"> </w:t>
      </w:r>
      <w:r w:rsidRPr="00C66929">
        <w:t xml:space="preserve">Precocious puberty is defined as the development of pubertal changes, at an age younger than the accepted lower limits for age of onset of puberty, namely, before age 8 years in girls and age 9 years in boys. Source: </w:t>
      </w:r>
      <w:r w:rsidR="0042290F">
        <w:t>Cleveland Clinic. 2023.</w:t>
      </w:r>
      <w:r w:rsidRPr="00C66929">
        <w:t xml:space="preserve"> </w:t>
      </w:r>
      <w:r w:rsidRPr="00C66929">
        <w:rPr>
          <w:i/>
          <w:iCs/>
        </w:rPr>
        <w:t>Precocious Puberty/Early Puberty</w:t>
      </w:r>
      <w:r w:rsidRPr="00C66929">
        <w:t xml:space="preserve">. URL: </w:t>
      </w:r>
      <w:hyperlink r:id="rId2" w:history="1">
        <w:r w:rsidRPr="00C66929">
          <w:rPr>
            <w:b/>
            <w:bCs/>
            <w:color w:val="404040" w:themeColor="text1" w:themeTint="BF"/>
          </w:rPr>
          <w:t>my.clevelandclinic.org/health/diseases/21064-precocious-early-puberty</w:t>
        </w:r>
      </w:hyperlink>
      <w:r w:rsidRPr="00C66929">
        <w:t xml:space="preserve"> (accessed 22 April 2024).</w:t>
      </w:r>
    </w:p>
  </w:footnote>
  <w:footnote w:id="4">
    <w:p w14:paraId="2E07D39F" w14:textId="77777777" w:rsidR="00C66929" w:rsidRPr="00DF12CF" w:rsidRDefault="00C66929" w:rsidP="00C66929">
      <w:pPr>
        <w:pStyle w:val="FootnoteText"/>
        <w:spacing w:before="0"/>
        <w:rPr>
          <w:sz w:val="18"/>
          <w:szCs w:val="18"/>
        </w:rPr>
      </w:pPr>
      <w:r>
        <w:rPr>
          <w:rStyle w:val="FootnoteReference"/>
        </w:rPr>
        <w:footnoteRef/>
      </w:r>
      <w:r>
        <w:t xml:space="preserve"> </w:t>
      </w:r>
      <w:r w:rsidRPr="00C66929">
        <w:t>Section 25 of the Medicines Act allows an authorised prescriber to ’procure the sale or supply of any medicine’ for a patient in their care. This means that prescribers may prescribe any medicine to a patient (within their scope of practice), regardless of whether it is approved or unapproved in New Zealand.</w:t>
      </w:r>
    </w:p>
  </w:footnote>
  <w:footnote w:id="5">
    <w:p w14:paraId="771B07F6" w14:textId="2DD0E746" w:rsidR="0086144A" w:rsidRDefault="0086144A">
      <w:pPr>
        <w:pStyle w:val="FootnoteText"/>
      </w:pPr>
      <w:r>
        <w:rPr>
          <w:rStyle w:val="FootnoteReference"/>
        </w:rPr>
        <w:footnoteRef/>
      </w:r>
      <w:r>
        <w:t xml:space="preserve"> </w:t>
      </w:r>
      <w:r w:rsidRPr="0086144A">
        <w:t xml:space="preserve">An unapproved medicine is a medicine for which consent, or provisional consent, has not been given by the Minister of Health for sale, distribution or marketing in New Zealand, i.e. it has not been through the </w:t>
      </w:r>
      <w:proofErr w:type="spellStart"/>
      <w:r w:rsidRPr="0086144A">
        <w:t>Medsafe</w:t>
      </w:r>
      <w:proofErr w:type="spellEnd"/>
      <w:r w:rsidRPr="0086144A">
        <w:t xml:space="preserve"> regulatory process, approval has lapsed, the application was withdrawn or the product available is different in some way to the product that was approved. Unapproved medicines may still be prescribed to patients.</w:t>
      </w:r>
    </w:p>
  </w:footnote>
  <w:footnote w:id="6">
    <w:p w14:paraId="044170FB" w14:textId="08E9239B" w:rsidR="00517529" w:rsidRPr="00575A72" w:rsidRDefault="00517529" w:rsidP="00575A72">
      <w:pPr>
        <w:pStyle w:val="FootnoteText"/>
        <w:rPr>
          <w:u w:val="single"/>
        </w:rPr>
      </w:pPr>
      <w:r>
        <w:rPr>
          <w:rStyle w:val="FootnoteReference"/>
        </w:rPr>
        <w:footnoteRef/>
      </w:r>
      <w:r>
        <w:t xml:space="preserve"> </w:t>
      </w:r>
      <w:r w:rsidR="00D02AC4" w:rsidRPr="00575A72">
        <w:t xml:space="preserve">Oliphant J, Veale J, Macdonald J et al. 2018. </w:t>
      </w:r>
      <w:r w:rsidRPr="00575A72">
        <w:rPr>
          <w:i/>
          <w:iCs/>
        </w:rPr>
        <w:t>Guidelines for Gender Affirming Healthcare</w:t>
      </w:r>
      <w:r w:rsidR="00D02AC4" w:rsidRPr="00575A72">
        <w:rPr>
          <w:i/>
          <w:iCs/>
        </w:rPr>
        <w:t xml:space="preserve"> for Gender Diverse and Transgender Children, Young People and Adults in Aotearoa</w:t>
      </w:r>
      <w:r w:rsidRPr="00575A72">
        <w:rPr>
          <w:i/>
          <w:iCs/>
        </w:rPr>
        <w:t xml:space="preserve"> New Zealand</w:t>
      </w:r>
      <w:r w:rsidR="00D72B8B" w:rsidRPr="00575A72">
        <w:t xml:space="preserve">. </w:t>
      </w:r>
      <w:r w:rsidR="00F46A56" w:rsidRPr="00575A72">
        <w:t xml:space="preserve">Transgender Research Lab: University of Waikato, URL: </w:t>
      </w:r>
      <w:hyperlink r:id="rId3" w:history="1">
        <w:r w:rsidR="00FD542D" w:rsidRPr="00575A72">
          <w:rPr>
            <w:rStyle w:val="Hyperlink"/>
            <w:b/>
            <w:bCs/>
            <w:color w:val="404040" w:themeColor="text1" w:themeTint="BF"/>
          </w:rPr>
          <w:t>patha.nz/Guidelines</w:t>
        </w:r>
      </w:hyperlink>
      <w:r w:rsidR="00FD542D" w:rsidRPr="00575A72">
        <w:t xml:space="preserve"> (accessed </w:t>
      </w:r>
      <w:r w:rsidR="00070AD8" w:rsidRPr="00575A72">
        <w:t>1 November</w:t>
      </w:r>
      <w:r w:rsidR="00FD542D" w:rsidRPr="00575A72">
        <w:t xml:space="preserve"> 2024)</w:t>
      </w:r>
      <w:r w:rsidR="00070AD8" w:rsidRPr="00575A72">
        <w:t>.</w:t>
      </w:r>
    </w:p>
  </w:footnote>
  <w:footnote w:id="7">
    <w:p w14:paraId="7D4E48FC" w14:textId="2FDECD1F" w:rsidR="00C66929" w:rsidRPr="00DF12CF" w:rsidRDefault="00C66929" w:rsidP="00C66929">
      <w:pPr>
        <w:pStyle w:val="FootnoteText"/>
        <w:spacing w:before="0"/>
      </w:pPr>
      <w:r>
        <w:rPr>
          <w:rStyle w:val="FootnoteReference"/>
        </w:rPr>
        <w:footnoteRef/>
      </w:r>
      <w:r>
        <w:rPr>
          <w:rFonts w:eastAsiaTheme="minorHAnsi"/>
        </w:rPr>
        <w:t xml:space="preserve"> </w:t>
      </w:r>
      <w:r w:rsidRPr="00C66929">
        <w:rPr>
          <w:rFonts w:eastAsiaTheme="minorHAnsi"/>
        </w:rPr>
        <w:t xml:space="preserve">Cass H. 2024. </w:t>
      </w:r>
      <w:r w:rsidRPr="00C66929">
        <w:rPr>
          <w:rFonts w:eastAsiaTheme="minorHAnsi"/>
          <w:i/>
          <w:iCs/>
        </w:rPr>
        <w:t>The Cass Review: Independent review of gender identity services for children and young people: Final report.</w:t>
      </w:r>
      <w:r w:rsidRPr="00C66929">
        <w:rPr>
          <w:rFonts w:eastAsiaTheme="minorHAnsi"/>
        </w:rPr>
        <w:t xml:space="preserve"> URL: </w:t>
      </w:r>
      <w:hyperlink r:id="rId4" w:history="1">
        <w:r w:rsidRPr="00C66929">
          <w:rPr>
            <w:rStyle w:val="Hyperlink"/>
            <w:rFonts w:eastAsiaTheme="minorHAnsi"/>
            <w:b/>
            <w:bCs/>
            <w:color w:val="404040" w:themeColor="text1" w:themeTint="BF"/>
          </w:rPr>
          <w:t>cass.independent-review.uk/home/publications/final-report</w:t>
        </w:r>
      </w:hyperlink>
      <w:r>
        <w:rPr>
          <w:lang w:eastAsia="x-none"/>
        </w:rPr>
        <w:t xml:space="preserve"> </w:t>
      </w:r>
      <w:r w:rsidRPr="00C66929">
        <w:rPr>
          <w:rFonts w:eastAsiaTheme="minorHAnsi"/>
        </w:rPr>
        <w:t>(accessed 12 April 2024).</w:t>
      </w:r>
    </w:p>
  </w:footnote>
  <w:footnote w:id="8">
    <w:p w14:paraId="3F52DDAA" w14:textId="77777777" w:rsidR="00C66929" w:rsidRPr="00DF12CF" w:rsidRDefault="00C66929" w:rsidP="00C66929">
      <w:pPr>
        <w:pStyle w:val="FootnoteText"/>
        <w:rPr>
          <w:rFonts w:ascii="Segoe UI Semibold" w:eastAsiaTheme="minorHAnsi" w:hAnsi="Segoe UI Semibold" w:cstheme="minorBidi"/>
          <w:sz w:val="18"/>
          <w:szCs w:val="16"/>
          <w:lang w:eastAsia="x-none"/>
        </w:rPr>
      </w:pPr>
      <w:r w:rsidRPr="00DF12CF">
        <w:rPr>
          <w:rStyle w:val="FootnoteReference"/>
        </w:rPr>
        <w:footnoteRef/>
      </w:r>
      <w:r w:rsidRPr="00DF12CF">
        <w:t xml:space="preserve"> </w:t>
      </w:r>
      <w:r w:rsidRPr="00407C35">
        <w:rPr>
          <w:i/>
          <w:iCs/>
        </w:rPr>
        <w:t>Gender dysphoria in children and adolescents: an inventory of the literature.</w:t>
      </w:r>
      <w:r>
        <w:t xml:space="preserve"> 2019. URL: </w:t>
      </w:r>
      <w:hyperlink r:id="rId5" w:history="1">
        <w:r w:rsidRPr="00575A72">
          <w:rPr>
            <w:rStyle w:val="Hyperlink"/>
            <w:rFonts w:eastAsiaTheme="minorHAnsi"/>
            <w:b/>
            <w:bCs/>
            <w:color w:val="404040" w:themeColor="text1" w:themeTint="BF"/>
            <w:szCs w:val="17"/>
            <w:lang w:eastAsia="x-none"/>
          </w:rPr>
          <w:t>www.sbu.se/en/publications/sbu-bereder/gender-dysphoria-in-children-and-adolescents-an-inventory-of-the-literatur</w:t>
        </w:r>
        <w:r w:rsidRPr="00C66929">
          <w:rPr>
            <w:rStyle w:val="Hyperlink"/>
            <w:rFonts w:eastAsiaTheme="minorHAnsi"/>
            <w:b/>
            <w:bCs/>
            <w:color w:val="404040" w:themeColor="text1" w:themeTint="BF"/>
            <w:sz w:val="18"/>
            <w:szCs w:val="16"/>
            <w:lang w:eastAsia="x-none"/>
          </w:rPr>
          <w:t>e</w:t>
        </w:r>
      </w:hyperlink>
      <w:r>
        <w:rPr>
          <w:rFonts w:eastAsiaTheme="minorHAnsi"/>
          <w:sz w:val="18"/>
          <w:szCs w:val="16"/>
          <w:lang w:eastAsia="x-none"/>
        </w:rPr>
        <w:t xml:space="preserve"> (accessed 22 April 2024).</w:t>
      </w:r>
    </w:p>
  </w:footnote>
  <w:footnote w:id="9">
    <w:p w14:paraId="690E8ECF" w14:textId="0B76FC86" w:rsidR="00C66929" w:rsidRPr="00DF12CF" w:rsidRDefault="00C66929" w:rsidP="00C66929">
      <w:pPr>
        <w:pStyle w:val="FootnoteText"/>
        <w:spacing w:before="0"/>
        <w:rPr>
          <w:sz w:val="18"/>
          <w:szCs w:val="18"/>
        </w:rPr>
      </w:pPr>
      <w:r w:rsidRPr="00686AF4">
        <w:rPr>
          <w:rStyle w:val="FootnoteReference"/>
        </w:rPr>
        <w:footnoteRef/>
      </w:r>
      <w:r w:rsidRPr="00686AF4">
        <w:t xml:space="preserve"> </w:t>
      </w:r>
      <w:r w:rsidRPr="00DF12CF">
        <w:rPr>
          <w:sz w:val="18"/>
          <w:szCs w:val="18"/>
        </w:rPr>
        <w:t>Young people have rights under the UN Convention on the Rights of the Child (CRC) to both identity (Article 8) and to health (physical, mental), including equitable access to health care (Article 24). These rights sit among children's wider range of holistic rights under the CRC, which also includes the right and general principle that all decisions made about</w:t>
      </w:r>
      <w:r>
        <w:rPr>
          <w:sz w:val="18"/>
          <w:szCs w:val="18"/>
        </w:rPr>
        <w:t xml:space="preserve">/or </w:t>
      </w:r>
      <w:r w:rsidRPr="00DF12CF">
        <w:rPr>
          <w:sz w:val="18"/>
          <w:szCs w:val="18"/>
        </w:rPr>
        <w:t>in relation to a child must be made in their best interests (Article 3), and the right and general principle to non-discrimination (Article 2) and to life, survival and development (Article 6).</w:t>
      </w:r>
    </w:p>
  </w:footnote>
  <w:footnote w:id="10">
    <w:p w14:paraId="0283C58C" w14:textId="68B64D38" w:rsidR="00BE1A09" w:rsidRDefault="00BE1A09">
      <w:pPr>
        <w:pStyle w:val="FootnoteText"/>
      </w:pPr>
      <w:r>
        <w:rPr>
          <w:rStyle w:val="FootnoteReference"/>
        </w:rPr>
        <w:footnoteRef/>
      </w:r>
      <w:r>
        <w:t xml:space="preserve"> </w:t>
      </w:r>
      <w:r w:rsidR="00C57A6B">
        <w:t>Health and Disability Commissioner (Code of Health and Disability Services Consumers’ Rights</w:t>
      </w:r>
      <w:r w:rsidR="00E17FA3">
        <w:t xml:space="preserve">) Regulations 1996. URL: </w:t>
      </w:r>
      <w:hyperlink r:id="rId6" w:history="1">
        <w:r w:rsidR="00E517C8" w:rsidRPr="00575A72">
          <w:rPr>
            <w:rStyle w:val="Hyperlink"/>
            <w:b/>
            <w:bCs/>
            <w:color w:val="404040" w:themeColor="text1" w:themeTint="BF"/>
          </w:rPr>
          <w:t>hdc.org.nz/your-rights/about-the-code/code-of-health-and-disability-services-consumers-rights</w:t>
        </w:r>
      </w:hyperlink>
      <w:r w:rsidR="008C7C3E">
        <w:t xml:space="preserve"> </w:t>
      </w:r>
      <w:r w:rsidR="00E17FA3">
        <w:t>(accessed 1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36F" w14:textId="30AADA4A" w:rsidR="00EE6CE2" w:rsidRDefault="003156B0" w:rsidP="00BD22FC">
    <w:pPr>
      <w:pStyle w:val="Header"/>
      <w:spacing w:after="480"/>
    </w:pPr>
    <w:r>
      <w:rPr>
        <w:noProof/>
      </w:rPr>
      <w:drawing>
        <wp:anchor distT="0" distB="0" distL="114300" distR="114300" simplePos="0" relativeHeight="251658241" behindDoc="1" locked="0" layoutInCell="1" allowOverlap="1" wp14:anchorId="1A847BBA" wp14:editId="57EB402D">
          <wp:simplePos x="0" y="0"/>
          <wp:positionH relativeFrom="column">
            <wp:posOffset>4766945</wp:posOffset>
          </wp:positionH>
          <wp:positionV relativeFrom="paragraph">
            <wp:posOffset>476885</wp:posOffset>
          </wp:positionV>
          <wp:extent cx="1210945" cy="572770"/>
          <wp:effectExtent l="0" t="0" r="0" b="0"/>
          <wp:wrapTight wrapText="bothSides">
            <wp:wrapPolygon edited="0">
              <wp:start x="340" y="0"/>
              <wp:lineTo x="340" y="15805"/>
              <wp:lineTo x="5437" y="19397"/>
              <wp:lineTo x="9175" y="20834"/>
              <wp:lineTo x="19369" y="20834"/>
              <wp:lineTo x="21068" y="13650"/>
              <wp:lineTo x="21068" y="0"/>
              <wp:lineTo x="340" y="0"/>
            </wp:wrapPolygon>
          </wp:wrapTight>
          <wp:docPr id="3" name="Picture 3"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Health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094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CBA7E37" wp14:editId="47C97691">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2" name="Picture 2" descr="NZ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Z Government logo"/>
                  <pic:cNvPicPr/>
                </pic:nvPicPr>
                <pic:blipFill rotWithShape="1">
                  <a:blip r:embed="rId2">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1CD9"/>
    <w:multiLevelType w:val="hybridMultilevel"/>
    <w:tmpl w:val="E36E81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308A6887"/>
    <w:multiLevelType w:val="hybridMultilevel"/>
    <w:tmpl w:val="8C2E56B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 w15:restartNumberingAfterBreak="0">
    <w:nsid w:val="3E853E59"/>
    <w:multiLevelType w:val="hybridMultilevel"/>
    <w:tmpl w:val="368AB8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7D33CC6"/>
    <w:multiLevelType w:val="hybridMultilevel"/>
    <w:tmpl w:val="5D2E3E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66BC78ED"/>
    <w:multiLevelType w:val="hybridMultilevel"/>
    <w:tmpl w:val="5F4C75D0"/>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9" w15:restartNumberingAfterBreak="0">
    <w:nsid w:val="6CE443A3"/>
    <w:multiLevelType w:val="hybridMultilevel"/>
    <w:tmpl w:val="072448A6"/>
    <w:lvl w:ilvl="0" w:tplc="14090001">
      <w:start w:val="1"/>
      <w:numFmt w:val="bullet"/>
      <w:lvlText w:val=""/>
      <w:lvlJc w:val="left"/>
      <w:pPr>
        <w:ind w:left="1211" w:hanging="360"/>
      </w:pPr>
      <w:rPr>
        <w:rFonts w:ascii="Symbol" w:hAnsi="Symbol" w:hint="default"/>
      </w:rPr>
    </w:lvl>
    <w:lvl w:ilvl="1" w:tplc="14090003">
      <w:start w:val="1"/>
      <w:numFmt w:val="bullet"/>
      <w:lvlText w:val="o"/>
      <w:lvlJc w:val="left"/>
      <w:pPr>
        <w:ind w:left="1931" w:hanging="360"/>
      </w:pPr>
      <w:rPr>
        <w:rFonts w:ascii="Courier New" w:hAnsi="Courier New" w:cs="Courier New" w:hint="default"/>
      </w:rPr>
    </w:lvl>
    <w:lvl w:ilvl="2" w:tplc="14090005">
      <w:start w:val="1"/>
      <w:numFmt w:val="bullet"/>
      <w:lvlText w:val=""/>
      <w:lvlJc w:val="left"/>
      <w:pPr>
        <w:ind w:left="2651" w:hanging="360"/>
      </w:pPr>
      <w:rPr>
        <w:rFonts w:ascii="Wingdings" w:hAnsi="Wingdings" w:hint="default"/>
      </w:rPr>
    </w:lvl>
    <w:lvl w:ilvl="3" w:tplc="14090001">
      <w:start w:val="1"/>
      <w:numFmt w:val="bullet"/>
      <w:lvlText w:val=""/>
      <w:lvlJc w:val="left"/>
      <w:pPr>
        <w:ind w:left="3371" w:hanging="360"/>
      </w:pPr>
      <w:rPr>
        <w:rFonts w:ascii="Symbol" w:hAnsi="Symbol" w:hint="default"/>
      </w:rPr>
    </w:lvl>
    <w:lvl w:ilvl="4" w:tplc="14090003">
      <w:start w:val="1"/>
      <w:numFmt w:val="bullet"/>
      <w:lvlText w:val="o"/>
      <w:lvlJc w:val="left"/>
      <w:pPr>
        <w:ind w:left="4091" w:hanging="360"/>
      </w:pPr>
      <w:rPr>
        <w:rFonts w:ascii="Courier New" w:hAnsi="Courier New" w:cs="Courier New" w:hint="default"/>
      </w:rPr>
    </w:lvl>
    <w:lvl w:ilvl="5" w:tplc="14090005">
      <w:start w:val="1"/>
      <w:numFmt w:val="bullet"/>
      <w:lvlText w:val=""/>
      <w:lvlJc w:val="left"/>
      <w:pPr>
        <w:ind w:left="4811" w:hanging="360"/>
      </w:pPr>
      <w:rPr>
        <w:rFonts w:ascii="Wingdings" w:hAnsi="Wingdings" w:hint="default"/>
      </w:rPr>
    </w:lvl>
    <w:lvl w:ilvl="6" w:tplc="14090001">
      <w:start w:val="1"/>
      <w:numFmt w:val="bullet"/>
      <w:lvlText w:val=""/>
      <w:lvlJc w:val="left"/>
      <w:pPr>
        <w:ind w:left="5531" w:hanging="360"/>
      </w:pPr>
      <w:rPr>
        <w:rFonts w:ascii="Symbol" w:hAnsi="Symbol" w:hint="default"/>
      </w:rPr>
    </w:lvl>
    <w:lvl w:ilvl="7" w:tplc="14090003">
      <w:start w:val="1"/>
      <w:numFmt w:val="bullet"/>
      <w:lvlText w:val="o"/>
      <w:lvlJc w:val="left"/>
      <w:pPr>
        <w:ind w:left="6251" w:hanging="360"/>
      </w:pPr>
      <w:rPr>
        <w:rFonts w:ascii="Courier New" w:hAnsi="Courier New" w:cs="Courier New" w:hint="default"/>
      </w:rPr>
    </w:lvl>
    <w:lvl w:ilvl="8" w:tplc="14090005">
      <w:start w:val="1"/>
      <w:numFmt w:val="bullet"/>
      <w:lvlText w:val=""/>
      <w:lvlJc w:val="left"/>
      <w:pPr>
        <w:ind w:left="6971" w:hanging="360"/>
      </w:pPr>
      <w:rPr>
        <w:rFonts w:ascii="Wingdings" w:hAnsi="Wingdings" w:hint="default"/>
      </w:rPr>
    </w:lvl>
  </w:abstractNum>
  <w:abstractNum w:abstractNumId="10" w15:restartNumberingAfterBreak="0">
    <w:nsid w:val="6E2370D3"/>
    <w:multiLevelType w:val="hybridMultilevel"/>
    <w:tmpl w:val="2F121E60"/>
    <w:lvl w:ilvl="0" w:tplc="08090003">
      <w:start w:val="1"/>
      <w:numFmt w:val="bullet"/>
      <w:lvlText w:val="o"/>
      <w:lvlJc w:val="left"/>
      <w:pPr>
        <w:tabs>
          <w:tab w:val="num" w:pos="1440"/>
        </w:tabs>
        <w:ind w:left="144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47118902">
    <w:abstractNumId w:val="7"/>
  </w:num>
  <w:num w:numId="2" w16cid:durableId="300504287">
    <w:abstractNumId w:val="8"/>
  </w:num>
  <w:num w:numId="3" w16cid:durableId="640496518">
    <w:abstractNumId w:val="6"/>
  </w:num>
  <w:num w:numId="4" w16cid:durableId="227812741">
    <w:abstractNumId w:val="3"/>
  </w:num>
  <w:num w:numId="5" w16cid:durableId="1003430401">
    <w:abstractNumId w:val="5"/>
  </w:num>
  <w:num w:numId="6" w16cid:durableId="1299604424">
    <w:abstractNumId w:val="9"/>
  </w:num>
  <w:num w:numId="7" w16cid:durableId="1134249241">
    <w:abstractNumId w:val="0"/>
  </w:num>
  <w:num w:numId="8" w16cid:durableId="250742490">
    <w:abstractNumId w:val="2"/>
  </w:num>
  <w:num w:numId="9" w16cid:durableId="433599714">
    <w:abstractNumId w:val="4"/>
  </w:num>
  <w:num w:numId="10" w16cid:durableId="783501623">
    <w:abstractNumId w:val="10"/>
  </w:num>
  <w:num w:numId="11" w16cid:durableId="70217155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50">
      <o:colormru v:ext="edit" colors="#0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02152"/>
    <w:rsid w:val="00004457"/>
    <w:rsid w:val="00007096"/>
    <w:rsid w:val="00007390"/>
    <w:rsid w:val="00011BD5"/>
    <w:rsid w:val="000123DF"/>
    <w:rsid w:val="00012431"/>
    <w:rsid w:val="00013173"/>
    <w:rsid w:val="00015979"/>
    <w:rsid w:val="00017124"/>
    <w:rsid w:val="00023C7D"/>
    <w:rsid w:val="0002411B"/>
    <w:rsid w:val="000252B0"/>
    <w:rsid w:val="00027113"/>
    <w:rsid w:val="00032242"/>
    <w:rsid w:val="000366DB"/>
    <w:rsid w:val="00041763"/>
    <w:rsid w:val="00041A12"/>
    <w:rsid w:val="000455AC"/>
    <w:rsid w:val="00046C7F"/>
    <w:rsid w:val="000533B5"/>
    <w:rsid w:val="00054193"/>
    <w:rsid w:val="000568F3"/>
    <w:rsid w:val="000601D8"/>
    <w:rsid w:val="00060FFC"/>
    <w:rsid w:val="00065E58"/>
    <w:rsid w:val="00070AD8"/>
    <w:rsid w:val="000712DF"/>
    <w:rsid w:val="000731D6"/>
    <w:rsid w:val="00075ED0"/>
    <w:rsid w:val="00085BCA"/>
    <w:rsid w:val="00087573"/>
    <w:rsid w:val="00090C24"/>
    <w:rsid w:val="0009437A"/>
    <w:rsid w:val="00095852"/>
    <w:rsid w:val="000A445A"/>
    <w:rsid w:val="000A6BCB"/>
    <w:rsid w:val="000B1E21"/>
    <w:rsid w:val="000B4176"/>
    <w:rsid w:val="000B41C5"/>
    <w:rsid w:val="000B6142"/>
    <w:rsid w:val="000B6957"/>
    <w:rsid w:val="000B6B9F"/>
    <w:rsid w:val="000B6BD8"/>
    <w:rsid w:val="000B79CD"/>
    <w:rsid w:val="000C3F39"/>
    <w:rsid w:val="000C3FA7"/>
    <w:rsid w:val="000C5D10"/>
    <w:rsid w:val="000C6106"/>
    <w:rsid w:val="000C68D3"/>
    <w:rsid w:val="000C6C24"/>
    <w:rsid w:val="000D0170"/>
    <w:rsid w:val="000D0FCC"/>
    <w:rsid w:val="000D296A"/>
    <w:rsid w:val="000D35CC"/>
    <w:rsid w:val="000D4D58"/>
    <w:rsid w:val="000D50C3"/>
    <w:rsid w:val="000E093C"/>
    <w:rsid w:val="000E2D6C"/>
    <w:rsid w:val="000E3801"/>
    <w:rsid w:val="000E41F7"/>
    <w:rsid w:val="000E466F"/>
    <w:rsid w:val="000E4E05"/>
    <w:rsid w:val="000E5175"/>
    <w:rsid w:val="000E6AC9"/>
    <w:rsid w:val="000F163F"/>
    <w:rsid w:val="000F1B71"/>
    <w:rsid w:val="000F2614"/>
    <w:rsid w:val="000F265B"/>
    <w:rsid w:val="000F66E5"/>
    <w:rsid w:val="000F71D5"/>
    <w:rsid w:val="001009C3"/>
    <w:rsid w:val="00101BB6"/>
    <w:rsid w:val="00101FB4"/>
    <w:rsid w:val="00102268"/>
    <w:rsid w:val="00105DB9"/>
    <w:rsid w:val="00107B24"/>
    <w:rsid w:val="00111935"/>
    <w:rsid w:val="0011385B"/>
    <w:rsid w:val="00113C1B"/>
    <w:rsid w:val="001158C2"/>
    <w:rsid w:val="00116D48"/>
    <w:rsid w:val="0011703B"/>
    <w:rsid w:val="00117453"/>
    <w:rsid w:val="001175B4"/>
    <w:rsid w:val="0012142B"/>
    <w:rsid w:val="001227B0"/>
    <w:rsid w:val="00123376"/>
    <w:rsid w:val="001234EE"/>
    <w:rsid w:val="0012373A"/>
    <w:rsid w:val="00130CE3"/>
    <w:rsid w:val="00130F23"/>
    <w:rsid w:val="001336C6"/>
    <w:rsid w:val="001359B4"/>
    <w:rsid w:val="00137BE7"/>
    <w:rsid w:val="001404B1"/>
    <w:rsid w:val="00142488"/>
    <w:rsid w:val="001424D0"/>
    <w:rsid w:val="00142C45"/>
    <w:rsid w:val="00145424"/>
    <w:rsid w:val="00145D5F"/>
    <w:rsid w:val="00151618"/>
    <w:rsid w:val="00153852"/>
    <w:rsid w:val="00155614"/>
    <w:rsid w:val="001566B4"/>
    <w:rsid w:val="001570F7"/>
    <w:rsid w:val="0016183D"/>
    <w:rsid w:val="001641BB"/>
    <w:rsid w:val="001705DC"/>
    <w:rsid w:val="00174E02"/>
    <w:rsid w:val="0017737E"/>
    <w:rsid w:val="0018123F"/>
    <w:rsid w:val="00182793"/>
    <w:rsid w:val="001858A6"/>
    <w:rsid w:val="001858FB"/>
    <w:rsid w:val="00186D4F"/>
    <w:rsid w:val="0018777F"/>
    <w:rsid w:val="00190DF4"/>
    <w:rsid w:val="001925EF"/>
    <w:rsid w:val="00194150"/>
    <w:rsid w:val="001A151D"/>
    <w:rsid w:val="001A28E2"/>
    <w:rsid w:val="001A3A19"/>
    <w:rsid w:val="001A418C"/>
    <w:rsid w:val="001A74D7"/>
    <w:rsid w:val="001A7FBC"/>
    <w:rsid w:val="001B0C18"/>
    <w:rsid w:val="001B0CE6"/>
    <w:rsid w:val="001B0FEE"/>
    <w:rsid w:val="001B4B83"/>
    <w:rsid w:val="001B546D"/>
    <w:rsid w:val="001C39D8"/>
    <w:rsid w:val="001C3AAE"/>
    <w:rsid w:val="001C3ADC"/>
    <w:rsid w:val="001C4490"/>
    <w:rsid w:val="001C7E66"/>
    <w:rsid w:val="001D067B"/>
    <w:rsid w:val="001D1692"/>
    <w:rsid w:val="001E1749"/>
    <w:rsid w:val="001E473F"/>
    <w:rsid w:val="001E58EA"/>
    <w:rsid w:val="001E67FB"/>
    <w:rsid w:val="001E6B4A"/>
    <w:rsid w:val="001E7FD0"/>
    <w:rsid w:val="001F2F09"/>
    <w:rsid w:val="001F3205"/>
    <w:rsid w:val="001F394B"/>
    <w:rsid w:val="001F5811"/>
    <w:rsid w:val="00201270"/>
    <w:rsid w:val="00205AEE"/>
    <w:rsid w:val="00206DC0"/>
    <w:rsid w:val="00217E43"/>
    <w:rsid w:val="002222BC"/>
    <w:rsid w:val="002233D8"/>
    <w:rsid w:val="00223D55"/>
    <w:rsid w:val="00225375"/>
    <w:rsid w:val="00226F25"/>
    <w:rsid w:val="0022780D"/>
    <w:rsid w:val="00227A74"/>
    <w:rsid w:val="00227F84"/>
    <w:rsid w:val="00230FA4"/>
    <w:rsid w:val="00230FF6"/>
    <w:rsid w:val="002317D9"/>
    <w:rsid w:val="00240554"/>
    <w:rsid w:val="002406ED"/>
    <w:rsid w:val="00242284"/>
    <w:rsid w:val="00246193"/>
    <w:rsid w:val="00247731"/>
    <w:rsid w:val="00247A0B"/>
    <w:rsid w:val="0024DFFC"/>
    <w:rsid w:val="00250786"/>
    <w:rsid w:val="00251EEF"/>
    <w:rsid w:val="002542A3"/>
    <w:rsid w:val="00254ED0"/>
    <w:rsid w:val="00254F6C"/>
    <w:rsid w:val="00255D89"/>
    <w:rsid w:val="0025670F"/>
    <w:rsid w:val="002567D2"/>
    <w:rsid w:val="00262440"/>
    <w:rsid w:val="00263AAC"/>
    <w:rsid w:val="00263FB3"/>
    <w:rsid w:val="0026708A"/>
    <w:rsid w:val="00271166"/>
    <w:rsid w:val="00271C64"/>
    <w:rsid w:val="00272F4E"/>
    <w:rsid w:val="00274699"/>
    <w:rsid w:val="00274F79"/>
    <w:rsid w:val="00281EAA"/>
    <w:rsid w:val="002823B3"/>
    <w:rsid w:val="002834C0"/>
    <w:rsid w:val="00285375"/>
    <w:rsid w:val="00286653"/>
    <w:rsid w:val="00286F30"/>
    <w:rsid w:val="0028738D"/>
    <w:rsid w:val="00287ABE"/>
    <w:rsid w:val="00292F7E"/>
    <w:rsid w:val="00294B99"/>
    <w:rsid w:val="002951E5"/>
    <w:rsid w:val="0029598C"/>
    <w:rsid w:val="00296F98"/>
    <w:rsid w:val="002977B8"/>
    <w:rsid w:val="002A1A6C"/>
    <w:rsid w:val="002A3058"/>
    <w:rsid w:val="002A35E8"/>
    <w:rsid w:val="002A38BC"/>
    <w:rsid w:val="002A3DD9"/>
    <w:rsid w:val="002A5444"/>
    <w:rsid w:val="002A6C99"/>
    <w:rsid w:val="002A7FCD"/>
    <w:rsid w:val="002B2C33"/>
    <w:rsid w:val="002B34DC"/>
    <w:rsid w:val="002B3D1C"/>
    <w:rsid w:val="002C1F8F"/>
    <w:rsid w:val="002C22A5"/>
    <w:rsid w:val="002C2B36"/>
    <w:rsid w:val="002C3EA2"/>
    <w:rsid w:val="002C5458"/>
    <w:rsid w:val="002D7C14"/>
    <w:rsid w:val="002E60F0"/>
    <w:rsid w:val="002E768A"/>
    <w:rsid w:val="002F33F5"/>
    <w:rsid w:val="002F5657"/>
    <w:rsid w:val="002F5CDE"/>
    <w:rsid w:val="003005BD"/>
    <w:rsid w:val="0030189D"/>
    <w:rsid w:val="003030F4"/>
    <w:rsid w:val="003046F0"/>
    <w:rsid w:val="003046F9"/>
    <w:rsid w:val="00304C3F"/>
    <w:rsid w:val="00305C6F"/>
    <w:rsid w:val="00306307"/>
    <w:rsid w:val="00307979"/>
    <w:rsid w:val="00307CE5"/>
    <w:rsid w:val="00307F08"/>
    <w:rsid w:val="003123E3"/>
    <w:rsid w:val="003151B4"/>
    <w:rsid w:val="0031520E"/>
    <w:rsid w:val="003156B0"/>
    <w:rsid w:val="00324371"/>
    <w:rsid w:val="003319EA"/>
    <w:rsid w:val="003328F2"/>
    <w:rsid w:val="003339FC"/>
    <w:rsid w:val="00334085"/>
    <w:rsid w:val="00334776"/>
    <w:rsid w:val="00334A94"/>
    <w:rsid w:val="00336394"/>
    <w:rsid w:val="00340F7D"/>
    <w:rsid w:val="00343CC9"/>
    <w:rsid w:val="003441C0"/>
    <w:rsid w:val="00344B4F"/>
    <w:rsid w:val="00347BAF"/>
    <w:rsid w:val="00350A12"/>
    <w:rsid w:val="00351AC8"/>
    <w:rsid w:val="003549D7"/>
    <w:rsid w:val="00356A45"/>
    <w:rsid w:val="003579BD"/>
    <w:rsid w:val="00363CA9"/>
    <w:rsid w:val="00364330"/>
    <w:rsid w:val="00367836"/>
    <w:rsid w:val="00370153"/>
    <w:rsid w:val="00370161"/>
    <w:rsid w:val="003704DC"/>
    <w:rsid w:val="0037123E"/>
    <w:rsid w:val="003717C9"/>
    <w:rsid w:val="003731B9"/>
    <w:rsid w:val="00373F1D"/>
    <w:rsid w:val="0037452C"/>
    <w:rsid w:val="00377C88"/>
    <w:rsid w:val="00377F02"/>
    <w:rsid w:val="00380D11"/>
    <w:rsid w:val="0038143C"/>
    <w:rsid w:val="003825E8"/>
    <w:rsid w:val="0038361B"/>
    <w:rsid w:val="003865BE"/>
    <w:rsid w:val="00391F64"/>
    <w:rsid w:val="00393928"/>
    <w:rsid w:val="0039779B"/>
    <w:rsid w:val="003A0523"/>
    <w:rsid w:val="003A0CB0"/>
    <w:rsid w:val="003A128B"/>
    <w:rsid w:val="003A1682"/>
    <w:rsid w:val="003A21EA"/>
    <w:rsid w:val="003A37C3"/>
    <w:rsid w:val="003A4A64"/>
    <w:rsid w:val="003A66CF"/>
    <w:rsid w:val="003A779C"/>
    <w:rsid w:val="003B145F"/>
    <w:rsid w:val="003B41CB"/>
    <w:rsid w:val="003B5D43"/>
    <w:rsid w:val="003B7FA2"/>
    <w:rsid w:val="003C0709"/>
    <w:rsid w:val="003C4813"/>
    <w:rsid w:val="003C693F"/>
    <w:rsid w:val="003D1D0A"/>
    <w:rsid w:val="003E4E3B"/>
    <w:rsid w:val="003E6828"/>
    <w:rsid w:val="003F0969"/>
    <w:rsid w:val="003F1264"/>
    <w:rsid w:val="003F191F"/>
    <w:rsid w:val="003F471C"/>
    <w:rsid w:val="003F5318"/>
    <w:rsid w:val="004000AB"/>
    <w:rsid w:val="004014CB"/>
    <w:rsid w:val="00402A70"/>
    <w:rsid w:val="00402EB9"/>
    <w:rsid w:val="00404269"/>
    <w:rsid w:val="00411667"/>
    <w:rsid w:val="004139D6"/>
    <w:rsid w:val="0041467A"/>
    <w:rsid w:val="0041736B"/>
    <w:rsid w:val="0042290F"/>
    <w:rsid w:val="00423830"/>
    <w:rsid w:val="0043783D"/>
    <w:rsid w:val="004378E8"/>
    <w:rsid w:val="00440BC8"/>
    <w:rsid w:val="00443649"/>
    <w:rsid w:val="0044399D"/>
    <w:rsid w:val="004440A2"/>
    <w:rsid w:val="00446F05"/>
    <w:rsid w:val="00450581"/>
    <w:rsid w:val="004518F6"/>
    <w:rsid w:val="00451ABB"/>
    <w:rsid w:val="004535A4"/>
    <w:rsid w:val="004545C0"/>
    <w:rsid w:val="004619AA"/>
    <w:rsid w:val="00462EAE"/>
    <w:rsid w:val="0046540C"/>
    <w:rsid w:val="00465F5A"/>
    <w:rsid w:val="00473A6E"/>
    <w:rsid w:val="004740E8"/>
    <w:rsid w:val="00477783"/>
    <w:rsid w:val="00477C9D"/>
    <w:rsid w:val="004810EE"/>
    <w:rsid w:val="004845E0"/>
    <w:rsid w:val="0048760A"/>
    <w:rsid w:val="00487C83"/>
    <w:rsid w:val="00492913"/>
    <w:rsid w:val="00494C6B"/>
    <w:rsid w:val="00494E03"/>
    <w:rsid w:val="004A1C4E"/>
    <w:rsid w:val="004A2528"/>
    <w:rsid w:val="004A4C25"/>
    <w:rsid w:val="004A6A2B"/>
    <w:rsid w:val="004A6CC1"/>
    <w:rsid w:val="004B28B7"/>
    <w:rsid w:val="004B368D"/>
    <w:rsid w:val="004B57F3"/>
    <w:rsid w:val="004B5FD4"/>
    <w:rsid w:val="004B777F"/>
    <w:rsid w:val="004B7AB5"/>
    <w:rsid w:val="004C0C07"/>
    <w:rsid w:val="004C23E8"/>
    <w:rsid w:val="004C6C39"/>
    <w:rsid w:val="004C6C54"/>
    <w:rsid w:val="004D17ED"/>
    <w:rsid w:val="004D1A5A"/>
    <w:rsid w:val="004D5889"/>
    <w:rsid w:val="004D7AE0"/>
    <w:rsid w:val="004E15D6"/>
    <w:rsid w:val="004E420D"/>
    <w:rsid w:val="004F168D"/>
    <w:rsid w:val="004F4625"/>
    <w:rsid w:val="004F4FFB"/>
    <w:rsid w:val="004F515F"/>
    <w:rsid w:val="004F5887"/>
    <w:rsid w:val="005002A7"/>
    <w:rsid w:val="00505D76"/>
    <w:rsid w:val="00505E99"/>
    <w:rsid w:val="00507E1F"/>
    <w:rsid w:val="00507E3F"/>
    <w:rsid w:val="0051131D"/>
    <w:rsid w:val="005132E5"/>
    <w:rsid w:val="00517529"/>
    <w:rsid w:val="00517D09"/>
    <w:rsid w:val="00523EE4"/>
    <w:rsid w:val="005243E3"/>
    <w:rsid w:val="00525F48"/>
    <w:rsid w:val="00525FFB"/>
    <w:rsid w:val="005261D4"/>
    <w:rsid w:val="005267BA"/>
    <w:rsid w:val="00527529"/>
    <w:rsid w:val="00530555"/>
    <w:rsid w:val="00532FC3"/>
    <w:rsid w:val="00533C6D"/>
    <w:rsid w:val="00535209"/>
    <w:rsid w:val="005363DD"/>
    <w:rsid w:val="00541BAF"/>
    <w:rsid w:val="00544EC2"/>
    <w:rsid w:val="00545BA3"/>
    <w:rsid w:val="00546326"/>
    <w:rsid w:val="00546D2C"/>
    <w:rsid w:val="005475E7"/>
    <w:rsid w:val="00554382"/>
    <w:rsid w:val="00554E9C"/>
    <w:rsid w:val="00555074"/>
    <w:rsid w:val="005554B5"/>
    <w:rsid w:val="005559D9"/>
    <w:rsid w:val="00560222"/>
    <w:rsid w:val="005619F3"/>
    <w:rsid w:val="00563001"/>
    <w:rsid w:val="00563F24"/>
    <w:rsid w:val="0056557A"/>
    <w:rsid w:val="00565D29"/>
    <w:rsid w:val="00571BEF"/>
    <w:rsid w:val="00575A72"/>
    <w:rsid w:val="00576A43"/>
    <w:rsid w:val="00576ACB"/>
    <w:rsid w:val="00577711"/>
    <w:rsid w:val="0058086D"/>
    <w:rsid w:val="00582EA7"/>
    <w:rsid w:val="00583D2B"/>
    <w:rsid w:val="0058482F"/>
    <w:rsid w:val="0058606E"/>
    <w:rsid w:val="00586191"/>
    <w:rsid w:val="00587DF4"/>
    <w:rsid w:val="00590D07"/>
    <w:rsid w:val="005940EA"/>
    <w:rsid w:val="005950A6"/>
    <w:rsid w:val="005958F2"/>
    <w:rsid w:val="0059608B"/>
    <w:rsid w:val="005961D6"/>
    <w:rsid w:val="00597F47"/>
    <w:rsid w:val="005A74B7"/>
    <w:rsid w:val="005A7F50"/>
    <w:rsid w:val="005B2223"/>
    <w:rsid w:val="005C17AA"/>
    <w:rsid w:val="005C2D65"/>
    <w:rsid w:val="005C2FDE"/>
    <w:rsid w:val="005C63B5"/>
    <w:rsid w:val="005D2463"/>
    <w:rsid w:val="005D2F83"/>
    <w:rsid w:val="005D3D35"/>
    <w:rsid w:val="005D4EB4"/>
    <w:rsid w:val="005D63DC"/>
    <w:rsid w:val="005D7ACC"/>
    <w:rsid w:val="005E2D49"/>
    <w:rsid w:val="005E44CE"/>
    <w:rsid w:val="005E623E"/>
    <w:rsid w:val="005E68CF"/>
    <w:rsid w:val="005F139D"/>
    <w:rsid w:val="00603967"/>
    <w:rsid w:val="006048C0"/>
    <w:rsid w:val="00605C27"/>
    <w:rsid w:val="00612A65"/>
    <w:rsid w:val="00612C92"/>
    <w:rsid w:val="00613396"/>
    <w:rsid w:val="006140C0"/>
    <w:rsid w:val="00620375"/>
    <w:rsid w:val="006209A8"/>
    <w:rsid w:val="00621563"/>
    <w:rsid w:val="00622810"/>
    <w:rsid w:val="0062291E"/>
    <w:rsid w:val="00623B50"/>
    <w:rsid w:val="00623D1B"/>
    <w:rsid w:val="00624C86"/>
    <w:rsid w:val="00626BB6"/>
    <w:rsid w:val="006306C9"/>
    <w:rsid w:val="0063147A"/>
    <w:rsid w:val="0063296E"/>
    <w:rsid w:val="006339A0"/>
    <w:rsid w:val="00633A50"/>
    <w:rsid w:val="00637338"/>
    <w:rsid w:val="00640014"/>
    <w:rsid w:val="006425E2"/>
    <w:rsid w:val="00644953"/>
    <w:rsid w:val="0064677F"/>
    <w:rsid w:val="006470CE"/>
    <w:rsid w:val="00647AA9"/>
    <w:rsid w:val="00651122"/>
    <w:rsid w:val="00652B8E"/>
    <w:rsid w:val="00653611"/>
    <w:rsid w:val="00653F08"/>
    <w:rsid w:val="00660619"/>
    <w:rsid w:val="00660E5F"/>
    <w:rsid w:val="00662E49"/>
    <w:rsid w:val="00666818"/>
    <w:rsid w:val="0067234D"/>
    <w:rsid w:val="00672B8B"/>
    <w:rsid w:val="00673303"/>
    <w:rsid w:val="00673782"/>
    <w:rsid w:val="006744E6"/>
    <w:rsid w:val="00676929"/>
    <w:rsid w:val="00676A7E"/>
    <w:rsid w:val="00680D2D"/>
    <w:rsid w:val="006819B0"/>
    <w:rsid w:val="00681BF2"/>
    <w:rsid w:val="00686753"/>
    <w:rsid w:val="00691424"/>
    <w:rsid w:val="00694A64"/>
    <w:rsid w:val="006959B6"/>
    <w:rsid w:val="006A2250"/>
    <w:rsid w:val="006A41A4"/>
    <w:rsid w:val="006A4965"/>
    <w:rsid w:val="006A6FDC"/>
    <w:rsid w:val="006A7408"/>
    <w:rsid w:val="006B4653"/>
    <w:rsid w:val="006B65EA"/>
    <w:rsid w:val="006B774C"/>
    <w:rsid w:val="006C0846"/>
    <w:rsid w:val="006C0859"/>
    <w:rsid w:val="006C1FB8"/>
    <w:rsid w:val="006C3B9E"/>
    <w:rsid w:val="006C400F"/>
    <w:rsid w:val="006C407C"/>
    <w:rsid w:val="006C583E"/>
    <w:rsid w:val="006C68F5"/>
    <w:rsid w:val="006C6E15"/>
    <w:rsid w:val="006C7BF6"/>
    <w:rsid w:val="006D0B20"/>
    <w:rsid w:val="006D1FA2"/>
    <w:rsid w:val="006D2458"/>
    <w:rsid w:val="006E20AC"/>
    <w:rsid w:val="006E3735"/>
    <w:rsid w:val="006E3E9E"/>
    <w:rsid w:val="006E545E"/>
    <w:rsid w:val="006E67F2"/>
    <w:rsid w:val="006E77F2"/>
    <w:rsid w:val="006F0922"/>
    <w:rsid w:val="006F40A6"/>
    <w:rsid w:val="006F526E"/>
    <w:rsid w:val="006F544C"/>
    <w:rsid w:val="006F714E"/>
    <w:rsid w:val="00701FDA"/>
    <w:rsid w:val="0071313E"/>
    <w:rsid w:val="00725912"/>
    <w:rsid w:val="007272DF"/>
    <w:rsid w:val="00731CF9"/>
    <w:rsid w:val="00733CDF"/>
    <w:rsid w:val="00736F8A"/>
    <w:rsid w:val="00737F49"/>
    <w:rsid w:val="0074006B"/>
    <w:rsid w:val="007404C8"/>
    <w:rsid w:val="00740786"/>
    <w:rsid w:val="007411EC"/>
    <w:rsid w:val="0074188F"/>
    <w:rsid w:val="00741C97"/>
    <w:rsid w:val="00742E86"/>
    <w:rsid w:val="007446F7"/>
    <w:rsid w:val="0075028F"/>
    <w:rsid w:val="00754D3C"/>
    <w:rsid w:val="00760E80"/>
    <w:rsid w:val="00761961"/>
    <w:rsid w:val="007624A5"/>
    <w:rsid w:val="00766D1F"/>
    <w:rsid w:val="00771B0E"/>
    <w:rsid w:val="007760BD"/>
    <w:rsid w:val="00780CB4"/>
    <w:rsid w:val="00782BB8"/>
    <w:rsid w:val="00783974"/>
    <w:rsid w:val="00783D9C"/>
    <w:rsid w:val="00787F0C"/>
    <w:rsid w:val="00790152"/>
    <w:rsid w:val="007902D8"/>
    <w:rsid w:val="007904FD"/>
    <w:rsid w:val="00790BE7"/>
    <w:rsid w:val="00791163"/>
    <w:rsid w:val="007A1920"/>
    <w:rsid w:val="007A21D3"/>
    <w:rsid w:val="007A295B"/>
    <w:rsid w:val="007A563C"/>
    <w:rsid w:val="007A6B12"/>
    <w:rsid w:val="007B0710"/>
    <w:rsid w:val="007B45B9"/>
    <w:rsid w:val="007B498E"/>
    <w:rsid w:val="007B5657"/>
    <w:rsid w:val="007B5AB7"/>
    <w:rsid w:val="007B5FF2"/>
    <w:rsid w:val="007B6D00"/>
    <w:rsid w:val="007C3953"/>
    <w:rsid w:val="007D007A"/>
    <w:rsid w:val="007D28E6"/>
    <w:rsid w:val="007D4323"/>
    <w:rsid w:val="007D494D"/>
    <w:rsid w:val="007D54FF"/>
    <w:rsid w:val="007E2198"/>
    <w:rsid w:val="007E2C68"/>
    <w:rsid w:val="007E3C7F"/>
    <w:rsid w:val="007E44CF"/>
    <w:rsid w:val="007E490F"/>
    <w:rsid w:val="007E4936"/>
    <w:rsid w:val="007E53A8"/>
    <w:rsid w:val="007E5F4D"/>
    <w:rsid w:val="007F11E1"/>
    <w:rsid w:val="007F366E"/>
    <w:rsid w:val="007F4CBC"/>
    <w:rsid w:val="007F7533"/>
    <w:rsid w:val="007F79D0"/>
    <w:rsid w:val="00801FF3"/>
    <w:rsid w:val="00803DF4"/>
    <w:rsid w:val="0080616C"/>
    <w:rsid w:val="008067DF"/>
    <w:rsid w:val="0080749B"/>
    <w:rsid w:val="00807F6A"/>
    <w:rsid w:val="00810055"/>
    <w:rsid w:val="0081034D"/>
    <w:rsid w:val="008129F0"/>
    <w:rsid w:val="00813CF6"/>
    <w:rsid w:val="00814BBE"/>
    <w:rsid w:val="0081671E"/>
    <w:rsid w:val="00817CD1"/>
    <w:rsid w:val="0082084D"/>
    <w:rsid w:val="00822060"/>
    <w:rsid w:val="00832071"/>
    <w:rsid w:val="00832EBE"/>
    <w:rsid w:val="00833F34"/>
    <w:rsid w:val="008348B7"/>
    <w:rsid w:val="00834E3F"/>
    <w:rsid w:val="008354E6"/>
    <w:rsid w:val="008357B6"/>
    <w:rsid w:val="00836937"/>
    <w:rsid w:val="00836B42"/>
    <w:rsid w:val="00836F81"/>
    <w:rsid w:val="00842851"/>
    <w:rsid w:val="0084383D"/>
    <w:rsid w:val="00843EAC"/>
    <w:rsid w:val="00844EDE"/>
    <w:rsid w:val="0084791E"/>
    <w:rsid w:val="0085124D"/>
    <w:rsid w:val="008514E4"/>
    <w:rsid w:val="00854051"/>
    <w:rsid w:val="008558D6"/>
    <w:rsid w:val="00855BCE"/>
    <w:rsid w:val="0086144A"/>
    <w:rsid w:val="0086178A"/>
    <w:rsid w:val="008619D3"/>
    <w:rsid w:val="00862EB3"/>
    <w:rsid w:val="00865C95"/>
    <w:rsid w:val="00865DD5"/>
    <w:rsid w:val="00871DCD"/>
    <w:rsid w:val="008738C7"/>
    <w:rsid w:val="00874284"/>
    <w:rsid w:val="00874CFF"/>
    <w:rsid w:val="00876FB8"/>
    <w:rsid w:val="008772CA"/>
    <w:rsid w:val="00877F23"/>
    <w:rsid w:val="00880305"/>
    <w:rsid w:val="0088030C"/>
    <w:rsid w:val="00881C12"/>
    <w:rsid w:val="00885B79"/>
    <w:rsid w:val="00887381"/>
    <w:rsid w:val="0088785A"/>
    <w:rsid w:val="00890138"/>
    <w:rsid w:val="0089027F"/>
    <w:rsid w:val="008911F1"/>
    <w:rsid w:val="008935DC"/>
    <w:rsid w:val="00894118"/>
    <w:rsid w:val="0089521D"/>
    <w:rsid w:val="00896B33"/>
    <w:rsid w:val="00897C60"/>
    <w:rsid w:val="008A468D"/>
    <w:rsid w:val="008A65F6"/>
    <w:rsid w:val="008A6A01"/>
    <w:rsid w:val="008B1B8A"/>
    <w:rsid w:val="008B5992"/>
    <w:rsid w:val="008B7359"/>
    <w:rsid w:val="008B7E8B"/>
    <w:rsid w:val="008C32BC"/>
    <w:rsid w:val="008C40E8"/>
    <w:rsid w:val="008C6C9F"/>
    <w:rsid w:val="008C7C3E"/>
    <w:rsid w:val="008D0A88"/>
    <w:rsid w:val="008D18FC"/>
    <w:rsid w:val="008D2C1F"/>
    <w:rsid w:val="008D3C4C"/>
    <w:rsid w:val="008D72C2"/>
    <w:rsid w:val="008E18DB"/>
    <w:rsid w:val="008E21EA"/>
    <w:rsid w:val="008F2E4A"/>
    <w:rsid w:val="008F3095"/>
    <w:rsid w:val="008F31B3"/>
    <w:rsid w:val="008F33C5"/>
    <w:rsid w:val="008F7A81"/>
    <w:rsid w:val="0090028B"/>
    <w:rsid w:val="00900321"/>
    <w:rsid w:val="00902F19"/>
    <w:rsid w:val="00905942"/>
    <w:rsid w:val="00905B69"/>
    <w:rsid w:val="00905DCE"/>
    <w:rsid w:val="009073E2"/>
    <w:rsid w:val="009102B5"/>
    <w:rsid w:val="0091033D"/>
    <w:rsid w:val="009122B9"/>
    <w:rsid w:val="00912396"/>
    <w:rsid w:val="009126F6"/>
    <w:rsid w:val="00914BAC"/>
    <w:rsid w:val="00920A63"/>
    <w:rsid w:val="009238B8"/>
    <w:rsid w:val="00923D37"/>
    <w:rsid w:val="00924EFE"/>
    <w:rsid w:val="00925481"/>
    <w:rsid w:val="0092659B"/>
    <w:rsid w:val="00926A1B"/>
    <w:rsid w:val="00933649"/>
    <w:rsid w:val="00934D2A"/>
    <w:rsid w:val="009401CC"/>
    <w:rsid w:val="0094065C"/>
    <w:rsid w:val="00942757"/>
    <w:rsid w:val="00942F54"/>
    <w:rsid w:val="00944205"/>
    <w:rsid w:val="00944B03"/>
    <w:rsid w:val="009450B9"/>
    <w:rsid w:val="00946EB6"/>
    <w:rsid w:val="00946F08"/>
    <w:rsid w:val="009475FB"/>
    <w:rsid w:val="00947E2E"/>
    <w:rsid w:val="0095076C"/>
    <w:rsid w:val="00951E92"/>
    <w:rsid w:val="00952AF0"/>
    <w:rsid w:val="009602C6"/>
    <w:rsid w:val="00962139"/>
    <w:rsid w:val="00962748"/>
    <w:rsid w:val="00962ADB"/>
    <w:rsid w:val="00963999"/>
    <w:rsid w:val="00964464"/>
    <w:rsid w:val="00964E4E"/>
    <w:rsid w:val="00965CA3"/>
    <w:rsid w:val="00970637"/>
    <w:rsid w:val="00971A8F"/>
    <w:rsid w:val="00973036"/>
    <w:rsid w:val="00973777"/>
    <w:rsid w:val="009765EF"/>
    <w:rsid w:val="009776DE"/>
    <w:rsid w:val="00977775"/>
    <w:rsid w:val="009805EF"/>
    <w:rsid w:val="0098126D"/>
    <w:rsid w:val="009842E4"/>
    <w:rsid w:val="0098720D"/>
    <w:rsid w:val="009874FB"/>
    <w:rsid w:val="009905CE"/>
    <w:rsid w:val="009920AF"/>
    <w:rsid w:val="00992335"/>
    <w:rsid w:val="00993F56"/>
    <w:rsid w:val="009948F8"/>
    <w:rsid w:val="00995571"/>
    <w:rsid w:val="00995593"/>
    <w:rsid w:val="00996760"/>
    <w:rsid w:val="009978A3"/>
    <w:rsid w:val="009A3D52"/>
    <w:rsid w:val="009A7541"/>
    <w:rsid w:val="009B0784"/>
    <w:rsid w:val="009B19FA"/>
    <w:rsid w:val="009B333D"/>
    <w:rsid w:val="009B3677"/>
    <w:rsid w:val="009B4394"/>
    <w:rsid w:val="009B5859"/>
    <w:rsid w:val="009B6121"/>
    <w:rsid w:val="009B798D"/>
    <w:rsid w:val="009C0146"/>
    <w:rsid w:val="009C236F"/>
    <w:rsid w:val="009C39E2"/>
    <w:rsid w:val="009C5D77"/>
    <w:rsid w:val="009D1A82"/>
    <w:rsid w:val="009D1E94"/>
    <w:rsid w:val="009D297D"/>
    <w:rsid w:val="009E07A9"/>
    <w:rsid w:val="009E1CE0"/>
    <w:rsid w:val="009E2C69"/>
    <w:rsid w:val="009F0EC2"/>
    <w:rsid w:val="009F1222"/>
    <w:rsid w:val="009F1BFF"/>
    <w:rsid w:val="009F45F4"/>
    <w:rsid w:val="009F4949"/>
    <w:rsid w:val="009F4CBC"/>
    <w:rsid w:val="009F4EF2"/>
    <w:rsid w:val="00A0032E"/>
    <w:rsid w:val="00A00DBD"/>
    <w:rsid w:val="00A01D4B"/>
    <w:rsid w:val="00A035AE"/>
    <w:rsid w:val="00A05C6B"/>
    <w:rsid w:val="00A12276"/>
    <w:rsid w:val="00A14C1E"/>
    <w:rsid w:val="00A15CA5"/>
    <w:rsid w:val="00A16714"/>
    <w:rsid w:val="00A208C1"/>
    <w:rsid w:val="00A23324"/>
    <w:rsid w:val="00A2337F"/>
    <w:rsid w:val="00A2479A"/>
    <w:rsid w:val="00A27B28"/>
    <w:rsid w:val="00A30789"/>
    <w:rsid w:val="00A31F67"/>
    <w:rsid w:val="00A32EA5"/>
    <w:rsid w:val="00A34809"/>
    <w:rsid w:val="00A348AB"/>
    <w:rsid w:val="00A35D73"/>
    <w:rsid w:val="00A3619A"/>
    <w:rsid w:val="00A401D7"/>
    <w:rsid w:val="00A41A77"/>
    <w:rsid w:val="00A4651A"/>
    <w:rsid w:val="00A56E99"/>
    <w:rsid w:val="00A57CFC"/>
    <w:rsid w:val="00A65497"/>
    <w:rsid w:val="00A655A6"/>
    <w:rsid w:val="00A7037D"/>
    <w:rsid w:val="00A71902"/>
    <w:rsid w:val="00A7229B"/>
    <w:rsid w:val="00A73B33"/>
    <w:rsid w:val="00A74F2E"/>
    <w:rsid w:val="00A754E1"/>
    <w:rsid w:val="00A805A1"/>
    <w:rsid w:val="00A81283"/>
    <w:rsid w:val="00A821D8"/>
    <w:rsid w:val="00A8585C"/>
    <w:rsid w:val="00A87AD8"/>
    <w:rsid w:val="00A92321"/>
    <w:rsid w:val="00A928A0"/>
    <w:rsid w:val="00AA188F"/>
    <w:rsid w:val="00AA54EC"/>
    <w:rsid w:val="00AA586B"/>
    <w:rsid w:val="00AA5CEB"/>
    <w:rsid w:val="00AA634B"/>
    <w:rsid w:val="00AA7466"/>
    <w:rsid w:val="00AA756B"/>
    <w:rsid w:val="00AA75D4"/>
    <w:rsid w:val="00AB0789"/>
    <w:rsid w:val="00AB1FC9"/>
    <w:rsid w:val="00AB3B48"/>
    <w:rsid w:val="00AC30D9"/>
    <w:rsid w:val="00AC5304"/>
    <w:rsid w:val="00AC5ED1"/>
    <w:rsid w:val="00AC6480"/>
    <w:rsid w:val="00AC68D9"/>
    <w:rsid w:val="00AC6FA7"/>
    <w:rsid w:val="00AD54A4"/>
    <w:rsid w:val="00AD57E7"/>
    <w:rsid w:val="00AD5E6C"/>
    <w:rsid w:val="00AE227E"/>
    <w:rsid w:val="00AE4F0C"/>
    <w:rsid w:val="00AE53D4"/>
    <w:rsid w:val="00AE57D5"/>
    <w:rsid w:val="00AE710D"/>
    <w:rsid w:val="00AF21F4"/>
    <w:rsid w:val="00AF5D21"/>
    <w:rsid w:val="00AF78CC"/>
    <w:rsid w:val="00B00D30"/>
    <w:rsid w:val="00B02CEC"/>
    <w:rsid w:val="00B102DF"/>
    <w:rsid w:val="00B10577"/>
    <w:rsid w:val="00B123C4"/>
    <w:rsid w:val="00B1337E"/>
    <w:rsid w:val="00B16FDA"/>
    <w:rsid w:val="00B17FFD"/>
    <w:rsid w:val="00B21131"/>
    <w:rsid w:val="00B220C1"/>
    <w:rsid w:val="00B239D1"/>
    <w:rsid w:val="00B242C0"/>
    <w:rsid w:val="00B30B70"/>
    <w:rsid w:val="00B31EE9"/>
    <w:rsid w:val="00B341F9"/>
    <w:rsid w:val="00B34FFC"/>
    <w:rsid w:val="00B3703E"/>
    <w:rsid w:val="00B37882"/>
    <w:rsid w:val="00B427AB"/>
    <w:rsid w:val="00B432B2"/>
    <w:rsid w:val="00B50CCE"/>
    <w:rsid w:val="00B52D24"/>
    <w:rsid w:val="00B530A4"/>
    <w:rsid w:val="00B57C49"/>
    <w:rsid w:val="00B61631"/>
    <w:rsid w:val="00B616B8"/>
    <w:rsid w:val="00B61D49"/>
    <w:rsid w:val="00B62C38"/>
    <w:rsid w:val="00B642B6"/>
    <w:rsid w:val="00B64A93"/>
    <w:rsid w:val="00B65B0A"/>
    <w:rsid w:val="00B7040E"/>
    <w:rsid w:val="00B7079A"/>
    <w:rsid w:val="00B70D1A"/>
    <w:rsid w:val="00B7234A"/>
    <w:rsid w:val="00B72B5E"/>
    <w:rsid w:val="00B736D1"/>
    <w:rsid w:val="00B73E29"/>
    <w:rsid w:val="00B74440"/>
    <w:rsid w:val="00B75827"/>
    <w:rsid w:val="00B75C16"/>
    <w:rsid w:val="00B77294"/>
    <w:rsid w:val="00B86FF2"/>
    <w:rsid w:val="00B92AC6"/>
    <w:rsid w:val="00B92C29"/>
    <w:rsid w:val="00B94CCA"/>
    <w:rsid w:val="00B94E92"/>
    <w:rsid w:val="00B958CC"/>
    <w:rsid w:val="00B96CEA"/>
    <w:rsid w:val="00BA0876"/>
    <w:rsid w:val="00BA0F2C"/>
    <w:rsid w:val="00BA168B"/>
    <w:rsid w:val="00BA2FA1"/>
    <w:rsid w:val="00BB0F55"/>
    <w:rsid w:val="00BB3849"/>
    <w:rsid w:val="00BC02DE"/>
    <w:rsid w:val="00BC2FB8"/>
    <w:rsid w:val="00BC4044"/>
    <w:rsid w:val="00BC4B9D"/>
    <w:rsid w:val="00BC6094"/>
    <w:rsid w:val="00BC61BF"/>
    <w:rsid w:val="00BC6365"/>
    <w:rsid w:val="00BD22FC"/>
    <w:rsid w:val="00BD23EA"/>
    <w:rsid w:val="00BD711E"/>
    <w:rsid w:val="00BD785D"/>
    <w:rsid w:val="00BE1A09"/>
    <w:rsid w:val="00BE3BEA"/>
    <w:rsid w:val="00BE4F84"/>
    <w:rsid w:val="00BE5D75"/>
    <w:rsid w:val="00BF0F6D"/>
    <w:rsid w:val="00BF19DC"/>
    <w:rsid w:val="00BF23CB"/>
    <w:rsid w:val="00BF323E"/>
    <w:rsid w:val="00BF5C19"/>
    <w:rsid w:val="00BF5EE5"/>
    <w:rsid w:val="00C02A2E"/>
    <w:rsid w:val="00C033B4"/>
    <w:rsid w:val="00C05555"/>
    <w:rsid w:val="00C059E3"/>
    <w:rsid w:val="00C05B5D"/>
    <w:rsid w:val="00C06DF5"/>
    <w:rsid w:val="00C07E3F"/>
    <w:rsid w:val="00C137ED"/>
    <w:rsid w:val="00C169F3"/>
    <w:rsid w:val="00C20D2A"/>
    <w:rsid w:val="00C2196D"/>
    <w:rsid w:val="00C24F22"/>
    <w:rsid w:val="00C25485"/>
    <w:rsid w:val="00C260A1"/>
    <w:rsid w:val="00C3029B"/>
    <w:rsid w:val="00C32E23"/>
    <w:rsid w:val="00C33A84"/>
    <w:rsid w:val="00C34608"/>
    <w:rsid w:val="00C351BB"/>
    <w:rsid w:val="00C364BB"/>
    <w:rsid w:val="00C37008"/>
    <w:rsid w:val="00C37086"/>
    <w:rsid w:val="00C4329D"/>
    <w:rsid w:val="00C43B1C"/>
    <w:rsid w:val="00C44CE3"/>
    <w:rsid w:val="00C47815"/>
    <w:rsid w:val="00C5449C"/>
    <w:rsid w:val="00C57A6B"/>
    <w:rsid w:val="00C60C5C"/>
    <w:rsid w:val="00C63124"/>
    <w:rsid w:val="00C66929"/>
    <w:rsid w:val="00C67501"/>
    <w:rsid w:val="00C70F75"/>
    <w:rsid w:val="00C71CC6"/>
    <w:rsid w:val="00C72FFA"/>
    <w:rsid w:val="00C827D4"/>
    <w:rsid w:val="00C82CAA"/>
    <w:rsid w:val="00C831BB"/>
    <w:rsid w:val="00C8339D"/>
    <w:rsid w:val="00C83A82"/>
    <w:rsid w:val="00C84492"/>
    <w:rsid w:val="00C8457A"/>
    <w:rsid w:val="00C8768E"/>
    <w:rsid w:val="00C903AA"/>
    <w:rsid w:val="00C9437C"/>
    <w:rsid w:val="00C945F4"/>
    <w:rsid w:val="00C94DAC"/>
    <w:rsid w:val="00CA2A9E"/>
    <w:rsid w:val="00CA2E70"/>
    <w:rsid w:val="00CA3DAE"/>
    <w:rsid w:val="00CB02D7"/>
    <w:rsid w:val="00CB5A0C"/>
    <w:rsid w:val="00CB6E4F"/>
    <w:rsid w:val="00CC03CC"/>
    <w:rsid w:val="00CC140B"/>
    <w:rsid w:val="00CC3C38"/>
    <w:rsid w:val="00CC590C"/>
    <w:rsid w:val="00CD040B"/>
    <w:rsid w:val="00CD373C"/>
    <w:rsid w:val="00CD546D"/>
    <w:rsid w:val="00CD6D75"/>
    <w:rsid w:val="00CD6EED"/>
    <w:rsid w:val="00CE45D0"/>
    <w:rsid w:val="00CE636E"/>
    <w:rsid w:val="00CE689C"/>
    <w:rsid w:val="00CE689F"/>
    <w:rsid w:val="00CE7871"/>
    <w:rsid w:val="00CF2633"/>
    <w:rsid w:val="00CF580E"/>
    <w:rsid w:val="00CF7334"/>
    <w:rsid w:val="00CF7EBD"/>
    <w:rsid w:val="00D00A21"/>
    <w:rsid w:val="00D02AC2"/>
    <w:rsid w:val="00D02AC4"/>
    <w:rsid w:val="00D02F4E"/>
    <w:rsid w:val="00D0354C"/>
    <w:rsid w:val="00D0569E"/>
    <w:rsid w:val="00D05C89"/>
    <w:rsid w:val="00D1061D"/>
    <w:rsid w:val="00D1272F"/>
    <w:rsid w:val="00D13A33"/>
    <w:rsid w:val="00D13F26"/>
    <w:rsid w:val="00D15DB1"/>
    <w:rsid w:val="00D20C0C"/>
    <w:rsid w:val="00D20ED6"/>
    <w:rsid w:val="00D20F76"/>
    <w:rsid w:val="00D24A2A"/>
    <w:rsid w:val="00D26938"/>
    <w:rsid w:val="00D3063B"/>
    <w:rsid w:val="00D307BA"/>
    <w:rsid w:val="00D30984"/>
    <w:rsid w:val="00D30D26"/>
    <w:rsid w:val="00D31F64"/>
    <w:rsid w:val="00D34F31"/>
    <w:rsid w:val="00D36191"/>
    <w:rsid w:val="00D40578"/>
    <w:rsid w:val="00D412CF"/>
    <w:rsid w:val="00D429F0"/>
    <w:rsid w:val="00D437DC"/>
    <w:rsid w:val="00D439AB"/>
    <w:rsid w:val="00D46CA4"/>
    <w:rsid w:val="00D5085E"/>
    <w:rsid w:val="00D518A4"/>
    <w:rsid w:val="00D52304"/>
    <w:rsid w:val="00D532EE"/>
    <w:rsid w:val="00D56A97"/>
    <w:rsid w:val="00D56D8D"/>
    <w:rsid w:val="00D6696B"/>
    <w:rsid w:val="00D66F09"/>
    <w:rsid w:val="00D67409"/>
    <w:rsid w:val="00D6761C"/>
    <w:rsid w:val="00D67D08"/>
    <w:rsid w:val="00D723A2"/>
    <w:rsid w:val="00D72B8B"/>
    <w:rsid w:val="00D72F8C"/>
    <w:rsid w:val="00D738F0"/>
    <w:rsid w:val="00D751BC"/>
    <w:rsid w:val="00D76A3D"/>
    <w:rsid w:val="00D77A3F"/>
    <w:rsid w:val="00D81249"/>
    <w:rsid w:val="00D84835"/>
    <w:rsid w:val="00D96028"/>
    <w:rsid w:val="00D96F46"/>
    <w:rsid w:val="00D97F33"/>
    <w:rsid w:val="00DA050F"/>
    <w:rsid w:val="00DA12D6"/>
    <w:rsid w:val="00DA1DDB"/>
    <w:rsid w:val="00DA2194"/>
    <w:rsid w:val="00DA28EE"/>
    <w:rsid w:val="00DA30E7"/>
    <w:rsid w:val="00DA5318"/>
    <w:rsid w:val="00DA56D5"/>
    <w:rsid w:val="00DA6536"/>
    <w:rsid w:val="00DB1759"/>
    <w:rsid w:val="00DB26F1"/>
    <w:rsid w:val="00DB305D"/>
    <w:rsid w:val="00DB3C07"/>
    <w:rsid w:val="00DB486D"/>
    <w:rsid w:val="00DB768A"/>
    <w:rsid w:val="00DC1B0A"/>
    <w:rsid w:val="00DC39E6"/>
    <w:rsid w:val="00DC5990"/>
    <w:rsid w:val="00DC729D"/>
    <w:rsid w:val="00DC7D49"/>
    <w:rsid w:val="00DC7D6A"/>
    <w:rsid w:val="00DC7F96"/>
    <w:rsid w:val="00DD2C28"/>
    <w:rsid w:val="00DD320B"/>
    <w:rsid w:val="00DD4EA7"/>
    <w:rsid w:val="00DD7173"/>
    <w:rsid w:val="00DD748F"/>
    <w:rsid w:val="00DE5ADA"/>
    <w:rsid w:val="00DE5D0C"/>
    <w:rsid w:val="00DF0496"/>
    <w:rsid w:val="00DF23E8"/>
    <w:rsid w:val="00DF2727"/>
    <w:rsid w:val="00DF31EA"/>
    <w:rsid w:val="00DF3ECF"/>
    <w:rsid w:val="00DF3F68"/>
    <w:rsid w:val="00DF4A3B"/>
    <w:rsid w:val="00DF6C18"/>
    <w:rsid w:val="00DF6DE3"/>
    <w:rsid w:val="00E01C8F"/>
    <w:rsid w:val="00E02144"/>
    <w:rsid w:val="00E02997"/>
    <w:rsid w:val="00E058BD"/>
    <w:rsid w:val="00E062F3"/>
    <w:rsid w:val="00E13206"/>
    <w:rsid w:val="00E141DC"/>
    <w:rsid w:val="00E158A8"/>
    <w:rsid w:val="00E17BBD"/>
    <w:rsid w:val="00E17FA3"/>
    <w:rsid w:val="00E20558"/>
    <w:rsid w:val="00E2207D"/>
    <w:rsid w:val="00E24A18"/>
    <w:rsid w:val="00E24D0F"/>
    <w:rsid w:val="00E2772A"/>
    <w:rsid w:val="00E27894"/>
    <w:rsid w:val="00E27F17"/>
    <w:rsid w:val="00E27FAB"/>
    <w:rsid w:val="00E31A81"/>
    <w:rsid w:val="00E33D0D"/>
    <w:rsid w:val="00E34537"/>
    <w:rsid w:val="00E35FA6"/>
    <w:rsid w:val="00E362D1"/>
    <w:rsid w:val="00E3706F"/>
    <w:rsid w:val="00E40493"/>
    <w:rsid w:val="00E40726"/>
    <w:rsid w:val="00E41C6D"/>
    <w:rsid w:val="00E43A89"/>
    <w:rsid w:val="00E446F3"/>
    <w:rsid w:val="00E44733"/>
    <w:rsid w:val="00E51158"/>
    <w:rsid w:val="00E517C8"/>
    <w:rsid w:val="00E5476D"/>
    <w:rsid w:val="00E54AB1"/>
    <w:rsid w:val="00E555B9"/>
    <w:rsid w:val="00E61213"/>
    <w:rsid w:val="00E63888"/>
    <w:rsid w:val="00E63CAD"/>
    <w:rsid w:val="00E65FD9"/>
    <w:rsid w:val="00E6667B"/>
    <w:rsid w:val="00E73928"/>
    <w:rsid w:val="00E73A64"/>
    <w:rsid w:val="00E74CB2"/>
    <w:rsid w:val="00E7569F"/>
    <w:rsid w:val="00E81103"/>
    <w:rsid w:val="00E822A9"/>
    <w:rsid w:val="00E85EF2"/>
    <w:rsid w:val="00E90D37"/>
    <w:rsid w:val="00E926E5"/>
    <w:rsid w:val="00E92CBA"/>
    <w:rsid w:val="00E936FF"/>
    <w:rsid w:val="00E93AE4"/>
    <w:rsid w:val="00E960C8"/>
    <w:rsid w:val="00E96D6B"/>
    <w:rsid w:val="00EA0118"/>
    <w:rsid w:val="00EA3BFE"/>
    <w:rsid w:val="00EA47FA"/>
    <w:rsid w:val="00EA4843"/>
    <w:rsid w:val="00EA5579"/>
    <w:rsid w:val="00EA5B23"/>
    <w:rsid w:val="00EA7BF5"/>
    <w:rsid w:val="00EB1603"/>
    <w:rsid w:val="00EB1B10"/>
    <w:rsid w:val="00EB461E"/>
    <w:rsid w:val="00EB4FF6"/>
    <w:rsid w:val="00EC1AB0"/>
    <w:rsid w:val="00EC3649"/>
    <w:rsid w:val="00EC3FE4"/>
    <w:rsid w:val="00EC7688"/>
    <w:rsid w:val="00EC7835"/>
    <w:rsid w:val="00ED15B8"/>
    <w:rsid w:val="00ED290B"/>
    <w:rsid w:val="00ED414F"/>
    <w:rsid w:val="00ED56B8"/>
    <w:rsid w:val="00ED6752"/>
    <w:rsid w:val="00EE0B19"/>
    <w:rsid w:val="00EE0B37"/>
    <w:rsid w:val="00EE1FAA"/>
    <w:rsid w:val="00EE3D2C"/>
    <w:rsid w:val="00EE6CE2"/>
    <w:rsid w:val="00EF10D0"/>
    <w:rsid w:val="00EF1CA8"/>
    <w:rsid w:val="00EF20E5"/>
    <w:rsid w:val="00EF3820"/>
    <w:rsid w:val="00EF467D"/>
    <w:rsid w:val="00EF5247"/>
    <w:rsid w:val="00F014E3"/>
    <w:rsid w:val="00F01A0B"/>
    <w:rsid w:val="00F02E01"/>
    <w:rsid w:val="00F06056"/>
    <w:rsid w:val="00F0623C"/>
    <w:rsid w:val="00F06432"/>
    <w:rsid w:val="00F110D2"/>
    <w:rsid w:val="00F11884"/>
    <w:rsid w:val="00F13858"/>
    <w:rsid w:val="00F139B1"/>
    <w:rsid w:val="00F1478D"/>
    <w:rsid w:val="00F1536E"/>
    <w:rsid w:val="00F15EBA"/>
    <w:rsid w:val="00F20201"/>
    <w:rsid w:val="00F256C1"/>
    <w:rsid w:val="00F27050"/>
    <w:rsid w:val="00F278A8"/>
    <w:rsid w:val="00F309AE"/>
    <w:rsid w:val="00F313AF"/>
    <w:rsid w:val="00F34884"/>
    <w:rsid w:val="00F40D14"/>
    <w:rsid w:val="00F41B58"/>
    <w:rsid w:val="00F41F04"/>
    <w:rsid w:val="00F44338"/>
    <w:rsid w:val="00F44584"/>
    <w:rsid w:val="00F45052"/>
    <w:rsid w:val="00F451B5"/>
    <w:rsid w:val="00F46A56"/>
    <w:rsid w:val="00F5102E"/>
    <w:rsid w:val="00F52F4B"/>
    <w:rsid w:val="00F554F6"/>
    <w:rsid w:val="00F57118"/>
    <w:rsid w:val="00F612A9"/>
    <w:rsid w:val="00F636EE"/>
    <w:rsid w:val="00F64CDB"/>
    <w:rsid w:val="00F6682D"/>
    <w:rsid w:val="00F70054"/>
    <w:rsid w:val="00F70938"/>
    <w:rsid w:val="00F74042"/>
    <w:rsid w:val="00F75AA1"/>
    <w:rsid w:val="00F80F48"/>
    <w:rsid w:val="00F81521"/>
    <w:rsid w:val="00F824C7"/>
    <w:rsid w:val="00F82707"/>
    <w:rsid w:val="00F83BDE"/>
    <w:rsid w:val="00F83C67"/>
    <w:rsid w:val="00F84672"/>
    <w:rsid w:val="00F85173"/>
    <w:rsid w:val="00F8601B"/>
    <w:rsid w:val="00F86FBB"/>
    <w:rsid w:val="00F87E6C"/>
    <w:rsid w:val="00F9005E"/>
    <w:rsid w:val="00F92A9D"/>
    <w:rsid w:val="00F93DDF"/>
    <w:rsid w:val="00F95DB9"/>
    <w:rsid w:val="00F97407"/>
    <w:rsid w:val="00F97A2D"/>
    <w:rsid w:val="00F97F15"/>
    <w:rsid w:val="00FA29E0"/>
    <w:rsid w:val="00FA4B21"/>
    <w:rsid w:val="00FA5B0D"/>
    <w:rsid w:val="00FA6AD2"/>
    <w:rsid w:val="00FB27AC"/>
    <w:rsid w:val="00FB4359"/>
    <w:rsid w:val="00FB5D04"/>
    <w:rsid w:val="00FB621F"/>
    <w:rsid w:val="00FC0DC6"/>
    <w:rsid w:val="00FC3B66"/>
    <w:rsid w:val="00FC4D37"/>
    <w:rsid w:val="00FC67D7"/>
    <w:rsid w:val="00FD03AB"/>
    <w:rsid w:val="00FD11D3"/>
    <w:rsid w:val="00FD1CF7"/>
    <w:rsid w:val="00FD4713"/>
    <w:rsid w:val="00FD5034"/>
    <w:rsid w:val="00FD542D"/>
    <w:rsid w:val="00FD5A8D"/>
    <w:rsid w:val="00FD5AC4"/>
    <w:rsid w:val="00FE363D"/>
    <w:rsid w:val="00FE54F2"/>
    <w:rsid w:val="00FE7D20"/>
    <w:rsid w:val="00FF2719"/>
    <w:rsid w:val="00FF36D9"/>
    <w:rsid w:val="00FF379D"/>
    <w:rsid w:val="00FF3DA0"/>
    <w:rsid w:val="1D2AC6D7"/>
    <w:rsid w:val="2178B827"/>
    <w:rsid w:val="2316D068"/>
    <w:rsid w:val="26E8CF61"/>
    <w:rsid w:val="39F5E404"/>
    <w:rsid w:val="3BFFA2E7"/>
    <w:rsid w:val="3E70B109"/>
    <w:rsid w:val="41FE5DE1"/>
    <w:rsid w:val="48A4D88B"/>
    <w:rsid w:val="50558BE3"/>
    <w:rsid w:val="59663DA4"/>
    <w:rsid w:val="5B1E6DA2"/>
    <w:rsid w:val="5B8F5526"/>
    <w:rsid w:val="6547F615"/>
    <w:rsid w:val="660DAC16"/>
    <w:rsid w:val="6898F133"/>
    <w:rsid w:val="6EC44239"/>
    <w:rsid w:val="6F0AEC5C"/>
    <w:rsid w:val="6F8B8BEE"/>
    <w:rsid w:val="7388B0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CE07ED20-857F-4E65-AC9B-873002DA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C66929"/>
    <w:pPr>
      <w:keepNext/>
      <w:spacing w:before="240" w:after="240"/>
      <w:outlineLvl w:val="1"/>
    </w:pPr>
    <w:rPr>
      <w:rFonts w:cs="Arial"/>
      <w:b/>
      <w:bCs/>
      <w:iCs/>
      <w:sz w:val="24"/>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C66929"/>
    <w:rPr>
      <w:rFonts w:ascii="Segoe UI" w:hAnsi="Segoe UI" w:cs="Arial"/>
      <w:b/>
      <w:bCs/>
      <w:iCs/>
      <w:sz w:val="24"/>
      <w:szCs w:val="24"/>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styleId="ListParagraph">
    <w:name w:val="List Paragraph"/>
    <w:aliases w:val="Bullet Normal,Rec para,List Paragraph1,List Paragraph11,List Level 1"/>
    <w:basedOn w:val="Normal"/>
    <w:link w:val="ListParagraphChar"/>
    <w:uiPriority w:val="34"/>
    <w:qFormat/>
    <w:rsid w:val="00C66929"/>
    <w:pPr>
      <w:spacing w:before="240" w:line="240" w:lineRule="auto"/>
      <w:ind w:left="720"/>
    </w:pPr>
    <w:rPr>
      <w:rFonts w:ascii="Calibri" w:hAnsi="Calibri" w:cs="Calibri"/>
      <w:sz w:val="22"/>
      <w:szCs w:val="22"/>
    </w:rPr>
  </w:style>
  <w:style w:type="character" w:customStyle="1" w:styleId="eop">
    <w:name w:val="eop"/>
    <w:basedOn w:val="DefaultParagraphFont"/>
    <w:rsid w:val="00C66929"/>
  </w:style>
  <w:style w:type="paragraph" w:styleId="CommentText">
    <w:name w:val="annotation text"/>
    <w:basedOn w:val="Normal"/>
    <w:link w:val="CommentTextChar"/>
    <w:unhideWhenUsed/>
    <w:rsid w:val="00C66929"/>
    <w:pPr>
      <w:spacing w:before="240" w:after="240" w:line="240" w:lineRule="auto"/>
    </w:pPr>
    <w:rPr>
      <w:rFonts w:cs="Segoe UI"/>
      <w:sz w:val="20"/>
      <w:szCs w:val="20"/>
    </w:rPr>
  </w:style>
  <w:style w:type="character" w:customStyle="1" w:styleId="CommentTextChar">
    <w:name w:val="Comment Text Char"/>
    <w:basedOn w:val="DefaultParagraphFont"/>
    <w:link w:val="CommentText"/>
    <w:rsid w:val="00C66929"/>
    <w:rPr>
      <w:rFonts w:ascii="Segoe UI" w:hAnsi="Segoe UI" w:cs="Segoe UI"/>
      <w:lang w:eastAsia="en-US"/>
    </w:rPr>
  </w:style>
  <w:style w:type="character" w:styleId="CommentReference">
    <w:name w:val="annotation reference"/>
    <w:basedOn w:val="DefaultParagraphFont"/>
    <w:semiHidden/>
    <w:unhideWhenUsed/>
    <w:rsid w:val="00C66929"/>
    <w:rPr>
      <w:sz w:val="16"/>
      <w:szCs w:val="16"/>
    </w:rPr>
  </w:style>
  <w:style w:type="character" w:customStyle="1" w:styleId="ListParagraphChar">
    <w:name w:val="List Paragraph Char"/>
    <w:aliases w:val="Bullet Normal Char,Rec para Char,List Paragraph1 Char,List Paragraph11 Char,List Level 1 Char"/>
    <w:basedOn w:val="DefaultParagraphFont"/>
    <w:link w:val="ListParagraph"/>
    <w:locked/>
    <w:rsid w:val="00C66929"/>
    <w:rPr>
      <w:rFonts w:ascii="Calibri" w:hAnsi="Calibri" w:cs="Calibri"/>
      <w:sz w:val="22"/>
      <w:szCs w:val="22"/>
      <w:lang w:eastAsia="en-US"/>
    </w:rPr>
  </w:style>
  <w:style w:type="character" w:customStyle="1" w:styleId="cf01">
    <w:name w:val="cf01"/>
    <w:basedOn w:val="DefaultParagraphFont"/>
    <w:rsid w:val="00C66929"/>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D54A4"/>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AD54A4"/>
    <w:rPr>
      <w:rFonts w:ascii="Segoe UI" w:hAnsi="Segoe UI" w:cs="Segoe UI"/>
      <w:b/>
      <w:bCs/>
      <w:lang w:eastAsia="en-US"/>
    </w:rPr>
  </w:style>
  <w:style w:type="character" w:styleId="Mention">
    <w:name w:val="Mention"/>
    <w:basedOn w:val="DefaultParagraphFont"/>
    <w:uiPriority w:val="99"/>
    <w:unhideWhenUsed/>
    <w:rsid w:val="00AD54A4"/>
    <w:rPr>
      <w:color w:val="2B579A"/>
      <w:shd w:val="clear" w:color="auto" w:fill="E1DFDD"/>
    </w:rPr>
  </w:style>
  <w:style w:type="character" w:styleId="UnresolvedMention">
    <w:name w:val="Unresolved Mention"/>
    <w:basedOn w:val="DefaultParagraphFont"/>
    <w:uiPriority w:val="99"/>
    <w:semiHidden/>
    <w:unhideWhenUsed/>
    <w:rsid w:val="008C7C3E"/>
    <w:rPr>
      <w:color w:val="605E5C"/>
      <w:shd w:val="clear" w:color="auto" w:fill="E1DFDD"/>
    </w:rPr>
  </w:style>
  <w:style w:type="character" w:customStyle="1" w:styleId="ui-provider">
    <w:name w:val="ui-provider"/>
    <w:basedOn w:val="DefaultParagraphFont"/>
    <w:rsid w:val="00DA2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458722974">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atha.nz/Guidelines" TargetMode="External"/><Relationship Id="rId2" Type="http://schemas.openxmlformats.org/officeDocument/2006/relationships/hyperlink" Target="https://my.clevelandclinic.org/health/diseases/21064-precocious-early-puberty" TargetMode="External"/><Relationship Id="rId1" Type="http://schemas.openxmlformats.org/officeDocument/2006/relationships/hyperlink" Target="http://www.who.int/standards/classifications/frequently-asked-questions/gender-incongruence-and-transgender-health-in-the-icd" TargetMode="External"/><Relationship Id="rId6" Type="http://schemas.openxmlformats.org/officeDocument/2006/relationships/hyperlink" Target="http://www.hdc.org.nz/your-rights/about-the-code/code-of-health-and-disability-services-consumers-rights" TargetMode="External"/><Relationship Id="rId5" Type="http://schemas.openxmlformats.org/officeDocument/2006/relationships/hyperlink" Target="https://www.sbu.se/en/publications/sbu-bereder/gender-dysphoria-in-children-and-adolescents-an-inventory-of-the-literature/" TargetMode="External"/><Relationship Id="rId4" Type="http://schemas.openxmlformats.org/officeDocument/2006/relationships/hyperlink" Target="https://cass.independent-review.uk/home/publications/final-repor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D10693D159362C4FB0187A33B6401FA700141CC74BAC1F4E43B49065212F7347A3" ma:contentTypeVersion="76" ma:contentTypeDescription="Create a new document." ma:contentTypeScope="" ma:versionID="66c7de7188e692b820638cf3215d6d1f">
  <xsd:schema xmlns:xsd="http://www.w3.org/2001/XMLSchema" xmlns:xs="http://www.w3.org/2001/XMLSchema" xmlns:p="http://schemas.microsoft.com/office/2006/metadata/properties" xmlns:ns2="4f9c820c-e7e2-444d-97ee-45f2b3485c1d" xmlns:ns3="184c05c4-c568-455d-94a4-7e009b164348" xmlns:ns4="15ffb055-6eb4-45a1-bc20-bf2ac0d420da" xmlns:ns5="725c79e5-42ce-4aa0-ac78-b6418001f0d2" xmlns:ns6="c91a514c-9034-4fa3-897a-8352025b26ed" xmlns:ns7="4154b9c0-578c-4475-ad63-e9c7aa82bac4" targetNamespace="http://schemas.microsoft.com/office/2006/metadata/properties" ma:root="true" ma:fieldsID="a3106cb1b3f3924c6a78b24c05d70edd" ns2:_="" ns3:_="" ns4:_="" ns5:_="" ns6:_="" ns7:_="">
    <xsd:import namespace="4f9c820c-e7e2-444d-97ee-45f2b3485c1d"/>
    <xsd:import namespace="184c05c4-c568-455d-94a4-7e009b164348"/>
    <xsd:import namespace="15ffb055-6eb4-45a1-bc20-bf2ac0d420da"/>
    <xsd:import namespace="725c79e5-42ce-4aa0-ac78-b6418001f0d2"/>
    <xsd:import namespace="c91a514c-9034-4fa3-897a-8352025b26ed"/>
    <xsd:import namespace="4154b9c0-578c-4475-ad63-e9c7aa82bac4"/>
    <xsd:element name="properties">
      <xsd:complexType>
        <xsd:sequence>
          <xsd:element name="documentManagement">
            <xsd:complexType>
              <xsd:all>
                <xsd:element ref="ns2:DocumentType" minOccurs="0"/>
                <xsd:element ref="ns3:HasNHI" minOccurs="0"/>
                <xsd:element ref="ns4:KeyWords" minOccurs="0"/>
                <xsd:element ref="ns2:Narrative" minOccurs="0"/>
                <xsd:element ref="ns4: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5:AggregationNarrative" minOccurs="0"/>
                <xsd:element ref="ns6:Channel" minOccurs="0"/>
                <xsd:element ref="ns6:Team" minOccurs="0"/>
                <xsd:element ref="ns6:Level2" minOccurs="0"/>
                <xsd:element ref="ns6:Level3" minOccurs="0"/>
                <xsd:element ref="ns6:Year" minOccurs="0"/>
                <xsd:element ref="ns6:OverrideLabel" minOccurs="0"/>
                <xsd:element ref="ns6:SetLabel" minOccurs="0"/>
                <xsd:element ref="ns3:zLegacy" minOccurs="0"/>
                <xsd:element ref="ns3:zLegacyID" minOccurs="0"/>
                <xsd:element ref="ns3:zLegacyJSON" minOccurs="0"/>
                <xsd:element ref="ns3:CopiedFrom" minOccurs="0"/>
                <xsd:element ref="ns3:Endorsements" minOccurs="0"/>
                <xsd:element ref="ns7:MediaServiceMetadata" minOccurs="0"/>
                <xsd:element ref="ns7:MediaServiceFastMetadata" minOccurs="0"/>
                <xsd:element ref="ns7:MediaServiceSearchProperties"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0" nillable="true" ma:displayName="Function" ma:default="Health System Programme"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9"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2"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Health System Programme" ma:hidden="true" ma:internalName="Team" ma:readOnly="false">
      <xsd:simpleType>
        <xsd:restriction base="dms:Text">
          <xsd:maxLength value="255"/>
        </xsd:restriction>
      </xsd:simpleType>
    </xsd:element>
    <xsd:element name="Level2" ma:index="38" nillable="true" ma:displayName="Level 2" ma:default="NA" ma:hidden="true" ma:internalName="Level2" ma:readOnly="false">
      <xsd:simpleType>
        <xsd:restriction base="dms:Text">
          <xsd:maxLength value="255"/>
        </xsd:restriction>
      </xsd:simpleType>
    </xsd:element>
    <xsd:element name="Level3" ma:index="39" nillable="true" ma:displayName="Level 3" ma:default="NA" ma:hidden="true" ma:internalName="Level3" ma:readOnly="false">
      <xsd:simpleType>
        <xsd:restriction base="dms:Text">
          <xsd:maxLength value="255"/>
        </xsd:restriction>
      </xsd:simpleType>
    </xsd:element>
    <xsd:element name="Year" ma:index="40" nillable="true" ma:displayName="Year" ma:default="NA" ma:hidden="true" ma:internalName="Year"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element name="SetLabel" ma:index="42" nillable="true" ma:displayName="Set Label" ma:default="T10M" ma:hidden="true" ma:indexed="true" ma:internalName="Set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54b9c0-578c-4475-ad63-e9c7aa82bac4"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CategoryValue xmlns="4f9c820c-e7e2-444d-97ee-45f2b3485c1d">NA</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Health System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Health System Programme</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OverrideLabel xmlns="c91a514c-9034-4fa3-897a-8352025b26ed" xsi:nil="true"/>
    <SetLabel xmlns="c91a514c-9034-4fa3-897a-8352025b26ed">T10M</SetLabel>
    <Activity xmlns="4f9c820c-e7e2-444d-97ee-45f2b3485c1d"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2.xml><?xml version="1.0" encoding="utf-8"?>
<ds:datastoreItem xmlns:ds="http://schemas.openxmlformats.org/officeDocument/2006/customXml" ds:itemID="{E9E03AC5-F84A-4C6A-A12F-FDC3DC964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84c05c4-c568-455d-94a4-7e009b164348"/>
    <ds:schemaRef ds:uri="15ffb055-6eb4-45a1-bc20-bf2ac0d420da"/>
    <ds:schemaRef ds:uri="725c79e5-42ce-4aa0-ac78-b6418001f0d2"/>
    <ds:schemaRef ds:uri="c91a514c-9034-4fa3-897a-8352025b26ed"/>
    <ds:schemaRef ds:uri="4154b9c0-578c-4475-ad63-e9c7aa82b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4.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725c79e5-42ce-4aa0-ac78-b6418001f0d2"/>
  </ds:schemaRefs>
</ds:datastoreItem>
</file>

<file path=customXml/itemProps5.xml><?xml version="1.0" encoding="utf-8"?>
<ds:datastoreItem xmlns:ds="http://schemas.openxmlformats.org/officeDocument/2006/customXml" ds:itemID="{CA3F436D-C223-40A9-8B64-CE2B18C844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Factsheet template</Template>
  <TotalTime>0</TotalTime>
  <Pages>6</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Position Statement on the Use of Puberty Blockers</vt:lpstr>
    </vt:vector>
  </TitlesOfParts>
  <Company>Ministry of Health</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Statement on the Use of Puberty Blockers</dc:title>
  <dc:subject/>
  <dc:creator>Ministry of Health</dc:creator>
  <cp:keywords/>
  <cp:lastModifiedBy>Ministry of Health</cp:lastModifiedBy>
  <cp:revision>2</cp:revision>
  <cp:lastPrinted>2024-09-19T01:06:00Z</cp:lastPrinted>
  <dcterms:created xsi:type="dcterms:W3CDTF">2024-11-20T23:08:00Z</dcterms:created>
  <dcterms:modified xsi:type="dcterms:W3CDTF">2024-11-20T23:08:00Z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0x010100D10693D159362C4FB0187A33B6401FA700141CC74BAC1F4E43B49065212F7347A3</vt:lpwstr>
  </property>
  <property fmtid="{D5CDD505-2E9C-101B-9397-08002B2CF9AE}" pid="3" name="MediaServiceImageTags">
    <vt:lpwstr/>
  </property>
  <property fmtid="{D5CDD505-2E9C-101B-9397-08002B2CF9AE}" pid="4" name="_dlc_DocIdItemGuid">
    <vt:lpwstr>8bb1c9bd-8bda-49ed-bd3d-707a2647c9b3</vt:lpwstr>
  </property>
  <property fmtid="{D5CDD505-2E9C-101B-9397-08002B2CF9AE}" pid="5" name="_dlc_DocId">
    <vt:lpwstr>MOHECM-1397477463-156</vt:lpwstr>
  </property>
  <property fmtid="{D5CDD505-2E9C-101B-9397-08002B2CF9AE}" pid="6" name="_dlc_DocIdUrl">
    <vt:lpwstr>https://mohgovtnz.sharepoint.com/sites/moh-ecm-HealSyst/_layouts/15/DocIdRedir.aspx?ID=MOHECM-1397477463-156, MOHECM-1397477463-156</vt:lpwstr>
  </property>
</Properties>
</file>