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7" w:type="dxa"/>
        <w:tblBorders>
          <w:bottom w:val="single" w:sz="12" w:space="0" w:color="auto"/>
        </w:tblBorders>
        <w:tblLayout w:type="fixed"/>
        <w:tblCellMar>
          <w:left w:w="0" w:type="dxa"/>
          <w:right w:w="0" w:type="dxa"/>
        </w:tblCellMar>
        <w:tblLook w:val="01E0" w:firstRow="1" w:lastRow="1" w:firstColumn="1" w:lastColumn="1" w:noHBand="0" w:noVBand="0"/>
      </w:tblPr>
      <w:tblGrid>
        <w:gridCol w:w="10632"/>
        <w:gridCol w:w="3685"/>
      </w:tblGrid>
      <w:tr w:rsidR="00D56D8D" w:rsidRPr="00DD748F" w14:paraId="0D335D4D" w14:textId="77777777" w:rsidTr="00307C5D">
        <w:trPr>
          <w:cantSplit/>
        </w:trPr>
        <w:tc>
          <w:tcPr>
            <w:tcW w:w="10632" w:type="dxa"/>
            <w:shd w:val="clear" w:color="auto" w:fill="auto"/>
            <w:vAlign w:val="bottom"/>
          </w:tcPr>
          <w:p w14:paraId="6E098CD1" w14:textId="73D861A0" w:rsidR="008348B7" w:rsidRPr="00DD748F" w:rsidRDefault="002E20EC" w:rsidP="00242284">
            <w:pPr>
              <w:pStyle w:val="Title"/>
            </w:pPr>
            <w:r w:rsidRPr="002E20EC">
              <w:t>Epidemiology of Gender Dysphoria: Quality Assessment; Crowe Critical Appraisal Tool (CCAT)</w:t>
            </w:r>
          </w:p>
        </w:tc>
        <w:tc>
          <w:tcPr>
            <w:tcW w:w="3685" w:type="dxa"/>
            <w:shd w:val="clear" w:color="auto" w:fill="auto"/>
            <w:vAlign w:val="bottom"/>
          </w:tcPr>
          <w:p w14:paraId="7F6C11BA" w14:textId="77777777" w:rsidR="00CD373C" w:rsidRPr="00DD748F" w:rsidRDefault="00CD373C" w:rsidP="0092659B">
            <w:pPr>
              <w:spacing w:after="120"/>
              <w:jc w:val="right"/>
            </w:pPr>
          </w:p>
          <w:p w14:paraId="6FF10AAC" w14:textId="54655B92" w:rsidR="00423830" w:rsidRPr="00242284" w:rsidRDefault="00046433" w:rsidP="00307C5D">
            <w:pPr>
              <w:spacing w:after="120"/>
              <w:ind w:left="-139" w:firstLine="139"/>
              <w:jc w:val="right"/>
              <w:rPr>
                <w:rFonts w:cs="Segoe UI"/>
                <w:color w:val="002B7F"/>
                <w:sz w:val="28"/>
                <w:szCs w:val="28"/>
              </w:rPr>
            </w:pPr>
            <w:r>
              <w:rPr>
                <w:rFonts w:cs="Segoe UI"/>
                <w:sz w:val="28"/>
                <w:szCs w:val="28"/>
              </w:rPr>
              <w:t>November</w:t>
            </w:r>
            <w:r w:rsidR="002E20EC">
              <w:rPr>
                <w:rFonts w:cs="Segoe UI"/>
                <w:sz w:val="28"/>
                <w:szCs w:val="28"/>
              </w:rPr>
              <w:t xml:space="preserve"> 2024</w:t>
            </w:r>
          </w:p>
        </w:tc>
      </w:tr>
    </w:tbl>
    <w:p w14:paraId="068F0D58" w14:textId="443580D4" w:rsidR="008348B7" w:rsidRDefault="008348B7" w:rsidP="002E20EC">
      <w:pPr>
        <w:spacing w:after="120"/>
      </w:pPr>
    </w:p>
    <w:tbl>
      <w:tblPr>
        <w:tblStyle w:val="TableGrid"/>
        <w:tblW w:w="1430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408"/>
        <w:gridCol w:w="1328"/>
        <w:gridCol w:w="1329"/>
        <w:gridCol w:w="1329"/>
        <w:gridCol w:w="1329"/>
        <w:gridCol w:w="1329"/>
        <w:gridCol w:w="1329"/>
        <w:gridCol w:w="1329"/>
        <w:gridCol w:w="1329"/>
        <w:gridCol w:w="992"/>
        <w:gridCol w:w="1276"/>
      </w:tblGrid>
      <w:tr w:rsidR="002E20EC" w14:paraId="4896E008" w14:textId="77777777" w:rsidTr="002E20EC">
        <w:trPr>
          <w:trHeight w:val="480"/>
        </w:trPr>
        <w:tc>
          <w:tcPr>
            <w:tcW w:w="1408" w:type="dxa"/>
            <w:shd w:val="clear" w:color="auto" w:fill="D9D9D9" w:themeFill="background1" w:themeFillShade="D9"/>
            <w:tcMar>
              <w:left w:w="108" w:type="dxa"/>
              <w:right w:w="108" w:type="dxa"/>
            </w:tcMar>
          </w:tcPr>
          <w:p w14:paraId="28D1184A" w14:textId="77777777" w:rsidR="002E20EC" w:rsidRPr="002E20EC" w:rsidRDefault="002E20EC" w:rsidP="002E20EC">
            <w:pPr>
              <w:pStyle w:val="TableText"/>
              <w:spacing w:before="60"/>
              <w:rPr>
                <w:b/>
                <w:bCs/>
              </w:rPr>
            </w:pPr>
            <w:r w:rsidRPr="002E20EC">
              <w:rPr>
                <w:b/>
                <w:bCs/>
              </w:rPr>
              <w:t>Study</w:t>
            </w:r>
          </w:p>
        </w:tc>
        <w:tc>
          <w:tcPr>
            <w:tcW w:w="1328" w:type="dxa"/>
            <w:shd w:val="clear" w:color="auto" w:fill="D9D9D9" w:themeFill="background1" w:themeFillShade="D9"/>
            <w:tcMar>
              <w:left w:w="108" w:type="dxa"/>
              <w:right w:w="108" w:type="dxa"/>
            </w:tcMar>
          </w:tcPr>
          <w:p w14:paraId="789DA57F" w14:textId="77777777" w:rsidR="002E20EC" w:rsidRPr="002E20EC" w:rsidRDefault="002E20EC" w:rsidP="002E20EC">
            <w:pPr>
              <w:pStyle w:val="TableText"/>
              <w:spacing w:before="60"/>
              <w:jc w:val="center"/>
              <w:rPr>
                <w:b/>
                <w:bCs/>
              </w:rPr>
            </w:pPr>
            <w:r w:rsidRPr="002E20EC">
              <w:rPr>
                <w:b/>
                <w:bCs/>
              </w:rPr>
              <w:t>Preliminaries</w:t>
            </w:r>
          </w:p>
        </w:tc>
        <w:tc>
          <w:tcPr>
            <w:tcW w:w="1329" w:type="dxa"/>
            <w:shd w:val="clear" w:color="auto" w:fill="D9D9D9" w:themeFill="background1" w:themeFillShade="D9"/>
            <w:tcMar>
              <w:left w:w="108" w:type="dxa"/>
              <w:right w:w="108" w:type="dxa"/>
            </w:tcMar>
          </w:tcPr>
          <w:p w14:paraId="52E2F870" w14:textId="77777777" w:rsidR="002E20EC" w:rsidRPr="002E20EC" w:rsidRDefault="002E20EC" w:rsidP="002E20EC">
            <w:pPr>
              <w:pStyle w:val="TableText"/>
              <w:spacing w:before="60"/>
              <w:jc w:val="center"/>
              <w:rPr>
                <w:b/>
                <w:bCs/>
              </w:rPr>
            </w:pPr>
            <w:r w:rsidRPr="002E20EC">
              <w:rPr>
                <w:b/>
                <w:bCs/>
              </w:rPr>
              <w:t>Introduction</w:t>
            </w:r>
          </w:p>
        </w:tc>
        <w:tc>
          <w:tcPr>
            <w:tcW w:w="1329" w:type="dxa"/>
            <w:shd w:val="clear" w:color="auto" w:fill="D9D9D9" w:themeFill="background1" w:themeFillShade="D9"/>
            <w:tcMar>
              <w:left w:w="108" w:type="dxa"/>
              <w:right w:w="108" w:type="dxa"/>
            </w:tcMar>
          </w:tcPr>
          <w:p w14:paraId="6861D1E7" w14:textId="77777777" w:rsidR="002E20EC" w:rsidRPr="002E20EC" w:rsidRDefault="002E20EC" w:rsidP="002E20EC">
            <w:pPr>
              <w:pStyle w:val="TableText"/>
              <w:spacing w:before="60"/>
              <w:jc w:val="center"/>
              <w:rPr>
                <w:b/>
                <w:bCs/>
              </w:rPr>
            </w:pPr>
            <w:r w:rsidRPr="002E20EC">
              <w:rPr>
                <w:b/>
                <w:bCs/>
              </w:rPr>
              <w:t>Design</w:t>
            </w:r>
          </w:p>
        </w:tc>
        <w:tc>
          <w:tcPr>
            <w:tcW w:w="1329" w:type="dxa"/>
            <w:shd w:val="clear" w:color="auto" w:fill="D9D9D9" w:themeFill="background1" w:themeFillShade="D9"/>
            <w:tcMar>
              <w:left w:w="108" w:type="dxa"/>
              <w:right w:w="108" w:type="dxa"/>
            </w:tcMar>
          </w:tcPr>
          <w:p w14:paraId="0BBE765E" w14:textId="77777777" w:rsidR="002E20EC" w:rsidRPr="002E20EC" w:rsidRDefault="002E20EC" w:rsidP="002E20EC">
            <w:pPr>
              <w:pStyle w:val="TableText"/>
              <w:spacing w:before="60"/>
              <w:jc w:val="center"/>
              <w:rPr>
                <w:b/>
                <w:bCs/>
              </w:rPr>
            </w:pPr>
            <w:r w:rsidRPr="002E20EC">
              <w:rPr>
                <w:b/>
                <w:bCs/>
              </w:rPr>
              <w:t>Sampling</w:t>
            </w:r>
          </w:p>
        </w:tc>
        <w:tc>
          <w:tcPr>
            <w:tcW w:w="1329" w:type="dxa"/>
            <w:shd w:val="clear" w:color="auto" w:fill="D9D9D9" w:themeFill="background1" w:themeFillShade="D9"/>
            <w:tcMar>
              <w:left w:w="108" w:type="dxa"/>
              <w:right w:w="108" w:type="dxa"/>
            </w:tcMar>
          </w:tcPr>
          <w:p w14:paraId="24CFB9C2" w14:textId="77777777" w:rsidR="002E20EC" w:rsidRPr="002E20EC" w:rsidRDefault="002E20EC" w:rsidP="002E20EC">
            <w:pPr>
              <w:pStyle w:val="TableText"/>
              <w:spacing w:before="60"/>
              <w:jc w:val="center"/>
              <w:rPr>
                <w:b/>
                <w:bCs/>
              </w:rPr>
            </w:pPr>
            <w:r w:rsidRPr="002E20EC">
              <w:rPr>
                <w:b/>
                <w:bCs/>
              </w:rPr>
              <w:t>Data Collection</w:t>
            </w:r>
          </w:p>
        </w:tc>
        <w:tc>
          <w:tcPr>
            <w:tcW w:w="1329" w:type="dxa"/>
            <w:shd w:val="clear" w:color="auto" w:fill="D9D9D9" w:themeFill="background1" w:themeFillShade="D9"/>
            <w:tcMar>
              <w:left w:w="108" w:type="dxa"/>
              <w:right w:w="108" w:type="dxa"/>
            </w:tcMar>
          </w:tcPr>
          <w:p w14:paraId="50161780" w14:textId="77777777" w:rsidR="002E20EC" w:rsidRPr="002E20EC" w:rsidRDefault="002E20EC" w:rsidP="002E20EC">
            <w:pPr>
              <w:pStyle w:val="TableText"/>
              <w:spacing w:before="60"/>
              <w:jc w:val="center"/>
              <w:rPr>
                <w:b/>
                <w:bCs/>
              </w:rPr>
            </w:pPr>
            <w:r w:rsidRPr="002E20EC">
              <w:rPr>
                <w:b/>
                <w:bCs/>
              </w:rPr>
              <w:t>Ethical Matters</w:t>
            </w:r>
          </w:p>
        </w:tc>
        <w:tc>
          <w:tcPr>
            <w:tcW w:w="1329" w:type="dxa"/>
            <w:shd w:val="clear" w:color="auto" w:fill="D9D9D9" w:themeFill="background1" w:themeFillShade="D9"/>
            <w:tcMar>
              <w:left w:w="108" w:type="dxa"/>
              <w:right w:w="108" w:type="dxa"/>
            </w:tcMar>
          </w:tcPr>
          <w:p w14:paraId="7A906309" w14:textId="77777777" w:rsidR="002E20EC" w:rsidRPr="002E20EC" w:rsidRDefault="002E20EC" w:rsidP="002E20EC">
            <w:pPr>
              <w:pStyle w:val="TableText"/>
              <w:spacing w:before="60"/>
              <w:jc w:val="center"/>
              <w:rPr>
                <w:b/>
                <w:bCs/>
              </w:rPr>
            </w:pPr>
            <w:r w:rsidRPr="002E20EC">
              <w:rPr>
                <w:b/>
                <w:bCs/>
              </w:rPr>
              <w:t>Results</w:t>
            </w:r>
          </w:p>
        </w:tc>
        <w:tc>
          <w:tcPr>
            <w:tcW w:w="1329" w:type="dxa"/>
            <w:shd w:val="clear" w:color="auto" w:fill="D9D9D9" w:themeFill="background1" w:themeFillShade="D9"/>
            <w:tcMar>
              <w:left w:w="108" w:type="dxa"/>
              <w:right w:w="108" w:type="dxa"/>
            </w:tcMar>
          </w:tcPr>
          <w:p w14:paraId="103452CC" w14:textId="77777777" w:rsidR="002E20EC" w:rsidRPr="002E20EC" w:rsidRDefault="002E20EC" w:rsidP="002E20EC">
            <w:pPr>
              <w:pStyle w:val="TableText"/>
              <w:spacing w:before="60"/>
              <w:jc w:val="center"/>
              <w:rPr>
                <w:b/>
                <w:bCs/>
              </w:rPr>
            </w:pPr>
            <w:r w:rsidRPr="002E20EC">
              <w:rPr>
                <w:b/>
                <w:bCs/>
              </w:rPr>
              <w:t>Discussion</w:t>
            </w:r>
          </w:p>
        </w:tc>
        <w:tc>
          <w:tcPr>
            <w:tcW w:w="992" w:type="dxa"/>
            <w:shd w:val="clear" w:color="auto" w:fill="D9D9D9" w:themeFill="background1" w:themeFillShade="D9"/>
            <w:tcMar>
              <w:left w:w="108" w:type="dxa"/>
              <w:right w:w="108" w:type="dxa"/>
            </w:tcMar>
          </w:tcPr>
          <w:p w14:paraId="42591FC5" w14:textId="77777777" w:rsidR="002E20EC" w:rsidRPr="002E20EC" w:rsidRDefault="002E20EC" w:rsidP="002E20EC">
            <w:pPr>
              <w:pStyle w:val="TableText"/>
              <w:spacing w:before="60"/>
              <w:jc w:val="center"/>
              <w:rPr>
                <w:b/>
                <w:bCs/>
              </w:rPr>
            </w:pPr>
            <w:r w:rsidRPr="002E20EC">
              <w:rPr>
                <w:b/>
                <w:bCs/>
              </w:rPr>
              <w:t>Total</w:t>
            </w:r>
          </w:p>
        </w:tc>
        <w:tc>
          <w:tcPr>
            <w:tcW w:w="1276" w:type="dxa"/>
            <w:shd w:val="clear" w:color="auto" w:fill="D9D9D9" w:themeFill="background1" w:themeFillShade="D9"/>
            <w:tcMar>
              <w:left w:w="108" w:type="dxa"/>
              <w:right w:w="108" w:type="dxa"/>
            </w:tcMar>
          </w:tcPr>
          <w:p w14:paraId="7024A33A" w14:textId="77777777" w:rsidR="002E20EC" w:rsidRPr="002E20EC" w:rsidRDefault="002E20EC" w:rsidP="002E20EC">
            <w:pPr>
              <w:pStyle w:val="TableText"/>
              <w:spacing w:before="60"/>
              <w:jc w:val="center"/>
              <w:rPr>
                <w:b/>
                <w:bCs/>
              </w:rPr>
            </w:pPr>
            <w:r w:rsidRPr="002E20EC">
              <w:rPr>
                <w:b/>
                <w:bCs/>
              </w:rPr>
              <w:t>Percentage</w:t>
            </w:r>
          </w:p>
        </w:tc>
      </w:tr>
      <w:tr w:rsidR="002E20EC" w14:paraId="7EEDB3A8" w14:textId="77777777" w:rsidTr="002E20EC">
        <w:trPr>
          <w:trHeight w:val="495"/>
        </w:trPr>
        <w:tc>
          <w:tcPr>
            <w:tcW w:w="1408" w:type="dxa"/>
            <w:tcMar>
              <w:left w:w="108" w:type="dxa"/>
              <w:right w:w="108" w:type="dxa"/>
            </w:tcMar>
          </w:tcPr>
          <w:p w14:paraId="05C7F9BD" w14:textId="24936AE1" w:rsidR="002E20EC" w:rsidRDefault="002E20EC" w:rsidP="002E20EC">
            <w:pPr>
              <w:pStyle w:val="TableText"/>
              <w:spacing w:before="60"/>
            </w:pPr>
            <w:r w:rsidRPr="35A4F127">
              <w:t>Indremo</w:t>
            </w:r>
            <w:r w:rsidRPr="35A4F127">
              <w:rPr>
                <w:vertAlign w:val="superscript"/>
              </w:rPr>
              <w:t>1</w:t>
            </w:r>
            <w:r>
              <w:rPr>
                <w:vertAlign w:val="superscript"/>
              </w:rPr>
              <w:br/>
            </w:r>
            <w:r w:rsidRPr="35A4F127">
              <w:t>2021</w:t>
            </w:r>
          </w:p>
        </w:tc>
        <w:tc>
          <w:tcPr>
            <w:tcW w:w="1328" w:type="dxa"/>
            <w:tcMar>
              <w:left w:w="108" w:type="dxa"/>
              <w:right w:w="108" w:type="dxa"/>
            </w:tcMar>
            <w:vAlign w:val="center"/>
          </w:tcPr>
          <w:p w14:paraId="63C4688D"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00EBDF77"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73E87D78"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39224900"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7357534C"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782383B1"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05800B86"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1C46CEA7" w14:textId="77777777" w:rsidR="002E20EC" w:rsidRDefault="002E20EC" w:rsidP="002E20EC">
            <w:pPr>
              <w:pStyle w:val="TableText"/>
              <w:spacing w:before="60"/>
              <w:jc w:val="center"/>
            </w:pPr>
            <w:r w:rsidRPr="35A4F127">
              <w:t>5</w:t>
            </w:r>
          </w:p>
        </w:tc>
        <w:tc>
          <w:tcPr>
            <w:tcW w:w="992" w:type="dxa"/>
            <w:tcMar>
              <w:left w:w="108" w:type="dxa"/>
              <w:right w:w="108" w:type="dxa"/>
            </w:tcMar>
            <w:vAlign w:val="center"/>
          </w:tcPr>
          <w:p w14:paraId="63728E45" w14:textId="77777777" w:rsidR="002E20EC" w:rsidRDefault="002E20EC" w:rsidP="002E20EC">
            <w:pPr>
              <w:pStyle w:val="TableText"/>
              <w:spacing w:before="60"/>
              <w:jc w:val="center"/>
            </w:pPr>
            <w:r w:rsidRPr="35A4F127">
              <w:t>36</w:t>
            </w:r>
          </w:p>
        </w:tc>
        <w:tc>
          <w:tcPr>
            <w:tcW w:w="1276" w:type="dxa"/>
            <w:tcMar>
              <w:left w:w="108" w:type="dxa"/>
              <w:right w:w="108" w:type="dxa"/>
            </w:tcMar>
            <w:vAlign w:val="center"/>
          </w:tcPr>
          <w:p w14:paraId="3CC8D059" w14:textId="77777777" w:rsidR="002E20EC" w:rsidRDefault="002E20EC" w:rsidP="002E20EC">
            <w:pPr>
              <w:pStyle w:val="TableText"/>
              <w:spacing w:before="60"/>
              <w:jc w:val="center"/>
            </w:pPr>
            <w:r w:rsidRPr="35A4F127">
              <w:t>90%</w:t>
            </w:r>
          </w:p>
        </w:tc>
      </w:tr>
      <w:tr w:rsidR="002E20EC" w14:paraId="47868897" w14:textId="77777777" w:rsidTr="002E20EC">
        <w:trPr>
          <w:trHeight w:val="480"/>
        </w:trPr>
        <w:tc>
          <w:tcPr>
            <w:tcW w:w="1408" w:type="dxa"/>
            <w:tcMar>
              <w:left w:w="108" w:type="dxa"/>
              <w:right w:w="108" w:type="dxa"/>
            </w:tcMar>
          </w:tcPr>
          <w:p w14:paraId="5245D7C1" w14:textId="0501A40F" w:rsidR="002E20EC" w:rsidRDefault="002E20EC" w:rsidP="002E20EC">
            <w:pPr>
              <w:pStyle w:val="TableText"/>
              <w:spacing w:before="60"/>
            </w:pPr>
            <w:r w:rsidRPr="35A4F127">
              <w:t>Kaltiala</w:t>
            </w:r>
            <w:r w:rsidRPr="35A4F127">
              <w:rPr>
                <w:vertAlign w:val="superscript"/>
              </w:rPr>
              <w:t>2</w:t>
            </w:r>
            <w:r>
              <w:rPr>
                <w:vertAlign w:val="superscript"/>
              </w:rPr>
              <w:br/>
            </w:r>
            <w:r w:rsidRPr="35A4F127">
              <w:t>2020</w:t>
            </w:r>
          </w:p>
        </w:tc>
        <w:tc>
          <w:tcPr>
            <w:tcW w:w="1328" w:type="dxa"/>
            <w:tcMar>
              <w:left w:w="108" w:type="dxa"/>
              <w:right w:w="108" w:type="dxa"/>
            </w:tcMar>
            <w:vAlign w:val="center"/>
          </w:tcPr>
          <w:p w14:paraId="5C72EA78"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3F99DF86"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0D210108" w14:textId="77777777" w:rsidR="002E20EC" w:rsidRDefault="002E20EC" w:rsidP="002E20EC">
            <w:pPr>
              <w:pStyle w:val="TableText"/>
              <w:spacing w:before="60"/>
              <w:jc w:val="center"/>
            </w:pPr>
            <w:r w:rsidRPr="35A4F127">
              <w:t>2</w:t>
            </w:r>
          </w:p>
        </w:tc>
        <w:tc>
          <w:tcPr>
            <w:tcW w:w="1329" w:type="dxa"/>
            <w:tcMar>
              <w:left w:w="108" w:type="dxa"/>
              <w:right w:w="108" w:type="dxa"/>
            </w:tcMar>
            <w:vAlign w:val="center"/>
          </w:tcPr>
          <w:p w14:paraId="46315238" w14:textId="77777777" w:rsidR="002E20EC" w:rsidRDefault="002E20EC" w:rsidP="002E20EC">
            <w:pPr>
              <w:pStyle w:val="TableText"/>
              <w:spacing w:before="60"/>
              <w:jc w:val="center"/>
            </w:pPr>
            <w:r w:rsidRPr="35A4F127">
              <w:t>2</w:t>
            </w:r>
          </w:p>
        </w:tc>
        <w:tc>
          <w:tcPr>
            <w:tcW w:w="1329" w:type="dxa"/>
            <w:tcMar>
              <w:left w:w="108" w:type="dxa"/>
              <w:right w:w="108" w:type="dxa"/>
            </w:tcMar>
            <w:vAlign w:val="center"/>
          </w:tcPr>
          <w:p w14:paraId="6D2BFEAA"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4BD5B52C"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609424BC" w14:textId="77777777" w:rsidR="002E20EC" w:rsidRDefault="002E20EC" w:rsidP="002E20EC">
            <w:pPr>
              <w:pStyle w:val="TableText"/>
              <w:spacing w:before="60"/>
              <w:jc w:val="center"/>
            </w:pPr>
            <w:r w:rsidRPr="35A4F127">
              <w:t>2</w:t>
            </w:r>
          </w:p>
        </w:tc>
        <w:tc>
          <w:tcPr>
            <w:tcW w:w="1329" w:type="dxa"/>
            <w:tcMar>
              <w:left w:w="108" w:type="dxa"/>
              <w:right w:w="108" w:type="dxa"/>
            </w:tcMar>
            <w:vAlign w:val="center"/>
          </w:tcPr>
          <w:p w14:paraId="2E5232A4" w14:textId="77777777" w:rsidR="002E20EC" w:rsidRDefault="002E20EC" w:rsidP="002E20EC">
            <w:pPr>
              <w:pStyle w:val="TableText"/>
              <w:spacing w:before="60"/>
              <w:jc w:val="center"/>
            </w:pPr>
            <w:r w:rsidRPr="35A4F127">
              <w:t>3</w:t>
            </w:r>
          </w:p>
        </w:tc>
        <w:tc>
          <w:tcPr>
            <w:tcW w:w="992" w:type="dxa"/>
            <w:tcMar>
              <w:left w:w="108" w:type="dxa"/>
              <w:right w:w="108" w:type="dxa"/>
            </w:tcMar>
            <w:vAlign w:val="center"/>
          </w:tcPr>
          <w:p w14:paraId="226D7819" w14:textId="77777777" w:rsidR="002E20EC" w:rsidRDefault="002E20EC" w:rsidP="002E20EC">
            <w:pPr>
              <w:pStyle w:val="TableText"/>
              <w:spacing w:before="60"/>
              <w:jc w:val="center"/>
            </w:pPr>
            <w:r w:rsidRPr="35A4F127">
              <w:t>24</w:t>
            </w:r>
          </w:p>
        </w:tc>
        <w:tc>
          <w:tcPr>
            <w:tcW w:w="1276" w:type="dxa"/>
            <w:tcMar>
              <w:left w:w="108" w:type="dxa"/>
              <w:right w:w="108" w:type="dxa"/>
            </w:tcMar>
            <w:vAlign w:val="center"/>
          </w:tcPr>
          <w:p w14:paraId="5CA52B9A" w14:textId="77777777" w:rsidR="002E20EC" w:rsidRDefault="002E20EC" w:rsidP="002E20EC">
            <w:pPr>
              <w:pStyle w:val="TableText"/>
              <w:spacing w:before="60"/>
              <w:jc w:val="center"/>
            </w:pPr>
            <w:r w:rsidRPr="35A4F127">
              <w:t>60%</w:t>
            </w:r>
          </w:p>
        </w:tc>
      </w:tr>
      <w:tr w:rsidR="002E20EC" w14:paraId="0467C18F" w14:textId="77777777" w:rsidTr="002E20EC">
        <w:trPr>
          <w:trHeight w:val="480"/>
        </w:trPr>
        <w:tc>
          <w:tcPr>
            <w:tcW w:w="1408" w:type="dxa"/>
            <w:tcMar>
              <w:left w:w="108" w:type="dxa"/>
              <w:right w:w="108" w:type="dxa"/>
            </w:tcMar>
          </w:tcPr>
          <w:p w14:paraId="2BF951D1" w14:textId="25897F0F" w:rsidR="002E20EC" w:rsidRDefault="002E20EC" w:rsidP="002E20EC">
            <w:pPr>
              <w:pStyle w:val="TableText"/>
              <w:spacing w:before="60"/>
            </w:pPr>
            <w:r w:rsidRPr="35A4F127">
              <w:t>Kidd</w:t>
            </w:r>
            <w:r w:rsidRPr="35A4F127">
              <w:rPr>
                <w:vertAlign w:val="superscript"/>
              </w:rPr>
              <w:t>3</w:t>
            </w:r>
            <w:r>
              <w:rPr>
                <w:vertAlign w:val="superscript"/>
              </w:rPr>
              <w:br/>
            </w:r>
            <w:r w:rsidRPr="35A4F127">
              <w:t>2022</w:t>
            </w:r>
          </w:p>
        </w:tc>
        <w:tc>
          <w:tcPr>
            <w:tcW w:w="1328" w:type="dxa"/>
            <w:tcMar>
              <w:left w:w="108" w:type="dxa"/>
              <w:right w:w="108" w:type="dxa"/>
            </w:tcMar>
            <w:vAlign w:val="center"/>
          </w:tcPr>
          <w:p w14:paraId="16C4782D"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0A430123"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478F4453" w14:textId="77777777" w:rsidR="002E20EC" w:rsidRDefault="002E20EC" w:rsidP="002E20EC">
            <w:pPr>
              <w:pStyle w:val="TableText"/>
              <w:spacing w:before="60"/>
              <w:jc w:val="center"/>
            </w:pPr>
            <w:r w:rsidRPr="35A4F127">
              <w:t>2</w:t>
            </w:r>
          </w:p>
        </w:tc>
        <w:tc>
          <w:tcPr>
            <w:tcW w:w="1329" w:type="dxa"/>
            <w:tcMar>
              <w:left w:w="108" w:type="dxa"/>
              <w:right w:w="108" w:type="dxa"/>
            </w:tcMar>
            <w:vAlign w:val="center"/>
          </w:tcPr>
          <w:p w14:paraId="5E3D0F39" w14:textId="77777777" w:rsidR="002E20EC" w:rsidRDefault="002E20EC" w:rsidP="002E20EC">
            <w:pPr>
              <w:pStyle w:val="TableText"/>
              <w:spacing w:before="60"/>
              <w:jc w:val="center"/>
            </w:pPr>
            <w:r w:rsidRPr="35A4F127">
              <w:t>0</w:t>
            </w:r>
          </w:p>
        </w:tc>
        <w:tc>
          <w:tcPr>
            <w:tcW w:w="1329" w:type="dxa"/>
            <w:tcMar>
              <w:left w:w="108" w:type="dxa"/>
              <w:right w:w="108" w:type="dxa"/>
            </w:tcMar>
            <w:vAlign w:val="center"/>
          </w:tcPr>
          <w:p w14:paraId="677DED33"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6501A227"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0AB6B033" w14:textId="77777777" w:rsidR="002E20EC" w:rsidRDefault="002E20EC" w:rsidP="002E20EC">
            <w:pPr>
              <w:pStyle w:val="TableText"/>
              <w:spacing w:before="60"/>
              <w:jc w:val="center"/>
            </w:pPr>
            <w:r w:rsidRPr="35A4F127">
              <w:t>1</w:t>
            </w:r>
          </w:p>
        </w:tc>
        <w:tc>
          <w:tcPr>
            <w:tcW w:w="1329" w:type="dxa"/>
            <w:tcMar>
              <w:left w:w="108" w:type="dxa"/>
              <w:right w:w="108" w:type="dxa"/>
            </w:tcMar>
            <w:vAlign w:val="center"/>
          </w:tcPr>
          <w:p w14:paraId="1D925BF0" w14:textId="77777777" w:rsidR="002E20EC" w:rsidRDefault="002E20EC" w:rsidP="002E20EC">
            <w:pPr>
              <w:pStyle w:val="TableText"/>
              <w:spacing w:before="60"/>
              <w:jc w:val="center"/>
            </w:pPr>
            <w:r w:rsidRPr="35A4F127">
              <w:t>2</w:t>
            </w:r>
          </w:p>
        </w:tc>
        <w:tc>
          <w:tcPr>
            <w:tcW w:w="992" w:type="dxa"/>
            <w:tcMar>
              <w:left w:w="108" w:type="dxa"/>
              <w:right w:w="108" w:type="dxa"/>
            </w:tcMar>
            <w:vAlign w:val="center"/>
          </w:tcPr>
          <w:p w14:paraId="12DDBDA3" w14:textId="77777777" w:rsidR="002E20EC" w:rsidRDefault="002E20EC" w:rsidP="002E20EC">
            <w:pPr>
              <w:pStyle w:val="TableText"/>
              <w:spacing w:before="60"/>
              <w:jc w:val="center"/>
            </w:pPr>
            <w:r w:rsidRPr="35A4F127">
              <w:t>18</w:t>
            </w:r>
          </w:p>
        </w:tc>
        <w:tc>
          <w:tcPr>
            <w:tcW w:w="1276" w:type="dxa"/>
            <w:tcMar>
              <w:left w:w="108" w:type="dxa"/>
              <w:right w:w="108" w:type="dxa"/>
            </w:tcMar>
            <w:vAlign w:val="center"/>
          </w:tcPr>
          <w:p w14:paraId="5FC0D993" w14:textId="77777777" w:rsidR="002E20EC" w:rsidRDefault="002E20EC" w:rsidP="002E20EC">
            <w:pPr>
              <w:pStyle w:val="TableText"/>
              <w:spacing w:before="60"/>
              <w:jc w:val="center"/>
            </w:pPr>
            <w:r w:rsidRPr="35A4F127">
              <w:t>45%</w:t>
            </w:r>
          </w:p>
        </w:tc>
      </w:tr>
      <w:tr w:rsidR="002E20EC" w14:paraId="2F3ACEB3" w14:textId="77777777" w:rsidTr="002E20EC">
        <w:trPr>
          <w:trHeight w:val="495"/>
        </w:trPr>
        <w:tc>
          <w:tcPr>
            <w:tcW w:w="1408" w:type="dxa"/>
            <w:tcMar>
              <w:left w:w="108" w:type="dxa"/>
              <w:right w:w="108" w:type="dxa"/>
            </w:tcMar>
          </w:tcPr>
          <w:p w14:paraId="1698DF0C" w14:textId="6804EB71" w:rsidR="002E20EC" w:rsidRDefault="002E20EC" w:rsidP="002E20EC">
            <w:pPr>
              <w:pStyle w:val="TableText"/>
              <w:spacing w:before="60"/>
            </w:pPr>
            <w:r w:rsidRPr="35A4F127">
              <w:t>Turban</w:t>
            </w:r>
            <w:r w:rsidRPr="35A4F127">
              <w:rPr>
                <w:vertAlign w:val="superscript"/>
              </w:rPr>
              <w:t>4</w:t>
            </w:r>
            <w:r>
              <w:rPr>
                <w:vertAlign w:val="superscript"/>
              </w:rPr>
              <w:br/>
            </w:r>
            <w:r w:rsidRPr="35A4F127">
              <w:t>2022</w:t>
            </w:r>
          </w:p>
        </w:tc>
        <w:tc>
          <w:tcPr>
            <w:tcW w:w="1328" w:type="dxa"/>
            <w:tcMar>
              <w:left w:w="108" w:type="dxa"/>
              <w:right w:w="108" w:type="dxa"/>
            </w:tcMar>
            <w:vAlign w:val="center"/>
          </w:tcPr>
          <w:p w14:paraId="01B1896F"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12F21209"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6BAAAB47"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0D79A2A1" w14:textId="77777777" w:rsidR="002E20EC" w:rsidRDefault="002E20EC" w:rsidP="002E20EC">
            <w:pPr>
              <w:pStyle w:val="TableText"/>
              <w:spacing w:before="60"/>
              <w:jc w:val="center"/>
            </w:pPr>
            <w:r w:rsidRPr="35A4F127">
              <w:t>2</w:t>
            </w:r>
          </w:p>
        </w:tc>
        <w:tc>
          <w:tcPr>
            <w:tcW w:w="1329" w:type="dxa"/>
            <w:tcMar>
              <w:left w:w="108" w:type="dxa"/>
              <w:right w:w="108" w:type="dxa"/>
            </w:tcMar>
            <w:vAlign w:val="center"/>
          </w:tcPr>
          <w:p w14:paraId="0E60BA41"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2FD61932"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439154E0" w14:textId="77777777" w:rsidR="002E20EC" w:rsidRDefault="002E20EC" w:rsidP="002E20EC">
            <w:pPr>
              <w:pStyle w:val="TableText"/>
              <w:spacing w:before="60"/>
              <w:jc w:val="center"/>
            </w:pPr>
            <w:r w:rsidRPr="35A4F127">
              <w:t>2</w:t>
            </w:r>
          </w:p>
        </w:tc>
        <w:tc>
          <w:tcPr>
            <w:tcW w:w="1329" w:type="dxa"/>
            <w:tcMar>
              <w:left w:w="108" w:type="dxa"/>
              <w:right w:w="108" w:type="dxa"/>
            </w:tcMar>
            <w:vAlign w:val="center"/>
          </w:tcPr>
          <w:p w14:paraId="3971FAAE" w14:textId="77777777" w:rsidR="002E20EC" w:rsidRDefault="002E20EC" w:rsidP="002E20EC">
            <w:pPr>
              <w:pStyle w:val="TableText"/>
              <w:spacing w:before="60"/>
              <w:jc w:val="center"/>
            </w:pPr>
            <w:r w:rsidRPr="35A4F127">
              <w:t>2</w:t>
            </w:r>
          </w:p>
        </w:tc>
        <w:tc>
          <w:tcPr>
            <w:tcW w:w="992" w:type="dxa"/>
            <w:tcMar>
              <w:left w:w="108" w:type="dxa"/>
              <w:right w:w="108" w:type="dxa"/>
            </w:tcMar>
            <w:vAlign w:val="center"/>
          </w:tcPr>
          <w:p w14:paraId="64AAAEDD" w14:textId="77777777" w:rsidR="002E20EC" w:rsidRDefault="002E20EC" w:rsidP="002E20EC">
            <w:pPr>
              <w:pStyle w:val="TableText"/>
              <w:spacing w:before="60"/>
              <w:jc w:val="center"/>
            </w:pPr>
            <w:r w:rsidRPr="35A4F127">
              <w:t>26</w:t>
            </w:r>
          </w:p>
        </w:tc>
        <w:tc>
          <w:tcPr>
            <w:tcW w:w="1276" w:type="dxa"/>
            <w:tcMar>
              <w:left w:w="108" w:type="dxa"/>
              <w:right w:w="108" w:type="dxa"/>
            </w:tcMar>
            <w:vAlign w:val="center"/>
          </w:tcPr>
          <w:p w14:paraId="03034355" w14:textId="77777777" w:rsidR="002E20EC" w:rsidRDefault="002E20EC" w:rsidP="002E20EC">
            <w:pPr>
              <w:pStyle w:val="TableText"/>
              <w:spacing w:before="60"/>
              <w:jc w:val="center"/>
            </w:pPr>
            <w:r w:rsidRPr="35A4F127">
              <w:t>65%</w:t>
            </w:r>
          </w:p>
        </w:tc>
      </w:tr>
      <w:tr w:rsidR="002E20EC" w14:paraId="1C3566E5" w14:textId="77777777" w:rsidTr="002E20EC">
        <w:trPr>
          <w:trHeight w:val="480"/>
        </w:trPr>
        <w:tc>
          <w:tcPr>
            <w:tcW w:w="1408" w:type="dxa"/>
            <w:tcMar>
              <w:left w:w="108" w:type="dxa"/>
              <w:right w:w="108" w:type="dxa"/>
            </w:tcMar>
          </w:tcPr>
          <w:p w14:paraId="0B02E29D" w14:textId="08CEC529" w:rsidR="002E20EC" w:rsidRDefault="002E20EC" w:rsidP="002E20EC">
            <w:pPr>
              <w:pStyle w:val="TableText"/>
              <w:spacing w:before="60"/>
            </w:pPr>
            <w:r w:rsidRPr="35A4F127">
              <w:t>Van der Loos</w:t>
            </w:r>
            <w:r w:rsidRPr="35A4F127">
              <w:rPr>
                <w:vertAlign w:val="superscript"/>
              </w:rPr>
              <w:t>5</w:t>
            </w:r>
            <w:r>
              <w:rPr>
                <w:vertAlign w:val="superscript"/>
              </w:rPr>
              <w:br/>
            </w:r>
            <w:r w:rsidRPr="35A4F127">
              <w:t>2023</w:t>
            </w:r>
          </w:p>
        </w:tc>
        <w:tc>
          <w:tcPr>
            <w:tcW w:w="1328" w:type="dxa"/>
            <w:tcMar>
              <w:left w:w="108" w:type="dxa"/>
              <w:right w:w="108" w:type="dxa"/>
            </w:tcMar>
            <w:vAlign w:val="center"/>
          </w:tcPr>
          <w:p w14:paraId="08BC64B3"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3E6FDB54"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643DF71C"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383DE5F5" w14:textId="77777777" w:rsidR="002E20EC" w:rsidRDefault="002E20EC" w:rsidP="002E20EC">
            <w:pPr>
              <w:pStyle w:val="TableText"/>
              <w:spacing w:before="60"/>
              <w:jc w:val="center"/>
            </w:pPr>
            <w:r w:rsidRPr="35A4F127">
              <w:t>3</w:t>
            </w:r>
          </w:p>
        </w:tc>
        <w:tc>
          <w:tcPr>
            <w:tcW w:w="1329" w:type="dxa"/>
            <w:tcMar>
              <w:left w:w="108" w:type="dxa"/>
              <w:right w:w="108" w:type="dxa"/>
            </w:tcMar>
            <w:vAlign w:val="center"/>
          </w:tcPr>
          <w:p w14:paraId="39ABBA5A" w14:textId="77777777" w:rsidR="002E20EC" w:rsidRDefault="002E20EC" w:rsidP="002E20EC">
            <w:pPr>
              <w:pStyle w:val="TableText"/>
              <w:spacing w:before="60"/>
              <w:jc w:val="center"/>
            </w:pPr>
            <w:r w:rsidRPr="35A4F127">
              <w:t>5</w:t>
            </w:r>
          </w:p>
        </w:tc>
        <w:tc>
          <w:tcPr>
            <w:tcW w:w="1329" w:type="dxa"/>
            <w:tcMar>
              <w:left w:w="108" w:type="dxa"/>
              <w:right w:w="108" w:type="dxa"/>
            </w:tcMar>
            <w:vAlign w:val="center"/>
          </w:tcPr>
          <w:p w14:paraId="0C18DA14"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3072DA67" w14:textId="77777777" w:rsidR="002E20EC" w:rsidRDefault="002E20EC" w:rsidP="002E20EC">
            <w:pPr>
              <w:pStyle w:val="TableText"/>
              <w:spacing w:before="60"/>
              <w:jc w:val="center"/>
            </w:pPr>
            <w:r w:rsidRPr="35A4F127">
              <w:t>4</w:t>
            </w:r>
          </w:p>
        </w:tc>
        <w:tc>
          <w:tcPr>
            <w:tcW w:w="1329" w:type="dxa"/>
            <w:tcMar>
              <w:left w:w="108" w:type="dxa"/>
              <w:right w:w="108" w:type="dxa"/>
            </w:tcMar>
            <w:vAlign w:val="center"/>
          </w:tcPr>
          <w:p w14:paraId="4131708B" w14:textId="77777777" w:rsidR="002E20EC" w:rsidRDefault="002E20EC" w:rsidP="002E20EC">
            <w:pPr>
              <w:pStyle w:val="TableText"/>
              <w:spacing w:before="60"/>
              <w:jc w:val="center"/>
            </w:pPr>
            <w:r w:rsidRPr="35A4F127">
              <w:t>4</w:t>
            </w:r>
          </w:p>
        </w:tc>
        <w:tc>
          <w:tcPr>
            <w:tcW w:w="992" w:type="dxa"/>
            <w:tcMar>
              <w:left w:w="108" w:type="dxa"/>
              <w:right w:w="108" w:type="dxa"/>
            </w:tcMar>
            <w:vAlign w:val="center"/>
          </w:tcPr>
          <w:p w14:paraId="20B75725" w14:textId="77777777" w:rsidR="002E20EC" w:rsidRDefault="002E20EC" w:rsidP="002E20EC">
            <w:pPr>
              <w:pStyle w:val="TableText"/>
              <w:spacing w:before="60"/>
              <w:jc w:val="center"/>
            </w:pPr>
            <w:r w:rsidRPr="35A4F127">
              <w:t>34</w:t>
            </w:r>
          </w:p>
        </w:tc>
        <w:tc>
          <w:tcPr>
            <w:tcW w:w="1276" w:type="dxa"/>
            <w:tcMar>
              <w:left w:w="108" w:type="dxa"/>
              <w:right w:w="108" w:type="dxa"/>
            </w:tcMar>
            <w:vAlign w:val="center"/>
          </w:tcPr>
          <w:p w14:paraId="3496E755" w14:textId="77777777" w:rsidR="002E20EC" w:rsidRDefault="002E20EC" w:rsidP="002E20EC">
            <w:pPr>
              <w:pStyle w:val="TableText"/>
              <w:spacing w:before="60"/>
              <w:jc w:val="center"/>
            </w:pPr>
            <w:r w:rsidRPr="35A4F127">
              <w:t>85%</w:t>
            </w:r>
          </w:p>
        </w:tc>
      </w:tr>
    </w:tbl>
    <w:p w14:paraId="5BC4634F" w14:textId="6FACA59B" w:rsidR="002E20EC" w:rsidRDefault="002E20EC" w:rsidP="002E20EC">
      <w:pPr>
        <w:pStyle w:val="ListParagraph"/>
        <w:numPr>
          <w:ilvl w:val="0"/>
          <w:numId w:val="6"/>
        </w:numPr>
        <w:spacing w:before="240" w:after="120"/>
        <w:ind w:left="425" w:hanging="425"/>
        <w:contextualSpacing w:val="0"/>
      </w:pPr>
      <w:r>
        <w:t>The study was well written and enabled a reasonable estimation of the prevalence of GD within a specific population. The validation of GD diagnoses using subsequent gender affirming medical treatment (GAMT) provided support for the study design.</w:t>
      </w:r>
    </w:p>
    <w:p w14:paraId="1822B7CD" w14:textId="2D5462B3" w:rsidR="002E20EC" w:rsidRDefault="002E20EC" w:rsidP="002E20EC">
      <w:pPr>
        <w:pStyle w:val="ListParagraph"/>
        <w:numPr>
          <w:ilvl w:val="0"/>
          <w:numId w:val="6"/>
        </w:numPr>
        <w:spacing w:before="120" w:after="120"/>
        <w:ind w:left="425" w:hanging="425"/>
        <w:contextualSpacing w:val="0"/>
      </w:pPr>
      <w:r>
        <w:t>The study provided information regarding the number of referrals Gender identity services (GIS) and undertook comparisons. In the absence of external validation of diagnoses, the prevalence or trends of GD could not be estimated from this study. However, the sex ratios of individuals (AMAB, AFAB) or the trends in that ratio could be inferred.</w:t>
      </w:r>
    </w:p>
    <w:p w14:paraId="06F1EEBF" w14:textId="5B775BC8" w:rsidR="002E20EC" w:rsidRDefault="002E20EC" w:rsidP="002E20EC">
      <w:pPr>
        <w:pStyle w:val="ListParagraph"/>
        <w:numPr>
          <w:ilvl w:val="0"/>
          <w:numId w:val="6"/>
        </w:numPr>
        <w:spacing w:before="120" w:after="120"/>
        <w:ind w:left="425" w:hanging="425"/>
        <w:contextualSpacing w:val="0"/>
      </w:pPr>
      <w:r>
        <w:t>This study’s design was poor with little explanation regarding what was being measured and provided little information regarding the validity of the sampling methods, despite evidence that sampling was unlikely to be random. The results and conclusions of this study should be considered unreliable.</w:t>
      </w:r>
    </w:p>
    <w:p w14:paraId="0A60BC81" w14:textId="707E2EBE" w:rsidR="002E20EC" w:rsidRDefault="002E20EC" w:rsidP="002E20EC">
      <w:pPr>
        <w:pStyle w:val="ListParagraph"/>
        <w:numPr>
          <w:ilvl w:val="0"/>
          <w:numId w:val="6"/>
        </w:numPr>
        <w:spacing w:before="120" w:after="120"/>
        <w:ind w:left="425" w:hanging="425"/>
        <w:contextualSpacing w:val="0"/>
      </w:pPr>
      <w:r>
        <w:lastRenderedPageBreak/>
        <w:t>The study by Turban appeared to be written as a rebuttal to the concept of Rapid Onset Gender Dysphoria and was funded by a foundation associated with or set up by the primary author. The survey sampling methods are not externally validated, the completeness of data collection unknown and the outcome of interest, Gender Diversity, is self-reported and not clearly defined. However, the study may provide some indication of the sex ratios of individuals with self-identified Gender Diversity.</w:t>
      </w:r>
    </w:p>
    <w:p w14:paraId="38FFAF8D" w14:textId="63322EDB" w:rsidR="00242284" w:rsidRDefault="002E20EC" w:rsidP="002E20EC">
      <w:pPr>
        <w:pStyle w:val="ListParagraph"/>
        <w:numPr>
          <w:ilvl w:val="0"/>
          <w:numId w:val="6"/>
        </w:numPr>
        <w:spacing w:before="120" w:after="120"/>
        <w:ind w:left="425" w:hanging="425"/>
        <w:contextualSpacing w:val="0"/>
      </w:pPr>
      <w:r>
        <w:t>This study was a detailed and careful analysis of a single centre GIS over 20 years. Although, population prevalence and sex ratios could not be identified from this study, the ages of presentation and the sex ratios (AMAB, AFAB) presenting to the clinic over a substantial time period were available.</w:t>
      </w:r>
    </w:p>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052C3C5A">
            <wp:extent cx="1346835" cy="546014"/>
            <wp:effectExtent l="0" t="0" r="5715" b="698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inline>
        </w:drawing>
      </w:r>
    </w:p>
    <w:p w14:paraId="57B281D7" w14:textId="27F8E155" w:rsidR="00EB461E" w:rsidRDefault="00046433" w:rsidP="002233D8">
      <w:pPr>
        <w:spacing w:before="240"/>
        <w:jc w:val="center"/>
        <w:rPr>
          <w:lang w:eastAsia="en-NZ"/>
        </w:rPr>
      </w:pPr>
      <w:r>
        <w:t>November</w:t>
      </w:r>
      <w:r w:rsidR="002E20EC">
        <w:t xml:space="preserve"> 2024</w:t>
      </w:r>
      <w:r w:rsidR="00C34608" w:rsidRPr="00DD748F">
        <w:br/>
      </w:r>
      <w:r w:rsidR="00EB461E" w:rsidRPr="00DD748F">
        <w:rPr>
          <w:lang w:eastAsia="en-NZ"/>
        </w:rPr>
        <w:t>HP</w:t>
      </w:r>
      <w:r w:rsidR="006028DD">
        <w:rPr>
          <w:lang w:eastAsia="en-NZ"/>
        </w:rPr>
        <w:t xml:space="preserve"> 9067</w:t>
      </w:r>
    </w:p>
    <w:p w14:paraId="762C0BCA" w14:textId="77777777" w:rsidR="00660619" w:rsidRDefault="00660619" w:rsidP="00660619">
      <w:pPr>
        <w:rPr>
          <w:lang w:eastAsia="en-NZ"/>
        </w:rPr>
      </w:pPr>
    </w:p>
    <w:sectPr w:rsidR="00660619" w:rsidSect="00307C5D">
      <w:footerReference w:type="even" r:id="rId12"/>
      <w:footerReference w:type="default" r:id="rId13"/>
      <w:headerReference w:type="first" r:id="rId14"/>
      <w:footerReference w:type="first" r:id="rId15"/>
      <w:pgSz w:w="16838" w:h="11906" w:orient="landscape"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CF19" w14:textId="77777777" w:rsidR="004E3EC0" w:rsidRDefault="004E3EC0">
      <w:r>
        <w:separator/>
      </w:r>
    </w:p>
  </w:endnote>
  <w:endnote w:type="continuationSeparator" w:id="0">
    <w:p w14:paraId="11E5942C" w14:textId="77777777" w:rsidR="004E3EC0" w:rsidRDefault="004E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6A379CEC" w:rsidR="00525FFB" w:rsidRDefault="002E20EC" w:rsidP="00525FFB">
          <w:pPr>
            <w:pStyle w:val="RectoFooter"/>
            <w:jc w:val="left"/>
          </w:pPr>
          <w:r w:rsidRPr="002E20EC">
            <w:t>Epidemiology of Gender Dysphoria: Quality Assessment; Crowe Critical Appraisal Tool (CCAT)</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77777777" w:rsidR="00525FFB" w:rsidRDefault="00525FFB" w:rsidP="00525FFB">
          <w:pPr>
            <w:pStyle w:val="RectoFooter"/>
          </w:pPr>
          <w:r>
            <w:t>BUSINESS VIABILITY STANDARDS FOR NON-GOVERNMENT ORGANISATION AUDIT AND REVIEW</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50"/>
      <w:gridCol w:w="709"/>
    </w:tblGrid>
    <w:tr w:rsidR="00113C1B" w14:paraId="21D7E1BB" w14:textId="77777777" w:rsidTr="00307C5D">
      <w:trPr>
        <w:cantSplit/>
      </w:trPr>
      <w:tc>
        <w:tcPr>
          <w:tcW w:w="13750" w:type="dxa"/>
          <w:vAlign w:val="center"/>
        </w:tcPr>
        <w:p w14:paraId="0A280F73" w14:textId="2CAD1820" w:rsidR="00113C1B" w:rsidRDefault="002E20EC" w:rsidP="00F06D3B">
          <w:pPr>
            <w:pStyle w:val="RectoFooter"/>
          </w:pPr>
          <w:r w:rsidRPr="002E20EC">
            <w:t>Epidemiology of Gender Dysphoria: Quality Assessment; Crowe Critical Appraisal Tool (CCAT)</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2666" w14:textId="77777777" w:rsidR="004E3EC0" w:rsidRPr="00680D2D" w:rsidRDefault="004E3EC0" w:rsidP="00680D2D">
      <w:pPr>
        <w:pStyle w:val="Footer"/>
      </w:pPr>
    </w:p>
  </w:footnote>
  <w:footnote w:type="continuationSeparator" w:id="0">
    <w:p w14:paraId="70079734" w14:textId="77777777" w:rsidR="004E3EC0" w:rsidRDefault="004E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2F7DDFC6" w:rsidR="00EE6CE2" w:rsidRDefault="00046433" w:rsidP="00BD22FC">
    <w:pPr>
      <w:pStyle w:val="Header"/>
      <w:spacing w:after="480"/>
    </w:pPr>
    <w:r>
      <w:rPr>
        <w:noProof/>
      </w:rPr>
      <w:drawing>
        <wp:anchor distT="0" distB="0" distL="114300" distR="114300" simplePos="0" relativeHeight="251660288" behindDoc="1" locked="0" layoutInCell="1" allowOverlap="1" wp14:anchorId="1A847BBA" wp14:editId="2FC5A656">
          <wp:simplePos x="0" y="0"/>
          <wp:positionH relativeFrom="column">
            <wp:posOffset>7929245</wp:posOffset>
          </wp:positionH>
          <wp:positionV relativeFrom="paragraph">
            <wp:posOffset>153035</wp:posOffset>
          </wp:positionV>
          <wp:extent cx="1210945" cy="572770"/>
          <wp:effectExtent l="0" t="0" r="0" b="0"/>
          <wp:wrapTight wrapText="bothSides">
            <wp:wrapPolygon edited="0">
              <wp:start x="340" y="0"/>
              <wp:lineTo x="340" y="15805"/>
              <wp:lineTo x="5437" y="19397"/>
              <wp:lineTo x="9175" y="20834"/>
              <wp:lineTo x="19369" y="20834"/>
              <wp:lineTo x="21068" y="13650"/>
              <wp:lineTo x="21068" y="0"/>
              <wp:lineTo x="3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9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D55">
      <w:rPr>
        <w:noProof/>
      </w:rPr>
      <w:drawing>
        <wp:anchor distT="0" distB="0" distL="114300" distR="114300" simplePos="0" relativeHeight="251658240" behindDoc="1" locked="0" layoutInCell="1" allowOverlap="1" wp14:anchorId="2CBA7E37" wp14:editId="5E1508DD">
          <wp:simplePos x="0" y="0"/>
          <wp:positionH relativeFrom="page">
            <wp:posOffset>-11430</wp:posOffset>
          </wp:positionH>
          <wp:positionV relativeFrom="margin">
            <wp:posOffset>-379730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D5913A3"/>
    <w:multiLevelType w:val="hybridMultilevel"/>
    <w:tmpl w:val="46685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15:restartNumberingAfterBreak="0">
    <w:nsid w:val="70B2321F"/>
    <w:multiLevelType w:val="hybridMultilevel"/>
    <w:tmpl w:val="27680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6459963">
    <w:abstractNumId w:val="4"/>
  </w:num>
  <w:num w:numId="2" w16cid:durableId="94445370">
    <w:abstractNumId w:val="5"/>
  </w:num>
  <w:num w:numId="3" w16cid:durableId="1619482334">
    <w:abstractNumId w:val="3"/>
  </w:num>
  <w:num w:numId="4" w16cid:durableId="61292327">
    <w:abstractNumId w:val="0"/>
  </w:num>
  <w:num w:numId="5" w16cid:durableId="1308242111">
    <w:abstractNumId w:val="2"/>
  </w:num>
  <w:num w:numId="6" w16cid:durableId="1320772229">
    <w:abstractNumId w:val="6"/>
  </w:num>
  <w:num w:numId="7" w16cid:durableId="2814993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46433"/>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16FE"/>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2E20EC"/>
    <w:rsid w:val="003005BD"/>
    <w:rsid w:val="003030F4"/>
    <w:rsid w:val="003046F0"/>
    <w:rsid w:val="00306307"/>
    <w:rsid w:val="00307C5D"/>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3EC0"/>
    <w:rsid w:val="004E420D"/>
    <w:rsid w:val="005132E5"/>
    <w:rsid w:val="005243E3"/>
    <w:rsid w:val="00525F48"/>
    <w:rsid w:val="00525FFB"/>
    <w:rsid w:val="005363DD"/>
    <w:rsid w:val="005406EB"/>
    <w:rsid w:val="00543D55"/>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028DD"/>
    <w:rsid w:val="006140C0"/>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E7AC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5EBC"/>
    <w:rsid w:val="00D67409"/>
    <w:rsid w:val="00D67D08"/>
    <w:rsid w:val="00D723A2"/>
    <w:rsid w:val="00D738F0"/>
    <w:rsid w:val="00D76A3D"/>
    <w:rsid w:val="00D77A3F"/>
    <w:rsid w:val="00D81249"/>
    <w:rsid w:val="00D84835"/>
    <w:rsid w:val="00D96128"/>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5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basedOn w:val="Normal"/>
    <w:uiPriority w:val="34"/>
    <w:qFormat/>
    <w:rsid w:val="002E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12</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Epidemiology of Gender Dysphoria: Quality Assessment; Crowe Critical Appraisal Tool (CCAT)</dc:title>
  <dc:creator>Ministry of Health</dc:creator>
  <cp:lastModifiedBy>Ministry of Health</cp:lastModifiedBy>
  <cp:revision>10</cp:revision>
  <cp:lastPrinted>2014-10-20T03:59:00Z</cp:lastPrinted>
  <dcterms:created xsi:type="dcterms:W3CDTF">2024-06-10T05:33:00Z</dcterms:created>
  <dcterms:modified xsi:type="dcterms:W3CDTF">2024-11-13T00:31:00Z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