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  <w:gridCol w:w="3685"/>
      </w:tblGrid>
      <w:tr w:rsidR="00D56D8D" w:rsidRPr="00DD748F" w14:paraId="0D335D4D" w14:textId="77777777" w:rsidTr="00C64CEE">
        <w:trPr>
          <w:cantSplit/>
        </w:trPr>
        <w:tc>
          <w:tcPr>
            <w:tcW w:w="10773" w:type="dxa"/>
            <w:shd w:val="clear" w:color="auto" w:fill="auto"/>
            <w:vAlign w:val="bottom"/>
          </w:tcPr>
          <w:p w14:paraId="6E098CD1" w14:textId="63CD5253" w:rsidR="008348B7" w:rsidRPr="00DD748F" w:rsidRDefault="00C64CEE" w:rsidP="00242284">
            <w:pPr>
              <w:pStyle w:val="Title"/>
            </w:pPr>
            <w:r w:rsidRPr="00C64CEE">
              <w:t xml:space="preserve">The Medical Management of Gender Dysphoria using </w:t>
            </w:r>
            <w:proofErr w:type="spellStart"/>
            <w:r w:rsidRPr="00C64CEE">
              <w:t>GnRHa</w:t>
            </w:r>
            <w:proofErr w:type="spellEnd"/>
            <w:r w:rsidRPr="00C64CEE">
              <w:t xml:space="preserve">; A review of the published evidence of the use </w:t>
            </w:r>
            <w:proofErr w:type="spellStart"/>
            <w:r w:rsidRPr="00C64CEE">
              <w:t>GnRHa</w:t>
            </w:r>
            <w:proofErr w:type="spellEnd"/>
            <w:r w:rsidRPr="00C64CEE">
              <w:t xml:space="preserve"> for gender dysphoria in adolescents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1D89267D" w:rsidR="00423830" w:rsidRPr="00242284" w:rsidRDefault="00333DA0" w:rsidP="00307C5D">
            <w:pPr>
              <w:spacing w:after="120"/>
              <w:ind w:left="-139" w:firstLine="139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November</w:t>
            </w:r>
            <w:r w:rsidR="002E20EC">
              <w:rPr>
                <w:rFonts w:cs="Segoe UI"/>
                <w:sz w:val="28"/>
                <w:szCs w:val="28"/>
              </w:rPr>
              <w:t xml:space="preserve"> 2024</w:t>
            </w:r>
          </w:p>
        </w:tc>
      </w:tr>
    </w:tbl>
    <w:p w14:paraId="15A0AEAE" w14:textId="5F442156" w:rsidR="00266590" w:rsidRDefault="00266590" w:rsidP="00266590">
      <w:pPr>
        <w:pStyle w:val="Heading1"/>
        <w:numPr>
          <w:ilvl w:val="0"/>
          <w:numId w:val="0"/>
        </w:numPr>
        <w:ind w:left="567" w:hanging="567"/>
      </w:pPr>
      <w:r w:rsidRPr="00266590">
        <w:t>Newcastle Ottawa Scale Assessment for Case controlled studies</w:t>
      </w:r>
    </w:p>
    <w:tbl>
      <w:tblPr>
        <w:tblStyle w:val="TableGrid"/>
        <w:tblW w:w="1444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901"/>
        <w:gridCol w:w="1275"/>
        <w:gridCol w:w="1134"/>
        <w:gridCol w:w="1417"/>
        <w:gridCol w:w="1276"/>
        <w:gridCol w:w="1134"/>
        <w:gridCol w:w="1701"/>
        <w:gridCol w:w="1559"/>
        <w:gridCol w:w="1418"/>
        <w:gridCol w:w="1134"/>
        <w:gridCol w:w="992"/>
      </w:tblGrid>
      <w:tr w:rsidR="00C64CEE" w:rsidRPr="00266590" w14:paraId="33F807D7" w14:textId="77777777" w:rsidTr="00F42054">
        <w:trPr>
          <w:trHeight w:val="555"/>
          <w:tblHeader/>
        </w:trPr>
        <w:tc>
          <w:tcPr>
            <w:tcW w:w="508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57D1326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01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A54733E" w14:textId="7088282E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Country</w:t>
            </w:r>
          </w:p>
          <w:p w14:paraId="54D5F494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F14B08D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Reference</w:t>
            </w:r>
          </w:p>
        </w:tc>
        <w:tc>
          <w:tcPr>
            <w:tcW w:w="4961" w:type="dxa"/>
            <w:gridSpan w:val="4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7C5E272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Selection</w:t>
            </w:r>
          </w:p>
          <w:p w14:paraId="0D8D055C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(max 1 star per item)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6135B02" w14:textId="327A6E0A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Compatibility</w:t>
            </w:r>
          </w:p>
          <w:p w14:paraId="5F974B98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(max 2 stars per item)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3BE767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Exposure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7292472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Rating</w:t>
            </w:r>
          </w:p>
          <w:p w14:paraId="006814F1" w14:textId="1DDC3CE4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661B3" w:rsidRPr="00266590" w14:paraId="7F455883" w14:textId="77777777" w:rsidTr="00F42054">
        <w:trPr>
          <w:trHeight w:val="540"/>
          <w:tblHeader/>
        </w:trPr>
        <w:tc>
          <w:tcPr>
            <w:tcW w:w="508" w:type="dxa"/>
            <w:vMerge/>
            <w:vAlign w:val="center"/>
          </w:tcPr>
          <w:p w14:paraId="4D5195FA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vAlign w:val="center"/>
          </w:tcPr>
          <w:p w14:paraId="4DF37C00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0E8E039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0EEA47A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Case Definition Adequate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E28B7E1" w14:textId="5DF0B8E6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66590">
              <w:rPr>
                <w:b/>
                <w:bCs/>
                <w:sz w:val="16"/>
                <w:szCs w:val="16"/>
              </w:rPr>
              <w:t>Representative</w:t>
            </w:r>
            <w:r w:rsidR="00D661B3">
              <w:rPr>
                <w:b/>
                <w:bCs/>
                <w:sz w:val="16"/>
                <w:szCs w:val="16"/>
              </w:rPr>
              <w:t>-</w:t>
            </w:r>
            <w:r w:rsidRPr="00266590">
              <w:rPr>
                <w:b/>
                <w:bCs/>
                <w:sz w:val="16"/>
                <w:szCs w:val="16"/>
              </w:rPr>
              <w:t>ness</w:t>
            </w:r>
            <w:proofErr w:type="gramEnd"/>
            <w:r w:rsidRPr="00266590">
              <w:rPr>
                <w:b/>
                <w:bCs/>
                <w:sz w:val="16"/>
                <w:szCs w:val="16"/>
              </w:rPr>
              <w:t xml:space="preserve"> of Cases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233198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Selection of controls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325BA1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Definition of controls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6F1E6F0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Comparability cases &amp; controls on the basis of design or analysis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935488D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Assessment of Exposure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C2D1665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Same method of Ascertainment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8C12457" w14:textId="77777777" w:rsidR="00C64CEE" w:rsidRPr="00266590" w:rsidRDefault="00C64CEE" w:rsidP="00C8182A">
            <w:pPr>
              <w:pStyle w:val="TableText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66590">
              <w:rPr>
                <w:b/>
                <w:bCs/>
                <w:sz w:val="16"/>
                <w:szCs w:val="16"/>
              </w:rPr>
              <w:t>Non-response rate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49BFCFD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</w:tr>
      <w:tr w:rsidR="00C8182A" w:rsidRPr="00266590" w14:paraId="62F42316" w14:textId="77777777" w:rsidTr="00F42054">
        <w:trPr>
          <w:trHeight w:val="675"/>
        </w:trPr>
        <w:tc>
          <w:tcPr>
            <w:tcW w:w="50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2619B4B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58F4FE9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 xml:space="preserve">USA  </w:t>
            </w:r>
          </w:p>
          <w:p w14:paraId="35F951F2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8C98283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8182A">
              <w:rPr>
                <w:b/>
                <w:bCs/>
                <w:sz w:val="16"/>
                <w:szCs w:val="16"/>
              </w:rPr>
              <w:t>Nokoff</w:t>
            </w:r>
            <w:proofErr w:type="spellEnd"/>
            <w:r w:rsidRPr="00C8182A">
              <w:rPr>
                <w:b/>
                <w:bCs/>
                <w:sz w:val="16"/>
                <w:szCs w:val="16"/>
              </w:rPr>
              <w:t xml:space="preserve"> et al., 2021a)</w:t>
            </w:r>
          </w:p>
          <w:p w14:paraId="25A0AE03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0407B70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Cases selected from GIS.</w:t>
            </w:r>
          </w:p>
          <w:p w14:paraId="64CC4310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Diagnostic criteria not </w:t>
            </w:r>
            <w:proofErr w:type="gramStart"/>
            <w:r w:rsidRPr="00266590">
              <w:rPr>
                <w:sz w:val="16"/>
                <w:szCs w:val="16"/>
              </w:rPr>
              <w:t>stated</w:t>
            </w:r>
            <w:proofErr w:type="gramEnd"/>
          </w:p>
          <w:p w14:paraId="0B35B2AE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61465F9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Cases assumed to be representative of GD adolescents eligible for </w:t>
            </w:r>
            <w:proofErr w:type="spellStart"/>
            <w:r w:rsidRPr="00266590">
              <w:rPr>
                <w:sz w:val="16"/>
                <w:szCs w:val="16"/>
              </w:rPr>
              <w:t>GnRHa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798D41A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Cohort of children at same institution undergoing the same formal investigations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D0DD0B2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Cis-gender non exposed to </w:t>
            </w:r>
            <w:proofErr w:type="spellStart"/>
            <w:r w:rsidRPr="00266590">
              <w:rPr>
                <w:sz w:val="16"/>
                <w:szCs w:val="16"/>
              </w:rPr>
              <w:t>GnRHa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60C2231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Research conducted in the same institution undergoing the same investigations. Matched for age.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A88905D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Medical / trial records</w:t>
            </w:r>
          </w:p>
        </w:tc>
        <w:tc>
          <w:tcPr>
            <w:tcW w:w="141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416FC1A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Same investigations reported.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0D253C1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Non-response not stated. </w:t>
            </w:r>
          </w:p>
          <w:p w14:paraId="6FE3D293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2124BD7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Good</w:t>
            </w:r>
          </w:p>
        </w:tc>
      </w:tr>
      <w:tr w:rsidR="00266590" w:rsidRPr="00266590" w14:paraId="1710E53C" w14:textId="77777777" w:rsidTr="00F42054">
        <w:trPr>
          <w:trHeight w:val="300"/>
        </w:trPr>
        <w:tc>
          <w:tcPr>
            <w:tcW w:w="508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4AF2F4BC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1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65A39FCB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  <w:proofErr w:type="spellStart"/>
            <w:r w:rsidRPr="00C8182A">
              <w:rPr>
                <w:b/>
                <w:bCs/>
                <w:sz w:val="16"/>
                <w:szCs w:val="16"/>
              </w:rPr>
              <w:t>N’lands</w:t>
            </w:r>
            <w:proofErr w:type="spellEnd"/>
          </w:p>
          <w:p w14:paraId="5136243C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2518E472" w14:textId="40B71223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C8182A">
              <w:rPr>
                <w:b/>
                <w:bCs/>
                <w:sz w:val="16"/>
                <w:szCs w:val="16"/>
              </w:rPr>
              <w:t>Staphorsius</w:t>
            </w:r>
            <w:proofErr w:type="spellEnd"/>
            <w:r w:rsidRPr="00C8182A">
              <w:rPr>
                <w:b/>
                <w:bCs/>
                <w:sz w:val="16"/>
                <w:szCs w:val="16"/>
              </w:rPr>
              <w:t>. et al., 2015)</w:t>
            </w:r>
          </w:p>
          <w:p w14:paraId="4700AA4D" w14:textId="77777777" w:rsidR="00C64CEE" w:rsidRPr="00C8182A" w:rsidRDefault="00C64CEE" w:rsidP="00C8182A">
            <w:pPr>
              <w:pStyle w:val="TableText"/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7F923159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 Cases selected from GIS. Diagnosis based on DSM 4/5</w:t>
            </w:r>
          </w:p>
        </w:tc>
        <w:tc>
          <w:tcPr>
            <w:tcW w:w="1417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267C1A52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Cases assumed to representative of GD individuals eligible for </w:t>
            </w:r>
            <w:proofErr w:type="spellStart"/>
            <w:r w:rsidRPr="00266590">
              <w:rPr>
                <w:sz w:val="16"/>
                <w:szCs w:val="16"/>
              </w:rPr>
              <w:t>GnRHa</w:t>
            </w:r>
            <w:proofErr w:type="spellEnd"/>
            <w:r w:rsidRPr="0026659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020A805A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GD individuals matched for age Tanner stage and sex.</w:t>
            </w:r>
          </w:p>
        </w:tc>
        <w:tc>
          <w:tcPr>
            <w:tcW w:w="1134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67EAB7E3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1. Cisgender controls</w:t>
            </w:r>
          </w:p>
          <w:p w14:paraId="329D6C57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2. Untreated GD</w:t>
            </w:r>
          </w:p>
        </w:tc>
        <w:tc>
          <w:tcPr>
            <w:tcW w:w="1701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5C520D29" w14:textId="5E712670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1.</w:t>
            </w:r>
            <w:r w:rsidR="00F42054">
              <w:rPr>
                <w:sz w:val="16"/>
                <w:szCs w:val="16"/>
              </w:rPr>
              <w:t xml:space="preserve"> </w:t>
            </w:r>
            <w:r w:rsidRPr="00266590">
              <w:rPr>
                <w:sz w:val="16"/>
                <w:szCs w:val="16"/>
              </w:rPr>
              <w:t>Control group of cis gender friends of cases</w:t>
            </w:r>
          </w:p>
          <w:p w14:paraId="52CFC9A4" w14:textId="35DC837C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2.</w:t>
            </w:r>
            <w:r w:rsidR="00F42054">
              <w:rPr>
                <w:sz w:val="16"/>
                <w:szCs w:val="16"/>
              </w:rPr>
              <w:t xml:space="preserve"> </w:t>
            </w:r>
            <w:r w:rsidRPr="00266590">
              <w:rPr>
                <w:sz w:val="16"/>
                <w:szCs w:val="16"/>
              </w:rPr>
              <w:t>Treated and untreated GD</w:t>
            </w:r>
          </w:p>
          <w:p w14:paraId="6A927759" w14:textId="56828933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Analysis adjusted for key variables.</w:t>
            </w:r>
          </w:p>
        </w:tc>
        <w:tc>
          <w:tcPr>
            <w:tcW w:w="1559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0FF992BD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Medical records</w:t>
            </w:r>
          </w:p>
        </w:tc>
        <w:tc>
          <w:tcPr>
            <w:tcW w:w="1418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747F045F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DEXA and MRI</w:t>
            </w:r>
          </w:p>
        </w:tc>
        <w:tc>
          <w:tcPr>
            <w:tcW w:w="1134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47D794B1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30 excluded but breakdown not provided. </w:t>
            </w:r>
          </w:p>
          <w:p w14:paraId="34701E99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4C529452" w14:textId="77777777" w:rsidR="00C64CEE" w:rsidRPr="00266590" w:rsidRDefault="00C64CEE" w:rsidP="00C8182A">
            <w:pPr>
              <w:pStyle w:val="TableText"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Good</w:t>
            </w:r>
          </w:p>
        </w:tc>
      </w:tr>
      <w:tr w:rsidR="00266590" w:rsidRPr="00266590" w14:paraId="4C44CF5A" w14:textId="77777777" w:rsidTr="00F42054">
        <w:trPr>
          <w:trHeight w:val="300"/>
        </w:trPr>
        <w:tc>
          <w:tcPr>
            <w:tcW w:w="508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7E36E14C" w14:textId="77777777" w:rsidR="00C64CEE" w:rsidRPr="00C8182A" w:rsidRDefault="00C64CEE" w:rsidP="00C8182A">
            <w:pPr>
              <w:pStyle w:val="TableText"/>
              <w:keepNext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901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1A6E0AC9" w14:textId="77777777" w:rsidR="00C64CEE" w:rsidRPr="00C8182A" w:rsidRDefault="00C64CEE" w:rsidP="00C8182A">
            <w:pPr>
              <w:pStyle w:val="TableText"/>
              <w:keepNext/>
              <w:spacing w:before="40" w:after="40"/>
              <w:rPr>
                <w:b/>
                <w:bCs/>
                <w:sz w:val="16"/>
                <w:szCs w:val="16"/>
              </w:rPr>
            </w:pPr>
            <w:proofErr w:type="spellStart"/>
            <w:r w:rsidRPr="00C8182A">
              <w:rPr>
                <w:b/>
                <w:bCs/>
                <w:sz w:val="16"/>
                <w:szCs w:val="16"/>
              </w:rPr>
              <w:t>N’lands</w:t>
            </w:r>
            <w:proofErr w:type="spellEnd"/>
          </w:p>
          <w:p w14:paraId="0AA08356" w14:textId="77777777" w:rsidR="00C64CEE" w:rsidRPr="00C8182A" w:rsidRDefault="00C64CEE" w:rsidP="00C8182A">
            <w:pPr>
              <w:pStyle w:val="TableText"/>
              <w:keepNext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275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4ADB2434" w14:textId="77777777" w:rsidR="00C64CEE" w:rsidRPr="00C8182A" w:rsidRDefault="00C64CEE" w:rsidP="00C8182A">
            <w:pPr>
              <w:pStyle w:val="TableText"/>
              <w:keepNext/>
              <w:spacing w:before="40" w:after="40"/>
              <w:rPr>
                <w:b/>
                <w:bCs/>
                <w:sz w:val="16"/>
                <w:szCs w:val="16"/>
              </w:rPr>
            </w:pPr>
            <w:r w:rsidRPr="00C8182A">
              <w:rPr>
                <w:b/>
                <w:bCs/>
                <w:sz w:val="16"/>
                <w:szCs w:val="16"/>
              </w:rPr>
              <w:t xml:space="preserve"> (van de Grift et al., 2020)</w:t>
            </w:r>
          </w:p>
          <w:p w14:paraId="5408ADF0" w14:textId="77777777" w:rsidR="00C64CEE" w:rsidRPr="00C8182A" w:rsidRDefault="00C64CEE" w:rsidP="00C8182A">
            <w:pPr>
              <w:pStyle w:val="TableText"/>
              <w:keepNext/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6C05C23A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Cases selected from GIS. </w:t>
            </w:r>
          </w:p>
          <w:p w14:paraId="33F91672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Diagnosis based on DSM 4/5</w:t>
            </w:r>
          </w:p>
        </w:tc>
        <w:tc>
          <w:tcPr>
            <w:tcW w:w="1417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75DED220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Cases assumed to be representative of GD individuals eligible for </w:t>
            </w:r>
            <w:proofErr w:type="spellStart"/>
            <w:r w:rsidRPr="00266590">
              <w:rPr>
                <w:sz w:val="16"/>
                <w:szCs w:val="16"/>
              </w:rPr>
              <w:t>GnRHa</w:t>
            </w:r>
            <w:proofErr w:type="spellEnd"/>
          </w:p>
        </w:tc>
        <w:tc>
          <w:tcPr>
            <w:tcW w:w="1276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0030171B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Same GIS clinic matched for age, CSH therapy and requesting surgery</w:t>
            </w:r>
          </w:p>
        </w:tc>
        <w:tc>
          <w:tcPr>
            <w:tcW w:w="1134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4FF3157D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proofErr w:type="spellStart"/>
            <w:r w:rsidRPr="00266590">
              <w:rPr>
                <w:sz w:val="16"/>
                <w:szCs w:val="16"/>
              </w:rPr>
              <w:t>GnRHa</w:t>
            </w:r>
            <w:proofErr w:type="spellEnd"/>
            <w:r w:rsidRPr="00266590">
              <w:rPr>
                <w:sz w:val="16"/>
                <w:szCs w:val="16"/>
              </w:rPr>
              <w:t xml:space="preserve"> therapy excluded.</w:t>
            </w:r>
          </w:p>
        </w:tc>
        <w:tc>
          <w:tcPr>
            <w:tcW w:w="1701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3B8C3C78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By design: Individuals enrolled in GIS clinic. </w:t>
            </w:r>
          </w:p>
          <w:p w14:paraId="0DF8AA94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By Analysis: Age: Tanner status, Gender, </w:t>
            </w:r>
          </w:p>
        </w:tc>
        <w:tc>
          <w:tcPr>
            <w:tcW w:w="1559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17B4A139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Medical records</w:t>
            </w:r>
          </w:p>
        </w:tc>
        <w:tc>
          <w:tcPr>
            <w:tcW w:w="1418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0799B6B1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Same investigations reported</w:t>
            </w:r>
          </w:p>
        </w:tc>
        <w:tc>
          <w:tcPr>
            <w:tcW w:w="1134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2F025382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 xml:space="preserve">Eligible cases = 316. Included for analysis = 200. </w:t>
            </w:r>
          </w:p>
        </w:tc>
        <w:tc>
          <w:tcPr>
            <w:tcW w:w="992" w:type="dxa"/>
            <w:tcBorders>
              <w:bottom w:val="single" w:sz="8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074A6657" w14:textId="77777777" w:rsidR="00C64CEE" w:rsidRPr="00266590" w:rsidRDefault="00C64CEE" w:rsidP="00C8182A">
            <w:pPr>
              <w:pStyle w:val="TableText"/>
              <w:keepNext/>
              <w:spacing w:before="40" w:after="40"/>
              <w:rPr>
                <w:sz w:val="16"/>
                <w:szCs w:val="16"/>
              </w:rPr>
            </w:pPr>
            <w:r w:rsidRPr="00266590">
              <w:rPr>
                <w:sz w:val="16"/>
                <w:szCs w:val="16"/>
              </w:rPr>
              <w:t>Good</w:t>
            </w:r>
          </w:p>
        </w:tc>
      </w:tr>
    </w:tbl>
    <w:p w14:paraId="4F08FE05" w14:textId="0B25E455" w:rsidR="00C64CEE" w:rsidRPr="00F42054" w:rsidRDefault="00266590" w:rsidP="00F42054">
      <w:pPr>
        <w:rPr>
          <w:rStyle w:val="NoteChar"/>
          <w:rFonts w:ascii="Segoe UI" w:eastAsia="Calibri" w:hAnsi="Segoe UI" w:cs="Segoe UI"/>
          <w:szCs w:val="18"/>
        </w:rPr>
      </w:pPr>
      <w:r w:rsidRPr="00F42054">
        <w:rPr>
          <w:rStyle w:val="NoteChar"/>
          <w:rFonts w:ascii="Segoe UI" w:eastAsia="Calibri" w:hAnsi="Segoe UI" w:cs="Segoe UI"/>
          <w:szCs w:val="18"/>
        </w:rPr>
        <w:t xml:space="preserve">USA = United States of America, </w:t>
      </w:r>
      <w:proofErr w:type="spellStart"/>
      <w:r w:rsidRPr="00F42054">
        <w:rPr>
          <w:rStyle w:val="NoteChar"/>
          <w:rFonts w:ascii="Segoe UI" w:eastAsia="Calibri" w:hAnsi="Segoe UI" w:cs="Segoe UI"/>
          <w:szCs w:val="18"/>
        </w:rPr>
        <w:t>N’lands</w:t>
      </w:r>
      <w:proofErr w:type="spellEnd"/>
      <w:r w:rsidRPr="00F42054">
        <w:rPr>
          <w:rStyle w:val="NoteChar"/>
          <w:rFonts w:ascii="Segoe UI" w:eastAsia="Calibri" w:hAnsi="Segoe UI" w:cs="Segoe UI"/>
          <w:szCs w:val="18"/>
        </w:rPr>
        <w:t xml:space="preserve"> = Netherlands, GIS = Gender Identity Service, GD = gender Dysphoria, </w:t>
      </w:r>
      <w:proofErr w:type="spellStart"/>
      <w:r w:rsidRPr="00F42054">
        <w:rPr>
          <w:rStyle w:val="NoteChar"/>
          <w:rFonts w:ascii="Segoe UI" w:eastAsia="Calibri" w:hAnsi="Segoe UI" w:cs="Segoe UI"/>
          <w:szCs w:val="18"/>
        </w:rPr>
        <w:t>GnRHa</w:t>
      </w:r>
      <w:proofErr w:type="spellEnd"/>
      <w:r w:rsidRPr="00F42054">
        <w:rPr>
          <w:rStyle w:val="NoteChar"/>
          <w:rFonts w:ascii="Segoe UI" w:eastAsia="Calibri" w:hAnsi="Segoe UI" w:cs="Segoe UI"/>
          <w:szCs w:val="18"/>
        </w:rPr>
        <w:t xml:space="preserve"> = gonadotrophin releasing hormone </w:t>
      </w:r>
      <w:proofErr w:type="spellStart"/>
      <w:r w:rsidRPr="00F42054">
        <w:rPr>
          <w:rStyle w:val="NoteChar"/>
          <w:rFonts w:ascii="Segoe UI" w:eastAsia="Calibri" w:hAnsi="Segoe UI" w:cs="Segoe UI"/>
          <w:szCs w:val="18"/>
        </w:rPr>
        <w:t>analouge</w:t>
      </w:r>
      <w:proofErr w:type="spellEnd"/>
      <w:r w:rsidRPr="00F42054">
        <w:rPr>
          <w:rStyle w:val="NoteChar"/>
          <w:rFonts w:ascii="Segoe UI" w:eastAsia="Calibri" w:hAnsi="Segoe UI" w:cs="Segoe UI"/>
          <w:szCs w:val="18"/>
        </w:rPr>
        <w:t>, DSM-4/5 = Diagnostic and Statistical manual, version 4 or 5, DEXA – Dual Emission X-ray Analysis</w:t>
      </w:r>
      <w:r w:rsidR="00F42054" w:rsidRPr="00F42054">
        <w:rPr>
          <w:rStyle w:val="NoteChar"/>
          <w:rFonts w:ascii="Segoe UI" w:eastAsia="Calibri" w:hAnsi="Segoe UI" w:cs="Segoe UI"/>
          <w:szCs w:val="18"/>
        </w:rPr>
        <w:t>.</w:t>
      </w:r>
    </w:p>
    <w:p w14:paraId="5311EED9" w14:textId="77777777" w:rsidR="00266590" w:rsidRDefault="00266590" w:rsidP="00266590">
      <w:pPr>
        <w:pStyle w:val="Heading1"/>
        <w:numPr>
          <w:ilvl w:val="0"/>
          <w:numId w:val="0"/>
        </w:numPr>
        <w:ind w:left="567" w:hanging="567"/>
      </w:pPr>
      <w:r>
        <w:t>NOS Criteria Definitions for Case Control Studies</w:t>
      </w:r>
    </w:p>
    <w:p w14:paraId="7204E6F3" w14:textId="318EF520" w:rsidR="00266590" w:rsidRPr="00266590" w:rsidRDefault="00266590" w:rsidP="00C8182A">
      <w:pPr>
        <w:pStyle w:val="Heading2"/>
      </w:pPr>
      <w:r w:rsidRPr="00266590">
        <w:t>Selection</w:t>
      </w:r>
    </w:p>
    <w:p w14:paraId="411CFC9A" w14:textId="77777777" w:rsidR="00266590" w:rsidRPr="00266590" w:rsidRDefault="00266590" w:rsidP="00C8182A">
      <w:pPr>
        <w:pStyle w:val="Heading3"/>
      </w:pPr>
      <w:r w:rsidRPr="00266590">
        <w:t>Case definition adequate</w:t>
      </w:r>
    </w:p>
    <w:p w14:paraId="10137165" w14:textId="1E4FED2C" w:rsidR="00266590" w:rsidRPr="00266590" w:rsidRDefault="00266590" w:rsidP="00266590">
      <w:pPr>
        <w:pStyle w:val="Bullet"/>
      </w:pPr>
      <w:r w:rsidRPr="00266590">
        <w:t xml:space="preserve">Case definition of gender dysphoric individuals receiving </w:t>
      </w:r>
      <w:proofErr w:type="spellStart"/>
      <w:r w:rsidRPr="00266590">
        <w:t>GnRHa</w:t>
      </w:r>
      <w:proofErr w:type="spellEnd"/>
      <w:r w:rsidRPr="00266590">
        <w:t xml:space="preserve"> accepted as accurate on the basis of individuals being managed through GIS with diagnostic criteria. </w:t>
      </w:r>
      <w:proofErr w:type="spellStart"/>
      <w:r w:rsidRPr="00266590">
        <w:t>GnRHa</w:t>
      </w:r>
      <w:proofErr w:type="spellEnd"/>
      <w:r w:rsidRPr="00266590">
        <w:t xml:space="preserve"> administration occurs though injections or implants which reduces non-compliance due to self-medication risks. Duration of therapy for executive function, and cardiometabolic outcomes and surgical options acceptable based on limited information.  </w:t>
      </w:r>
    </w:p>
    <w:p w14:paraId="54F1F42D" w14:textId="77777777" w:rsidR="00266590" w:rsidRPr="00266590" w:rsidRDefault="00266590" w:rsidP="00C8182A">
      <w:pPr>
        <w:pStyle w:val="Heading3"/>
      </w:pPr>
      <w:r w:rsidRPr="00266590">
        <w:t>Representativeness of cases</w:t>
      </w:r>
    </w:p>
    <w:p w14:paraId="61313CEF" w14:textId="50D44F26" w:rsidR="00266590" w:rsidRDefault="00266590" w:rsidP="00266590">
      <w:pPr>
        <w:pStyle w:val="Bullet"/>
      </w:pPr>
      <w:r>
        <w:t xml:space="preserve">Truly representative of the average adolescent with GD in Gender Identity Service Clinics for </w:t>
      </w:r>
      <w:proofErr w:type="spellStart"/>
      <w:r>
        <w:t>GnRHa</w:t>
      </w:r>
      <w:proofErr w:type="spellEnd"/>
      <w:r>
        <w:t xml:space="preserve">. Diagnosis accepted if recognised method stated, or if the individual was managed through a specialist Gender Identity service. For the purpose of analysing medical complications of </w:t>
      </w:r>
      <w:proofErr w:type="spellStart"/>
      <w:r>
        <w:t>GnRHa</w:t>
      </w:r>
      <w:proofErr w:type="spellEnd"/>
      <w:r>
        <w:t xml:space="preserve">, attendance through a publicly funded GIS clinic is accepted as being representative of individuals with GD receiving </w:t>
      </w:r>
      <w:proofErr w:type="spellStart"/>
      <w:r>
        <w:t>GnRHa</w:t>
      </w:r>
      <w:proofErr w:type="spellEnd"/>
      <w:r>
        <w:t>. This assumption has not been applied for the analysis of psychosocial outcomes.</w:t>
      </w:r>
    </w:p>
    <w:p w14:paraId="38FB8DD1" w14:textId="77777777" w:rsidR="00266590" w:rsidRPr="00266590" w:rsidRDefault="00266590" w:rsidP="00C8182A">
      <w:pPr>
        <w:pStyle w:val="Heading3"/>
      </w:pPr>
      <w:r w:rsidRPr="00266590">
        <w:t>Selection of controls</w:t>
      </w:r>
    </w:p>
    <w:p w14:paraId="257C6178" w14:textId="7932DE1B" w:rsidR="00266590" w:rsidRDefault="00266590" w:rsidP="00266590">
      <w:pPr>
        <w:pStyle w:val="Bullet"/>
      </w:pPr>
      <w:r>
        <w:t xml:space="preserve">Controls selected through the same GIS or for non-GD controls through the same institution, undergoing the same </w:t>
      </w:r>
      <w:proofErr w:type="gramStart"/>
      <w:r>
        <w:t>investigation</w:t>
      </w:r>
      <w:proofErr w:type="gramEnd"/>
    </w:p>
    <w:p w14:paraId="2FB40A91" w14:textId="77777777" w:rsidR="00266590" w:rsidRPr="00266590" w:rsidRDefault="00266590" w:rsidP="00C8182A">
      <w:pPr>
        <w:pStyle w:val="Heading3"/>
      </w:pPr>
      <w:r w:rsidRPr="00266590">
        <w:lastRenderedPageBreak/>
        <w:t>Definition of controls</w:t>
      </w:r>
    </w:p>
    <w:p w14:paraId="29062B94" w14:textId="09ABB391" w:rsidR="00266590" w:rsidRDefault="00266590" w:rsidP="00266590">
      <w:pPr>
        <w:pStyle w:val="Bullet"/>
      </w:pPr>
      <w:r>
        <w:t xml:space="preserve">Unexposed to </w:t>
      </w:r>
      <w:proofErr w:type="spellStart"/>
      <w:r>
        <w:t>GnRHa</w:t>
      </w:r>
      <w:proofErr w:type="spellEnd"/>
      <w:r>
        <w:t xml:space="preserve"> or without GD</w:t>
      </w:r>
    </w:p>
    <w:p w14:paraId="6CC28A81" w14:textId="77777777" w:rsidR="00266590" w:rsidRPr="00C8182A" w:rsidRDefault="00266590" w:rsidP="00C8182A">
      <w:pPr>
        <w:pStyle w:val="Heading2"/>
      </w:pPr>
      <w:r w:rsidRPr="00C8182A">
        <w:t>Comparability</w:t>
      </w:r>
    </w:p>
    <w:p w14:paraId="7E486A79" w14:textId="77777777" w:rsidR="00266590" w:rsidRDefault="00266590" w:rsidP="00C8182A">
      <w:pPr>
        <w:pStyle w:val="Heading3"/>
      </w:pPr>
      <w:r>
        <w:t>Comparability of cases and controls on the basis of design or analysis</w:t>
      </w:r>
    </w:p>
    <w:p w14:paraId="3B29AEA6" w14:textId="2890D9F6" w:rsidR="00266590" w:rsidRDefault="00266590" w:rsidP="00266590">
      <w:pPr>
        <w:pStyle w:val="Bullet"/>
      </w:pPr>
      <w:r>
        <w:t xml:space="preserve">Study controls for primary </w:t>
      </w:r>
      <w:proofErr w:type="gramStart"/>
      <w:r>
        <w:t>outcome</w:t>
      </w:r>
      <w:proofErr w:type="gramEnd"/>
    </w:p>
    <w:p w14:paraId="491DF889" w14:textId="1E4D7703" w:rsidR="00266590" w:rsidRDefault="00266590" w:rsidP="00266590">
      <w:pPr>
        <w:pStyle w:val="Bullet"/>
      </w:pPr>
      <w:r>
        <w:t xml:space="preserve">Study controls for secondary </w:t>
      </w:r>
      <w:proofErr w:type="gramStart"/>
      <w:r>
        <w:t>outcomes</w:t>
      </w:r>
      <w:proofErr w:type="gramEnd"/>
    </w:p>
    <w:p w14:paraId="1DD47EA2" w14:textId="77777777" w:rsidR="00266590" w:rsidRDefault="00266590" w:rsidP="00C8182A">
      <w:pPr>
        <w:pStyle w:val="Heading2"/>
      </w:pPr>
      <w:r>
        <w:t>Exposure</w:t>
      </w:r>
    </w:p>
    <w:p w14:paraId="7C0ABEAD" w14:textId="77777777" w:rsidR="00266590" w:rsidRDefault="00266590" w:rsidP="00C8182A">
      <w:pPr>
        <w:pStyle w:val="Heading3"/>
      </w:pPr>
      <w:r>
        <w:t>Ascertainment of Exposure</w:t>
      </w:r>
    </w:p>
    <w:p w14:paraId="4341EB08" w14:textId="08FF6A9F" w:rsidR="00266590" w:rsidRDefault="00266590" w:rsidP="00266590">
      <w:pPr>
        <w:pStyle w:val="Bullet"/>
      </w:pPr>
      <w:r>
        <w:t>Medical Notes</w:t>
      </w:r>
    </w:p>
    <w:p w14:paraId="52E2793B" w14:textId="77777777" w:rsidR="00266590" w:rsidRDefault="00266590" w:rsidP="00C8182A">
      <w:pPr>
        <w:pStyle w:val="Heading3"/>
      </w:pPr>
      <w:r>
        <w:t>Non-response Rate</w:t>
      </w:r>
    </w:p>
    <w:p w14:paraId="5551B8C7" w14:textId="12F8AE55" w:rsidR="00266590" w:rsidRDefault="00266590" w:rsidP="00266590">
      <w:pPr>
        <w:pStyle w:val="Bullet"/>
      </w:pPr>
      <w:r>
        <w:t>Same for both groups.</w:t>
      </w:r>
    </w:p>
    <w:p w14:paraId="3B2A9D29" w14:textId="3B40B13E" w:rsidR="00266590" w:rsidRDefault="00266590" w:rsidP="00266590"/>
    <w:p w14:paraId="6CDBF2D3" w14:textId="77777777" w:rsidR="00266590" w:rsidRDefault="00266590" w:rsidP="00266590">
      <w:r>
        <w:t>Thresholds for converting the Newcastle-Ottawa scales to AHRQ standards (good, fair, and poor)</w:t>
      </w:r>
    </w:p>
    <w:p w14:paraId="4CFF8D0D" w14:textId="77777777" w:rsidR="00266590" w:rsidRDefault="00266590" w:rsidP="00266590">
      <w:r>
        <w:t xml:space="preserve">Good quality: 3 or 4 stars in selection domain AND 1 or 2 stars in comparability domain AND 2 or 3 stars in outcome/exposure domain </w:t>
      </w:r>
    </w:p>
    <w:p w14:paraId="02D30411" w14:textId="77777777" w:rsidR="00266590" w:rsidRDefault="00266590" w:rsidP="00266590">
      <w:r>
        <w:t xml:space="preserve">Fair quality: 2 stars in selection domain AND 1 or 2 stars in comparability domain AND 2 or 3 stars in outcome/exposure domain </w:t>
      </w:r>
    </w:p>
    <w:p w14:paraId="13295D17" w14:textId="53BFCB9D" w:rsidR="00C64CEE" w:rsidRDefault="00266590" w:rsidP="00266590">
      <w:r>
        <w:t>Poor quality: 0 or 1 star in selection domain OR 0 stars in comparability domain OR 0 or 1 stars in outcome/exposure domain</w:t>
      </w:r>
    </w:p>
    <w:p w14:paraId="77E1690E" w14:textId="77777777" w:rsidR="00266590" w:rsidRDefault="00266590" w:rsidP="00266590">
      <w:pPr>
        <w:sectPr w:rsidR="00266590" w:rsidSect="00307C5D"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134" w:right="1134" w:bottom="1134" w:left="1418" w:header="284" w:footer="425" w:gutter="0"/>
          <w:cols w:space="708"/>
          <w:titlePg/>
          <w:docGrid w:linePitch="360"/>
        </w:sectPr>
      </w:pPr>
    </w:p>
    <w:p w14:paraId="678072F4" w14:textId="77777777" w:rsidR="00C8182A" w:rsidRPr="0061200A" w:rsidRDefault="00C8182A" w:rsidP="00C8182A">
      <w:pPr>
        <w:pStyle w:val="Heading1"/>
        <w:numPr>
          <w:ilvl w:val="0"/>
          <w:numId w:val="0"/>
        </w:numPr>
        <w:ind w:left="567" w:hanging="567"/>
      </w:pPr>
      <w:r w:rsidRPr="0061200A">
        <w:rPr>
          <w:rFonts w:eastAsia="Segoe UI"/>
        </w:rPr>
        <w:lastRenderedPageBreak/>
        <w:t>Newcastle Ottawa Scale Assessment for Bone Mineral Density Cohort Studies</w:t>
      </w:r>
    </w:p>
    <w:tbl>
      <w:tblPr>
        <w:tblStyle w:val="TableGrid"/>
        <w:tblW w:w="14261" w:type="dxa"/>
        <w:tblInd w:w="4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50"/>
        <w:gridCol w:w="993"/>
        <w:gridCol w:w="1275"/>
        <w:gridCol w:w="1312"/>
        <w:gridCol w:w="1382"/>
        <w:gridCol w:w="1275"/>
        <w:gridCol w:w="1418"/>
        <w:gridCol w:w="1134"/>
        <w:gridCol w:w="992"/>
        <w:gridCol w:w="1276"/>
        <w:gridCol w:w="1559"/>
      </w:tblGrid>
      <w:tr w:rsidR="00C8182A" w:rsidRPr="00C8182A" w14:paraId="74461CAF" w14:textId="77777777" w:rsidTr="00F42054">
        <w:trPr>
          <w:trHeight w:val="420"/>
        </w:trPr>
        <w:tc>
          <w:tcPr>
            <w:tcW w:w="795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5C6F346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Study No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C6FAF33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Country </w:t>
            </w:r>
          </w:p>
          <w:p w14:paraId="63A1318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/ Year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9F53D5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Reference</w:t>
            </w:r>
          </w:p>
        </w:tc>
        <w:tc>
          <w:tcPr>
            <w:tcW w:w="5244" w:type="dxa"/>
            <w:gridSpan w:val="4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03F08C7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Selection of Study Groups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D40696C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Comparability of Cohorts 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B1937BE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Ascertainment of Exposure / Outcome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17C2FE4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Comment /Rating</w:t>
            </w:r>
          </w:p>
        </w:tc>
      </w:tr>
      <w:tr w:rsidR="00C8182A" w:rsidRPr="00C8182A" w14:paraId="50CEDF17" w14:textId="77777777" w:rsidTr="00F42054">
        <w:trPr>
          <w:trHeight w:val="540"/>
        </w:trPr>
        <w:tc>
          <w:tcPr>
            <w:tcW w:w="795" w:type="dxa"/>
            <w:vMerge/>
            <w:vAlign w:val="center"/>
          </w:tcPr>
          <w:p w14:paraId="40C7642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C5917E3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0F62765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E5235EB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Cases</w:t>
            </w:r>
          </w:p>
          <w:p w14:paraId="72EB453F" w14:textId="79D5B9C8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Representa</w:t>
            </w:r>
            <w:r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tive</w:t>
            </w:r>
            <w:proofErr w:type="spellEnd"/>
          </w:p>
        </w:tc>
        <w:tc>
          <w:tcPr>
            <w:tcW w:w="131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6CC69AA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Selection of non-exposed cohort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FE6844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Ascertainment of Exposure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CF2B372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Outcome </w:t>
            </w:r>
            <w:proofErr w:type="gramStart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not present</w:t>
            </w:r>
            <w:proofErr w:type="gramEnd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at start of study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5DB05D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E7BD276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Assessment of Outcome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F45CC0A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Follow-up duration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3B166F0" w14:textId="77777777" w:rsidR="00C8182A" w:rsidRPr="00C8182A" w:rsidRDefault="00C8182A" w:rsidP="00C8182A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Follow-up Cohort</w:t>
            </w:r>
          </w:p>
        </w:tc>
        <w:tc>
          <w:tcPr>
            <w:tcW w:w="1559" w:type="dxa"/>
            <w:vMerge/>
            <w:vAlign w:val="center"/>
          </w:tcPr>
          <w:p w14:paraId="67C6CDB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</w:tr>
      <w:tr w:rsidR="00C8182A" w:rsidRPr="00C8182A" w14:paraId="712C0AD7" w14:textId="77777777" w:rsidTr="00F42054">
        <w:trPr>
          <w:trHeight w:val="675"/>
        </w:trPr>
        <w:tc>
          <w:tcPr>
            <w:tcW w:w="79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B5147A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835AFE5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  <w:p w14:paraId="6EA9DE2C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5BD331A" w14:textId="77777777" w:rsidR="00C8182A" w:rsidRPr="00C8182A" w:rsidRDefault="00C8182A" w:rsidP="00C8182A">
            <w:pPr>
              <w:spacing w:before="40" w:after="40"/>
              <w:rPr>
                <w:rFonts w:cs="Segoe UI"/>
                <w:b/>
                <w:bCs/>
                <w:sz w:val="16"/>
                <w:szCs w:val="16"/>
              </w:rPr>
            </w:pP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PEVuZE5vdGU+PENpdGU+PEF1dGhvcj5Cb29nZXJzPC9BdXRob3I+PFllYXI+MjAyMzwvWWVhcj48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</w:fldData>
              </w:fldCha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instrText xml:space="preserve"> ADDIN EN.CITE </w:instrTex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PEVuZE5vdGU+PENpdGU+PEF1dGhvcj5Cb29nZXJzPC9BdXRob3I+PFllYXI+MjAyMzwvWWVhcj48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</w:fldData>
              </w:fldCha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instrText xml:space="preserve"> ADDIN EN.CITE.DATA </w:instrTex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separate"/>
            </w:r>
            <w:r w:rsidRPr="00C8182A">
              <w:rPr>
                <w:rFonts w:cs="Segoe UI"/>
                <w:b/>
                <w:bCs/>
                <w:noProof/>
                <w:sz w:val="16"/>
                <w:szCs w:val="16"/>
              </w:rPr>
              <w:t>(Boogers et al., 2023)</w: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371789E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Retrospective GIS cohort with protocol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</w:tcPr>
          <w:p w14:paraId="532CFE6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National Health and Nutrition Examination Surveys</w:t>
            </w:r>
          </w:p>
        </w:tc>
        <w:tc>
          <w:tcPr>
            <w:tcW w:w="1382" w:type="dxa"/>
            <w:tcMar>
              <w:left w:w="108" w:type="dxa"/>
              <w:right w:w="108" w:type="dxa"/>
            </w:tcMar>
          </w:tcPr>
          <w:p w14:paraId="475BF0A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prescribed through </w:t>
            </w:r>
            <w:proofErr w:type="gramStart"/>
            <w:r w:rsidRPr="00C8182A">
              <w:rPr>
                <w:rFonts w:eastAsia="Calibri" w:cs="Segoe UI"/>
                <w:sz w:val="16"/>
                <w:szCs w:val="16"/>
              </w:rPr>
              <w:t>GIS</w:t>
            </w:r>
            <w:proofErr w:type="gramEnd"/>
          </w:p>
          <w:p w14:paraId="2D2C46FC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16ABED4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Complete BMD-Z scores prior to </w:t>
            </w: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not  provided.</w:t>
            </w:r>
          </w:p>
          <w:p w14:paraId="5CBA1AA0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A9C4C8E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BMD-Z score data not provided.</w:t>
            </w:r>
          </w:p>
          <w:p w14:paraId="0931DB06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AMAB only included in study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58AC3D2F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BMD-Z score data not provided.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62B4234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All &gt; 1 year.</w:t>
            </w:r>
          </w:p>
          <w:p w14:paraId="33B9D6D3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Mean (SD) &gt; 2 years (0.7)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7B731E70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157 eligible participants, 87 included. Excluded cohort not analysed.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0A639AF6" w14:textId="019BC611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Poor</w:t>
            </w:r>
          </w:p>
          <w:p w14:paraId="2A3C94F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Numerical BMD-Z-scores not provided Primary outcomes after GAHT</w:t>
            </w:r>
          </w:p>
        </w:tc>
      </w:tr>
      <w:tr w:rsidR="00C8182A" w:rsidRPr="00C8182A" w14:paraId="13348D93" w14:textId="77777777" w:rsidTr="00F42054">
        <w:trPr>
          <w:trHeight w:val="1163"/>
        </w:trPr>
        <w:tc>
          <w:tcPr>
            <w:tcW w:w="79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1A8DA0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5C05AF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UK</w:t>
            </w:r>
          </w:p>
          <w:p w14:paraId="3F6E8036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9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D39603A" w14:textId="05812610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(Carmichael et al., 2021)</w:t>
            </w:r>
          </w:p>
          <w:p w14:paraId="6D2D44E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1CECC5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Prospective GIS cohort with protocol</w:t>
            </w:r>
          </w:p>
        </w:tc>
        <w:tc>
          <w:tcPr>
            <w:tcW w:w="1312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581634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Reference range for HABMD-Z-scores not provided</w:t>
            </w:r>
          </w:p>
        </w:tc>
        <w:tc>
          <w:tcPr>
            <w:tcW w:w="1382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D555A5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prescribed through </w:t>
            </w:r>
            <w:proofErr w:type="gramStart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GIS</w:t>
            </w:r>
            <w:proofErr w:type="gramEnd"/>
          </w:p>
          <w:p w14:paraId="3E76BA8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BDDC1F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Longitudinal study with yearly assessment protocol to 3 years.</w:t>
            </w:r>
          </w:p>
        </w:tc>
        <w:tc>
          <w:tcPr>
            <w:tcW w:w="141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356768DD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BMD-z scores not categorised by sex assigned at birth.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C7ED26F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BMD z-scores from medical records</w:t>
            </w:r>
          </w:p>
        </w:tc>
        <w:tc>
          <w:tcPr>
            <w:tcW w:w="992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85BC4D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Longest follow up provided up to three years.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39A4D43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Prospective. 44 sequential cases. 1/44 lost at 12 months. </w:t>
            </w:r>
          </w:p>
          <w:p w14:paraId="2192B3D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40946C6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Poor</w:t>
            </w:r>
          </w:p>
          <w:p w14:paraId="42ECD85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Lack of categorisation and reference range description.</w:t>
            </w:r>
          </w:p>
        </w:tc>
      </w:tr>
      <w:tr w:rsidR="00C8182A" w:rsidRPr="00C8182A" w14:paraId="3B707D57" w14:textId="77777777" w:rsidTr="00F42054">
        <w:trPr>
          <w:trHeight w:val="675"/>
        </w:trPr>
        <w:tc>
          <w:tcPr>
            <w:tcW w:w="795" w:type="dxa"/>
            <w:tcMar>
              <w:left w:w="108" w:type="dxa"/>
              <w:right w:w="108" w:type="dxa"/>
            </w:tcMar>
          </w:tcPr>
          <w:p w14:paraId="6227FF9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14:paraId="33843C3D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UK</w:t>
            </w:r>
          </w:p>
          <w:p w14:paraId="7307AC7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14:paraId="0870A6A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 xml:space="preserve"> (Joseph et al., 2019)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15B0BDB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Retrospective GIS cohort with protocol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</w:tcPr>
          <w:p w14:paraId="386AC150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Reference range based on published UK norms for Caucasian subjects</w:t>
            </w:r>
          </w:p>
        </w:tc>
        <w:tc>
          <w:tcPr>
            <w:tcW w:w="1382" w:type="dxa"/>
            <w:tcMar>
              <w:left w:w="108" w:type="dxa"/>
              <w:right w:w="108" w:type="dxa"/>
            </w:tcMar>
          </w:tcPr>
          <w:p w14:paraId="3FC6056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prescribed through </w:t>
            </w:r>
            <w:proofErr w:type="gramStart"/>
            <w:r w:rsidRPr="00C8182A">
              <w:rPr>
                <w:rFonts w:eastAsia="Calibri" w:cs="Segoe UI"/>
                <w:sz w:val="16"/>
                <w:szCs w:val="16"/>
              </w:rPr>
              <w:t>GIS</w:t>
            </w:r>
            <w:proofErr w:type="gramEnd"/>
          </w:p>
          <w:p w14:paraId="2AC99BC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136A01F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Longitudinal study with yearly assessment protocol to 3 years.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64D9AD4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BMD-Z scores </w:t>
            </w:r>
            <w:proofErr w:type="gramStart"/>
            <w:r w:rsidRPr="00C8182A">
              <w:rPr>
                <w:rFonts w:eastAsia="Calibri" w:cs="Segoe UI"/>
                <w:sz w:val="16"/>
                <w:szCs w:val="16"/>
              </w:rPr>
              <w:t>provided</w:t>
            </w:r>
            <w:proofErr w:type="gramEnd"/>
          </w:p>
          <w:p w14:paraId="0DD8789F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AMAB &amp; AFAB analysed separately. </w:t>
            </w:r>
          </w:p>
          <w:p w14:paraId="449835B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Narrow age range 12 – 14 years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3A5C33F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 z-scores from medical records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57B3BD3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All &gt; 1 year up to 3 years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256E147D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All eligible individuals enrolled during study period included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0B14B36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Good</w:t>
            </w:r>
          </w:p>
          <w:p w14:paraId="34339F3C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8182A" w:rsidRPr="00C8182A" w14:paraId="19C6D1B2" w14:textId="77777777" w:rsidTr="00F42054">
        <w:trPr>
          <w:trHeight w:val="675"/>
        </w:trPr>
        <w:tc>
          <w:tcPr>
            <w:tcW w:w="79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5854373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479929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  <w:p w14:paraId="06FA198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99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3B1317F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(Klink. et al., 2015)</w:t>
            </w:r>
          </w:p>
          <w:p w14:paraId="7FC4A17C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1740CFE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Retrospective GIS cohort with protocol</w:t>
            </w:r>
          </w:p>
        </w:tc>
        <w:tc>
          <w:tcPr>
            <w:tcW w:w="1312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C2351B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BMD z-score National Health and Nutrition Examination Surveys</w:t>
            </w:r>
          </w:p>
          <w:p w14:paraId="1203242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BAMD z-score published reference</w:t>
            </w:r>
          </w:p>
        </w:tc>
        <w:tc>
          <w:tcPr>
            <w:tcW w:w="1382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6BFD19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prescribed through </w:t>
            </w:r>
            <w:proofErr w:type="gramStart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GIS</w:t>
            </w:r>
            <w:proofErr w:type="gramEnd"/>
          </w:p>
          <w:p w14:paraId="57D89D9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C21AC5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Longitudinal study with yearly assessment protocol to initiation of GAHT till age 18</w:t>
            </w:r>
          </w:p>
        </w:tc>
        <w:tc>
          <w:tcPr>
            <w:tcW w:w="1418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6B6775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Broad age range 11.4 – 18.3 years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AF777AE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BMD z-scores from medical records</w:t>
            </w:r>
          </w:p>
        </w:tc>
        <w:tc>
          <w:tcPr>
            <w:tcW w:w="992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2B748B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treatment median 1.3 years range 0.5 – 3.8 years 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C6D9415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Follow-up data not provided. Primary endpoint 22 years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2D6D04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Good</w:t>
            </w:r>
          </w:p>
          <w:p w14:paraId="2601452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Purpose of study to assess BMD after </w:t>
            </w:r>
            <w:proofErr w:type="spellStart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 xml:space="preserve"> and GAHT therapy at age 22 years.</w:t>
            </w:r>
          </w:p>
        </w:tc>
      </w:tr>
      <w:tr w:rsidR="00C8182A" w:rsidRPr="00C8182A" w14:paraId="66E0D175" w14:textId="77777777" w:rsidTr="00F42054">
        <w:trPr>
          <w:trHeight w:val="675"/>
        </w:trPr>
        <w:tc>
          <w:tcPr>
            <w:tcW w:w="79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7B675C0C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743360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Canada</w:t>
            </w:r>
          </w:p>
          <w:p w14:paraId="787C027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2021</w:t>
            </w:r>
          </w:p>
          <w:p w14:paraId="48771586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1B81996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Navabi</w:t>
            </w:r>
            <w:proofErr w:type="spellEnd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et al., 2021)</w:t>
            </w:r>
          </w:p>
          <w:p w14:paraId="55E721E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1CD4BF6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Retrospective GIS cohort with protocol</w:t>
            </w:r>
          </w:p>
        </w:tc>
        <w:tc>
          <w:tcPr>
            <w:tcW w:w="1312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4BE809FD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color w:val="000000" w:themeColor="text1"/>
                <w:sz w:val="16"/>
                <w:szCs w:val="16"/>
              </w:rPr>
              <w:t>BMD reference range based on published data</w:t>
            </w:r>
          </w:p>
        </w:tc>
        <w:tc>
          <w:tcPr>
            <w:tcW w:w="1382" w:type="dxa"/>
            <w:tcMar>
              <w:left w:w="108" w:type="dxa"/>
              <w:right w:w="108" w:type="dxa"/>
            </w:tcMar>
          </w:tcPr>
          <w:p w14:paraId="22E230A0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prescribed through </w:t>
            </w:r>
            <w:proofErr w:type="gramStart"/>
            <w:r w:rsidRPr="00C8182A">
              <w:rPr>
                <w:rFonts w:eastAsia="Calibri" w:cs="Segoe UI"/>
                <w:sz w:val="16"/>
                <w:szCs w:val="16"/>
              </w:rPr>
              <w:t>GIS</w:t>
            </w:r>
            <w:proofErr w:type="gramEnd"/>
          </w:p>
          <w:p w14:paraId="5A70282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1BC1BC6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Longitudinal study with yearly assessment protocol to 3 years.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7264CF5E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Age, Tanner status, bone age not reported for </w:t>
            </w: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subgroup.</w:t>
            </w:r>
          </w:p>
          <w:p w14:paraId="20744C33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AMAB &amp; AFAB analysed separately.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05E62E4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 z-scores from medical records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6A894BF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treatment median or range not provided for </w:t>
            </w: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subgroup.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49DCBB23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Eligible = 198</w:t>
            </w:r>
          </w:p>
          <w:p w14:paraId="34041AD0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Included = 172</w:t>
            </w:r>
            <w:r w:rsidRPr="00C8182A">
              <w:rPr>
                <w:rFonts w:cs="Segoe UI"/>
                <w:sz w:val="16"/>
                <w:szCs w:val="16"/>
              </w:rPr>
              <w:t xml:space="preserve"> </w:t>
            </w:r>
          </w:p>
          <w:p w14:paraId="1C856306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cs="Segoe UI"/>
                <w:sz w:val="16"/>
                <w:szCs w:val="16"/>
              </w:rPr>
              <w:t xml:space="preserve"> </w:t>
            </w:r>
            <w:r w:rsidRPr="00C8182A">
              <w:rPr>
                <w:rFonts w:eastAsia="Calibri" w:cs="Segoe UI"/>
                <w:sz w:val="16"/>
                <w:szCs w:val="16"/>
              </w:rPr>
              <w:t>FU = 87%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44349F4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Poor</w:t>
            </w:r>
          </w:p>
          <w:p w14:paraId="31CED57C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cohort a sub-analysis of larger cohort.</w:t>
            </w:r>
          </w:p>
        </w:tc>
      </w:tr>
      <w:tr w:rsidR="00C8182A" w:rsidRPr="00C8182A" w14:paraId="57AEDAD2" w14:textId="77777777" w:rsidTr="00F42054">
        <w:trPr>
          <w:trHeight w:val="300"/>
        </w:trPr>
        <w:tc>
          <w:tcPr>
            <w:tcW w:w="795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9D0666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AF60CCF" w14:textId="77777777" w:rsidR="00C8182A" w:rsidRPr="00C8182A" w:rsidRDefault="00C8182A" w:rsidP="00C8182A">
            <w:pPr>
              <w:spacing w:before="40" w:after="40"/>
              <w:rPr>
                <w:rFonts w:cs="Segoe UI"/>
                <w:b/>
                <w:bCs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  <w:p w14:paraId="3C56374B" w14:textId="77777777" w:rsidR="00C8182A" w:rsidRPr="00C8182A" w:rsidRDefault="00C8182A" w:rsidP="00C8182A">
            <w:pPr>
              <w:spacing w:before="40" w:after="40"/>
              <w:rPr>
                <w:rFonts w:cs="Segoe UI"/>
                <w:b/>
                <w:bCs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993" w:type="dxa"/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529406C5" w14:textId="77777777" w:rsidR="00C8182A" w:rsidRPr="00C8182A" w:rsidRDefault="00C8182A" w:rsidP="00C8182A">
            <w:pPr>
              <w:spacing w:before="40" w:after="40"/>
              <w:rPr>
                <w:rFonts w:cs="Segoe UI"/>
                <w:b/>
                <w:bCs/>
                <w:sz w:val="16"/>
                <w:szCs w:val="16"/>
              </w:rPr>
            </w:pP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PEVuZE5vdGU+PENpdGU+PEF1dGhvcj5TY2hhZ2VuPC9BdXRob3I+PFllYXI+MjAyMDwvWWVhcj48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</w:fldData>
              </w:fldCha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instrText xml:space="preserve"> ADDIN EN.CITE </w:instrTex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PEVuZE5vdGU+PENpdGU+PEF1dGhvcj5TY2hhZ2VuPC9BdXRob3I+PFllYXI+MjAyMDwvWWVhcj48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</w:fldData>
              </w:fldCha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instrText xml:space="preserve"> ADDIN EN.CITE.DATA </w:instrTex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separate"/>
            </w:r>
            <w:r w:rsidRPr="00C8182A">
              <w:rPr>
                <w:rFonts w:cs="Segoe UI"/>
                <w:b/>
                <w:bCs/>
                <w:noProof/>
                <w:sz w:val="16"/>
                <w:szCs w:val="16"/>
              </w:rPr>
              <w:t>(Schagen et al., 2020)</w: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5E5288A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Prospective GIS cohort with protocol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</w:tcPr>
          <w:p w14:paraId="1F51776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 z-score National Health and Nutrition Examination Surveys</w:t>
            </w:r>
          </w:p>
          <w:p w14:paraId="135EE3F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BAMD z-score published reference</w:t>
            </w:r>
          </w:p>
        </w:tc>
        <w:tc>
          <w:tcPr>
            <w:tcW w:w="1382" w:type="dxa"/>
            <w:tcMar>
              <w:left w:w="108" w:type="dxa"/>
              <w:right w:w="108" w:type="dxa"/>
            </w:tcMar>
          </w:tcPr>
          <w:p w14:paraId="5F2B551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prescribed through GIS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614728C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Prospective study with baseline BMD data.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205017EF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Analysis by early or late puberty based on Tanner stage.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5C6C04C3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 z-scores from medical records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04B62930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duration mean (SD) 2.0  ± 0.94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2B284C35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127 cases enrolled. </w:t>
            </w:r>
          </w:p>
          <w:p w14:paraId="44005D6D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121 completed protocol.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5D0D061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Good</w:t>
            </w:r>
          </w:p>
        </w:tc>
      </w:tr>
      <w:tr w:rsidR="00C8182A" w:rsidRPr="00C8182A" w14:paraId="4951C58E" w14:textId="77777777" w:rsidTr="00F42054">
        <w:trPr>
          <w:trHeight w:val="810"/>
        </w:trPr>
        <w:tc>
          <w:tcPr>
            <w:tcW w:w="795" w:type="dxa"/>
            <w:tcMar>
              <w:left w:w="108" w:type="dxa"/>
              <w:right w:w="108" w:type="dxa"/>
            </w:tcMar>
          </w:tcPr>
          <w:p w14:paraId="6A0D94E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14:paraId="26169AB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N’lands</w:t>
            </w:r>
            <w:proofErr w:type="spellEnd"/>
          </w:p>
          <w:p w14:paraId="4C394F4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14:paraId="4DA3C5AA" w14:textId="77777777" w:rsidR="00C8182A" w:rsidRPr="00C8182A" w:rsidRDefault="00C8182A" w:rsidP="00C8182A">
            <w:pPr>
              <w:spacing w:before="40" w:after="40"/>
              <w:rPr>
                <w:rFonts w:cs="Segoe UI"/>
                <w:b/>
                <w:bCs/>
                <w:sz w:val="16"/>
                <w:szCs w:val="16"/>
              </w:rPr>
            </w:pP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instrText xml:space="preserve"> ADDIN EN.CITE </w:instrTex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instrText xml:space="preserve"> ADDIN EN.CITE.DATA </w:instrTex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separate"/>
            </w:r>
            <w:r w:rsidRPr="00C8182A">
              <w:rPr>
                <w:rFonts w:cs="Segoe UI"/>
                <w:b/>
                <w:bCs/>
                <w:noProof/>
                <w:sz w:val="16"/>
                <w:szCs w:val="16"/>
              </w:rPr>
              <w:t>(Stoffers et al., 2019)</w:t>
            </w:r>
            <w:r w:rsidRPr="00C8182A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01D00E9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Prospective GIS cohort with protocol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</w:tcPr>
          <w:p w14:paraId="25CCE21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 z-score National Health and Nutrition Examination Surveys</w:t>
            </w:r>
          </w:p>
          <w:p w14:paraId="400981E4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BAMD z-score published reference</w:t>
            </w:r>
          </w:p>
        </w:tc>
        <w:tc>
          <w:tcPr>
            <w:tcW w:w="1382" w:type="dxa"/>
            <w:tcMar>
              <w:left w:w="108" w:type="dxa"/>
              <w:right w:w="108" w:type="dxa"/>
            </w:tcMar>
          </w:tcPr>
          <w:p w14:paraId="001BD395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prescribed through GIS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3750A471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Longitudinal study with yearly assessment protocol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2BC1460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Broad age range, pubertal development.</w:t>
            </w:r>
          </w:p>
          <w:p w14:paraId="30A8AFF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AFAB only included in study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13869E36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 z-scores from medical records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24B8AD9F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All </w:t>
            </w: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&gt; 6 mo.</w:t>
            </w:r>
          </w:p>
          <w:p w14:paraId="5BE96B6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duration median (range) 8 (3-39)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799CC77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64 eligible, 62 included in analysis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0E9D730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Poor</w:t>
            </w:r>
          </w:p>
        </w:tc>
      </w:tr>
      <w:tr w:rsidR="00C8182A" w:rsidRPr="00C8182A" w14:paraId="1625D455" w14:textId="77777777" w:rsidTr="00F42054">
        <w:trPr>
          <w:trHeight w:val="300"/>
        </w:trPr>
        <w:tc>
          <w:tcPr>
            <w:tcW w:w="795" w:type="dxa"/>
            <w:tcMar>
              <w:left w:w="108" w:type="dxa"/>
              <w:right w:w="108" w:type="dxa"/>
            </w:tcMar>
          </w:tcPr>
          <w:p w14:paraId="6114AA6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14:paraId="70DA3F1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  <w:p w14:paraId="7FB3DB2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14:paraId="31EB5A2F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Vlot</w:t>
            </w:r>
            <w:proofErr w:type="spellEnd"/>
            <w:r w:rsidRPr="00C8182A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et al., 2017)</w:t>
            </w:r>
          </w:p>
          <w:p w14:paraId="2CEF9005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09A4BEA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Retrospective cohort with GIS protocol</w:t>
            </w:r>
          </w:p>
        </w:tc>
        <w:tc>
          <w:tcPr>
            <w:tcW w:w="1312" w:type="dxa"/>
            <w:tcMar>
              <w:left w:w="108" w:type="dxa"/>
              <w:right w:w="108" w:type="dxa"/>
            </w:tcMar>
          </w:tcPr>
          <w:p w14:paraId="161C23AA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Published reference range</w:t>
            </w:r>
          </w:p>
        </w:tc>
        <w:tc>
          <w:tcPr>
            <w:tcW w:w="1382" w:type="dxa"/>
            <w:tcMar>
              <w:left w:w="108" w:type="dxa"/>
              <w:right w:w="108" w:type="dxa"/>
            </w:tcMar>
          </w:tcPr>
          <w:p w14:paraId="6140271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prescribed through GIS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2C6BCB19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Longitudinal study with yearly assessment protocol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4CB3FF2C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Separate analysis for young and older individuals based on bone age. Small numbers (range 5 – 23) in each group.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308A807B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BMD z-scores from medical records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4C6FCBD2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Duration of </w:t>
            </w:r>
            <w:proofErr w:type="spellStart"/>
            <w:r w:rsidRPr="00C8182A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C8182A">
              <w:rPr>
                <w:rFonts w:eastAsia="Calibri" w:cs="Segoe UI"/>
                <w:sz w:val="16"/>
                <w:szCs w:val="16"/>
              </w:rPr>
              <w:t xml:space="preserve"> not provided. &gt; 1 year in median age between baseline and initiation of GAHT.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77EB08A8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Eligible individuals  = 215</w:t>
            </w:r>
          </w:p>
          <w:p w14:paraId="0EB81F4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Included = 112</w:t>
            </w:r>
          </w:p>
          <w:p w14:paraId="48949F37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>No analysis of excluded cases.</w:t>
            </w:r>
          </w:p>
          <w:p w14:paraId="08ACD235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6908EAD5" w14:textId="77777777" w:rsidR="00C8182A" w:rsidRPr="00C8182A" w:rsidRDefault="00C8182A" w:rsidP="00C8182A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C8182A">
              <w:rPr>
                <w:rFonts w:eastAsia="Calibri" w:cs="Segoe UI"/>
                <w:b/>
                <w:bCs/>
                <w:sz w:val="16"/>
                <w:szCs w:val="16"/>
              </w:rPr>
              <w:t>Good</w:t>
            </w:r>
          </w:p>
        </w:tc>
      </w:tr>
    </w:tbl>
    <w:p w14:paraId="444F8A62" w14:textId="469DF17A" w:rsidR="00C8182A" w:rsidRPr="00F42054" w:rsidRDefault="00C8182A" w:rsidP="00C8182A">
      <w:pPr>
        <w:rPr>
          <w:rFonts w:cs="Segoe UI"/>
          <w:sz w:val="18"/>
          <w:szCs w:val="18"/>
        </w:rPr>
      </w:pPr>
      <w:r w:rsidRPr="00F42054">
        <w:rPr>
          <w:rStyle w:val="NoteChar"/>
          <w:rFonts w:ascii="Segoe UI" w:eastAsia="Calibri" w:hAnsi="Segoe UI" w:cs="Segoe UI"/>
          <w:szCs w:val="18"/>
        </w:rPr>
        <w:lastRenderedPageBreak/>
        <w:t xml:space="preserve">BMD = Bone Mineral Density, BMAD, Bone mineral areal density, </w:t>
      </w:r>
      <w:r w:rsidRPr="00F42054">
        <w:rPr>
          <w:rStyle w:val="NoteChar"/>
          <w:rFonts w:ascii="Segoe UI" w:hAnsi="Segoe UI" w:cs="Segoe UI"/>
          <w:szCs w:val="18"/>
        </w:rPr>
        <w:t xml:space="preserve">DSM-4/5 = Diagnostic and Statistical manual, version 4 or 5, DEXA – Dual Emission X-ray Analysis, GIS = Gender Identity Service, GD = gender Dysphoria, </w:t>
      </w:r>
      <w:proofErr w:type="spellStart"/>
      <w:r w:rsidRPr="00F42054">
        <w:rPr>
          <w:rStyle w:val="NoteChar"/>
          <w:rFonts w:ascii="Segoe UI" w:hAnsi="Segoe UI" w:cs="Segoe UI"/>
          <w:szCs w:val="18"/>
        </w:rPr>
        <w:t>GnRHa</w:t>
      </w:r>
      <w:proofErr w:type="spellEnd"/>
      <w:r w:rsidRPr="00F42054">
        <w:rPr>
          <w:rStyle w:val="NoteChar"/>
          <w:rFonts w:ascii="Segoe UI" w:hAnsi="Segoe UI" w:cs="Segoe UI"/>
          <w:szCs w:val="18"/>
        </w:rPr>
        <w:t xml:space="preserve"> = gonadotrophin releasing hormone agonist, </w:t>
      </w:r>
      <w:proofErr w:type="spellStart"/>
      <w:r w:rsidRPr="00F42054">
        <w:rPr>
          <w:rStyle w:val="NoteChar"/>
          <w:rFonts w:ascii="Segoe UI" w:hAnsi="Segoe UI" w:cs="Segoe UI"/>
          <w:szCs w:val="18"/>
        </w:rPr>
        <w:t>N’lands</w:t>
      </w:r>
      <w:proofErr w:type="spellEnd"/>
      <w:r w:rsidRPr="00F42054">
        <w:rPr>
          <w:rStyle w:val="NoteChar"/>
          <w:rFonts w:ascii="Segoe UI" w:hAnsi="Segoe UI" w:cs="Segoe UI"/>
          <w:szCs w:val="18"/>
        </w:rPr>
        <w:t xml:space="preserve"> = Netherlands, UK = United Kingdom, , USA = United States of America</w:t>
      </w:r>
      <w:r w:rsidRPr="00F42054">
        <w:rPr>
          <w:rFonts w:cs="Segoe UI"/>
          <w:sz w:val="18"/>
          <w:szCs w:val="18"/>
        </w:rPr>
        <w:t>.</w:t>
      </w:r>
    </w:p>
    <w:p w14:paraId="3A7CB2B6" w14:textId="77777777" w:rsidR="00C8182A" w:rsidRPr="0061200A" w:rsidRDefault="00C8182A" w:rsidP="00C8182A">
      <w:pPr>
        <w:pStyle w:val="Heading1"/>
        <w:numPr>
          <w:ilvl w:val="0"/>
          <w:numId w:val="0"/>
        </w:numPr>
        <w:ind w:left="567" w:hanging="567"/>
      </w:pPr>
      <w:r w:rsidRPr="0061200A">
        <w:rPr>
          <w:rFonts w:eastAsia="Segoe UI"/>
        </w:rPr>
        <w:t>NOS Criteria definitions: BMD</w:t>
      </w:r>
    </w:p>
    <w:p w14:paraId="5CE0B32D" w14:textId="3E27E51D" w:rsidR="00C8182A" w:rsidRPr="0061200A" w:rsidRDefault="00C8182A" w:rsidP="00C8182A">
      <w:pPr>
        <w:pStyle w:val="Heading2"/>
      </w:pPr>
      <w:r w:rsidRPr="0061200A">
        <w:t>Selection</w:t>
      </w:r>
    </w:p>
    <w:p w14:paraId="3346B4FE" w14:textId="77777777" w:rsidR="00C8182A" w:rsidRPr="0061200A" w:rsidRDefault="00C8182A" w:rsidP="00C8182A">
      <w:pPr>
        <w:pStyle w:val="Heading3"/>
      </w:pPr>
      <w:r w:rsidRPr="0061200A">
        <w:t>Representativeness of cases</w:t>
      </w:r>
    </w:p>
    <w:p w14:paraId="3A9A407A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Cohort considered representative of adolescents diagnosed with GD eligible for </w:t>
      </w:r>
      <w:proofErr w:type="spellStart"/>
      <w:r w:rsidRPr="0061200A">
        <w:rPr>
          <w:rFonts w:eastAsia="Calibri"/>
        </w:rPr>
        <w:t>GnRHa</w:t>
      </w:r>
      <w:proofErr w:type="spellEnd"/>
      <w:r w:rsidRPr="0061200A">
        <w:rPr>
          <w:rFonts w:eastAsia="Calibri"/>
        </w:rPr>
        <w:t xml:space="preserve"> if investigations undertaken as part of a specific protocol through a recognised </w:t>
      </w:r>
      <w:proofErr w:type="gramStart"/>
      <w:r w:rsidRPr="0061200A">
        <w:rPr>
          <w:rFonts w:eastAsia="Calibri"/>
        </w:rPr>
        <w:t>GIS</w:t>
      </w:r>
      <w:proofErr w:type="gramEnd"/>
    </w:p>
    <w:p w14:paraId="4AA857BE" w14:textId="77777777" w:rsidR="00C8182A" w:rsidRPr="00C8182A" w:rsidRDefault="00C8182A" w:rsidP="00C8182A">
      <w:pPr>
        <w:pStyle w:val="Heading3"/>
      </w:pPr>
      <w:r w:rsidRPr="00C8182A">
        <w:t>Description of non-exposed cohort</w:t>
      </w:r>
    </w:p>
    <w:p w14:paraId="373B028B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Drawn from same cohort of adolescents with GD not treated with </w:t>
      </w:r>
      <w:proofErr w:type="spellStart"/>
      <w:r w:rsidRPr="0061200A">
        <w:rPr>
          <w:rFonts w:eastAsia="Calibri"/>
        </w:rPr>
        <w:t>GnRHa</w:t>
      </w:r>
      <w:proofErr w:type="spellEnd"/>
      <w:r w:rsidRPr="0061200A">
        <w:rPr>
          <w:rFonts w:eastAsia="Calibri"/>
        </w:rPr>
        <w:t xml:space="preserve"> an accepted </w:t>
      </w:r>
      <w:proofErr w:type="gramStart"/>
      <w:r w:rsidRPr="0061200A">
        <w:rPr>
          <w:rFonts w:eastAsia="Calibri"/>
        </w:rPr>
        <w:t>control</w:t>
      </w:r>
      <w:proofErr w:type="gramEnd"/>
    </w:p>
    <w:p w14:paraId="6DDD6543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>Comparison to validated published population reference ranges.</w:t>
      </w:r>
    </w:p>
    <w:p w14:paraId="6182A237" w14:textId="77777777" w:rsidR="00C8182A" w:rsidRPr="0061200A" w:rsidRDefault="00C8182A" w:rsidP="00C8182A">
      <w:pPr>
        <w:pStyle w:val="Heading3"/>
      </w:pPr>
      <w:r w:rsidRPr="0061200A">
        <w:t>Ascertainment of Exposure</w:t>
      </w:r>
    </w:p>
    <w:p w14:paraId="6B9600F4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Medical record of having received </w:t>
      </w:r>
      <w:proofErr w:type="spellStart"/>
      <w:r w:rsidRPr="0061200A">
        <w:rPr>
          <w:rFonts w:eastAsia="Calibri"/>
        </w:rPr>
        <w:t>GnRHa</w:t>
      </w:r>
      <w:proofErr w:type="spellEnd"/>
      <w:r w:rsidRPr="0061200A">
        <w:rPr>
          <w:rFonts w:eastAsia="Calibri"/>
        </w:rPr>
        <w:t xml:space="preserve">. </w:t>
      </w:r>
    </w:p>
    <w:p w14:paraId="74AF7CD6" w14:textId="77777777" w:rsidR="00C8182A" w:rsidRPr="0061200A" w:rsidRDefault="00C8182A" w:rsidP="00C8182A">
      <w:pPr>
        <w:pStyle w:val="Heading3"/>
      </w:pPr>
      <w:r w:rsidRPr="0061200A">
        <w:t xml:space="preserve">Demonstration that outcome of interest was not present at start of </w:t>
      </w:r>
      <w:proofErr w:type="gramStart"/>
      <w:r w:rsidRPr="0061200A">
        <w:t>study</w:t>
      </w:r>
      <w:proofErr w:type="gramEnd"/>
    </w:p>
    <w:p w14:paraId="0B5502AD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For longitudinal studies analysis prior to and after initiation of </w:t>
      </w:r>
      <w:proofErr w:type="spellStart"/>
      <w:r w:rsidRPr="0061200A">
        <w:rPr>
          <w:rFonts w:eastAsia="Calibri"/>
        </w:rPr>
        <w:t>GnRHa</w:t>
      </w:r>
      <w:proofErr w:type="spellEnd"/>
      <w:r w:rsidRPr="0061200A">
        <w:rPr>
          <w:rFonts w:eastAsia="Calibri"/>
        </w:rPr>
        <w:t xml:space="preserve"> treatment</w:t>
      </w:r>
    </w:p>
    <w:p w14:paraId="57544DBC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>For cross sectional studies comparisons to validated published population reference ranges</w:t>
      </w:r>
    </w:p>
    <w:p w14:paraId="5837098D" w14:textId="77777777" w:rsidR="00C8182A" w:rsidRPr="0061200A" w:rsidRDefault="00C8182A" w:rsidP="00C8182A">
      <w:pPr>
        <w:pStyle w:val="Heading2"/>
      </w:pPr>
      <w:r w:rsidRPr="0061200A">
        <w:t>Comparability</w:t>
      </w:r>
    </w:p>
    <w:p w14:paraId="52764169" w14:textId="77777777" w:rsidR="00C8182A" w:rsidRPr="0061200A" w:rsidRDefault="00C8182A" w:rsidP="00C8182A">
      <w:pPr>
        <w:pStyle w:val="Heading3"/>
      </w:pPr>
      <w:r w:rsidRPr="0061200A">
        <w:t>Comparability of cohorts</w:t>
      </w:r>
    </w:p>
    <w:p w14:paraId="1DB83529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For BMD studies, BMD-z scores or similar categorised by sex assigned at birth </w:t>
      </w:r>
      <w:proofErr w:type="gramStart"/>
      <w:r w:rsidRPr="0061200A">
        <w:rPr>
          <w:rFonts w:eastAsia="Calibri"/>
        </w:rPr>
        <w:t>required</w:t>
      </w:r>
      <w:proofErr w:type="gramEnd"/>
    </w:p>
    <w:p w14:paraId="3EDC1B78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>Adjusted by age, Tanner status, bone age.</w:t>
      </w:r>
    </w:p>
    <w:p w14:paraId="1D169F91" w14:textId="77777777" w:rsidR="00C8182A" w:rsidRPr="0061200A" w:rsidRDefault="00C8182A" w:rsidP="00C8182A">
      <w:pPr>
        <w:pStyle w:val="Heading2"/>
      </w:pPr>
      <w:r w:rsidRPr="0061200A">
        <w:t>Outcome</w:t>
      </w:r>
    </w:p>
    <w:p w14:paraId="07F43068" w14:textId="77777777" w:rsidR="00C8182A" w:rsidRPr="0061200A" w:rsidRDefault="00C8182A" w:rsidP="00C8182A">
      <w:pPr>
        <w:pStyle w:val="Heading3"/>
      </w:pPr>
      <w:r w:rsidRPr="0061200A">
        <w:t>Assessment of Outcome</w:t>
      </w:r>
    </w:p>
    <w:p w14:paraId="3DF1B822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>Independent Blind assessment</w:t>
      </w:r>
    </w:p>
    <w:p w14:paraId="7D31CC96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lastRenderedPageBreak/>
        <w:t xml:space="preserve">Record linkage for data extracted from medical </w:t>
      </w:r>
      <w:proofErr w:type="gramStart"/>
      <w:r w:rsidRPr="0061200A">
        <w:rPr>
          <w:rFonts w:eastAsia="Calibri"/>
        </w:rPr>
        <w:t>notes</w:t>
      </w:r>
      <w:proofErr w:type="gramEnd"/>
    </w:p>
    <w:p w14:paraId="7A828755" w14:textId="77777777" w:rsidR="00C8182A" w:rsidRPr="0061200A" w:rsidRDefault="00C8182A" w:rsidP="00C8182A">
      <w:pPr>
        <w:pStyle w:val="Heading3"/>
      </w:pPr>
      <w:r w:rsidRPr="0061200A">
        <w:t>Adequate follow-up duration</w:t>
      </w:r>
    </w:p>
    <w:p w14:paraId="7C8EB6FF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>Minimum of 6 months for BMD studies.</w:t>
      </w:r>
    </w:p>
    <w:p w14:paraId="0A0F3CDE" w14:textId="77777777" w:rsidR="00C8182A" w:rsidRPr="0061200A" w:rsidRDefault="00C8182A" w:rsidP="00C8182A">
      <w:pPr>
        <w:pStyle w:val="Heading3"/>
      </w:pPr>
      <w:r w:rsidRPr="0061200A">
        <w:t xml:space="preserve">Adequate follow up of </w:t>
      </w:r>
      <w:proofErr w:type="gramStart"/>
      <w:r w:rsidRPr="0061200A">
        <w:t>cohorts</w:t>
      </w:r>
      <w:proofErr w:type="gramEnd"/>
    </w:p>
    <w:p w14:paraId="059EB73E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>All subjects accounted for</w:t>
      </w:r>
    </w:p>
    <w:p w14:paraId="34E8678B" w14:textId="77777777" w:rsidR="00C8182A" w:rsidRPr="0061200A" w:rsidRDefault="00C8182A" w:rsidP="00C8182A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Small proportion (&lt;15%) unlikely to influence </w:t>
      </w:r>
      <w:proofErr w:type="gramStart"/>
      <w:r w:rsidRPr="0061200A">
        <w:rPr>
          <w:rFonts w:eastAsia="Calibri"/>
        </w:rPr>
        <w:t>results</w:t>
      </w:r>
      <w:proofErr w:type="gramEnd"/>
    </w:p>
    <w:p w14:paraId="52D904CE" w14:textId="77777777" w:rsidR="00C8182A" w:rsidRPr="0061200A" w:rsidRDefault="00C8182A" w:rsidP="00C8182A">
      <w:r w:rsidRPr="0061200A">
        <w:rPr>
          <w:rFonts w:ascii="Calibri" w:eastAsia="Calibri" w:hAnsi="Calibri" w:cs="Calibri"/>
          <w:sz w:val="24"/>
        </w:rPr>
        <w:t xml:space="preserve"> </w:t>
      </w:r>
    </w:p>
    <w:p w14:paraId="6A9A2D59" w14:textId="77777777" w:rsidR="00C8182A" w:rsidRPr="0061200A" w:rsidRDefault="00C8182A" w:rsidP="006C3C73">
      <w:r w:rsidRPr="0061200A">
        <w:rPr>
          <w:rFonts w:eastAsia="Calibri"/>
        </w:rPr>
        <w:t>Thresholds for converting the Newcastle-Ottawa scales to AHRQ standards (good, fair, and poor)</w:t>
      </w:r>
    </w:p>
    <w:p w14:paraId="37CA995B" w14:textId="77777777" w:rsidR="00C8182A" w:rsidRPr="0061200A" w:rsidRDefault="00C8182A" w:rsidP="006C3C73">
      <w:r w:rsidRPr="0061200A">
        <w:rPr>
          <w:rFonts w:eastAsia="Calibri"/>
        </w:rPr>
        <w:t xml:space="preserve">Good quality: 3 or 4 stars in selection domain </w:t>
      </w:r>
      <w:r w:rsidRPr="0061200A">
        <w:rPr>
          <w:rFonts w:eastAsia="Calibri"/>
          <w:b/>
          <w:bCs/>
        </w:rPr>
        <w:t>AND</w:t>
      </w:r>
      <w:r w:rsidRPr="0061200A">
        <w:rPr>
          <w:rFonts w:eastAsia="Calibri"/>
        </w:rPr>
        <w:t xml:space="preserve"> 1 or 2 stars in comparability domain</w:t>
      </w:r>
      <w:r w:rsidRPr="0061200A">
        <w:rPr>
          <w:rFonts w:eastAsia="Calibri"/>
          <w:b/>
          <w:bCs/>
        </w:rPr>
        <w:t xml:space="preserve"> AND</w:t>
      </w:r>
      <w:r w:rsidRPr="0061200A">
        <w:rPr>
          <w:rFonts w:eastAsia="Calibri"/>
        </w:rPr>
        <w:t xml:space="preserve"> 2 or 3 stars in outcome/exposure domain </w:t>
      </w:r>
    </w:p>
    <w:p w14:paraId="726A12B8" w14:textId="77777777" w:rsidR="00C8182A" w:rsidRPr="0061200A" w:rsidRDefault="00C8182A" w:rsidP="006C3C73">
      <w:r w:rsidRPr="0061200A">
        <w:rPr>
          <w:rFonts w:eastAsia="Calibri"/>
        </w:rPr>
        <w:t xml:space="preserve">Fair quality: 2 stars in selection domain </w:t>
      </w:r>
      <w:r w:rsidRPr="0061200A">
        <w:rPr>
          <w:rFonts w:eastAsia="Calibri"/>
          <w:b/>
          <w:bCs/>
        </w:rPr>
        <w:t>AND</w:t>
      </w:r>
      <w:r w:rsidRPr="0061200A">
        <w:rPr>
          <w:rFonts w:eastAsia="Calibri"/>
        </w:rPr>
        <w:t xml:space="preserve"> 1 or 2 stars in comparability domain </w:t>
      </w:r>
      <w:r w:rsidRPr="0061200A">
        <w:rPr>
          <w:rFonts w:eastAsia="Calibri"/>
          <w:b/>
          <w:bCs/>
        </w:rPr>
        <w:t>AND</w:t>
      </w:r>
      <w:r w:rsidRPr="0061200A">
        <w:rPr>
          <w:rFonts w:eastAsia="Calibri"/>
        </w:rPr>
        <w:t xml:space="preserve"> 2 or 3 stars in outcome/exposure domain </w:t>
      </w:r>
    </w:p>
    <w:p w14:paraId="6A5D14CD" w14:textId="47FF10F7" w:rsidR="00C8182A" w:rsidRDefault="00C8182A" w:rsidP="006C3C73">
      <w:pPr>
        <w:rPr>
          <w:rFonts w:eastAsia="Calibri"/>
        </w:rPr>
      </w:pPr>
      <w:r w:rsidRPr="0061200A">
        <w:rPr>
          <w:rFonts w:eastAsia="Calibri"/>
        </w:rPr>
        <w:t>Poor quality: 0 or 1 star in selection domain OR 0 stars in comparability domain OR 0 or 1 stars in outcome/exposure domain</w:t>
      </w:r>
    </w:p>
    <w:p w14:paraId="699875CC" w14:textId="77777777" w:rsidR="006C3C73" w:rsidRDefault="006C3C73" w:rsidP="006C3C73">
      <w:pPr>
        <w:sectPr w:rsidR="006C3C73" w:rsidSect="00307C5D">
          <w:headerReference w:type="first" r:id="rId15"/>
          <w:footerReference w:type="first" r:id="rId16"/>
          <w:pgSz w:w="16838" w:h="11906" w:orient="landscape" w:code="9"/>
          <w:pgMar w:top="1134" w:right="1134" w:bottom="1134" w:left="1418" w:header="284" w:footer="425" w:gutter="0"/>
          <w:cols w:space="708"/>
          <w:titlePg/>
          <w:docGrid w:linePitch="360"/>
        </w:sectPr>
      </w:pPr>
    </w:p>
    <w:p w14:paraId="29A0AFB1" w14:textId="77777777" w:rsidR="006C3C73" w:rsidRPr="0061200A" w:rsidRDefault="006C3C73" w:rsidP="006C3C73">
      <w:pPr>
        <w:pStyle w:val="Heading1"/>
        <w:numPr>
          <w:ilvl w:val="0"/>
          <w:numId w:val="0"/>
        </w:numPr>
        <w:ind w:left="567" w:hanging="567"/>
      </w:pPr>
      <w:r w:rsidRPr="0061200A">
        <w:rPr>
          <w:rFonts w:eastAsia="Segoe UI"/>
        </w:rPr>
        <w:lastRenderedPageBreak/>
        <w:t>Newcastle Ottawa Scale Assessment for Cardiometabolic Cohort Studies</w:t>
      </w:r>
    </w:p>
    <w:tbl>
      <w:tblPr>
        <w:tblStyle w:val="TableGrid"/>
        <w:tblW w:w="14317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920"/>
        <w:gridCol w:w="1276"/>
        <w:gridCol w:w="1418"/>
        <w:gridCol w:w="1394"/>
        <w:gridCol w:w="1283"/>
        <w:gridCol w:w="1289"/>
        <w:gridCol w:w="1562"/>
        <w:gridCol w:w="1136"/>
        <w:gridCol w:w="1132"/>
        <w:gridCol w:w="992"/>
        <w:gridCol w:w="1134"/>
      </w:tblGrid>
      <w:tr w:rsidR="006C3C73" w:rsidRPr="0061200A" w14:paraId="59A8D85E" w14:textId="77777777" w:rsidTr="006C3C73">
        <w:trPr>
          <w:trHeight w:val="420"/>
          <w:tblHeader/>
        </w:trPr>
        <w:tc>
          <w:tcPr>
            <w:tcW w:w="781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480DA6B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Study No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E47E86E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Country </w:t>
            </w:r>
          </w:p>
          <w:p w14:paraId="17AC8839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0F2B864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Reference</w:t>
            </w:r>
          </w:p>
        </w:tc>
        <w:tc>
          <w:tcPr>
            <w:tcW w:w="5384" w:type="dxa"/>
            <w:gridSpan w:val="4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A98AB53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Selection of Study Groups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DF13E36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Comparability of Cohorts </w:t>
            </w:r>
          </w:p>
          <w:p w14:paraId="4AEC53CA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75752BC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Ascertainment of Exposure / Outcome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0DD4C9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Comment / Rating</w:t>
            </w:r>
          </w:p>
        </w:tc>
      </w:tr>
      <w:tr w:rsidR="006C3C73" w:rsidRPr="0061200A" w14:paraId="5E942D6B" w14:textId="77777777" w:rsidTr="006C3C73">
        <w:trPr>
          <w:trHeight w:val="540"/>
          <w:tblHeader/>
        </w:trPr>
        <w:tc>
          <w:tcPr>
            <w:tcW w:w="781" w:type="dxa"/>
            <w:vMerge/>
            <w:vAlign w:val="center"/>
          </w:tcPr>
          <w:p w14:paraId="3D817493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14:paraId="2A6210DB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F2D7927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E8D8D9B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Cases</w:t>
            </w:r>
          </w:p>
          <w:p w14:paraId="777E553D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Representative</w:t>
            </w:r>
          </w:p>
        </w:tc>
        <w:tc>
          <w:tcPr>
            <w:tcW w:w="139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498EE82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Selection of non-exposed cohort</w:t>
            </w:r>
          </w:p>
        </w:tc>
        <w:tc>
          <w:tcPr>
            <w:tcW w:w="128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A02DA0D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Ascertainment of Exposure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7402FC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Outcome </w:t>
            </w:r>
            <w:proofErr w:type="gramStart"/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not present</w:t>
            </w:r>
            <w:proofErr w:type="gramEnd"/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at start of study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  <w:vAlign w:val="center"/>
          </w:tcPr>
          <w:p w14:paraId="6FA3445A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582237C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Assesment</w:t>
            </w:r>
            <w:proofErr w:type="spellEnd"/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of Outcome</w:t>
            </w:r>
          </w:p>
        </w:tc>
        <w:tc>
          <w:tcPr>
            <w:tcW w:w="113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C983060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Follow-up duration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584B509" w14:textId="77777777" w:rsidR="006C3C73" w:rsidRPr="006C3C73" w:rsidRDefault="006C3C73" w:rsidP="006C3C73">
            <w:pPr>
              <w:spacing w:before="40" w:after="40"/>
              <w:jc w:val="center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Follow-up Cohort</w:t>
            </w:r>
          </w:p>
        </w:tc>
        <w:tc>
          <w:tcPr>
            <w:tcW w:w="1134" w:type="dxa"/>
            <w:vMerge/>
            <w:vAlign w:val="center"/>
          </w:tcPr>
          <w:p w14:paraId="4F21CBCC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</w:tc>
      </w:tr>
      <w:tr w:rsidR="006C3C73" w:rsidRPr="0061200A" w14:paraId="631231EA" w14:textId="77777777" w:rsidTr="006C3C73">
        <w:trPr>
          <w:trHeight w:val="675"/>
        </w:trPr>
        <w:tc>
          <w:tcPr>
            <w:tcW w:w="78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9F59AE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40530E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  <w:p w14:paraId="27BF4130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34A713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 xml:space="preserve"> (Klaver et al., 2020) 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FB7986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color w:val="000000" w:themeColor="text1"/>
                <w:sz w:val="16"/>
                <w:szCs w:val="16"/>
              </w:rPr>
              <w:t>Retrospective cohort with GIS protocol</w:t>
            </w:r>
          </w:p>
        </w:tc>
        <w:tc>
          <w:tcPr>
            <w:tcW w:w="139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E59F8A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color w:val="000000" w:themeColor="text1"/>
                <w:sz w:val="16"/>
                <w:szCs w:val="16"/>
              </w:rPr>
              <w:t>Published relevant reference ranges</w:t>
            </w:r>
          </w:p>
        </w:tc>
        <w:tc>
          <w:tcPr>
            <w:tcW w:w="1283" w:type="dxa"/>
            <w:tcMar>
              <w:left w:w="108" w:type="dxa"/>
              <w:right w:w="108" w:type="dxa"/>
            </w:tcMar>
          </w:tcPr>
          <w:p w14:paraId="2D8CB351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prescribed through GIS</w:t>
            </w:r>
          </w:p>
        </w:tc>
        <w:tc>
          <w:tcPr>
            <w:tcW w:w="1289" w:type="dxa"/>
            <w:tcMar>
              <w:left w:w="108" w:type="dxa"/>
              <w:right w:w="108" w:type="dxa"/>
            </w:tcMar>
          </w:tcPr>
          <w:p w14:paraId="597AF4D2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Longtitudinal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study with baseline data.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14:paraId="260A335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AMAB and AFAB analysed </w:t>
            </w:r>
            <w:proofErr w:type="gramStart"/>
            <w:r w:rsidRPr="006C3C73">
              <w:rPr>
                <w:rFonts w:eastAsia="Calibri" w:cs="Segoe UI"/>
                <w:sz w:val="16"/>
                <w:szCs w:val="16"/>
              </w:rPr>
              <w:t>separately</w:t>
            </w:r>
            <w:proofErr w:type="gramEnd"/>
          </w:p>
          <w:p w14:paraId="5DACFAD5" w14:textId="2CCAF7CE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Linear mixed model regression with </w:t>
            </w: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analaysis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for missing values</w:t>
            </w:r>
            <w:r>
              <w:rPr>
                <w:rFonts w:eastAsia="Calibri" w:cs="Segoe UI"/>
                <w:sz w:val="16"/>
                <w:szCs w:val="16"/>
              </w:rPr>
              <w:t>.</w:t>
            </w:r>
          </w:p>
        </w:tc>
        <w:tc>
          <w:tcPr>
            <w:tcW w:w="1136" w:type="dxa"/>
            <w:tcMar>
              <w:left w:w="108" w:type="dxa"/>
              <w:right w:w="108" w:type="dxa"/>
            </w:tcMar>
          </w:tcPr>
          <w:p w14:paraId="6B6B5DC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Data from medical records</w:t>
            </w:r>
          </w:p>
        </w:tc>
        <w:tc>
          <w:tcPr>
            <w:tcW w:w="1132" w:type="dxa"/>
            <w:tcMar>
              <w:left w:w="108" w:type="dxa"/>
              <w:right w:w="108" w:type="dxa"/>
            </w:tcMar>
          </w:tcPr>
          <w:p w14:paraId="72230010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Difference in mean duration of  </w:t>
            </w: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GnHRa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monotherapy 1.8 </w:t>
            </w: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yrs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AMAB and 1.7 </w:t>
            </w: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yrs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AFAB.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2A2DFCB1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Not provided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4143DA15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Good</w:t>
            </w:r>
          </w:p>
        </w:tc>
      </w:tr>
      <w:tr w:rsidR="006C3C73" w:rsidRPr="0061200A" w14:paraId="4E79F566" w14:textId="77777777" w:rsidTr="006C3C73">
        <w:trPr>
          <w:trHeight w:val="675"/>
        </w:trPr>
        <w:tc>
          <w:tcPr>
            <w:tcW w:w="781" w:type="dxa"/>
            <w:tcMar>
              <w:left w:w="108" w:type="dxa"/>
              <w:right w:w="108" w:type="dxa"/>
            </w:tcMar>
          </w:tcPr>
          <w:p w14:paraId="4C11D97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20" w:type="dxa"/>
            <w:tcMar>
              <w:left w:w="108" w:type="dxa"/>
              <w:right w:w="108" w:type="dxa"/>
            </w:tcMar>
          </w:tcPr>
          <w:p w14:paraId="63D1776F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Israel</w:t>
            </w:r>
          </w:p>
          <w:p w14:paraId="75DFD42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26DB05E2" w14:textId="77777777" w:rsidR="006C3C73" w:rsidRPr="006C3C73" w:rsidRDefault="006C3C73" w:rsidP="006C3C73">
            <w:pPr>
              <w:spacing w:before="40" w:after="40"/>
              <w:rPr>
                <w:rFonts w:cs="Segoe UI"/>
                <w:b/>
                <w:bCs/>
                <w:sz w:val="16"/>
                <w:szCs w:val="16"/>
              </w:rPr>
            </w:pP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PEVuZE5vdGU+PENpdGU+PEF1dGhvcj5QZXJsPC9BdXRob3I+PFllYXI+MjAyMTwvWWVhcj48UmVj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</w:fldData>
              </w:fldChar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instrText xml:space="preserve"> ADDIN EN.CITE </w:instrText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PEVuZE5vdGU+PENpdGU+PEF1dGhvcj5QZXJsPC9BdXRob3I+PFllYXI+MjAyMTwvWWVhcj48UmVj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</w:fldData>
              </w:fldChar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instrText xml:space="preserve"> ADDIN EN.CITE.DATA </w:instrText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separate"/>
            </w:r>
            <w:r w:rsidRPr="006C3C73">
              <w:rPr>
                <w:rFonts w:cs="Segoe UI"/>
                <w:b/>
                <w:bCs/>
                <w:noProof/>
                <w:sz w:val="16"/>
                <w:szCs w:val="16"/>
              </w:rPr>
              <w:t>(Perl et al., 2021)</w:t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56A2BDC3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Retrospective cohort with GIS protocol</w:t>
            </w:r>
          </w:p>
        </w:tc>
        <w:tc>
          <w:tcPr>
            <w:tcW w:w="1394" w:type="dxa"/>
            <w:tcMar>
              <w:left w:w="108" w:type="dxa"/>
              <w:right w:w="108" w:type="dxa"/>
            </w:tcMar>
          </w:tcPr>
          <w:p w14:paraId="666AD3E1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Published relevant reference ranges</w:t>
            </w:r>
          </w:p>
        </w:tc>
        <w:tc>
          <w:tcPr>
            <w:tcW w:w="1283" w:type="dxa"/>
            <w:tcMar>
              <w:left w:w="108" w:type="dxa"/>
              <w:right w:w="108" w:type="dxa"/>
            </w:tcMar>
          </w:tcPr>
          <w:p w14:paraId="1EE8D600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prescribed through GIS</w:t>
            </w:r>
          </w:p>
        </w:tc>
        <w:tc>
          <w:tcPr>
            <w:tcW w:w="1289" w:type="dxa"/>
            <w:tcMar>
              <w:left w:w="108" w:type="dxa"/>
              <w:right w:w="108" w:type="dxa"/>
            </w:tcMar>
          </w:tcPr>
          <w:p w14:paraId="29BF7D1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Longtitudinal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study protocol with baseline data.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14:paraId="45F844AE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Study only included AFAB adolescents.</w:t>
            </w:r>
          </w:p>
          <w:p w14:paraId="606F9CDA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34E148A3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Mar>
              <w:left w:w="108" w:type="dxa"/>
              <w:right w:w="108" w:type="dxa"/>
            </w:tcMar>
          </w:tcPr>
          <w:p w14:paraId="0F32FD81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Medical Records</w:t>
            </w:r>
          </w:p>
        </w:tc>
        <w:tc>
          <w:tcPr>
            <w:tcW w:w="1132" w:type="dxa"/>
            <w:tcMar>
              <w:left w:w="108" w:type="dxa"/>
              <w:right w:w="108" w:type="dxa"/>
            </w:tcMar>
          </w:tcPr>
          <w:p w14:paraId="3233E8A6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All treated for &gt; 2 months.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0C70F74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Small number of cases n= 15</w:t>
            </w:r>
          </w:p>
          <w:p w14:paraId="64CB49D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3 missing data (20%)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65DD92C7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Poor</w:t>
            </w:r>
          </w:p>
          <w:p w14:paraId="0054C0E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 xml:space="preserve">Time required for BP alterations unknown. </w:t>
            </w:r>
          </w:p>
        </w:tc>
      </w:tr>
      <w:tr w:rsidR="006C3C73" w:rsidRPr="0061200A" w14:paraId="64FF3C22" w14:textId="77777777" w:rsidTr="006C3C73">
        <w:trPr>
          <w:trHeight w:val="300"/>
        </w:trPr>
        <w:tc>
          <w:tcPr>
            <w:tcW w:w="781" w:type="dxa"/>
            <w:tcMar>
              <w:left w:w="108" w:type="dxa"/>
              <w:right w:w="108" w:type="dxa"/>
            </w:tcMar>
          </w:tcPr>
          <w:p w14:paraId="37C837D4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20" w:type="dxa"/>
            <w:tcMar>
              <w:left w:w="108" w:type="dxa"/>
              <w:right w:w="108" w:type="dxa"/>
            </w:tcMar>
          </w:tcPr>
          <w:p w14:paraId="171285DA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N’lands</w:t>
            </w:r>
            <w:proofErr w:type="spellEnd"/>
          </w:p>
          <w:p w14:paraId="3CA5BAC3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3CFA9804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PEVuZE5vdGU+PENpdGU+PEF1dGhvcj5TY2hhZ2VuPC9BdXRob3I+PFllYXI+MjAxNjwvWWVhcj48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</w:fldData>
              </w:fldChar>
            </w: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instrText xml:space="preserve"> ADDIN EN.CITE </w:instrText>
            </w: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begin">
                <w:fldData xml:space="preserve">PEVuZE5vdGU+PENpdGU+PEF1dGhvcj5TY2hhZ2VuPC9BdXRob3I+PFllYXI+MjAxNjwvWWVhcj48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</w:fldData>
              </w:fldChar>
            </w: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instrText xml:space="preserve"> ADDIN EN.CITE.DATA </w:instrText>
            </w: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</w: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</w: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6C3C73">
              <w:rPr>
                <w:rFonts w:eastAsia="Calibri" w:cs="Segoe UI"/>
                <w:b/>
                <w:bCs/>
                <w:noProof/>
                <w:color w:val="000000" w:themeColor="text1"/>
                <w:sz w:val="16"/>
                <w:szCs w:val="16"/>
              </w:rPr>
              <w:t>(Schagen et al., 2016)</w:t>
            </w:r>
            <w:r w:rsidRPr="006C3C73">
              <w:rPr>
                <w:rFonts w:eastAsia="Calibri" w:cs="Segoe U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398A67F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Retrospective cohort with GIS protocol</w:t>
            </w:r>
          </w:p>
        </w:tc>
        <w:tc>
          <w:tcPr>
            <w:tcW w:w="1394" w:type="dxa"/>
            <w:tcMar>
              <w:left w:w="108" w:type="dxa"/>
              <w:right w:w="108" w:type="dxa"/>
            </w:tcMar>
          </w:tcPr>
          <w:p w14:paraId="0DC370BC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Reference range for creatinine not provided</w:t>
            </w:r>
          </w:p>
        </w:tc>
        <w:tc>
          <w:tcPr>
            <w:tcW w:w="1283" w:type="dxa"/>
            <w:tcMar>
              <w:left w:w="108" w:type="dxa"/>
              <w:right w:w="108" w:type="dxa"/>
            </w:tcMar>
          </w:tcPr>
          <w:p w14:paraId="331806E7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prescribed through GIS</w:t>
            </w:r>
          </w:p>
        </w:tc>
        <w:tc>
          <w:tcPr>
            <w:tcW w:w="1289" w:type="dxa"/>
            <w:tcMar>
              <w:left w:w="108" w:type="dxa"/>
              <w:right w:w="108" w:type="dxa"/>
            </w:tcMar>
          </w:tcPr>
          <w:p w14:paraId="5AF839AC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Longtitudinal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study protocol with baseline data.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14:paraId="6E28114A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AMAB and AFAB analysed separately.</w:t>
            </w:r>
          </w:p>
          <w:p w14:paraId="122C3E3E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Broad age range (11.6 – 17.9 years)</w:t>
            </w:r>
          </w:p>
        </w:tc>
        <w:tc>
          <w:tcPr>
            <w:tcW w:w="1136" w:type="dxa"/>
            <w:tcMar>
              <w:left w:w="108" w:type="dxa"/>
              <w:right w:w="108" w:type="dxa"/>
            </w:tcMar>
          </w:tcPr>
          <w:p w14:paraId="69D2DC8B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Medical Records</w:t>
            </w:r>
          </w:p>
        </w:tc>
        <w:tc>
          <w:tcPr>
            <w:tcW w:w="1132" w:type="dxa"/>
            <w:tcMar>
              <w:left w:w="108" w:type="dxa"/>
              <w:right w:w="108" w:type="dxa"/>
            </w:tcMar>
          </w:tcPr>
          <w:p w14:paraId="61E77014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All at 1 year.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06C39A0B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AMAB 28/36 (78%)</w:t>
            </w:r>
          </w:p>
          <w:p w14:paraId="18F94541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 </w:t>
            </w:r>
          </w:p>
          <w:p w14:paraId="2DE29D5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AFAB 29/41 (70%)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69BBCEF3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Good</w:t>
            </w:r>
          </w:p>
        </w:tc>
      </w:tr>
      <w:tr w:rsidR="006C3C73" w:rsidRPr="0061200A" w14:paraId="67FB58EC" w14:textId="77777777" w:rsidTr="006C3C73">
        <w:trPr>
          <w:trHeight w:val="300"/>
        </w:trPr>
        <w:tc>
          <w:tcPr>
            <w:tcW w:w="781" w:type="dxa"/>
            <w:tcMar>
              <w:left w:w="108" w:type="dxa"/>
              <w:right w:w="108" w:type="dxa"/>
            </w:tcMar>
          </w:tcPr>
          <w:p w14:paraId="2EB2C7DC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20" w:type="dxa"/>
            <w:tcMar>
              <w:left w:w="108" w:type="dxa"/>
              <w:right w:w="108" w:type="dxa"/>
            </w:tcMar>
          </w:tcPr>
          <w:p w14:paraId="1BA9FECB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N’lands</w:t>
            </w:r>
            <w:proofErr w:type="spellEnd"/>
          </w:p>
          <w:p w14:paraId="63A06A3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1C18A4B7" w14:textId="77777777" w:rsidR="006C3C73" w:rsidRPr="006C3C73" w:rsidRDefault="006C3C73" w:rsidP="006C3C73">
            <w:pPr>
              <w:spacing w:before="40" w:after="40"/>
              <w:rPr>
                <w:rFonts w:cs="Segoe UI"/>
                <w:b/>
                <w:bCs/>
                <w:sz w:val="16"/>
                <w:szCs w:val="16"/>
              </w:rPr>
            </w:pP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instrText xml:space="preserve"> ADDIN EN.CITE </w:instrText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begin">
                <w:fldData xml:space="preserve">PEVuZE5vdGU+PENpdGU+PEF1dGhvcj5TdG9mZmVyczwvQXV0aG9yPjxZZWFyPjIwMTk8L1llYXI+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</w:fldData>
              </w:fldChar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instrText xml:space="preserve"> ADDIN EN.CITE.DATA </w:instrText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separate"/>
            </w:r>
            <w:r w:rsidRPr="006C3C73">
              <w:rPr>
                <w:rFonts w:cs="Segoe UI"/>
                <w:b/>
                <w:bCs/>
                <w:noProof/>
                <w:sz w:val="16"/>
                <w:szCs w:val="16"/>
              </w:rPr>
              <w:t>(Stoffers et al., 2019)</w:t>
            </w:r>
            <w:r w:rsidRPr="006C3C73">
              <w:rPr>
                <w:rFonts w:cs="Segoe U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0E57BB4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Prospective GIS cohort with protocol</w:t>
            </w:r>
          </w:p>
        </w:tc>
        <w:tc>
          <w:tcPr>
            <w:tcW w:w="1394" w:type="dxa"/>
            <w:tcMar>
              <w:left w:w="108" w:type="dxa"/>
              <w:right w:w="108" w:type="dxa"/>
            </w:tcMar>
          </w:tcPr>
          <w:p w14:paraId="56B93F0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Reference range for Blood pressure not provided</w:t>
            </w:r>
          </w:p>
        </w:tc>
        <w:tc>
          <w:tcPr>
            <w:tcW w:w="1283" w:type="dxa"/>
            <w:tcMar>
              <w:left w:w="108" w:type="dxa"/>
              <w:right w:w="108" w:type="dxa"/>
            </w:tcMar>
          </w:tcPr>
          <w:p w14:paraId="600CEF0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prescribed through GIS</w:t>
            </w:r>
          </w:p>
        </w:tc>
        <w:tc>
          <w:tcPr>
            <w:tcW w:w="1289" w:type="dxa"/>
            <w:tcMar>
              <w:left w:w="108" w:type="dxa"/>
              <w:right w:w="108" w:type="dxa"/>
            </w:tcMar>
          </w:tcPr>
          <w:p w14:paraId="6A14811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Longtitudinal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study with yearly assessment protocol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14:paraId="2FA9605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AFAB only included in </w:t>
            </w:r>
            <w:proofErr w:type="gramStart"/>
            <w:r w:rsidRPr="006C3C73">
              <w:rPr>
                <w:rFonts w:eastAsia="Calibri" w:cs="Segoe UI"/>
                <w:sz w:val="16"/>
                <w:szCs w:val="16"/>
              </w:rPr>
              <w:t>study</w:t>
            </w:r>
            <w:proofErr w:type="gramEnd"/>
          </w:p>
          <w:p w14:paraId="0FE1D5A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Broad age range, pubertal development.</w:t>
            </w:r>
          </w:p>
          <w:p w14:paraId="65CE3EA8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BP data during </w:t>
            </w: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unadjusted for age.</w:t>
            </w:r>
          </w:p>
        </w:tc>
        <w:tc>
          <w:tcPr>
            <w:tcW w:w="1136" w:type="dxa"/>
            <w:tcMar>
              <w:left w:w="108" w:type="dxa"/>
              <w:right w:w="108" w:type="dxa"/>
            </w:tcMar>
          </w:tcPr>
          <w:p w14:paraId="16AD3E1A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BP from medical records</w:t>
            </w:r>
          </w:p>
        </w:tc>
        <w:tc>
          <w:tcPr>
            <w:tcW w:w="1132" w:type="dxa"/>
            <w:tcMar>
              <w:left w:w="108" w:type="dxa"/>
              <w:right w:w="108" w:type="dxa"/>
            </w:tcMar>
          </w:tcPr>
          <w:p w14:paraId="5F731FCF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 xml:space="preserve">All </w:t>
            </w: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&gt; 6 mo.</w:t>
            </w:r>
          </w:p>
          <w:p w14:paraId="5E9823E9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proofErr w:type="spellStart"/>
            <w:r w:rsidRPr="006C3C73">
              <w:rPr>
                <w:rFonts w:eastAsia="Calibri" w:cs="Segoe UI"/>
                <w:sz w:val="16"/>
                <w:szCs w:val="16"/>
              </w:rPr>
              <w:t>GnRHa</w:t>
            </w:r>
            <w:proofErr w:type="spellEnd"/>
            <w:r w:rsidRPr="006C3C73">
              <w:rPr>
                <w:rFonts w:eastAsia="Calibri" w:cs="Segoe UI"/>
                <w:sz w:val="16"/>
                <w:szCs w:val="16"/>
              </w:rPr>
              <w:t xml:space="preserve"> duration median (range) 8 (3-39)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0DA68813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</w:p>
          <w:p w14:paraId="48BEFFFE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sz w:val="16"/>
                <w:szCs w:val="16"/>
              </w:rPr>
              <w:t>64 eligible, 62 included in analysis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14:paraId="626F8ADD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Poor</w:t>
            </w:r>
          </w:p>
          <w:p w14:paraId="6C2F2716" w14:textId="77777777" w:rsidR="006C3C73" w:rsidRPr="006C3C73" w:rsidRDefault="006C3C73" w:rsidP="006C3C73">
            <w:pPr>
              <w:spacing w:before="40" w:after="40"/>
              <w:rPr>
                <w:rFonts w:cs="Segoe UI"/>
                <w:sz w:val="16"/>
                <w:szCs w:val="16"/>
              </w:rPr>
            </w:pPr>
            <w:r w:rsidRPr="006C3C73">
              <w:rPr>
                <w:rFonts w:eastAsia="Calibri" w:cs="Segoe UI"/>
                <w:b/>
                <w:bCs/>
                <w:sz w:val="16"/>
                <w:szCs w:val="16"/>
              </w:rPr>
              <w:t>Primary aim of study was BMD.</w:t>
            </w:r>
          </w:p>
        </w:tc>
      </w:tr>
    </w:tbl>
    <w:p w14:paraId="2343778D" w14:textId="77777777" w:rsidR="006C3C73" w:rsidRPr="0061200A" w:rsidRDefault="006C3C73" w:rsidP="006C3C73">
      <w:pPr>
        <w:pStyle w:val="Heading1"/>
        <w:numPr>
          <w:ilvl w:val="0"/>
          <w:numId w:val="0"/>
        </w:numPr>
        <w:ind w:left="567" w:hanging="567"/>
      </w:pPr>
      <w:r w:rsidRPr="0061200A">
        <w:lastRenderedPageBreak/>
        <w:t>NOS Criteria definitions: Cardiometabolic</w:t>
      </w:r>
    </w:p>
    <w:p w14:paraId="6E4E2BA6" w14:textId="411DE0AA" w:rsidR="006C3C73" w:rsidRPr="0061200A" w:rsidRDefault="006C3C73" w:rsidP="006C3C73">
      <w:pPr>
        <w:pStyle w:val="Heading2"/>
      </w:pPr>
      <w:r w:rsidRPr="0061200A">
        <w:t>Selection</w:t>
      </w:r>
    </w:p>
    <w:p w14:paraId="47ED5E77" w14:textId="77777777" w:rsidR="006C3C73" w:rsidRPr="0061200A" w:rsidRDefault="006C3C73" w:rsidP="006C3C73">
      <w:pPr>
        <w:pStyle w:val="Heading3"/>
      </w:pPr>
      <w:r w:rsidRPr="0061200A">
        <w:t>Representativeness of cases</w:t>
      </w:r>
    </w:p>
    <w:p w14:paraId="784DC914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Cohort considered representative of adolescents diagnosed with GD eligible for </w:t>
      </w:r>
      <w:proofErr w:type="spellStart"/>
      <w:r w:rsidRPr="0061200A">
        <w:rPr>
          <w:rFonts w:eastAsia="Calibri"/>
        </w:rPr>
        <w:t>GnRHa</w:t>
      </w:r>
      <w:proofErr w:type="spellEnd"/>
      <w:r w:rsidRPr="0061200A">
        <w:rPr>
          <w:rFonts w:eastAsia="Calibri"/>
        </w:rPr>
        <w:t xml:space="preserve"> if investigations undertaken as part of a specific protocol through a recognised </w:t>
      </w:r>
      <w:proofErr w:type="gramStart"/>
      <w:r w:rsidRPr="0061200A">
        <w:rPr>
          <w:rFonts w:eastAsia="Calibri"/>
        </w:rPr>
        <w:t>GIS</w:t>
      </w:r>
      <w:proofErr w:type="gramEnd"/>
    </w:p>
    <w:p w14:paraId="5B27F9E7" w14:textId="77777777" w:rsidR="006C3C73" w:rsidRPr="0061200A" w:rsidRDefault="006C3C73" w:rsidP="006C3C73">
      <w:pPr>
        <w:pStyle w:val="Heading3"/>
      </w:pPr>
      <w:r w:rsidRPr="0061200A">
        <w:t>Description of non-exposed cohort</w:t>
      </w:r>
    </w:p>
    <w:p w14:paraId="27AAF3A7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Drawn from same cohort of adolescents with GD not treated with </w:t>
      </w:r>
      <w:proofErr w:type="spellStart"/>
      <w:r w:rsidRPr="0061200A">
        <w:rPr>
          <w:rFonts w:eastAsia="Calibri"/>
        </w:rPr>
        <w:t>GnRHa</w:t>
      </w:r>
      <w:proofErr w:type="spellEnd"/>
      <w:r w:rsidRPr="0061200A">
        <w:rPr>
          <w:rFonts w:eastAsia="Calibri"/>
        </w:rPr>
        <w:t xml:space="preserve"> an accepted </w:t>
      </w:r>
      <w:proofErr w:type="gramStart"/>
      <w:r w:rsidRPr="0061200A">
        <w:rPr>
          <w:rFonts w:eastAsia="Calibri"/>
        </w:rPr>
        <w:t>control</w:t>
      </w:r>
      <w:proofErr w:type="gramEnd"/>
    </w:p>
    <w:p w14:paraId="64521440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>Comparison to validated published population reference ranges.</w:t>
      </w:r>
    </w:p>
    <w:p w14:paraId="3BDFB923" w14:textId="77777777" w:rsidR="006C3C73" w:rsidRPr="0061200A" w:rsidRDefault="006C3C73" w:rsidP="006C3C73">
      <w:pPr>
        <w:pStyle w:val="Heading3"/>
      </w:pPr>
      <w:r w:rsidRPr="0061200A">
        <w:t>Ascertainment of Exposure</w:t>
      </w:r>
    </w:p>
    <w:p w14:paraId="10CE3E0C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Medical record of having received </w:t>
      </w:r>
      <w:proofErr w:type="spellStart"/>
      <w:r w:rsidRPr="0061200A">
        <w:rPr>
          <w:rFonts w:eastAsia="Calibri"/>
        </w:rPr>
        <w:t>GnRHa</w:t>
      </w:r>
      <w:proofErr w:type="spellEnd"/>
      <w:r w:rsidRPr="0061200A">
        <w:rPr>
          <w:rFonts w:eastAsia="Calibri"/>
        </w:rPr>
        <w:t xml:space="preserve">. </w:t>
      </w:r>
    </w:p>
    <w:p w14:paraId="532F0D07" w14:textId="77777777" w:rsidR="006C3C73" w:rsidRPr="0061200A" w:rsidRDefault="006C3C73" w:rsidP="006C3C73">
      <w:pPr>
        <w:pStyle w:val="Heading3"/>
      </w:pPr>
      <w:r w:rsidRPr="0061200A">
        <w:t xml:space="preserve">Demonstration that outcome of interest was not present at start of </w:t>
      </w:r>
      <w:proofErr w:type="gramStart"/>
      <w:r w:rsidRPr="0061200A">
        <w:t>study</w:t>
      </w:r>
      <w:proofErr w:type="gramEnd"/>
    </w:p>
    <w:p w14:paraId="4F13A800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For longitudinal studies analysis prior to and after initiation of </w:t>
      </w:r>
      <w:proofErr w:type="spellStart"/>
      <w:r w:rsidRPr="0061200A">
        <w:rPr>
          <w:rFonts w:eastAsia="Calibri"/>
        </w:rPr>
        <w:t>GnRHa</w:t>
      </w:r>
      <w:proofErr w:type="spellEnd"/>
      <w:r w:rsidRPr="0061200A">
        <w:rPr>
          <w:rFonts w:eastAsia="Calibri"/>
        </w:rPr>
        <w:t xml:space="preserve"> treatment</w:t>
      </w:r>
    </w:p>
    <w:p w14:paraId="4020D567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>For cross sectional studies comparisons to validated published population reference ranges</w:t>
      </w:r>
    </w:p>
    <w:p w14:paraId="46A79C3F" w14:textId="77777777" w:rsidR="006C3C73" w:rsidRPr="0061200A" w:rsidRDefault="006C3C73" w:rsidP="006C3C73">
      <w:pPr>
        <w:pStyle w:val="Heading2"/>
      </w:pPr>
      <w:r w:rsidRPr="0061200A">
        <w:t>Comparability</w:t>
      </w:r>
    </w:p>
    <w:p w14:paraId="2721EFD6" w14:textId="77777777" w:rsidR="006C3C73" w:rsidRPr="0061200A" w:rsidRDefault="006C3C73" w:rsidP="006C3C73">
      <w:pPr>
        <w:pStyle w:val="Heading3"/>
      </w:pPr>
      <w:r w:rsidRPr="0061200A">
        <w:t>Comparability of cohorts</w:t>
      </w:r>
    </w:p>
    <w:p w14:paraId="5BFA9B24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Cardiometabolic outcome z-scores or centiles categorised by sex assigned at birth </w:t>
      </w:r>
      <w:proofErr w:type="gramStart"/>
      <w:r w:rsidRPr="0061200A">
        <w:rPr>
          <w:rFonts w:eastAsia="Calibri"/>
        </w:rPr>
        <w:t>required</w:t>
      </w:r>
      <w:proofErr w:type="gramEnd"/>
    </w:p>
    <w:p w14:paraId="381E88F9" w14:textId="77777777" w:rsidR="006C3C73" w:rsidRPr="0061200A" w:rsidRDefault="006C3C73" w:rsidP="006C3C73">
      <w:pPr>
        <w:pStyle w:val="Heading2"/>
      </w:pPr>
      <w:r w:rsidRPr="0061200A">
        <w:t>Outcome</w:t>
      </w:r>
    </w:p>
    <w:p w14:paraId="06798A95" w14:textId="77777777" w:rsidR="006C3C73" w:rsidRPr="0061200A" w:rsidRDefault="006C3C73" w:rsidP="006C3C73">
      <w:pPr>
        <w:pStyle w:val="Heading3"/>
      </w:pPr>
      <w:r w:rsidRPr="0061200A">
        <w:t>Assessment of Outcome</w:t>
      </w:r>
    </w:p>
    <w:p w14:paraId="7FC62C99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>Independent Blind assessment</w:t>
      </w:r>
    </w:p>
    <w:p w14:paraId="70A9EBCE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Record linkage for data extracted from medical </w:t>
      </w:r>
      <w:proofErr w:type="gramStart"/>
      <w:r w:rsidRPr="0061200A">
        <w:rPr>
          <w:rFonts w:eastAsia="Calibri"/>
        </w:rPr>
        <w:t>notes</w:t>
      </w:r>
      <w:proofErr w:type="gramEnd"/>
    </w:p>
    <w:p w14:paraId="41C8325A" w14:textId="77777777" w:rsidR="006C3C73" w:rsidRPr="0061200A" w:rsidRDefault="006C3C73" w:rsidP="006C3C73">
      <w:pPr>
        <w:pStyle w:val="Heading3"/>
      </w:pPr>
      <w:r w:rsidRPr="0061200A">
        <w:t>Adequate follow-up duration</w:t>
      </w:r>
    </w:p>
    <w:p w14:paraId="38406B8E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>Minimum of 3/12 follow-up for cardiometabolic outcomes.</w:t>
      </w:r>
    </w:p>
    <w:p w14:paraId="1A6AFDA8" w14:textId="77777777" w:rsidR="006C3C73" w:rsidRPr="0061200A" w:rsidRDefault="006C3C73" w:rsidP="006C3C73">
      <w:pPr>
        <w:pStyle w:val="Heading3"/>
      </w:pPr>
      <w:r w:rsidRPr="0061200A">
        <w:lastRenderedPageBreak/>
        <w:t xml:space="preserve">Adequate follow up of </w:t>
      </w:r>
      <w:proofErr w:type="gramStart"/>
      <w:r w:rsidRPr="0061200A">
        <w:t>cohorts</w:t>
      </w:r>
      <w:proofErr w:type="gramEnd"/>
    </w:p>
    <w:p w14:paraId="1591CC0F" w14:textId="77777777" w:rsidR="006C3C73" w:rsidRPr="0061200A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>All subjects accounted for</w:t>
      </w:r>
    </w:p>
    <w:p w14:paraId="154E0D81" w14:textId="77777777" w:rsidR="006C3C73" w:rsidRPr="00275241" w:rsidRDefault="006C3C73" w:rsidP="006C3C73">
      <w:pPr>
        <w:pStyle w:val="Bullet"/>
        <w:rPr>
          <w:rFonts w:eastAsia="Calibri"/>
        </w:rPr>
      </w:pPr>
      <w:r w:rsidRPr="0061200A">
        <w:rPr>
          <w:rFonts w:eastAsia="Calibri"/>
        </w:rPr>
        <w:t xml:space="preserve">Small proportion (&lt;15%) unlikely to influence </w:t>
      </w:r>
      <w:proofErr w:type="gramStart"/>
      <w:r w:rsidRPr="0061200A">
        <w:rPr>
          <w:rFonts w:eastAsia="Calibri"/>
        </w:rPr>
        <w:t>results</w:t>
      </w:r>
      <w:proofErr w:type="gramEnd"/>
    </w:p>
    <w:p w14:paraId="7A344E9E" w14:textId="77777777" w:rsidR="006C3C73" w:rsidRDefault="006C3C73" w:rsidP="006C3C73">
      <w:pPr>
        <w:spacing w:line="240" w:lineRule="auto"/>
        <w:rPr>
          <w:rFonts w:ascii="Calibri" w:eastAsia="Calibri" w:hAnsi="Calibri" w:cs="Calibri"/>
          <w:sz w:val="24"/>
        </w:rPr>
      </w:pPr>
    </w:p>
    <w:p w14:paraId="6E68CE39" w14:textId="5F9BE1DA" w:rsidR="006C3C73" w:rsidRPr="0061200A" w:rsidRDefault="006C3C73" w:rsidP="006C3C73">
      <w:r w:rsidRPr="0061200A">
        <w:rPr>
          <w:rFonts w:eastAsia="Calibri"/>
        </w:rPr>
        <w:t>Thresholds for converting the Newcastle-Ottawa scales to AHRQ standards (good, fair, and poor)</w:t>
      </w:r>
    </w:p>
    <w:p w14:paraId="45BC6209" w14:textId="77777777" w:rsidR="006C3C73" w:rsidRPr="0061200A" w:rsidRDefault="006C3C73" w:rsidP="006C3C73">
      <w:r w:rsidRPr="0061200A">
        <w:rPr>
          <w:rFonts w:eastAsia="Calibri"/>
        </w:rPr>
        <w:t xml:space="preserve">Good quality: 3 or 4 stars in selection domain AND 1 or 2 stars in comparability domain AND 2 or 3 stars in outcome/exposure domain </w:t>
      </w:r>
    </w:p>
    <w:p w14:paraId="6709BA86" w14:textId="77777777" w:rsidR="006C3C73" w:rsidRPr="0061200A" w:rsidRDefault="006C3C73" w:rsidP="006C3C73">
      <w:r w:rsidRPr="0061200A">
        <w:rPr>
          <w:rFonts w:eastAsia="Calibri"/>
        </w:rPr>
        <w:t xml:space="preserve">Fair quality: 2 stars in selection domain AND 1 or 2 stars in comparability domain AND 2 or 3 stars in outcome/exposure domain </w:t>
      </w:r>
    </w:p>
    <w:p w14:paraId="7B459CEA" w14:textId="77777777" w:rsidR="006C3C73" w:rsidRPr="0061200A" w:rsidRDefault="006C3C73" w:rsidP="006C3C73">
      <w:r w:rsidRPr="0061200A">
        <w:rPr>
          <w:rFonts w:eastAsia="Calibri"/>
        </w:rPr>
        <w:t>Poor quality: 0 or 1 star in selection domain OR 0 stars in comparability domain OR 0 or 1 stars in outcome/exposure domain</w:t>
      </w:r>
    </w:p>
    <w:p w14:paraId="1F3AA734" w14:textId="282D36B5" w:rsidR="006C3C73" w:rsidRPr="0061200A" w:rsidRDefault="006C3C73" w:rsidP="006C3C73"/>
    <w:p w14:paraId="2D8988B9" w14:textId="77777777" w:rsidR="006C3C73" w:rsidRDefault="006C3C73" w:rsidP="00266590">
      <w:pPr>
        <w:sectPr w:rsidR="006C3C73" w:rsidSect="00307C5D">
          <w:footerReference w:type="first" r:id="rId17"/>
          <w:pgSz w:w="16838" w:h="11906" w:orient="landscape" w:code="9"/>
          <w:pgMar w:top="1134" w:right="1134" w:bottom="1134" w:left="1418" w:header="284" w:footer="425" w:gutter="0"/>
          <w:cols w:space="708"/>
          <w:titlePg/>
          <w:docGrid w:linePitch="360"/>
        </w:sectPr>
      </w:pPr>
    </w:p>
    <w:p w14:paraId="5D5874C9" w14:textId="77777777" w:rsidR="006C3C73" w:rsidRPr="00275241" w:rsidRDefault="006C3C73" w:rsidP="006C3C73">
      <w:pPr>
        <w:pStyle w:val="References"/>
      </w:pPr>
      <w:r>
        <w:rPr>
          <w:rFonts w:ascii="Calibri" w:hAnsi="Calibri" w:cs="Calibri"/>
          <w:noProof/>
        </w:rPr>
        <w:lastRenderedPageBreak/>
        <w:fldChar w:fldCharType="begin"/>
      </w:r>
      <w:r>
        <w:instrText xml:space="preserve"> ADDIN EN.REFLIST </w:instrText>
      </w:r>
      <w:r>
        <w:rPr>
          <w:rFonts w:ascii="Calibri" w:hAnsi="Calibri" w:cs="Calibri"/>
          <w:noProof/>
        </w:rPr>
        <w:fldChar w:fldCharType="separate"/>
      </w:r>
      <w:r w:rsidRPr="00275241">
        <w:t xml:space="preserve">Boogers, L. S., van der Loos, M. A. T. C., Wiepjes, C. M., van Trotsenburg, A. S. P., den Heijer, M., &amp; Hannema, S. E. (2023). The dose-dependent effect of estrogen on bone mineral density in trans girls. </w:t>
      </w:r>
      <w:r w:rsidRPr="00275241">
        <w:rPr>
          <w:i/>
        </w:rPr>
        <w:t>European Journal of Endocrinology</w:t>
      </w:r>
      <w:r w:rsidRPr="00275241">
        <w:t xml:space="preserve">. </w:t>
      </w:r>
      <w:hyperlink r:id="rId18" w:history="1">
        <w:r w:rsidRPr="006C3C73">
          <w:rPr>
            <w:rStyle w:val="Hyperlink"/>
            <w:b/>
            <w:bCs/>
            <w:color w:val="595959" w:themeColor="text1" w:themeTint="A6"/>
          </w:rPr>
          <w:t>https://doi.org/https://dx.doi.org/10.1093/ejendo/lvad116</w:t>
        </w:r>
      </w:hyperlink>
      <w:r w:rsidRPr="006C3C73">
        <w:rPr>
          <w:rStyle w:val="Hyperlink"/>
          <w:b/>
          <w:bCs/>
          <w:color w:val="595959" w:themeColor="text1" w:themeTint="A6"/>
        </w:rPr>
        <w:t xml:space="preserve"> </w:t>
      </w:r>
    </w:p>
    <w:p w14:paraId="25852028" w14:textId="77777777" w:rsidR="006C3C73" w:rsidRPr="00275241" w:rsidRDefault="006C3C73" w:rsidP="006C3C73">
      <w:pPr>
        <w:pStyle w:val="References"/>
      </w:pPr>
      <w:r w:rsidRPr="00275241">
        <w:t xml:space="preserve">Perl, L., Elkon-Tamir, E., Segev-Becker, A., Israeli, G., Brener, A., &amp; Oren, A. (2021). Blood pressure dynamics after pubertal suppression with gonadotropin-releasing hormone analogs followed by estradiol treatment in transgender female adolescents: a pilot study. </w:t>
      </w:r>
      <w:r w:rsidRPr="00275241">
        <w:rPr>
          <w:i/>
        </w:rPr>
        <w:t>Journal of pediatric endocrinology &amp; metabolism : JPEM</w:t>
      </w:r>
      <w:r w:rsidRPr="00275241">
        <w:t>,</w:t>
      </w:r>
      <w:r w:rsidRPr="00275241">
        <w:rPr>
          <w:i/>
        </w:rPr>
        <w:t xml:space="preserve"> 34</w:t>
      </w:r>
      <w:r w:rsidRPr="00275241">
        <w:t xml:space="preserve">(6), 741-745. </w:t>
      </w:r>
      <w:hyperlink r:id="rId19" w:history="1">
        <w:r w:rsidRPr="006C3C73">
          <w:rPr>
            <w:rStyle w:val="Hyperlink"/>
            <w:b/>
            <w:bCs/>
            <w:color w:val="595959" w:themeColor="text1" w:themeTint="A6"/>
          </w:rPr>
          <w:t>https://doi.org/https://dx.doi.org/10.1515/jpem-2021-0172</w:t>
        </w:r>
      </w:hyperlink>
      <w:r w:rsidRPr="006C3C73">
        <w:rPr>
          <w:b/>
          <w:bCs/>
          <w:color w:val="595959" w:themeColor="text1" w:themeTint="A6"/>
        </w:rPr>
        <w:t xml:space="preserve"> </w:t>
      </w:r>
    </w:p>
    <w:p w14:paraId="7F2F6FE6" w14:textId="77777777" w:rsidR="006C3C73" w:rsidRPr="00275241" w:rsidRDefault="006C3C73" w:rsidP="006C3C73">
      <w:pPr>
        <w:pStyle w:val="References"/>
      </w:pPr>
      <w:r w:rsidRPr="00275241">
        <w:t xml:space="preserve">Schagen, S. E., Cohen-Kettenis, P. T., Delemarre-van de Waal, H. A., &amp; Hannema, S. E. (2016). Efficacy and Safety of Gonadotropin-Releasing Hormone Agonist Treatment to Suppress Puberty in Gender Dysphoric Adolescents. </w:t>
      </w:r>
      <w:r w:rsidRPr="00275241">
        <w:rPr>
          <w:i/>
        </w:rPr>
        <w:t>J Sex Med</w:t>
      </w:r>
      <w:r w:rsidRPr="00275241">
        <w:t>,</w:t>
      </w:r>
      <w:r w:rsidRPr="00275241">
        <w:rPr>
          <w:i/>
        </w:rPr>
        <w:t xml:space="preserve"> 13</w:t>
      </w:r>
      <w:r w:rsidRPr="00275241">
        <w:t xml:space="preserve">(7), 1125-1132. </w:t>
      </w:r>
      <w:hyperlink r:id="rId20" w:history="1">
        <w:r w:rsidRPr="006C3C73">
          <w:rPr>
            <w:rStyle w:val="Hyperlink"/>
            <w:b/>
            <w:bCs/>
            <w:color w:val="595959" w:themeColor="text1" w:themeTint="A6"/>
          </w:rPr>
          <w:t>https://doi.org/10.1016/j.jsxm.2016.05.004</w:t>
        </w:r>
      </w:hyperlink>
      <w:r w:rsidRPr="006C3C73">
        <w:rPr>
          <w:b/>
          <w:bCs/>
          <w:color w:val="595959" w:themeColor="text1" w:themeTint="A6"/>
        </w:rPr>
        <w:t xml:space="preserve"> </w:t>
      </w:r>
    </w:p>
    <w:p w14:paraId="59E4D4CC" w14:textId="77777777" w:rsidR="006C3C73" w:rsidRPr="00275241" w:rsidRDefault="006C3C73" w:rsidP="006C3C73">
      <w:pPr>
        <w:pStyle w:val="References"/>
      </w:pPr>
      <w:r w:rsidRPr="00275241">
        <w:t xml:space="preserve">Schagen, S. E. E., Wouters, F. M., Cohen-Kettenis, P. T., Gooren, L. J., &amp; Hannema, S. E. (2020). Bone Development in Transgender Adolescents Treated With GnRH Analogues and Subsequent Gender-Affirming Hormones. </w:t>
      </w:r>
      <w:r w:rsidRPr="00275241">
        <w:rPr>
          <w:i/>
        </w:rPr>
        <w:t>Journal of Clinical Endocrinology &amp; Metabolism</w:t>
      </w:r>
      <w:r w:rsidRPr="00275241">
        <w:t>,</w:t>
      </w:r>
      <w:r w:rsidRPr="00275241">
        <w:rPr>
          <w:i/>
        </w:rPr>
        <w:t xml:space="preserve"> 105</w:t>
      </w:r>
      <w:r w:rsidRPr="00275241">
        <w:t xml:space="preserve">(12), e4252-4263. </w:t>
      </w:r>
      <w:hyperlink r:id="rId21" w:history="1">
        <w:r w:rsidRPr="006C3C73">
          <w:rPr>
            <w:rStyle w:val="Hyperlink"/>
            <w:b/>
            <w:bCs/>
            <w:color w:val="595959" w:themeColor="text1" w:themeTint="A6"/>
          </w:rPr>
          <w:t>https://doi.org/10.1210/clinem/dgaa604</w:t>
        </w:r>
      </w:hyperlink>
      <w:r w:rsidRPr="006C3C73">
        <w:rPr>
          <w:b/>
          <w:bCs/>
          <w:color w:val="595959" w:themeColor="text1" w:themeTint="A6"/>
        </w:rPr>
        <w:t xml:space="preserve"> </w:t>
      </w:r>
    </w:p>
    <w:p w14:paraId="3AC474E5" w14:textId="77777777" w:rsidR="006C3C73" w:rsidRPr="00275241" w:rsidRDefault="006C3C73" w:rsidP="006C3C73">
      <w:pPr>
        <w:pStyle w:val="References"/>
      </w:pPr>
      <w:r w:rsidRPr="00275241">
        <w:t xml:space="preserve">Stoffers, I. E., de Vries, M. C., &amp; Hannema, S. E. (2019). Physical changes, laboratory parameters, and bone mineral density during testosterone treatment in adolescents with gender dysphoria. </w:t>
      </w:r>
      <w:r w:rsidRPr="00275241">
        <w:rPr>
          <w:i/>
        </w:rPr>
        <w:t>J Sex Med</w:t>
      </w:r>
      <w:r w:rsidRPr="00275241">
        <w:t>,</w:t>
      </w:r>
      <w:r w:rsidRPr="00275241">
        <w:rPr>
          <w:i/>
        </w:rPr>
        <w:t xml:space="preserve"> 16</w:t>
      </w:r>
      <w:r w:rsidRPr="00275241">
        <w:t xml:space="preserve">(9), 1459-1468. </w:t>
      </w:r>
      <w:hyperlink r:id="rId22" w:history="1">
        <w:r w:rsidRPr="006C3C73">
          <w:rPr>
            <w:rStyle w:val="Hyperlink"/>
            <w:b/>
            <w:bCs/>
            <w:color w:val="595959" w:themeColor="text1" w:themeTint="A6"/>
          </w:rPr>
          <w:t>https://doi.org/10.1016/j.jsxm.2019.06.014</w:t>
        </w:r>
      </w:hyperlink>
      <w:r w:rsidRPr="00275241">
        <w:t xml:space="preserve"> </w:t>
      </w:r>
    </w:p>
    <w:p w14:paraId="7FF32B09" w14:textId="1DC5466B" w:rsidR="00266590" w:rsidRDefault="006C3C73" w:rsidP="006C3C73">
      <w:pPr>
        <w:pStyle w:val="References"/>
      </w:pPr>
      <w:r>
        <w:fldChar w:fldCharType="end"/>
      </w:r>
    </w:p>
    <w:p w14:paraId="53D0E226" w14:textId="407B776B" w:rsidR="00783D9C" w:rsidRPr="00DD748F" w:rsidRDefault="00783D9C" w:rsidP="00A401D7"/>
    <w:p w14:paraId="0F80B528" w14:textId="5BA111DF" w:rsidR="00EB461E" w:rsidRPr="00DD748F" w:rsidRDefault="001B7F9C" w:rsidP="006C3C73">
      <w:pPr>
        <w:spacing w:before="480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12CD39CC" wp14:editId="45108CB0">
            <wp:simplePos x="0" y="0"/>
            <wp:positionH relativeFrom="column">
              <wp:posOffset>3871595</wp:posOffset>
            </wp:positionH>
            <wp:positionV relativeFrom="paragraph">
              <wp:posOffset>48260</wp:posOffset>
            </wp:positionV>
            <wp:extent cx="1346835" cy="545465"/>
            <wp:effectExtent l="0" t="0" r="5715" b="6985"/>
            <wp:wrapSquare wrapText="bothSides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3C73">
        <w:rPr>
          <w:rFonts w:ascii="Cambria" w:hAnsi="Cambria"/>
        </w:rPr>
        <w:br w:type="textWrapping" w:clear="all"/>
      </w:r>
    </w:p>
    <w:p w14:paraId="57B281D7" w14:textId="0E0CA48D" w:rsidR="00EB461E" w:rsidRDefault="00333DA0" w:rsidP="002233D8">
      <w:pPr>
        <w:spacing w:before="240"/>
        <w:jc w:val="center"/>
        <w:rPr>
          <w:lang w:eastAsia="en-NZ"/>
        </w:rPr>
      </w:pPr>
      <w:r>
        <w:t>November</w:t>
      </w:r>
      <w:r w:rsidR="002E20EC">
        <w:t xml:space="preserve"> 2024</w:t>
      </w:r>
      <w:r w:rsidR="00C34608" w:rsidRPr="00DD748F">
        <w:br/>
      </w:r>
      <w:r w:rsidR="00EB461E" w:rsidRPr="00DD748F">
        <w:rPr>
          <w:lang w:eastAsia="en-NZ"/>
        </w:rPr>
        <w:t>HP</w:t>
      </w:r>
      <w:r w:rsidR="00E1446C">
        <w:rPr>
          <w:lang w:eastAsia="en-NZ"/>
        </w:rPr>
        <w:t xml:space="preserve"> 9067</w:t>
      </w:r>
    </w:p>
    <w:p w14:paraId="762C0BCA" w14:textId="77777777" w:rsidR="00660619" w:rsidRDefault="00660619" w:rsidP="00660619">
      <w:pPr>
        <w:rPr>
          <w:lang w:eastAsia="en-NZ"/>
        </w:rPr>
      </w:pPr>
    </w:p>
    <w:sectPr w:rsidR="00660619" w:rsidSect="00307C5D">
      <w:footerReference w:type="first" r:id="rId24"/>
      <w:pgSz w:w="16838" w:h="11906" w:orient="landscape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513D" w14:textId="77777777" w:rsidR="0053182D" w:rsidRDefault="0053182D">
      <w:r>
        <w:separator/>
      </w:r>
    </w:p>
  </w:endnote>
  <w:endnote w:type="continuationSeparator" w:id="0">
    <w:p w14:paraId="18D0B9FC" w14:textId="77777777" w:rsidR="0053182D" w:rsidRDefault="0053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8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2474"/>
    </w:tblGrid>
    <w:tr w:rsidR="00525FFB" w14:paraId="3E8638C8" w14:textId="77777777" w:rsidTr="00575935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12474" w:type="dxa"/>
          <w:vAlign w:val="center"/>
        </w:tcPr>
        <w:p w14:paraId="532E9E92" w14:textId="5CFC5E2B" w:rsidR="00525FFB" w:rsidRDefault="00575935" w:rsidP="00525FFB">
          <w:pPr>
            <w:pStyle w:val="RectoFooter"/>
            <w:jc w:val="left"/>
          </w:pPr>
          <w:r w:rsidRPr="00575935">
            <w:t>The Medical Management of Gender Dysphoria using GnRHa; A review of the published evidence of the use GnRHa for gender dysphoria in adolescents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50"/>
      <w:gridCol w:w="709"/>
    </w:tblGrid>
    <w:tr w:rsidR="00525FFB" w14:paraId="71090075" w14:textId="77777777" w:rsidTr="006C3C73">
      <w:trPr>
        <w:cantSplit/>
      </w:trPr>
      <w:tc>
        <w:tcPr>
          <w:tcW w:w="13750" w:type="dxa"/>
          <w:vAlign w:val="center"/>
        </w:tcPr>
        <w:p w14:paraId="1A0698AE" w14:textId="6A4A29E6" w:rsidR="00525FFB" w:rsidRDefault="00575935" w:rsidP="00525FFB">
          <w:pPr>
            <w:pStyle w:val="RectoFooter"/>
          </w:pPr>
          <w:r w:rsidRPr="00575935">
            <w:t>The Medical Management of Gender Dysphoria using GnRHa; A review of the published evidence of the use GnRHa for gender dysphoria in adolescents</w:t>
          </w:r>
        </w:p>
      </w:tc>
      <w:tc>
        <w:tcPr>
          <w:tcW w:w="709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50"/>
      <w:gridCol w:w="709"/>
    </w:tblGrid>
    <w:tr w:rsidR="006C3C73" w14:paraId="73546B02" w14:textId="77777777" w:rsidTr="00A9799F">
      <w:trPr>
        <w:cantSplit/>
      </w:trPr>
      <w:tc>
        <w:tcPr>
          <w:tcW w:w="13750" w:type="dxa"/>
          <w:vAlign w:val="center"/>
        </w:tcPr>
        <w:p w14:paraId="240CF6D2" w14:textId="736F0835" w:rsidR="006C3C73" w:rsidRDefault="00575935" w:rsidP="006C3C73">
          <w:pPr>
            <w:pStyle w:val="RectoFooter"/>
          </w:pPr>
          <w:r w:rsidRPr="00575935">
            <w:t>The Medical Management of Gender Dysphoria using GnRHa; A review of the published evidence of the use GnRHa for gender dysphoria in adolescents</w:t>
          </w:r>
        </w:p>
      </w:tc>
      <w:tc>
        <w:tcPr>
          <w:tcW w:w="709" w:type="dxa"/>
          <w:vAlign w:val="center"/>
        </w:tcPr>
        <w:p w14:paraId="20659010" w14:textId="77777777" w:rsidR="006C3C73" w:rsidRPr="00525FFB" w:rsidRDefault="006C3C73" w:rsidP="006C3C73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75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2049"/>
    </w:tblGrid>
    <w:tr w:rsidR="006C3C73" w14:paraId="22388BB8" w14:textId="77777777" w:rsidTr="00575935">
      <w:trPr>
        <w:cantSplit/>
      </w:trPr>
      <w:tc>
        <w:tcPr>
          <w:tcW w:w="709" w:type="dxa"/>
          <w:vAlign w:val="center"/>
        </w:tcPr>
        <w:p w14:paraId="4BA25681" w14:textId="77777777" w:rsidR="006C3C73" w:rsidRPr="00525FFB" w:rsidRDefault="006C3C73" w:rsidP="006C3C73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12049" w:type="dxa"/>
          <w:vAlign w:val="center"/>
        </w:tcPr>
        <w:p w14:paraId="2DDD6A02" w14:textId="1E55A1E7" w:rsidR="006C3C73" w:rsidRDefault="00575935" w:rsidP="006C3C73">
          <w:pPr>
            <w:pStyle w:val="RectoFooter"/>
            <w:jc w:val="left"/>
          </w:pPr>
          <w:r w:rsidRPr="00575935">
            <w:t>The Medical Management of Gender Dysphoria using GnRHa; A review of the published evidence of the use GnRHa for gender dysphoria in adolescents</w:t>
          </w:r>
        </w:p>
      </w:tc>
    </w:tr>
  </w:tbl>
  <w:p w14:paraId="069D2390" w14:textId="77777777" w:rsidR="006C3C73" w:rsidRPr="00113C1B" w:rsidRDefault="006C3C73" w:rsidP="00113C1B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90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2191"/>
    </w:tblGrid>
    <w:tr w:rsidR="006C3C73" w14:paraId="55149E5E" w14:textId="77777777" w:rsidTr="00575935">
      <w:trPr>
        <w:cantSplit/>
      </w:trPr>
      <w:tc>
        <w:tcPr>
          <w:tcW w:w="709" w:type="dxa"/>
          <w:vAlign w:val="center"/>
        </w:tcPr>
        <w:p w14:paraId="687B6542" w14:textId="77777777" w:rsidR="006C3C73" w:rsidRPr="00525FFB" w:rsidRDefault="006C3C73" w:rsidP="006C3C73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12191" w:type="dxa"/>
          <w:vAlign w:val="center"/>
        </w:tcPr>
        <w:p w14:paraId="60E89122" w14:textId="7F9DC848" w:rsidR="006C3C73" w:rsidRDefault="00575935" w:rsidP="006C3C73">
          <w:pPr>
            <w:pStyle w:val="RectoFooter"/>
            <w:jc w:val="left"/>
          </w:pPr>
          <w:r w:rsidRPr="00575935">
            <w:t>The Medical Management of Gender Dysphoria using GnRHa; A review of the published evidence of the use GnRHa for gender dysphoria in adolescents</w:t>
          </w:r>
        </w:p>
      </w:tc>
    </w:tr>
  </w:tbl>
  <w:p w14:paraId="6EF8B524" w14:textId="77777777" w:rsidR="006C3C73" w:rsidRPr="00113C1B" w:rsidRDefault="006C3C73" w:rsidP="00113C1B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750"/>
      <w:gridCol w:w="709"/>
    </w:tblGrid>
    <w:tr w:rsidR="006C3C73" w14:paraId="4B190309" w14:textId="77777777" w:rsidTr="00A9799F">
      <w:trPr>
        <w:cantSplit/>
      </w:trPr>
      <w:tc>
        <w:tcPr>
          <w:tcW w:w="13750" w:type="dxa"/>
          <w:vAlign w:val="center"/>
        </w:tcPr>
        <w:p w14:paraId="7457E8F9" w14:textId="48C66E86" w:rsidR="006C3C73" w:rsidRDefault="00575935" w:rsidP="006C3C73">
          <w:pPr>
            <w:pStyle w:val="RectoFooter"/>
          </w:pPr>
          <w:r w:rsidRPr="00C64CEE">
            <w:t>The Medical Management of Gender Dysphoria using GnRHa; A review of the published evidence of the use GnRHa for gender dysphoria in adolescents</w:t>
          </w:r>
        </w:p>
      </w:tc>
      <w:tc>
        <w:tcPr>
          <w:tcW w:w="709" w:type="dxa"/>
          <w:vAlign w:val="center"/>
        </w:tcPr>
        <w:p w14:paraId="6B919549" w14:textId="77777777" w:rsidR="006C3C73" w:rsidRPr="00525FFB" w:rsidRDefault="006C3C73" w:rsidP="006C3C73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E4B3872" w14:textId="77777777" w:rsidR="006C3C73" w:rsidRPr="00113C1B" w:rsidRDefault="006C3C73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D45F" w14:textId="77777777" w:rsidR="0053182D" w:rsidRPr="00680D2D" w:rsidRDefault="0053182D" w:rsidP="00680D2D">
      <w:pPr>
        <w:pStyle w:val="Footer"/>
      </w:pPr>
    </w:p>
  </w:footnote>
  <w:footnote w:type="continuationSeparator" w:id="0">
    <w:p w14:paraId="3233694B" w14:textId="77777777" w:rsidR="0053182D" w:rsidRDefault="0053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1BF23C6D" w:rsidR="00EE6CE2" w:rsidRDefault="00333DA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847BBA" wp14:editId="5C701D1F">
          <wp:simplePos x="0" y="0"/>
          <wp:positionH relativeFrom="column">
            <wp:posOffset>7929245</wp:posOffset>
          </wp:positionH>
          <wp:positionV relativeFrom="paragraph">
            <wp:posOffset>153035</wp:posOffset>
          </wp:positionV>
          <wp:extent cx="1210945" cy="572770"/>
          <wp:effectExtent l="0" t="0" r="0" b="0"/>
          <wp:wrapTight wrapText="bothSides">
            <wp:wrapPolygon edited="0">
              <wp:start x="340" y="0"/>
              <wp:lineTo x="340" y="15805"/>
              <wp:lineTo x="5437" y="19397"/>
              <wp:lineTo x="9175" y="20834"/>
              <wp:lineTo x="19369" y="20834"/>
              <wp:lineTo x="21068" y="13650"/>
              <wp:lineTo x="21068" y="0"/>
              <wp:lineTo x="34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D55">
      <w:rPr>
        <w:noProof/>
      </w:rPr>
      <w:drawing>
        <wp:anchor distT="0" distB="0" distL="114300" distR="114300" simplePos="0" relativeHeight="251658240" behindDoc="1" locked="0" layoutInCell="1" allowOverlap="1" wp14:anchorId="2CBA7E37" wp14:editId="5958C77F">
          <wp:simplePos x="0" y="0"/>
          <wp:positionH relativeFrom="page">
            <wp:posOffset>-11430</wp:posOffset>
          </wp:positionH>
          <wp:positionV relativeFrom="margin">
            <wp:posOffset>-379730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 descr="NZ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Z Government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DD19" w14:textId="6F0637C3" w:rsidR="00266590" w:rsidRDefault="00266590" w:rsidP="00BD22FC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B539"/>
    <w:multiLevelType w:val="hybridMultilevel"/>
    <w:tmpl w:val="81261810"/>
    <w:lvl w:ilvl="0" w:tplc="7368C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965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44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EA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4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AA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8A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5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4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93FD"/>
    <w:multiLevelType w:val="hybridMultilevel"/>
    <w:tmpl w:val="D2ACA746"/>
    <w:lvl w:ilvl="0" w:tplc="B150F9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F6F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63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8D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25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24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6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E9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00CA"/>
    <w:multiLevelType w:val="hybridMultilevel"/>
    <w:tmpl w:val="7E68D280"/>
    <w:lvl w:ilvl="0" w:tplc="31D66E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38C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2F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C2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03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C1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AA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2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E1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3A3"/>
    <w:multiLevelType w:val="hybridMultilevel"/>
    <w:tmpl w:val="466850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FF754"/>
    <w:multiLevelType w:val="hybridMultilevel"/>
    <w:tmpl w:val="7B3C3558"/>
    <w:lvl w:ilvl="0" w:tplc="FA2285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9EE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A6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2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01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C2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0E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6A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CB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6C55B97F"/>
    <w:multiLevelType w:val="hybridMultilevel"/>
    <w:tmpl w:val="520CE5D4"/>
    <w:lvl w:ilvl="0" w:tplc="82A46B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88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ED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26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A4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E7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A0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C9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2321F"/>
    <w:multiLevelType w:val="hybridMultilevel"/>
    <w:tmpl w:val="276803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435698">
    <w:abstractNumId w:val="8"/>
  </w:num>
  <w:num w:numId="2" w16cid:durableId="1133518207">
    <w:abstractNumId w:val="9"/>
  </w:num>
  <w:num w:numId="3" w16cid:durableId="537355894">
    <w:abstractNumId w:val="7"/>
  </w:num>
  <w:num w:numId="4" w16cid:durableId="1334917619">
    <w:abstractNumId w:val="3"/>
  </w:num>
  <w:num w:numId="5" w16cid:durableId="1910115370">
    <w:abstractNumId w:val="6"/>
  </w:num>
  <w:num w:numId="6" w16cid:durableId="1857306439">
    <w:abstractNumId w:val="11"/>
  </w:num>
  <w:num w:numId="7" w16cid:durableId="946156772">
    <w:abstractNumId w:val="4"/>
  </w:num>
  <w:num w:numId="8" w16cid:durableId="1418407110">
    <w:abstractNumId w:val="8"/>
  </w:num>
  <w:num w:numId="9" w16cid:durableId="810442125">
    <w:abstractNumId w:val="8"/>
  </w:num>
  <w:num w:numId="10" w16cid:durableId="1129786678">
    <w:abstractNumId w:val="8"/>
  </w:num>
  <w:num w:numId="11" w16cid:durableId="1726442358">
    <w:abstractNumId w:val="8"/>
  </w:num>
  <w:num w:numId="12" w16cid:durableId="1586651993">
    <w:abstractNumId w:val="8"/>
  </w:num>
  <w:num w:numId="13" w16cid:durableId="1613826894">
    <w:abstractNumId w:val="8"/>
  </w:num>
  <w:num w:numId="14" w16cid:durableId="305857125">
    <w:abstractNumId w:val="8"/>
  </w:num>
  <w:num w:numId="15" w16cid:durableId="2103914790">
    <w:abstractNumId w:val="5"/>
  </w:num>
  <w:num w:numId="16" w16cid:durableId="1800950268">
    <w:abstractNumId w:val="1"/>
  </w:num>
  <w:num w:numId="17" w16cid:durableId="1677809974">
    <w:abstractNumId w:val="0"/>
  </w:num>
  <w:num w:numId="18" w16cid:durableId="2069448605">
    <w:abstractNumId w:val="10"/>
  </w:num>
  <w:num w:numId="19" w16cid:durableId="8717716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41D6B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B7F9C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D89"/>
    <w:rsid w:val="00266590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2E20EC"/>
    <w:rsid w:val="003005BD"/>
    <w:rsid w:val="003030F4"/>
    <w:rsid w:val="003046F0"/>
    <w:rsid w:val="00306307"/>
    <w:rsid w:val="00307C5D"/>
    <w:rsid w:val="00307CE5"/>
    <w:rsid w:val="0031520E"/>
    <w:rsid w:val="003156B0"/>
    <w:rsid w:val="00324371"/>
    <w:rsid w:val="00333DA0"/>
    <w:rsid w:val="00334085"/>
    <w:rsid w:val="00343CC9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182D"/>
    <w:rsid w:val="005363DD"/>
    <w:rsid w:val="00543D55"/>
    <w:rsid w:val="00545BA3"/>
    <w:rsid w:val="00546D2C"/>
    <w:rsid w:val="00554E9C"/>
    <w:rsid w:val="00555074"/>
    <w:rsid w:val="005559D9"/>
    <w:rsid w:val="00560222"/>
    <w:rsid w:val="00563001"/>
    <w:rsid w:val="00575935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02AF0"/>
    <w:rsid w:val="006140C0"/>
    <w:rsid w:val="00620375"/>
    <w:rsid w:val="00622810"/>
    <w:rsid w:val="0062291E"/>
    <w:rsid w:val="006306C9"/>
    <w:rsid w:val="0063296E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3C73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2DFA"/>
    <w:rsid w:val="007C3953"/>
    <w:rsid w:val="007D28E6"/>
    <w:rsid w:val="007D54FF"/>
    <w:rsid w:val="007E44CF"/>
    <w:rsid w:val="007E53A8"/>
    <w:rsid w:val="007E5F4D"/>
    <w:rsid w:val="007F366E"/>
    <w:rsid w:val="007F4CBC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95FA1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64CEE"/>
    <w:rsid w:val="00C678D1"/>
    <w:rsid w:val="00C8182A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61B3"/>
    <w:rsid w:val="00D67409"/>
    <w:rsid w:val="00D67D08"/>
    <w:rsid w:val="00D723A2"/>
    <w:rsid w:val="00D738F0"/>
    <w:rsid w:val="00D76A3D"/>
    <w:rsid w:val="00D77A3F"/>
    <w:rsid w:val="00D81249"/>
    <w:rsid w:val="00D84835"/>
    <w:rsid w:val="00D922BC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1446C"/>
    <w:rsid w:val="00E158A8"/>
    <w:rsid w:val="00E2207D"/>
    <w:rsid w:val="00E2772A"/>
    <w:rsid w:val="00E27894"/>
    <w:rsid w:val="00E27F17"/>
    <w:rsid w:val="00E362D1"/>
    <w:rsid w:val="00E40493"/>
    <w:rsid w:val="00E405E8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205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182A"/>
    <w:pPr>
      <w:keepNext/>
      <w:spacing w:before="240" w:after="120"/>
      <w:outlineLvl w:val="1"/>
    </w:pPr>
    <w:rPr>
      <w:rFonts w:cs="Arial"/>
      <w:b/>
      <w:bCs/>
      <w:iCs/>
      <w:sz w:val="24"/>
      <w:szCs w:val="20"/>
    </w:rPr>
  </w:style>
  <w:style w:type="paragraph" w:styleId="Heading3">
    <w:name w:val="heading 3"/>
    <w:basedOn w:val="Normal"/>
    <w:next w:val="Normal"/>
    <w:qFormat/>
    <w:rsid w:val="00C8182A"/>
    <w:pPr>
      <w:keepNext/>
      <w:spacing w:before="120" w:after="120"/>
      <w:outlineLvl w:val="2"/>
    </w:pPr>
    <w:rPr>
      <w:rFonts w:eastAsia="Calibri Light" w:cs="Arial"/>
      <w:b/>
      <w:bCs/>
      <w:szCs w:val="21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5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182A"/>
    <w:rPr>
      <w:rFonts w:ascii="Segoe UI" w:hAnsi="Segoe UI" w:cs="Arial"/>
      <w:b/>
      <w:bCs/>
      <w:iCs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20E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6C3C73"/>
    <w:pPr>
      <w:spacing w:after="160" w:line="240" w:lineRule="auto"/>
    </w:pPr>
    <w:rPr>
      <w:rFonts w:ascii="Calibri" w:eastAsiaTheme="minorHAnsi" w:hAnsi="Calibri" w:cs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C3C73"/>
    <w:rPr>
      <w:rFonts w:ascii="Calibri" w:eastAsiaTheme="minorHAnsi" w:hAnsi="Calibri" w:cs="Calibr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doi.org/https://dx.doi.org/10.1093/ejendo/lvad11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210/clinem/dgaa604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doi.org/10.1016/j.jsxm.2016.05.00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doi.org/https://dx.doi.org/10.1515/jpem-2021-017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doi.org/10.1016/j.jsxm.2019.06.01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71</TotalTime>
  <Pages>11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Management of Gender Dysphoria using GnRHa; A review of the published evidence of the use GnRHa for gender dysphoria in adolescents</dc:title>
  <dc:creator>Ministry of Health</dc:creator>
  <cp:lastModifiedBy>Ministry of Health</cp:lastModifiedBy>
  <cp:revision>15</cp:revision>
  <cp:lastPrinted>2024-06-27T04:20:00Z</cp:lastPrinted>
  <dcterms:created xsi:type="dcterms:W3CDTF">2024-06-12T05:26:00Z</dcterms:created>
  <dcterms:modified xsi:type="dcterms:W3CDTF">2024-11-13T00:32:00Z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