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F424" w14:textId="77777777" w:rsidR="00025FEB" w:rsidRPr="00926083" w:rsidRDefault="00025FEB" w:rsidP="00025FEB">
      <w:pPr>
        <w:pStyle w:val="Title"/>
      </w:pPr>
      <w:r w:rsidRPr="00121607">
        <w:t>Special Patients and Restricted Patients</w:t>
      </w:r>
    </w:p>
    <w:p w14:paraId="1598BFDB" w14:textId="77777777" w:rsidR="00025FEB" w:rsidRDefault="00025FEB" w:rsidP="00025FEB">
      <w:pPr>
        <w:pStyle w:val="Subhead"/>
      </w:pPr>
      <w:r w:rsidRPr="00121607">
        <w:t>Guidelines for Regional Forensic Mental Health Services</w:t>
      </w:r>
    </w:p>
    <w:p w14:paraId="2004DF92" w14:textId="420A3E9E" w:rsidR="00025FEB" w:rsidRPr="00531E12" w:rsidRDefault="00715A89" w:rsidP="00025FEB">
      <w:pPr>
        <w:pStyle w:val="Year"/>
      </w:pPr>
      <w:r w:rsidRPr="00033F89">
        <w:t>202</w:t>
      </w:r>
      <w:r w:rsidR="00F804DA">
        <w:t>4</w:t>
      </w:r>
    </w:p>
    <w:p w14:paraId="7E8774C4" w14:textId="77777777" w:rsidR="00142954" w:rsidRPr="00142954" w:rsidRDefault="00142954" w:rsidP="00142954">
      <w:pPr>
        <w:sectPr w:rsidR="00142954" w:rsidRPr="00142954" w:rsidSect="00925892">
          <w:headerReference w:type="default" r:id="rId12"/>
          <w:footerReference w:type="default" r:id="rId13"/>
          <w:pgSz w:w="11907" w:h="16834" w:code="9"/>
          <w:pgMar w:top="5670" w:right="1134" w:bottom="1134" w:left="1134" w:header="567" w:footer="851" w:gutter="0"/>
          <w:pgNumType w:start="1"/>
          <w:cols w:space="720"/>
        </w:sectPr>
      </w:pPr>
    </w:p>
    <w:p w14:paraId="4AE3DA40" w14:textId="77777777" w:rsidR="00025FEB" w:rsidRPr="00121607" w:rsidRDefault="00025FEB" w:rsidP="00025FEB">
      <w:pPr>
        <w:rPr>
          <w:rFonts w:asciiTheme="minorHAnsi" w:hAnsiTheme="minorHAnsi" w:cstheme="minorHAnsi"/>
          <w:b/>
          <w:spacing w:val="10"/>
          <w:sz w:val="36"/>
          <w:szCs w:val="36"/>
        </w:rPr>
      </w:pPr>
      <w:r w:rsidRPr="00121607">
        <w:rPr>
          <w:rFonts w:asciiTheme="minorHAnsi" w:hAnsiTheme="minorHAnsi" w:cstheme="minorHAnsi"/>
          <w:b/>
          <w:spacing w:val="10"/>
          <w:sz w:val="36"/>
          <w:szCs w:val="36"/>
        </w:rPr>
        <w:lastRenderedPageBreak/>
        <w:t>Disclaimer</w:t>
      </w:r>
    </w:p>
    <w:p w14:paraId="2238AAA9" w14:textId="77777777" w:rsidR="00025FEB" w:rsidRPr="00121607" w:rsidRDefault="00025FEB" w:rsidP="00025FEB">
      <w:pPr>
        <w:spacing w:before="120"/>
        <w:rPr>
          <w:rFonts w:cs="Segoe UI"/>
          <w:sz w:val="20"/>
        </w:rPr>
      </w:pPr>
      <w:r w:rsidRPr="00121607">
        <w:rPr>
          <w:rFonts w:cs="Segoe UI"/>
          <w:sz w:val="20"/>
        </w:rPr>
        <w:t>While every care has been taken in the preparation of the information in this document, users are reminded that the Ministry of Health cannot accept legal liability for any errors, omissions or damages resulting from reliance on the information contained in this document.</w:t>
      </w:r>
    </w:p>
    <w:p w14:paraId="72F7CDF6" w14:textId="77777777" w:rsidR="00025FEB" w:rsidRPr="00121607" w:rsidRDefault="00025FEB" w:rsidP="00025FEB">
      <w:pPr>
        <w:spacing w:before="120"/>
        <w:rPr>
          <w:rFonts w:cs="Segoe UI"/>
          <w:sz w:val="20"/>
        </w:rPr>
      </w:pPr>
      <w:r w:rsidRPr="00121607">
        <w:rPr>
          <w:rFonts w:cs="Segoe UI"/>
          <w:sz w:val="20"/>
        </w:rPr>
        <w:t xml:space="preserve">Like all legislation, the Mental Health (Compulsory Assessment and Treatment) Act 1992 is subject to change. Every effort has been made to ensure that these guidelines are up to date. However, all users of these guidelines should ensure that they are aware of any changes to the legislation that affect their practice. </w:t>
      </w:r>
    </w:p>
    <w:p w14:paraId="27A55BE4" w14:textId="77777777" w:rsidR="00025FEB" w:rsidRPr="00121607" w:rsidRDefault="00025FEB" w:rsidP="00025FEB">
      <w:pPr>
        <w:spacing w:before="120"/>
        <w:rPr>
          <w:rFonts w:cs="Segoe UI"/>
          <w:sz w:val="20"/>
        </w:rPr>
      </w:pPr>
      <w:r w:rsidRPr="00121607">
        <w:rPr>
          <w:rFonts w:cs="Segoe UI"/>
          <w:sz w:val="20"/>
        </w:rPr>
        <w:t>Please note that these guidelines are not intended as a substitute for an informed legal opinion. Any concerns you may have should be discussed with your legal advisors.</w:t>
      </w:r>
    </w:p>
    <w:p w14:paraId="0DC307AF" w14:textId="77777777" w:rsidR="00025FEB" w:rsidRPr="00C05132" w:rsidRDefault="00025FEB" w:rsidP="00025FEB">
      <w:pPr>
        <w:spacing w:before="120"/>
        <w:rPr>
          <w:rFonts w:cs="Segoe UI"/>
          <w:sz w:val="20"/>
        </w:rPr>
      </w:pPr>
      <w:r w:rsidRPr="00121607">
        <w:rPr>
          <w:rFonts w:cs="Segoe UI"/>
          <w:sz w:val="20"/>
        </w:rPr>
        <w:t xml:space="preserve">These guidelines have been issued by the Director-General of Health, pursuant to section 130(a) of the Mental Health (Compulsory Assessment and Treatment) Act 1992. </w:t>
      </w:r>
    </w:p>
    <w:p w14:paraId="0E0A6D7D" w14:textId="6BD16A1B" w:rsidR="00025FEB" w:rsidRPr="00905C1F" w:rsidRDefault="00025FEB" w:rsidP="00025FEB">
      <w:pPr>
        <w:pStyle w:val="Imprint"/>
        <w:spacing w:before="1200"/>
        <w:rPr>
          <w:rFonts w:cs="Segoe UI"/>
        </w:rPr>
      </w:pPr>
      <w:r w:rsidRPr="00905C1F">
        <w:rPr>
          <w:rFonts w:cs="Segoe UI"/>
        </w:rPr>
        <w:t xml:space="preserve">Citation: Ministry of Health. </w:t>
      </w:r>
      <w:r w:rsidR="00D55054" w:rsidRPr="00905C1F">
        <w:t>202</w:t>
      </w:r>
      <w:r w:rsidR="0060067A" w:rsidRPr="00905C1F">
        <w:t>4</w:t>
      </w:r>
      <w:r w:rsidRPr="00905C1F">
        <w:rPr>
          <w:rFonts w:cs="Segoe UI"/>
        </w:rPr>
        <w:t xml:space="preserve">. </w:t>
      </w:r>
      <w:r w:rsidRPr="00905C1F">
        <w:rPr>
          <w:rFonts w:cs="Segoe UI"/>
          <w:i/>
        </w:rPr>
        <w:t>Special Patients and Restricted Patients: Guidelines for Regional Forensic Mental Health Services</w:t>
      </w:r>
      <w:r w:rsidRPr="00905C1F">
        <w:rPr>
          <w:rFonts w:cs="Segoe UI"/>
        </w:rPr>
        <w:t>. Wellington: Ministry of Health.</w:t>
      </w:r>
    </w:p>
    <w:p w14:paraId="41170EA1" w14:textId="686B2583" w:rsidR="00025FEB" w:rsidRPr="00905C1F" w:rsidRDefault="00025FEB" w:rsidP="00025FEB">
      <w:pPr>
        <w:pStyle w:val="Imprint"/>
      </w:pPr>
      <w:r w:rsidRPr="00905C1F">
        <w:t xml:space="preserve">Published in </w:t>
      </w:r>
      <w:r w:rsidR="00B62EC5">
        <w:t>November</w:t>
      </w:r>
      <w:r w:rsidR="0060067A" w:rsidRPr="00905C1F">
        <w:t xml:space="preserve"> </w:t>
      </w:r>
      <w:r w:rsidR="00D55054" w:rsidRPr="00905C1F">
        <w:t>202</w:t>
      </w:r>
      <w:r w:rsidR="0060067A" w:rsidRPr="00905C1F">
        <w:t>4</w:t>
      </w:r>
      <w:r w:rsidRPr="00905C1F">
        <w:t xml:space="preserve"> by the Ministry of Health</w:t>
      </w:r>
      <w:r w:rsidRPr="00905C1F">
        <w:br/>
        <w:t>PO Box 5013, Wellington 6140, New Zealand</w:t>
      </w:r>
    </w:p>
    <w:p w14:paraId="2C991580" w14:textId="35569B41" w:rsidR="00025FEB" w:rsidRPr="009C0F2D" w:rsidRDefault="00025FEB" w:rsidP="00025FEB">
      <w:pPr>
        <w:pStyle w:val="Imprint"/>
      </w:pPr>
      <w:r w:rsidRPr="00905C1F">
        <w:br/>
        <w:t xml:space="preserve">ISBN </w:t>
      </w:r>
      <w:r w:rsidR="00581ABC" w:rsidRPr="00581ABC">
        <w:t>978-1-991324-02-3</w:t>
      </w:r>
      <w:r w:rsidRPr="00905C1F">
        <w:t xml:space="preserve"> (online)</w:t>
      </w:r>
      <w:r w:rsidRPr="00905C1F">
        <w:br/>
        <w:t xml:space="preserve">HP </w:t>
      </w:r>
      <w:r w:rsidR="00FD14C7">
        <w:t>9094</w:t>
      </w:r>
    </w:p>
    <w:p w14:paraId="0671EAB9" w14:textId="77777777" w:rsidR="00D3124A" w:rsidRDefault="00D3124A" w:rsidP="00D3124A">
      <w:r>
        <w:rPr>
          <w:noProof/>
          <w:lang w:eastAsia="en-NZ"/>
        </w:rPr>
        <w:drawing>
          <wp:inline distT="0" distB="0" distL="0" distR="0" wp14:anchorId="00ADC036" wp14:editId="5DE51C2B">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5B467E6B" w14:textId="77777777" w:rsidR="00D3124A" w:rsidRDefault="00D3124A" w:rsidP="00D3124A">
      <w:pPr>
        <w:pStyle w:val="Imprint"/>
        <w:spacing w:before="240" w:after="480"/>
      </w:pPr>
      <w:r>
        <w:t>This document is available at health.govt.nz</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3124A" w:rsidRPr="00A63DFF" w14:paraId="47DCE799" w14:textId="77777777" w:rsidTr="00BB4DC3">
        <w:trPr>
          <w:cantSplit/>
        </w:trPr>
        <w:tc>
          <w:tcPr>
            <w:tcW w:w="1526" w:type="dxa"/>
          </w:tcPr>
          <w:p w14:paraId="3A6CA617" w14:textId="77777777" w:rsidR="00D3124A" w:rsidRPr="00A63DFF" w:rsidRDefault="00D3124A" w:rsidP="00BB4DC3">
            <w:pPr>
              <w:rPr>
                <w:rFonts w:cs="Segoe UI"/>
                <w:sz w:val="15"/>
                <w:szCs w:val="15"/>
              </w:rPr>
            </w:pPr>
            <w:r w:rsidRPr="00A63DFF">
              <w:rPr>
                <w:rFonts w:cs="Segoe UI"/>
                <w:b/>
                <w:noProof/>
                <w:sz w:val="15"/>
                <w:szCs w:val="15"/>
                <w:lang w:eastAsia="en-NZ"/>
              </w:rPr>
              <w:drawing>
                <wp:inline distT="0" distB="0" distL="0" distR="0" wp14:anchorId="181F7B8F" wp14:editId="0AD3C88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52C8450" w14:textId="77777777" w:rsidR="00D3124A" w:rsidRPr="00A63DFF" w:rsidRDefault="00D3124A" w:rsidP="00BB4DC3">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E8774D3" w14:textId="77777777" w:rsidR="007E74F1" w:rsidRPr="001F45A7" w:rsidRDefault="007E74F1" w:rsidP="006E2886">
      <w:pPr>
        <w:pStyle w:val="Imprint"/>
      </w:pPr>
    </w:p>
    <w:p w14:paraId="7E8774D4"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007CC987" w14:textId="77777777" w:rsidR="00D3124A" w:rsidRDefault="00D3124A" w:rsidP="00D3124A">
      <w:pPr>
        <w:pStyle w:val="Heading1"/>
        <w:numPr>
          <w:ilvl w:val="0"/>
          <w:numId w:val="0"/>
        </w:numPr>
        <w:ind w:left="1134" w:hanging="1134"/>
      </w:pPr>
      <w:bookmarkStart w:id="1" w:name="_Toc180497384"/>
      <w:bookmarkStart w:id="2" w:name="_Toc405792991"/>
      <w:bookmarkStart w:id="3" w:name="_Toc405793224"/>
      <w:r>
        <w:lastRenderedPageBreak/>
        <w:t>Foreword</w:t>
      </w:r>
      <w:bookmarkEnd w:id="1"/>
    </w:p>
    <w:p w14:paraId="3106204A" w14:textId="573DC72C" w:rsidR="00025FEB" w:rsidRPr="00121607" w:rsidRDefault="00025FEB" w:rsidP="00025FEB">
      <w:r w:rsidRPr="00121607">
        <w:t>These guidelines are mainly for clinical staff, mental health district inspectors</w:t>
      </w:r>
      <w:r>
        <w:rPr>
          <w:rStyle w:val="FootnoteReference"/>
        </w:rPr>
        <w:footnoteReference w:id="2"/>
      </w:r>
      <w:r w:rsidRPr="00121607">
        <w:t xml:space="preserve"> and any other parties who administer or work within the legal or clinical framework of the Mental Health (Compulsory Assessment and Treatment) Act 1992 (the Act or the Mental Health Act). Families and whānau, service users and tāngata whai ora, and members of the public may also find these guidelines useful. It should be noted that these guidelines are not clinical guidelines: they are issued under section 130(a) of the Mental Health Act and intended to support the lawful application of Part 4 of the Mental Health Act.</w:t>
      </w:r>
    </w:p>
    <w:p w14:paraId="531185A2" w14:textId="77777777" w:rsidR="00025FEB" w:rsidRPr="00121607" w:rsidRDefault="00025FEB" w:rsidP="00025FEB"/>
    <w:p w14:paraId="62406E04" w14:textId="64802316" w:rsidR="00025FEB" w:rsidRPr="00121607" w:rsidRDefault="00025FEB" w:rsidP="00025FEB">
      <w:r w:rsidRPr="00121607">
        <w:t>We last updated these guidelines in 20</w:t>
      </w:r>
      <w:r w:rsidR="00537856">
        <w:t>22</w:t>
      </w:r>
      <w:r w:rsidR="00374226">
        <w:t xml:space="preserve"> due to </w:t>
      </w:r>
      <w:r w:rsidRPr="00121607">
        <w:t>changes and emerging issues , including:</w:t>
      </w:r>
    </w:p>
    <w:p w14:paraId="5CC98B4F" w14:textId="77777777" w:rsidR="00025FEB" w:rsidRPr="00121607" w:rsidRDefault="00025FEB" w:rsidP="00D25422">
      <w:pPr>
        <w:pStyle w:val="Bullet"/>
      </w:pPr>
      <w:r w:rsidRPr="00121607">
        <w:t xml:space="preserve">the growing influence of rights-based approaches and the need to better promote these within the parameters of the current Mental Health Act </w:t>
      </w:r>
    </w:p>
    <w:p w14:paraId="3AF23934" w14:textId="77777777" w:rsidR="00025FEB" w:rsidRPr="00121607" w:rsidRDefault="00025FEB" w:rsidP="00D25422">
      <w:pPr>
        <w:pStyle w:val="Bullet"/>
      </w:pPr>
      <w:r w:rsidRPr="00121607">
        <w:t>the need to give greater emphasis to our obligations under Te Tiriti o Waitangi – the Treaty of Waitangi</w:t>
      </w:r>
    </w:p>
    <w:p w14:paraId="7989621E" w14:textId="77777777" w:rsidR="00025FEB" w:rsidRPr="00121607" w:rsidRDefault="00025FEB" w:rsidP="00D25422">
      <w:pPr>
        <w:pStyle w:val="Bullet"/>
      </w:pPr>
      <w:r w:rsidRPr="00121607">
        <w:t xml:space="preserve">the impact of </w:t>
      </w:r>
      <w:r w:rsidRPr="00121607">
        <w:rPr>
          <w:i/>
          <w:iCs/>
        </w:rPr>
        <w:t>He Ara Oranga: Report of the Government Inquiry into Mental Health and Addiction</w:t>
      </w:r>
      <w:r w:rsidRPr="00121607">
        <w:t xml:space="preserve"> (Government Inquiry into Mental Health and Addiction 2018), particularly through feedback from people with lived experience and their families and whānau on how they experience current administration of the Act</w:t>
      </w:r>
    </w:p>
    <w:p w14:paraId="26861E1F" w14:textId="22CF01C6" w:rsidR="00025FEB" w:rsidRDefault="00025FEB" w:rsidP="00D25422">
      <w:pPr>
        <w:pStyle w:val="Bullet"/>
      </w:pPr>
      <w:r w:rsidRPr="00121607">
        <w:t xml:space="preserve">amendments to the Mental Health Act </w:t>
      </w:r>
      <w:r w:rsidR="00374226">
        <w:t>in</w:t>
      </w:r>
      <w:r w:rsidR="00374226" w:rsidRPr="00121607">
        <w:t xml:space="preserve"> </w:t>
      </w:r>
      <w:r w:rsidRPr="00121607">
        <w:t>October 2021</w:t>
      </w:r>
    </w:p>
    <w:p w14:paraId="294C68D1" w14:textId="173FAFE6" w:rsidR="00AA48C8" w:rsidRPr="00121607" w:rsidRDefault="00AA48C8" w:rsidP="00D25422">
      <w:pPr>
        <w:pStyle w:val="Bullet"/>
      </w:pPr>
      <w:r>
        <w:t>amendments arising from the Rights for Victims of Insane Offenders Act 2021</w:t>
      </w:r>
    </w:p>
    <w:p w14:paraId="023E639B" w14:textId="77777777" w:rsidR="00025FEB" w:rsidRPr="00121607" w:rsidRDefault="00025FEB" w:rsidP="00D25422">
      <w:pPr>
        <w:pStyle w:val="Bullet"/>
      </w:pPr>
      <w:r w:rsidRPr="00121607">
        <w:t>implementation of Ngā Paerewa Health and Disability Services Standard NZS 8134:2021.</w:t>
      </w:r>
    </w:p>
    <w:p w14:paraId="2E7FEAB4" w14:textId="24FA3592" w:rsidR="00025FEB" w:rsidRDefault="00025FEB" w:rsidP="00025FEB">
      <w:pPr>
        <w:rPr>
          <w:spacing w:val="-5"/>
        </w:rPr>
      </w:pPr>
    </w:p>
    <w:p w14:paraId="2DE5DA29" w14:textId="5814C39D" w:rsidR="00374226" w:rsidRDefault="00374226" w:rsidP="00025FEB">
      <w:pPr>
        <w:rPr>
          <w:spacing w:val="-5"/>
        </w:rPr>
      </w:pPr>
      <w:r>
        <w:rPr>
          <w:spacing w:val="-5"/>
        </w:rPr>
        <w:t xml:space="preserve">The 2024 updates reflect technical changes to legislation as a result of the above amendments, and include some additional advice following various issues that </w:t>
      </w:r>
      <w:r w:rsidR="00B27403" w:rsidRPr="00B27403">
        <w:rPr>
          <w:spacing w:val="-5"/>
        </w:rPr>
        <w:t xml:space="preserve">the Director of Area Mental Health Services </w:t>
      </w:r>
      <w:r w:rsidR="004862FA">
        <w:rPr>
          <w:spacing w:val="-5"/>
        </w:rPr>
        <w:t>(</w:t>
      </w:r>
      <w:r>
        <w:rPr>
          <w:spacing w:val="-5"/>
        </w:rPr>
        <w:t>DAMHS</w:t>
      </w:r>
      <w:r w:rsidR="004862FA">
        <w:rPr>
          <w:spacing w:val="-5"/>
        </w:rPr>
        <w:t>)</w:t>
      </w:r>
      <w:r>
        <w:rPr>
          <w:spacing w:val="-5"/>
        </w:rPr>
        <w:t xml:space="preserve"> ha</w:t>
      </w:r>
      <w:r w:rsidR="00271B66">
        <w:rPr>
          <w:spacing w:val="-5"/>
        </w:rPr>
        <w:t>s</w:t>
      </w:r>
      <w:r>
        <w:rPr>
          <w:spacing w:val="-5"/>
        </w:rPr>
        <w:t xml:space="preserve"> brought to our attention.</w:t>
      </w:r>
    </w:p>
    <w:p w14:paraId="1A2073C0" w14:textId="77777777" w:rsidR="00374226" w:rsidRDefault="00374226" w:rsidP="00025FEB">
      <w:pPr>
        <w:rPr>
          <w:spacing w:val="-5"/>
        </w:rPr>
      </w:pPr>
    </w:p>
    <w:p w14:paraId="7C5BDA79" w14:textId="098C8BA4" w:rsidR="00025FEB" w:rsidRPr="00121607" w:rsidRDefault="00025FEB" w:rsidP="00025FEB">
      <w:r w:rsidRPr="00121607">
        <w:t>Regional forensic mental health services (RFMHSs) are responsible for the care and treatment of special patients and restricted patients within the legislative framework of the Mental Health Act and the Criminal Procedure (Mentally Impaired Persons) Act 2003.</w:t>
      </w:r>
    </w:p>
    <w:p w14:paraId="6AD9580E" w14:textId="77777777" w:rsidR="00025FEB" w:rsidRPr="00121607" w:rsidRDefault="00025FEB" w:rsidP="00025FEB">
      <w:pPr>
        <w:rPr>
          <w:spacing w:val="-5"/>
        </w:rPr>
      </w:pPr>
    </w:p>
    <w:p w14:paraId="2F13F3EB" w14:textId="77777777" w:rsidR="00025FEB" w:rsidRPr="00121607" w:rsidRDefault="00025FEB" w:rsidP="00025FEB">
      <w:r w:rsidRPr="00121607">
        <w:t xml:space="preserve">Regional forensic mental health services have a focus on recovery and rehabilitation, but also need to maintain safety and security for tāngata whaiora and the public. This involves physical, procedural and relational security and various levels of security and restrictions within RFMHS units, depending on tāngata whaiora’s mental health, security and risk needs and legal restrictions. </w:t>
      </w:r>
    </w:p>
    <w:p w14:paraId="2B814854" w14:textId="77777777" w:rsidR="00025FEB" w:rsidRPr="00121607" w:rsidRDefault="00025FEB" w:rsidP="00025FEB">
      <w:pPr>
        <w:rPr>
          <w:spacing w:val="-5"/>
        </w:rPr>
      </w:pPr>
    </w:p>
    <w:p w14:paraId="19C07CB5" w14:textId="77777777" w:rsidR="00025FEB" w:rsidRPr="00121607" w:rsidRDefault="00025FEB" w:rsidP="00025FEB">
      <w:r w:rsidRPr="00121607">
        <w:t xml:space="preserve">New Zealand legislation specifically allows for people who have been charged with or convicted of an offence, and who meet certain criteria in terms of their mental illness, to be treated for that condition in hospital. Treatment of mental illness can be an </w:t>
      </w:r>
      <w:r w:rsidRPr="00121607">
        <w:lastRenderedPageBreak/>
        <w:t>important step in helping an individual to acknowledge and address the reasons for their offending, and in doing so reduce the chances of future offending and significantly improve that individual’s wellbeing.</w:t>
      </w:r>
    </w:p>
    <w:p w14:paraId="087CFC75" w14:textId="77777777" w:rsidR="00025FEB" w:rsidRPr="00121607" w:rsidRDefault="00025FEB" w:rsidP="00025FEB"/>
    <w:p w14:paraId="3DEDB9AB" w14:textId="6FD5CEAB" w:rsidR="00025FEB" w:rsidRPr="00121607" w:rsidRDefault="00025FEB" w:rsidP="00025FEB">
      <w:r w:rsidRPr="00121607">
        <w:t>The clinical management of special patients lies with the patient’s responsible clinician. However, leave and change of legal status require consideration and approval by the Director of Mental Health and/or (depending on the legal status of the patient) the Minister of Health</w:t>
      </w:r>
      <w:r w:rsidR="00C41303">
        <w:t xml:space="preserve"> </w:t>
      </w:r>
      <w:r w:rsidRPr="00121607">
        <w:t>and/or the Attorney-General. This level of decision-making reflects the seriousness of special patients’ status and the need to ensure that a wide range of factors are considered when making decisions about such patients.</w:t>
      </w:r>
    </w:p>
    <w:p w14:paraId="63F8B28E" w14:textId="77777777" w:rsidR="00025FEB" w:rsidRPr="00121607" w:rsidRDefault="00025FEB" w:rsidP="00025FEB"/>
    <w:p w14:paraId="56E6DED5" w14:textId="77777777" w:rsidR="00025FEB" w:rsidRPr="00121607" w:rsidRDefault="00025FEB" w:rsidP="00025FEB">
      <w:r w:rsidRPr="00121607">
        <w:t>These guidelines are intended to foster consistent decision-making by clinicians, facilitate the administration of matters relating to special patient leave and provide transparency on the processes used in reaching decisions about special patients.</w:t>
      </w:r>
    </w:p>
    <w:p w14:paraId="71FF64C5" w14:textId="77777777" w:rsidR="00025FEB" w:rsidRPr="00121607" w:rsidRDefault="00025FEB" w:rsidP="00025FEB"/>
    <w:p w14:paraId="6DC9E023" w14:textId="77777777" w:rsidR="00025FEB" w:rsidRPr="00121607" w:rsidRDefault="00025FEB" w:rsidP="00025FEB">
      <w:r w:rsidRPr="00121607">
        <w:t>Dr John Crawshaw</w:t>
      </w:r>
    </w:p>
    <w:p w14:paraId="74A8813E" w14:textId="77777777" w:rsidR="00025FEB" w:rsidRPr="00121607" w:rsidRDefault="00025FEB" w:rsidP="00025FEB">
      <w:pPr>
        <w:rPr>
          <w:b/>
          <w:bCs/>
        </w:rPr>
      </w:pPr>
      <w:r w:rsidRPr="00121607">
        <w:rPr>
          <w:b/>
          <w:bCs/>
        </w:rPr>
        <w:t>Director of Mental Health</w:t>
      </w:r>
    </w:p>
    <w:p w14:paraId="53D10B28" w14:textId="77777777" w:rsidR="00D3124A" w:rsidRDefault="00D3124A" w:rsidP="00D3124A"/>
    <w:p w14:paraId="40A9D832" w14:textId="77777777" w:rsidR="005045F8" w:rsidRDefault="005045F8" w:rsidP="005045F8">
      <w:pPr>
        <w:pStyle w:val="Heading1"/>
        <w:numPr>
          <w:ilvl w:val="0"/>
          <w:numId w:val="0"/>
        </w:numPr>
      </w:pPr>
      <w:bookmarkStart w:id="4" w:name="_Toc116479184"/>
      <w:bookmarkStart w:id="5" w:name="_Toc180497385"/>
      <w:r>
        <w:lastRenderedPageBreak/>
        <w:t>Abbreviations and definitions</w:t>
      </w:r>
      <w:bookmarkEnd w:id="4"/>
      <w:bookmarkEnd w:id="5"/>
    </w:p>
    <w:tbl>
      <w:tblPr>
        <w:tblW w:w="8295" w:type="dxa"/>
        <w:tblLayout w:type="fixed"/>
        <w:tblLook w:val="04A0" w:firstRow="1" w:lastRow="0" w:firstColumn="1" w:lastColumn="0" w:noHBand="0" w:noVBand="1"/>
      </w:tblPr>
      <w:tblGrid>
        <w:gridCol w:w="2518"/>
        <w:gridCol w:w="5777"/>
      </w:tblGrid>
      <w:tr w:rsidR="0020726B" w:rsidRPr="00193FF2" w14:paraId="0C6F714E" w14:textId="77777777" w:rsidTr="392F85EB">
        <w:trPr>
          <w:cantSplit/>
        </w:trPr>
        <w:tc>
          <w:tcPr>
            <w:tcW w:w="2518" w:type="dxa"/>
          </w:tcPr>
          <w:p w14:paraId="7A5BE956" w14:textId="41819CAC" w:rsidR="0020726B" w:rsidRPr="00193FF2" w:rsidRDefault="0020726B" w:rsidP="00DD1006">
            <w:pPr>
              <w:spacing w:after="180"/>
            </w:pPr>
            <w:r>
              <w:t>AWOL</w:t>
            </w:r>
          </w:p>
        </w:tc>
        <w:tc>
          <w:tcPr>
            <w:tcW w:w="5777" w:type="dxa"/>
          </w:tcPr>
          <w:p w14:paraId="331374AA" w14:textId="729D0A9E" w:rsidR="0020726B" w:rsidRPr="00193FF2" w:rsidRDefault="0020726B" w:rsidP="00DD1006">
            <w:pPr>
              <w:spacing w:after="180"/>
            </w:pPr>
            <w:r>
              <w:t>Absent without leave</w:t>
            </w:r>
          </w:p>
        </w:tc>
      </w:tr>
      <w:tr w:rsidR="005045F8" w:rsidRPr="00193FF2" w14:paraId="1A056897" w14:textId="77777777" w:rsidTr="392F85EB">
        <w:trPr>
          <w:cantSplit/>
        </w:trPr>
        <w:tc>
          <w:tcPr>
            <w:tcW w:w="2518" w:type="dxa"/>
          </w:tcPr>
          <w:p w14:paraId="4ED7DB04" w14:textId="77777777" w:rsidR="005045F8" w:rsidRPr="00193FF2" w:rsidRDefault="005045F8" w:rsidP="00DD1006">
            <w:pPr>
              <w:spacing w:after="180"/>
            </w:pPr>
            <w:r w:rsidRPr="00193FF2">
              <w:t>CP(MIP) Act</w:t>
            </w:r>
          </w:p>
        </w:tc>
        <w:tc>
          <w:tcPr>
            <w:tcW w:w="5777" w:type="dxa"/>
          </w:tcPr>
          <w:p w14:paraId="49FA1506" w14:textId="77777777" w:rsidR="005045F8" w:rsidRPr="00193FF2" w:rsidRDefault="005045F8" w:rsidP="00DD1006">
            <w:pPr>
              <w:spacing w:after="180"/>
            </w:pPr>
            <w:r w:rsidRPr="00193FF2">
              <w:t>Criminal Procedure (Mentally Impaired Persons) Act 2003</w:t>
            </w:r>
          </w:p>
        </w:tc>
      </w:tr>
      <w:tr w:rsidR="005045F8" w:rsidRPr="00193FF2" w14:paraId="0C4EAD2E" w14:textId="77777777" w:rsidTr="392F85EB">
        <w:trPr>
          <w:cantSplit/>
        </w:trPr>
        <w:tc>
          <w:tcPr>
            <w:tcW w:w="2518" w:type="dxa"/>
          </w:tcPr>
          <w:p w14:paraId="5C8A216D" w14:textId="77777777" w:rsidR="005045F8" w:rsidRPr="00193FF2" w:rsidRDefault="005045F8" w:rsidP="00DD1006">
            <w:pPr>
              <w:spacing w:after="180"/>
            </w:pPr>
            <w:r w:rsidRPr="00193FF2">
              <w:t>Code of Rights or Code</w:t>
            </w:r>
          </w:p>
        </w:tc>
        <w:tc>
          <w:tcPr>
            <w:tcW w:w="5777" w:type="dxa"/>
          </w:tcPr>
          <w:p w14:paraId="3A3131C2" w14:textId="77777777" w:rsidR="005045F8" w:rsidRPr="00193FF2" w:rsidRDefault="005045F8" w:rsidP="00DD1006">
            <w:pPr>
              <w:spacing w:after="180"/>
            </w:pPr>
            <w:bookmarkStart w:id="6" w:name="_Hlk109640917"/>
            <w:r w:rsidRPr="00193FF2">
              <w:t>Code of Health and Disability Services Consumers’ Right</w:t>
            </w:r>
            <w:bookmarkEnd w:id="6"/>
            <w:r w:rsidRPr="00193FF2">
              <w:t>s</w:t>
            </w:r>
          </w:p>
        </w:tc>
      </w:tr>
      <w:tr w:rsidR="005045F8" w:rsidRPr="00193FF2" w14:paraId="07F66156" w14:textId="77777777" w:rsidTr="392F85EB">
        <w:trPr>
          <w:cantSplit/>
        </w:trPr>
        <w:tc>
          <w:tcPr>
            <w:tcW w:w="2518" w:type="dxa"/>
          </w:tcPr>
          <w:p w14:paraId="41567F0C" w14:textId="77777777" w:rsidR="005045F8" w:rsidRPr="00193FF2" w:rsidRDefault="005045F8" w:rsidP="00DD1006">
            <w:pPr>
              <w:spacing w:after="180"/>
            </w:pPr>
            <w:r w:rsidRPr="00193FF2">
              <w:t>DAMHS</w:t>
            </w:r>
          </w:p>
        </w:tc>
        <w:tc>
          <w:tcPr>
            <w:tcW w:w="5777" w:type="dxa"/>
          </w:tcPr>
          <w:p w14:paraId="2E54D82F" w14:textId="77777777" w:rsidR="005045F8" w:rsidRPr="00193FF2" w:rsidRDefault="005045F8" w:rsidP="00DD1006">
            <w:pPr>
              <w:spacing w:after="180"/>
            </w:pPr>
            <w:r w:rsidRPr="00193FF2">
              <w:t>Director of Area Mental Health Services as defined in section 2(1) of the Mental Health Act</w:t>
            </w:r>
          </w:p>
        </w:tc>
      </w:tr>
      <w:tr w:rsidR="0020726B" w:rsidRPr="00193FF2" w14:paraId="2FCAA19B" w14:textId="77777777" w:rsidTr="392F85EB">
        <w:trPr>
          <w:cantSplit/>
        </w:trPr>
        <w:tc>
          <w:tcPr>
            <w:tcW w:w="2518" w:type="dxa"/>
          </w:tcPr>
          <w:p w14:paraId="46BF4A69" w14:textId="1B467F63" w:rsidR="0020726B" w:rsidRPr="00193FF2" w:rsidRDefault="0020726B" w:rsidP="00DD1006">
            <w:pPr>
              <w:spacing w:after="180"/>
            </w:pPr>
            <w:r>
              <w:t>Director</w:t>
            </w:r>
          </w:p>
        </w:tc>
        <w:tc>
          <w:tcPr>
            <w:tcW w:w="5777" w:type="dxa"/>
          </w:tcPr>
          <w:p w14:paraId="33968074" w14:textId="59E1136A" w:rsidR="0020726B" w:rsidRPr="00193FF2" w:rsidRDefault="0020726B" w:rsidP="00DD1006">
            <w:pPr>
              <w:spacing w:after="180"/>
            </w:pPr>
            <w:r>
              <w:t>Director of Mental Health</w:t>
            </w:r>
          </w:p>
        </w:tc>
      </w:tr>
      <w:tr w:rsidR="005045F8" w:rsidRPr="00193FF2" w14:paraId="39BA8436" w14:textId="77777777" w:rsidTr="392F85EB">
        <w:trPr>
          <w:cantSplit/>
        </w:trPr>
        <w:tc>
          <w:tcPr>
            <w:tcW w:w="2518" w:type="dxa"/>
          </w:tcPr>
          <w:p w14:paraId="4929F282" w14:textId="58A9CF4B" w:rsidR="005045F8" w:rsidRPr="00193FF2" w:rsidRDefault="005045F8" w:rsidP="00DD1006">
            <w:pPr>
              <w:spacing w:after="180"/>
            </w:pPr>
            <w:r>
              <w:t>district inspector</w:t>
            </w:r>
          </w:p>
        </w:tc>
        <w:tc>
          <w:tcPr>
            <w:tcW w:w="5777" w:type="dxa"/>
          </w:tcPr>
          <w:p w14:paraId="69493D1E" w14:textId="77777777" w:rsidR="005045F8" w:rsidRPr="00193FF2" w:rsidRDefault="005045F8" w:rsidP="00DD1006">
            <w:pPr>
              <w:spacing w:after="180"/>
            </w:pPr>
            <w:r w:rsidRPr="00193FF2">
              <w:t>a person appointed pursuant to section 94 of the Act to be a district inspector; includes a person appointed pursuant to that section to be a deputy district inspector</w:t>
            </w:r>
          </w:p>
        </w:tc>
      </w:tr>
      <w:tr w:rsidR="0020726B" w:rsidRPr="00193FF2" w14:paraId="51ECEE42" w14:textId="77777777" w:rsidTr="392F85EB">
        <w:trPr>
          <w:cantSplit/>
        </w:trPr>
        <w:tc>
          <w:tcPr>
            <w:tcW w:w="2518" w:type="dxa"/>
          </w:tcPr>
          <w:p w14:paraId="724F0F07" w14:textId="590220F3" w:rsidR="0020726B" w:rsidRDefault="0020726B" w:rsidP="0020726B">
            <w:pPr>
              <w:spacing w:after="180"/>
            </w:pPr>
            <w:r w:rsidRPr="000055FE">
              <w:t>Duly authorised officer</w:t>
            </w:r>
          </w:p>
        </w:tc>
        <w:tc>
          <w:tcPr>
            <w:tcW w:w="5777" w:type="dxa"/>
          </w:tcPr>
          <w:p w14:paraId="5E00709C" w14:textId="7C4192D5" w:rsidR="0020726B" w:rsidRPr="00193FF2" w:rsidRDefault="0020726B" w:rsidP="0020726B">
            <w:pPr>
              <w:spacing w:after="180"/>
            </w:pPr>
            <w:r w:rsidRPr="000055FE">
              <w:t>person who, under section 93</w:t>
            </w:r>
            <w:r w:rsidR="00811789">
              <w:t xml:space="preserve"> of the Act</w:t>
            </w:r>
            <w:r w:rsidRPr="000055FE">
              <w:t>, is authorised by the DAMHS to perform the functions and exercise the powers conferred on duly authorised officers by or under this Act</w:t>
            </w:r>
          </w:p>
        </w:tc>
      </w:tr>
      <w:tr w:rsidR="005045F8" w:rsidRPr="00193FF2" w14:paraId="63CAC2FB" w14:textId="77777777" w:rsidTr="392F85EB">
        <w:trPr>
          <w:cantSplit/>
        </w:trPr>
        <w:tc>
          <w:tcPr>
            <w:tcW w:w="2518" w:type="dxa"/>
          </w:tcPr>
          <w:p w14:paraId="436EDD10" w14:textId="1407F811" w:rsidR="005045F8" w:rsidRPr="00193FF2" w:rsidRDefault="005045F8" w:rsidP="00DD1006">
            <w:pPr>
              <w:spacing w:after="180"/>
            </w:pPr>
            <w:r>
              <w:t>Health New Zealand/Te Whatu Ora</w:t>
            </w:r>
          </w:p>
        </w:tc>
        <w:tc>
          <w:tcPr>
            <w:tcW w:w="5777" w:type="dxa"/>
          </w:tcPr>
          <w:p w14:paraId="0F2399AA" w14:textId="77777777" w:rsidR="005045F8" w:rsidRPr="00193FF2" w:rsidRDefault="005045F8" w:rsidP="00DD1006">
            <w:pPr>
              <w:spacing w:after="180"/>
            </w:pPr>
            <w:r>
              <w:t>the Crown entity established under the Pae Ora (Healthy Futures) Act 2022</w:t>
            </w:r>
          </w:p>
        </w:tc>
      </w:tr>
      <w:tr w:rsidR="0020726B" w:rsidRPr="00193FF2" w14:paraId="6EAE9B55" w14:textId="77777777" w:rsidTr="392F85EB">
        <w:trPr>
          <w:cantSplit/>
        </w:trPr>
        <w:tc>
          <w:tcPr>
            <w:tcW w:w="2518" w:type="dxa"/>
          </w:tcPr>
          <w:p w14:paraId="3145F1B1" w14:textId="6D544481" w:rsidR="0020726B" w:rsidRPr="00193FF2" w:rsidRDefault="0020726B" w:rsidP="00DD1006">
            <w:pPr>
              <w:spacing w:after="180"/>
            </w:pPr>
            <w:r>
              <w:t>ITOC</w:t>
            </w:r>
          </w:p>
        </w:tc>
        <w:tc>
          <w:tcPr>
            <w:tcW w:w="5777" w:type="dxa"/>
          </w:tcPr>
          <w:p w14:paraId="6355D3E3" w14:textId="1E5185E2" w:rsidR="0020726B" w:rsidRPr="00193FF2" w:rsidRDefault="0020726B" w:rsidP="00E46115">
            <w:pPr>
              <w:tabs>
                <w:tab w:val="left" w:pos="885"/>
              </w:tabs>
              <w:spacing w:after="180"/>
            </w:pPr>
            <w:r w:rsidRPr="0020726B">
              <w:t>Integrated Targeting Operations Centre</w:t>
            </w:r>
          </w:p>
        </w:tc>
      </w:tr>
      <w:tr w:rsidR="005045F8" w:rsidRPr="00193FF2" w14:paraId="395108E0" w14:textId="77777777" w:rsidTr="392F85EB">
        <w:trPr>
          <w:cantSplit/>
        </w:trPr>
        <w:tc>
          <w:tcPr>
            <w:tcW w:w="2518" w:type="dxa"/>
          </w:tcPr>
          <w:p w14:paraId="74A7082C" w14:textId="77777777" w:rsidR="005045F8" w:rsidRPr="00193FF2" w:rsidRDefault="005045F8" w:rsidP="00DD1006">
            <w:pPr>
              <w:spacing w:after="180"/>
            </w:pPr>
            <w:r w:rsidRPr="00193FF2">
              <w:t>medical practitioner</w:t>
            </w:r>
          </w:p>
        </w:tc>
        <w:tc>
          <w:tcPr>
            <w:tcW w:w="5777" w:type="dxa"/>
          </w:tcPr>
          <w:p w14:paraId="46F17CE4" w14:textId="77777777" w:rsidR="005045F8" w:rsidRPr="00193FF2" w:rsidRDefault="005045F8" w:rsidP="00DD1006">
            <w:pPr>
              <w:spacing w:after="180"/>
            </w:pPr>
            <w:r w:rsidRPr="00193FF2">
              <w:t>as defined in section 2(1) of the Act, a health practitioner who is, or is deemed to be, registered with the Medical Council of New Zealand continued by </w:t>
            </w:r>
            <w:bookmarkStart w:id="7" w:name="DLM204329"/>
            <w:r w:rsidRPr="00193FF2">
              <w:fldChar w:fldCharType="begin"/>
            </w:r>
            <w:r w:rsidRPr="00193FF2">
              <w:instrText xml:space="preserve"> HYPERLINK "https://www.legislation.govt.nz/act/public/1992/0046/latest/link.aspx?id=DLM204329" \l "DLM204329" </w:instrText>
            </w:r>
            <w:r w:rsidRPr="00193FF2">
              <w:fldChar w:fldCharType="separate"/>
            </w:r>
            <w:r w:rsidRPr="00193FF2">
              <w:t>section 114(1)﻿(a)</w:t>
            </w:r>
            <w:r w:rsidRPr="00193FF2">
              <w:fldChar w:fldCharType="end"/>
            </w:r>
            <w:bookmarkEnd w:id="7"/>
            <w:r w:rsidRPr="00193FF2">
              <w:t> of the Health Practitioners Competence Assurance Act 2003 as a practitioner of the profession of medicine</w:t>
            </w:r>
          </w:p>
        </w:tc>
      </w:tr>
      <w:tr w:rsidR="005045F8" w:rsidRPr="00193FF2" w14:paraId="33B891EE" w14:textId="77777777" w:rsidTr="392F85EB">
        <w:trPr>
          <w:cantSplit/>
        </w:trPr>
        <w:tc>
          <w:tcPr>
            <w:tcW w:w="2518" w:type="dxa"/>
          </w:tcPr>
          <w:p w14:paraId="74CE4F3D" w14:textId="77777777" w:rsidR="005045F8" w:rsidRPr="00193FF2" w:rsidRDefault="005045F8" w:rsidP="00DD1006">
            <w:pPr>
              <w:spacing w:after="180"/>
            </w:pPr>
            <w:r w:rsidRPr="00193FF2">
              <w:t xml:space="preserve">Mental Health Act or the Act </w:t>
            </w:r>
          </w:p>
        </w:tc>
        <w:tc>
          <w:tcPr>
            <w:tcW w:w="5777" w:type="dxa"/>
          </w:tcPr>
          <w:p w14:paraId="29C2DD82" w14:textId="77777777" w:rsidR="005045F8" w:rsidRPr="00193FF2" w:rsidRDefault="005045F8" w:rsidP="00DD1006">
            <w:pPr>
              <w:spacing w:after="180"/>
            </w:pPr>
            <w:r w:rsidRPr="00193FF2">
              <w:t>Mental Health (Compulsory Assessment and Treatment) Act 1992</w:t>
            </w:r>
          </w:p>
        </w:tc>
      </w:tr>
      <w:tr w:rsidR="005045F8" w:rsidRPr="00193FF2" w14:paraId="00FBAEE3" w14:textId="77777777" w:rsidTr="392F85EB">
        <w:trPr>
          <w:cantSplit/>
        </w:trPr>
        <w:tc>
          <w:tcPr>
            <w:tcW w:w="2518" w:type="dxa"/>
          </w:tcPr>
          <w:p w14:paraId="4AC318CC" w14:textId="54F9FBF1" w:rsidR="005045F8" w:rsidRPr="00193FF2" w:rsidRDefault="005045F8" w:rsidP="00DD1006">
            <w:pPr>
              <w:spacing w:after="180"/>
            </w:pPr>
            <w:r>
              <w:t>mental health practitioner</w:t>
            </w:r>
          </w:p>
        </w:tc>
        <w:tc>
          <w:tcPr>
            <w:tcW w:w="5777" w:type="dxa"/>
          </w:tcPr>
          <w:p w14:paraId="399B32EF" w14:textId="77777777" w:rsidR="005045F8" w:rsidRPr="00193FF2" w:rsidRDefault="005045F8" w:rsidP="00DD1006">
            <w:r w:rsidRPr="00193FF2">
              <w:t>as defined in section 2 of the Act</w:t>
            </w:r>
            <w:r>
              <w:t>:</w:t>
            </w:r>
          </w:p>
          <w:p w14:paraId="11FDD916" w14:textId="4ED4C79B" w:rsidR="005045F8" w:rsidRPr="00193FF2" w:rsidRDefault="005045F8" w:rsidP="00D25422">
            <w:pPr>
              <w:pStyle w:val="Bullet"/>
            </w:pPr>
            <w:r w:rsidRPr="00193FF2">
              <w:t>a medical practitioner</w:t>
            </w:r>
            <w:r w:rsidR="00811789">
              <w:t xml:space="preserve"> or</w:t>
            </w:r>
          </w:p>
          <w:p w14:paraId="527DE7CC" w14:textId="77777777" w:rsidR="005045F8" w:rsidRPr="00193FF2" w:rsidRDefault="005045F8" w:rsidP="00D25422">
            <w:pPr>
              <w:pStyle w:val="Bullet"/>
            </w:pPr>
            <w:r w:rsidRPr="00193FF2">
              <w:t>a nurse practitioner or</w:t>
            </w:r>
          </w:p>
          <w:p w14:paraId="43326FE6" w14:textId="77777777" w:rsidR="005045F8" w:rsidRPr="00193FF2" w:rsidRDefault="005045F8" w:rsidP="00D25422">
            <w:pPr>
              <w:pStyle w:val="Bullet"/>
              <w:spacing w:after="180"/>
            </w:pPr>
            <w:r w:rsidRPr="00193FF2">
              <w:t>a registered nurse practising in mental health (which is also defined in section 2 of the Act)</w:t>
            </w:r>
          </w:p>
        </w:tc>
      </w:tr>
      <w:tr w:rsidR="0020726B" w:rsidRPr="00193FF2" w14:paraId="1CD8E988" w14:textId="77777777" w:rsidTr="392F85EB">
        <w:trPr>
          <w:cantSplit/>
        </w:trPr>
        <w:tc>
          <w:tcPr>
            <w:tcW w:w="2518" w:type="dxa"/>
          </w:tcPr>
          <w:p w14:paraId="7460BA78" w14:textId="233C4B38" w:rsidR="0020726B" w:rsidRPr="00193FF2" w:rsidRDefault="0020726B" w:rsidP="00DD1006">
            <w:pPr>
              <w:spacing w:after="180"/>
            </w:pPr>
            <w:r>
              <w:t>MFAT</w:t>
            </w:r>
          </w:p>
        </w:tc>
        <w:tc>
          <w:tcPr>
            <w:tcW w:w="5777" w:type="dxa"/>
          </w:tcPr>
          <w:p w14:paraId="3DDE8674" w14:textId="759D2367" w:rsidR="0020726B" w:rsidRPr="00193FF2" w:rsidRDefault="0020726B" w:rsidP="00DD1006">
            <w:r>
              <w:t>Ministry of Foreign Affairs and Trade</w:t>
            </w:r>
          </w:p>
        </w:tc>
      </w:tr>
      <w:tr w:rsidR="0020726B" w:rsidRPr="00193FF2" w14:paraId="220B73B7" w14:textId="77777777" w:rsidTr="392F85EB">
        <w:trPr>
          <w:cantSplit/>
        </w:trPr>
        <w:tc>
          <w:tcPr>
            <w:tcW w:w="2518" w:type="dxa"/>
          </w:tcPr>
          <w:p w14:paraId="27D0CB40" w14:textId="62AC46EB" w:rsidR="0020726B" w:rsidRDefault="0020726B" w:rsidP="00DD1006">
            <w:pPr>
              <w:spacing w:after="180"/>
            </w:pPr>
            <w:r>
              <w:t>NHI</w:t>
            </w:r>
          </w:p>
        </w:tc>
        <w:tc>
          <w:tcPr>
            <w:tcW w:w="5777" w:type="dxa"/>
          </w:tcPr>
          <w:p w14:paraId="10121DBC" w14:textId="7957EB58" w:rsidR="0020726B" w:rsidRDefault="0020726B" w:rsidP="00DD1006">
            <w:r>
              <w:t xml:space="preserve">National Health Index </w:t>
            </w:r>
          </w:p>
        </w:tc>
      </w:tr>
      <w:tr w:rsidR="005045F8" w:rsidRPr="00193FF2" w14:paraId="7C81416C" w14:textId="77777777" w:rsidTr="392F85EB">
        <w:trPr>
          <w:cantSplit/>
        </w:trPr>
        <w:tc>
          <w:tcPr>
            <w:tcW w:w="2518" w:type="dxa"/>
          </w:tcPr>
          <w:p w14:paraId="5270F642" w14:textId="77777777" w:rsidR="005045F8" w:rsidRPr="00193FF2" w:rsidRDefault="005045F8" w:rsidP="00DD1006">
            <w:pPr>
              <w:spacing w:after="180"/>
            </w:pPr>
            <w:r w:rsidRPr="00193FF2">
              <w:t>NZBORA</w:t>
            </w:r>
          </w:p>
        </w:tc>
        <w:tc>
          <w:tcPr>
            <w:tcW w:w="5777" w:type="dxa"/>
          </w:tcPr>
          <w:p w14:paraId="52A419DE" w14:textId="77777777" w:rsidR="005045F8" w:rsidRPr="00193FF2" w:rsidRDefault="005045F8" w:rsidP="00DD1006">
            <w:pPr>
              <w:spacing w:after="180"/>
            </w:pPr>
            <w:r w:rsidRPr="00193FF2">
              <w:t>New Zealand Bill of Rights Act 1990</w:t>
            </w:r>
          </w:p>
        </w:tc>
      </w:tr>
      <w:tr w:rsidR="005045F8" w:rsidRPr="00193FF2" w14:paraId="73D8101C" w14:textId="77777777" w:rsidTr="392F85EB">
        <w:trPr>
          <w:cantSplit/>
        </w:trPr>
        <w:tc>
          <w:tcPr>
            <w:tcW w:w="2518" w:type="dxa"/>
          </w:tcPr>
          <w:p w14:paraId="05B7BC08" w14:textId="77777777" w:rsidR="005045F8" w:rsidRPr="00193FF2" w:rsidRDefault="005045F8" w:rsidP="00DD1006">
            <w:pPr>
              <w:spacing w:after="180"/>
            </w:pPr>
            <w:r w:rsidRPr="00193FF2">
              <w:rPr>
                <w:i/>
              </w:rPr>
              <w:t>patient</w:t>
            </w:r>
          </w:p>
        </w:tc>
        <w:tc>
          <w:tcPr>
            <w:tcW w:w="5777" w:type="dxa"/>
          </w:tcPr>
          <w:p w14:paraId="74B532AE" w14:textId="77777777" w:rsidR="005045F8" w:rsidRPr="00193FF2" w:rsidRDefault="005045F8" w:rsidP="00DD1006">
            <w:r w:rsidRPr="00193FF2">
              <w:t>as defined in section 2(1) of the Act, a person who is</w:t>
            </w:r>
            <w:r>
              <w:t>:</w:t>
            </w:r>
          </w:p>
          <w:p w14:paraId="66662AC1" w14:textId="77777777" w:rsidR="005045F8" w:rsidRPr="00193FF2" w:rsidRDefault="005045F8" w:rsidP="00DD1006">
            <w:pPr>
              <w:pStyle w:val="ListParagraph"/>
              <w:numPr>
                <w:ilvl w:val="0"/>
                <w:numId w:val="35"/>
              </w:numPr>
              <w:spacing w:after="80" w:line="259" w:lineRule="auto"/>
              <w:ind w:left="340" w:hanging="340"/>
              <w:contextualSpacing w:val="0"/>
            </w:pPr>
            <w:r w:rsidRPr="00193FF2">
              <w:t xml:space="preserve">required to undergo assessment under section 11 or section 13; or </w:t>
            </w:r>
          </w:p>
          <w:p w14:paraId="78831D87" w14:textId="77777777" w:rsidR="005045F8" w:rsidRPr="00193FF2" w:rsidRDefault="005045F8" w:rsidP="00DD1006">
            <w:pPr>
              <w:pStyle w:val="ListParagraph"/>
              <w:numPr>
                <w:ilvl w:val="0"/>
                <w:numId w:val="35"/>
              </w:numPr>
              <w:spacing w:after="80" w:line="259" w:lineRule="auto"/>
              <w:ind w:left="340" w:hanging="340"/>
              <w:contextualSpacing w:val="0"/>
            </w:pPr>
            <w:r w:rsidRPr="00193FF2">
              <w:t xml:space="preserve">subject to a compulsory treatment order made under Part 2; or </w:t>
            </w:r>
          </w:p>
          <w:p w14:paraId="5910C811" w14:textId="77777777" w:rsidR="005045F8" w:rsidRPr="00193FF2" w:rsidRDefault="005045F8" w:rsidP="00DD1006">
            <w:pPr>
              <w:pStyle w:val="ListParagraph"/>
              <w:numPr>
                <w:ilvl w:val="0"/>
                <w:numId w:val="35"/>
              </w:numPr>
              <w:spacing w:after="180" w:line="259" w:lineRule="auto"/>
              <w:ind w:left="340" w:hanging="340"/>
              <w:contextualSpacing w:val="0"/>
            </w:pPr>
            <w:r w:rsidRPr="00193FF2">
              <w:t xml:space="preserve">a </w:t>
            </w:r>
            <w:r w:rsidRPr="002729C4">
              <w:rPr>
                <w:iCs/>
              </w:rPr>
              <w:t>special</w:t>
            </w:r>
            <w:r w:rsidRPr="00193FF2">
              <w:rPr>
                <w:i/>
              </w:rPr>
              <w:t xml:space="preserve"> </w:t>
            </w:r>
            <w:r w:rsidRPr="002729C4">
              <w:rPr>
                <w:iCs/>
              </w:rPr>
              <w:t>patient</w:t>
            </w:r>
          </w:p>
        </w:tc>
      </w:tr>
      <w:tr w:rsidR="005045F8" w:rsidRPr="00193FF2" w14:paraId="61C66948" w14:textId="77777777" w:rsidTr="392F85EB">
        <w:trPr>
          <w:cantSplit/>
        </w:trPr>
        <w:tc>
          <w:tcPr>
            <w:tcW w:w="2518" w:type="dxa"/>
          </w:tcPr>
          <w:p w14:paraId="42EEFD81" w14:textId="77777777" w:rsidR="005045F8" w:rsidRPr="00193FF2" w:rsidRDefault="005045F8" w:rsidP="00DD1006">
            <w:pPr>
              <w:spacing w:after="180"/>
            </w:pPr>
            <w:r w:rsidRPr="00193FF2">
              <w:rPr>
                <w:i/>
              </w:rPr>
              <w:t>proposed patient</w:t>
            </w:r>
          </w:p>
        </w:tc>
        <w:tc>
          <w:tcPr>
            <w:tcW w:w="5777" w:type="dxa"/>
          </w:tcPr>
          <w:p w14:paraId="6580171A" w14:textId="77777777" w:rsidR="005045F8" w:rsidRPr="00193FF2" w:rsidRDefault="005045F8" w:rsidP="00DD1006">
            <w:pPr>
              <w:spacing w:after="80"/>
            </w:pPr>
            <w:r>
              <w:t>a</w:t>
            </w:r>
            <w:r w:rsidRPr="00193FF2">
              <w:t>s defined in section 2A of the Act</w:t>
            </w:r>
            <w:r>
              <w:t>,</w:t>
            </w:r>
            <w:r w:rsidRPr="00193FF2">
              <w:t xml:space="preserve"> a person</w:t>
            </w:r>
            <w:r>
              <w:t>:</w:t>
            </w:r>
          </w:p>
          <w:p w14:paraId="7E032718" w14:textId="77777777" w:rsidR="005045F8" w:rsidRDefault="005045F8" w:rsidP="00DD1006">
            <w:pPr>
              <w:pStyle w:val="ListParagraph"/>
              <w:numPr>
                <w:ilvl w:val="0"/>
                <w:numId w:val="36"/>
              </w:numPr>
              <w:spacing w:after="80" w:line="259" w:lineRule="auto"/>
              <w:ind w:left="483" w:hanging="483"/>
              <w:contextualSpacing w:val="0"/>
            </w:pPr>
            <w:r w:rsidRPr="00193FF2">
              <w:t xml:space="preserve">starts being a </w:t>
            </w:r>
            <w:r w:rsidRPr="00193FF2">
              <w:rPr>
                <w:i/>
              </w:rPr>
              <w:t>proposed patient</w:t>
            </w:r>
            <w:r w:rsidRPr="00193FF2">
              <w:t xml:space="preserve"> when an application is made under section 8A; and </w:t>
            </w:r>
          </w:p>
          <w:p w14:paraId="59FFBE13" w14:textId="77777777" w:rsidR="005045F8" w:rsidRPr="00193FF2" w:rsidRDefault="005045F8" w:rsidP="00DD1006">
            <w:pPr>
              <w:pStyle w:val="ListParagraph"/>
              <w:numPr>
                <w:ilvl w:val="0"/>
                <w:numId w:val="36"/>
              </w:numPr>
              <w:spacing w:after="80" w:line="259" w:lineRule="auto"/>
              <w:ind w:left="483" w:hanging="483"/>
              <w:contextualSpacing w:val="0"/>
            </w:pPr>
            <w:r w:rsidRPr="00193FF2">
              <w:t xml:space="preserve">stops being a </w:t>
            </w:r>
            <w:r w:rsidRPr="00193FF2">
              <w:rPr>
                <w:i/>
              </w:rPr>
              <w:t>proposed patient</w:t>
            </w:r>
            <w:r w:rsidRPr="00193FF2">
              <w:t xml:space="preserve"> when a mental health practitioner records a finding— </w:t>
            </w:r>
          </w:p>
          <w:p w14:paraId="432BD092" w14:textId="77777777" w:rsidR="005045F8" w:rsidRPr="00193FF2" w:rsidRDefault="005045F8" w:rsidP="00DD1006">
            <w:pPr>
              <w:pStyle w:val="ListParagraph"/>
              <w:numPr>
                <w:ilvl w:val="0"/>
                <w:numId w:val="38"/>
              </w:numPr>
              <w:spacing w:after="80"/>
              <w:ind w:left="917" w:hanging="425"/>
              <w:contextualSpacing w:val="0"/>
            </w:pPr>
            <w:r w:rsidRPr="00193FF2">
              <w:t xml:space="preserve">under section 10(1)﻿(b)﻿(i), in which case the               person does not become a </w:t>
            </w:r>
            <w:r w:rsidRPr="00D475D0">
              <w:rPr>
                <w:i/>
              </w:rPr>
              <w:t>patient</w:t>
            </w:r>
            <w:r w:rsidRPr="00193FF2">
              <w:t xml:space="preserve">; or </w:t>
            </w:r>
          </w:p>
          <w:p w14:paraId="02ED3993" w14:textId="77777777" w:rsidR="005045F8" w:rsidRPr="00193FF2" w:rsidRDefault="005045F8" w:rsidP="00DD1006">
            <w:pPr>
              <w:pStyle w:val="ListParagraph"/>
              <w:numPr>
                <w:ilvl w:val="0"/>
                <w:numId w:val="38"/>
              </w:numPr>
              <w:spacing w:after="180"/>
              <w:ind w:left="917" w:hanging="425"/>
              <w:contextualSpacing w:val="0"/>
            </w:pPr>
            <w:r w:rsidRPr="00193FF2">
              <w:t xml:space="preserve">under section 10(1)﻿(b)﻿(ii), in which case the person becomes a </w:t>
            </w:r>
            <w:r w:rsidRPr="00D475D0">
              <w:rPr>
                <w:i/>
                <w:iCs/>
              </w:rPr>
              <w:t>patient</w:t>
            </w:r>
            <w:r w:rsidRPr="00193FF2">
              <w:t>.</w:t>
            </w:r>
          </w:p>
        </w:tc>
      </w:tr>
      <w:tr w:rsidR="005045F8" w:rsidRPr="00193FF2" w14:paraId="6A1F1972" w14:textId="77777777" w:rsidTr="392F85EB">
        <w:trPr>
          <w:cantSplit/>
        </w:trPr>
        <w:tc>
          <w:tcPr>
            <w:tcW w:w="2518" w:type="dxa"/>
          </w:tcPr>
          <w:p w14:paraId="13C1E7CC" w14:textId="77777777" w:rsidR="005045F8" w:rsidRPr="00193FF2" w:rsidRDefault="005045F8" w:rsidP="00DD1006">
            <w:pPr>
              <w:spacing w:after="180"/>
            </w:pPr>
            <w:r w:rsidRPr="00193FF2">
              <w:t xml:space="preserve"> responsible clinician</w:t>
            </w:r>
          </w:p>
        </w:tc>
        <w:tc>
          <w:tcPr>
            <w:tcW w:w="5777" w:type="dxa"/>
          </w:tcPr>
          <w:p w14:paraId="10E63229" w14:textId="77777777" w:rsidR="005045F8" w:rsidRPr="00193FF2" w:rsidRDefault="005045F8" w:rsidP="00DD1006">
            <w:pPr>
              <w:spacing w:after="180"/>
            </w:pPr>
            <w:r w:rsidRPr="00193FF2">
              <w:t xml:space="preserve">as defined in section 2(1) of the Act, in relation to a </w:t>
            </w:r>
            <w:r w:rsidRPr="00193FF2">
              <w:rPr>
                <w:i/>
              </w:rPr>
              <w:t>patient</w:t>
            </w:r>
            <w:r w:rsidRPr="00193FF2">
              <w:t xml:space="preserve">, the clinician in charge of the treatment of that </w:t>
            </w:r>
            <w:r w:rsidRPr="00193FF2">
              <w:rPr>
                <w:i/>
              </w:rPr>
              <w:t>patient</w:t>
            </w:r>
          </w:p>
        </w:tc>
      </w:tr>
      <w:tr w:rsidR="005045F8" w:rsidRPr="00193FF2" w14:paraId="38696A24" w14:textId="77777777" w:rsidTr="392F85EB">
        <w:trPr>
          <w:cantSplit/>
        </w:trPr>
        <w:tc>
          <w:tcPr>
            <w:tcW w:w="2518" w:type="dxa"/>
          </w:tcPr>
          <w:p w14:paraId="4620205A" w14:textId="77777777" w:rsidR="005045F8" w:rsidRPr="00193FF2" w:rsidRDefault="005045F8" w:rsidP="00DD1006">
            <w:pPr>
              <w:spacing w:after="180"/>
            </w:pPr>
            <w:r>
              <w:t>r</w:t>
            </w:r>
            <w:r w:rsidRPr="00193FF2">
              <w:t xml:space="preserve">egistered nurse </w:t>
            </w:r>
            <w:r>
              <w:t>practising</w:t>
            </w:r>
            <w:r w:rsidRPr="00193FF2">
              <w:t xml:space="preserve"> in mental health</w:t>
            </w:r>
          </w:p>
        </w:tc>
        <w:tc>
          <w:tcPr>
            <w:tcW w:w="5777" w:type="dxa"/>
          </w:tcPr>
          <w:p w14:paraId="5985F2C9" w14:textId="77777777" w:rsidR="005045F8" w:rsidRPr="00193FF2" w:rsidRDefault="005045F8" w:rsidP="00DD1006">
            <w:pPr>
              <w:spacing w:after="180"/>
            </w:pPr>
            <w:r w:rsidRPr="00193FF2">
              <w:t xml:space="preserve">as defined in section 2 of the </w:t>
            </w:r>
            <w:r>
              <w:t>A</w:t>
            </w:r>
            <w:r w:rsidRPr="00193FF2">
              <w:t>ct</w:t>
            </w:r>
            <w:r>
              <w:t>,</w:t>
            </w:r>
            <w:r w:rsidRPr="00193FF2">
              <w:t xml:space="preserve"> a health practitioner who: </w:t>
            </w:r>
          </w:p>
          <w:p w14:paraId="02BFFDE9" w14:textId="77777777" w:rsidR="005045F8" w:rsidRPr="00193FF2" w:rsidRDefault="005045F8" w:rsidP="00DD1006">
            <w:pPr>
              <w:pStyle w:val="ListParagraph"/>
              <w:numPr>
                <w:ilvl w:val="0"/>
                <w:numId w:val="37"/>
              </w:numPr>
              <w:spacing w:after="80" w:line="259" w:lineRule="auto"/>
              <w:ind w:left="482" w:hanging="448"/>
              <w:contextualSpacing w:val="0"/>
            </w:pPr>
            <w:r w:rsidRPr="00193FF2">
              <w:t>is, or is deemed to be, registered with the Nursing Council of New Zealand continued by section 114(1)(a) of the Health Practitioners Competence Assurance Act 2003 as a practitioner of the profession of nursing and whose scope of practice includes the assessment of the presence of mental disorder as defined under this Act; and</w:t>
            </w:r>
          </w:p>
          <w:p w14:paraId="1A7C94E9" w14:textId="77777777" w:rsidR="005045F8" w:rsidRPr="00193FF2" w:rsidRDefault="005045F8" w:rsidP="00DD1006">
            <w:pPr>
              <w:pStyle w:val="ListParagraph"/>
              <w:numPr>
                <w:ilvl w:val="0"/>
                <w:numId w:val="37"/>
              </w:numPr>
              <w:spacing w:after="180" w:line="259" w:lineRule="auto"/>
              <w:ind w:left="482" w:hanging="448"/>
              <w:contextualSpacing w:val="0"/>
            </w:pPr>
            <w:r w:rsidRPr="00193FF2">
              <w:t xml:space="preserve">holds a current practising certificate. </w:t>
            </w:r>
          </w:p>
        </w:tc>
      </w:tr>
      <w:tr w:rsidR="0020726B" w:rsidRPr="00193FF2" w14:paraId="6EA08F72" w14:textId="77777777" w:rsidTr="392F85EB">
        <w:trPr>
          <w:cantSplit/>
        </w:trPr>
        <w:tc>
          <w:tcPr>
            <w:tcW w:w="2518" w:type="dxa"/>
          </w:tcPr>
          <w:p w14:paraId="70D7503B" w14:textId="559C835B" w:rsidR="0020726B" w:rsidRDefault="0020726B" w:rsidP="00DD1006">
            <w:pPr>
              <w:spacing w:after="180"/>
            </w:pPr>
            <w:r>
              <w:t>RFMHS</w:t>
            </w:r>
          </w:p>
        </w:tc>
        <w:tc>
          <w:tcPr>
            <w:tcW w:w="5777" w:type="dxa"/>
          </w:tcPr>
          <w:p w14:paraId="0F2DE46B" w14:textId="38FFEEEF" w:rsidR="0020726B" w:rsidRPr="00193FF2" w:rsidRDefault="0020726B" w:rsidP="00DD1006">
            <w:pPr>
              <w:spacing w:after="180"/>
            </w:pPr>
            <w:r>
              <w:t>Regional Forensic Mental Health Service</w:t>
            </w:r>
          </w:p>
        </w:tc>
      </w:tr>
      <w:tr w:rsidR="0020726B" w:rsidRPr="00193FF2" w14:paraId="10B4BAAB" w14:textId="77777777" w:rsidTr="392F85EB">
        <w:trPr>
          <w:cantSplit/>
        </w:trPr>
        <w:tc>
          <w:tcPr>
            <w:tcW w:w="2518" w:type="dxa"/>
          </w:tcPr>
          <w:p w14:paraId="0076CE58" w14:textId="2A4FA7E2" w:rsidR="0020726B" w:rsidRDefault="0020726B" w:rsidP="00DD1006">
            <w:pPr>
              <w:spacing w:after="180"/>
            </w:pPr>
            <w:r>
              <w:t>SPMS</w:t>
            </w:r>
          </w:p>
        </w:tc>
        <w:tc>
          <w:tcPr>
            <w:tcW w:w="5777" w:type="dxa"/>
          </w:tcPr>
          <w:p w14:paraId="68D6BA44" w14:textId="22809F2A" w:rsidR="0020726B" w:rsidRPr="00193FF2" w:rsidRDefault="0020726B" w:rsidP="00DD1006">
            <w:pPr>
              <w:spacing w:after="180"/>
            </w:pPr>
            <w:r>
              <w:t>Special Patient Management System</w:t>
            </w:r>
          </w:p>
        </w:tc>
      </w:tr>
      <w:tr w:rsidR="0020726B" w:rsidRPr="00193FF2" w14:paraId="70CE3D15" w14:textId="77777777" w:rsidTr="392F85EB">
        <w:trPr>
          <w:cantSplit/>
        </w:trPr>
        <w:tc>
          <w:tcPr>
            <w:tcW w:w="2518" w:type="dxa"/>
          </w:tcPr>
          <w:p w14:paraId="3C1C90D9" w14:textId="403B18E0" w:rsidR="0020726B" w:rsidRDefault="0020726B" w:rsidP="00DD1006">
            <w:pPr>
              <w:spacing w:after="180"/>
            </w:pPr>
            <w:r>
              <w:t>SPRP</w:t>
            </w:r>
          </w:p>
        </w:tc>
        <w:tc>
          <w:tcPr>
            <w:tcW w:w="5777" w:type="dxa"/>
          </w:tcPr>
          <w:p w14:paraId="2EEDB890" w14:textId="5935541E" w:rsidR="0020726B" w:rsidRPr="00193FF2" w:rsidRDefault="0020726B" w:rsidP="00DD1006">
            <w:pPr>
              <w:spacing w:after="180"/>
            </w:pPr>
            <w:r>
              <w:t>Special Patient Review Panel</w:t>
            </w:r>
          </w:p>
        </w:tc>
      </w:tr>
    </w:tbl>
    <w:p w14:paraId="7E8774D5" w14:textId="1A7F7185" w:rsidR="00C86248" w:rsidRDefault="00C86248" w:rsidP="00025A6F">
      <w:pPr>
        <w:pStyle w:val="IntroHead"/>
      </w:pPr>
      <w:r>
        <w:t>Contents</w:t>
      </w:r>
      <w:bookmarkEnd w:id="2"/>
      <w:bookmarkEnd w:id="3"/>
    </w:p>
    <w:p w14:paraId="3C64E154" w14:textId="107F1632" w:rsidR="00300B55" w:rsidRDefault="00970185">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80497384" w:history="1">
        <w:r w:rsidR="00300B55" w:rsidRPr="00E807F5">
          <w:rPr>
            <w:rStyle w:val="Hyperlink"/>
            <w:noProof/>
          </w:rPr>
          <w:t>Foreword</w:t>
        </w:r>
        <w:r w:rsidR="00300B55">
          <w:rPr>
            <w:noProof/>
            <w:webHidden/>
          </w:rPr>
          <w:tab/>
        </w:r>
        <w:r w:rsidR="00300B55">
          <w:rPr>
            <w:noProof/>
            <w:webHidden/>
          </w:rPr>
          <w:fldChar w:fldCharType="begin"/>
        </w:r>
        <w:r w:rsidR="00300B55">
          <w:rPr>
            <w:noProof/>
            <w:webHidden/>
          </w:rPr>
          <w:instrText xml:space="preserve"> PAGEREF _Toc180497384 \h </w:instrText>
        </w:r>
        <w:r w:rsidR="00300B55">
          <w:rPr>
            <w:noProof/>
            <w:webHidden/>
          </w:rPr>
        </w:r>
        <w:r w:rsidR="00300B55">
          <w:rPr>
            <w:noProof/>
            <w:webHidden/>
          </w:rPr>
          <w:fldChar w:fldCharType="separate"/>
        </w:r>
        <w:r w:rsidR="00411DF3">
          <w:rPr>
            <w:noProof/>
            <w:webHidden/>
          </w:rPr>
          <w:t>iii</w:t>
        </w:r>
        <w:r w:rsidR="00300B55">
          <w:rPr>
            <w:noProof/>
            <w:webHidden/>
          </w:rPr>
          <w:fldChar w:fldCharType="end"/>
        </w:r>
      </w:hyperlink>
    </w:p>
    <w:p w14:paraId="05252DF5" w14:textId="203DA9F8" w:rsidR="00300B55" w:rsidRDefault="00000000">
      <w:pPr>
        <w:pStyle w:val="TOC1"/>
        <w:rPr>
          <w:rFonts w:asciiTheme="minorHAnsi" w:eastAsiaTheme="minorEastAsia" w:hAnsiTheme="minorHAnsi" w:cstheme="minorBidi"/>
          <w:noProof/>
          <w:sz w:val="22"/>
          <w:szCs w:val="22"/>
          <w:lang w:val="en-AU" w:eastAsia="en-AU"/>
        </w:rPr>
      </w:pPr>
      <w:hyperlink w:anchor="_Toc180497385" w:history="1">
        <w:r w:rsidR="00300B55" w:rsidRPr="00E807F5">
          <w:rPr>
            <w:rStyle w:val="Hyperlink"/>
            <w:noProof/>
          </w:rPr>
          <w:t>Abbreviations and definitions</w:t>
        </w:r>
        <w:r w:rsidR="00300B55">
          <w:rPr>
            <w:noProof/>
            <w:webHidden/>
          </w:rPr>
          <w:tab/>
        </w:r>
        <w:r w:rsidR="00300B55">
          <w:rPr>
            <w:noProof/>
            <w:webHidden/>
          </w:rPr>
          <w:fldChar w:fldCharType="begin"/>
        </w:r>
        <w:r w:rsidR="00300B55">
          <w:rPr>
            <w:noProof/>
            <w:webHidden/>
          </w:rPr>
          <w:instrText xml:space="preserve"> PAGEREF _Toc180497385 \h </w:instrText>
        </w:r>
        <w:r w:rsidR="00300B55">
          <w:rPr>
            <w:noProof/>
            <w:webHidden/>
          </w:rPr>
        </w:r>
        <w:r w:rsidR="00300B55">
          <w:rPr>
            <w:noProof/>
            <w:webHidden/>
          </w:rPr>
          <w:fldChar w:fldCharType="separate"/>
        </w:r>
        <w:r w:rsidR="00411DF3">
          <w:rPr>
            <w:noProof/>
            <w:webHidden/>
          </w:rPr>
          <w:t>v</w:t>
        </w:r>
        <w:r w:rsidR="00300B55">
          <w:rPr>
            <w:noProof/>
            <w:webHidden/>
          </w:rPr>
          <w:fldChar w:fldCharType="end"/>
        </w:r>
      </w:hyperlink>
    </w:p>
    <w:p w14:paraId="7E60CCB1" w14:textId="544D3DE5" w:rsidR="00300B55" w:rsidRDefault="00000000">
      <w:pPr>
        <w:pStyle w:val="TOC1"/>
        <w:rPr>
          <w:rFonts w:asciiTheme="minorHAnsi" w:eastAsiaTheme="minorEastAsia" w:hAnsiTheme="minorHAnsi" w:cstheme="minorBidi"/>
          <w:noProof/>
          <w:sz w:val="22"/>
          <w:szCs w:val="22"/>
          <w:lang w:val="en-AU" w:eastAsia="en-AU"/>
        </w:rPr>
      </w:pPr>
      <w:hyperlink w:anchor="_Toc180497386" w:history="1">
        <w:r w:rsidR="00300B55" w:rsidRPr="00E807F5">
          <w:rPr>
            <w:rStyle w:val="Hyperlink"/>
            <w:noProof/>
          </w:rPr>
          <w:t>Introduction</w:t>
        </w:r>
        <w:r w:rsidR="00300B55">
          <w:rPr>
            <w:noProof/>
            <w:webHidden/>
          </w:rPr>
          <w:tab/>
        </w:r>
        <w:r w:rsidR="00300B55">
          <w:rPr>
            <w:noProof/>
            <w:webHidden/>
          </w:rPr>
          <w:fldChar w:fldCharType="begin"/>
        </w:r>
        <w:r w:rsidR="00300B55">
          <w:rPr>
            <w:noProof/>
            <w:webHidden/>
          </w:rPr>
          <w:instrText xml:space="preserve"> PAGEREF _Toc180497386 \h </w:instrText>
        </w:r>
        <w:r w:rsidR="00300B55">
          <w:rPr>
            <w:noProof/>
            <w:webHidden/>
          </w:rPr>
        </w:r>
        <w:r w:rsidR="00300B55">
          <w:rPr>
            <w:noProof/>
            <w:webHidden/>
          </w:rPr>
          <w:fldChar w:fldCharType="separate"/>
        </w:r>
        <w:r w:rsidR="00411DF3">
          <w:rPr>
            <w:noProof/>
            <w:webHidden/>
          </w:rPr>
          <w:t>1</w:t>
        </w:r>
        <w:r w:rsidR="00300B55">
          <w:rPr>
            <w:noProof/>
            <w:webHidden/>
          </w:rPr>
          <w:fldChar w:fldCharType="end"/>
        </w:r>
      </w:hyperlink>
    </w:p>
    <w:p w14:paraId="6299A772" w14:textId="35D601DB" w:rsidR="00300B55" w:rsidRDefault="00000000">
      <w:pPr>
        <w:pStyle w:val="TOC2"/>
        <w:rPr>
          <w:rFonts w:asciiTheme="minorHAnsi" w:eastAsiaTheme="minorEastAsia" w:hAnsiTheme="minorHAnsi" w:cstheme="minorBidi"/>
          <w:noProof/>
          <w:sz w:val="22"/>
          <w:szCs w:val="22"/>
          <w:lang w:val="en-AU" w:eastAsia="en-AU"/>
        </w:rPr>
      </w:pPr>
      <w:hyperlink w:anchor="_Toc180497387" w:history="1">
        <w:r w:rsidR="00300B55" w:rsidRPr="00E807F5">
          <w:rPr>
            <w:rStyle w:val="Hyperlink"/>
            <w:noProof/>
          </w:rPr>
          <w:t>Definitions</w:t>
        </w:r>
        <w:r w:rsidR="00300B55">
          <w:rPr>
            <w:noProof/>
            <w:webHidden/>
          </w:rPr>
          <w:tab/>
        </w:r>
        <w:r w:rsidR="00300B55">
          <w:rPr>
            <w:noProof/>
            <w:webHidden/>
          </w:rPr>
          <w:fldChar w:fldCharType="begin"/>
        </w:r>
        <w:r w:rsidR="00300B55">
          <w:rPr>
            <w:noProof/>
            <w:webHidden/>
          </w:rPr>
          <w:instrText xml:space="preserve"> PAGEREF _Toc180497387 \h </w:instrText>
        </w:r>
        <w:r w:rsidR="00300B55">
          <w:rPr>
            <w:noProof/>
            <w:webHidden/>
          </w:rPr>
        </w:r>
        <w:r w:rsidR="00300B55">
          <w:rPr>
            <w:noProof/>
            <w:webHidden/>
          </w:rPr>
          <w:fldChar w:fldCharType="separate"/>
        </w:r>
        <w:r w:rsidR="00411DF3">
          <w:rPr>
            <w:noProof/>
            <w:webHidden/>
          </w:rPr>
          <w:t>1</w:t>
        </w:r>
        <w:r w:rsidR="00300B55">
          <w:rPr>
            <w:noProof/>
            <w:webHidden/>
          </w:rPr>
          <w:fldChar w:fldCharType="end"/>
        </w:r>
      </w:hyperlink>
    </w:p>
    <w:p w14:paraId="3BB9B813" w14:textId="41696A4D" w:rsidR="00300B55" w:rsidRDefault="00000000">
      <w:pPr>
        <w:pStyle w:val="TOC2"/>
        <w:rPr>
          <w:rFonts w:asciiTheme="minorHAnsi" w:eastAsiaTheme="minorEastAsia" w:hAnsiTheme="minorHAnsi" w:cstheme="minorBidi"/>
          <w:noProof/>
          <w:sz w:val="22"/>
          <w:szCs w:val="22"/>
          <w:lang w:val="en-AU" w:eastAsia="en-AU"/>
        </w:rPr>
      </w:pPr>
      <w:hyperlink w:anchor="_Toc180497388" w:history="1">
        <w:r w:rsidR="00300B55" w:rsidRPr="00E807F5">
          <w:rPr>
            <w:rStyle w:val="Hyperlink"/>
            <w:noProof/>
          </w:rPr>
          <w:t>Purpose of the guidelines</w:t>
        </w:r>
        <w:r w:rsidR="00300B55">
          <w:rPr>
            <w:noProof/>
            <w:webHidden/>
          </w:rPr>
          <w:tab/>
        </w:r>
        <w:r w:rsidR="00300B55">
          <w:rPr>
            <w:noProof/>
            <w:webHidden/>
          </w:rPr>
          <w:fldChar w:fldCharType="begin"/>
        </w:r>
        <w:r w:rsidR="00300B55">
          <w:rPr>
            <w:noProof/>
            <w:webHidden/>
          </w:rPr>
          <w:instrText xml:space="preserve"> PAGEREF _Toc180497388 \h </w:instrText>
        </w:r>
        <w:r w:rsidR="00300B55">
          <w:rPr>
            <w:noProof/>
            <w:webHidden/>
          </w:rPr>
        </w:r>
        <w:r w:rsidR="00300B55">
          <w:rPr>
            <w:noProof/>
            <w:webHidden/>
          </w:rPr>
          <w:fldChar w:fldCharType="separate"/>
        </w:r>
        <w:r w:rsidR="00411DF3">
          <w:rPr>
            <w:noProof/>
            <w:webHidden/>
          </w:rPr>
          <w:t>2</w:t>
        </w:r>
        <w:r w:rsidR="00300B55">
          <w:rPr>
            <w:noProof/>
            <w:webHidden/>
          </w:rPr>
          <w:fldChar w:fldCharType="end"/>
        </w:r>
      </w:hyperlink>
    </w:p>
    <w:p w14:paraId="5ED78DD0" w14:textId="55F1378B" w:rsidR="00300B55" w:rsidRDefault="00000000">
      <w:pPr>
        <w:pStyle w:val="TOC2"/>
        <w:rPr>
          <w:rFonts w:asciiTheme="minorHAnsi" w:eastAsiaTheme="minorEastAsia" w:hAnsiTheme="minorHAnsi" w:cstheme="minorBidi"/>
          <w:noProof/>
          <w:sz w:val="22"/>
          <w:szCs w:val="22"/>
          <w:lang w:val="en-AU" w:eastAsia="en-AU"/>
        </w:rPr>
      </w:pPr>
      <w:hyperlink w:anchor="_Toc180497389" w:history="1">
        <w:r w:rsidR="00300B55" w:rsidRPr="00E807F5">
          <w:rPr>
            <w:rStyle w:val="Hyperlink"/>
            <w:noProof/>
          </w:rPr>
          <w:t>Context</w:t>
        </w:r>
        <w:r w:rsidR="00300B55">
          <w:rPr>
            <w:noProof/>
            <w:webHidden/>
          </w:rPr>
          <w:tab/>
        </w:r>
        <w:r w:rsidR="00300B55">
          <w:rPr>
            <w:noProof/>
            <w:webHidden/>
          </w:rPr>
          <w:fldChar w:fldCharType="begin"/>
        </w:r>
        <w:r w:rsidR="00300B55">
          <w:rPr>
            <w:noProof/>
            <w:webHidden/>
          </w:rPr>
          <w:instrText xml:space="preserve"> PAGEREF _Toc180497389 \h </w:instrText>
        </w:r>
        <w:r w:rsidR="00300B55">
          <w:rPr>
            <w:noProof/>
            <w:webHidden/>
          </w:rPr>
        </w:r>
        <w:r w:rsidR="00300B55">
          <w:rPr>
            <w:noProof/>
            <w:webHidden/>
          </w:rPr>
          <w:fldChar w:fldCharType="separate"/>
        </w:r>
        <w:r w:rsidR="00411DF3">
          <w:rPr>
            <w:noProof/>
            <w:webHidden/>
          </w:rPr>
          <w:t>2</w:t>
        </w:r>
        <w:r w:rsidR="00300B55">
          <w:rPr>
            <w:noProof/>
            <w:webHidden/>
          </w:rPr>
          <w:fldChar w:fldCharType="end"/>
        </w:r>
      </w:hyperlink>
    </w:p>
    <w:p w14:paraId="0E684765" w14:textId="1350AA11" w:rsidR="00300B55" w:rsidRDefault="00000000">
      <w:pPr>
        <w:pStyle w:val="TOC2"/>
        <w:rPr>
          <w:rFonts w:asciiTheme="minorHAnsi" w:eastAsiaTheme="minorEastAsia" w:hAnsiTheme="minorHAnsi" w:cstheme="minorBidi"/>
          <w:noProof/>
          <w:sz w:val="22"/>
          <w:szCs w:val="22"/>
          <w:lang w:val="en-AU" w:eastAsia="en-AU"/>
        </w:rPr>
      </w:pPr>
      <w:hyperlink w:anchor="_Toc180497390" w:history="1">
        <w:r w:rsidR="00300B55" w:rsidRPr="00E807F5">
          <w:rPr>
            <w:rStyle w:val="Hyperlink"/>
            <w:noProof/>
          </w:rPr>
          <w:t>Scope of these guidelines</w:t>
        </w:r>
        <w:r w:rsidR="00300B55">
          <w:rPr>
            <w:noProof/>
            <w:webHidden/>
          </w:rPr>
          <w:tab/>
        </w:r>
        <w:r w:rsidR="00300B55">
          <w:rPr>
            <w:noProof/>
            <w:webHidden/>
          </w:rPr>
          <w:fldChar w:fldCharType="begin"/>
        </w:r>
        <w:r w:rsidR="00300B55">
          <w:rPr>
            <w:noProof/>
            <w:webHidden/>
          </w:rPr>
          <w:instrText xml:space="preserve"> PAGEREF _Toc180497390 \h </w:instrText>
        </w:r>
        <w:r w:rsidR="00300B55">
          <w:rPr>
            <w:noProof/>
            <w:webHidden/>
          </w:rPr>
        </w:r>
        <w:r w:rsidR="00300B55">
          <w:rPr>
            <w:noProof/>
            <w:webHidden/>
          </w:rPr>
          <w:fldChar w:fldCharType="separate"/>
        </w:r>
        <w:r w:rsidR="00411DF3">
          <w:rPr>
            <w:noProof/>
            <w:webHidden/>
          </w:rPr>
          <w:t>3</w:t>
        </w:r>
        <w:r w:rsidR="00300B55">
          <w:rPr>
            <w:noProof/>
            <w:webHidden/>
          </w:rPr>
          <w:fldChar w:fldCharType="end"/>
        </w:r>
      </w:hyperlink>
    </w:p>
    <w:p w14:paraId="5187B792" w14:textId="4245A54E" w:rsidR="00300B55" w:rsidRDefault="00000000">
      <w:pPr>
        <w:pStyle w:val="TOC2"/>
        <w:rPr>
          <w:rFonts w:asciiTheme="minorHAnsi" w:eastAsiaTheme="minorEastAsia" w:hAnsiTheme="minorHAnsi" w:cstheme="minorBidi"/>
          <w:noProof/>
          <w:sz w:val="22"/>
          <w:szCs w:val="22"/>
          <w:lang w:val="en-AU" w:eastAsia="en-AU"/>
        </w:rPr>
      </w:pPr>
      <w:hyperlink w:anchor="_Toc180497391" w:history="1">
        <w:r w:rsidR="00300B55" w:rsidRPr="00E807F5">
          <w:rPr>
            <w:rStyle w:val="Hyperlink"/>
            <w:noProof/>
          </w:rPr>
          <w:t>Cultural and personal rights considerations</w:t>
        </w:r>
        <w:r w:rsidR="00300B55">
          <w:rPr>
            <w:noProof/>
            <w:webHidden/>
          </w:rPr>
          <w:tab/>
        </w:r>
        <w:r w:rsidR="00300B55">
          <w:rPr>
            <w:noProof/>
            <w:webHidden/>
          </w:rPr>
          <w:fldChar w:fldCharType="begin"/>
        </w:r>
        <w:r w:rsidR="00300B55">
          <w:rPr>
            <w:noProof/>
            <w:webHidden/>
          </w:rPr>
          <w:instrText xml:space="preserve"> PAGEREF _Toc180497391 \h </w:instrText>
        </w:r>
        <w:r w:rsidR="00300B55">
          <w:rPr>
            <w:noProof/>
            <w:webHidden/>
          </w:rPr>
        </w:r>
        <w:r w:rsidR="00300B55">
          <w:rPr>
            <w:noProof/>
            <w:webHidden/>
          </w:rPr>
          <w:fldChar w:fldCharType="separate"/>
        </w:r>
        <w:r w:rsidR="00411DF3">
          <w:rPr>
            <w:noProof/>
            <w:webHidden/>
          </w:rPr>
          <w:t>4</w:t>
        </w:r>
        <w:r w:rsidR="00300B55">
          <w:rPr>
            <w:noProof/>
            <w:webHidden/>
          </w:rPr>
          <w:fldChar w:fldCharType="end"/>
        </w:r>
      </w:hyperlink>
    </w:p>
    <w:p w14:paraId="5E9A399F" w14:textId="24109502" w:rsidR="00300B55" w:rsidRDefault="00000000">
      <w:pPr>
        <w:pStyle w:val="TOC1"/>
        <w:rPr>
          <w:rFonts w:asciiTheme="minorHAnsi" w:eastAsiaTheme="minorEastAsia" w:hAnsiTheme="minorHAnsi" w:cstheme="minorBidi"/>
          <w:noProof/>
          <w:sz w:val="22"/>
          <w:szCs w:val="22"/>
          <w:lang w:val="en-AU" w:eastAsia="en-AU"/>
        </w:rPr>
      </w:pPr>
      <w:hyperlink w:anchor="_Toc180497392" w:history="1">
        <w:r w:rsidR="00300B55" w:rsidRPr="00E807F5">
          <w:rPr>
            <w:rStyle w:val="Hyperlink"/>
            <w:noProof/>
          </w:rPr>
          <w:t>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Notification of admission of special patients</w:t>
        </w:r>
        <w:r w:rsidR="00300B55">
          <w:rPr>
            <w:noProof/>
            <w:webHidden/>
          </w:rPr>
          <w:tab/>
        </w:r>
        <w:r w:rsidR="00300B55">
          <w:rPr>
            <w:noProof/>
            <w:webHidden/>
          </w:rPr>
          <w:fldChar w:fldCharType="begin"/>
        </w:r>
        <w:r w:rsidR="00300B55">
          <w:rPr>
            <w:noProof/>
            <w:webHidden/>
          </w:rPr>
          <w:instrText xml:space="preserve"> PAGEREF _Toc180497392 \h </w:instrText>
        </w:r>
        <w:r w:rsidR="00300B55">
          <w:rPr>
            <w:noProof/>
            <w:webHidden/>
          </w:rPr>
        </w:r>
        <w:r w:rsidR="00300B55">
          <w:rPr>
            <w:noProof/>
            <w:webHidden/>
          </w:rPr>
          <w:fldChar w:fldCharType="separate"/>
        </w:r>
        <w:r w:rsidR="00411DF3">
          <w:rPr>
            <w:noProof/>
            <w:webHidden/>
          </w:rPr>
          <w:t>6</w:t>
        </w:r>
        <w:r w:rsidR="00300B55">
          <w:rPr>
            <w:noProof/>
            <w:webHidden/>
          </w:rPr>
          <w:fldChar w:fldCharType="end"/>
        </w:r>
      </w:hyperlink>
    </w:p>
    <w:p w14:paraId="5DA183F1" w14:textId="18438903" w:rsidR="00300B55" w:rsidRDefault="00000000">
      <w:pPr>
        <w:pStyle w:val="TOC1"/>
        <w:rPr>
          <w:rFonts w:asciiTheme="minorHAnsi" w:eastAsiaTheme="minorEastAsia" w:hAnsiTheme="minorHAnsi" w:cstheme="minorBidi"/>
          <w:noProof/>
          <w:sz w:val="22"/>
          <w:szCs w:val="22"/>
          <w:lang w:val="en-AU" w:eastAsia="en-AU"/>
        </w:rPr>
      </w:pPr>
      <w:hyperlink w:anchor="_Toc180497393" w:history="1">
        <w:r w:rsidR="00300B55" w:rsidRPr="00E807F5">
          <w:rPr>
            <w:rStyle w:val="Hyperlink"/>
            <w:noProof/>
          </w:rPr>
          <w:t>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Safety and security</w:t>
        </w:r>
        <w:r w:rsidR="00300B55">
          <w:rPr>
            <w:noProof/>
            <w:webHidden/>
          </w:rPr>
          <w:tab/>
        </w:r>
        <w:r w:rsidR="00300B55">
          <w:rPr>
            <w:noProof/>
            <w:webHidden/>
          </w:rPr>
          <w:fldChar w:fldCharType="begin"/>
        </w:r>
        <w:r w:rsidR="00300B55">
          <w:rPr>
            <w:noProof/>
            <w:webHidden/>
          </w:rPr>
          <w:instrText xml:space="preserve"> PAGEREF _Toc180497393 \h </w:instrText>
        </w:r>
        <w:r w:rsidR="00300B55">
          <w:rPr>
            <w:noProof/>
            <w:webHidden/>
          </w:rPr>
        </w:r>
        <w:r w:rsidR="00300B55">
          <w:rPr>
            <w:noProof/>
            <w:webHidden/>
          </w:rPr>
          <w:fldChar w:fldCharType="separate"/>
        </w:r>
        <w:r w:rsidR="00411DF3">
          <w:rPr>
            <w:noProof/>
            <w:webHidden/>
          </w:rPr>
          <w:t>8</w:t>
        </w:r>
        <w:r w:rsidR="00300B55">
          <w:rPr>
            <w:noProof/>
            <w:webHidden/>
          </w:rPr>
          <w:fldChar w:fldCharType="end"/>
        </w:r>
      </w:hyperlink>
    </w:p>
    <w:p w14:paraId="184FA612" w14:textId="04179B93"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394" w:history="1">
        <w:r w:rsidR="00300B55" w:rsidRPr="00E807F5">
          <w:rPr>
            <w:rStyle w:val="Hyperlink"/>
            <w:bCs/>
            <w:noProof/>
          </w:rPr>
          <w:t>2.1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Travel restrictions</w:t>
        </w:r>
        <w:r w:rsidR="00300B55">
          <w:rPr>
            <w:noProof/>
            <w:webHidden/>
          </w:rPr>
          <w:tab/>
        </w:r>
        <w:r w:rsidR="00300B55">
          <w:rPr>
            <w:noProof/>
            <w:webHidden/>
          </w:rPr>
          <w:fldChar w:fldCharType="begin"/>
        </w:r>
        <w:r w:rsidR="00300B55">
          <w:rPr>
            <w:noProof/>
            <w:webHidden/>
          </w:rPr>
          <w:instrText xml:space="preserve"> PAGEREF _Toc180497394 \h </w:instrText>
        </w:r>
        <w:r w:rsidR="00300B55">
          <w:rPr>
            <w:noProof/>
            <w:webHidden/>
          </w:rPr>
        </w:r>
        <w:r w:rsidR="00300B55">
          <w:rPr>
            <w:noProof/>
            <w:webHidden/>
          </w:rPr>
          <w:fldChar w:fldCharType="separate"/>
        </w:r>
        <w:r w:rsidR="00411DF3">
          <w:rPr>
            <w:noProof/>
            <w:webHidden/>
          </w:rPr>
          <w:t>8</w:t>
        </w:r>
        <w:r w:rsidR="00300B55">
          <w:rPr>
            <w:noProof/>
            <w:webHidden/>
          </w:rPr>
          <w:fldChar w:fldCharType="end"/>
        </w:r>
      </w:hyperlink>
    </w:p>
    <w:p w14:paraId="42A2BB22" w14:textId="66B3562B"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395" w:history="1">
        <w:r w:rsidR="00300B55" w:rsidRPr="00E807F5">
          <w:rPr>
            <w:rStyle w:val="Hyperlink"/>
            <w:bCs/>
            <w:noProof/>
          </w:rPr>
          <w:t>2.2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Photographing special patients</w:t>
        </w:r>
        <w:r w:rsidR="00300B55">
          <w:rPr>
            <w:noProof/>
            <w:webHidden/>
          </w:rPr>
          <w:tab/>
        </w:r>
        <w:r w:rsidR="00300B55">
          <w:rPr>
            <w:noProof/>
            <w:webHidden/>
          </w:rPr>
          <w:fldChar w:fldCharType="begin"/>
        </w:r>
        <w:r w:rsidR="00300B55">
          <w:rPr>
            <w:noProof/>
            <w:webHidden/>
          </w:rPr>
          <w:instrText xml:space="preserve"> PAGEREF _Toc180497395 \h </w:instrText>
        </w:r>
        <w:r w:rsidR="00300B55">
          <w:rPr>
            <w:noProof/>
            <w:webHidden/>
          </w:rPr>
        </w:r>
        <w:r w:rsidR="00300B55">
          <w:rPr>
            <w:noProof/>
            <w:webHidden/>
          </w:rPr>
          <w:fldChar w:fldCharType="separate"/>
        </w:r>
        <w:r w:rsidR="00411DF3">
          <w:rPr>
            <w:noProof/>
            <w:webHidden/>
          </w:rPr>
          <w:t>8</w:t>
        </w:r>
        <w:r w:rsidR="00300B55">
          <w:rPr>
            <w:noProof/>
            <w:webHidden/>
          </w:rPr>
          <w:fldChar w:fldCharType="end"/>
        </w:r>
      </w:hyperlink>
    </w:p>
    <w:p w14:paraId="77F1E2D6" w14:textId="040D68D5"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396" w:history="1">
        <w:r w:rsidR="00300B55" w:rsidRPr="00E807F5">
          <w:rPr>
            <w:rStyle w:val="Hyperlink"/>
            <w:bCs/>
            <w:noProof/>
          </w:rPr>
          <w:t>2.3</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Flight risk assessment</w:t>
        </w:r>
        <w:r w:rsidR="00300B55">
          <w:rPr>
            <w:noProof/>
            <w:webHidden/>
          </w:rPr>
          <w:tab/>
        </w:r>
        <w:r w:rsidR="00300B55">
          <w:rPr>
            <w:noProof/>
            <w:webHidden/>
          </w:rPr>
          <w:fldChar w:fldCharType="begin"/>
        </w:r>
        <w:r w:rsidR="00300B55">
          <w:rPr>
            <w:noProof/>
            <w:webHidden/>
          </w:rPr>
          <w:instrText xml:space="preserve"> PAGEREF _Toc180497396 \h </w:instrText>
        </w:r>
        <w:r w:rsidR="00300B55">
          <w:rPr>
            <w:noProof/>
            <w:webHidden/>
          </w:rPr>
        </w:r>
        <w:r w:rsidR="00300B55">
          <w:rPr>
            <w:noProof/>
            <w:webHidden/>
          </w:rPr>
          <w:fldChar w:fldCharType="separate"/>
        </w:r>
        <w:r w:rsidR="00411DF3">
          <w:rPr>
            <w:noProof/>
            <w:webHidden/>
          </w:rPr>
          <w:t>10</w:t>
        </w:r>
        <w:r w:rsidR="00300B55">
          <w:rPr>
            <w:noProof/>
            <w:webHidden/>
          </w:rPr>
          <w:fldChar w:fldCharType="end"/>
        </w:r>
      </w:hyperlink>
    </w:p>
    <w:p w14:paraId="159823A1" w14:textId="46F4A7EB" w:rsidR="00300B55" w:rsidRDefault="00000000">
      <w:pPr>
        <w:pStyle w:val="TOC1"/>
        <w:rPr>
          <w:rFonts w:asciiTheme="minorHAnsi" w:eastAsiaTheme="minorEastAsia" w:hAnsiTheme="minorHAnsi" w:cstheme="minorBidi"/>
          <w:noProof/>
          <w:sz w:val="22"/>
          <w:szCs w:val="22"/>
          <w:lang w:val="en-AU" w:eastAsia="en-AU"/>
        </w:rPr>
      </w:pPr>
      <w:hyperlink w:anchor="_Toc180497397" w:history="1">
        <w:r w:rsidR="00300B55" w:rsidRPr="00E807F5">
          <w:rPr>
            <w:rStyle w:val="Hyperlink"/>
            <w:noProof/>
          </w:rPr>
          <w:t>3</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Special patient reviews</w:t>
        </w:r>
        <w:r w:rsidR="00300B55">
          <w:rPr>
            <w:noProof/>
            <w:webHidden/>
          </w:rPr>
          <w:tab/>
        </w:r>
        <w:r w:rsidR="00300B55">
          <w:rPr>
            <w:noProof/>
            <w:webHidden/>
          </w:rPr>
          <w:fldChar w:fldCharType="begin"/>
        </w:r>
        <w:r w:rsidR="00300B55">
          <w:rPr>
            <w:noProof/>
            <w:webHidden/>
          </w:rPr>
          <w:instrText xml:space="preserve"> PAGEREF _Toc180497397 \h </w:instrText>
        </w:r>
        <w:r w:rsidR="00300B55">
          <w:rPr>
            <w:noProof/>
            <w:webHidden/>
          </w:rPr>
        </w:r>
        <w:r w:rsidR="00300B55">
          <w:rPr>
            <w:noProof/>
            <w:webHidden/>
          </w:rPr>
          <w:fldChar w:fldCharType="separate"/>
        </w:r>
        <w:r w:rsidR="00411DF3">
          <w:rPr>
            <w:noProof/>
            <w:webHidden/>
          </w:rPr>
          <w:t>12</w:t>
        </w:r>
        <w:r w:rsidR="00300B55">
          <w:rPr>
            <w:noProof/>
            <w:webHidden/>
          </w:rPr>
          <w:fldChar w:fldCharType="end"/>
        </w:r>
      </w:hyperlink>
    </w:p>
    <w:p w14:paraId="089BA2F2" w14:textId="0DE8E47B"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398" w:history="1">
        <w:r w:rsidR="00300B55" w:rsidRPr="00E807F5">
          <w:rPr>
            <w:rStyle w:val="Hyperlink"/>
            <w:bCs/>
            <w:noProof/>
          </w:rPr>
          <w:t>3.1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A note regarding risk assessments</w:t>
        </w:r>
        <w:r w:rsidR="00300B55">
          <w:rPr>
            <w:noProof/>
            <w:webHidden/>
          </w:rPr>
          <w:tab/>
        </w:r>
        <w:r w:rsidR="00300B55">
          <w:rPr>
            <w:noProof/>
            <w:webHidden/>
          </w:rPr>
          <w:fldChar w:fldCharType="begin"/>
        </w:r>
        <w:r w:rsidR="00300B55">
          <w:rPr>
            <w:noProof/>
            <w:webHidden/>
          </w:rPr>
          <w:instrText xml:space="preserve"> PAGEREF _Toc180497398 \h </w:instrText>
        </w:r>
        <w:r w:rsidR="00300B55">
          <w:rPr>
            <w:noProof/>
            <w:webHidden/>
          </w:rPr>
        </w:r>
        <w:r w:rsidR="00300B55">
          <w:rPr>
            <w:noProof/>
            <w:webHidden/>
          </w:rPr>
          <w:fldChar w:fldCharType="separate"/>
        </w:r>
        <w:r w:rsidR="00411DF3">
          <w:rPr>
            <w:noProof/>
            <w:webHidden/>
          </w:rPr>
          <w:t>13</w:t>
        </w:r>
        <w:r w:rsidR="00300B55">
          <w:rPr>
            <w:noProof/>
            <w:webHidden/>
          </w:rPr>
          <w:fldChar w:fldCharType="end"/>
        </w:r>
      </w:hyperlink>
    </w:p>
    <w:p w14:paraId="55C6CE04" w14:textId="0CBFD305"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399" w:history="1">
        <w:r w:rsidR="00300B55" w:rsidRPr="00E807F5">
          <w:rPr>
            <w:rStyle w:val="Hyperlink"/>
            <w:bCs/>
            <w:noProof/>
          </w:rPr>
          <w:t>3.2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Timing of special patient reviews</w:t>
        </w:r>
        <w:r w:rsidR="00300B55">
          <w:rPr>
            <w:noProof/>
            <w:webHidden/>
          </w:rPr>
          <w:tab/>
        </w:r>
        <w:r w:rsidR="00300B55">
          <w:rPr>
            <w:noProof/>
            <w:webHidden/>
          </w:rPr>
          <w:fldChar w:fldCharType="begin"/>
        </w:r>
        <w:r w:rsidR="00300B55">
          <w:rPr>
            <w:noProof/>
            <w:webHidden/>
          </w:rPr>
          <w:instrText xml:space="preserve"> PAGEREF _Toc180497399 \h </w:instrText>
        </w:r>
        <w:r w:rsidR="00300B55">
          <w:rPr>
            <w:noProof/>
            <w:webHidden/>
          </w:rPr>
        </w:r>
        <w:r w:rsidR="00300B55">
          <w:rPr>
            <w:noProof/>
            <w:webHidden/>
          </w:rPr>
          <w:fldChar w:fldCharType="separate"/>
        </w:r>
        <w:r w:rsidR="00411DF3">
          <w:rPr>
            <w:noProof/>
            <w:webHidden/>
          </w:rPr>
          <w:t>14</w:t>
        </w:r>
        <w:r w:rsidR="00300B55">
          <w:rPr>
            <w:noProof/>
            <w:webHidden/>
          </w:rPr>
          <w:fldChar w:fldCharType="end"/>
        </w:r>
      </w:hyperlink>
    </w:p>
    <w:p w14:paraId="46DA60D2" w14:textId="7AB5D4D5" w:rsidR="00300B55" w:rsidRDefault="00000000">
      <w:pPr>
        <w:pStyle w:val="TOC1"/>
        <w:rPr>
          <w:rFonts w:asciiTheme="minorHAnsi" w:eastAsiaTheme="minorEastAsia" w:hAnsiTheme="minorHAnsi" w:cstheme="minorBidi"/>
          <w:noProof/>
          <w:sz w:val="22"/>
          <w:szCs w:val="22"/>
          <w:lang w:val="en-AU" w:eastAsia="en-AU"/>
        </w:rPr>
      </w:pPr>
      <w:hyperlink w:anchor="_Toc180497400" w:history="1">
        <w:r w:rsidR="00300B55" w:rsidRPr="00E807F5">
          <w:rPr>
            <w:rStyle w:val="Hyperlink"/>
            <w:noProof/>
          </w:rPr>
          <w:t>4</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Leave for special and restricted patients</w:t>
        </w:r>
        <w:r w:rsidR="00300B55">
          <w:rPr>
            <w:noProof/>
            <w:webHidden/>
          </w:rPr>
          <w:tab/>
        </w:r>
        <w:r w:rsidR="00300B55">
          <w:rPr>
            <w:noProof/>
            <w:webHidden/>
          </w:rPr>
          <w:fldChar w:fldCharType="begin"/>
        </w:r>
        <w:r w:rsidR="00300B55">
          <w:rPr>
            <w:noProof/>
            <w:webHidden/>
          </w:rPr>
          <w:instrText xml:space="preserve"> PAGEREF _Toc180497400 \h </w:instrText>
        </w:r>
        <w:r w:rsidR="00300B55">
          <w:rPr>
            <w:noProof/>
            <w:webHidden/>
          </w:rPr>
        </w:r>
        <w:r w:rsidR="00300B55">
          <w:rPr>
            <w:noProof/>
            <w:webHidden/>
          </w:rPr>
          <w:fldChar w:fldCharType="separate"/>
        </w:r>
        <w:r w:rsidR="00411DF3">
          <w:rPr>
            <w:noProof/>
            <w:webHidden/>
          </w:rPr>
          <w:t>15</w:t>
        </w:r>
        <w:r w:rsidR="00300B55">
          <w:rPr>
            <w:noProof/>
            <w:webHidden/>
          </w:rPr>
          <w:fldChar w:fldCharType="end"/>
        </w:r>
      </w:hyperlink>
    </w:p>
    <w:p w14:paraId="42C12B4F" w14:textId="64EC17E9"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01" w:history="1">
        <w:r w:rsidR="00300B55" w:rsidRPr="00E807F5">
          <w:rPr>
            <w:rStyle w:val="Hyperlink"/>
            <w:bCs/>
            <w:noProof/>
          </w:rPr>
          <w:t>4.1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Ground access</w:t>
        </w:r>
        <w:r w:rsidR="00300B55">
          <w:rPr>
            <w:noProof/>
            <w:webHidden/>
          </w:rPr>
          <w:tab/>
        </w:r>
        <w:r w:rsidR="00300B55">
          <w:rPr>
            <w:noProof/>
            <w:webHidden/>
          </w:rPr>
          <w:fldChar w:fldCharType="begin"/>
        </w:r>
        <w:r w:rsidR="00300B55">
          <w:rPr>
            <w:noProof/>
            <w:webHidden/>
          </w:rPr>
          <w:instrText xml:space="preserve"> PAGEREF _Toc180497401 \h </w:instrText>
        </w:r>
        <w:r w:rsidR="00300B55">
          <w:rPr>
            <w:noProof/>
            <w:webHidden/>
          </w:rPr>
        </w:r>
        <w:r w:rsidR="00300B55">
          <w:rPr>
            <w:noProof/>
            <w:webHidden/>
          </w:rPr>
          <w:fldChar w:fldCharType="separate"/>
        </w:r>
        <w:r w:rsidR="00411DF3">
          <w:rPr>
            <w:noProof/>
            <w:webHidden/>
          </w:rPr>
          <w:t>16</w:t>
        </w:r>
        <w:r w:rsidR="00300B55">
          <w:rPr>
            <w:noProof/>
            <w:webHidden/>
          </w:rPr>
          <w:fldChar w:fldCharType="end"/>
        </w:r>
      </w:hyperlink>
    </w:p>
    <w:p w14:paraId="07A7596F" w14:textId="4B628ABD"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02" w:history="1">
        <w:r w:rsidR="00300B55" w:rsidRPr="00E807F5">
          <w:rPr>
            <w:rStyle w:val="Hyperlink"/>
            <w:bCs/>
            <w:noProof/>
          </w:rPr>
          <w:t>4.2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Ground access requirements and risk management</w:t>
        </w:r>
        <w:r w:rsidR="00300B55">
          <w:rPr>
            <w:noProof/>
            <w:webHidden/>
          </w:rPr>
          <w:tab/>
        </w:r>
        <w:r w:rsidR="00300B55">
          <w:rPr>
            <w:noProof/>
            <w:webHidden/>
          </w:rPr>
          <w:fldChar w:fldCharType="begin"/>
        </w:r>
        <w:r w:rsidR="00300B55">
          <w:rPr>
            <w:noProof/>
            <w:webHidden/>
          </w:rPr>
          <w:instrText xml:space="preserve"> PAGEREF _Toc180497402 \h </w:instrText>
        </w:r>
        <w:r w:rsidR="00300B55">
          <w:rPr>
            <w:noProof/>
            <w:webHidden/>
          </w:rPr>
        </w:r>
        <w:r w:rsidR="00300B55">
          <w:rPr>
            <w:noProof/>
            <w:webHidden/>
          </w:rPr>
          <w:fldChar w:fldCharType="separate"/>
        </w:r>
        <w:r w:rsidR="00411DF3">
          <w:rPr>
            <w:noProof/>
            <w:webHidden/>
          </w:rPr>
          <w:t>16</w:t>
        </w:r>
        <w:r w:rsidR="00300B55">
          <w:rPr>
            <w:noProof/>
            <w:webHidden/>
          </w:rPr>
          <w:fldChar w:fldCharType="end"/>
        </w:r>
      </w:hyperlink>
    </w:p>
    <w:p w14:paraId="3A1EA1BC" w14:textId="79FD4BC4"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03" w:history="1">
        <w:r w:rsidR="00300B55" w:rsidRPr="00E807F5">
          <w:rPr>
            <w:rStyle w:val="Hyperlink"/>
            <w:bCs/>
            <w:noProof/>
          </w:rPr>
          <w:t>4.3</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Managing flight risk</w:t>
        </w:r>
        <w:r w:rsidR="00300B55">
          <w:rPr>
            <w:noProof/>
            <w:webHidden/>
          </w:rPr>
          <w:tab/>
        </w:r>
        <w:r w:rsidR="00300B55">
          <w:rPr>
            <w:noProof/>
            <w:webHidden/>
          </w:rPr>
          <w:fldChar w:fldCharType="begin"/>
        </w:r>
        <w:r w:rsidR="00300B55">
          <w:rPr>
            <w:noProof/>
            <w:webHidden/>
          </w:rPr>
          <w:instrText xml:space="preserve"> PAGEREF _Toc180497403 \h </w:instrText>
        </w:r>
        <w:r w:rsidR="00300B55">
          <w:rPr>
            <w:noProof/>
            <w:webHidden/>
          </w:rPr>
        </w:r>
        <w:r w:rsidR="00300B55">
          <w:rPr>
            <w:noProof/>
            <w:webHidden/>
          </w:rPr>
          <w:fldChar w:fldCharType="separate"/>
        </w:r>
        <w:r w:rsidR="00411DF3">
          <w:rPr>
            <w:noProof/>
            <w:webHidden/>
          </w:rPr>
          <w:t>17</w:t>
        </w:r>
        <w:r w:rsidR="00300B55">
          <w:rPr>
            <w:noProof/>
            <w:webHidden/>
          </w:rPr>
          <w:fldChar w:fldCharType="end"/>
        </w:r>
      </w:hyperlink>
    </w:p>
    <w:p w14:paraId="442F7BCB" w14:textId="006F7264"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04" w:history="1">
        <w:r w:rsidR="00300B55" w:rsidRPr="00E807F5">
          <w:rPr>
            <w:rStyle w:val="Hyperlink"/>
            <w:bCs/>
            <w:noProof/>
          </w:rPr>
          <w:t>4.4</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Border alerts and notifying registered victims</w:t>
        </w:r>
        <w:r w:rsidR="00300B55">
          <w:rPr>
            <w:noProof/>
            <w:webHidden/>
          </w:rPr>
          <w:tab/>
        </w:r>
        <w:r w:rsidR="00300B55">
          <w:rPr>
            <w:noProof/>
            <w:webHidden/>
          </w:rPr>
          <w:fldChar w:fldCharType="begin"/>
        </w:r>
        <w:r w:rsidR="00300B55">
          <w:rPr>
            <w:noProof/>
            <w:webHidden/>
          </w:rPr>
          <w:instrText xml:space="preserve"> PAGEREF _Toc180497404 \h </w:instrText>
        </w:r>
        <w:r w:rsidR="00300B55">
          <w:rPr>
            <w:noProof/>
            <w:webHidden/>
          </w:rPr>
        </w:r>
        <w:r w:rsidR="00300B55">
          <w:rPr>
            <w:noProof/>
            <w:webHidden/>
          </w:rPr>
          <w:fldChar w:fldCharType="separate"/>
        </w:r>
        <w:r w:rsidR="00411DF3">
          <w:rPr>
            <w:noProof/>
            <w:webHidden/>
          </w:rPr>
          <w:t>18</w:t>
        </w:r>
        <w:r w:rsidR="00300B55">
          <w:rPr>
            <w:noProof/>
            <w:webHidden/>
          </w:rPr>
          <w:fldChar w:fldCharType="end"/>
        </w:r>
      </w:hyperlink>
    </w:p>
    <w:p w14:paraId="6CACF40F" w14:textId="3EBECFE9"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05" w:history="1">
        <w:r w:rsidR="00300B55" w:rsidRPr="00E807F5">
          <w:rPr>
            <w:rStyle w:val="Hyperlink"/>
            <w:bCs/>
            <w:noProof/>
          </w:rPr>
          <w:t>4.5</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Conditions of ministerial long leave and unescorted community short leave</w:t>
        </w:r>
        <w:r w:rsidR="00300B55">
          <w:rPr>
            <w:noProof/>
            <w:webHidden/>
          </w:rPr>
          <w:tab/>
        </w:r>
        <w:r w:rsidR="00300B55">
          <w:rPr>
            <w:noProof/>
            <w:webHidden/>
          </w:rPr>
          <w:fldChar w:fldCharType="begin"/>
        </w:r>
        <w:r w:rsidR="00300B55">
          <w:rPr>
            <w:noProof/>
            <w:webHidden/>
          </w:rPr>
          <w:instrText xml:space="preserve"> PAGEREF _Toc180497405 \h </w:instrText>
        </w:r>
        <w:r w:rsidR="00300B55">
          <w:rPr>
            <w:noProof/>
            <w:webHidden/>
          </w:rPr>
        </w:r>
        <w:r w:rsidR="00300B55">
          <w:rPr>
            <w:noProof/>
            <w:webHidden/>
          </w:rPr>
          <w:fldChar w:fldCharType="separate"/>
        </w:r>
        <w:r w:rsidR="00411DF3">
          <w:rPr>
            <w:noProof/>
            <w:webHidden/>
          </w:rPr>
          <w:t>18</w:t>
        </w:r>
        <w:r w:rsidR="00300B55">
          <w:rPr>
            <w:noProof/>
            <w:webHidden/>
          </w:rPr>
          <w:fldChar w:fldCharType="end"/>
        </w:r>
      </w:hyperlink>
    </w:p>
    <w:p w14:paraId="421BD112" w14:textId="2834CAB3" w:rsidR="00300B55" w:rsidRDefault="00000000">
      <w:pPr>
        <w:pStyle w:val="TOC1"/>
        <w:rPr>
          <w:rFonts w:asciiTheme="minorHAnsi" w:eastAsiaTheme="minorEastAsia" w:hAnsiTheme="minorHAnsi" w:cstheme="minorBidi"/>
          <w:noProof/>
          <w:sz w:val="22"/>
          <w:szCs w:val="22"/>
          <w:lang w:val="en-AU" w:eastAsia="en-AU"/>
        </w:rPr>
      </w:pPr>
      <w:hyperlink w:anchor="_Toc180497406" w:history="1">
        <w:r w:rsidR="00300B55" w:rsidRPr="00E807F5">
          <w:rPr>
            <w:rStyle w:val="Hyperlink"/>
            <w:noProof/>
          </w:rPr>
          <w:t>5</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Transfer of special patients under section 49</w:t>
        </w:r>
        <w:r w:rsidR="00300B55">
          <w:rPr>
            <w:noProof/>
            <w:webHidden/>
          </w:rPr>
          <w:tab/>
        </w:r>
        <w:r w:rsidR="00300B55">
          <w:rPr>
            <w:noProof/>
            <w:webHidden/>
          </w:rPr>
          <w:fldChar w:fldCharType="begin"/>
        </w:r>
        <w:r w:rsidR="00300B55">
          <w:rPr>
            <w:noProof/>
            <w:webHidden/>
          </w:rPr>
          <w:instrText xml:space="preserve"> PAGEREF _Toc180497406 \h </w:instrText>
        </w:r>
        <w:r w:rsidR="00300B55">
          <w:rPr>
            <w:noProof/>
            <w:webHidden/>
          </w:rPr>
        </w:r>
        <w:r w:rsidR="00300B55">
          <w:rPr>
            <w:noProof/>
            <w:webHidden/>
          </w:rPr>
          <w:fldChar w:fldCharType="separate"/>
        </w:r>
        <w:r w:rsidR="00411DF3">
          <w:rPr>
            <w:noProof/>
            <w:webHidden/>
          </w:rPr>
          <w:t>19</w:t>
        </w:r>
        <w:r w:rsidR="00300B55">
          <w:rPr>
            <w:noProof/>
            <w:webHidden/>
          </w:rPr>
          <w:fldChar w:fldCharType="end"/>
        </w:r>
      </w:hyperlink>
    </w:p>
    <w:p w14:paraId="40306F7D" w14:textId="1BF0B51E"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07" w:history="1">
        <w:r w:rsidR="00300B55" w:rsidRPr="00E807F5">
          <w:rPr>
            <w:rStyle w:val="Hyperlink"/>
            <w:bCs/>
            <w:noProof/>
          </w:rPr>
          <w:t>5.1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Medical emergency transfers</w:t>
        </w:r>
        <w:r w:rsidR="00300B55">
          <w:rPr>
            <w:noProof/>
            <w:webHidden/>
          </w:rPr>
          <w:tab/>
        </w:r>
        <w:r w:rsidR="00300B55">
          <w:rPr>
            <w:noProof/>
            <w:webHidden/>
          </w:rPr>
          <w:fldChar w:fldCharType="begin"/>
        </w:r>
        <w:r w:rsidR="00300B55">
          <w:rPr>
            <w:noProof/>
            <w:webHidden/>
          </w:rPr>
          <w:instrText xml:space="preserve"> PAGEREF _Toc180497407 \h </w:instrText>
        </w:r>
        <w:r w:rsidR="00300B55">
          <w:rPr>
            <w:noProof/>
            <w:webHidden/>
          </w:rPr>
        </w:r>
        <w:r w:rsidR="00300B55">
          <w:rPr>
            <w:noProof/>
            <w:webHidden/>
          </w:rPr>
          <w:fldChar w:fldCharType="separate"/>
        </w:r>
        <w:r w:rsidR="00411DF3">
          <w:rPr>
            <w:noProof/>
            <w:webHidden/>
          </w:rPr>
          <w:t>20</w:t>
        </w:r>
        <w:r w:rsidR="00300B55">
          <w:rPr>
            <w:noProof/>
            <w:webHidden/>
          </w:rPr>
          <w:fldChar w:fldCharType="end"/>
        </w:r>
      </w:hyperlink>
    </w:p>
    <w:p w14:paraId="1D31E0FC" w14:textId="3014A826" w:rsidR="00300B55" w:rsidRDefault="00000000">
      <w:pPr>
        <w:pStyle w:val="TOC1"/>
        <w:rPr>
          <w:rFonts w:asciiTheme="minorHAnsi" w:eastAsiaTheme="minorEastAsia" w:hAnsiTheme="minorHAnsi" w:cstheme="minorBidi"/>
          <w:noProof/>
          <w:sz w:val="22"/>
          <w:szCs w:val="22"/>
          <w:lang w:val="en-AU" w:eastAsia="en-AU"/>
        </w:rPr>
      </w:pPr>
      <w:hyperlink w:anchor="_Toc180497408" w:history="1">
        <w:r w:rsidR="00300B55" w:rsidRPr="00E807F5">
          <w:rPr>
            <w:rStyle w:val="Hyperlink"/>
            <w:noProof/>
          </w:rPr>
          <w:t>6</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Leave under section 52: ‘short-term leave’ requests</w:t>
        </w:r>
        <w:r w:rsidR="00300B55">
          <w:rPr>
            <w:noProof/>
            <w:webHidden/>
          </w:rPr>
          <w:tab/>
        </w:r>
        <w:r w:rsidR="00300B55">
          <w:rPr>
            <w:noProof/>
            <w:webHidden/>
          </w:rPr>
          <w:fldChar w:fldCharType="begin"/>
        </w:r>
        <w:r w:rsidR="00300B55">
          <w:rPr>
            <w:noProof/>
            <w:webHidden/>
          </w:rPr>
          <w:instrText xml:space="preserve"> PAGEREF _Toc180497408 \h </w:instrText>
        </w:r>
        <w:r w:rsidR="00300B55">
          <w:rPr>
            <w:noProof/>
            <w:webHidden/>
          </w:rPr>
        </w:r>
        <w:r w:rsidR="00300B55">
          <w:rPr>
            <w:noProof/>
            <w:webHidden/>
          </w:rPr>
          <w:fldChar w:fldCharType="separate"/>
        </w:r>
        <w:r w:rsidR="00411DF3">
          <w:rPr>
            <w:noProof/>
            <w:webHidden/>
          </w:rPr>
          <w:t>22</w:t>
        </w:r>
        <w:r w:rsidR="00300B55">
          <w:rPr>
            <w:noProof/>
            <w:webHidden/>
          </w:rPr>
          <w:fldChar w:fldCharType="end"/>
        </w:r>
      </w:hyperlink>
    </w:p>
    <w:p w14:paraId="1D90DD78" w14:textId="090BFAE5"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09" w:history="1">
        <w:r w:rsidR="00300B55" w:rsidRPr="00E807F5">
          <w:rPr>
            <w:rStyle w:val="Hyperlink"/>
            <w:bCs/>
            <w:noProof/>
          </w:rPr>
          <w:t>6.1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Planned leave</w:t>
        </w:r>
        <w:r w:rsidR="00300B55">
          <w:rPr>
            <w:noProof/>
            <w:webHidden/>
          </w:rPr>
          <w:tab/>
        </w:r>
        <w:r w:rsidR="00300B55">
          <w:rPr>
            <w:noProof/>
            <w:webHidden/>
          </w:rPr>
          <w:fldChar w:fldCharType="begin"/>
        </w:r>
        <w:r w:rsidR="00300B55">
          <w:rPr>
            <w:noProof/>
            <w:webHidden/>
          </w:rPr>
          <w:instrText xml:space="preserve"> PAGEREF _Toc180497409 \h </w:instrText>
        </w:r>
        <w:r w:rsidR="00300B55">
          <w:rPr>
            <w:noProof/>
            <w:webHidden/>
          </w:rPr>
        </w:r>
        <w:r w:rsidR="00300B55">
          <w:rPr>
            <w:noProof/>
            <w:webHidden/>
          </w:rPr>
          <w:fldChar w:fldCharType="separate"/>
        </w:r>
        <w:r w:rsidR="00411DF3">
          <w:rPr>
            <w:noProof/>
            <w:webHidden/>
          </w:rPr>
          <w:t>22</w:t>
        </w:r>
        <w:r w:rsidR="00300B55">
          <w:rPr>
            <w:noProof/>
            <w:webHidden/>
          </w:rPr>
          <w:fldChar w:fldCharType="end"/>
        </w:r>
      </w:hyperlink>
    </w:p>
    <w:p w14:paraId="598D07BA" w14:textId="6D02F8D8"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10" w:history="1">
        <w:r w:rsidR="00300B55" w:rsidRPr="00E807F5">
          <w:rPr>
            <w:rStyle w:val="Hyperlink"/>
            <w:bCs/>
            <w:noProof/>
          </w:rPr>
          <w:t>6.2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Medical and urgent appointments</w:t>
        </w:r>
        <w:r w:rsidR="00300B55">
          <w:rPr>
            <w:noProof/>
            <w:webHidden/>
          </w:rPr>
          <w:tab/>
        </w:r>
        <w:r w:rsidR="00300B55">
          <w:rPr>
            <w:noProof/>
            <w:webHidden/>
          </w:rPr>
          <w:fldChar w:fldCharType="begin"/>
        </w:r>
        <w:r w:rsidR="00300B55">
          <w:rPr>
            <w:noProof/>
            <w:webHidden/>
          </w:rPr>
          <w:instrText xml:space="preserve"> PAGEREF _Toc180497410 \h </w:instrText>
        </w:r>
        <w:r w:rsidR="00300B55">
          <w:rPr>
            <w:noProof/>
            <w:webHidden/>
          </w:rPr>
        </w:r>
        <w:r w:rsidR="00300B55">
          <w:rPr>
            <w:noProof/>
            <w:webHidden/>
          </w:rPr>
          <w:fldChar w:fldCharType="separate"/>
        </w:r>
        <w:r w:rsidR="00411DF3">
          <w:rPr>
            <w:noProof/>
            <w:webHidden/>
          </w:rPr>
          <w:t>24</w:t>
        </w:r>
        <w:r w:rsidR="00300B55">
          <w:rPr>
            <w:noProof/>
            <w:webHidden/>
          </w:rPr>
          <w:fldChar w:fldCharType="end"/>
        </w:r>
      </w:hyperlink>
    </w:p>
    <w:p w14:paraId="126E612F" w14:textId="042E16D3"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11" w:history="1">
        <w:r w:rsidR="00300B55" w:rsidRPr="00E807F5">
          <w:rPr>
            <w:rStyle w:val="Hyperlink"/>
            <w:bCs/>
            <w:noProof/>
          </w:rPr>
          <w:t>6.3</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Absence without leave</w:t>
        </w:r>
        <w:r w:rsidR="00300B55">
          <w:rPr>
            <w:noProof/>
            <w:webHidden/>
          </w:rPr>
          <w:tab/>
        </w:r>
        <w:r w:rsidR="00300B55">
          <w:rPr>
            <w:noProof/>
            <w:webHidden/>
          </w:rPr>
          <w:fldChar w:fldCharType="begin"/>
        </w:r>
        <w:r w:rsidR="00300B55">
          <w:rPr>
            <w:noProof/>
            <w:webHidden/>
          </w:rPr>
          <w:instrText xml:space="preserve"> PAGEREF _Toc180497411 \h </w:instrText>
        </w:r>
        <w:r w:rsidR="00300B55">
          <w:rPr>
            <w:noProof/>
            <w:webHidden/>
          </w:rPr>
        </w:r>
        <w:r w:rsidR="00300B55">
          <w:rPr>
            <w:noProof/>
            <w:webHidden/>
          </w:rPr>
          <w:fldChar w:fldCharType="separate"/>
        </w:r>
        <w:r w:rsidR="00411DF3">
          <w:rPr>
            <w:noProof/>
            <w:webHidden/>
          </w:rPr>
          <w:t>26</w:t>
        </w:r>
        <w:r w:rsidR="00300B55">
          <w:rPr>
            <w:noProof/>
            <w:webHidden/>
          </w:rPr>
          <w:fldChar w:fldCharType="end"/>
        </w:r>
      </w:hyperlink>
    </w:p>
    <w:p w14:paraId="2F931028" w14:textId="482663C1"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12" w:history="1">
        <w:r w:rsidR="00300B55" w:rsidRPr="00E807F5">
          <w:rPr>
            <w:rStyle w:val="Hyperlink"/>
            <w:bCs/>
            <w:noProof/>
          </w:rPr>
          <w:t>6.4</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Return of special patient</w:t>
        </w:r>
        <w:r w:rsidR="00300B55">
          <w:rPr>
            <w:noProof/>
            <w:webHidden/>
          </w:rPr>
          <w:tab/>
        </w:r>
        <w:r w:rsidR="00300B55">
          <w:rPr>
            <w:noProof/>
            <w:webHidden/>
          </w:rPr>
          <w:fldChar w:fldCharType="begin"/>
        </w:r>
        <w:r w:rsidR="00300B55">
          <w:rPr>
            <w:noProof/>
            <w:webHidden/>
          </w:rPr>
          <w:instrText xml:space="preserve"> PAGEREF _Toc180497412 \h </w:instrText>
        </w:r>
        <w:r w:rsidR="00300B55">
          <w:rPr>
            <w:noProof/>
            <w:webHidden/>
          </w:rPr>
        </w:r>
        <w:r w:rsidR="00300B55">
          <w:rPr>
            <w:noProof/>
            <w:webHidden/>
          </w:rPr>
          <w:fldChar w:fldCharType="separate"/>
        </w:r>
        <w:r w:rsidR="00411DF3">
          <w:rPr>
            <w:noProof/>
            <w:webHidden/>
          </w:rPr>
          <w:t>29</w:t>
        </w:r>
        <w:r w:rsidR="00300B55">
          <w:rPr>
            <w:noProof/>
            <w:webHidden/>
          </w:rPr>
          <w:fldChar w:fldCharType="end"/>
        </w:r>
      </w:hyperlink>
    </w:p>
    <w:p w14:paraId="37DF9E55" w14:textId="058EFD0F" w:rsidR="00300B55" w:rsidRDefault="00000000">
      <w:pPr>
        <w:pStyle w:val="TOC1"/>
        <w:rPr>
          <w:rFonts w:asciiTheme="minorHAnsi" w:eastAsiaTheme="minorEastAsia" w:hAnsiTheme="minorHAnsi" w:cstheme="minorBidi"/>
          <w:noProof/>
          <w:sz w:val="22"/>
          <w:szCs w:val="22"/>
          <w:lang w:val="en-AU" w:eastAsia="en-AU"/>
        </w:rPr>
      </w:pPr>
      <w:hyperlink w:anchor="_Toc180497413" w:history="1">
        <w:r w:rsidR="00300B55" w:rsidRPr="00E807F5">
          <w:rPr>
            <w:rStyle w:val="Hyperlink"/>
            <w:rFonts w:eastAsia="Calibri"/>
            <w:noProof/>
          </w:rPr>
          <w:t>7</w:t>
        </w:r>
        <w:r w:rsidR="00300B55">
          <w:rPr>
            <w:rFonts w:asciiTheme="minorHAnsi" w:eastAsiaTheme="minorEastAsia" w:hAnsiTheme="minorHAnsi" w:cstheme="minorBidi"/>
            <w:noProof/>
            <w:sz w:val="22"/>
            <w:szCs w:val="22"/>
            <w:lang w:val="en-AU" w:eastAsia="en-AU"/>
          </w:rPr>
          <w:tab/>
        </w:r>
        <w:r w:rsidR="00300B55" w:rsidRPr="00E807F5">
          <w:rPr>
            <w:rStyle w:val="Hyperlink"/>
            <w:rFonts w:eastAsia="Calibri"/>
            <w:noProof/>
          </w:rPr>
          <w:t>Leave under section 50A of the Mental Health Act: ‘ministerial long leave’</w:t>
        </w:r>
        <w:r w:rsidR="00300B55">
          <w:rPr>
            <w:noProof/>
            <w:webHidden/>
          </w:rPr>
          <w:tab/>
        </w:r>
        <w:r w:rsidR="00300B55">
          <w:rPr>
            <w:noProof/>
            <w:webHidden/>
          </w:rPr>
          <w:fldChar w:fldCharType="begin"/>
        </w:r>
        <w:r w:rsidR="00300B55">
          <w:rPr>
            <w:noProof/>
            <w:webHidden/>
          </w:rPr>
          <w:instrText xml:space="preserve"> PAGEREF _Toc180497413 \h </w:instrText>
        </w:r>
        <w:r w:rsidR="00300B55">
          <w:rPr>
            <w:noProof/>
            <w:webHidden/>
          </w:rPr>
        </w:r>
        <w:r w:rsidR="00300B55">
          <w:rPr>
            <w:noProof/>
            <w:webHidden/>
          </w:rPr>
          <w:fldChar w:fldCharType="separate"/>
        </w:r>
        <w:r w:rsidR="00411DF3">
          <w:rPr>
            <w:noProof/>
            <w:webHidden/>
          </w:rPr>
          <w:t>30</w:t>
        </w:r>
        <w:r w:rsidR="00300B55">
          <w:rPr>
            <w:noProof/>
            <w:webHidden/>
          </w:rPr>
          <w:fldChar w:fldCharType="end"/>
        </w:r>
      </w:hyperlink>
    </w:p>
    <w:p w14:paraId="18C9E784" w14:textId="59F0D540"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14" w:history="1">
        <w:r w:rsidR="00300B55" w:rsidRPr="00E807F5">
          <w:rPr>
            <w:rStyle w:val="Hyperlink"/>
            <w:bCs/>
            <w:noProof/>
          </w:rPr>
          <w:t>7.1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Extension of leave (re-application)</w:t>
        </w:r>
        <w:r w:rsidR="00300B55">
          <w:rPr>
            <w:noProof/>
            <w:webHidden/>
          </w:rPr>
          <w:tab/>
        </w:r>
        <w:r w:rsidR="00300B55">
          <w:rPr>
            <w:noProof/>
            <w:webHidden/>
          </w:rPr>
          <w:fldChar w:fldCharType="begin"/>
        </w:r>
        <w:r w:rsidR="00300B55">
          <w:rPr>
            <w:noProof/>
            <w:webHidden/>
          </w:rPr>
          <w:instrText xml:space="preserve"> PAGEREF _Toc180497414 \h </w:instrText>
        </w:r>
        <w:r w:rsidR="00300B55">
          <w:rPr>
            <w:noProof/>
            <w:webHidden/>
          </w:rPr>
        </w:r>
        <w:r w:rsidR="00300B55">
          <w:rPr>
            <w:noProof/>
            <w:webHidden/>
          </w:rPr>
          <w:fldChar w:fldCharType="separate"/>
        </w:r>
        <w:r w:rsidR="00411DF3">
          <w:rPr>
            <w:noProof/>
            <w:webHidden/>
          </w:rPr>
          <w:t>32</w:t>
        </w:r>
        <w:r w:rsidR="00300B55">
          <w:rPr>
            <w:noProof/>
            <w:webHidden/>
          </w:rPr>
          <w:fldChar w:fldCharType="end"/>
        </w:r>
      </w:hyperlink>
    </w:p>
    <w:p w14:paraId="14C3751E" w14:textId="1DE54790"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15" w:history="1">
        <w:r w:rsidR="00300B55" w:rsidRPr="00E807F5">
          <w:rPr>
            <w:rStyle w:val="Hyperlink"/>
            <w:bCs/>
            <w:noProof/>
          </w:rPr>
          <w:t>7.2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Recall to hospital and cancelling ministerial long leave</w:t>
        </w:r>
        <w:r w:rsidR="00300B55">
          <w:rPr>
            <w:noProof/>
            <w:webHidden/>
          </w:rPr>
          <w:tab/>
        </w:r>
        <w:r w:rsidR="00300B55">
          <w:rPr>
            <w:noProof/>
            <w:webHidden/>
          </w:rPr>
          <w:fldChar w:fldCharType="begin"/>
        </w:r>
        <w:r w:rsidR="00300B55">
          <w:rPr>
            <w:noProof/>
            <w:webHidden/>
          </w:rPr>
          <w:instrText xml:space="preserve"> PAGEREF _Toc180497415 \h </w:instrText>
        </w:r>
        <w:r w:rsidR="00300B55">
          <w:rPr>
            <w:noProof/>
            <w:webHidden/>
          </w:rPr>
        </w:r>
        <w:r w:rsidR="00300B55">
          <w:rPr>
            <w:noProof/>
            <w:webHidden/>
          </w:rPr>
          <w:fldChar w:fldCharType="separate"/>
        </w:r>
        <w:r w:rsidR="00411DF3">
          <w:rPr>
            <w:noProof/>
            <w:webHidden/>
          </w:rPr>
          <w:t>33</w:t>
        </w:r>
        <w:r w:rsidR="00300B55">
          <w:rPr>
            <w:noProof/>
            <w:webHidden/>
          </w:rPr>
          <w:fldChar w:fldCharType="end"/>
        </w:r>
      </w:hyperlink>
    </w:p>
    <w:p w14:paraId="2970C249" w14:textId="4824F830"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16" w:history="1">
        <w:r w:rsidR="00300B55" w:rsidRPr="00E807F5">
          <w:rPr>
            <w:rStyle w:val="Hyperlink"/>
            <w:bCs/>
            <w:noProof/>
          </w:rPr>
          <w:t>7.3</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Recommencing short-term leave following cancellation</w:t>
        </w:r>
        <w:r w:rsidR="00300B55">
          <w:rPr>
            <w:noProof/>
            <w:webHidden/>
          </w:rPr>
          <w:tab/>
        </w:r>
        <w:r w:rsidR="00300B55">
          <w:rPr>
            <w:noProof/>
            <w:webHidden/>
          </w:rPr>
          <w:fldChar w:fldCharType="begin"/>
        </w:r>
        <w:r w:rsidR="00300B55">
          <w:rPr>
            <w:noProof/>
            <w:webHidden/>
          </w:rPr>
          <w:instrText xml:space="preserve"> PAGEREF _Toc180497416 \h </w:instrText>
        </w:r>
        <w:r w:rsidR="00300B55">
          <w:rPr>
            <w:noProof/>
            <w:webHidden/>
          </w:rPr>
        </w:r>
        <w:r w:rsidR="00300B55">
          <w:rPr>
            <w:noProof/>
            <w:webHidden/>
          </w:rPr>
          <w:fldChar w:fldCharType="separate"/>
        </w:r>
        <w:r w:rsidR="00411DF3">
          <w:rPr>
            <w:noProof/>
            <w:webHidden/>
          </w:rPr>
          <w:t>34</w:t>
        </w:r>
        <w:r w:rsidR="00300B55">
          <w:rPr>
            <w:noProof/>
            <w:webHidden/>
          </w:rPr>
          <w:fldChar w:fldCharType="end"/>
        </w:r>
      </w:hyperlink>
    </w:p>
    <w:p w14:paraId="65DA41CF" w14:textId="6365295C"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17" w:history="1">
        <w:r w:rsidR="00300B55" w:rsidRPr="00E807F5">
          <w:rPr>
            <w:rStyle w:val="Hyperlink"/>
            <w:bCs/>
            <w:noProof/>
          </w:rPr>
          <w:t>7.4</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Applying for ministerial long leave following cancellation</w:t>
        </w:r>
        <w:r w:rsidR="00300B55">
          <w:rPr>
            <w:noProof/>
            <w:webHidden/>
          </w:rPr>
          <w:tab/>
        </w:r>
        <w:r w:rsidR="00300B55">
          <w:rPr>
            <w:noProof/>
            <w:webHidden/>
          </w:rPr>
          <w:fldChar w:fldCharType="begin"/>
        </w:r>
        <w:r w:rsidR="00300B55">
          <w:rPr>
            <w:noProof/>
            <w:webHidden/>
          </w:rPr>
          <w:instrText xml:space="preserve"> PAGEREF _Toc180497417 \h </w:instrText>
        </w:r>
        <w:r w:rsidR="00300B55">
          <w:rPr>
            <w:noProof/>
            <w:webHidden/>
          </w:rPr>
        </w:r>
        <w:r w:rsidR="00300B55">
          <w:rPr>
            <w:noProof/>
            <w:webHidden/>
          </w:rPr>
          <w:fldChar w:fldCharType="separate"/>
        </w:r>
        <w:r w:rsidR="00411DF3">
          <w:rPr>
            <w:noProof/>
            <w:webHidden/>
          </w:rPr>
          <w:t>34</w:t>
        </w:r>
        <w:r w:rsidR="00300B55">
          <w:rPr>
            <w:noProof/>
            <w:webHidden/>
          </w:rPr>
          <w:fldChar w:fldCharType="end"/>
        </w:r>
      </w:hyperlink>
    </w:p>
    <w:p w14:paraId="011B937F" w14:textId="3B03E8DB"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18" w:history="1">
        <w:r w:rsidR="00300B55" w:rsidRPr="00E807F5">
          <w:rPr>
            <w:rStyle w:val="Hyperlink"/>
            <w:bCs/>
            <w:noProof/>
          </w:rPr>
          <w:t>7.5</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Voluntary admission to hospital during ministerial long leave</w:t>
        </w:r>
        <w:r w:rsidR="00300B55">
          <w:rPr>
            <w:noProof/>
            <w:webHidden/>
          </w:rPr>
          <w:tab/>
        </w:r>
        <w:r w:rsidR="00300B55">
          <w:rPr>
            <w:noProof/>
            <w:webHidden/>
          </w:rPr>
          <w:fldChar w:fldCharType="begin"/>
        </w:r>
        <w:r w:rsidR="00300B55">
          <w:rPr>
            <w:noProof/>
            <w:webHidden/>
          </w:rPr>
          <w:instrText xml:space="preserve"> PAGEREF _Toc180497418 \h </w:instrText>
        </w:r>
        <w:r w:rsidR="00300B55">
          <w:rPr>
            <w:noProof/>
            <w:webHidden/>
          </w:rPr>
        </w:r>
        <w:r w:rsidR="00300B55">
          <w:rPr>
            <w:noProof/>
            <w:webHidden/>
          </w:rPr>
          <w:fldChar w:fldCharType="separate"/>
        </w:r>
        <w:r w:rsidR="00411DF3">
          <w:rPr>
            <w:noProof/>
            <w:webHidden/>
          </w:rPr>
          <w:t>35</w:t>
        </w:r>
        <w:r w:rsidR="00300B55">
          <w:rPr>
            <w:noProof/>
            <w:webHidden/>
          </w:rPr>
          <w:fldChar w:fldCharType="end"/>
        </w:r>
      </w:hyperlink>
    </w:p>
    <w:p w14:paraId="19F614D4" w14:textId="0F27077E" w:rsidR="00300B55" w:rsidRDefault="00000000">
      <w:pPr>
        <w:pStyle w:val="TOC1"/>
        <w:rPr>
          <w:rFonts w:asciiTheme="minorHAnsi" w:eastAsiaTheme="minorEastAsia" w:hAnsiTheme="minorHAnsi" w:cstheme="minorBidi"/>
          <w:noProof/>
          <w:sz w:val="22"/>
          <w:szCs w:val="22"/>
          <w:lang w:val="en-AU" w:eastAsia="en-AU"/>
        </w:rPr>
      </w:pPr>
      <w:hyperlink w:anchor="_Toc180497419" w:history="1">
        <w:r w:rsidR="00300B55" w:rsidRPr="00E807F5">
          <w:rPr>
            <w:rStyle w:val="Hyperlink"/>
            <w:noProof/>
          </w:rPr>
          <w:t>8</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Change of legal status</w:t>
        </w:r>
        <w:r w:rsidR="00300B55">
          <w:rPr>
            <w:noProof/>
            <w:webHidden/>
          </w:rPr>
          <w:tab/>
        </w:r>
        <w:r w:rsidR="00300B55">
          <w:rPr>
            <w:noProof/>
            <w:webHidden/>
          </w:rPr>
          <w:fldChar w:fldCharType="begin"/>
        </w:r>
        <w:r w:rsidR="00300B55">
          <w:rPr>
            <w:noProof/>
            <w:webHidden/>
          </w:rPr>
          <w:instrText xml:space="preserve"> PAGEREF _Toc180497419 \h </w:instrText>
        </w:r>
        <w:r w:rsidR="00300B55">
          <w:rPr>
            <w:noProof/>
            <w:webHidden/>
          </w:rPr>
        </w:r>
        <w:r w:rsidR="00300B55">
          <w:rPr>
            <w:noProof/>
            <w:webHidden/>
          </w:rPr>
          <w:fldChar w:fldCharType="separate"/>
        </w:r>
        <w:r w:rsidR="00411DF3">
          <w:rPr>
            <w:noProof/>
            <w:webHidden/>
          </w:rPr>
          <w:t>36</w:t>
        </w:r>
        <w:r w:rsidR="00300B55">
          <w:rPr>
            <w:noProof/>
            <w:webHidden/>
          </w:rPr>
          <w:fldChar w:fldCharType="end"/>
        </w:r>
      </w:hyperlink>
    </w:p>
    <w:p w14:paraId="1089CA82" w14:textId="16883163"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0" w:history="1">
        <w:r w:rsidR="00300B55" w:rsidRPr="00E807F5">
          <w:rPr>
            <w:rStyle w:val="Hyperlink"/>
            <w:bCs/>
            <w:noProof/>
          </w:rPr>
          <w:t>8.1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Patients acquitted on the grounds of insanity</w:t>
        </w:r>
        <w:r w:rsidR="00300B55">
          <w:rPr>
            <w:noProof/>
            <w:webHidden/>
          </w:rPr>
          <w:tab/>
        </w:r>
        <w:r w:rsidR="00300B55">
          <w:rPr>
            <w:noProof/>
            <w:webHidden/>
          </w:rPr>
          <w:fldChar w:fldCharType="begin"/>
        </w:r>
        <w:r w:rsidR="00300B55">
          <w:rPr>
            <w:noProof/>
            <w:webHidden/>
          </w:rPr>
          <w:instrText xml:space="preserve"> PAGEREF _Toc180497420 \h </w:instrText>
        </w:r>
        <w:r w:rsidR="00300B55">
          <w:rPr>
            <w:noProof/>
            <w:webHidden/>
          </w:rPr>
        </w:r>
        <w:r w:rsidR="00300B55">
          <w:rPr>
            <w:noProof/>
            <w:webHidden/>
          </w:rPr>
          <w:fldChar w:fldCharType="separate"/>
        </w:r>
        <w:r w:rsidR="00411DF3">
          <w:rPr>
            <w:noProof/>
            <w:webHidden/>
          </w:rPr>
          <w:t>36</w:t>
        </w:r>
        <w:r w:rsidR="00300B55">
          <w:rPr>
            <w:noProof/>
            <w:webHidden/>
          </w:rPr>
          <w:fldChar w:fldCharType="end"/>
        </w:r>
      </w:hyperlink>
    </w:p>
    <w:p w14:paraId="112A92C4" w14:textId="5913E1C1"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1" w:history="1">
        <w:r w:rsidR="00300B55" w:rsidRPr="00E807F5">
          <w:rPr>
            <w:rStyle w:val="Hyperlink"/>
            <w:bCs/>
            <w:noProof/>
          </w:rPr>
          <w:t>8.2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Unfit to stand trial: where a patient is now considered fit to stand trial</w:t>
        </w:r>
        <w:r w:rsidR="00300B55">
          <w:rPr>
            <w:noProof/>
            <w:webHidden/>
          </w:rPr>
          <w:tab/>
        </w:r>
        <w:r w:rsidR="00300B55">
          <w:rPr>
            <w:noProof/>
            <w:webHidden/>
          </w:rPr>
          <w:fldChar w:fldCharType="begin"/>
        </w:r>
        <w:r w:rsidR="00300B55">
          <w:rPr>
            <w:noProof/>
            <w:webHidden/>
          </w:rPr>
          <w:instrText xml:space="preserve"> PAGEREF _Toc180497421 \h </w:instrText>
        </w:r>
        <w:r w:rsidR="00300B55">
          <w:rPr>
            <w:noProof/>
            <w:webHidden/>
          </w:rPr>
        </w:r>
        <w:r w:rsidR="00300B55">
          <w:rPr>
            <w:noProof/>
            <w:webHidden/>
          </w:rPr>
          <w:fldChar w:fldCharType="separate"/>
        </w:r>
        <w:r w:rsidR="00411DF3">
          <w:rPr>
            <w:noProof/>
            <w:webHidden/>
          </w:rPr>
          <w:t>37</w:t>
        </w:r>
        <w:r w:rsidR="00300B55">
          <w:rPr>
            <w:noProof/>
            <w:webHidden/>
          </w:rPr>
          <w:fldChar w:fldCharType="end"/>
        </w:r>
      </w:hyperlink>
    </w:p>
    <w:p w14:paraId="294D2782" w14:textId="28E7783B"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2" w:history="1">
        <w:r w:rsidR="00300B55" w:rsidRPr="00E807F5">
          <w:rPr>
            <w:rStyle w:val="Hyperlink"/>
            <w:bCs/>
            <w:noProof/>
          </w:rPr>
          <w:t>8.3</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Unfit to stand trial: end of maximum period of detention</w:t>
        </w:r>
        <w:r w:rsidR="00300B55">
          <w:rPr>
            <w:noProof/>
            <w:webHidden/>
          </w:rPr>
          <w:tab/>
        </w:r>
        <w:r w:rsidR="00300B55">
          <w:rPr>
            <w:noProof/>
            <w:webHidden/>
          </w:rPr>
          <w:fldChar w:fldCharType="begin"/>
        </w:r>
        <w:r w:rsidR="00300B55">
          <w:rPr>
            <w:noProof/>
            <w:webHidden/>
          </w:rPr>
          <w:instrText xml:space="preserve"> PAGEREF _Toc180497422 \h </w:instrText>
        </w:r>
        <w:r w:rsidR="00300B55">
          <w:rPr>
            <w:noProof/>
            <w:webHidden/>
          </w:rPr>
        </w:r>
        <w:r w:rsidR="00300B55">
          <w:rPr>
            <w:noProof/>
            <w:webHidden/>
          </w:rPr>
          <w:fldChar w:fldCharType="separate"/>
        </w:r>
        <w:r w:rsidR="00411DF3">
          <w:rPr>
            <w:noProof/>
            <w:webHidden/>
          </w:rPr>
          <w:t>40</w:t>
        </w:r>
        <w:r w:rsidR="00300B55">
          <w:rPr>
            <w:noProof/>
            <w:webHidden/>
          </w:rPr>
          <w:fldChar w:fldCharType="end"/>
        </w:r>
      </w:hyperlink>
    </w:p>
    <w:p w14:paraId="0FF16E33" w14:textId="32A25EF7"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3" w:history="1">
        <w:r w:rsidR="00300B55" w:rsidRPr="00E807F5">
          <w:rPr>
            <w:rStyle w:val="Hyperlink"/>
            <w:bCs/>
            <w:noProof/>
          </w:rPr>
          <w:t>8.4</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Unfit to stand trial: where the patient no longer needs to be detained as a special patient</w:t>
        </w:r>
        <w:r w:rsidR="00300B55">
          <w:rPr>
            <w:noProof/>
            <w:webHidden/>
          </w:rPr>
          <w:tab/>
        </w:r>
        <w:r w:rsidR="00300B55">
          <w:rPr>
            <w:noProof/>
            <w:webHidden/>
          </w:rPr>
          <w:fldChar w:fldCharType="begin"/>
        </w:r>
        <w:r w:rsidR="00300B55">
          <w:rPr>
            <w:noProof/>
            <w:webHidden/>
          </w:rPr>
          <w:instrText xml:space="preserve"> PAGEREF _Toc180497423 \h </w:instrText>
        </w:r>
        <w:r w:rsidR="00300B55">
          <w:rPr>
            <w:noProof/>
            <w:webHidden/>
          </w:rPr>
        </w:r>
        <w:r w:rsidR="00300B55">
          <w:rPr>
            <w:noProof/>
            <w:webHidden/>
          </w:rPr>
          <w:fldChar w:fldCharType="separate"/>
        </w:r>
        <w:r w:rsidR="00411DF3">
          <w:rPr>
            <w:noProof/>
            <w:webHidden/>
          </w:rPr>
          <w:t>42</w:t>
        </w:r>
        <w:r w:rsidR="00300B55">
          <w:rPr>
            <w:noProof/>
            <w:webHidden/>
          </w:rPr>
          <w:fldChar w:fldCharType="end"/>
        </w:r>
      </w:hyperlink>
    </w:p>
    <w:p w14:paraId="3C1D4CB1" w14:textId="260108F0"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4" w:history="1">
        <w:r w:rsidR="00300B55" w:rsidRPr="00E807F5">
          <w:rPr>
            <w:rStyle w:val="Hyperlink"/>
            <w:bCs/>
            <w:noProof/>
          </w:rPr>
          <w:t>8.5</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Section 77 certificates</w:t>
        </w:r>
        <w:r w:rsidR="00300B55">
          <w:rPr>
            <w:noProof/>
            <w:webHidden/>
          </w:rPr>
          <w:tab/>
        </w:r>
        <w:r w:rsidR="00300B55">
          <w:rPr>
            <w:noProof/>
            <w:webHidden/>
          </w:rPr>
          <w:fldChar w:fldCharType="begin"/>
        </w:r>
        <w:r w:rsidR="00300B55">
          <w:rPr>
            <w:noProof/>
            <w:webHidden/>
          </w:rPr>
          <w:instrText xml:space="preserve"> PAGEREF _Toc180497424 \h </w:instrText>
        </w:r>
        <w:r w:rsidR="00300B55">
          <w:rPr>
            <w:noProof/>
            <w:webHidden/>
          </w:rPr>
        </w:r>
        <w:r w:rsidR="00300B55">
          <w:rPr>
            <w:noProof/>
            <w:webHidden/>
          </w:rPr>
          <w:fldChar w:fldCharType="separate"/>
        </w:r>
        <w:r w:rsidR="00411DF3">
          <w:rPr>
            <w:noProof/>
            <w:webHidden/>
          </w:rPr>
          <w:t>43</w:t>
        </w:r>
        <w:r w:rsidR="00300B55">
          <w:rPr>
            <w:noProof/>
            <w:webHidden/>
          </w:rPr>
          <w:fldChar w:fldCharType="end"/>
        </w:r>
      </w:hyperlink>
    </w:p>
    <w:p w14:paraId="4B14004C" w14:textId="48C13EAB"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5" w:history="1">
        <w:r w:rsidR="00300B55" w:rsidRPr="00E807F5">
          <w:rPr>
            <w:rStyle w:val="Hyperlink"/>
            <w:bCs/>
            <w:noProof/>
          </w:rPr>
          <w:t>8.6</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Change of legal status application submission</w:t>
        </w:r>
        <w:r w:rsidR="00300B55">
          <w:rPr>
            <w:noProof/>
            <w:webHidden/>
          </w:rPr>
          <w:tab/>
        </w:r>
        <w:r w:rsidR="00300B55">
          <w:rPr>
            <w:noProof/>
            <w:webHidden/>
          </w:rPr>
          <w:fldChar w:fldCharType="begin"/>
        </w:r>
        <w:r w:rsidR="00300B55">
          <w:rPr>
            <w:noProof/>
            <w:webHidden/>
          </w:rPr>
          <w:instrText xml:space="preserve"> PAGEREF _Toc180497425 \h </w:instrText>
        </w:r>
        <w:r w:rsidR="00300B55">
          <w:rPr>
            <w:noProof/>
            <w:webHidden/>
          </w:rPr>
        </w:r>
        <w:r w:rsidR="00300B55">
          <w:rPr>
            <w:noProof/>
            <w:webHidden/>
          </w:rPr>
          <w:fldChar w:fldCharType="separate"/>
        </w:r>
        <w:r w:rsidR="00411DF3">
          <w:rPr>
            <w:noProof/>
            <w:webHidden/>
          </w:rPr>
          <w:t>43</w:t>
        </w:r>
        <w:r w:rsidR="00300B55">
          <w:rPr>
            <w:noProof/>
            <w:webHidden/>
          </w:rPr>
          <w:fldChar w:fldCharType="end"/>
        </w:r>
      </w:hyperlink>
    </w:p>
    <w:p w14:paraId="595C4B9C" w14:textId="3B1A0C9C"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6" w:history="1">
        <w:r w:rsidR="00300B55" w:rsidRPr="00E807F5">
          <w:rPr>
            <w:rStyle w:val="Hyperlink"/>
            <w:bCs/>
            <w:noProof/>
          </w:rPr>
          <w:t>8.7</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Change of legal status application timing</w:t>
        </w:r>
        <w:r w:rsidR="00300B55">
          <w:rPr>
            <w:noProof/>
            <w:webHidden/>
          </w:rPr>
          <w:tab/>
        </w:r>
        <w:r w:rsidR="00300B55">
          <w:rPr>
            <w:noProof/>
            <w:webHidden/>
          </w:rPr>
          <w:fldChar w:fldCharType="begin"/>
        </w:r>
        <w:r w:rsidR="00300B55">
          <w:rPr>
            <w:noProof/>
            <w:webHidden/>
          </w:rPr>
          <w:instrText xml:space="preserve"> PAGEREF _Toc180497426 \h </w:instrText>
        </w:r>
        <w:r w:rsidR="00300B55">
          <w:rPr>
            <w:noProof/>
            <w:webHidden/>
          </w:rPr>
        </w:r>
        <w:r w:rsidR="00300B55">
          <w:rPr>
            <w:noProof/>
            <w:webHidden/>
          </w:rPr>
          <w:fldChar w:fldCharType="separate"/>
        </w:r>
        <w:r w:rsidR="00411DF3">
          <w:rPr>
            <w:noProof/>
            <w:webHidden/>
          </w:rPr>
          <w:t>43</w:t>
        </w:r>
        <w:r w:rsidR="00300B55">
          <w:rPr>
            <w:noProof/>
            <w:webHidden/>
          </w:rPr>
          <w:fldChar w:fldCharType="end"/>
        </w:r>
      </w:hyperlink>
    </w:p>
    <w:p w14:paraId="44CD7E02" w14:textId="6B3293EB"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7" w:history="1">
        <w:r w:rsidR="00300B55" w:rsidRPr="00E807F5">
          <w:rPr>
            <w:rStyle w:val="Hyperlink"/>
            <w:bCs/>
            <w:noProof/>
          </w:rPr>
          <w:t>8.8</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Withdrawal of charges</w:t>
        </w:r>
        <w:r w:rsidR="00300B55">
          <w:rPr>
            <w:noProof/>
            <w:webHidden/>
          </w:rPr>
          <w:tab/>
        </w:r>
        <w:r w:rsidR="00300B55">
          <w:rPr>
            <w:noProof/>
            <w:webHidden/>
          </w:rPr>
          <w:fldChar w:fldCharType="begin"/>
        </w:r>
        <w:r w:rsidR="00300B55">
          <w:rPr>
            <w:noProof/>
            <w:webHidden/>
          </w:rPr>
          <w:instrText xml:space="preserve"> PAGEREF _Toc180497427 \h </w:instrText>
        </w:r>
        <w:r w:rsidR="00300B55">
          <w:rPr>
            <w:noProof/>
            <w:webHidden/>
          </w:rPr>
        </w:r>
        <w:r w:rsidR="00300B55">
          <w:rPr>
            <w:noProof/>
            <w:webHidden/>
          </w:rPr>
          <w:fldChar w:fldCharType="separate"/>
        </w:r>
        <w:r w:rsidR="00411DF3">
          <w:rPr>
            <w:noProof/>
            <w:webHidden/>
          </w:rPr>
          <w:t>44</w:t>
        </w:r>
        <w:r w:rsidR="00300B55">
          <w:rPr>
            <w:noProof/>
            <w:webHidden/>
          </w:rPr>
          <w:fldChar w:fldCharType="end"/>
        </w:r>
      </w:hyperlink>
    </w:p>
    <w:p w14:paraId="1A67E081" w14:textId="50CB4DA2" w:rsidR="00300B55" w:rsidRDefault="00000000">
      <w:pPr>
        <w:pStyle w:val="TOC1"/>
        <w:rPr>
          <w:rFonts w:asciiTheme="minorHAnsi" w:eastAsiaTheme="minorEastAsia" w:hAnsiTheme="minorHAnsi" w:cstheme="minorBidi"/>
          <w:noProof/>
          <w:sz w:val="22"/>
          <w:szCs w:val="22"/>
          <w:lang w:val="en-AU" w:eastAsia="en-AU"/>
        </w:rPr>
      </w:pPr>
      <w:hyperlink w:anchor="_Toc180497428" w:history="1">
        <w:r w:rsidR="00300B55" w:rsidRPr="00E807F5">
          <w:rPr>
            <w:rStyle w:val="Hyperlink"/>
            <w:noProof/>
            <w:lang w:eastAsia="en-US"/>
          </w:rPr>
          <w:t>9</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Application for restricted patient status</w:t>
        </w:r>
        <w:r w:rsidR="00300B55">
          <w:rPr>
            <w:noProof/>
            <w:webHidden/>
          </w:rPr>
          <w:tab/>
        </w:r>
        <w:r w:rsidR="00300B55">
          <w:rPr>
            <w:noProof/>
            <w:webHidden/>
          </w:rPr>
          <w:fldChar w:fldCharType="begin"/>
        </w:r>
        <w:r w:rsidR="00300B55">
          <w:rPr>
            <w:noProof/>
            <w:webHidden/>
          </w:rPr>
          <w:instrText xml:space="preserve"> PAGEREF _Toc180497428 \h </w:instrText>
        </w:r>
        <w:r w:rsidR="00300B55">
          <w:rPr>
            <w:noProof/>
            <w:webHidden/>
          </w:rPr>
        </w:r>
        <w:r w:rsidR="00300B55">
          <w:rPr>
            <w:noProof/>
            <w:webHidden/>
          </w:rPr>
          <w:fldChar w:fldCharType="separate"/>
        </w:r>
        <w:r w:rsidR="00411DF3">
          <w:rPr>
            <w:noProof/>
            <w:webHidden/>
          </w:rPr>
          <w:t>45</w:t>
        </w:r>
        <w:r w:rsidR="00300B55">
          <w:rPr>
            <w:noProof/>
            <w:webHidden/>
          </w:rPr>
          <w:fldChar w:fldCharType="end"/>
        </w:r>
      </w:hyperlink>
    </w:p>
    <w:p w14:paraId="1E1C7D2C" w14:textId="76047FA6"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29" w:history="1">
        <w:r w:rsidR="00300B55" w:rsidRPr="00E807F5">
          <w:rPr>
            <w:rStyle w:val="Hyperlink"/>
            <w:bCs/>
            <w:noProof/>
          </w:rPr>
          <w:t>9.1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Key features of restricted patient status</w:t>
        </w:r>
        <w:r w:rsidR="00300B55">
          <w:rPr>
            <w:noProof/>
            <w:webHidden/>
          </w:rPr>
          <w:tab/>
        </w:r>
        <w:r w:rsidR="00300B55">
          <w:rPr>
            <w:noProof/>
            <w:webHidden/>
          </w:rPr>
          <w:fldChar w:fldCharType="begin"/>
        </w:r>
        <w:r w:rsidR="00300B55">
          <w:rPr>
            <w:noProof/>
            <w:webHidden/>
          </w:rPr>
          <w:instrText xml:space="preserve"> PAGEREF _Toc180497429 \h </w:instrText>
        </w:r>
        <w:r w:rsidR="00300B55">
          <w:rPr>
            <w:noProof/>
            <w:webHidden/>
          </w:rPr>
        </w:r>
        <w:r w:rsidR="00300B55">
          <w:rPr>
            <w:noProof/>
            <w:webHidden/>
          </w:rPr>
          <w:fldChar w:fldCharType="separate"/>
        </w:r>
        <w:r w:rsidR="00411DF3">
          <w:rPr>
            <w:noProof/>
            <w:webHidden/>
          </w:rPr>
          <w:t>45</w:t>
        </w:r>
        <w:r w:rsidR="00300B55">
          <w:rPr>
            <w:noProof/>
            <w:webHidden/>
          </w:rPr>
          <w:fldChar w:fldCharType="end"/>
        </w:r>
      </w:hyperlink>
    </w:p>
    <w:p w14:paraId="45FABF53" w14:textId="52FD48F1"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30" w:history="1">
        <w:r w:rsidR="00300B55" w:rsidRPr="00E807F5">
          <w:rPr>
            <w:rStyle w:val="Hyperlink"/>
            <w:bCs/>
            <w:noProof/>
          </w:rPr>
          <w:t>9.2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Information in support of an application for restricted patient status</w:t>
        </w:r>
        <w:r w:rsidR="00300B55">
          <w:rPr>
            <w:noProof/>
            <w:webHidden/>
          </w:rPr>
          <w:tab/>
        </w:r>
        <w:r w:rsidR="00300B55">
          <w:rPr>
            <w:noProof/>
            <w:webHidden/>
          </w:rPr>
          <w:fldChar w:fldCharType="begin"/>
        </w:r>
        <w:r w:rsidR="00300B55">
          <w:rPr>
            <w:noProof/>
            <w:webHidden/>
          </w:rPr>
          <w:instrText xml:space="preserve"> PAGEREF _Toc180497430 \h </w:instrText>
        </w:r>
        <w:r w:rsidR="00300B55">
          <w:rPr>
            <w:noProof/>
            <w:webHidden/>
          </w:rPr>
        </w:r>
        <w:r w:rsidR="00300B55">
          <w:rPr>
            <w:noProof/>
            <w:webHidden/>
          </w:rPr>
          <w:fldChar w:fldCharType="separate"/>
        </w:r>
        <w:r w:rsidR="00411DF3">
          <w:rPr>
            <w:noProof/>
            <w:webHidden/>
          </w:rPr>
          <w:t>47</w:t>
        </w:r>
        <w:r w:rsidR="00300B55">
          <w:rPr>
            <w:noProof/>
            <w:webHidden/>
          </w:rPr>
          <w:fldChar w:fldCharType="end"/>
        </w:r>
      </w:hyperlink>
    </w:p>
    <w:p w14:paraId="3F8AB1CA" w14:textId="209AA53C" w:rsidR="00300B55" w:rsidRDefault="00000000">
      <w:pPr>
        <w:pStyle w:val="TOC2"/>
        <w:tabs>
          <w:tab w:val="left" w:pos="1134"/>
        </w:tabs>
        <w:rPr>
          <w:rFonts w:asciiTheme="minorHAnsi" w:eastAsiaTheme="minorEastAsia" w:hAnsiTheme="minorHAnsi" w:cstheme="minorBidi"/>
          <w:noProof/>
          <w:sz w:val="22"/>
          <w:szCs w:val="22"/>
          <w:lang w:val="en-AU" w:eastAsia="en-AU"/>
        </w:rPr>
      </w:pPr>
      <w:hyperlink w:anchor="_Toc180497431" w:history="1">
        <w:r w:rsidR="00300B55" w:rsidRPr="00E807F5">
          <w:rPr>
            <w:rStyle w:val="Hyperlink"/>
            <w:bCs/>
            <w:noProof/>
          </w:rPr>
          <w:t>9.3</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Second opinion</w:t>
        </w:r>
        <w:r w:rsidR="00300B55">
          <w:rPr>
            <w:noProof/>
            <w:webHidden/>
          </w:rPr>
          <w:tab/>
        </w:r>
        <w:r w:rsidR="00300B55">
          <w:rPr>
            <w:noProof/>
            <w:webHidden/>
          </w:rPr>
          <w:fldChar w:fldCharType="begin"/>
        </w:r>
        <w:r w:rsidR="00300B55">
          <w:rPr>
            <w:noProof/>
            <w:webHidden/>
          </w:rPr>
          <w:instrText xml:space="preserve"> PAGEREF _Toc180497431 \h </w:instrText>
        </w:r>
        <w:r w:rsidR="00300B55">
          <w:rPr>
            <w:noProof/>
            <w:webHidden/>
          </w:rPr>
        </w:r>
        <w:r w:rsidR="00300B55">
          <w:rPr>
            <w:noProof/>
            <w:webHidden/>
          </w:rPr>
          <w:fldChar w:fldCharType="separate"/>
        </w:r>
        <w:r w:rsidR="00411DF3">
          <w:rPr>
            <w:noProof/>
            <w:webHidden/>
          </w:rPr>
          <w:t>48</w:t>
        </w:r>
        <w:r w:rsidR="00300B55">
          <w:rPr>
            <w:noProof/>
            <w:webHidden/>
          </w:rPr>
          <w:fldChar w:fldCharType="end"/>
        </w:r>
      </w:hyperlink>
    </w:p>
    <w:p w14:paraId="46D355AB" w14:textId="0BB47B02" w:rsidR="00300B55" w:rsidRDefault="00000000">
      <w:pPr>
        <w:pStyle w:val="TOC1"/>
        <w:rPr>
          <w:rFonts w:asciiTheme="minorHAnsi" w:eastAsiaTheme="minorEastAsia" w:hAnsiTheme="minorHAnsi" w:cstheme="minorBidi"/>
          <w:noProof/>
          <w:sz w:val="22"/>
          <w:szCs w:val="22"/>
          <w:lang w:val="en-AU" w:eastAsia="en-AU"/>
        </w:rPr>
      </w:pPr>
      <w:hyperlink w:anchor="_Toc180497432" w:history="1">
        <w:r w:rsidR="00300B55" w:rsidRPr="00E807F5">
          <w:rPr>
            <w:rStyle w:val="Hyperlink"/>
            <w:noProof/>
            <w:lang w:eastAsia="en-NZ"/>
          </w:rPr>
          <w:t>10</w:t>
        </w:r>
        <w:r w:rsidR="00300B55">
          <w:rPr>
            <w:rFonts w:asciiTheme="minorHAnsi" w:eastAsiaTheme="minorEastAsia" w:hAnsiTheme="minorHAnsi" w:cstheme="minorBidi"/>
            <w:noProof/>
            <w:sz w:val="22"/>
            <w:szCs w:val="22"/>
            <w:lang w:val="en-AU" w:eastAsia="en-AU"/>
          </w:rPr>
          <w:tab/>
        </w:r>
        <w:r w:rsidR="00300B55" w:rsidRPr="00E807F5">
          <w:rPr>
            <w:rStyle w:val="Hyperlink"/>
            <w:noProof/>
            <w:lang w:eastAsia="en-NZ"/>
          </w:rPr>
          <w:t>Change of legal status: restricted patients</w:t>
        </w:r>
        <w:r w:rsidR="00300B55">
          <w:rPr>
            <w:noProof/>
            <w:webHidden/>
          </w:rPr>
          <w:tab/>
        </w:r>
        <w:r w:rsidR="00300B55">
          <w:rPr>
            <w:noProof/>
            <w:webHidden/>
          </w:rPr>
          <w:fldChar w:fldCharType="begin"/>
        </w:r>
        <w:r w:rsidR="00300B55">
          <w:rPr>
            <w:noProof/>
            <w:webHidden/>
          </w:rPr>
          <w:instrText xml:space="preserve"> PAGEREF _Toc180497432 \h </w:instrText>
        </w:r>
        <w:r w:rsidR="00300B55">
          <w:rPr>
            <w:noProof/>
            <w:webHidden/>
          </w:rPr>
        </w:r>
        <w:r w:rsidR="00300B55">
          <w:rPr>
            <w:noProof/>
            <w:webHidden/>
          </w:rPr>
          <w:fldChar w:fldCharType="separate"/>
        </w:r>
        <w:r w:rsidR="00411DF3">
          <w:rPr>
            <w:noProof/>
            <w:webHidden/>
          </w:rPr>
          <w:t>50</w:t>
        </w:r>
        <w:r w:rsidR="00300B55">
          <w:rPr>
            <w:noProof/>
            <w:webHidden/>
          </w:rPr>
          <w:fldChar w:fldCharType="end"/>
        </w:r>
      </w:hyperlink>
    </w:p>
    <w:p w14:paraId="348A5F4F" w14:textId="12EC3D12" w:rsidR="00300B55" w:rsidRDefault="00000000">
      <w:pPr>
        <w:pStyle w:val="TOC2"/>
        <w:tabs>
          <w:tab w:val="left" w:pos="1320"/>
        </w:tabs>
        <w:rPr>
          <w:rFonts w:asciiTheme="minorHAnsi" w:eastAsiaTheme="minorEastAsia" w:hAnsiTheme="minorHAnsi" w:cstheme="minorBidi"/>
          <w:noProof/>
          <w:sz w:val="22"/>
          <w:szCs w:val="22"/>
          <w:lang w:val="en-AU" w:eastAsia="en-AU"/>
        </w:rPr>
      </w:pPr>
      <w:hyperlink w:anchor="_Toc180497433" w:history="1">
        <w:r w:rsidR="00300B55" w:rsidRPr="00E807F5">
          <w:rPr>
            <w:rStyle w:val="Hyperlink"/>
            <w:bCs/>
            <w:noProof/>
          </w:rPr>
          <w:t>10.1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Where a restricted patient is fit to be released from compulsory status</w:t>
        </w:r>
        <w:r w:rsidR="00300B55">
          <w:rPr>
            <w:noProof/>
            <w:webHidden/>
          </w:rPr>
          <w:tab/>
        </w:r>
        <w:r w:rsidR="00300B55">
          <w:rPr>
            <w:noProof/>
            <w:webHidden/>
          </w:rPr>
          <w:fldChar w:fldCharType="begin"/>
        </w:r>
        <w:r w:rsidR="00300B55">
          <w:rPr>
            <w:noProof/>
            <w:webHidden/>
          </w:rPr>
          <w:instrText xml:space="preserve"> PAGEREF _Toc180497433 \h </w:instrText>
        </w:r>
        <w:r w:rsidR="00300B55">
          <w:rPr>
            <w:noProof/>
            <w:webHidden/>
          </w:rPr>
        </w:r>
        <w:r w:rsidR="00300B55">
          <w:rPr>
            <w:noProof/>
            <w:webHidden/>
          </w:rPr>
          <w:fldChar w:fldCharType="separate"/>
        </w:r>
        <w:r w:rsidR="00411DF3">
          <w:rPr>
            <w:noProof/>
            <w:webHidden/>
          </w:rPr>
          <w:t>50</w:t>
        </w:r>
        <w:r w:rsidR="00300B55">
          <w:rPr>
            <w:noProof/>
            <w:webHidden/>
          </w:rPr>
          <w:fldChar w:fldCharType="end"/>
        </w:r>
      </w:hyperlink>
    </w:p>
    <w:p w14:paraId="3B77198A" w14:textId="03E9149E" w:rsidR="00300B55" w:rsidRDefault="00000000">
      <w:pPr>
        <w:pStyle w:val="TOC2"/>
        <w:tabs>
          <w:tab w:val="left" w:pos="1320"/>
        </w:tabs>
        <w:rPr>
          <w:rFonts w:asciiTheme="minorHAnsi" w:eastAsiaTheme="minorEastAsia" w:hAnsiTheme="minorHAnsi" w:cstheme="minorBidi"/>
          <w:noProof/>
          <w:sz w:val="22"/>
          <w:szCs w:val="22"/>
          <w:lang w:val="en-AU" w:eastAsia="en-AU"/>
        </w:rPr>
      </w:pPr>
      <w:hyperlink w:anchor="_Toc180497434" w:history="1">
        <w:r w:rsidR="00300B55" w:rsidRPr="00E807F5">
          <w:rPr>
            <w:rStyle w:val="Hyperlink"/>
            <w:bCs/>
            <w:noProof/>
          </w:rPr>
          <w:t>10.2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Where a patient is not fit to be released from compulsory status but no longer needs to be a restricted patient</w:t>
        </w:r>
        <w:r w:rsidR="00300B55">
          <w:rPr>
            <w:noProof/>
            <w:webHidden/>
          </w:rPr>
          <w:tab/>
        </w:r>
        <w:r w:rsidR="00300B55">
          <w:rPr>
            <w:noProof/>
            <w:webHidden/>
          </w:rPr>
          <w:fldChar w:fldCharType="begin"/>
        </w:r>
        <w:r w:rsidR="00300B55">
          <w:rPr>
            <w:noProof/>
            <w:webHidden/>
          </w:rPr>
          <w:instrText xml:space="preserve"> PAGEREF _Toc180497434 \h </w:instrText>
        </w:r>
        <w:r w:rsidR="00300B55">
          <w:rPr>
            <w:noProof/>
            <w:webHidden/>
          </w:rPr>
        </w:r>
        <w:r w:rsidR="00300B55">
          <w:rPr>
            <w:noProof/>
            <w:webHidden/>
          </w:rPr>
          <w:fldChar w:fldCharType="separate"/>
        </w:r>
        <w:r w:rsidR="00411DF3">
          <w:rPr>
            <w:noProof/>
            <w:webHidden/>
          </w:rPr>
          <w:t>52</w:t>
        </w:r>
        <w:r w:rsidR="00300B55">
          <w:rPr>
            <w:noProof/>
            <w:webHidden/>
          </w:rPr>
          <w:fldChar w:fldCharType="end"/>
        </w:r>
      </w:hyperlink>
    </w:p>
    <w:p w14:paraId="631B93AE" w14:textId="6C92B7C4" w:rsidR="00300B55" w:rsidRDefault="00000000">
      <w:pPr>
        <w:pStyle w:val="TOC1"/>
        <w:rPr>
          <w:rFonts w:asciiTheme="minorHAnsi" w:eastAsiaTheme="minorEastAsia" w:hAnsiTheme="minorHAnsi" w:cstheme="minorBidi"/>
          <w:noProof/>
          <w:sz w:val="22"/>
          <w:szCs w:val="22"/>
          <w:lang w:val="en-AU" w:eastAsia="en-AU"/>
        </w:rPr>
      </w:pPr>
      <w:hyperlink w:anchor="_Toc180497435" w:history="1">
        <w:r w:rsidR="00300B55" w:rsidRPr="00E807F5">
          <w:rPr>
            <w:rStyle w:val="Hyperlink"/>
            <w:noProof/>
          </w:rPr>
          <w:t>11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Return to prison</w:t>
        </w:r>
        <w:r w:rsidR="00300B55">
          <w:rPr>
            <w:noProof/>
            <w:webHidden/>
          </w:rPr>
          <w:tab/>
        </w:r>
        <w:r w:rsidR="00300B55">
          <w:rPr>
            <w:noProof/>
            <w:webHidden/>
          </w:rPr>
          <w:fldChar w:fldCharType="begin"/>
        </w:r>
        <w:r w:rsidR="00300B55">
          <w:rPr>
            <w:noProof/>
            <w:webHidden/>
          </w:rPr>
          <w:instrText xml:space="preserve"> PAGEREF _Toc180497435 \h </w:instrText>
        </w:r>
        <w:r w:rsidR="00300B55">
          <w:rPr>
            <w:noProof/>
            <w:webHidden/>
          </w:rPr>
        </w:r>
        <w:r w:rsidR="00300B55">
          <w:rPr>
            <w:noProof/>
            <w:webHidden/>
          </w:rPr>
          <w:fldChar w:fldCharType="separate"/>
        </w:r>
        <w:r w:rsidR="00411DF3">
          <w:rPr>
            <w:noProof/>
            <w:webHidden/>
          </w:rPr>
          <w:t>54</w:t>
        </w:r>
        <w:r w:rsidR="00300B55">
          <w:rPr>
            <w:noProof/>
            <w:webHidden/>
          </w:rPr>
          <w:fldChar w:fldCharType="end"/>
        </w:r>
      </w:hyperlink>
    </w:p>
    <w:p w14:paraId="33FD5E2B" w14:textId="581C30AD" w:rsidR="00300B55" w:rsidRDefault="00000000">
      <w:pPr>
        <w:pStyle w:val="TOC2"/>
        <w:tabs>
          <w:tab w:val="left" w:pos="1320"/>
        </w:tabs>
        <w:rPr>
          <w:rFonts w:asciiTheme="minorHAnsi" w:eastAsiaTheme="minorEastAsia" w:hAnsiTheme="minorHAnsi" w:cstheme="minorBidi"/>
          <w:noProof/>
          <w:sz w:val="22"/>
          <w:szCs w:val="22"/>
          <w:lang w:val="en-AU" w:eastAsia="en-AU"/>
        </w:rPr>
      </w:pPr>
      <w:hyperlink w:anchor="_Toc180497436" w:history="1">
        <w:r w:rsidR="00300B55" w:rsidRPr="00E807F5">
          <w:rPr>
            <w:rStyle w:val="Hyperlink"/>
            <w:bCs/>
            <w:noProof/>
          </w:rPr>
          <w:t>11.1</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Effect of orders under section 24 of the CP(MIP) Act on prison sentences</w:t>
        </w:r>
        <w:r w:rsidR="00300B55">
          <w:rPr>
            <w:noProof/>
            <w:webHidden/>
          </w:rPr>
          <w:tab/>
        </w:r>
        <w:r w:rsidR="00300B55">
          <w:rPr>
            <w:noProof/>
            <w:webHidden/>
          </w:rPr>
          <w:fldChar w:fldCharType="begin"/>
        </w:r>
        <w:r w:rsidR="00300B55">
          <w:rPr>
            <w:noProof/>
            <w:webHidden/>
          </w:rPr>
          <w:instrText xml:space="preserve"> PAGEREF _Toc180497436 \h </w:instrText>
        </w:r>
        <w:r w:rsidR="00300B55">
          <w:rPr>
            <w:noProof/>
            <w:webHidden/>
          </w:rPr>
        </w:r>
        <w:r w:rsidR="00300B55">
          <w:rPr>
            <w:noProof/>
            <w:webHidden/>
          </w:rPr>
          <w:fldChar w:fldCharType="separate"/>
        </w:r>
        <w:r w:rsidR="00411DF3">
          <w:rPr>
            <w:noProof/>
            <w:webHidden/>
          </w:rPr>
          <w:t>54</w:t>
        </w:r>
        <w:r w:rsidR="00300B55">
          <w:rPr>
            <w:noProof/>
            <w:webHidden/>
          </w:rPr>
          <w:fldChar w:fldCharType="end"/>
        </w:r>
      </w:hyperlink>
    </w:p>
    <w:p w14:paraId="1A1256F0" w14:textId="0660F90E" w:rsidR="00300B55" w:rsidRDefault="00000000">
      <w:pPr>
        <w:pStyle w:val="TOC1"/>
        <w:rPr>
          <w:rFonts w:asciiTheme="minorHAnsi" w:eastAsiaTheme="minorEastAsia" w:hAnsiTheme="minorHAnsi" w:cstheme="minorBidi"/>
          <w:noProof/>
          <w:sz w:val="22"/>
          <w:szCs w:val="22"/>
          <w:lang w:val="en-AU" w:eastAsia="en-AU"/>
        </w:rPr>
      </w:pPr>
      <w:hyperlink w:anchor="_Toc180497437" w:history="1">
        <w:r w:rsidR="00300B55" w:rsidRPr="00E807F5">
          <w:rPr>
            <w:rStyle w:val="Hyperlink"/>
            <w:noProof/>
          </w:rPr>
          <w:t>12</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Registered victim notifications</w:t>
        </w:r>
        <w:r w:rsidR="00300B55">
          <w:rPr>
            <w:noProof/>
            <w:webHidden/>
          </w:rPr>
          <w:tab/>
        </w:r>
        <w:r w:rsidR="00300B55">
          <w:rPr>
            <w:noProof/>
            <w:webHidden/>
          </w:rPr>
          <w:fldChar w:fldCharType="begin"/>
        </w:r>
        <w:r w:rsidR="00300B55">
          <w:rPr>
            <w:noProof/>
            <w:webHidden/>
          </w:rPr>
          <w:instrText xml:space="preserve"> PAGEREF _Toc180497437 \h </w:instrText>
        </w:r>
        <w:r w:rsidR="00300B55">
          <w:rPr>
            <w:noProof/>
            <w:webHidden/>
          </w:rPr>
        </w:r>
        <w:r w:rsidR="00300B55">
          <w:rPr>
            <w:noProof/>
            <w:webHidden/>
          </w:rPr>
          <w:fldChar w:fldCharType="separate"/>
        </w:r>
        <w:r w:rsidR="00411DF3">
          <w:rPr>
            <w:noProof/>
            <w:webHidden/>
          </w:rPr>
          <w:t>55</w:t>
        </w:r>
        <w:r w:rsidR="00300B55">
          <w:rPr>
            <w:noProof/>
            <w:webHidden/>
          </w:rPr>
          <w:fldChar w:fldCharType="end"/>
        </w:r>
      </w:hyperlink>
    </w:p>
    <w:p w14:paraId="4C9DFB52" w14:textId="01C8EE3D" w:rsidR="00300B55" w:rsidRDefault="00000000">
      <w:pPr>
        <w:pStyle w:val="TOC1"/>
        <w:rPr>
          <w:rFonts w:asciiTheme="minorHAnsi" w:eastAsiaTheme="minorEastAsia" w:hAnsiTheme="minorHAnsi" w:cstheme="minorBidi"/>
          <w:noProof/>
          <w:sz w:val="22"/>
          <w:szCs w:val="22"/>
          <w:lang w:val="en-AU" w:eastAsia="en-AU"/>
        </w:rPr>
      </w:pPr>
      <w:hyperlink w:anchor="_Toc180497438" w:history="1">
        <w:r w:rsidR="00300B55" w:rsidRPr="00E807F5">
          <w:rPr>
            <w:rStyle w:val="Hyperlink"/>
            <w:noProof/>
          </w:rPr>
          <w:t>13</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Incidents and reportable events</w:t>
        </w:r>
        <w:r w:rsidR="00300B55">
          <w:rPr>
            <w:noProof/>
            <w:webHidden/>
          </w:rPr>
          <w:tab/>
        </w:r>
        <w:r w:rsidR="00300B55">
          <w:rPr>
            <w:noProof/>
            <w:webHidden/>
          </w:rPr>
          <w:fldChar w:fldCharType="begin"/>
        </w:r>
        <w:r w:rsidR="00300B55">
          <w:rPr>
            <w:noProof/>
            <w:webHidden/>
          </w:rPr>
          <w:instrText xml:space="preserve"> PAGEREF _Toc180497438 \h </w:instrText>
        </w:r>
        <w:r w:rsidR="00300B55">
          <w:rPr>
            <w:noProof/>
            <w:webHidden/>
          </w:rPr>
        </w:r>
        <w:r w:rsidR="00300B55">
          <w:rPr>
            <w:noProof/>
            <w:webHidden/>
          </w:rPr>
          <w:fldChar w:fldCharType="separate"/>
        </w:r>
        <w:r w:rsidR="00411DF3">
          <w:rPr>
            <w:noProof/>
            <w:webHidden/>
          </w:rPr>
          <w:t>57</w:t>
        </w:r>
        <w:r w:rsidR="00300B55">
          <w:rPr>
            <w:noProof/>
            <w:webHidden/>
          </w:rPr>
          <w:fldChar w:fldCharType="end"/>
        </w:r>
      </w:hyperlink>
    </w:p>
    <w:p w14:paraId="63BF533A" w14:textId="0262C1C7" w:rsidR="00300B55" w:rsidRDefault="00000000">
      <w:pPr>
        <w:pStyle w:val="TOC1"/>
        <w:rPr>
          <w:rFonts w:asciiTheme="minorHAnsi" w:eastAsiaTheme="minorEastAsia" w:hAnsiTheme="minorHAnsi" w:cstheme="minorBidi"/>
          <w:noProof/>
          <w:sz w:val="22"/>
          <w:szCs w:val="22"/>
          <w:lang w:val="en-AU" w:eastAsia="en-AU"/>
        </w:rPr>
      </w:pPr>
      <w:hyperlink w:anchor="_Toc180497439" w:history="1">
        <w:r w:rsidR="00300B55" w:rsidRPr="00E807F5">
          <w:rPr>
            <w:rStyle w:val="Hyperlink"/>
            <w:noProof/>
          </w:rPr>
          <w:t>14</w:t>
        </w:r>
        <w:r w:rsidR="00300B55">
          <w:rPr>
            <w:rFonts w:asciiTheme="minorHAnsi" w:eastAsiaTheme="minorEastAsia" w:hAnsiTheme="minorHAnsi" w:cstheme="minorBidi"/>
            <w:noProof/>
            <w:sz w:val="22"/>
            <w:szCs w:val="22"/>
            <w:lang w:val="en-AU" w:eastAsia="en-AU"/>
          </w:rPr>
          <w:tab/>
        </w:r>
        <w:r w:rsidR="00300B55" w:rsidRPr="00E807F5">
          <w:rPr>
            <w:rStyle w:val="Hyperlink"/>
            <w:noProof/>
          </w:rPr>
          <w:t>Contacting the Office of the Director of Mental Health and Addiction</w:t>
        </w:r>
        <w:r w:rsidR="00300B55">
          <w:rPr>
            <w:noProof/>
            <w:webHidden/>
          </w:rPr>
          <w:tab/>
        </w:r>
        <w:r w:rsidR="00300B55">
          <w:rPr>
            <w:noProof/>
            <w:webHidden/>
          </w:rPr>
          <w:fldChar w:fldCharType="begin"/>
        </w:r>
        <w:r w:rsidR="00300B55">
          <w:rPr>
            <w:noProof/>
            <w:webHidden/>
          </w:rPr>
          <w:instrText xml:space="preserve"> PAGEREF _Toc180497439 \h </w:instrText>
        </w:r>
        <w:r w:rsidR="00300B55">
          <w:rPr>
            <w:noProof/>
            <w:webHidden/>
          </w:rPr>
        </w:r>
        <w:r w:rsidR="00300B55">
          <w:rPr>
            <w:noProof/>
            <w:webHidden/>
          </w:rPr>
          <w:fldChar w:fldCharType="separate"/>
        </w:r>
        <w:r w:rsidR="00411DF3">
          <w:rPr>
            <w:noProof/>
            <w:webHidden/>
          </w:rPr>
          <w:t>58</w:t>
        </w:r>
        <w:r w:rsidR="00300B55">
          <w:rPr>
            <w:noProof/>
            <w:webHidden/>
          </w:rPr>
          <w:fldChar w:fldCharType="end"/>
        </w:r>
      </w:hyperlink>
    </w:p>
    <w:p w14:paraId="3DE8BB20" w14:textId="11A322C2" w:rsidR="00300B55" w:rsidRDefault="00000000">
      <w:pPr>
        <w:pStyle w:val="TOC1"/>
        <w:rPr>
          <w:rFonts w:asciiTheme="minorHAnsi" w:eastAsiaTheme="minorEastAsia" w:hAnsiTheme="minorHAnsi" w:cstheme="minorBidi"/>
          <w:noProof/>
          <w:sz w:val="22"/>
          <w:szCs w:val="22"/>
          <w:lang w:val="en-AU" w:eastAsia="en-AU"/>
        </w:rPr>
      </w:pPr>
      <w:hyperlink w:anchor="_Toc180497440" w:history="1">
        <w:r w:rsidR="00300B55" w:rsidRPr="00E807F5">
          <w:rPr>
            <w:rStyle w:val="Hyperlink"/>
            <w:noProof/>
          </w:rPr>
          <w:t>References</w:t>
        </w:r>
        <w:r w:rsidR="00300B55">
          <w:rPr>
            <w:noProof/>
            <w:webHidden/>
          </w:rPr>
          <w:tab/>
        </w:r>
        <w:r w:rsidR="00300B55">
          <w:rPr>
            <w:noProof/>
            <w:webHidden/>
          </w:rPr>
          <w:fldChar w:fldCharType="begin"/>
        </w:r>
        <w:r w:rsidR="00300B55">
          <w:rPr>
            <w:noProof/>
            <w:webHidden/>
          </w:rPr>
          <w:instrText xml:space="preserve"> PAGEREF _Toc180497440 \h </w:instrText>
        </w:r>
        <w:r w:rsidR="00300B55">
          <w:rPr>
            <w:noProof/>
            <w:webHidden/>
          </w:rPr>
        </w:r>
        <w:r w:rsidR="00300B55">
          <w:rPr>
            <w:noProof/>
            <w:webHidden/>
          </w:rPr>
          <w:fldChar w:fldCharType="separate"/>
        </w:r>
        <w:r w:rsidR="00411DF3">
          <w:rPr>
            <w:noProof/>
            <w:webHidden/>
          </w:rPr>
          <w:t>59</w:t>
        </w:r>
        <w:r w:rsidR="00300B55">
          <w:rPr>
            <w:noProof/>
            <w:webHidden/>
          </w:rPr>
          <w:fldChar w:fldCharType="end"/>
        </w:r>
      </w:hyperlink>
    </w:p>
    <w:p w14:paraId="245F9969" w14:textId="56FEE074" w:rsidR="00300B55" w:rsidRDefault="00000000">
      <w:pPr>
        <w:pStyle w:val="TOC1"/>
        <w:rPr>
          <w:rFonts w:asciiTheme="minorHAnsi" w:eastAsiaTheme="minorEastAsia" w:hAnsiTheme="minorHAnsi" w:cstheme="minorBidi"/>
          <w:noProof/>
          <w:sz w:val="22"/>
          <w:szCs w:val="22"/>
          <w:lang w:val="en-AU" w:eastAsia="en-AU"/>
        </w:rPr>
      </w:pPr>
      <w:hyperlink w:anchor="_Toc180497441" w:history="1">
        <w:r w:rsidR="00300B55" w:rsidRPr="00E807F5">
          <w:rPr>
            <w:rStyle w:val="Hyperlink"/>
            <w:noProof/>
          </w:rPr>
          <w:t>Appendix 1: Useful resources</w:t>
        </w:r>
        <w:r w:rsidR="00300B55">
          <w:rPr>
            <w:noProof/>
            <w:webHidden/>
          </w:rPr>
          <w:tab/>
        </w:r>
        <w:r w:rsidR="00300B55">
          <w:rPr>
            <w:noProof/>
            <w:webHidden/>
          </w:rPr>
          <w:fldChar w:fldCharType="begin"/>
        </w:r>
        <w:r w:rsidR="00300B55">
          <w:rPr>
            <w:noProof/>
            <w:webHidden/>
          </w:rPr>
          <w:instrText xml:space="preserve"> PAGEREF _Toc180497441 \h </w:instrText>
        </w:r>
        <w:r w:rsidR="00300B55">
          <w:rPr>
            <w:noProof/>
            <w:webHidden/>
          </w:rPr>
        </w:r>
        <w:r w:rsidR="00300B55">
          <w:rPr>
            <w:noProof/>
            <w:webHidden/>
          </w:rPr>
          <w:fldChar w:fldCharType="separate"/>
        </w:r>
        <w:r w:rsidR="00411DF3">
          <w:rPr>
            <w:noProof/>
            <w:webHidden/>
          </w:rPr>
          <w:t>60</w:t>
        </w:r>
        <w:r w:rsidR="00300B55">
          <w:rPr>
            <w:noProof/>
            <w:webHidden/>
          </w:rPr>
          <w:fldChar w:fldCharType="end"/>
        </w:r>
      </w:hyperlink>
    </w:p>
    <w:p w14:paraId="028D225F" w14:textId="0D92C528" w:rsidR="00300B55" w:rsidRDefault="00000000">
      <w:pPr>
        <w:pStyle w:val="TOC2"/>
        <w:rPr>
          <w:rFonts w:asciiTheme="minorHAnsi" w:eastAsiaTheme="minorEastAsia" w:hAnsiTheme="minorHAnsi" w:cstheme="minorBidi"/>
          <w:noProof/>
          <w:sz w:val="22"/>
          <w:szCs w:val="22"/>
          <w:lang w:val="en-AU" w:eastAsia="en-AU"/>
        </w:rPr>
      </w:pPr>
      <w:hyperlink w:anchor="_Toc180497442" w:history="1">
        <w:r w:rsidR="00300B55" w:rsidRPr="00E807F5">
          <w:rPr>
            <w:rStyle w:val="Hyperlink"/>
            <w:noProof/>
          </w:rPr>
          <w:t>Published documents</w:t>
        </w:r>
        <w:r w:rsidR="00300B55">
          <w:rPr>
            <w:noProof/>
            <w:webHidden/>
          </w:rPr>
          <w:tab/>
        </w:r>
        <w:r w:rsidR="00300B55">
          <w:rPr>
            <w:noProof/>
            <w:webHidden/>
          </w:rPr>
          <w:fldChar w:fldCharType="begin"/>
        </w:r>
        <w:r w:rsidR="00300B55">
          <w:rPr>
            <w:noProof/>
            <w:webHidden/>
          </w:rPr>
          <w:instrText xml:space="preserve"> PAGEREF _Toc180497442 \h </w:instrText>
        </w:r>
        <w:r w:rsidR="00300B55">
          <w:rPr>
            <w:noProof/>
            <w:webHidden/>
          </w:rPr>
        </w:r>
        <w:r w:rsidR="00300B55">
          <w:rPr>
            <w:noProof/>
            <w:webHidden/>
          </w:rPr>
          <w:fldChar w:fldCharType="separate"/>
        </w:r>
        <w:r w:rsidR="00411DF3">
          <w:rPr>
            <w:noProof/>
            <w:webHidden/>
          </w:rPr>
          <w:t>60</w:t>
        </w:r>
        <w:r w:rsidR="00300B55">
          <w:rPr>
            <w:noProof/>
            <w:webHidden/>
          </w:rPr>
          <w:fldChar w:fldCharType="end"/>
        </w:r>
      </w:hyperlink>
    </w:p>
    <w:p w14:paraId="7B6C4616" w14:textId="38A6363B" w:rsidR="00300B55" w:rsidRDefault="00000000">
      <w:pPr>
        <w:pStyle w:val="TOC2"/>
        <w:rPr>
          <w:rFonts w:asciiTheme="minorHAnsi" w:eastAsiaTheme="minorEastAsia" w:hAnsiTheme="minorHAnsi" w:cstheme="minorBidi"/>
          <w:noProof/>
          <w:sz w:val="22"/>
          <w:szCs w:val="22"/>
          <w:lang w:val="en-AU" w:eastAsia="en-AU"/>
        </w:rPr>
      </w:pPr>
      <w:hyperlink w:anchor="_Toc180497443" w:history="1">
        <w:r w:rsidR="00300B55" w:rsidRPr="00E807F5">
          <w:rPr>
            <w:rStyle w:val="Hyperlink"/>
            <w:noProof/>
          </w:rPr>
          <w:t>Sample forms and checklists</w:t>
        </w:r>
        <w:r w:rsidR="00300B55">
          <w:rPr>
            <w:noProof/>
            <w:webHidden/>
          </w:rPr>
          <w:tab/>
        </w:r>
        <w:r w:rsidR="00300B55">
          <w:rPr>
            <w:noProof/>
            <w:webHidden/>
          </w:rPr>
          <w:fldChar w:fldCharType="begin"/>
        </w:r>
        <w:r w:rsidR="00300B55">
          <w:rPr>
            <w:noProof/>
            <w:webHidden/>
          </w:rPr>
          <w:instrText xml:space="preserve"> PAGEREF _Toc180497443 \h </w:instrText>
        </w:r>
        <w:r w:rsidR="00300B55">
          <w:rPr>
            <w:noProof/>
            <w:webHidden/>
          </w:rPr>
        </w:r>
        <w:r w:rsidR="00300B55">
          <w:rPr>
            <w:noProof/>
            <w:webHidden/>
          </w:rPr>
          <w:fldChar w:fldCharType="separate"/>
        </w:r>
        <w:r w:rsidR="00411DF3">
          <w:rPr>
            <w:noProof/>
            <w:webHidden/>
          </w:rPr>
          <w:t>60</w:t>
        </w:r>
        <w:r w:rsidR="00300B55">
          <w:rPr>
            <w:noProof/>
            <w:webHidden/>
          </w:rPr>
          <w:fldChar w:fldCharType="end"/>
        </w:r>
      </w:hyperlink>
    </w:p>
    <w:p w14:paraId="03C9C750" w14:textId="252F9B82" w:rsidR="00300B55" w:rsidRDefault="00000000">
      <w:pPr>
        <w:pStyle w:val="TOC1"/>
        <w:rPr>
          <w:rFonts w:asciiTheme="minorHAnsi" w:eastAsiaTheme="minorEastAsia" w:hAnsiTheme="minorHAnsi" w:cstheme="minorBidi"/>
          <w:noProof/>
          <w:sz w:val="22"/>
          <w:szCs w:val="22"/>
          <w:lang w:val="en-AU" w:eastAsia="en-AU"/>
        </w:rPr>
      </w:pPr>
      <w:hyperlink w:anchor="_Toc180497444" w:history="1">
        <w:r w:rsidR="00300B55" w:rsidRPr="00E807F5">
          <w:rPr>
            <w:rStyle w:val="Hyperlink"/>
            <w:noProof/>
          </w:rPr>
          <w:t>Appendix 2: Special patient escaped or absent without leave: incident process</w:t>
        </w:r>
        <w:r w:rsidR="00300B55">
          <w:rPr>
            <w:noProof/>
            <w:webHidden/>
          </w:rPr>
          <w:tab/>
        </w:r>
        <w:r w:rsidR="00300B55">
          <w:rPr>
            <w:noProof/>
            <w:webHidden/>
          </w:rPr>
          <w:fldChar w:fldCharType="begin"/>
        </w:r>
        <w:r w:rsidR="00300B55">
          <w:rPr>
            <w:noProof/>
            <w:webHidden/>
          </w:rPr>
          <w:instrText xml:space="preserve"> PAGEREF _Toc180497444 \h </w:instrText>
        </w:r>
        <w:r w:rsidR="00300B55">
          <w:rPr>
            <w:noProof/>
            <w:webHidden/>
          </w:rPr>
        </w:r>
        <w:r w:rsidR="00300B55">
          <w:rPr>
            <w:noProof/>
            <w:webHidden/>
          </w:rPr>
          <w:fldChar w:fldCharType="separate"/>
        </w:r>
        <w:r w:rsidR="00411DF3">
          <w:rPr>
            <w:noProof/>
            <w:webHidden/>
          </w:rPr>
          <w:t>71</w:t>
        </w:r>
        <w:r w:rsidR="00300B55">
          <w:rPr>
            <w:noProof/>
            <w:webHidden/>
          </w:rPr>
          <w:fldChar w:fldCharType="end"/>
        </w:r>
      </w:hyperlink>
    </w:p>
    <w:p w14:paraId="4F9A8942" w14:textId="6EF00247" w:rsidR="00D3124A" w:rsidRDefault="00970185" w:rsidP="00D3124A">
      <w:r>
        <w:rPr>
          <w:rFonts w:ascii="Segoe UI Semibold" w:hAnsi="Segoe UI Semibold"/>
          <w:b/>
          <w:sz w:val="24"/>
        </w:rPr>
        <w:fldChar w:fldCharType="end"/>
      </w:r>
    </w:p>
    <w:p w14:paraId="23879A88" w14:textId="1101CDE7" w:rsidR="00D3124A" w:rsidRDefault="00D3124A" w:rsidP="00D3124A"/>
    <w:p w14:paraId="2440193E" w14:textId="77777777" w:rsidR="00D3124A" w:rsidRDefault="00D3124A" w:rsidP="00D3124A">
      <w:pPr>
        <w:pStyle w:val="TOC1"/>
        <w:keepNext/>
      </w:pPr>
      <w:r>
        <w:t>List of Tables</w:t>
      </w:r>
    </w:p>
    <w:p w14:paraId="7CE847C0" w14:textId="3C6A724F" w:rsidR="0040021E" w:rsidRDefault="0040021E">
      <w:pPr>
        <w:pStyle w:val="TOC3"/>
        <w:rPr>
          <w:rFonts w:asciiTheme="minorHAnsi" w:eastAsiaTheme="minorEastAsia" w:hAnsiTheme="minorHAnsi" w:cstheme="minorBidi"/>
          <w:noProof/>
          <w:kern w:val="2"/>
          <w:sz w:val="22"/>
          <w:szCs w:val="22"/>
          <w:lang w:eastAsia="en-NZ"/>
          <w14:ligatures w14:val="standardContextual"/>
        </w:rPr>
      </w:pPr>
      <w:r>
        <w:rPr>
          <w:sz w:val="20"/>
        </w:rPr>
        <w:fldChar w:fldCharType="begin"/>
      </w:r>
      <w:r>
        <w:rPr>
          <w:sz w:val="20"/>
        </w:rPr>
        <w:instrText xml:space="preserve"> TOC \h \z \t "Table,3" </w:instrText>
      </w:r>
      <w:r>
        <w:rPr>
          <w:sz w:val="20"/>
        </w:rPr>
        <w:fldChar w:fldCharType="separate"/>
      </w:r>
      <w:hyperlink w:anchor="_Toc180593108" w:history="1">
        <w:r w:rsidRPr="001C56ED">
          <w:rPr>
            <w:rStyle w:val="Hyperlink"/>
            <w:noProof/>
          </w:rPr>
          <w:t>Table 1: Common legislative provisions for detaining special patients</w:t>
        </w:r>
        <w:r>
          <w:rPr>
            <w:noProof/>
            <w:webHidden/>
          </w:rPr>
          <w:tab/>
        </w:r>
        <w:r>
          <w:rPr>
            <w:noProof/>
            <w:webHidden/>
          </w:rPr>
          <w:fldChar w:fldCharType="begin"/>
        </w:r>
        <w:r>
          <w:rPr>
            <w:noProof/>
            <w:webHidden/>
          </w:rPr>
          <w:instrText xml:space="preserve"> PAGEREF _Toc180593108 \h </w:instrText>
        </w:r>
        <w:r>
          <w:rPr>
            <w:noProof/>
            <w:webHidden/>
          </w:rPr>
        </w:r>
        <w:r>
          <w:rPr>
            <w:noProof/>
            <w:webHidden/>
          </w:rPr>
          <w:fldChar w:fldCharType="separate"/>
        </w:r>
        <w:r w:rsidR="00411DF3">
          <w:rPr>
            <w:noProof/>
            <w:webHidden/>
          </w:rPr>
          <w:t>1</w:t>
        </w:r>
        <w:r>
          <w:rPr>
            <w:noProof/>
            <w:webHidden/>
          </w:rPr>
          <w:fldChar w:fldCharType="end"/>
        </w:r>
      </w:hyperlink>
    </w:p>
    <w:p w14:paraId="76159392" w14:textId="30AF150A"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09" w:history="1">
        <w:r w:rsidR="0040021E" w:rsidRPr="001C56ED">
          <w:rPr>
            <w:rStyle w:val="Hyperlink"/>
            <w:noProof/>
          </w:rPr>
          <w:t>Table 2: Information to include in special patient review panel reports</w:t>
        </w:r>
        <w:r w:rsidR="0040021E">
          <w:rPr>
            <w:noProof/>
            <w:webHidden/>
          </w:rPr>
          <w:tab/>
        </w:r>
        <w:r w:rsidR="0040021E">
          <w:rPr>
            <w:noProof/>
            <w:webHidden/>
          </w:rPr>
          <w:fldChar w:fldCharType="begin"/>
        </w:r>
        <w:r w:rsidR="0040021E">
          <w:rPr>
            <w:noProof/>
            <w:webHidden/>
          </w:rPr>
          <w:instrText xml:space="preserve"> PAGEREF _Toc180593109 \h </w:instrText>
        </w:r>
        <w:r w:rsidR="0040021E">
          <w:rPr>
            <w:noProof/>
            <w:webHidden/>
          </w:rPr>
        </w:r>
        <w:r w:rsidR="0040021E">
          <w:rPr>
            <w:noProof/>
            <w:webHidden/>
          </w:rPr>
          <w:fldChar w:fldCharType="separate"/>
        </w:r>
        <w:r w:rsidR="00411DF3">
          <w:rPr>
            <w:noProof/>
            <w:webHidden/>
          </w:rPr>
          <w:t>13</w:t>
        </w:r>
        <w:r w:rsidR="0040021E">
          <w:rPr>
            <w:noProof/>
            <w:webHidden/>
          </w:rPr>
          <w:fldChar w:fldCharType="end"/>
        </w:r>
      </w:hyperlink>
    </w:p>
    <w:p w14:paraId="34CB4DF0" w14:textId="35A3BB3A"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0" w:history="1">
        <w:r w:rsidR="0040021E" w:rsidRPr="001C56ED">
          <w:rPr>
            <w:rStyle w:val="Hyperlink"/>
            <w:noProof/>
          </w:rPr>
          <w:t>Table 3: Leave progression</w:t>
        </w:r>
        <w:r w:rsidR="0040021E">
          <w:rPr>
            <w:noProof/>
            <w:webHidden/>
          </w:rPr>
          <w:tab/>
        </w:r>
        <w:r w:rsidR="0040021E">
          <w:rPr>
            <w:noProof/>
            <w:webHidden/>
          </w:rPr>
          <w:fldChar w:fldCharType="begin"/>
        </w:r>
        <w:r w:rsidR="0040021E">
          <w:rPr>
            <w:noProof/>
            <w:webHidden/>
          </w:rPr>
          <w:instrText xml:space="preserve"> PAGEREF _Toc180593110 \h </w:instrText>
        </w:r>
        <w:r w:rsidR="0040021E">
          <w:rPr>
            <w:noProof/>
            <w:webHidden/>
          </w:rPr>
        </w:r>
        <w:r w:rsidR="0040021E">
          <w:rPr>
            <w:noProof/>
            <w:webHidden/>
          </w:rPr>
          <w:fldChar w:fldCharType="separate"/>
        </w:r>
        <w:r w:rsidR="00411DF3">
          <w:rPr>
            <w:noProof/>
            <w:webHidden/>
          </w:rPr>
          <w:t>15</w:t>
        </w:r>
        <w:r w:rsidR="0040021E">
          <w:rPr>
            <w:noProof/>
            <w:webHidden/>
          </w:rPr>
          <w:fldChar w:fldCharType="end"/>
        </w:r>
      </w:hyperlink>
    </w:p>
    <w:p w14:paraId="7679BA70" w14:textId="27B1561A"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1" w:history="1">
        <w:r w:rsidR="0040021E" w:rsidRPr="001C56ED">
          <w:rPr>
            <w:rStyle w:val="Hyperlink"/>
            <w:noProof/>
          </w:rPr>
          <w:t>Table 4: Information in support of a non-emergency transfer of a special patient under section 49 applications</w:t>
        </w:r>
        <w:r w:rsidR="0040021E">
          <w:rPr>
            <w:noProof/>
            <w:webHidden/>
          </w:rPr>
          <w:tab/>
        </w:r>
        <w:r w:rsidR="0040021E">
          <w:rPr>
            <w:noProof/>
            <w:webHidden/>
          </w:rPr>
          <w:fldChar w:fldCharType="begin"/>
        </w:r>
        <w:r w:rsidR="0040021E">
          <w:rPr>
            <w:noProof/>
            <w:webHidden/>
          </w:rPr>
          <w:instrText xml:space="preserve"> PAGEREF _Toc180593111 \h </w:instrText>
        </w:r>
        <w:r w:rsidR="0040021E">
          <w:rPr>
            <w:noProof/>
            <w:webHidden/>
          </w:rPr>
        </w:r>
        <w:r w:rsidR="0040021E">
          <w:rPr>
            <w:noProof/>
            <w:webHidden/>
          </w:rPr>
          <w:fldChar w:fldCharType="separate"/>
        </w:r>
        <w:r w:rsidR="00411DF3">
          <w:rPr>
            <w:noProof/>
            <w:webHidden/>
          </w:rPr>
          <w:t>20</w:t>
        </w:r>
        <w:r w:rsidR="0040021E">
          <w:rPr>
            <w:noProof/>
            <w:webHidden/>
          </w:rPr>
          <w:fldChar w:fldCharType="end"/>
        </w:r>
      </w:hyperlink>
    </w:p>
    <w:p w14:paraId="36F25B1E" w14:textId="2D0B0DA6"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2" w:history="1">
        <w:r w:rsidR="0040021E" w:rsidRPr="001C56ED">
          <w:rPr>
            <w:rStyle w:val="Hyperlink"/>
            <w:noProof/>
          </w:rPr>
          <w:t>Table 5: Information in support of planned leave and ground access applications</w:t>
        </w:r>
        <w:r w:rsidR="0040021E">
          <w:rPr>
            <w:noProof/>
            <w:webHidden/>
          </w:rPr>
          <w:tab/>
        </w:r>
        <w:r w:rsidR="0040021E">
          <w:rPr>
            <w:noProof/>
            <w:webHidden/>
          </w:rPr>
          <w:fldChar w:fldCharType="begin"/>
        </w:r>
        <w:r w:rsidR="0040021E">
          <w:rPr>
            <w:noProof/>
            <w:webHidden/>
          </w:rPr>
          <w:instrText xml:space="preserve"> PAGEREF _Toc180593112 \h </w:instrText>
        </w:r>
        <w:r w:rsidR="0040021E">
          <w:rPr>
            <w:noProof/>
            <w:webHidden/>
          </w:rPr>
        </w:r>
        <w:r w:rsidR="0040021E">
          <w:rPr>
            <w:noProof/>
            <w:webHidden/>
          </w:rPr>
          <w:fldChar w:fldCharType="separate"/>
        </w:r>
        <w:r w:rsidR="00411DF3">
          <w:rPr>
            <w:noProof/>
            <w:webHidden/>
          </w:rPr>
          <w:t>23</w:t>
        </w:r>
        <w:r w:rsidR="0040021E">
          <w:rPr>
            <w:noProof/>
            <w:webHidden/>
          </w:rPr>
          <w:fldChar w:fldCharType="end"/>
        </w:r>
      </w:hyperlink>
    </w:p>
    <w:p w14:paraId="0A9E4E44" w14:textId="4AD4422C"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3" w:history="1">
        <w:r w:rsidR="0040021E" w:rsidRPr="001C56ED">
          <w:rPr>
            <w:rStyle w:val="Hyperlink"/>
            <w:noProof/>
          </w:rPr>
          <w:t>Table 6: Information in support of applications for medical and dental appointments</w:t>
        </w:r>
        <w:r w:rsidR="0040021E">
          <w:rPr>
            <w:noProof/>
            <w:webHidden/>
          </w:rPr>
          <w:tab/>
        </w:r>
        <w:r w:rsidR="0040021E">
          <w:rPr>
            <w:noProof/>
            <w:webHidden/>
          </w:rPr>
          <w:fldChar w:fldCharType="begin"/>
        </w:r>
        <w:r w:rsidR="0040021E">
          <w:rPr>
            <w:noProof/>
            <w:webHidden/>
          </w:rPr>
          <w:instrText xml:space="preserve"> PAGEREF _Toc180593113 \h </w:instrText>
        </w:r>
        <w:r w:rsidR="0040021E">
          <w:rPr>
            <w:noProof/>
            <w:webHidden/>
          </w:rPr>
        </w:r>
        <w:r w:rsidR="0040021E">
          <w:rPr>
            <w:noProof/>
            <w:webHidden/>
          </w:rPr>
          <w:fldChar w:fldCharType="separate"/>
        </w:r>
        <w:r w:rsidR="00411DF3">
          <w:rPr>
            <w:noProof/>
            <w:webHidden/>
          </w:rPr>
          <w:t>25</w:t>
        </w:r>
        <w:r w:rsidR="0040021E">
          <w:rPr>
            <w:noProof/>
            <w:webHidden/>
          </w:rPr>
          <w:fldChar w:fldCharType="end"/>
        </w:r>
      </w:hyperlink>
    </w:p>
    <w:p w14:paraId="762D3B4D" w14:textId="098F165E"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4" w:history="1">
        <w:r w:rsidR="0040021E" w:rsidRPr="001C56ED">
          <w:rPr>
            <w:rStyle w:val="Hyperlink"/>
            <w:noProof/>
          </w:rPr>
          <w:t>Table 7: Information in support of urgent admissions to hospital</w:t>
        </w:r>
        <w:r w:rsidR="0040021E">
          <w:rPr>
            <w:noProof/>
            <w:webHidden/>
          </w:rPr>
          <w:tab/>
        </w:r>
        <w:r w:rsidR="0040021E">
          <w:rPr>
            <w:noProof/>
            <w:webHidden/>
          </w:rPr>
          <w:fldChar w:fldCharType="begin"/>
        </w:r>
        <w:r w:rsidR="0040021E">
          <w:rPr>
            <w:noProof/>
            <w:webHidden/>
          </w:rPr>
          <w:instrText xml:space="preserve"> PAGEREF _Toc180593114 \h </w:instrText>
        </w:r>
        <w:r w:rsidR="0040021E">
          <w:rPr>
            <w:noProof/>
            <w:webHidden/>
          </w:rPr>
        </w:r>
        <w:r w:rsidR="0040021E">
          <w:rPr>
            <w:noProof/>
            <w:webHidden/>
          </w:rPr>
          <w:fldChar w:fldCharType="separate"/>
        </w:r>
        <w:r w:rsidR="00411DF3">
          <w:rPr>
            <w:noProof/>
            <w:webHidden/>
          </w:rPr>
          <w:t>25</w:t>
        </w:r>
        <w:r w:rsidR="0040021E">
          <w:rPr>
            <w:noProof/>
            <w:webHidden/>
          </w:rPr>
          <w:fldChar w:fldCharType="end"/>
        </w:r>
      </w:hyperlink>
    </w:p>
    <w:p w14:paraId="4048E671" w14:textId="7DC4A5DA"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5" w:history="1">
        <w:r w:rsidR="0040021E" w:rsidRPr="001C56ED">
          <w:rPr>
            <w:rStyle w:val="Hyperlink"/>
            <w:noProof/>
          </w:rPr>
          <w:t>Table 8: Information in support of applications for ministerial long leave</w:t>
        </w:r>
        <w:r w:rsidR="0040021E">
          <w:rPr>
            <w:noProof/>
            <w:webHidden/>
          </w:rPr>
          <w:tab/>
        </w:r>
        <w:r w:rsidR="0040021E">
          <w:rPr>
            <w:noProof/>
            <w:webHidden/>
          </w:rPr>
          <w:fldChar w:fldCharType="begin"/>
        </w:r>
        <w:r w:rsidR="0040021E">
          <w:rPr>
            <w:noProof/>
            <w:webHidden/>
          </w:rPr>
          <w:instrText xml:space="preserve"> PAGEREF _Toc180593115 \h </w:instrText>
        </w:r>
        <w:r w:rsidR="0040021E">
          <w:rPr>
            <w:noProof/>
            <w:webHidden/>
          </w:rPr>
        </w:r>
        <w:r w:rsidR="0040021E">
          <w:rPr>
            <w:noProof/>
            <w:webHidden/>
          </w:rPr>
          <w:fldChar w:fldCharType="separate"/>
        </w:r>
        <w:r w:rsidR="00411DF3">
          <w:rPr>
            <w:noProof/>
            <w:webHidden/>
          </w:rPr>
          <w:t>31</w:t>
        </w:r>
        <w:r w:rsidR="0040021E">
          <w:rPr>
            <w:noProof/>
            <w:webHidden/>
          </w:rPr>
          <w:fldChar w:fldCharType="end"/>
        </w:r>
      </w:hyperlink>
    </w:p>
    <w:p w14:paraId="47BD656D" w14:textId="49D02C4A"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6" w:history="1">
        <w:r w:rsidR="0040021E" w:rsidRPr="001C56ED">
          <w:rPr>
            <w:rStyle w:val="Hyperlink"/>
            <w:noProof/>
          </w:rPr>
          <w:t>Table 9: Information in support of extension of leave</w:t>
        </w:r>
        <w:r w:rsidR="0040021E">
          <w:rPr>
            <w:noProof/>
            <w:webHidden/>
          </w:rPr>
          <w:tab/>
        </w:r>
        <w:r w:rsidR="0040021E">
          <w:rPr>
            <w:noProof/>
            <w:webHidden/>
          </w:rPr>
          <w:fldChar w:fldCharType="begin"/>
        </w:r>
        <w:r w:rsidR="0040021E">
          <w:rPr>
            <w:noProof/>
            <w:webHidden/>
          </w:rPr>
          <w:instrText xml:space="preserve"> PAGEREF _Toc180593116 \h </w:instrText>
        </w:r>
        <w:r w:rsidR="0040021E">
          <w:rPr>
            <w:noProof/>
            <w:webHidden/>
          </w:rPr>
        </w:r>
        <w:r w:rsidR="0040021E">
          <w:rPr>
            <w:noProof/>
            <w:webHidden/>
          </w:rPr>
          <w:fldChar w:fldCharType="separate"/>
        </w:r>
        <w:r w:rsidR="00411DF3">
          <w:rPr>
            <w:noProof/>
            <w:webHidden/>
          </w:rPr>
          <w:t>32</w:t>
        </w:r>
        <w:r w:rsidR="0040021E">
          <w:rPr>
            <w:noProof/>
            <w:webHidden/>
          </w:rPr>
          <w:fldChar w:fldCharType="end"/>
        </w:r>
      </w:hyperlink>
    </w:p>
    <w:p w14:paraId="47E8E169" w14:textId="772A60BE"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7" w:history="1">
        <w:r w:rsidR="0040021E" w:rsidRPr="001C56ED">
          <w:rPr>
            <w:rStyle w:val="Hyperlink"/>
            <w:noProof/>
          </w:rPr>
          <w:t>Table 10: Information to support cancellation of ministerial long leave</w:t>
        </w:r>
        <w:r w:rsidR="0040021E">
          <w:rPr>
            <w:noProof/>
            <w:webHidden/>
          </w:rPr>
          <w:tab/>
        </w:r>
        <w:r w:rsidR="0040021E">
          <w:rPr>
            <w:noProof/>
            <w:webHidden/>
          </w:rPr>
          <w:fldChar w:fldCharType="begin"/>
        </w:r>
        <w:r w:rsidR="0040021E">
          <w:rPr>
            <w:noProof/>
            <w:webHidden/>
          </w:rPr>
          <w:instrText xml:space="preserve"> PAGEREF _Toc180593117 \h </w:instrText>
        </w:r>
        <w:r w:rsidR="0040021E">
          <w:rPr>
            <w:noProof/>
            <w:webHidden/>
          </w:rPr>
        </w:r>
        <w:r w:rsidR="0040021E">
          <w:rPr>
            <w:noProof/>
            <w:webHidden/>
          </w:rPr>
          <w:fldChar w:fldCharType="separate"/>
        </w:r>
        <w:r w:rsidR="00411DF3">
          <w:rPr>
            <w:noProof/>
            <w:webHidden/>
          </w:rPr>
          <w:t>33</w:t>
        </w:r>
        <w:r w:rsidR="0040021E">
          <w:rPr>
            <w:noProof/>
            <w:webHidden/>
          </w:rPr>
          <w:fldChar w:fldCharType="end"/>
        </w:r>
      </w:hyperlink>
    </w:p>
    <w:p w14:paraId="4C1C58AD" w14:textId="1739BABD"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8" w:history="1">
        <w:r w:rsidR="0040021E" w:rsidRPr="001C56ED">
          <w:rPr>
            <w:rStyle w:val="Hyperlink"/>
            <w:noProof/>
          </w:rPr>
          <w:t>Table 11: Information in support of a re-application for ministerial long leave following cancellation</w:t>
        </w:r>
        <w:r w:rsidR="0040021E">
          <w:rPr>
            <w:noProof/>
            <w:webHidden/>
          </w:rPr>
          <w:tab/>
        </w:r>
        <w:r w:rsidR="0040021E">
          <w:rPr>
            <w:noProof/>
            <w:webHidden/>
          </w:rPr>
          <w:fldChar w:fldCharType="begin"/>
        </w:r>
        <w:r w:rsidR="0040021E">
          <w:rPr>
            <w:noProof/>
            <w:webHidden/>
          </w:rPr>
          <w:instrText xml:space="preserve"> PAGEREF _Toc180593118 \h </w:instrText>
        </w:r>
        <w:r w:rsidR="0040021E">
          <w:rPr>
            <w:noProof/>
            <w:webHidden/>
          </w:rPr>
        </w:r>
        <w:r w:rsidR="0040021E">
          <w:rPr>
            <w:noProof/>
            <w:webHidden/>
          </w:rPr>
          <w:fldChar w:fldCharType="separate"/>
        </w:r>
        <w:r w:rsidR="00411DF3">
          <w:rPr>
            <w:noProof/>
            <w:webHidden/>
          </w:rPr>
          <w:t>34</w:t>
        </w:r>
        <w:r w:rsidR="0040021E">
          <w:rPr>
            <w:noProof/>
            <w:webHidden/>
          </w:rPr>
          <w:fldChar w:fldCharType="end"/>
        </w:r>
      </w:hyperlink>
    </w:p>
    <w:p w14:paraId="7682D563" w14:textId="31821CE1"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19" w:history="1">
        <w:r w:rsidR="0040021E" w:rsidRPr="001C56ED">
          <w:rPr>
            <w:rStyle w:val="Hyperlink"/>
            <w:noProof/>
          </w:rPr>
          <w:t>Table 12: Information to support a request for change of legal status (acquitted on account of insanity)</w:t>
        </w:r>
        <w:r w:rsidR="0040021E">
          <w:rPr>
            <w:noProof/>
            <w:webHidden/>
          </w:rPr>
          <w:tab/>
        </w:r>
        <w:r w:rsidR="0040021E">
          <w:rPr>
            <w:noProof/>
            <w:webHidden/>
          </w:rPr>
          <w:fldChar w:fldCharType="begin"/>
        </w:r>
        <w:r w:rsidR="0040021E">
          <w:rPr>
            <w:noProof/>
            <w:webHidden/>
          </w:rPr>
          <w:instrText xml:space="preserve"> PAGEREF _Toc180593119 \h </w:instrText>
        </w:r>
        <w:r w:rsidR="0040021E">
          <w:rPr>
            <w:noProof/>
            <w:webHidden/>
          </w:rPr>
        </w:r>
        <w:r w:rsidR="0040021E">
          <w:rPr>
            <w:noProof/>
            <w:webHidden/>
          </w:rPr>
          <w:fldChar w:fldCharType="separate"/>
        </w:r>
        <w:r w:rsidR="00411DF3">
          <w:rPr>
            <w:noProof/>
            <w:webHidden/>
          </w:rPr>
          <w:t>37</w:t>
        </w:r>
        <w:r w:rsidR="0040021E">
          <w:rPr>
            <w:noProof/>
            <w:webHidden/>
          </w:rPr>
          <w:fldChar w:fldCharType="end"/>
        </w:r>
      </w:hyperlink>
    </w:p>
    <w:p w14:paraId="1441306D" w14:textId="331D6E55"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20" w:history="1">
        <w:r w:rsidR="0040021E" w:rsidRPr="001C56ED">
          <w:rPr>
            <w:rStyle w:val="Hyperlink"/>
            <w:noProof/>
          </w:rPr>
          <w:t>Table 13: Information to support a request for change of status for a special patient now fit to stand trial</w:t>
        </w:r>
        <w:r w:rsidR="0040021E">
          <w:rPr>
            <w:noProof/>
            <w:webHidden/>
          </w:rPr>
          <w:tab/>
        </w:r>
        <w:r w:rsidR="0040021E">
          <w:rPr>
            <w:noProof/>
            <w:webHidden/>
          </w:rPr>
          <w:fldChar w:fldCharType="begin"/>
        </w:r>
        <w:r w:rsidR="0040021E">
          <w:rPr>
            <w:noProof/>
            <w:webHidden/>
          </w:rPr>
          <w:instrText xml:space="preserve"> PAGEREF _Toc180593120 \h </w:instrText>
        </w:r>
        <w:r w:rsidR="0040021E">
          <w:rPr>
            <w:noProof/>
            <w:webHidden/>
          </w:rPr>
        </w:r>
        <w:r w:rsidR="0040021E">
          <w:rPr>
            <w:noProof/>
            <w:webHidden/>
          </w:rPr>
          <w:fldChar w:fldCharType="separate"/>
        </w:r>
        <w:r w:rsidR="00411DF3">
          <w:rPr>
            <w:noProof/>
            <w:webHidden/>
          </w:rPr>
          <w:t>39</w:t>
        </w:r>
        <w:r w:rsidR="0040021E">
          <w:rPr>
            <w:noProof/>
            <w:webHidden/>
          </w:rPr>
          <w:fldChar w:fldCharType="end"/>
        </w:r>
      </w:hyperlink>
    </w:p>
    <w:p w14:paraId="23EB8A02" w14:textId="2AF2C415"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21" w:history="1">
        <w:r w:rsidR="0040021E" w:rsidRPr="001C56ED">
          <w:rPr>
            <w:rStyle w:val="Hyperlink"/>
            <w:noProof/>
          </w:rPr>
          <w:t>Table 14: Information to support a change of status for a special patient at the end of the maximum period of detention</w:t>
        </w:r>
        <w:r w:rsidR="0040021E">
          <w:rPr>
            <w:noProof/>
            <w:webHidden/>
          </w:rPr>
          <w:tab/>
        </w:r>
        <w:r w:rsidR="0040021E">
          <w:rPr>
            <w:noProof/>
            <w:webHidden/>
          </w:rPr>
          <w:fldChar w:fldCharType="begin"/>
        </w:r>
        <w:r w:rsidR="0040021E">
          <w:rPr>
            <w:noProof/>
            <w:webHidden/>
          </w:rPr>
          <w:instrText xml:space="preserve"> PAGEREF _Toc180593121 \h </w:instrText>
        </w:r>
        <w:r w:rsidR="0040021E">
          <w:rPr>
            <w:noProof/>
            <w:webHidden/>
          </w:rPr>
        </w:r>
        <w:r w:rsidR="0040021E">
          <w:rPr>
            <w:noProof/>
            <w:webHidden/>
          </w:rPr>
          <w:fldChar w:fldCharType="separate"/>
        </w:r>
        <w:r w:rsidR="00411DF3">
          <w:rPr>
            <w:noProof/>
            <w:webHidden/>
          </w:rPr>
          <w:t>40</w:t>
        </w:r>
        <w:r w:rsidR="0040021E">
          <w:rPr>
            <w:noProof/>
            <w:webHidden/>
          </w:rPr>
          <w:fldChar w:fldCharType="end"/>
        </w:r>
      </w:hyperlink>
    </w:p>
    <w:p w14:paraId="1E1A4259" w14:textId="7C63936E"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22" w:history="1">
        <w:r w:rsidR="0040021E" w:rsidRPr="001C56ED">
          <w:rPr>
            <w:rStyle w:val="Hyperlink"/>
            <w:noProof/>
          </w:rPr>
          <w:t>Table 15: Protocol for special patients and special care recipients approaching maximum detention dates</w:t>
        </w:r>
        <w:r w:rsidR="0040021E">
          <w:rPr>
            <w:noProof/>
            <w:webHidden/>
          </w:rPr>
          <w:tab/>
        </w:r>
        <w:r w:rsidR="0040021E">
          <w:rPr>
            <w:noProof/>
            <w:webHidden/>
          </w:rPr>
          <w:fldChar w:fldCharType="begin"/>
        </w:r>
        <w:r w:rsidR="0040021E">
          <w:rPr>
            <w:noProof/>
            <w:webHidden/>
          </w:rPr>
          <w:instrText xml:space="preserve"> PAGEREF _Toc180593122 \h </w:instrText>
        </w:r>
        <w:r w:rsidR="0040021E">
          <w:rPr>
            <w:noProof/>
            <w:webHidden/>
          </w:rPr>
        </w:r>
        <w:r w:rsidR="0040021E">
          <w:rPr>
            <w:noProof/>
            <w:webHidden/>
          </w:rPr>
          <w:fldChar w:fldCharType="separate"/>
        </w:r>
        <w:r w:rsidR="00411DF3">
          <w:rPr>
            <w:noProof/>
            <w:webHidden/>
          </w:rPr>
          <w:t>41</w:t>
        </w:r>
        <w:r w:rsidR="0040021E">
          <w:rPr>
            <w:noProof/>
            <w:webHidden/>
          </w:rPr>
          <w:fldChar w:fldCharType="end"/>
        </w:r>
      </w:hyperlink>
    </w:p>
    <w:p w14:paraId="70701F14" w14:textId="2F317C14"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23" w:history="1">
        <w:r w:rsidR="0040021E" w:rsidRPr="001C56ED">
          <w:rPr>
            <w:rStyle w:val="Hyperlink"/>
            <w:noProof/>
          </w:rPr>
          <w:t>Table 16: Information to support a request for change of status for a patient who is unfit to stand trial but no longer needs to be detained as a special patient</w:t>
        </w:r>
        <w:r w:rsidR="0040021E">
          <w:rPr>
            <w:noProof/>
            <w:webHidden/>
          </w:rPr>
          <w:tab/>
        </w:r>
        <w:r w:rsidR="0040021E">
          <w:rPr>
            <w:noProof/>
            <w:webHidden/>
          </w:rPr>
          <w:fldChar w:fldCharType="begin"/>
        </w:r>
        <w:r w:rsidR="0040021E">
          <w:rPr>
            <w:noProof/>
            <w:webHidden/>
          </w:rPr>
          <w:instrText xml:space="preserve"> PAGEREF _Toc180593123 \h </w:instrText>
        </w:r>
        <w:r w:rsidR="0040021E">
          <w:rPr>
            <w:noProof/>
            <w:webHidden/>
          </w:rPr>
        </w:r>
        <w:r w:rsidR="0040021E">
          <w:rPr>
            <w:noProof/>
            <w:webHidden/>
          </w:rPr>
          <w:fldChar w:fldCharType="separate"/>
        </w:r>
        <w:r w:rsidR="00411DF3">
          <w:rPr>
            <w:noProof/>
            <w:webHidden/>
          </w:rPr>
          <w:t>42</w:t>
        </w:r>
        <w:r w:rsidR="0040021E">
          <w:rPr>
            <w:noProof/>
            <w:webHidden/>
          </w:rPr>
          <w:fldChar w:fldCharType="end"/>
        </w:r>
      </w:hyperlink>
    </w:p>
    <w:p w14:paraId="18653ECD" w14:textId="6307BEA5"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24" w:history="1">
        <w:r w:rsidR="0040021E" w:rsidRPr="001C56ED">
          <w:rPr>
            <w:rStyle w:val="Hyperlink"/>
            <w:noProof/>
          </w:rPr>
          <w:t>Table 17: Information to support an application for restricted patient status</w:t>
        </w:r>
        <w:r w:rsidR="0040021E">
          <w:rPr>
            <w:noProof/>
            <w:webHidden/>
          </w:rPr>
          <w:tab/>
        </w:r>
        <w:r w:rsidR="0040021E">
          <w:rPr>
            <w:noProof/>
            <w:webHidden/>
          </w:rPr>
          <w:fldChar w:fldCharType="begin"/>
        </w:r>
        <w:r w:rsidR="0040021E">
          <w:rPr>
            <w:noProof/>
            <w:webHidden/>
          </w:rPr>
          <w:instrText xml:space="preserve"> PAGEREF _Toc180593124 \h </w:instrText>
        </w:r>
        <w:r w:rsidR="0040021E">
          <w:rPr>
            <w:noProof/>
            <w:webHidden/>
          </w:rPr>
        </w:r>
        <w:r w:rsidR="0040021E">
          <w:rPr>
            <w:noProof/>
            <w:webHidden/>
          </w:rPr>
          <w:fldChar w:fldCharType="separate"/>
        </w:r>
        <w:r w:rsidR="00411DF3">
          <w:rPr>
            <w:noProof/>
            <w:webHidden/>
          </w:rPr>
          <w:t>48</w:t>
        </w:r>
        <w:r w:rsidR="0040021E">
          <w:rPr>
            <w:noProof/>
            <w:webHidden/>
          </w:rPr>
          <w:fldChar w:fldCharType="end"/>
        </w:r>
      </w:hyperlink>
    </w:p>
    <w:p w14:paraId="7F26EDC0" w14:textId="4861A3C8"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25" w:history="1">
        <w:r w:rsidR="0040021E" w:rsidRPr="001C56ED">
          <w:rPr>
            <w:rStyle w:val="Hyperlink"/>
            <w:noProof/>
          </w:rPr>
          <w:t>Table 18: Information to support a change of status for a restricted patient who is fit to be released from compulsory treatment status</w:t>
        </w:r>
        <w:r w:rsidR="0040021E">
          <w:rPr>
            <w:noProof/>
            <w:webHidden/>
          </w:rPr>
          <w:tab/>
        </w:r>
        <w:r w:rsidR="0040021E">
          <w:rPr>
            <w:noProof/>
            <w:webHidden/>
          </w:rPr>
          <w:fldChar w:fldCharType="begin"/>
        </w:r>
        <w:r w:rsidR="0040021E">
          <w:rPr>
            <w:noProof/>
            <w:webHidden/>
          </w:rPr>
          <w:instrText xml:space="preserve"> PAGEREF _Toc180593125 \h </w:instrText>
        </w:r>
        <w:r w:rsidR="0040021E">
          <w:rPr>
            <w:noProof/>
            <w:webHidden/>
          </w:rPr>
        </w:r>
        <w:r w:rsidR="0040021E">
          <w:rPr>
            <w:noProof/>
            <w:webHidden/>
          </w:rPr>
          <w:fldChar w:fldCharType="separate"/>
        </w:r>
        <w:r w:rsidR="00411DF3">
          <w:rPr>
            <w:noProof/>
            <w:webHidden/>
          </w:rPr>
          <w:t>51</w:t>
        </w:r>
        <w:r w:rsidR="0040021E">
          <w:rPr>
            <w:noProof/>
            <w:webHidden/>
          </w:rPr>
          <w:fldChar w:fldCharType="end"/>
        </w:r>
      </w:hyperlink>
    </w:p>
    <w:p w14:paraId="137BD032" w14:textId="5C7837B2"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26" w:history="1">
        <w:r w:rsidR="0040021E" w:rsidRPr="001C56ED">
          <w:rPr>
            <w:rStyle w:val="Hyperlink"/>
            <w:noProof/>
          </w:rPr>
          <w:t>Table 19: Information to support a change of status for a patient who is not fit to be released from compulsory status, but no longer needs to be a restricted patient</w:t>
        </w:r>
        <w:r w:rsidR="0040021E">
          <w:rPr>
            <w:noProof/>
            <w:webHidden/>
          </w:rPr>
          <w:tab/>
        </w:r>
        <w:r w:rsidR="0040021E">
          <w:rPr>
            <w:noProof/>
            <w:webHidden/>
          </w:rPr>
          <w:fldChar w:fldCharType="begin"/>
        </w:r>
        <w:r w:rsidR="0040021E">
          <w:rPr>
            <w:noProof/>
            <w:webHidden/>
          </w:rPr>
          <w:instrText xml:space="preserve"> PAGEREF _Toc180593126 \h </w:instrText>
        </w:r>
        <w:r w:rsidR="0040021E">
          <w:rPr>
            <w:noProof/>
            <w:webHidden/>
          </w:rPr>
        </w:r>
        <w:r w:rsidR="0040021E">
          <w:rPr>
            <w:noProof/>
            <w:webHidden/>
          </w:rPr>
          <w:fldChar w:fldCharType="separate"/>
        </w:r>
        <w:r w:rsidR="00411DF3">
          <w:rPr>
            <w:noProof/>
            <w:webHidden/>
          </w:rPr>
          <w:t>52</w:t>
        </w:r>
        <w:r w:rsidR="0040021E">
          <w:rPr>
            <w:noProof/>
            <w:webHidden/>
          </w:rPr>
          <w:fldChar w:fldCharType="end"/>
        </w:r>
      </w:hyperlink>
    </w:p>
    <w:p w14:paraId="0FEEC1F1" w14:textId="3AD3DE3C" w:rsidR="0040021E"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0593127" w:history="1">
        <w:r w:rsidR="0040021E" w:rsidRPr="001C56ED">
          <w:rPr>
            <w:rStyle w:val="Hyperlink"/>
            <w:noProof/>
          </w:rPr>
          <w:t>Table 20: Information to support a request for a patient to be returned to prison</w:t>
        </w:r>
        <w:r w:rsidR="0040021E">
          <w:rPr>
            <w:noProof/>
            <w:webHidden/>
          </w:rPr>
          <w:tab/>
        </w:r>
        <w:r w:rsidR="0040021E">
          <w:rPr>
            <w:noProof/>
            <w:webHidden/>
          </w:rPr>
          <w:fldChar w:fldCharType="begin"/>
        </w:r>
        <w:r w:rsidR="0040021E">
          <w:rPr>
            <w:noProof/>
            <w:webHidden/>
          </w:rPr>
          <w:instrText xml:space="preserve"> PAGEREF _Toc180593127 \h </w:instrText>
        </w:r>
        <w:r w:rsidR="0040021E">
          <w:rPr>
            <w:noProof/>
            <w:webHidden/>
          </w:rPr>
        </w:r>
        <w:r w:rsidR="0040021E">
          <w:rPr>
            <w:noProof/>
            <w:webHidden/>
          </w:rPr>
          <w:fldChar w:fldCharType="separate"/>
        </w:r>
        <w:r w:rsidR="00411DF3">
          <w:rPr>
            <w:noProof/>
            <w:webHidden/>
          </w:rPr>
          <w:t>54</w:t>
        </w:r>
        <w:r w:rsidR="0040021E">
          <w:rPr>
            <w:noProof/>
            <w:webHidden/>
          </w:rPr>
          <w:fldChar w:fldCharType="end"/>
        </w:r>
      </w:hyperlink>
    </w:p>
    <w:p w14:paraId="7E8774FD" w14:textId="559301BB" w:rsidR="008A0B8F" w:rsidRDefault="0040021E" w:rsidP="00025FEB">
      <w:pPr>
        <w:tabs>
          <w:tab w:val="right" w:pos="7655"/>
        </w:tabs>
        <w:spacing w:before="120"/>
        <w:ind w:right="424"/>
        <w:sectPr w:rsidR="008A0B8F" w:rsidSect="00D3124A">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r>
        <w:rPr>
          <w:sz w:val="20"/>
        </w:rPr>
        <w:fldChar w:fldCharType="end"/>
      </w:r>
    </w:p>
    <w:p w14:paraId="2DE7E214" w14:textId="77777777" w:rsidR="00025FEB" w:rsidRPr="0043478F" w:rsidRDefault="00025FEB" w:rsidP="00025FEB">
      <w:pPr>
        <w:pStyle w:val="Heading1"/>
        <w:numPr>
          <w:ilvl w:val="0"/>
          <w:numId w:val="0"/>
        </w:numPr>
        <w:ind w:left="1134" w:hanging="1134"/>
        <w:rPr>
          <w:spacing w:val="0"/>
        </w:rPr>
      </w:pPr>
      <w:bookmarkStart w:id="8" w:name="_Toc61960267"/>
      <w:bookmarkStart w:id="9" w:name="_Toc63240798"/>
      <w:bookmarkStart w:id="10" w:name="_Toc112862036"/>
      <w:bookmarkStart w:id="11" w:name="_Toc180497386"/>
      <w:bookmarkStart w:id="12" w:name="_Hlk112947477"/>
      <w:bookmarkEnd w:id="8"/>
      <w:bookmarkEnd w:id="9"/>
      <w:r w:rsidRPr="00121607">
        <w:rPr>
          <w:spacing w:val="0"/>
        </w:rPr>
        <w:t>Introduction</w:t>
      </w:r>
      <w:bookmarkEnd w:id="10"/>
      <w:bookmarkEnd w:id="11"/>
    </w:p>
    <w:p w14:paraId="33D8D79B" w14:textId="77777777" w:rsidR="00025FEB" w:rsidRDefault="00025FEB" w:rsidP="00025FEB">
      <w:pPr>
        <w:pStyle w:val="Heading2"/>
        <w:numPr>
          <w:ilvl w:val="0"/>
          <w:numId w:val="0"/>
        </w:numPr>
        <w:ind w:left="1134" w:hanging="1134"/>
      </w:pPr>
      <w:bookmarkStart w:id="13" w:name="_Toc112862037"/>
      <w:bookmarkStart w:id="14" w:name="_Toc180497387"/>
      <w:r>
        <w:t>Definitions</w:t>
      </w:r>
      <w:bookmarkEnd w:id="13"/>
      <w:bookmarkEnd w:id="14"/>
    </w:p>
    <w:p w14:paraId="20D433F2" w14:textId="77777777" w:rsidR="00025FEB" w:rsidRDefault="00025FEB" w:rsidP="00025FEB">
      <w:pPr>
        <w:pStyle w:val="Heading3"/>
        <w:numPr>
          <w:ilvl w:val="0"/>
          <w:numId w:val="0"/>
        </w:numPr>
        <w:ind w:left="1134" w:hanging="1134"/>
      </w:pPr>
      <w:r>
        <w:t>Special patient</w:t>
      </w:r>
    </w:p>
    <w:p w14:paraId="07D98E34" w14:textId="77777777" w:rsidR="00025FEB" w:rsidRDefault="00025FEB" w:rsidP="00025FEB">
      <w:r>
        <w:t>The term ‘special patient’ refers to a person who is remanded to or detained in a hospital under specific legislative provisions. Table 1 sets out the most commonly used provisions in relation to special patients.</w:t>
      </w:r>
    </w:p>
    <w:p w14:paraId="403118B6" w14:textId="77777777" w:rsidR="00025FEB" w:rsidRDefault="00025FEB" w:rsidP="00025FEB"/>
    <w:p w14:paraId="368DE452" w14:textId="14392C8B" w:rsidR="00025FEB" w:rsidRPr="00121607" w:rsidRDefault="00025FEB" w:rsidP="00300B55">
      <w:pPr>
        <w:pStyle w:val="Table"/>
      </w:pPr>
      <w:bookmarkStart w:id="15" w:name="_Toc112861574"/>
      <w:bookmarkStart w:id="16" w:name="_Toc180593108"/>
      <w:r w:rsidRPr="00121607">
        <w:t xml:space="preserve">Table </w:t>
      </w:r>
      <w:r>
        <w:fldChar w:fldCharType="begin"/>
      </w:r>
      <w:r>
        <w:instrText>SEQ Table \* ARABIC</w:instrText>
      </w:r>
      <w:r>
        <w:fldChar w:fldCharType="separate"/>
      </w:r>
      <w:r w:rsidR="00411DF3">
        <w:rPr>
          <w:noProof/>
        </w:rPr>
        <w:t>1</w:t>
      </w:r>
      <w:r>
        <w:fldChar w:fldCharType="end"/>
      </w:r>
      <w:r w:rsidRPr="00121607">
        <w:t>: Common legislative provisions for detaining special patients</w:t>
      </w:r>
      <w:bookmarkEnd w:id="15"/>
      <w:bookmarkEnd w:id="16"/>
    </w:p>
    <w:tbl>
      <w:tblPr>
        <w:tblStyle w:val="TableGrid"/>
        <w:tblW w:w="8137" w:type="dxa"/>
        <w:tblInd w:w="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268"/>
        <w:gridCol w:w="5869"/>
      </w:tblGrid>
      <w:tr w:rsidR="00025FEB" w:rsidRPr="00DC20BD" w14:paraId="5FD03D32" w14:textId="77777777" w:rsidTr="00DD1006">
        <w:trPr>
          <w:cantSplit/>
        </w:trPr>
        <w:tc>
          <w:tcPr>
            <w:tcW w:w="8137" w:type="dxa"/>
            <w:gridSpan w:val="2"/>
            <w:tcBorders>
              <w:top w:val="nil"/>
              <w:bottom w:val="nil"/>
            </w:tcBorders>
            <w:shd w:val="clear" w:color="auto" w:fill="D9D9D9" w:themeFill="background1" w:themeFillShade="D9"/>
          </w:tcPr>
          <w:p w14:paraId="7C7CEE55" w14:textId="77777777" w:rsidR="00025FEB" w:rsidRPr="00DC20BD" w:rsidRDefault="00025FEB" w:rsidP="00BB4DC3">
            <w:pPr>
              <w:pStyle w:val="TableText"/>
              <w:keepNext/>
              <w:rPr>
                <w:b/>
              </w:rPr>
            </w:pPr>
            <w:r w:rsidRPr="00121607">
              <w:rPr>
                <w:b/>
              </w:rPr>
              <w:t>Criminal Procedure (Mentally Impaired Persons) Act 2003</w:t>
            </w:r>
          </w:p>
        </w:tc>
      </w:tr>
      <w:tr w:rsidR="00025FEB" w:rsidRPr="00DC20BD" w14:paraId="0D40C22B" w14:textId="77777777" w:rsidTr="00DD1006">
        <w:trPr>
          <w:cantSplit/>
        </w:trPr>
        <w:tc>
          <w:tcPr>
            <w:tcW w:w="2268" w:type="dxa"/>
            <w:tcBorders>
              <w:top w:val="nil"/>
              <w:bottom w:val="single" w:sz="4" w:space="0" w:color="A6A6A6" w:themeColor="background1" w:themeShade="A6"/>
            </w:tcBorders>
          </w:tcPr>
          <w:p w14:paraId="52C88CFE" w14:textId="77777777" w:rsidR="00025FEB" w:rsidRPr="00DC20BD" w:rsidRDefault="00025FEB" w:rsidP="00BB4DC3">
            <w:pPr>
              <w:pStyle w:val="TableText"/>
              <w:keepNext/>
            </w:pPr>
            <w:r w:rsidRPr="00D85A4F">
              <w:t>Section 24(2)(a)</w:t>
            </w:r>
          </w:p>
        </w:tc>
        <w:tc>
          <w:tcPr>
            <w:tcW w:w="5869" w:type="dxa"/>
            <w:tcBorders>
              <w:top w:val="nil"/>
              <w:bottom w:val="single" w:sz="4" w:space="0" w:color="A6A6A6" w:themeColor="background1" w:themeShade="A6"/>
            </w:tcBorders>
          </w:tcPr>
          <w:p w14:paraId="72D5C057" w14:textId="77777777" w:rsidR="00025FEB" w:rsidRPr="00DC20BD" w:rsidRDefault="00025FEB" w:rsidP="00BB4DC3">
            <w:pPr>
              <w:pStyle w:val="TableText"/>
              <w:keepNext/>
              <w:tabs>
                <w:tab w:val="decimal" w:pos="1644"/>
              </w:tabs>
              <w:rPr>
                <w:rFonts w:eastAsia="Lucida Sans Unicode" w:hAnsi="Lucida Sans Unicode" w:cs="Lucida Sans Unicode"/>
              </w:rPr>
            </w:pPr>
            <w:r w:rsidRPr="00D85A4F">
              <w:t>Persons found unfit to stand trial and made a special patient</w:t>
            </w:r>
          </w:p>
        </w:tc>
      </w:tr>
      <w:tr w:rsidR="00025FEB" w:rsidRPr="00DC20BD" w14:paraId="5D9659DA" w14:textId="77777777" w:rsidTr="00DD1006">
        <w:trPr>
          <w:cantSplit/>
        </w:trPr>
        <w:tc>
          <w:tcPr>
            <w:tcW w:w="2268" w:type="dxa"/>
          </w:tcPr>
          <w:p w14:paraId="0865A924" w14:textId="77777777" w:rsidR="00025FEB" w:rsidRPr="00DC20BD" w:rsidRDefault="00025FEB" w:rsidP="00BB4DC3">
            <w:pPr>
              <w:pStyle w:val="TableText"/>
            </w:pPr>
            <w:r w:rsidRPr="00D85A4F">
              <w:t>Section 24(2)(a)</w:t>
            </w:r>
          </w:p>
        </w:tc>
        <w:tc>
          <w:tcPr>
            <w:tcW w:w="5869" w:type="dxa"/>
          </w:tcPr>
          <w:p w14:paraId="3F16826D" w14:textId="77777777" w:rsidR="00025FEB" w:rsidRPr="00DC20BD" w:rsidRDefault="00025FEB" w:rsidP="00BB4DC3">
            <w:pPr>
              <w:pStyle w:val="TableText"/>
              <w:tabs>
                <w:tab w:val="decimal" w:pos="1644"/>
              </w:tabs>
              <w:rPr>
                <w:rFonts w:eastAsia="Lucida Sans Unicode" w:hAnsi="Lucida Sans Unicode" w:cs="Lucida Sans Unicode"/>
              </w:rPr>
            </w:pPr>
            <w:r w:rsidRPr="00D85A4F">
              <w:t xml:space="preserve">Persons </w:t>
            </w:r>
            <w:bookmarkStart w:id="17" w:name="_Hlk78836231"/>
            <w:r w:rsidRPr="00D85A4F">
              <w:t xml:space="preserve">acquitted </w:t>
            </w:r>
            <w:r>
              <w:t xml:space="preserve">on account </w:t>
            </w:r>
            <w:r w:rsidRPr="00D85A4F">
              <w:t>of insanity</w:t>
            </w:r>
            <w:bookmarkEnd w:id="17"/>
            <w:r w:rsidRPr="00D85A4F">
              <w:t xml:space="preserve"> and made a special patient</w:t>
            </w:r>
          </w:p>
        </w:tc>
      </w:tr>
      <w:tr w:rsidR="00025FEB" w:rsidRPr="00DC20BD" w14:paraId="25CBA0B0" w14:textId="77777777" w:rsidTr="00DD1006">
        <w:trPr>
          <w:cantSplit/>
        </w:trPr>
        <w:tc>
          <w:tcPr>
            <w:tcW w:w="2268" w:type="dxa"/>
          </w:tcPr>
          <w:p w14:paraId="6C01DA42" w14:textId="77777777" w:rsidR="00025FEB" w:rsidRPr="00DC20BD" w:rsidRDefault="00025FEB" w:rsidP="00BB4DC3">
            <w:pPr>
              <w:pStyle w:val="TableText"/>
            </w:pPr>
            <w:r w:rsidRPr="00D85A4F">
              <w:t>Section 34(1)(a)(i)</w:t>
            </w:r>
          </w:p>
        </w:tc>
        <w:tc>
          <w:tcPr>
            <w:tcW w:w="5869" w:type="dxa"/>
          </w:tcPr>
          <w:p w14:paraId="1E1EFC8E" w14:textId="77777777" w:rsidR="00025FEB" w:rsidRPr="00DC20BD" w:rsidRDefault="00025FEB" w:rsidP="00BB4DC3">
            <w:pPr>
              <w:pStyle w:val="TableText"/>
              <w:tabs>
                <w:tab w:val="decimal" w:pos="1644"/>
              </w:tabs>
              <w:rPr>
                <w:rFonts w:eastAsia="Lucida Sans Unicode" w:hAnsi="Lucida Sans Unicode" w:cs="Lucida Sans Unicode"/>
              </w:rPr>
            </w:pPr>
            <w:r w:rsidRPr="00D85A4F">
              <w:t>Persons sentenced to a term of imprisonment and detained as a special patient</w:t>
            </w:r>
          </w:p>
        </w:tc>
      </w:tr>
      <w:tr w:rsidR="00025FEB" w:rsidRPr="00DC20BD" w14:paraId="0ECE8443" w14:textId="77777777" w:rsidTr="00DD1006">
        <w:trPr>
          <w:cantSplit/>
        </w:trPr>
        <w:tc>
          <w:tcPr>
            <w:tcW w:w="2268" w:type="dxa"/>
          </w:tcPr>
          <w:p w14:paraId="0FE05642" w14:textId="77777777" w:rsidR="00025FEB" w:rsidRPr="00DC20BD" w:rsidRDefault="00025FEB" w:rsidP="00BB4DC3">
            <w:pPr>
              <w:pStyle w:val="TableText"/>
              <w:rPr>
                <w:rFonts w:eastAsia="Lucida Sans Unicode"/>
                <w:b/>
              </w:rPr>
            </w:pPr>
            <w:r w:rsidRPr="00D85A4F">
              <w:t>Section 35</w:t>
            </w:r>
          </w:p>
        </w:tc>
        <w:tc>
          <w:tcPr>
            <w:tcW w:w="5869" w:type="dxa"/>
          </w:tcPr>
          <w:p w14:paraId="2C59DF0B" w14:textId="77777777" w:rsidR="00025FEB" w:rsidRPr="00DC20BD" w:rsidRDefault="00025FEB" w:rsidP="00BB4DC3">
            <w:pPr>
              <w:pStyle w:val="TableText"/>
              <w:tabs>
                <w:tab w:val="decimal" w:pos="1644"/>
              </w:tabs>
              <w:rPr>
                <w:rFonts w:eastAsia="Lucida Sans Unicode"/>
                <w:b/>
              </w:rPr>
            </w:pPr>
            <w:r w:rsidRPr="00D85A4F">
              <w:t>In</w:t>
            </w:r>
            <w:r w:rsidRPr="007C04ED">
              <w:t>quiries</w:t>
            </w:r>
            <w:r w:rsidRPr="00D85A4F">
              <w:t xml:space="preserve"> about a person in respect of whom the court has proposed to make an order under section 34 </w:t>
            </w:r>
          </w:p>
        </w:tc>
      </w:tr>
      <w:tr w:rsidR="00025FEB" w:rsidRPr="00DC20BD" w14:paraId="1378EDA3" w14:textId="77777777" w:rsidTr="00DD1006">
        <w:trPr>
          <w:cantSplit/>
        </w:trPr>
        <w:tc>
          <w:tcPr>
            <w:tcW w:w="2268" w:type="dxa"/>
          </w:tcPr>
          <w:p w14:paraId="23B4BAF5" w14:textId="77777777" w:rsidR="00025FEB" w:rsidRPr="00DC20BD" w:rsidRDefault="00025FEB" w:rsidP="00BB4DC3">
            <w:pPr>
              <w:pStyle w:val="TableText"/>
              <w:rPr>
                <w:rFonts w:eastAsia="Lucida Sans Unicode"/>
                <w:b/>
              </w:rPr>
            </w:pPr>
            <w:r w:rsidRPr="00D85A4F">
              <w:t>Section 38(2)(c )</w:t>
            </w:r>
          </w:p>
        </w:tc>
        <w:tc>
          <w:tcPr>
            <w:tcW w:w="5869" w:type="dxa"/>
          </w:tcPr>
          <w:p w14:paraId="677520D1" w14:textId="77777777" w:rsidR="00025FEB" w:rsidRPr="00DC20BD" w:rsidRDefault="00025FEB" w:rsidP="00BB4DC3">
            <w:pPr>
              <w:pStyle w:val="TableText"/>
              <w:tabs>
                <w:tab w:val="decimal" w:pos="1644"/>
              </w:tabs>
              <w:rPr>
                <w:rFonts w:eastAsia="Lucida Sans Unicode"/>
                <w:b/>
              </w:rPr>
            </w:pPr>
            <w:r w:rsidRPr="00D85A4F">
              <w:t>Persons remanded for the purpose of an assessment report</w:t>
            </w:r>
          </w:p>
        </w:tc>
      </w:tr>
      <w:tr w:rsidR="00025FEB" w:rsidRPr="00DC20BD" w14:paraId="0C03F215" w14:textId="77777777" w:rsidTr="00DD1006">
        <w:trPr>
          <w:cantSplit/>
        </w:trPr>
        <w:tc>
          <w:tcPr>
            <w:tcW w:w="2268" w:type="dxa"/>
          </w:tcPr>
          <w:p w14:paraId="2141356C" w14:textId="77777777" w:rsidR="00025FEB" w:rsidRPr="00DC20BD" w:rsidRDefault="00025FEB" w:rsidP="00BB4DC3">
            <w:pPr>
              <w:pStyle w:val="TableText"/>
              <w:rPr>
                <w:rFonts w:eastAsia="Lucida Sans Unicode"/>
                <w:b/>
              </w:rPr>
            </w:pPr>
            <w:r w:rsidRPr="00D85A4F">
              <w:t>Section 44(1)</w:t>
            </w:r>
          </w:p>
        </w:tc>
        <w:tc>
          <w:tcPr>
            <w:tcW w:w="5869" w:type="dxa"/>
          </w:tcPr>
          <w:p w14:paraId="5DAB3458" w14:textId="77777777" w:rsidR="00025FEB" w:rsidRPr="00DC20BD" w:rsidRDefault="00025FEB" w:rsidP="00BB4DC3">
            <w:pPr>
              <w:pStyle w:val="TableText"/>
              <w:tabs>
                <w:tab w:val="decimal" w:pos="1644"/>
              </w:tabs>
              <w:rPr>
                <w:rFonts w:eastAsia="Lucida Sans Unicode"/>
                <w:b/>
              </w:rPr>
            </w:pPr>
            <w:r w:rsidRPr="00D85A4F">
              <w:t>Persons remanded pending a hearing or trial</w:t>
            </w:r>
          </w:p>
        </w:tc>
      </w:tr>
      <w:tr w:rsidR="00025FEB" w:rsidRPr="00DC20BD" w14:paraId="15A57434" w14:textId="77777777" w:rsidTr="00DD1006">
        <w:trPr>
          <w:cantSplit/>
        </w:trPr>
        <w:tc>
          <w:tcPr>
            <w:tcW w:w="2268" w:type="dxa"/>
          </w:tcPr>
          <w:p w14:paraId="0E6AC881" w14:textId="77777777" w:rsidR="00025FEB" w:rsidRPr="00DC20BD" w:rsidRDefault="00025FEB" w:rsidP="00BB4DC3">
            <w:pPr>
              <w:pStyle w:val="TableText"/>
              <w:rPr>
                <w:rFonts w:eastAsia="Lucida Sans Unicode"/>
                <w:b/>
              </w:rPr>
            </w:pPr>
            <w:r w:rsidRPr="00D85A4F">
              <w:t>Section 23</w:t>
            </w:r>
          </w:p>
        </w:tc>
        <w:tc>
          <w:tcPr>
            <w:tcW w:w="5869" w:type="dxa"/>
          </w:tcPr>
          <w:p w14:paraId="319AAB2C" w14:textId="77777777" w:rsidR="00025FEB" w:rsidRPr="00DC20BD" w:rsidRDefault="00025FEB" w:rsidP="00BB4DC3">
            <w:pPr>
              <w:pStyle w:val="TableText"/>
              <w:tabs>
                <w:tab w:val="decimal" w:pos="1644"/>
              </w:tabs>
              <w:rPr>
                <w:rFonts w:eastAsia="Lucida Sans Unicode"/>
                <w:b/>
              </w:rPr>
            </w:pPr>
            <w:r w:rsidRPr="00D85A4F">
              <w:t>Persons found unfit to stand trial or acquitted on account of their insanity</w:t>
            </w:r>
            <w:r>
              <w:t>,</w:t>
            </w:r>
            <w:r w:rsidRPr="00D85A4F">
              <w:t xml:space="preserve"> remanded while inquiries are made to determine the most suitable method of dealing with the person </w:t>
            </w:r>
          </w:p>
        </w:tc>
      </w:tr>
      <w:tr w:rsidR="00025FEB" w:rsidRPr="00DC20BD" w14:paraId="301A074F" w14:textId="77777777" w:rsidTr="00DD1006">
        <w:trPr>
          <w:cantSplit/>
        </w:trPr>
        <w:tc>
          <w:tcPr>
            <w:tcW w:w="8137" w:type="dxa"/>
            <w:gridSpan w:val="2"/>
            <w:shd w:val="clear" w:color="auto" w:fill="D9D9D9" w:themeFill="background1" w:themeFillShade="D9"/>
          </w:tcPr>
          <w:p w14:paraId="0767B1BB" w14:textId="59D4713B" w:rsidR="00025FEB" w:rsidRPr="00DC20BD" w:rsidRDefault="00025FEB" w:rsidP="00BB4DC3">
            <w:pPr>
              <w:pStyle w:val="TableText"/>
              <w:tabs>
                <w:tab w:val="decimal" w:pos="1644"/>
              </w:tabs>
              <w:rPr>
                <w:rFonts w:eastAsia="Lucida Sans Unicode"/>
                <w:b/>
              </w:rPr>
            </w:pPr>
            <w:r w:rsidRPr="00121607">
              <w:rPr>
                <w:rFonts w:eastAsia="Lucida Sans Unicode"/>
                <w:b/>
              </w:rPr>
              <w:t xml:space="preserve">Mental Health (Compulsory Assessment and Treatment) Act 1992 </w:t>
            </w:r>
          </w:p>
        </w:tc>
      </w:tr>
      <w:tr w:rsidR="00025FEB" w:rsidRPr="00DC20BD" w14:paraId="77D02628" w14:textId="77777777" w:rsidTr="00DD1006">
        <w:trPr>
          <w:cantSplit/>
        </w:trPr>
        <w:tc>
          <w:tcPr>
            <w:tcW w:w="2268" w:type="dxa"/>
          </w:tcPr>
          <w:p w14:paraId="71973A43" w14:textId="77777777" w:rsidR="00025FEB" w:rsidRPr="00DC20BD" w:rsidRDefault="00025FEB" w:rsidP="00BB4DC3">
            <w:pPr>
              <w:pStyle w:val="TableText"/>
              <w:rPr>
                <w:rFonts w:eastAsia="Lucida Sans Unicode"/>
                <w:b/>
              </w:rPr>
            </w:pPr>
            <w:r w:rsidRPr="00D85A4F">
              <w:t>Section 45</w:t>
            </w:r>
          </w:p>
        </w:tc>
        <w:tc>
          <w:tcPr>
            <w:tcW w:w="5869" w:type="dxa"/>
          </w:tcPr>
          <w:p w14:paraId="51A31101" w14:textId="77777777" w:rsidR="00025FEB" w:rsidRPr="00DC20BD" w:rsidRDefault="00025FEB" w:rsidP="00BB4DC3">
            <w:pPr>
              <w:pStyle w:val="TableText"/>
              <w:tabs>
                <w:tab w:val="decimal" w:pos="1644"/>
              </w:tabs>
              <w:rPr>
                <w:rFonts w:eastAsia="Lucida Sans Unicode"/>
                <w:b/>
              </w:rPr>
            </w:pPr>
            <w:r w:rsidRPr="00D85A4F">
              <w:t>Remand or sentenced prisoners who require compulsory assessment and treatment for a mental disorder</w:t>
            </w:r>
          </w:p>
        </w:tc>
      </w:tr>
      <w:tr w:rsidR="00025FEB" w:rsidRPr="00DC20BD" w14:paraId="4C654A8E" w14:textId="77777777" w:rsidTr="00DD1006">
        <w:trPr>
          <w:cantSplit/>
        </w:trPr>
        <w:tc>
          <w:tcPr>
            <w:tcW w:w="2268" w:type="dxa"/>
          </w:tcPr>
          <w:p w14:paraId="0754C1B9" w14:textId="77777777" w:rsidR="00025FEB" w:rsidRPr="00DC20BD" w:rsidRDefault="00025FEB" w:rsidP="00BB4DC3">
            <w:pPr>
              <w:pStyle w:val="TableText"/>
              <w:rPr>
                <w:rFonts w:eastAsia="Lucida Sans Unicode"/>
                <w:b/>
              </w:rPr>
            </w:pPr>
            <w:r w:rsidRPr="00D85A4F">
              <w:t>Section 46</w:t>
            </w:r>
          </w:p>
        </w:tc>
        <w:tc>
          <w:tcPr>
            <w:tcW w:w="5869" w:type="dxa"/>
          </w:tcPr>
          <w:p w14:paraId="59988CFA" w14:textId="77777777" w:rsidR="00025FEB" w:rsidRPr="00DC20BD" w:rsidRDefault="00025FEB" w:rsidP="00BB4DC3">
            <w:pPr>
              <w:pStyle w:val="TableText"/>
              <w:tabs>
                <w:tab w:val="decimal" w:pos="1644"/>
              </w:tabs>
              <w:rPr>
                <w:rFonts w:eastAsia="Lucida Sans Unicode"/>
                <w:b/>
              </w:rPr>
            </w:pPr>
            <w:r w:rsidRPr="00D85A4F">
              <w:t>Remand or sentenced prisoners who are voluntarily admitted for treatment for a mental disorder</w:t>
            </w:r>
          </w:p>
        </w:tc>
      </w:tr>
    </w:tbl>
    <w:p w14:paraId="64EA0D77" w14:textId="77777777" w:rsidR="00025FEB" w:rsidRDefault="00025FEB" w:rsidP="00025FEB">
      <w:pPr>
        <w:pStyle w:val="Heading3"/>
        <w:numPr>
          <w:ilvl w:val="0"/>
          <w:numId w:val="0"/>
        </w:numPr>
        <w:ind w:left="1134" w:hanging="1134"/>
      </w:pPr>
      <w:r>
        <w:t>Restricted patient</w:t>
      </w:r>
    </w:p>
    <w:p w14:paraId="02136CF2" w14:textId="77777777" w:rsidR="00025FEB" w:rsidRDefault="00025FEB" w:rsidP="00DD1006">
      <w:r>
        <w:t>Restricted patients are patients who are declared to be restricted patients by the court in an order under section 55 of the Mental Health (Compulsory Assessment and Treatment) Act 1992 (Mental Health Act). Such orders may be made where the court is satisfied that a patient presents special difficulties because of the danger they pose to others.</w:t>
      </w:r>
    </w:p>
    <w:p w14:paraId="3E4723CE" w14:textId="77777777" w:rsidR="00025FEB" w:rsidRDefault="00025FEB" w:rsidP="00025FEB"/>
    <w:p w14:paraId="4A356FE7" w14:textId="2048F9DC" w:rsidR="00025FEB" w:rsidRDefault="00025FEB" w:rsidP="00025FEB">
      <w:r>
        <w:t>Restricted patients are generally subject to the same leave provisions as those applying to special patients. These guidelines use the term ‘special patient’; other than where specifically stated, this should be read as also applying to restricted patients.</w:t>
      </w:r>
    </w:p>
    <w:p w14:paraId="2AA61D7A" w14:textId="2D33CC2F" w:rsidR="0055681D" w:rsidRDefault="0055681D" w:rsidP="00025FEB"/>
    <w:p w14:paraId="372CF7C6" w14:textId="14714503" w:rsidR="0055681D" w:rsidRDefault="0055681D" w:rsidP="00025FEB"/>
    <w:p w14:paraId="58713DEF" w14:textId="552C8E4E" w:rsidR="0055681D" w:rsidRDefault="0055681D" w:rsidP="0055681D">
      <w:pPr>
        <w:pStyle w:val="Heading3"/>
        <w:numPr>
          <w:ilvl w:val="0"/>
          <w:numId w:val="0"/>
        </w:numPr>
        <w:ind w:left="1134" w:hanging="1134"/>
      </w:pPr>
      <w:bookmarkStart w:id="18" w:name="_Hlk158987602"/>
      <w:r>
        <w:t>‘Hybrid’ orders</w:t>
      </w:r>
    </w:p>
    <w:p w14:paraId="3FA97D62" w14:textId="0B7137ED" w:rsidR="00041E95" w:rsidRDefault="00041E95" w:rsidP="0055681D">
      <w:r w:rsidRPr="00041E95">
        <w:t xml:space="preserve">Sometimes </w:t>
      </w:r>
      <w:r>
        <w:t xml:space="preserve">the </w:t>
      </w:r>
      <w:r w:rsidR="001662B5">
        <w:t>c</w:t>
      </w:r>
      <w:r>
        <w:t xml:space="preserve">ourt will convict a person of an offence, but order them to be </w:t>
      </w:r>
      <w:r w:rsidR="005A3C31">
        <w:t xml:space="preserve">subject to a term of imprisonment </w:t>
      </w:r>
      <w:r w:rsidR="001662B5">
        <w:t xml:space="preserve">and also </w:t>
      </w:r>
      <w:r>
        <w:t xml:space="preserve">detained as a special patient in hospital </w:t>
      </w:r>
      <w:r w:rsidR="000352ED">
        <w:t>under section 34(1)(a)(i)</w:t>
      </w:r>
      <w:r w:rsidR="00CC6894">
        <w:t xml:space="preserve"> of the </w:t>
      </w:r>
      <w:r w:rsidR="003F30D8" w:rsidRPr="003F30D8">
        <w:t>Criminal Procedure (Mentally Impaired Persons) Act 2003</w:t>
      </w:r>
      <w:r w:rsidR="003F30D8">
        <w:t xml:space="preserve"> (</w:t>
      </w:r>
      <w:r w:rsidR="00CC6894">
        <w:t>CP(MIP) Act</w:t>
      </w:r>
      <w:r w:rsidR="003F30D8">
        <w:t>)</w:t>
      </w:r>
      <w:r>
        <w:t>.</w:t>
      </w:r>
      <w:r w:rsidR="005C07F8" w:rsidRPr="005C07F8">
        <w:t xml:space="preserve"> These are sometimes referred to as ‘hybrid’ orders.</w:t>
      </w:r>
    </w:p>
    <w:p w14:paraId="79D8DE54" w14:textId="77777777" w:rsidR="00CC6894" w:rsidRDefault="00CC6894" w:rsidP="0055681D"/>
    <w:p w14:paraId="295C3BFA" w14:textId="07B8D4FB" w:rsidR="0055681D" w:rsidRDefault="00041E95" w:rsidP="0055681D">
      <w:r>
        <w:t>When</w:t>
      </w:r>
      <w:r w:rsidR="000352ED">
        <w:t xml:space="preserve"> the special patient is no longer liable for the sentence imposed for the offence, they do not continue to be a special patient, and are placed on a compulsory treatment order under the Mental Health Act.</w:t>
      </w:r>
      <w:r w:rsidR="00CC6894">
        <w:t xml:space="preserve"> </w:t>
      </w:r>
    </w:p>
    <w:p w14:paraId="54639E54" w14:textId="1EC8E17E" w:rsidR="000352ED" w:rsidRDefault="000352ED" w:rsidP="0055681D"/>
    <w:p w14:paraId="1B7F63DC" w14:textId="474946A6" w:rsidR="000352ED" w:rsidRDefault="000352ED" w:rsidP="0055681D">
      <w:r>
        <w:t xml:space="preserve">Where a person is under section 45(2) </w:t>
      </w:r>
      <w:r w:rsidR="00CC6894">
        <w:t xml:space="preserve">of the Mental Health Act </w:t>
      </w:r>
      <w:r>
        <w:t xml:space="preserve">but is no longer liable for the sentence imposed for the offence, they will remain on their compulsory treatment order under the Mental Health Act. </w:t>
      </w:r>
    </w:p>
    <w:p w14:paraId="52565E3E" w14:textId="12759D3E" w:rsidR="000352ED" w:rsidRDefault="000352ED" w:rsidP="0055681D"/>
    <w:p w14:paraId="451E1F33" w14:textId="473B0859" w:rsidR="000352ED" w:rsidRPr="0055681D" w:rsidRDefault="000352ED" w:rsidP="0055681D">
      <w:r>
        <w:t xml:space="preserve">For advice on the requirements of a new compulsory treatment order, or an existing compulsory treatment order, refer to the </w:t>
      </w:r>
      <w:r w:rsidR="000F73C5" w:rsidRPr="006674B9">
        <w:rPr>
          <w:i/>
          <w:iCs/>
        </w:rPr>
        <w:t>Guidelines to the Mental Health (Compulsory Assessment and Treatment) Act 1992</w:t>
      </w:r>
      <w:r w:rsidR="000F73C5">
        <w:t xml:space="preserve"> (Ministry of Health 2022</w:t>
      </w:r>
      <w:r w:rsidR="00765FD2">
        <w:t>c</w:t>
      </w:r>
      <w:r w:rsidR="000F73C5">
        <w:t>)</w:t>
      </w:r>
      <w:r>
        <w:t xml:space="preserve">. </w:t>
      </w:r>
    </w:p>
    <w:p w14:paraId="7F12C822" w14:textId="77777777" w:rsidR="00025FEB" w:rsidRDefault="00025FEB" w:rsidP="00025FEB">
      <w:pPr>
        <w:pStyle w:val="Heading2"/>
        <w:numPr>
          <w:ilvl w:val="0"/>
          <w:numId w:val="0"/>
        </w:numPr>
        <w:ind w:left="1134" w:hanging="1134"/>
      </w:pPr>
      <w:bookmarkStart w:id="19" w:name="_Toc112862038"/>
      <w:bookmarkStart w:id="20" w:name="_Toc180497388"/>
      <w:bookmarkEnd w:id="18"/>
      <w:r>
        <w:t>Purpose of the guidelines</w:t>
      </w:r>
      <w:bookmarkEnd w:id="19"/>
      <w:bookmarkEnd w:id="20"/>
    </w:p>
    <w:p w14:paraId="0E94AAAE" w14:textId="77777777" w:rsidR="00025FEB" w:rsidRDefault="00025FEB" w:rsidP="00025FEB">
      <w:r>
        <w:t>The Ministry of Health intends that these guidelines will support regional forensic mental health services (RFMHSs) to work effectively with the Office of the Director of Mental Health (Office of the Director). Within these guidelines, the Director of Mental Health (the Director) provides guidance on what is expected from forensic services in support of applications for special patient leave (including medical and dental appointments) and transfer, and recommendations for change of legal status.</w:t>
      </w:r>
    </w:p>
    <w:p w14:paraId="78647F18" w14:textId="77777777" w:rsidR="00025FEB" w:rsidRDefault="00025FEB" w:rsidP="00025FEB"/>
    <w:p w14:paraId="426CAA2A" w14:textId="77777777" w:rsidR="00025FEB" w:rsidRDefault="00025FEB" w:rsidP="00025FEB">
      <w:r>
        <w:t>In particular, these guidelines aim to:</w:t>
      </w:r>
    </w:p>
    <w:p w14:paraId="5DC8DD34" w14:textId="77777777" w:rsidR="00025FEB" w:rsidRDefault="00025FEB" w:rsidP="00D25422">
      <w:pPr>
        <w:pStyle w:val="Bullet"/>
      </w:pPr>
      <w:r>
        <w:t xml:space="preserve">minimise the risk of harm from forensic patients who are special patients as defined under the Mental Health Act </w:t>
      </w:r>
    </w:p>
    <w:p w14:paraId="7DDB0CD2" w14:textId="77777777" w:rsidR="00025FEB" w:rsidRDefault="00025FEB" w:rsidP="00D25422">
      <w:pPr>
        <w:pStyle w:val="Bullet"/>
      </w:pPr>
      <w:r>
        <w:t>support the care and rehabilitation of special patients</w:t>
      </w:r>
    </w:p>
    <w:p w14:paraId="5787DAEF" w14:textId="77777777" w:rsidR="00025FEB" w:rsidRDefault="00025FEB" w:rsidP="00D25422">
      <w:pPr>
        <w:pStyle w:val="Bullet"/>
      </w:pPr>
      <w:r>
        <w:t xml:space="preserve">describe the process for requests from RFMHSs relating to special patient movements </w:t>
      </w:r>
    </w:p>
    <w:p w14:paraId="11E6EC67" w14:textId="77777777" w:rsidR="00025FEB" w:rsidRDefault="00025FEB" w:rsidP="00D25422">
      <w:pPr>
        <w:pStyle w:val="Bullet"/>
      </w:pPr>
      <w:r>
        <w:t>provide transparency on the processes to be undertaken when seeking leave or considering a change of status for special patients.</w:t>
      </w:r>
    </w:p>
    <w:p w14:paraId="6307DC45" w14:textId="77777777" w:rsidR="00025FEB" w:rsidRDefault="00025FEB" w:rsidP="00025FEB">
      <w:pPr>
        <w:pStyle w:val="Heading2"/>
        <w:numPr>
          <w:ilvl w:val="0"/>
          <w:numId w:val="0"/>
        </w:numPr>
        <w:ind w:left="1134" w:hanging="1134"/>
      </w:pPr>
      <w:bookmarkStart w:id="21" w:name="_Toc112862039"/>
      <w:bookmarkStart w:id="22" w:name="_Toc180497389"/>
      <w:r>
        <w:t>Context</w:t>
      </w:r>
      <w:bookmarkEnd w:id="21"/>
      <w:bookmarkEnd w:id="22"/>
    </w:p>
    <w:p w14:paraId="3F9A2D64" w14:textId="77777777" w:rsidR="00025FEB" w:rsidRDefault="00025FEB" w:rsidP="00025FEB">
      <w:r>
        <w:t>The guidelines should be read within the context of the following legislation:</w:t>
      </w:r>
    </w:p>
    <w:p w14:paraId="18CC2581" w14:textId="2774BE3C" w:rsidR="00025FEB" w:rsidRDefault="0005294F" w:rsidP="00D25422">
      <w:pPr>
        <w:pStyle w:val="Bullet"/>
      </w:pPr>
      <w:r>
        <w:t xml:space="preserve">the </w:t>
      </w:r>
      <w:r w:rsidR="00025FEB">
        <w:t>Mental Health Act</w:t>
      </w:r>
    </w:p>
    <w:p w14:paraId="2DEEF2B8" w14:textId="25CD4A71" w:rsidR="0053294C" w:rsidRDefault="0005294F" w:rsidP="00D25422">
      <w:pPr>
        <w:pStyle w:val="Bullet"/>
      </w:pPr>
      <w:r>
        <w:t xml:space="preserve">the </w:t>
      </w:r>
      <w:r w:rsidR="00025FEB">
        <w:t>CP(MIP) Act</w:t>
      </w:r>
    </w:p>
    <w:p w14:paraId="6AC786F9" w14:textId="50D04787" w:rsidR="00025FEB" w:rsidRDefault="0005294F" w:rsidP="00D25422">
      <w:pPr>
        <w:pStyle w:val="Bullet"/>
      </w:pPr>
      <w:r>
        <w:t>t</w:t>
      </w:r>
      <w:r w:rsidR="0053294C">
        <w:t>he Victims’ Rights Act 2002</w:t>
      </w:r>
      <w:r w:rsidR="00025FEB">
        <w:t>.</w:t>
      </w:r>
    </w:p>
    <w:p w14:paraId="0391F8BE" w14:textId="77777777" w:rsidR="00025FEB" w:rsidRDefault="00025FEB" w:rsidP="00025FEB"/>
    <w:p w14:paraId="12005549" w14:textId="0169A7FD" w:rsidR="00025FEB" w:rsidRDefault="00025FEB" w:rsidP="00025FEB">
      <w:r>
        <w:t>These guidelines complement the following guidelines, accessible from the Ministry of Health’s webpage ‘The Mental Health Act – guidelines and resources’ (Ministry of Health 2020</w:t>
      </w:r>
      <w:r w:rsidR="00C51C82">
        <w:t>b</w:t>
      </w:r>
      <w:r>
        <w:t xml:space="preserve">):  </w:t>
      </w:r>
    </w:p>
    <w:p w14:paraId="31D49734" w14:textId="12B7FDAA" w:rsidR="00025FEB" w:rsidRDefault="000F73C5" w:rsidP="00D25422">
      <w:pPr>
        <w:pStyle w:val="Bullet"/>
      </w:pPr>
      <w:r w:rsidRPr="000F73C5">
        <w:t>Guidelines to the Mental Health (Compulsory Assessment and Treatment) Act 1992</w:t>
      </w:r>
      <w:r>
        <w:t xml:space="preserve"> </w:t>
      </w:r>
      <w:r w:rsidR="00025FEB">
        <w:t xml:space="preserve">(Ministry of Health </w:t>
      </w:r>
      <w:r>
        <w:t>2022</w:t>
      </w:r>
      <w:r w:rsidR="00765FD2">
        <w:t>c</w:t>
      </w:r>
      <w:r w:rsidR="00025FEB">
        <w:t>)</w:t>
      </w:r>
    </w:p>
    <w:p w14:paraId="43B97CE2" w14:textId="5E444A6B" w:rsidR="00025FEB" w:rsidRDefault="004C4884" w:rsidP="00D25422">
      <w:pPr>
        <w:pStyle w:val="Bullet"/>
      </w:pPr>
      <w:r w:rsidRPr="004C4884">
        <w:t xml:space="preserve">Guidelines for </w:t>
      </w:r>
      <w:r w:rsidR="00FB7270">
        <w:t>R</w:t>
      </w:r>
      <w:r w:rsidRPr="004C4884">
        <w:t xml:space="preserve">educing and </w:t>
      </w:r>
      <w:r w:rsidR="00FB7270">
        <w:t>E</w:t>
      </w:r>
      <w:r w:rsidRPr="004C4884">
        <w:t xml:space="preserve">liminating </w:t>
      </w:r>
      <w:r w:rsidR="00FB7270">
        <w:t>S</w:t>
      </w:r>
      <w:r w:rsidRPr="004C4884">
        <w:t xml:space="preserve">eclusion and </w:t>
      </w:r>
      <w:r w:rsidR="00FB7270">
        <w:t>R</w:t>
      </w:r>
      <w:r w:rsidRPr="004C4884">
        <w:t>estraint under the Mental Health (Compulsory Assessment and Treatment) Act 1992</w:t>
      </w:r>
      <w:r>
        <w:t xml:space="preserve"> </w:t>
      </w:r>
      <w:r w:rsidRPr="006674B9">
        <w:t>(Ministry of Health 2023</w:t>
      </w:r>
      <w:r w:rsidR="00577AB1">
        <w:t>a</w:t>
      </w:r>
      <w:r w:rsidRPr="006674B9">
        <w:t>).</w:t>
      </w:r>
      <w:r>
        <w:t xml:space="preserve"> </w:t>
      </w:r>
      <w:r w:rsidR="7CB9D73B">
        <w:t xml:space="preserve"> In addition, the use of seclusion and restraint is governed by the section related to here taratahi (restraint and seclusion) within the Ngā Paerewa Health and Disability Services Standard (NZS 8134:2021)</w:t>
      </w:r>
    </w:p>
    <w:p w14:paraId="3DF8BF85" w14:textId="704EAD3C" w:rsidR="00025FEB" w:rsidRDefault="00025FEB" w:rsidP="00D25422">
      <w:pPr>
        <w:pStyle w:val="Bullet"/>
      </w:pPr>
      <w:r w:rsidRPr="00EE6EE1">
        <w:t>Human Rights and the Mental Health (Compulsory Assessment and Treatment) Act 1992</w:t>
      </w:r>
      <w:r>
        <w:t xml:space="preserve"> (Ministry of Health 2020</w:t>
      </w:r>
      <w:r w:rsidR="001A4996">
        <w:t>a</w:t>
      </w:r>
      <w:r>
        <w:t>)</w:t>
      </w:r>
    </w:p>
    <w:p w14:paraId="0AD82DDB" w14:textId="5D54B407" w:rsidR="00025FEB" w:rsidRDefault="00025FEB" w:rsidP="00D25422">
      <w:pPr>
        <w:pStyle w:val="Bullet"/>
      </w:pPr>
      <w:r w:rsidRPr="00EE6EE1">
        <w:t>Guidelines for the Role and Function of Statutory Officers: Appointed under the Mental Health (Compulsory Assessment and Treatment) Act 1992</w:t>
      </w:r>
      <w:r>
        <w:t xml:space="preserve"> (Ministry of Health 2022</w:t>
      </w:r>
      <w:r w:rsidR="00F76945">
        <w:t>a</w:t>
      </w:r>
      <w:r>
        <w:t>)</w:t>
      </w:r>
    </w:p>
    <w:p w14:paraId="2944A2B4" w14:textId="25EAFD49" w:rsidR="00C763BE" w:rsidRPr="00095230" w:rsidRDefault="00C763BE" w:rsidP="00D25422">
      <w:pPr>
        <w:pStyle w:val="Bullet"/>
      </w:pPr>
      <w:r w:rsidRPr="00A55E3B">
        <w:t>Victims’ Rights in the Health System: Guidance for Directors of Area Mental Health Services, compulsory care coordinators, care managers, victim coordinators</w:t>
      </w:r>
      <w:r>
        <w:t xml:space="preserve"> </w:t>
      </w:r>
      <w:r w:rsidRPr="00A55E3B">
        <w:t>(Ministry of Health 2023</w:t>
      </w:r>
      <w:r w:rsidR="008A4CEF">
        <w:t>c</w:t>
      </w:r>
      <w:r w:rsidRPr="00A55E3B">
        <w:t>)</w:t>
      </w:r>
      <w:r>
        <w:t>.</w:t>
      </w:r>
    </w:p>
    <w:p w14:paraId="2263EA8D" w14:textId="77777777" w:rsidR="00025FEB" w:rsidRDefault="00025FEB" w:rsidP="00025FEB">
      <w:pPr>
        <w:pStyle w:val="Heading2"/>
        <w:numPr>
          <w:ilvl w:val="0"/>
          <w:numId w:val="0"/>
        </w:numPr>
        <w:ind w:left="1134" w:hanging="1134"/>
      </w:pPr>
      <w:bookmarkStart w:id="23" w:name="_Toc112862040"/>
      <w:bookmarkStart w:id="24" w:name="_Toc180497390"/>
      <w:r>
        <w:t>Scope of these guidelines</w:t>
      </w:r>
      <w:bookmarkEnd w:id="23"/>
      <w:bookmarkEnd w:id="24"/>
    </w:p>
    <w:p w14:paraId="6E29DB57" w14:textId="77777777" w:rsidR="00025FEB" w:rsidRDefault="00025FEB" w:rsidP="00025FEB">
      <w:r>
        <w:t>These guidelines apply to all RFMHSs as well as hospitals and other inpatient mental health services involved in the care of a special patient (such as during court processes). Other people or entities providing care for special care recipients may also find these guidelines helpful.</w:t>
      </w:r>
    </w:p>
    <w:p w14:paraId="56D09AAE" w14:textId="77777777" w:rsidR="00025FEB" w:rsidRDefault="00025FEB" w:rsidP="00025FEB"/>
    <w:p w14:paraId="1BCAEBA4" w14:textId="77777777" w:rsidR="00025FEB" w:rsidRDefault="00025FEB" w:rsidP="00025FEB">
      <w:r>
        <w:t>Special patients who are potentially affected by the guidelines are those in the following situations:</w:t>
      </w:r>
    </w:p>
    <w:p w14:paraId="52BEB1AB" w14:textId="77777777" w:rsidR="00025FEB" w:rsidRDefault="00025FEB" w:rsidP="00D25422">
      <w:pPr>
        <w:pStyle w:val="Bullet"/>
      </w:pPr>
      <w:r>
        <w:t>special patients detained at an RFMHS under section 45 or 46 of the Mental Health Act (section 45 or 46 patients) who are granted leave under section 49 or 52 of the Mental Health Act to attend urgent medical or dental appointments</w:t>
      </w:r>
    </w:p>
    <w:p w14:paraId="78B2C4B6" w14:textId="77777777" w:rsidR="00025FEB" w:rsidRDefault="00025FEB" w:rsidP="00D25422">
      <w:pPr>
        <w:pStyle w:val="Bullet"/>
      </w:pPr>
      <w:r>
        <w:t>section 45 or 46 patients being returned to prison under section 47 of the Mental Health Act</w:t>
      </w:r>
    </w:p>
    <w:p w14:paraId="7D3160EA" w14:textId="77777777" w:rsidR="00025FEB" w:rsidRDefault="00025FEB" w:rsidP="00D25422">
      <w:pPr>
        <w:pStyle w:val="Bullet"/>
      </w:pPr>
      <w:r>
        <w:t>section 45 or 46 patients required to appear before the court</w:t>
      </w:r>
    </w:p>
    <w:p w14:paraId="6A5FF94D" w14:textId="77777777" w:rsidR="00025FEB" w:rsidRDefault="00025FEB" w:rsidP="00D25422">
      <w:pPr>
        <w:pStyle w:val="Bullet"/>
      </w:pPr>
      <w:r>
        <w:t>special patients detained under section 34(1)(a) of the CP(MIP) Act</w:t>
      </w:r>
    </w:p>
    <w:p w14:paraId="7EEBE865" w14:textId="0038C452" w:rsidR="00025FEB" w:rsidRDefault="00025FEB" w:rsidP="00D25422">
      <w:pPr>
        <w:pStyle w:val="Bullet"/>
      </w:pPr>
      <w:r>
        <w:t>special patients remanded at an RFMHS under section 23(2)(b) or 35(2)(b) or detailed at an RFMHS under 38(2)(c) of the CP(MIP) Act</w:t>
      </w:r>
    </w:p>
    <w:p w14:paraId="3B3F5A56" w14:textId="77777777" w:rsidR="00025FEB" w:rsidRDefault="00025FEB" w:rsidP="00D25422">
      <w:pPr>
        <w:pStyle w:val="Bullet"/>
      </w:pPr>
      <w:r>
        <w:t>special patients detained at an RFMHS under section 24(2)(a) of the CP(MIP) Act found unfit to stand trial or acquitted on account of insanity.</w:t>
      </w:r>
    </w:p>
    <w:p w14:paraId="08796199" w14:textId="77777777" w:rsidR="00025FEB" w:rsidRDefault="00025FEB" w:rsidP="00025FEB"/>
    <w:p w14:paraId="33A1E195" w14:textId="77777777" w:rsidR="00025FEB" w:rsidRDefault="00025FEB" w:rsidP="00025FEB">
      <w:r>
        <w:t>These guidelines also apply when special patients need to be transported from an RFMHS to another service; for example, transfers to:</w:t>
      </w:r>
    </w:p>
    <w:p w14:paraId="6457D10A" w14:textId="77777777" w:rsidR="00025FEB" w:rsidRDefault="00025FEB" w:rsidP="00D25422">
      <w:pPr>
        <w:pStyle w:val="Bullet"/>
      </w:pPr>
      <w:r>
        <w:t>general hospital or specialist clinics for health treatment</w:t>
      </w:r>
    </w:p>
    <w:p w14:paraId="17FB6A84" w14:textId="77777777" w:rsidR="00025FEB" w:rsidRDefault="00025FEB" w:rsidP="00D25422">
      <w:pPr>
        <w:pStyle w:val="Bullet"/>
      </w:pPr>
      <w:r>
        <w:t>court in relation to charges against the individual, or as a witness</w:t>
      </w:r>
    </w:p>
    <w:p w14:paraId="2332036D" w14:textId="77777777" w:rsidR="00025FEB" w:rsidRDefault="00025FEB" w:rsidP="00D25422">
      <w:pPr>
        <w:pStyle w:val="Bullet"/>
      </w:pPr>
      <w:r>
        <w:t>prison or police custody where it is no longer necessary for a person to be treated by the RFMHS.</w:t>
      </w:r>
    </w:p>
    <w:p w14:paraId="50BA2C49" w14:textId="77777777" w:rsidR="00025FEB" w:rsidRDefault="00025FEB" w:rsidP="00025FEB">
      <w:pPr>
        <w:pStyle w:val="Heading2-nonumbering"/>
      </w:pPr>
      <w:bookmarkStart w:id="25" w:name="_Toc112862041"/>
      <w:bookmarkStart w:id="26" w:name="_Toc180497391"/>
      <w:r>
        <w:t>Cultural and personal rights considerations</w:t>
      </w:r>
      <w:bookmarkEnd w:id="25"/>
      <w:bookmarkEnd w:id="26"/>
    </w:p>
    <w:p w14:paraId="1141D57F" w14:textId="12029B83" w:rsidR="00025FEB" w:rsidRDefault="00025FEB" w:rsidP="00025FEB">
      <w:r>
        <w:t xml:space="preserve">The </w:t>
      </w:r>
      <w:r w:rsidRPr="00EE6EE1">
        <w:rPr>
          <w:i/>
          <w:iCs/>
        </w:rPr>
        <w:t>Guidelines to the Mental Health (Compulsory Assessment and Treatment) Act 1992</w:t>
      </w:r>
      <w:r>
        <w:t xml:space="preserve"> (Ministry of Health </w:t>
      </w:r>
      <w:r w:rsidR="000F73C5">
        <w:t>2022</w:t>
      </w:r>
      <w:r w:rsidR="00765FD2">
        <w:t>c</w:t>
      </w:r>
      <w:r>
        <w:t xml:space="preserve">) contain a detailed description of the sections of the Mental Health </w:t>
      </w:r>
      <w:r w:rsidR="009C6AFE">
        <w:t>Act and</w:t>
      </w:r>
      <w:r>
        <w:t xml:space="preserve"> outline the importance of Te Tiriti and the constitutional constraints it imposes. It is especially important to follow these recommendations when applying these guidelines.</w:t>
      </w:r>
    </w:p>
    <w:p w14:paraId="25A82EF9" w14:textId="77777777" w:rsidR="00025FEB" w:rsidRDefault="00025FEB" w:rsidP="00025FEB"/>
    <w:p w14:paraId="401EC506" w14:textId="5429A080" w:rsidR="00025FEB" w:rsidRDefault="00025FEB" w:rsidP="00025FEB">
      <w:r>
        <w:t xml:space="preserve">We know from data provided for the Office of the Director’s annual reports that Māori are more likely to be assessed or treated under the Mental Health Act than non-Māori. </w:t>
      </w:r>
      <w:r w:rsidR="0052164B">
        <w:t>T</w:t>
      </w:r>
      <w:r>
        <w:t xml:space="preserve">he Director’s </w:t>
      </w:r>
      <w:r w:rsidR="0052164B">
        <w:t xml:space="preserve">2023 </w:t>
      </w:r>
      <w:r>
        <w:t xml:space="preserve">report </w:t>
      </w:r>
      <w:r w:rsidR="0052164B">
        <w:t xml:space="preserve">records that </w:t>
      </w:r>
      <w:r>
        <w:t>Māori are 2.9 times more likely to be subject to an indefinite community treatment order than non-Māori</w:t>
      </w:r>
      <w:r w:rsidR="007A6F61">
        <w:t>.</w:t>
      </w:r>
    </w:p>
    <w:p w14:paraId="7779445A" w14:textId="77777777" w:rsidR="00025FEB" w:rsidRDefault="00025FEB" w:rsidP="00025FEB"/>
    <w:p w14:paraId="02403459" w14:textId="00F34F70" w:rsidR="00025FEB" w:rsidRDefault="00025FEB" w:rsidP="007A6F61">
      <w:pPr>
        <w:ind w:right="-96"/>
      </w:pPr>
      <w:r>
        <w:t xml:space="preserve">We also know </w:t>
      </w:r>
      <w:r w:rsidR="00805DB5">
        <w:t>that</w:t>
      </w:r>
      <w:r>
        <w:t xml:space="preserve"> nationwide, Māori are more likely than non-Māori to have been secluded, have more seclusion events (as a rate per 100,000 population) and have longer periods of seclusion on average.</w:t>
      </w:r>
    </w:p>
    <w:p w14:paraId="7424F359" w14:textId="77777777" w:rsidR="00025FEB" w:rsidRDefault="00025FEB" w:rsidP="007A6F61">
      <w:pPr>
        <w:ind w:right="-96"/>
      </w:pPr>
    </w:p>
    <w:p w14:paraId="4898A64E" w14:textId="7A1AEB32" w:rsidR="00025FEB" w:rsidRDefault="00025FEB" w:rsidP="007A6F61">
      <w:pPr>
        <w:ind w:right="-96"/>
      </w:pPr>
      <w:r>
        <w:t>Of specific significance to these guidelines, we note that the ethnic group with the highest proportion of people subject to a special patient order is Māori (54</w:t>
      </w:r>
      <w:r w:rsidR="000F73C5">
        <w:t>.2</w:t>
      </w:r>
      <w:r w:rsidR="005C41A7">
        <w:t>%</w:t>
      </w:r>
      <w:r>
        <w:t xml:space="preserve"> in </w:t>
      </w:r>
      <w:r w:rsidR="000F73C5">
        <w:t>2021/22</w:t>
      </w:r>
      <w:r>
        <w:t>)</w:t>
      </w:r>
      <w:r w:rsidR="00662971">
        <w:t xml:space="preserve"> (Ministry of Health 2023b)</w:t>
      </w:r>
      <w:r>
        <w:t xml:space="preserve">.  In </w:t>
      </w:r>
      <w:r w:rsidR="000F73C5">
        <w:t>2021/22</w:t>
      </w:r>
      <w:r>
        <w:t>, Māori represented the highest proportion of both extended forensic care (</w:t>
      </w:r>
      <w:r w:rsidR="000F73C5">
        <w:t>45.3</w:t>
      </w:r>
      <w:r w:rsidR="001D6A97">
        <w:t>%</w:t>
      </w:r>
      <w:r>
        <w:t>) and short-term forensic care (</w:t>
      </w:r>
      <w:r w:rsidR="000F73C5">
        <w:t>59.2</w:t>
      </w:r>
      <w:r w:rsidR="001D6A97">
        <w:t>%</w:t>
      </w:r>
      <w:r>
        <w:t>) special patients.</w:t>
      </w:r>
    </w:p>
    <w:p w14:paraId="2330CA64" w14:textId="77777777" w:rsidR="00025FEB" w:rsidRDefault="00025FEB" w:rsidP="007A6F61">
      <w:pPr>
        <w:ind w:right="-96"/>
      </w:pPr>
    </w:p>
    <w:p w14:paraId="21D11FD1" w14:textId="77777777" w:rsidR="00025FEB" w:rsidRDefault="00025FEB" w:rsidP="007A6F61">
      <w:pPr>
        <w:ind w:right="-96"/>
      </w:pPr>
      <w:r>
        <w:t>Therefore, it is imperative that RFMHSs are aware that equitable health and wellness outcomes are a priority within the Aotearoa New Zealand health system, and that they support the achievement of health equity.</w:t>
      </w:r>
    </w:p>
    <w:p w14:paraId="6EBE6552" w14:textId="77777777" w:rsidR="00025FEB" w:rsidRDefault="00025FEB" w:rsidP="007A6F61">
      <w:pPr>
        <w:ind w:right="-96"/>
      </w:pPr>
    </w:p>
    <w:p w14:paraId="1941F72C" w14:textId="77777777" w:rsidR="00025FEB" w:rsidRDefault="00025FEB" w:rsidP="007A6F61">
      <w:pPr>
        <w:ind w:right="-96"/>
      </w:pPr>
      <w:r>
        <w:t>Section 5 of the Mental Health Act requires powers under the Act to be exercised:</w:t>
      </w:r>
    </w:p>
    <w:p w14:paraId="12B41A8B" w14:textId="77777777" w:rsidR="00025FEB" w:rsidRDefault="00025FEB" w:rsidP="007A6F61">
      <w:pPr>
        <w:pStyle w:val="Letter"/>
        <w:numPr>
          <w:ilvl w:val="1"/>
          <w:numId w:val="16"/>
        </w:numPr>
        <w:ind w:left="284" w:right="-96" w:hanging="284"/>
      </w:pPr>
      <w:r>
        <w:t>with proper recognition of the importance and significance to the person of the person’s ties with their family, whānau, hapū, iwi and family group</w:t>
      </w:r>
    </w:p>
    <w:p w14:paraId="226B0BE2" w14:textId="77777777" w:rsidR="00025FEB" w:rsidRDefault="00025FEB" w:rsidP="007A6F61">
      <w:pPr>
        <w:pStyle w:val="Letter"/>
        <w:numPr>
          <w:ilvl w:val="1"/>
          <w:numId w:val="16"/>
        </w:numPr>
        <w:ind w:left="284" w:right="-96" w:hanging="284"/>
      </w:pPr>
      <w:r>
        <w:t>with proper recognition of the contribution those ties make to the person’s wellbeing</w:t>
      </w:r>
    </w:p>
    <w:p w14:paraId="7FB39837" w14:textId="77777777" w:rsidR="00025FEB" w:rsidRDefault="00025FEB" w:rsidP="007A6F61">
      <w:pPr>
        <w:pStyle w:val="Letter"/>
        <w:numPr>
          <w:ilvl w:val="1"/>
          <w:numId w:val="16"/>
        </w:numPr>
        <w:ind w:left="284" w:right="-96" w:hanging="284"/>
      </w:pPr>
      <w:r>
        <w:t>with proper respect for the person’s cultural and ethnic identity, language and religious or ethical beliefs.</w:t>
      </w:r>
    </w:p>
    <w:p w14:paraId="27E3823F" w14:textId="77777777" w:rsidR="00025FEB" w:rsidRDefault="00025FEB" w:rsidP="007A6F61">
      <w:pPr>
        <w:ind w:right="-96"/>
      </w:pPr>
    </w:p>
    <w:p w14:paraId="5E0885EC" w14:textId="4AA98BEB" w:rsidR="00025FEB" w:rsidRDefault="001E05A3" w:rsidP="007A6F61">
      <w:pPr>
        <w:ind w:right="-96"/>
      </w:pPr>
      <w:r>
        <w:t>Under s</w:t>
      </w:r>
      <w:r w:rsidR="00230786">
        <w:t>ection</w:t>
      </w:r>
      <w:r>
        <w:t> 65 of the Mental Health Act, e</w:t>
      </w:r>
      <w:r w:rsidR="00025FEB">
        <w:t xml:space="preserve">very patient is entitled to be dealt with in a manner that accords with the spirit and intent of section 5 of </w:t>
      </w:r>
      <w:r w:rsidR="00121579">
        <w:t xml:space="preserve">that </w:t>
      </w:r>
      <w:r w:rsidR="00025FEB">
        <w:t xml:space="preserve">Act. This patient right is enforceable through the complaints procedures set out in section 75. </w:t>
      </w:r>
    </w:p>
    <w:p w14:paraId="0806A32D" w14:textId="77777777" w:rsidR="00025FEB" w:rsidRDefault="00025FEB" w:rsidP="007A6F61">
      <w:pPr>
        <w:ind w:right="-96"/>
      </w:pPr>
    </w:p>
    <w:p w14:paraId="01AEB32B" w14:textId="77777777" w:rsidR="00025FEB" w:rsidRDefault="00025FEB" w:rsidP="007A6F61">
      <w:pPr>
        <w:ind w:right="-96"/>
      </w:pPr>
      <w:r>
        <w:t>This patient right is reinforced by:</w:t>
      </w:r>
    </w:p>
    <w:p w14:paraId="261C267B" w14:textId="77777777" w:rsidR="00025FEB" w:rsidRDefault="00025FEB" w:rsidP="00D25422">
      <w:pPr>
        <w:pStyle w:val="Bullet"/>
      </w:pPr>
      <w:r>
        <w:t xml:space="preserve">Right 1(3) of the Code of Health and Disability Service Consumers' Rights, which states that ‘every consumer has the right to be provided with services that take into account the needs, values, and beliefs of different cultural, religious, social, and ethnic groups, including the needs, values, and beliefs of Māori’ </w:t>
      </w:r>
    </w:p>
    <w:p w14:paraId="20FCF675" w14:textId="512EB2C1" w:rsidR="00025FEB" w:rsidRDefault="002F2F0A" w:rsidP="00D25422">
      <w:pPr>
        <w:pStyle w:val="Bullet"/>
      </w:pPr>
      <w:r>
        <w:t>t</w:t>
      </w:r>
      <w:r w:rsidR="00025FEB">
        <w:t>he rights within the New Zealand Bill of Rights Act 1990, including, for example:</w:t>
      </w:r>
    </w:p>
    <w:p w14:paraId="2387B2B5" w14:textId="4E82C5A2" w:rsidR="00025FEB" w:rsidRDefault="00025FEB" w:rsidP="00D25422">
      <w:pPr>
        <w:pStyle w:val="Dash"/>
      </w:pPr>
      <w:r>
        <w:t xml:space="preserve">section 15, which states that 'every person has the right to manifest that person’s religion or belief in worship, observance, practice, or teaching, either individually or in community with others, and either in public or in private' </w:t>
      </w:r>
    </w:p>
    <w:p w14:paraId="27DF992E" w14:textId="77777777" w:rsidR="00025FEB" w:rsidRDefault="00025FEB" w:rsidP="00D25422">
      <w:pPr>
        <w:pStyle w:val="Dash"/>
      </w:pPr>
      <w:r>
        <w:t xml:space="preserve">section 20, which states that 'A person who belongs to an ethnic, religious, or linguistic minority in New Zealand shall not be denied the right, in community with other members of that minority, to enjoy the culture, to profess and practise the religion, or to use the language, of that minority'. </w:t>
      </w:r>
    </w:p>
    <w:p w14:paraId="480441DE" w14:textId="77777777" w:rsidR="00025FEB" w:rsidRDefault="00025FEB" w:rsidP="007A6F61">
      <w:pPr>
        <w:ind w:right="-96"/>
      </w:pPr>
    </w:p>
    <w:p w14:paraId="665FB86A" w14:textId="3DEA0B78" w:rsidR="00025FEB" w:rsidRDefault="00025FEB" w:rsidP="007A6F61">
      <w:pPr>
        <w:ind w:right="-96"/>
        <w:rPr>
          <w:rFonts w:eastAsia="Arial Unicode MS"/>
        </w:rPr>
      </w:pPr>
      <w:r>
        <w:t xml:space="preserve">Reports submitted with the objective of requesting a decision about special patients’ treatment must address the person’s cultural identity and any potential impact that the treatment decision will have in relation to </w:t>
      </w:r>
      <w:r w:rsidR="00F97E57">
        <w:t xml:space="preserve">that </w:t>
      </w:r>
      <w:r>
        <w:t>identity. Reports must show evidence of a cultural assessment and cultural considerations in recovery and rehabilitation plans. If there was no cultural assessment or cultural considerations, the reasons for this must also be documented.</w:t>
      </w:r>
    </w:p>
    <w:p w14:paraId="0E661581" w14:textId="77777777" w:rsidR="00025FEB" w:rsidRPr="00696B26" w:rsidRDefault="00025FEB" w:rsidP="00025FEB">
      <w:pPr>
        <w:pStyle w:val="Heading1"/>
      </w:pPr>
      <w:bookmarkStart w:id="27" w:name="_bookmark21"/>
      <w:bookmarkStart w:id="28" w:name="_Toc112862042"/>
      <w:bookmarkStart w:id="29" w:name="_Toc180497392"/>
      <w:bookmarkEnd w:id="27"/>
      <w:r w:rsidRPr="00696B26">
        <w:t>Notification of admission of special patients</w:t>
      </w:r>
      <w:bookmarkEnd w:id="28"/>
      <w:bookmarkEnd w:id="29"/>
    </w:p>
    <w:p w14:paraId="7D53B4BA" w14:textId="77777777" w:rsidR="00025FEB" w:rsidRPr="00D85A4F" w:rsidRDefault="00025FEB" w:rsidP="00025FEB">
      <w:pPr>
        <w:rPr>
          <w:b/>
          <w:bCs/>
        </w:rPr>
      </w:pPr>
      <w:r w:rsidRPr="00D85A4F">
        <w:t xml:space="preserve">Section 42 of the </w:t>
      </w:r>
      <w:r>
        <w:t>Mental Health Act</w:t>
      </w:r>
      <w:r w:rsidRPr="00D85A4F">
        <w:t xml:space="preserve"> requires </w:t>
      </w:r>
      <w:r>
        <w:t>the Director of Area Mental Health Services (</w:t>
      </w:r>
      <w:r w:rsidRPr="00D85A4F">
        <w:t>DAMHS</w:t>
      </w:r>
      <w:r>
        <w:t>)</w:t>
      </w:r>
      <w:r w:rsidRPr="00D85A4F">
        <w:t xml:space="preserve"> to ensure </w:t>
      </w:r>
      <w:r>
        <w:t xml:space="preserve">that </w:t>
      </w:r>
      <w:r w:rsidRPr="00D85A4F">
        <w:t>the person in charge of a hospital to which a special patient is admitted sends the following information to the Director within 14 days after the patient is admitted</w:t>
      </w:r>
      <w:r w:rsidRPr="006674B9">
        <w:t>:</w:t>
      </w:r>
    </w:p>
    <w:p w14:paraId="0F493820" w14:textId="77777777" w:rsidR="00025FEB" w:rsidRPr="00D85A4F" w:rsidRDefault="00025FEB" w:rsidP="00D25422">
      <w:pPr>
        <w:pStyle w:val="Bullet"/>
      </w:pPr>
      <w:r w:rsidRPr="00D85A4F">
        <w:t>notice of the admission</w:t>
      </w:r>
    </w:p>
    <w:p w14:paraId="06FAD8C1" w14:textId="77777777" w:rsidR="00025FEB" w:rsidRPr="00D85A4F" w:rsidRDefault="00025FEB" w:rsidP="00D25422">
      <w:pPr>
        <w:pStyle w:val="Bullet"/>
      </w:pPr>
      <w:r w:rsidRPr="00D85A4F">
        <w:t>a copy of the order on which the patient was admitted</w:t>
      </w:r>
    </w:p>
    <w:p w14:paraId="605A0F45" w14:textId="77777777" w:rsidR="00025FEB" w:rsidRPr="00D85A4F" w:rsidRDefault="00025FEB" w:rsidP="00D25422">
      <w:pPr>
        <w:pStyle w:val="Bullet"/>
      </w:pPr>
      <w:r w:rsidRPr="00D85A4F">
        <w:t xml:space="preserve">a copy of the </w:t>
      </w:r>
      <w:r>
        <w:t>Mental Health Act</w:t>
      </w:r>
      <w:r w:rsidRPr="00D85A4F">
        <w:t xml:space="preserve"> certificates or clinical documentation accompanying the order, such as </w:t>
      </w:r>
      <w:r>
        <w:t xml:space="preserve">a </w:t>
      </w:r>
      <w:r w:rsidRPr="00D85A4F">
        <w:t xml:space="preserve">section 45 form, section 8B certificate </w:t>
      </w:r>
      <w:r>
        <w:t xml:space="preserve">or </w:t>
      </w:r>
      <w:r w:rsidRPr="00D85A4F">
        <w:t>section 10 certificate, and clinical particulars</w:t>
      </w:r>
    </w:p>
    <w:p w14:paraId="7A08BBE1" w14:textId="5E82156D" w:rsidR="00025FEB" w:rsidRPr="00D85A4F" w:rsidRDefault="00025FEB" w:rsidP="00D25422">
      <w:pPr>
        <w:pStyle w:val="Bullet"/>
      </w:pPr>
      <w:r w:rsidRPr="00D85A4F">
        <w:t>a statement of both the mental and physical condition of the patient at the time of admission (such as reports prepared for the court and reports from prison in-reach teams)</w:t>
      </w:r>
      <w:r w:rsidR="00F8205A">
        <w:t>.</w:t>
      </w:r>
    </w:p>
    <w:p w14:paraId="3C1CA392" w14:textId="77777777" w:rsidR="00025FEB" w:rsidRPr="00D85A4F" w:rsidRDefault="00025FEB" w:rsidP="00025FEB"/>
    <w:p w14:paraId="31BBE331" w14:textId="77777777" w:rsidR="00025FEB" w:rsidRPr="00860331" w:rsidRDefault="00025FEB" w:rsidP="00025FEB">
      <w:r w:rsidRPr="00860331">
        <w:t xml:space="preserve">In practice, this information will be uploaded into the </w:t>
      </w:r>
      <w:r>
        <w:t>s</w:t>
      </w:r>
      <w:r w:rsidRPr="00860331">
        <w:t xml:space="preserve">pecial </w:t>
      </w:r>
      <w:r>
        <w:t>p</w:t>
      </w:r>
      <w:r w:rsidRPr="00860331">
        <w:t xml:space="preserve">atient </w:t>
      </w:r>
      <w:r>
        <w:t>m</w:t>
      </w:r>
      <w:r w:rsidRPr="00860331">
        <w:t xml:space="preserve">anagement </w:t>
      </w:r>
      <w:r>
        <w:t>s</w:t>
      </w:r>
      <w:r w:rsidRPr="00860331">
        <w:t>ystem (SPMS).</w:t>
      </w:r>
    </w:p>
    <w:p w14:paraId="1007AFC3" w14:textId="77777777" w:rsidR="00025FEB" w:rsidRDefault="00025FEB" w:rsidP="00025FEB">
      <w:pPr>
        <w:rPr>
          <w:b/>
          <w:bCs/>
        </w:rPr>
      </w:pPr>
    </w:p>
    <w:p w14:paraId="11EE80F8" w14:textId="011FDE08" w:rsidR="00025FEB" w:rsidRPr="00D85A4F" w:rsidRDefault="00025FEB" w:rsidP="00025FEB">
      <w:r>
        <w:t xml:space="preserve">The Ministry of Health </w:t>
      </w:r>
      <w:r w:rsidRPr="00D85A4F">
        <w:t>strongly recommend</w:t>
      </w:r>
      <w:r w:rsidR="005C0565">
        <w:t>s</w:t>
      </w:r>
      <w:r w:rsidRPr="00D85A4F">
        <w:t xml:space="preserve"> that </w:t>
      </w:r>
      <w:r w:rsidR="0064741B">
        <w:t xml:space="preserve">a special </w:t>
      </w:r>
      <w:r w:rsidRPr="00D85A4F">
        <w:t xml:space="preserve">patient's biometrical information (obtained pursuant to section 43A of the </w:t>
      </w:r>
      <w:r>
        <w:t>Mental Health Act</w:t>
      </w:r>
      <w:r w:rsidRPr="00D85A4F">
        <w:t xml:space="preserve">) is provided to the Director as soon as practicable after admission. </w:t>
      </w:r>
    </w:p>
    <w:p w14:paraId="05D65542" w14:textId="77777777" w:rsidR="00025FEB" w:rsidRPr="00D85A4F" w:rsidRDefault="00025FEB" w:rsidP="00025FEB"/>
    <w:p w14:paraId="0A916A12" w14:textId="77777777" w:rsidR="00025FEB" w:rsidRPr="00D85A4F" w:rsidRDefault="00025FEB" w:rsidP="00025FEB">
      <w:r w:rsidRPr="00D85A4F">
        <w:t>This information forms the basis of the Ministry’s special patient database.</w:t>
      </w:r>
    </w:p>
    <w:p w14:paraId="079EE4A6" w14:textId="77777777" w:rsidR="00025FEB" w:rsidRPr="00D85A4F" w:rsidRDefault="00025FEB" w:rsidP="00025FEB"/>
    <w:p w14:paraId="75B658F1" w14:textId="77777777" w:rsidR="00025FEB" w:rsidRPr="00D85A4F" w:rsidRDefault="00025FEB" w:rsidP="00025FEB">
      <w:r w:rsidRPr="00D85A4F">
        <w:t>Section 43 requires the DAMHS to ensure that the person in charge of a hospital sends notice to the Director of any of the following events that concern a special patient admitted to the hospital within 14 days of the occurrence of the event:</w:t>
      </w:r>
    </w:p>
    <w:p w14:paraId="6F7F0EEF" w14:textId="77777777" w:rsidR="00025FEB" w:rsidRPr="00D85A4F" w:rsidRDefault="00025FEB" w:rsidP="00D25422">
      <w:pPr>
        <w:pStyle w:val="Bullet"/>
      </w:pPr>
      <w:r w:rsidRPr="00D85A4F">
        <w:t xml:space="preserve">discharge from the hospital </w:t>
      </w:r>
    </w:p>
    <w:p w14:paraId="786CCA8D" w14:textId="77777777" w:rsidR="00025FEB" w:rsidRPr="00D85A4F" w:rsidRDefault="00025FEB" w:rsidP="00D25422">
      <w:pPr>
        <w:pStyle w:val="Bullet"/>
      </w:pPr>
      <w:r w:rsidRPr="00D85A4F">
        <w:t xml:space="preserve">transfer from the hospital </w:t>
      </w:r>
    </w:p>
    <w:p w14:paraId="00A37A70" w14:textId="77777777" w:rsidR="00025FEB" w:rsidRPr="00D85A4F" w:rsidRDefault="00025FEB" w:rsidP="00D25422">
      <w:pPr>
        <w:pStyle w:val="Bullet"/>
      </w:pPr>
      <w:r w:rsidRPr="00D85A4F">
        <w:t xml:space="preserve">absence on leave from the hospital </w:t>
      </w:r>
    </w:p>
    <w:p w14:paraId="1A9CCDDE" w14:textId="77777777" w:rsidR="00025FEB" w:rsidRPr="00D85A4F" w:rsidRDefault="00025FEB" w:rsidP="00D25422">
      <w:pPr>
        <w:pStyle w:val="Bullet"/>
      </w:pPr>
      <w:r w:rsidRPr="00D85A4F">
        <w:t xml:space="preserve">cancellation of leave from the hospital </w:t>
      </w:r>
    </w:p>
    <w:p w14:paraId="0C927374" w14:textId="77777777" w:rsidR="00025FEB" w:rsidRPr="00D85A4F" w:rsidRDefault="00025FEB" w:rsidP="00D25422">
      <w:pPr>
        <w:pStyle w:val="Bullet"/>
      </w:pPr>
      <w:r w:rsidRPr="00D85A4F">
        <w:t xml:space="preserve">return from leave </w:t>
      </w:r>
    </w:p>
    <w:p w14:paraId="6963D1C9" w14:textId="77777777" w:rsidR="00025FEB" w:rsidRPr="00D85A4F" w:rsidRDefault="00025FEB" w:rsidP="00D25422">
      <w:pPr>
        <w:pStyle w:val="Bullet"/>
      </w:pPr>
      <w:r w:rsidRPr="00D85A4F">
        <w:t xml:space="preserve">escape from the hospital </w:t>
      </w:r>
    </w:p>
    <w:p w14:paraId="7BBDB8B8" w14:textId="20DEAA18" w:rsidR="00C33FF2" w:rsidRPr="00D85A4F" w:rsidRDefault="00025FEB" w:rsidP="00D25422">
      <w:pPr>
        <w:pStyle w:val="Bullet"/>
      </w:pPr>
      <w:r w:rsidRPr="00D85A4F">
        <w:t>retaking after an escape.</w:t>
      </w:r>
    </w:p>
    <w:p w14:paraId="663847D5" w14:textId="77777777" w:rsidR="00DD1006" w:rsidRDefault="00DD1006" w:rsidP="00025FEB"/>
    <w:p w14:paraId="4040A5B1" w14:textId="19301F95" w:rsidR="00025FEB" w:rsidRPr="00D85A4F" w:rsidRDefault="00025FEB" w:rsidP="00DD1006">
      <w:r w:rsidRPr="00D85A4F">
        <w:t xml:space="preserve">Section 129 of the </w:t>
      </w:r>
      <w:r>
        <w:t>Mental Health Act</w:t>
      </w:r>
      <w:r w:rsidRPr="00D85A4F">
        <w:t xml:space="preserve"> requires DAMHS</w:t>
      </w:r>
      <w:r>
        <w:t>s</w:t>
      </w:r>
      <w:r w:rsidRPr="00D85A4F">
        <w:t xml:space="preserve"> to ensure that in every hospital or service the person in charge keeps a register of the admission and discharge of compulsory patients (including transfers and deaths), a register of restraint and seclusion, and any other records required by the Director. In practice</w:t>
      </w:r>
      <w:r>
        <w:t>,</w:t>
      </w:r>
      <w:r w:rsidRPr="00D85A4F">
        <w:t xml:space="preserve"> this information is collected and held in the RFMHS reportable event database. </w:t>
      </w:r>
      <w:r>
        <w:t xml:space="preserve">The Ministry </w:t>
      </w:r>
      <w:r w:rsidRPr="00D85A4F">
        <w:t>recommend</w:t>
      </w:r>
      <w:r>
        <w:t>s</w:t>
      </w:r>
      <w:r w:rsidRPr="00D85A4F">
        <w:t xml:space="preserve"> that RFMHS</w:t>
      </w:r>
      <w:r>
        <w:t>s</w:t>
      </w:r>
      <w:r w:rsidRPr="00D85A4F">
        <w:t xml:space="preserve"> work with their data entry staff to ensure that a high quality of data is entered into PRIMHD</w:t>
      </w:r>
      <w:r>
        <w:rPr>
          <w:rStyle w:val="FootnoteReference"/>
        </w:rPr>
        <w:footnoteReference w:id="3"/>
      </w:r>
      <w:r w:rsidRPr="00D85A4F">
        <w:t xml:space="preserve"> for this purpose. </w:t>
      </w:r>
    </w:p>
    <w:p w14:paraId="0B214574" w14:textId="77777777" w:rsidR="00025FEB" w:rsidRDefault="00025FEB" w:rsidP="00025FEB">
      <w:pPr>
        <w:spacing w:before="37" w:line="300" w:lineRule="exact"/>
        <w:ind w:right="2188"/>
        <w:jc w:val="both"/>
      </w:pPr>
    </w:p>
    <w:p w14:paraId="167237ED" w14:textId="77777777" w:rsidR="00025FEB" w:rsidRDefault="00025FEB" w:rsidP="00025FEB">
      <w:pPr>
        <w:pStyle w:val="References"/>
        <w:rPr>
          <w:b/>
          <w:color w:val="23305D"/>
          <w:spacing w:val="-10"/>
          <w:sz w:val="72"/>
        </w:rPr>
        <w:sectPr w:rsidR="00025FEB" w:rsidSect="003309CA">
          <w:headerReference w:type="default" r:id="rId22"/>
          <w:footerReference w:type="even" r:id="rId23"/>
          <w:footerReference w:type="default" r:id="rId24"/>
          <w:pgSz w:w="11907" w:h="16834" w:code="9"/>
          <w:pgMar w:top="1418" w:right="1701" w:bottom="1134" w:left="1843" w:header="284" w:footer="425" w:gutter="284"/>
          <w:pgNumType w:start="1"/>
          <w:cols w:space="720"/>
        </w:sectPr>
      </w:pPr>
      <w:bookmarkStart w:id="30" w:name="_bookmark70"/>
      <w:bookmarkEnd w:id="30"/>
    </w:p>
    <w:p w14:paraId="36D84F32" w14:textId="77777777" w:rsidR="00025FEB" w:rsidRDefault="00025FEB" w:rsidP="00025FEB">
      <w:pPr>
        <w:pStyle w:val="Heading1"/>
      </w:pPr>
      <w:bookmarkStart w:id="31" w:name="_Toc112862043"/>
      <w:bookmarkStart w:id="32" w:name="_Toc180497393"/>
      <w:r w:rsidRPr="00983E53">
        <w:t>Safety and security</w:t>
      </w:r>
      <w:bookmarkEnd w:id="31"/>
      <w:bookmarkEnd w:id="32"/>
    </w:p>
    <w:p w14:paraId="236311AC" w14:textId="77777777" w:rsidR="00025FEB" w:rsidRPr="00696B26" w:rsidRDefault="00025FEB" w:rsidP="00025FEB">
      <w:pPr>
        <w:pStyle w:val="Heading2"/>
      </w:pPr>
      <w:bookmarkStart w:id="33" w:name="_Toc112862044"/>
      <w:bookmarkStart w:id="34" w:name="_Toc180497394"/>
      <w:r w:rsidRPr="00696B26">
        <w:t>Travel restrictions</w:t>
      </w:r>
      <w:bookmarkEnd w:id="33"/>
      <w:bookmarkEnd w:id="34"/>
    </w:p>
    <w:p w14:paraId="2AA9CB87" w14:textId="77777777" w:rsidR="00025FEB" w:rsidRPr="00D85A4F" w:rsidRDefault="00025FEB" w:rsidP="00025FEB">
      <w:r w:rsidRPr="00696B26">
        <w:t>As a part of their orientation into an RFMHS, special patients need to be informed of security and safety conditions relating to their legal status. The following matters need to be covered in a format suitable to the condition and language of each patient</w:t>
      </w:r>
      <w:r w:rsidRPr="00D85A4F">
        <w:t>:</w:t>
      </w:r>
    </w:p>
    <w:p w14:paraId="4EF1BDED" w14:textId="77777777" w:rsidR="00025FEB" w:rsidRPr="00696B26" w:rsidRDefault="00025FEB" w:rsidP="00D25422">
      <w:pPr>
        <w:pStyle w:val="Bullet"/>
      </w:pPr>
      <w:r w:rsidRPr="00696B26">
        <w:t xml:space="preserve">the requirement to remain in a facility in Aotearoa New Zealand as a special patient unless granted leave </w:t>
      </w:r>
    </w:p>
    <w:p w14:paraId="2B101CAB" w14:textId="77777777" w:rsidR="00025FEB" w:rsidRPr="00696B26" w:rsidRDefault="00025FEB" w:rsidP="00D25422">
      <w:pPr>
        <w:pStyle w:val="Bullet"/>
      </w:pPr>
      <w:r w:rsidRPr="00696B26">
        <w:t xml:space="preserve">the fact that they will not be able to leave Aotearoa New Zealand without specific approval by the Minister </w:t>
      </w:r>
    </w:p>
    <w:p w14:paraId="2428915B" w14:textId="77777777" w:rsidR="00025FEB" w:rsidRPr="00696B26" w:rsidRDefault="00025FEB" w:rsidP="00D25422">
      <w:pPr>
        <w:pStyle w:val="Bullet"/>
      </w:pPr>
      <w:r w:rsidRPr="00696B26">
        <w:t>the fact that they may not leave the facility without leave being approved</w:t>
      </w:r>
    </w:p>
    <w:p w14:paraId="435D239B" w14:textId="77777777" w:rsidR="00025FEB" w:rsidRPr="00696B26" w:rsidRDefault="00025FEB" w:rsidP="00D25422">
      <w:pPr>
        <w:pStyle w:val="Bullet"/>
      </w:pPr>
      <w:r w:rsidRPr="00696B26">
        <w:t>the fact that they will be returned if they escape or are outside the facility without leave</w:t>
      </w:r>
    </w:p>
    <w:p w14:paraId="672BB916" w14:textId="77777777" w:rsidR="00025FEB" w:rsidRPr="00696B26" w:rsidRDefault="00025FEB" w:rsidP="00D25422">
      <w:pPr>
        <w:pStyle w:val="Bullet"/>
      </w:pPr>
      <w:r w:rsidRPr="00696B26">
        <w:t>the fact that their biometric information will be collected by the Director, the DAMHS or the person in charge of the hospital in which they are detained.</w:t>
      </w:r>
    </w:p>
    <w:p w14:paraId="136881A6" w14:textId="77777777" w:rsidR="00025FEB" w:rsidRPr="00D85A4F" w:rsidRDefault="00025FEB" w:rsidP="00025FEB"/>
    <w:p w14:paraId="2B426C10" w14:textId="77777777" w:rsidR="00025FEB" w:rsidRPr="00D85A4F" w:rsidRDefault="00025FEB" w:rsidP="00025FEB">
      <w:r w:rsidRPr="00D85A4F">
        <w:t>If the special patient is eligible for leave</w:t>
      </w:r>
      <w:r>
        <w:t>,</w:t>
      </w:r>
      <w:r w:rsidRPr="00D85A4F">
        <w:t xml:space="preserve"> they should be made aware that </w:t>
      </w:r>
      <w:r>
        <w:t xml:space="preserve">the </w:t>
      </w:r>
      <w:r w:rsidRPr="00D85A4F">
        <w:t>leave will have conditions attached, including:</w:t>
      </w:r>
    </w:p>
    <w:p w14:paraId="2E38627A" w14:textId="77777777" w:rsidR="00025FEB" w:rsidRPr="00696B26" w:rsidRDefault="00025FEB" w:rsidP="00D25422">
      <w:pPr>
        <w:pStyle w:val="Bullet"/>
      </w:pPr>
      <w:r w:rsidRPr="00696B26">
        <w:t>the requirement that they do not travel overseas</w:t>
      </w:r>
    </w:p>
    <w:p w14:paraId="4426B2CB" w14:textId="53FAFECF" w:rsidR="00025FEB" w:rsidRPr="00696B26" w:rsidRDefault="00025FEB" w:rsidP="00D25422">
      <w:pPr>
        <w:pStyle w:val="Bullet"/>
      </w:pPr>
      <w:r w:rsidRPr="00696B26">
        <w:t xml:space="preserve">if they are on unescorted leave in the community (short or long), </w:t>
      </w:r>
      <w:r w:rsidR="00190174">
        <w:t xml:space="preserve">the fact that </w:t>
      </w:r>
      <w:r w:rsidRPr="00696B26">
        <w:t>an overseas border alert will prevent them from departing Aotearoa New Zealand without permission</w:t>
      </w:r>
    </w:p>
    <w:p w14:paraId="1BA5F2BC" w14:textId="77777777" w:rsidR="00025FEB" w:rsidRPr="00696B26" w:rsidRDefault="00025FEB" w:rsidP="00D25422">
      <w:pPr>
        <w:pStyle w:val="Bullet"/>
      </w:pPr>
      <w:r w:rsidRPr="00696B26">
        <w:t>the fact that they will be returned to hospital if they breach any conditions of their leave</w:t>
      </w:r>
    </w:p>
    <w:p w14:paraId="485DD9BB" w14:textId="77777777" w:rsidR="00025FEB" w:rsidRPr="00696B26" w:rsidRDefault="00025FEB" w:rsidP="00D25422">
      <w:pPr>
        <w:pStyle w:val="Bullet"/>
      </w:pPr>
      <w:r w:rsidRPr="00696B26">
        <w:t>the requirement that they abstain from using alcohol or other illegal substances</w:t>
      </w:r>
    </w:p>
    <w:p w14:paraId="5376C70E" w14:textId="77777777" w:rsidR="00025FEB" w:rsidRPr="00696B26" w:rsidRDefault="00025FEB" w:rsidP="00D25422">
      <w:pPr>
        <w:pStyle w:val="Bullet"/>
      </w:pPr>
      <w:r w:rsidRPr="00696B26">
        <w:t xml:space="preserve">the requirement that they comply with any treatment their responsible clinician prescribes.  </w:t>
      </w:r>
    </w:p>
    <w:p w14:paraId="0EBF420D" w14:textId="77777777" w:rsidR="00025FEB" w:rsidRPr="00D85A4F" w:rsidRDefault="00025FEB" w:rsidP="00025FEB">
      <w:pPr>
        <w:pStyle w:val="Heading2"/>
      </w:pPr>
      <w:bookmarkStart w:id="35" w:name="_Toc83197057"/>
      <w:bookmarkStart w:id="36" w:name="_Toc112845441"/>
      <w:bookmarkStart w:id="37" w:name="_Toc112862045"/>
      <w:bookmarkStart w:id="38" w:name="_Toc180497395"/>
      <w:r w:rsidRPr="00D85A4F">
        <w:t>Photographing special patients</w:t>
      </w:r>
      <w:bookmarkEnd w:id="35"/>
      <w:bookmarkEnd w:id="36"/>
      <w:bookmarkEnd w:id="37"/>
      <w:bookmarkEnd w:id="38"/>
    </w:p>
    <w:p w14:paraId="5A5597A8" w14:textId="0F554F18" w:rsidR="00025FEB" w:rsidRPr="00D85A4F" w:rsidRDefault="00025FEB" w:rsidP="00025FEB">
      <w:r w:rsidRPr="00D85A4F">
        <w:t xml:space="preserve">Under section 43A of the </w:t>
      </w:r>
      <w:r>
        <w:t>Mental Health Act</w:t>
      </w:r>
      <w:r w:rsidRPr="00D85A4F">
        <w:t xml:space="preserve">, the Director, </w:t>
      </w:r>
      <w:r>
        <w:t xml:space="preserve">the </w:t>
      </w:r>
      <w:r w:rsidRPr="00D85A4F">
        <w:t>DAMHS or</w:t>
      </w:r>
      <w:r w:rsidR="00B15131">
        <w:t xml:space="preserve"> the</w:t>
      </w:r>
      <w:r w:rsidRPr="00D85A4F">
        <w:t xml:space="preserve"> person in charge of a hospital may direct the collection of biometric information from special patients. Biometric information comprises one or more of:</w:t>
      </w:r>
    </w:p>
    <w:p w14:paraId="20A7E4F2" w14:textId="77777777" w:rsidR="00025FEB" w:rsidRPr="00D85A4F" w:rsidRDefault="00025FEB" w:rsidP="00D25422">
      <w:pPr>
        <w:pStyle w:val="Bullet"/>
      </w:pPr>
      <w:r w:rsidRPr="00D85A4F">
        <w:t>a photograph of a person's head and shoulders, according to passport requirements (see below)</w:t>
      </w:r>
    </w:p>
    <w:p w14:paraId="6406D461" w14:textId="77777777" w:rsidR="00025FEB" w:rsidRPr="00D85A4F" w:rsidRDefault="00025FEB" w:rsidP="00D25422">
      <w:pPr>
        <w:pStyle w:val="Bullet"/>
      </w:pPr>
      <w:r w:rsidRPr="00D85A4F">
        <w:t>fingerprint impressions</w:t>
      </w:r>
    </w:p>
    <w:p w14:paraId="750E7D7A" w14:textId="77777777" w:rsidR="00025FEB" w:rsidRPr="00D85A4F" w:rsidRDefault="00025FEB" w:rsidP="00D25422">
      <w:pPr>
        <w:pStyle w:val="Bullet"/>
      </w:pPr>
      <w:r>
        <w:t xml:space="preserve">an </w:t>
      </w:r>
      <w:r w:rsidRPr="00D85A4F">
        <w:t xml:space="preserve">iris scan </w:t>
      </w:r>
    </w:p>
    <w:p w14:paraId="47F0B545" w14:textId="77777777" w:rsidR="00025FEB" w:rsidRPr="00D85A4F" w:rsidRDefault="00025FEB" w:rsidP="00D25422">
      <w:pPr>
        <w:pStyle w:val="Bullet"/>
      </w:pPr>
      <w:r>
        <w:t xml:space="preserve">an </w:t>
      </w:r>
      <w:r w:rsidRPr="00D85A4F">
        <w:t>electronic record of the information capable of being used for biometric matching.</w:t>
      </w:r>
    </w:p>
    <w:p w14:paraId="7866ECF5" w14:textId="77777777" w:rsidR="00025FEB" w:rsidRPr="00D85A4F" w:rsidRDefault="00025FEB" w:rsidP="00025FEB"/>
    <w:p w14:paraId="1F9D6B7E" w14:textId="77777777" w:rsidR="00025FEB" w:rsidRPr="00D85A4F" w:rsidRDefault="00025FEB" w:rsidP="00025FEB">
      <w:r w:rsidRPr="00D85A4F">
        <w:t>Photographing special patients will strengthen the management, safety and security of special patients by:</w:t>
      </w:r>
    </w:p>
    <w:p w14:paraId="7531773E" w14:textId="77777777" w:rsidR="00025FEB" w:rsidRPr="00D85A4F" w:rsidRDefault="00025FEB" w:rsidP="00D25422">
      <w:pPr>
        <w:pStyle w:val="Bullet"/>
      </w:pPr>
      <w:r w:rsidRPr="00D85A4F">
        <w:t>identifying special patients to staff</w:t>
      </w:r>
    </w:p>
    <w:p w14:paraId="05B887C1" w14:textId="77777777" w:rsidR="00025FEB" w:rsidRPr="00D85A4F" w:rsidRDefault="00025FEB" w:rsidP="00D25422">
      <w:pPr>
        <w:pStyle w:val="Bullet"/>
      </w:pPr>
      <w:r w:rsidRPr="00D85A4F">
        <w:t>providing identification in the case of an emergency, including a natural disaster</w:t>
      </w:r>
    </w:p>
    <w:p w14:paraId="133C9EE7" w14:textId="6CC9951C" w:rsidR="00025FEB" w:rsidRPr="00D85A4F" w:rsidRDefault="00025FEB" w:rsidP="00D25422">
      <w:pPr>
        <w:pStyle w:val="Bullet"/>
      </w:pPr>
      <w:r w:rsidRPr="00D85A4F">
        <w:t xml:space="preserve">assisting in identification with </w:t>
      </w:r>
      <w:r w:rsidR="005958FA">
        <w:t xml:space="preserve">the </w:t>
      </w:r>
      <w:r w:rsidRPr="00D85A4F">
        <w:t xml:space="preserve">New Zealand Customs </w:t>
      </w:r>
      <w:r w:rsidR="005958FA">
        <w:t xml:space="preserve">Service </w:t>
      </w:r>
      <w:r w:rsidRPr="00D85A4F">
        <w:t>(Customs) if travel alerts are in place</w:t>
      </w:r>
    </w:p>
    <w:p w14:paraId="17A8C8B4" w14:textId="4AB8C6D4" w:rsidR="00025FEB" w:rsidRPr="00D85A4F" w:rsidRDefault="00025FEB" w:rsidP="00D25422">
      <w:pPr>
        <w:pStyle w:val="Bullet"/>
      </w:pPr>
      <w:r w:rsidRPr="00D85A4F">
        <w:t xml:space="preserve">assisting other agencies (such as the New Zealand Police (the </w:t>
      </w:r>
      <w:r>
        <w:t>p</w:t>
      </w:r>
      <w:r w:rsidRPr="00D85A4F">
        <w:t>olice)) to search for any special patient who is absent without leave</w:t>
      </w:r>
      <w:r w:rsidR="006D439A">
        <w:t xml:space="preserve"> (AWOL)</w:t>
      </w:r>
      <w:r w:rsidRPr="00D85A4F">
        <w:t>, and to warn the public if there are dangers in approaching the person.</w:t>
      </w:r>
    </w:p>
    <w:p w14:paraId="4128717D" w14:textId="77777777" w:rsidR="00025FEB" w:rsidRPr="00D85A4F" w:rsidRDefault="00025FEB" w:rsidP="00025FEB"/>
    <w:p w14:paraId="4796A8EB" w14:textId="6661F50E" w:rsidR="00025FEB" w:rsidRPr="00D85A4F" w:rsidRDefault="00025FEB" w:rsidP="00025FEB">
      <w:r>
        <w:t xml:space="preserve">The Ministry </w:t>
      </w:r>
      <w:r w:rsidR="00396985">
        <w:t xml:space="preserve">of Health </w:t>
      </w:r>
      <w:r>
        <w:t xml:space="preserve">suggests constructing a </w:t>
      </w:r>
      <w:r w:rsidRPr="00D85A4F">
        <w:t xml:space="preserve">client profile </w:t>
      </w:r>
      <w:r>
        <w:t xml:space="preserve">that </w:t>
      </w:r>
      <w:r w:rsidRPr="00D85A4F">
        <w:t xml:space="preserve">contains </w:t>
      </w:r>
      <w:r>
        <w:t xml:space="preserve">the following </w:t>
      </w:r>
      <w:r w:rsidRPr="00D85A4F">
        <w:t>information</w:t>
      </w:r>
      <w:r>
        <w:t>, verified where possible,</w:t>
      </w:r>
      <w:r w:rsidRPr="00D85A4F">
        <w:t xml:space="preserve"> that can be used to assist biometric matching</w:t>
      </w:r>
      <w:r>
        <w:t>:</w:t>
      </w:r>
      <w:r w:rsidRPr="00D85A4F">
        <w:t xml:space="preserve"> </w:t>
      </w:r>
    </w:p>
    <w:p w14:paraId="79DB1769" w14:textId="77777777" w:rsidR="00025FEB" w:rsidRPr="00696B26" w:rsidRDefault="00025FEB" w:rsidP="00D25422">
      <w:pPr>
        <w:pStyle w:val="Bullet"/>
      </w:pPr>
      <w:r w:rsidRPr="00696B26">
        <w:t>name (registered at birth or on first entry to Aotearoa New Zealand)</w:t>
      </w:r>
    </w:p>
    <w:p w14:paraId="651E0164" w14:textId="77777777" w:rsidR="00025FEB" w:rsidRPr="00696B26" w:rsidRDefault="00025FEB" w:rsidP="00D25422">
      <w:pPr>
        <w:pStyle w:val="Bullet"/>
      </w:pPr>
      <w:r w:rsidRPr="00696B26">
        <w:t>preferred name</w:t>
      </w:r>
    </w:p>
    <w:p w14:paraId="4B28490C" w14:textId="77777777" w:rsidR="00025FEB" w:rsidRPr="00696B26" w:rsidRDefault="00025FEB" w:rsidP="00D25422">
      <w:pPr>
        <w:pStyle w:val="Bullet"/>
      </w:pPr>
      <w:r w:rsidRPr="00696B26">
        <w:t xml:space="preserve">alternative names and aliases </w:t>
      </w:r>
    </w:p>
    <w:p w14:paraId="63872487" w14:textId="77777777" w:rsidR="00025FEB" w:rsidRPr="00696B26" w:rsidRDefault="00025FEB" w:rsidP="00D25422">
      <w:pPr>
        <w:pStyle w:val="Bullet"/>
      </w:pPr>
      <w:r w:rsidRPr="00696B26">
        <w:t>National Health Index (NHI) number</w:t>
      </w:r>
    </w:p>
    <w:p w14:paraId="529140B5" w14:textId="77777777" w:rsidR="00025FEB" w:rsidRPr="00696B26" w:rsidRDefault="00025FEB" w:rsidP="00D25422">
      <w:pPr>
        <w:pStyle w:val="Bullet"/>
      </w:pPr>
      <w:r w:rsidRPr="00696B26">
        <w:t xml:space="preserve">photograph </w:t>
      </w:r>
    </w:p>
    <w:p w14:paraId="296C4EA6" w14:textId="77777777" w:rsidR="00025FEB" w:rsidRPr="00696B26" w:rsidRDefault="00025FEB" w:rsidP="00D25422">
      <w:pPr>
        <w:pStyle w:val="Bullet"/>
      </w:pPr>
      <w:r w:rsidRPr="00696B26">
        <w:t>date photograph was taken</w:t>
      </w:r>
    </w:p>
    <w:p w14:paraId="3B12098D" w14:textId="77777777" w:rsidR="00025FEB" w:rsidRPr="00696B26" w:rsidRDefault="00025FEB" w:rsidP="00D25422">
      <w:pPr>
        <w:pStyle w:val="Bullet"/>
      </w:pPr>
      <w:r w:rsidRPr="00696B26">
        <w:t>date of birth</w:t>
      </w:r>
    </w:p>
    <w:p w14:paraId="3E05387F" w14:textId="77777777" w:rsidR="00025FEB" w:rsidRPr="00696B26" w:rsidRDefault="00025FEB" w:rsidP="00D25422">
      <w:pPr>
        <w:pStyle w:val="Bullet"/>
      </w:pPr>
      <w:r w:rsidRPr="00696B26">
        <w:t>place of birth</w:t>
      </w:r>
    </w:p>
    <w:p w14:paraId="6955248B" w14:textId="77777777" w:rsidR="00025FEB" w:rsidRPr="00696B26" w:rsidRDefault="00025FEB" w:rsidP="00D25422">
      <w:pPr>
        <w:pStyle w:val="Bullet"/>
      </w:pPr>
      <w:r w:rsidRPr="00696B26">
        <w:t>type of leave currently on</w:t>
      </w:r>
    </w:p>
    <w:p w14:paraId="0267E27C" w14:textId="77777777" w:rsidR="00025FEB" w:rsidRPr="00696B26" w:rsidRDefault="00025FEB" w:rsidP="00D25422">
      <w:pPr>
        <w:pStyle w:val="Bullet"/>
      </w:pPr>
      <w:r w:rsidRPr="00696B26">
        <w:t>registered victim (Yes or No).</w:t>
      </w:r>
    </w:p>
    <w:p w14:paraId="6668576E" w14:textId="77777777" w:rsidR="00025FEB" w:rsidRPr="00D85A4F" w:rsidRDefault="00025FEB" w:rsidP="00025FEB"/>
    <w:p w14:paraId="4BEF137E" w14:textId="231041BE" w:rsidR="00025FEB" w:rsidRDefault="00025FEB" w:rsidP="00025FEB">
      <w:r w:rsidRPr="00D85A4F">
        <w:t xml:space="preserve">This information will make it easier to place overseas border alerts on special patients who are on ministerial long leave </w:t>
      </w:r>
      <w:r w:rsidR="00C35EAA">
        <w:t xml:space="preserve">(see </w:t>
      </w:r>
      <w:r w:rsidR="006932D1">
        <w:t>s</w:t>
      </w:r>
      <w:r w:rsidR="00C35EAA">
        <w:t xml:space="preserve">ection 7) </w:t>
      </w:r>
      <w:r w:rsidRPr="00D85A4F">
        <w:t xml:space="preserve">or unescorted short leave. </w:t>
      </w:r>
    </w:p>
    <w:p w14:paraId="2DCBB545" w14:textId="77777777" w:rsidR="00025FEB" w:rsidRDefault="00025FEB" w:rsidP="00025FEB"/>
    <w:p w14:paraId="7AF5F280" w14:textId="5F0E33B9" w:rsidR="00025FEB" w:rsidRDefault="00025FEB" w:rsidP="00025FEB">
      <w:r w:rsidRPr="00D85A4F">
        <w:t>When a special patient first enters a</w:t>
      </w:r>
      <w:r>
        <w:t>n</w:t>
      </w:r>
      <w:r w:rsidRPr="00D85A4F">
        <w:t xml:space="preserve"> RFMHS, the RFMHS </w:t>
      </w:r>
      <w:r w:rsidRPr="00AF0630">
        <w:t xml:space="preserve">should require them to sign a </w:t>
      </w:r>
      <w:r w:rsidRPr="00216178">
        <w:t xml:space="preserve">form </w:t>
      </w:r>
      <w:r w:rsidRPr="00AF0630">
        <w:t>authorising the provision of a photograph along with the supporting information</w:t>
      </w:r>
      <w:r>
        <w:t xml:space="preserve">. </w:t>
      </w:r>
      <w:r>
        <w:rPr>
          <w:color w:val="000000"/>
        </w:rPr>
        <w:t xml:space="preserve">The form should include information for the special patient about what the information is likely to be used for, who it is likely to be shared with and why it is being collected. The special patient should be informed as a part of this process </w:t>
      </w:r>
      <w:r>
        <w:t xml:space="preserve">that refusal to provide this biometric information may have negative consequences for their subsequent leave applications (and why), and </w:t>
      </w:r>
      <w:r w:rsidR="005C7DEF">
        <w:t xml:space="preserve">should </w:t>
      </w:r>
      <w:r>
        <w:t xml:space="preserve">also </w:t>
      </w:r>
      <w:r w:rsidR="005C7DEF">
        <w:t xml:space="preserve">receive </w:t>
      </w:r>
      <w:r>
        <w:t xml:space="preserve">information on how </w:t>
      </w:r>
      <w:r w:rsidR="004D2165">
        <w:t xml:space="preserve">they </w:t>
      </w:r>
      <w:r>
        <w:t>may request and access their own information if they want it.</w:t>
      </w:r>
    </w:p>
    <w:p w14:paraId="486521EB" w14:textId="77777777" w:rsidR="00025FEB" w:rsidRDefault="00025FEB" w:rsidP="00025FEB">
      <w:pPr>
        <w:rPr>
          <w:color w:val="000000"/>
        </w:rPr>
      </w:pPr>
    </w:p>
    <w:p w14:paraId="6AD3134E" w14:textId="3EE328F5" w:rsidR="00025FEB" w:rsidRPr="00D85A4F" w:rsidRDefault="00025FEB" w:rsidP="00025FEB">
      <w:pPr>
        <w:rPr>
          <w:color w:val="000000"/>
        </w:rPr>
      </w:pPr>
      <w:r w:rsidRPr="00D85A4F">
        <w:rPr>
          <w:color w:val="000000"/>
        </w:rPr>
        <w:t xml:space="preserve">Guidance on the appropriate quality for special patient photographs can be found on </w:t>
      </w:r>
      <w:r w:rsidR="00A772D3">
        <w:rPr>
          <w:color w:val="000000"/>
        </w:rPr>
        <w:t>Internal Affairs’ webpage ‘Passport photos’</w:t>
      </w:r>
      <w:r w:rsidRPr="00D85A4F">
        <w:rPr>
          <w:color w:val="000000"/>
        </w:rPr>
        <w:t xml:space="preserve">: </w:t>
      </w:r>
      <w:hyperlink r:id="rId25" w:history="1">
        <w:r w:rsidRPr="00D85A4F">
          <w:rPr>
            <w:rStyle w:val="Hyperlink"/>
          </w:rPr>
          <w:t>www.passports.govt.nz/passport-photos/</w:t>
        </w:r>
      </w:hyperlink>
      <w:r w:rsidRPr="00D85A4F">
        <w:rPr>
          <w:color w:val="000000"/>
        </w:rPr>
        <w:t xml:space="preserve">. </w:t>
      </w:r>
    </w:p>
    <w:p w14:paraId="3E98767F" w14:textId="77777777" w:rsidR="00025FEB" w:rsidRPr="00D85A4F" w:rsidRDefault="00025FEB" w:rsidP="00025FEB"/>
    <w:p w14:paraId="7A06B3FC" w14:textId="426B2378" w:rsidR="00025FEB" w:rsidRPr="00D85A4F" w:rsidRDefault="00025FEB" w:rsidP="00025FEB">
      <w:r>
        <w:t xml:space="preserve">Individual </w:t>
      </w:r>
      <w:r w:rsidRPr="00D85A4F">
        <w:t>RFMHS</w:t>
      </w:r>
      <w:r>
        <w:t>s</w:t>
      </w:r>
      <w:r w:rsidRPr="00D85A4F">
        <w:t xml:space="preserve"> may develop their own processes for taking photographs</w:t>
      </w:r>
      <w:r>
        <w:t>,</w:t>
      </w:r>
      <w:r w:rsidRPr="00D85A4F">
        <w:t xml:space="preserve"> provided that </w:t>
      </w:r>
      <w:r>
        <w:t xml:space="preserve">they follow </w:t>
      </w:r>
      <w:r w:rsidRPr="00D85A4F">
        <w:t xml:space="preserve">the consent, storage and disposal protocols </w:t>
      </w:r>
      <w:r w:rsidR="00014ACB">
        <w:t xml:space="preserve">set out </w:t>
      </w:r>
      <w:r w:rsidRPr="00D85A4F">
        <w:t>in this section. Some RFMHS</w:t>
      </w:r>
      <w:r>
        <w:t>s</w:t>
      </w:r>
      <w:r w:rsidRPr="00D85A4F">
        <w:t xml:space="preserve"> may have the facility to take photographs</w:t>
      </w:r>
      <w:r>
        <w:t xml:space="preserve">; a </w:t>
      </w:r>
      <w:r w:rsidRPr="00D85A4F">
        <w:t>photographer can attend the forensic unit. In such instances, photographs should be taken with a forensic staff member present. An alternative is to purchase a digital camera and have a staff member take the photograph. Personal cameras or cell phones should not be used.</w:t>
      </w:r>
    </w:p>
    <w:p w14:paraId="6E33C02F" w14:textId="77777777" w:rsidR="00025FEB" w:rsidRPr="00D85A4F" w:rsidRDefault="00025FEB" w:rsidP="00025FEB"/>
    <w:p w14:paraId="5260ABCE" w14:textId="77777777" w:rsidR="00025FEB" w:rsidRPr="00D85A4F" w:rsidRDefault="00025FEB" w:rsidP="00025FEB">
      <w:r w:rsidRPr="00D85A4F">
        <w:t xml:space="preserve">Each photograph must be stored electronically and in hard copy. The </w:t>
      </w:r>
      <w:r>
        <w:t xml:space="preserve">profile form and </w:t>
      </w:r>
      <w:r w:rsidRPr="00D85A4F">
        <w:t xml:space="preserve">photograph should be treated as part of the patient’s record and be stored as part of </w:t>
      </w:r>
      <w:r>
        <w:t xml:space="preserve">the </w:t>
      </w:r>
      <w:r w:rsidRPr="00D85A4F">
        <w:t xml:space="preserve">RFMHS’s patient management system, to meet the requirements of the Public </w:t>
      </w:r>
      <w:r>
        <w:t xml:space="preserve">Records </w:t>
      </w:r>
      <w:r w:rsidRPr="00D85A4F">
        <w:t>Act 200</w:t>
      </w:r>
      <w:r>
        <w:t>5</w:t>
      </w:r>
      <w:r w:rsidRPr="00D85A4F">
        <w:t xml:space="preserve"> (and the</w:t>
      </w:r>
      <w:r>
        <w:t xml:space="preserve"> </w:t>
      </w:r>
      <w:r w:rsidRPr="00D85A4F">
        <w:t xml:space="preserve">Health Information Privacy Code 2020). The image on the camera should be deleted once the photograph </w:t>
      </w:r>
      <w:r>
        <w:t xml:space="preserve">has been </w:t>
      </w:r>
      <w:r w:rsidRPr="00D85A4F">
        <w:t>taken.</w:t>
      </w:r>
    </w:p>
    <w:p w14:paraId="61ABEADB" w14:textId="77777777" w:rsidR="00025FEB" w:rsidRPr="00D85A4F" w:rsidRDefault="00025FEB" w:rsidP="00025FEB"/>
    <w:p w14:paraId="1B5DB86A" w14:textId="77777777" w:rsidR="00025FEB" w:rsidRPr="00D85A4F" w:rsidRDefault="00025FEB" w:rsidP="00025FEB">
      <w:r w:rsidRPr="00D85A4F">
        <w:t>Photographs should be updated at least every five years while the person remains a special patient.</w:t>
      </w:r>
    </w:p>
    <w:p w14:paraId="757880B6" w14:textId="77777777" w:rsidR="00025FEB" w:rsidRPr="00D85A4F" w:rsidRDefault="00025FEB" w:rsidP="00025FEB"/>
    <w:p w14:paraId="2AEECDE4" w14:textId="77777777" w:rsidR="00025FEB" w:rsidRPr="00D85A4F" w:rsidRDefault="00025FEB" w:rsidP="00025FEB">
      <w:r w:rsidRPr="00D85A4F">
        <w:t>The DAMHS must ensure that</w:t>
      </w:r>
      <w:r>
        <w:t>,</w:t>
      </w:r>
      <w:r w:rsidRPr="00D85A4F">
        <w:t xml:space="preserve"> if an individual’s status as a special patient is lifted</w:t>
      </w:r>
      <w:r>
        <w:t>,</w:t>
      </w:r>
      <w:r w:rsidRPr="00D85A4F">
        <w:t xml:space="preserve"> all photographs (including any negatives or digital or other records of the photographs) taken during the special patient’s detention will be kept in accordance with the</w:t>
      </w:r>
      <w:r>
        <w:t xml:space="preserve"> relevant sector standards,</w:t>
      </w:r>
      <w:r w:rsidRPr="00D85A4F">
        <w:t xml:space="preserve"> </w:t>
      </w:r>
      <w:r>
        <w:t xml:space="preserve">the Privacy Act 2020 (and the Health Information Privacy Code 2020), the </w:t>
      </w:r>
      <w:r w:rsidRPr="00D85A4F">
        <w:t>Public Records Act 2005</w:t>
      </w:r>
      <w:r>
        <w:t xml:space="preserve"> and the </w:t>
      </w:r>
      <w:r w:rsidRPr="006F3676">
        <w:t>Health (Retention of Information) Regulations 1996.</w:t>
      </w:r>
    </w:p>
    <w:p w14:paraId="265D5C67" w14:textId="77777777" w:rsidR="00025FEB" w:rsidRPr="00D85A4F" w:rsidRDefault="00025FEB" w:rsidP="00025FEB"/>
    <w:p w14:paraId="66AE9436" w14:textId="77777777" w:rsidR="00025FEB" w:rsidRPr="00D85A4F" w:rsidRDefault="00025FEB" w:rsidP="00025FEB">
      <w:r w:rsidRPr="00D85A4F">
        <w:t xml:space="preserve">If a special patient refuses to provide the biometric information requested for the purpose of section 43A </w:t>
      </w:r>
      <w:r>
        <w:t>of the Mental Health Act</w:t>
      </w:r>
      <w:r w:rsidRPr="00447A2C">
        <w:t>, the Director must be informed for the purpose of determining the conditions of subsequent leave applications</w:t>
      </w:r>
      <w:r w:rsidRPr="007920A4">
        <w:t>.</w:t>
      </w:r>
      <w:r>
        <w:t xml:space="preserve">  </w:t>
      </w:r>
    </w:p>
    <w:p w14:paraId="5278CFAE" w14:textId="77777777" w:rsidR="00025FEB" w:rsidRPr="00D85A4F" w:rsidRDefault="00025FEB" w:rsidP="00025FEB">
      <w:pPr>
        <w:pStyle w:val="Heading2"/>
      </w:pPr>
      <w:bookmarkStart w:id="39" w:name="_Toc83197058"/>
      <w:bookmarkStart w:id="40" w:name="_Toc112845442"/>
      <w:bookmarkStart w:id="41" w:name="_Toc112862046"/>
      <w:bookmarkStart w:id="42" w:name="_Toc180497396"/>
      <w:r w:rsidRPr="00D85A4F">
        <w:t>Flight risk assessment</w:t>
      </w:r>
      <w:bookmarkEnd w:id="39"/>
      <w:bookmarkEnd w:id="40"/>
      <w:bookmarkEnd w:id="41"/>
      <w:bookmarkEnd w:id="42"/>
    </w:p>
    <w:p w14:paraId="7FC42DE8" w14:textId="77777777" w:rsidR="00025FEB" w:rsidRPr="00D85A4F" w:rsidRDefault="00025FEB" w:rsidP="00025FEB">
      <w:r w:rsidRPr="00D85A4F">
        <w:t>A</w:t>
      </w:r>
      <w:r>
        <w:t>n RFMHS should conduct a</w:t>
      </w:r>
      <w:r w:rsidRPr="00D85A4F">
        <w:t xml:space="preserve"> flight risk assessment for every special patient </w:t>
      </w:r>
      <w:r>
        <w:t>on entry</w:t>
      </w:r>
      <w:r w:rsidRPr="00D85A4F">
        <w:t>. The flight risk assessment should identify the level of risk (high, medium or low) and be supported by a summary of reasons underlying the assessed level of risk.</w:t>
      </w:r>
    </w:p>
    <w:p w14:paraId="24222C79" w14:textId="77777777" w:rsidR="00025FEB" w:rsidRPr="00D85A4F" w:rsidRDefault="00025FEB" w:rsidP="00025FEB"/>
    <w:p w14:paraId="4E10D5EE" w14:textId="77777777" w:rsidR="00025FEB" w:rsidRPr="00D85A4F" w:rsidRDefault="00025FEB" w:rsidP="00025FEB">
      <w:r w:rsidRPr="00D85A4F">
        <w:t>Factors to consider when assessing for flight risk include:</w:t>
      </w:r>
    </w:p>
    <w:p w14:paraId="76EBD93C" w14:textId="77777777" w:rsidR="00025FEB" w:rsidRPr="00696B26" w:rsidRDefault="00025FEB" w:rsidP="00D25422">
      <w:pPr>
        <w:pStyle w:val="Bullet"/>
      </w:pPr>
      <w:r w:rsidRPr="00696B26">
        <w:t>dual citizenship</w:t>
      </w:r>
    </w:p>
    <w:p w14:paraId="50F9C177" w14:textId="77777777" w:rsidR="00025FEB" w:rsidRPr="00696B26" w:rsidRDefault="00025FEB" w:rsidP="00D25422">
      <w:pPr>
        <w:pStyle w:val="Bullet"/>
      </w:pPr>
      <w:r w:rsidRPr="00696B26">
        <w:t>relatives or connections overseas</w:t>
      </w:r>
    </w:p>
    <w:p w14:paraId="187FD703" w14:textId="77777777" w:rsidR="00025FEB" w:rsidRPr="00696B26" w:rsidRDefault="00025FEB" w:rsidP="00D25422">
      <w:pPr>
        <w:pStyle w:val="Bullet"/>
      </w:pPr>
      <w:r w:rsidRPr="00696B26">
        <w:t>financial circumstances</w:t>
      </w:r>
    </w:p>
    <w:p w14:paraId="7B684D53" w14:textId="77777777" w:rsidR="00025FEB" w:rsidRPr="00696B26" w:rsidRDefault="00025FEB" w:rsidP="00D25422">
      <w:pPr>
        <w:pStyle w:val="Bullet"/>
      </w:pPr>
      <w:r w:rsidRPr="00696B26">
        <w:t>expressed desire to travel</w:t>
      </w:r>
    </w:p>
    <w:p w14:paraId="6B6B750B" w14:textId="77777777" w:rsidR="00025FEB" w:rsidRPr="00696B26" w:rsidRDefault="00025FEB" w:rsidP="00D25422">
      <w:pPr>
        <w:pStyle w:val="Bullet"/>
      </w:pPr>
      <w:r w:rsidRPr="00696B26">
        <w:t>other incentives to travel</w:t>
      </w:r>
    </w:p>
    <w:p w14:paraId="147605A2" w14:textId="77777777" w:rsidR="00025FEB" w:rsidRPr="00696B26" w:rsidRDefault="00025FEB" w:rsidP="00D25422">
      <w:pPr>
        <w:pStyle w:val="Bullet"/>
      </w:pPr>
      <w:r w:rsidRPr="00696B26">
        <w:t>possession of current passport/passports.</w:t>
      </w:r>
    </w:p>
    <w:p w14:paraId="0EC2DB37" w14:textId="77777777" w:rsidR="00025FEB" w:rsidRPr="00D85A4F" w:rsidRDefault="00025FEB" w:rsidP="00025FEB"/>
    <w:p w14:paraId="64608BC5" w14:textId="77777777" w:rsidR="00025FEB" w:rsidRDefault="00025FEB" w:rsidP="00025FEB">
      <w:r w:rsidRPr="00D85A4F">
        <w:t xml:space="preserve">The patient’s current management plan should indicate the steps that </w:t>
      </w:r>
      <w:r>
        <w:t xml:space="preserve">the RFMHS has </w:t>
      </w:r>
      <w:r w:rsidRPr="00D85A4F">
        <w:t>taken to mitigate these risks.</w:t>
      </w:r>
    </w:p>
    <w:p w14:paraId="66DEE6A5" w14:textId="77777777" w:rsidR="00025FEB" w:rsidRPr="00696B26" w:rsidRDefault="00025FEB" w:rsidP="00025FEB">
      <w:pPr>
        <w:pStyle w:val="Heading3"/>
      </w:pPr>
      <w:r w:rsidRPr="00696B26">
        <w:t>Overseas border alerts</w:t>
      </w:r>
    </w:p>
    <w:p w14:paraId="10433F3B" w14:textId="77777777" w:rsidR="00025FEB" w:rsidRPr="00D85A4F" w:rsidRDefault="00025FEB" w:rsidP="00025FEB">
      <w:r w:rsidRPr="00D85A4F">
        <w:t xml:space="preserve">A planned overseas border alert needs to be in place for any special patient who has ministerial long leave or unescorted short leave in the community. </w:t>
      </w:r>
    </w:p>
    <w:p w14:paraId="7EDD7480" w14:textId="77777777" w:rsidR="00025FEB" w:rsidRPr="00D85A4F" w:rsidRDefault="00025FEB" w:rsidP="00025FEB"/>
    <w:p w14:paraId="10CB49F0" w14:textId="77777777" w:rsidR="00025FEB" w:rsidRPr="00D85A4F" w:rsidRDefault="00025FEB" w:rsidP="00025FEB">
      <w:r w:rsidRPr="00D85A4F">
        <w:t>When a special patient is granted unescorted short leave for the first time, travel restrictions (an overseas border alert and passport block) need to be instigated. To do this, the Office of the Director will notify two external agencies, Interpol (</w:t>
      </w:r>
      <w:r>
        <w:t xml:space="preserve">overseeing </w:t>
      </w:r>
      <w:r w:rsidRPr="00D85A4F">
        <w:t>border alerts) and the Department of Internal Affairs (</w:t>
      </w:r>
      <w:r>
        <w:t xml:space="preserve">overseeing </w:t>
      </w:r>
      <w:r w:rsidRPr="00D85A4F">
        <w:t>passport blocks).</w:t>
      </w:r>
    </w:p>
    <w:p w14:paraId="73AABABC" w14:textId="2BA7164C" w:rsidR="00025FEB" w:rsidRPr="00D85A4F" w:rsidRDefault="00025FEB" w:rsidP="00025FEB">
      <w:r w:rsidRPr="00D85A4F">
        <w:t xml:space="preserve">Emergency overseas border alerts can be placed where a special patient escapes or is otherwise </w:t>
      </w:r>
      <w:r w:rsidR="006D439A">
        <w:t>AWOL</w:t>
      </w:r>
      <w:r w:rsidRPr="00D85A4F">
        <w:t>.</w:t>
      </w:r>
    </w:p>
    <w:p w14:paraId="77CAA52C" w14:textId="77777777" w:rsidR="00025FEB" w:rsidRPr="00D85A4F" w:rsidRDefault="00025FEB" w:rsidP="00025FEB"/>
    <w:p w14:paraId="342F71F6" w14:textId="77777777" w:rsidR="00025FEB" w:rsidRPr="00D85A4F" w:rsidRDefault="00025FEB" w:rsidP="00025FEB">
      <w:r w:rsidRPr="00D85A4F">
        <w:t xml:space="preserve">The RFMHS is responsible for placing and removing emergency overseas border alerts for special patients. </w:t>
      </w:r>
      <w:r>
        <w:t>Section 6.3.1 of these guidelines sets out d</w:t>
      </w:r>
      <w:r w:rsidRPr="00D85A4F">
        <w:t>etails of the process for placing an emergency overseas border alert.</w:t>
      </w:r>
    </w:p>
    <w:p w14:paraId="1B33B047" w14:textId="77777777" w:rsidR="00025FEB" w:rsidRPr="00D85A4F" w:rsidRDefault="00025FEB" w:rsidP="00025FEB"/>
    <w:p w14:paraId="28FE5954" w14:textId="152C7630" w:rsidR="00025FEB" w:rsidRPr="00D85A4F" w:rsidRDefault="00025FEB" w:rsidP="00025FEB">
      <w:r w:rsidRPr="00D85A4F">
        <w:t>In the rare event that a special patient is granted leave and approval to travel overseas, the overseas border alert need</w:t>
      </w:r>
      <w:r w:rsidR="00FF366C">
        <w:t>s</w:t>
      </w:r>
      <w:r w:rsidRPr="00D85A4F">
        <w:t xml:space="preserve"> to be removed </w:t>
      </w:r>
      <w:r w:rsidR="00FF366C">
        <w:t xml:space="preserve">for this purpose </w:t>
      </w:r>
      <w:r w:rsidRPr="00D85A4F">
        <w:t xml:space="preserve">and </w:t>
      </w:r>
      <w:r w:rsidR="00FF366C">
        <w:t xml:space="preserve">then </w:t>
      </w:r>
      <w:r w:rsidRPr="00D85A4F">
        <w:t xml:space="preserve">reinstated on </w:t>
      </w:r>
      <w:r w:rsidR="00FF366C">
        <w:t xml:space="preserve">the patient’s </w:t>
      </w:r>
      <w:r w:rsidRPr="00D85A4F">
        <w:t>return.</w:t>
      </w:r>
    </w:p>
    <w:p w14:paraId="40B5B492" w14:textId="77777777" w:rsidR="00025FEB" w:rsidRPr="00D85A4F" w:rsidRDefault="00025FEB" w:rsidP="00025FEB"/>
    <w:p w14:paraId="15DD22B4" w14:textId="77777777" w:rsidR="00025FEB" w:rsidRPr="00D85A4F" w:rsidRDefault="00025FEB" w:rsidP="00025FEB">
      <w:r w:rsidRPr="00D85A4F">
        <w:t>When a special patient is granted a change of status,</w:t>
      </w:r>
      <w:r>
        <w:t xml:space="preserve"> the Office of the Director will remove</w:t>
      </w:r>
      <w:r w:rsidRPr="00D85A4F">
        <w:t xml:space="preserve"> travel restrictions (an overseas border alert and passport block) as soon as the Office of the Director is notified of </w:t>
      </w:r>
      <w:r>
        <w:t xml:space="preserve">the </w:t>
      </w:r>
      <w:r w:rsidRPr="00D85A4F">
        <w:t>change of status.</w:t>
      </w:r>
    </w:p>
    <w:p w14:paraId="5F8908D0" w14:textId="77777777" w:rsidR="00025FEB" w:rsidRPr="00D85A4F" w:rsidRDefault="00025FEB" w:rsidP="00025FEB">
      <w:pPr>
        <w:pStyle w:val="Heading3"/>
      </w:pPr>
      <w:r w:rsidRPr="00D85A4F">
        <w:t>Process when an overseas border alert is activated</w:t>
      </w:r>
    </w:p>
    <w:p w14:paraId="272400F6" w14:textId="77777777" w:rsidR="00025FEB" w:rsidRPr="00D85A4F" w:rsidRDefault="00025FEB" w:rsidP="00025FEB">
      <w:pPr>
        <w:keepNext/>
      </w:pPr>
      <w:r w:rsidRPr="00D85A4F">
        <w:t xml:space="preserve">If an overseas border alert is activated, Customs will contact </w:t>
      </w:r>
      <w:r>
        <w:t>p</w:t>
      </w:r>
      <w:r w:rsidRPr="00D85A4F">
        <w:t xml:space="preserve">olice at the border. Police will check the photograph held by Customs to confirm the patient’s identity. If the patient is subject to an overseas border alert, </w:t>
      </w:r>
      <w:r>
        <w:t>p</w:t>
      </w:r>
      <w:r w:rsidRPr="00D85A4F">
        <w:t xml:space="preserve">olice will contact the Director or the </w:t>
      </w:r>
      <w:r>
        <w:t xml:space="preserve">relevant </w:t>
      </w:r>
      <w:r w:rsidRPr="00D85A4F">
        <w:t xml:space="preserve">DAMHS. </w:t>
      </w:r>
    </w:p>
    <w:p w14:paraId="2B459856" w14:textId="77777777" w:rsidR="00025FEB" w:rsidRPr="00D85A4F" w:rsidRDefault="00025FEB" w:rsidP="00025FEB">
      <w:pPr>
        <w:keepNext/>
      </w:pPr>
    </w:p>
    <w:p w14:paraId="27F1F336" w14:textId="65BED0EC" w:rsidR="00025FEB" w:rsidRPr="00D85A4F" w:rsidRDefault="00025FEB" w:rsidP="00025FEB">
      <w:r w:rsidRPr="00D85A4F">
        <w:t>If the patient is on short leave, their leave must immediately be cancelled</w:t>
      </w:r>
      <w:r>
        <w:t xml:space="preserve"> </w:t>
      </w:r>
      <w:r w:rsidRPr="00D85A4F">
        <w:t xml:space="preserve">by the Director or the DAMHS under section 52 of the </w:t>
      </w:r>
      <w:r>
        <w:t>Mental Health Act</w:t>
      </w:r>
      <w:r w:rsidRPr="00D85A4F">
        <w:t xml:space="preserve">. If the patient is on ministerial long leave, the DAMHS </w:t>
      </w:r>
      <w:r w:rsidR="00173864">
        <w:t xml:space="preserve">must </w:t>
      </w:r>
      <w:r w:rsidRPr="00D85A4F">
        <w:t>direct in writing that the patient be admitted or re-admitted to hospital (</w:t>
      </w:r>
      <w:r>
        <w:t xml:space="preserve">under </w:t>
      </w:r>
      <w:r w:rsidRPr="00D85A4F">
        <w:t xml:space="preserve">section 51 of the </w:t>
      </w:r>
      <w:r>
        <w:t>Mental Health Act</w:t>
      </w:r>
      <w:r w:rsidRPr="00D85A4F">
        <w:t xml:space="preserve">). If </w:t>
      </w:r>
      <w:r>
        <w:t>p</w:t>
      </w:r>
      <w:r w:rsidRPr="00D85A4F">
        <w:t xml:space="preserve">olice need a copy of that direction, they will provide the DAMHS with an email address. </w:t>
      </w:r>
      <w:r>
        <w:t>Section 3 of these guidelines sets out f</w:t>
      </w:r>
      <w:r w:rsidRPr="00D85A4F">
        <w:t>urther details.</w:t>
      </w:r>
    </w:p>
    <w:p w14:paraId="080C1B8A" w14:textId="77777777" w:rsidR="00025FEB" w:rsidRPr="00D85A4F" w:rsidRDefault="00025FEB" w:rsidP="00025FEB"/>
    <w:p w14:paraId="4F3A97F1" w14:textId="1A87B228" w:rsidR="00025FEB" w:rsidRDefault="00025FEB" w:rsidP="00025FEB">
      <w:pPr>
        <w:sectPr w:rsidR="00025FEB" w:rsidSect="00BB4DC3">
          <w:pgSz w:w="11907" w:h="16834" w:code="9"/>
          <w:pgMar w:top="1418" w:right="1701" w:bottom="1134" w:left="1843" w:header="284" w:footer="425" w:gutter="284"/>
          <w:cols w:space="720"/>
        </w:sectPr>
      </w:pPr>
      <w:r w:rsidRPr="00D85A4F">
        <w:t xml:space="preserve">The DAMHS (or the person acting on the authority of the DAMHS) </w:t>
      </w:r>
      <w:r>
        <w:t xml:space="preserve">must </w:t>
      </w:r>
      <w:r w:rsidRPr="00D85A4F">
        <w:t xml:space="preserve">advise </w:t>
      </w:r>
      <w:r>
        <w:t>p</w:t>
      </w:r>
      <w:r w:rsidRPr="00D85A4F">
        <w:t xml:space="preserve">olice of the RFMHS to which the patient is to be taken. </w:t>
      </w:r>
      <w:r>
        <w:t>Police and the RFMHS should agree on a</w:t>
      </w:r>
      <w:r w:rsidRPr="00D85A4F">
        <w:t xml:space="preserve"> transport plan, reflecting the Ministry’s guidance on </w:t>
      </w:r>
      <w:r>
        <w:t xml:space="preserve">safe transportation of </w:t>
      </w:r>
      <w:r w:rsidRPr="00D85A4F">
        <w:t>special patient</w:t>
      </w:r>
      <w:r>
        <w:t>s</w:t>
      </w:r>
      <w:r w:rsidR="00D822F6">
        <w:t xml:space="preserve">: see </w:t>
      </w:r>
      <w:r w:rsidR="00D822F6" w:rsidRPr="00780352">
        <w:rPr>
          <w:i/>
          <w:iCs/>
        </w:rPr>
        <w:t>Guidelines for the Safe Transport of Special Patients in the Care of Regional Forensic Mental Health Services</w:t>
      </w:r>
      <w:r w:rsidR="00D822F6">
        <w:rPr>
          <w:i/>
          <w:iCs/>
        </w:rPr>
        <w:t xml:space="preserve"> </w:t>
      </w:r>
      <w:r w:rsidR="00D822F6">
        <w:t>(</w:t>
      </w:r>
      <w:r w:rsidR="00D822F6" w:rsidRPr="004C4884">
        <w:t>Ministry of Health 2022</w:t>
      </w:r>
      <w:r w:rsidR="00D822F6">
        <w:t>b)</w:t>
      </w:r>
      <w:r>
        <w:t xml:space="preserve">. </w:t>
      </w:r>
      <w:r w:rsidRPr="00EC1F42">
        <w:rPr>
          <w:rFonts w:asciiTheme="minorHAnsi" w:eastAsiaTheme="minorHAnsi" w:hAnsiTheme="minorHAnsi" w:cstheme="minorBidi"/>
          <w:szCs w:val="22"/>
          <w:lang w:eastAsia="en-US"/>
        </w:rPr>
        <w:t xml:space="preserve"> </w:t>
      </w:r>
    </w:p>
    <w:p w14:paraId="15E3CF9F" w14:textId="77777777" w:rsidR="00025FEB" w:rsidRPr="00D85A4F" w:rsidRDefault="00025FEB" w:rsidP="00025FEB">
      <w:pPr>
        <w:pStyle w:val="Heading1"/>
      </w:pPr>
      <w:bookmarkStart w:id="43" w:name="_Toc83197059"/>
      <w:bookmarkStart w:id="44" w:name="_Toc112845443"/>
      <w:bookmarkStart w:id="45" w:name="_Toc112862047"/>
      <w:bookmarkStart w:id="46" w:name="_Toc180497397"/>
      <w:r w:rsidRPr="00D85A4F">
        <w:t>Special patient reviews</w:t>
      </w:r>
      <w:bookmarkEnd w:id="43"/>
      <w:bookmarkEnd w:id="44"/>
      <w:bookmarkEnd w:id="45"/>
      <w:bookmarkEnd w:id="46"/>
    </w:p>
    <w:p w14:paraId="5FA0BCC9" w14:textId="62CA7016" w:rsidR="00025FEB" w:rsidRPr="00D85A4F" w:rsidRDefault="00025FEB" w:rsidP="00025FEB">
      <w:r w:rsidRPr="00D85A4F">
        <w:t xml:space="preserve">Special </w:t>
      </w:r>
      <w:r>
        <w:t>p</w:t>
      </w:r>
      <w:r w:rsidRPr="00D85A4F">
        <w:t xml:space="preserve">atient </w:t>
      </w:r>
      <w:r>
        <w:t>r</w:t>
      </w:r>
      <w:r w:rsidRPr="00D85A4F">
        <w:t xml:space="preserve">eview </w:t>
      </w:r>
      <w:r>
        <w:t>p</w:t>
      </w:r>
      <w:r w:rsidRPr="00D85A4F">
        <w:t xml:space="preserve">anels (SPRPs) originated from the recommendations of the </w:t>
      </w:r>
      <w:r w:rsidR="0048152B" w:rsidRPr="00D85A4F">
        <w:rPr>
          <w:i/>
        </w:rPr>
        <w:t>Report of the Committee of Inquiry into Procedures Used in Certain Psychiatric Hospitals in Relation to Admission, Discharge or Release on Leave of Certain Classes of Patients</w:t>
      </w:r>
      <w:r w:rsidR="0048152B">
        <w:rPr>
          <w:iCs/>
        </w:rPr>
        <w:t xml:space="preserve"> (known as the </w:t>
      </w:r>
      <w:r w:rsidRPr="00D85A4F">
        <w:t>Mason Report</w:t>
      </w:r>
      <w:r w:rsidR="0048152B">
        <w:t>)</w:t>
      </w:r>
      <w:r w:rsidRPr="00D85A4F">
        <w:t xml:space="preserve"> </w:t>
      </w:r>
      <w:r>
        <w:t xml:space="preserve">in </w:t>
      </w:r>
      <w:r w:rsidRPr="00D85A4F">
        <w:t>1988</w:t>
      </w:r>
      <w:r>
        <w:t xml:space="preserve"> (Ministry of Health 1988)</w:t>
      </w:r>
      <w:r w:rsidRPr="00D85A4F">
        <w:t>. The</w:t>
      </w:r>
      <w:r w:rsidR="00E43120">
        <w:t>se panels</w:t>
      </w:r>
      <w:r w:rsidRPr="00D85A4F">
        <w:t xml:space="preserve"> provide a useful source of information and advice to the Director on the progress of individual special patients. However, SPRPs are not legal entities and do not replace the decision-making responsibilities </w:t>
      </w:r>
      <w:r>
        <w:t xml:space="preserve">that the Mental Health Act </w:t>
      </w:r>
      <w:r w:rsidRPr="00D85A4F">
        <w:t>place</w:t>
      </w:r>
      <w:r>
        <w:t>s</w:t>
      </w:r>
      <w:r w:rsidRPr="00D85A4F">
        <w:t xml:space="preserve"> on responsible clinicians, DAMHS</w:t>
      </w:r>
      <w:r>
        <w:t>s</w:t>
      </w:r>
      <w:r w:rsidRPr="00D85A4F">
        <w:t xml:space="preserve"> and the Director</w:t>
      </w:r>
      <w:r>
        <w:t xml:space="preserve">. </w:t>
      </w:r>
    </w:p>
    <w:p w14:paraId="34774370" w14:textId="77777777" w:rsidR="00025FEB" w:rsidRPr="00D85A4F" w:rsidRDefault="00025FEB" w:rsidP="00025FEB"/>
    <w:p w14:paraId="5E62E00D" w14:textId="77777777" w:rsidR="00025FEB" w:rsidRPr="00D85A4F" w:rsidRDefault="00025FEB" w:rsidP="00025FEB">
      <w:r>
        <w:t xml:space="preserve">The SPRP process is </w:t>
      </w:r>
      <w:r w:rsidRPr="00D85A4F">
        <w:t>a useful source of advice for the Director</w:t>
      </w:r>
      <w:r>
        <w:t>;</w:t>
      </w:r>
      <w:r w:rsidRPr="00D85A4F">
        <w:t xml:space="preserve"> more importantly</w:t>
      </w:r>
      <w:r>
        <w:t>,</w:t>
      </w:r>
      <w:r w:rsidRPr="00D85A4F">
        <w:t xml:space="preserve"> </w:t>
      </w:r>
      <w:r>
        <w:t xml:space="preserve">it </w:t>
      </w:r>
      <w:r w:rsidRPr="00D85A4F">
        <w:t xml:space="preserve">provides a mechanism for a multidisciplinary peer review of decisions about special patients. The information provided by SPRPs </w:t>
      </w:r>
      <w:r>
        <w:t xml:space="preserve">is </w:t>
      </w:r>
      <w:r w:rsidRPr="00D85A4F">
        <w:t xml:space="preserve">a comprehensive, multidisciplinary update of </w:t>
      </w:r>
      <w:r>
        <w:t xml:space="preserve">a </w:t>
      </w:r>
      <w:r w:rsidRPr="00D85A4F">
        <w:t>patient’s progress</w:t>
      </w:r>
      <w:r>
        <w:t>,</w:t>
      </w:r>
      <w:r w:rsidRPr="00D85A4F">
        <w:t xml:space="preserve"> and often </w:t>
      </w:r>
      <w:r>
        <w:t xml:space="preserve">comprises </w:t>
      </w:r>
      <w:r w:rsidRPr="00D85A4F">
        <w:t>supporting information for a request for ministerial long leave or change of legal status.</w:t>
      </w:r>
    </w:p>
    <w:p w14:paraId="123A2DB0" w14:textId="77777777" w:rsidR="00025FEB" w:rsidRPr="00D85A4F" w:rsidRDefault="00025FEB" w:rsidP="00025FEB"/>
    <w:p w14:paraId="5CF7800B" w14:textId="77777777" w:rsidR="00025FEB" w:rsidRPr="00D85A4F" w:rsidRDefault="00025FEB" w:rsidP="00025FEB">
      <w:r>
        <w:t xml:space="preserve">Special patient review panel </w:t>
      </w:r>
      <w:r w:rsidRPr="00D85A4F">
        <w:t xml:space="preserve">reports should provide a comprehensive picture, over time, of the progress of individual special patients. </w:t>
      </w:r>
      <w:r>
        <w:t>In constructing a report, t</w:t>
      </w:r>
      <w:r w:rsidRPr="00D85A4F">
        <w:t>he SPRP should consider reports from all those involved in the patient’s care, including:</w:t>
      </w:r>
    </w:p>
    <w:p w14:paraId="1DF80E4C" w14:textId="77777777" w:rsidR="00025FEB" w:rsidRPr="00D85A4F" w:rsidRDefault="00025FEB" w:rsidP="00D25422">
      <w:pPr>
        <w:pStyle w:val="Bullet"/>
      </w:pPr>
      <w:r w:rsidRPr="00D85A4F">
        <w:t>the responsible clinician</w:t>
      </w:r>
    </w:p>
    <w:p w14:paraId="50494D74" w14:textId="77777777" w:rsidR="00025FEB" w:rsidRPr="00D85A4F" w:rsidRDefault="00025FEB" w:rsidP="00D25422">
      <w:pPr>
        <w:pStyle w:val="Bullet"/>
      </w:pPr>
      <w:r w:rsidRPr="00D85A4F">
        <w:t>the case manager / key</w:t>
      </w:r>
      <w:r>
        <w:t xml:space="preserve"> </w:t>
      </w:r>
      <w:r w:rsidRPr="00D85A4F">
        <w:t>worker</w:t>
      </w:r>
    </w:p>
    <w:p w14:paraId="272D3ECC" w14:textId="77777777" w:rsidR="00025FEB" w:rsidRPr="00D85A4F" w:rsidRDefault="00025FEB" w:rsidP="00D25422">
      <w:pPr>
        <w:pStyle w:val="Bullet"/>
      </w:pPr>
      <w:r w:rsidRPr="00D85A4F">
        <w:t>nursing staff</w:t>
      </w:r>
    </w:p>
    <w:p w14:paraId="0DCEE1EB" w14:textId="77777777" w:rsidR="00025FEB" w:rsidRPr="00D85A4F" w:rsidRDefault="00025FEB" w:rsidP="00D25422">
      <w:pPr>
        <w:pStyle w:val="Bullet"/>
      </w:pPr>
      <w:r w:rsidRPr="00D85A4F">
        <w:t>psychologists</w:t>
      </w:r>
    </w:p>
    <w:p w14:paraId="54BDA4A0" w14:textId="77777777" w:rsidR="00025FEB" w:rsidRPr="00D85A4F" w:rsidRDefault="00025FEB" w:rsidP="00D25422">
      <w:pPr>
        <w:pStyle w:val="Bullet"/>
      </w:pPr>
      <w:r w:rsidRPr="00D85A4F">
        <w:t>occupational therapists</w:t>
      </w:r>
    </w:p>
    <w:p w14:paraId="0A616712" w14:textId="77777777" w:rsidR="00025FEB" w:rsidRPr="00D85A4F" w:rsidRDefault="00025FEB" w:rsidP="00D25422">
      <w:pPr>
        <w:pStyle w:val="Bullet"/>
      </w:pPr>
      <w:r w:rsidRPr="00D85A4F">
        <w:t>social workers</w:t>
      </w:r>
    </w:p>
    <w:p w14:paraId="55BBC1F4" w14:textId="77777777" w:rsidR="00025FEB" w:rsidRPr="00D85A4F" w:rsidRDefault="00025FEB" w:rsidP="00D25422">
      <w:pPr>
        <w:pStyle w:val="Bullet"/>
      </w:pPr>
      <w:r w:rsidRPr="00D85A4F">
        <w:t>cultural advisors / cultural workers</w:t>
      </w:r>
    </w:p>
    <w:p w14:paraId="1F0C921F" w14:textId="5B06B1F7" w:rsidR="00025FEB" w:rsidRPr="00D85A4F" w:rsidRDefault="00025FEB" w:rsidP="00D25422">
      <w:pPr>
        <w:pStyle w:val="Bullet"/>
      </w:pPr>
      <w:r w:rsidRPr="00D85A4F">
        <w:t>lived experience advisor</w:t>
      </w:r>
      <w:r w:rsidR="00632422">
        <w:t>s</w:t>
      </w:r>
    </w:p>
    <w:p w14:paraId="404E78FE" w14:textId="0B3AE7BE" w:rsidR="00025FEB" w:rsidRPr="00D85A4F" w:rsidRDefault="00025FEB" w:rsidP="00D25422">
      <w:pPr>
        <w:pStyle w:val="Bullet"/>
      </w:pPr>
      <w:r w:rsidRPr="00D85A4F">
        <w:t>the patient’s family</w:t>
      </w:r>
      <w:r w:rsidR="00F044A6">
        <w:t>/</w:t>
      </w:r>
      <w:r w:rsidRPr="00D85A4F">
        <w:t>whānau</w:t>
      </w:r>
    </w:p>
    <w:p w14:paraId="1D8477ED" w14:textId="77777777" w:rsidR="00025FEB" w:rsidRPr="00D85A4F" w:rsidRDefault="00025FEB" w:rsidP="00D25422">
      <w:pPr>
        <w:pStyle w:val="Bullet"/>
      </w:pPr>
      <w:r w:rsidRPr="00D85A4F">
        <w:t>the patient</w:t>
      </w:r>
    </w:p>
    <w:p w14:paraId="7DF975CB" w14:textId="6DD91F24" w:rsidR="00025FEB" w:rsidRPr="00D85A4F" w:rsidRDefault="00025FEB" w:rsidP="00D25422">
      <w:pPr>
        <w:pStyle w:val="Bullet"/>
      </w:pPr>
      <w:r w:rsidRPr="00D85A4F">
        <w:t>other service providers, as appropriate (</w:t>
      </w:r>
      <w:r w:rsidR="000840E3">
        <w:t>eg</w:t>
      </w:r>
      <w:r w:rsidRPr="00D85A4F">
        <w:t>, non-governmental organisations, employer</w:t>
      </w:r>
      <w:r>
        <w:t>s</w:t>
      </w:r>
      <w:r w:rsidRPr="00D85A4F">
        <w:t>).</w:t>
      </w:r>
    </w:p>
    <w:p w14:paraId="6628DD83" w14:textId="77777777" w:rsidR="00025FEB" w:rsidRPr="00D85A4F" w:rsidRDefault="00025FEB" w:rsidP="00025FEB"/>
    <w:p w14:paraId="48C6D2AA" w14:textId="77777777" w:rsidR="00025FEB" w:rsidRPr="00D85A4F" w:rsidRDefault="00025FEB" w:rsidP="00025FEB">
      <w:r>
        <w:t xml:space="preserve">The Ministry of Health </w:t>
      </w:r>
      <w:r w:rsidRPr="00D85A4F">
        <w:t>recommend</w:t>
      </w:r>
      <w:r>
        <w:t>s</w:t>
      </w:r>
      <w:r w:rsidRPr="00D85A4F">
        <w:t xml:space="preserve"> that SPRPs include an external member</w:t>
      </w:r>
      <w:r>
        <w:t>:</w:t>
      </w:r>
      <w:r w:rsidRPr="00D85A4F">
        <w:t xml:space="preserve"> preferably a psychiatrist with expertise in forensic psychiatry.</w:t>
      </w:r>
    </w:p>
    <w:p w14:paraId="0E8CA910" w14:textId="77777777" w:rsidR="00025FEB" w:rsidRPr="00D85A4F" w:rsidRDefault="00025FEB" w:rsidP="00025FEB"/>
    <w:p w14:paraId="453E9478" w14:textId="6A1E846C" w:rsidR="00025FEB" w:rsidRPr="00D85A4F" w:rsidRDefault="00025FEB" w:rsidP="00025FEB">
      <w:r w:rsidRPr="00D85A4F">
        <w:t xml:space="preserve">Patients may sometimes ask to have a support person, or their lawyer, present when the SPRP conducts its review. This decision should </w:t>
      </w:r>
      <w:r>
        <w:t xml:space="preserve">generally </w:t>
      </w:r>
      <w:r w:rsidRPr="00D85A4F">
        <w:t>be respected</w:t>
      </w:r>
      <w:r>
        <w:t>:</w:t>
      </w:r>
      <w:r w:rsidRPr="00D85A4F">
        <w:t xml:space="preserve"> patients have the right to a lawyer under </w:t>
      </w:r>
      <w:r w:rsidRPr="000F75B1">
        <w:t xml:space="preserve">section 70 of the </w:t>
      </w:r>
      <w:r>
        <w:t>Mental Health Act</w:t>
      </w:r>
      <w:r w:rsidRPr="00D85A4F">
        <w:t xml:space="preserve"> as well as the right to natural justice </w:t>
      </w:r>
      <w:r>
        <w:t>and the right to have support (</w:t>
      </w:r>
      <w:r w:rsidR="002E1E94">
        <w:t xml:space="preserve">under </w:t>
      </w:r>
      <w:r>
        <w:t xml:space="preserve">Right 8 of the </w:t>
      </w:r>
      <w:r w:rsidRPr="00FD22B3">
        <w:t>Code of Health and Disability Service Consumers' Rights</w:t>
      </w:r>
      <w:r>
        <w:t>).</w:t>
      </w:r>
      <w:r w:rsidRPr="00FD22B3">
        <w:t xml:space="preserve"> </w:t>
      </w:r>
      <w:r>
        <w:t xml:space="preserve"> </w:t>
      </w:r>
      <w:r w:rsidRPr="00D85A4F">
        <w:t xml:space="preserve"> </w:t>
      </w:r>
    </w:p>
    <w:p w14:paraId="03C2C69E" w14:textId="77777777" w:rsidR="00025FEB" w:rsidRPr="00D85A4F" w:rsidRDefault="00025FEB" w:rsidP="00025FEB">
      <w:r w:rsidRPr="00D85A4F">
        <w:t xml:space="preserve">The first report from the SPRP </w:t>
      </w:r>
      <w:r>
        <w:t xml:space="preserve">should </w:t>
      </w:r>
      <w:r w:rsidRPr="00D85A4F">
        <w:t>provide a general comment about the leave plan, which should be provided in detail in the responsible clinician’s report. This leave plan should be updated for subsequent SPRP reports. This will assist</w:t>
      </w:r>
      <w:r>
        <w:t xml:space="preserve"> the</w:t>
      </w:r>
      <w:r w:rsidRPr="00D85A4F">
        <w:t xml:space="preserve"> RFMHS when seeking approval for leave by assuring the Office of the Director that each request for leave is part of a planned process.</w:t>
      </w:r>
    </w:p>
    <w:p w14:paraId="624A3F10" w14:textId="77777777" w:rsidR="00025FEB" w:rsidRPr="00D85A4F" w:rsidRDefault="00025FEB" w:rsidP="00025FEB"/>
    <w:p w14:paraId="55623455" w14:textId="3D8C8DFB" w:rsidR="00025FEB" w:rsidRPr="00D85A4F" w:rsidRDefault="00C11FCF" w:rsidP="00025FEB">
      <w:r>
        <w:t xml:space="preserve">Reports from </w:t>
      </w:r>
      <w:r w:rsidR="00025FEB" w:rsidRPr="00D85A4F">
        <w:t>SPRP</w:t>
      </w:r>
      <w:r>
        <w:t>s</w:t>
      </w:r>
      <w:r w:rsidR="00025FEB" w:rsidRPr="00D85A4F">
        <w:t xml:space="preserve"> should include the information given in Table 2.</w:t>
      </w:r>
    </w:p>
    <w:p w14:paraId="337E93D2" w14:textId="77777777" w:rsidR="00025FEB" w:rsidRDefault="00025FEB" w:rsidP="00025FEB"/>
    <w:p w14:paraId="19F9AB32" w14:textId="0853E24E" w:rsidR="00025FEB" w:rsidRDefault="00025FEB" w:rsidP="00300B55">
      <w:pPr>
        <w:pStyle w:val="Table"/>
      </w:pPr>
      <w:bookmarkStart w:id="47" w:name="_Toc112861575"/>
      <w:bookmarkStart w:id="48" w:name="_Toc180593109"/>
      <w:r>
        <w:t xml:space="preserve">Table </w:t>
      </w:r>
      <w:r>
        <w:fldChar w:fldCharType="begin"/>
      </w:r>
      <w:r>
        <w:instrText>SEQ Table \* ARABIC</w:instrText>
      </w:r>
      <w:r>
        <w:fldChar w:fldCharType="separate"/>
      </w:r>
      <w:r w:rsidR="00411DF3">
        <w:rPr>
          <w:noProof/>
        </w:rPr>
        <w:t>2</w:t>
      </w:r>
      <w:r>
        <w:fldChar w:fldCharType="end"/>
      </w:r>
      <w:r>
        <w:t xml:space="preserve">: </w:t>
      </w:r>
      <w:r w:rsidRPr="00696B26">
        <w:t>Information to include in special patient review panel reports</w:t>
      </w:r>
      <w:bookmarkEnd w:id="47"/>
      <w:bookmarkEnd w:id="48"/>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211"/>
        <w:gridCol w:w="5869"/>
      </w:tblGrid>
      <w:tr w:rsidR="00025FEB" w:rsidRPr="00DC20BD" w14:paraId="13B4631D" w14:textId="77777777" w:rsidTr="00BB4DC3">
        <w:trPr>
          <w:cantSplit/>
        </w:trPr>
        <w:tc>
          <w:tcPr>
            <w:tcW w:w="2211" w:type="dxa"/>
            <w:tcBorders>
              <w:top w:val="single" w:sz="4" w:space="0" w:color="A6A6A6" w:themeColor="background1" w:themeShade="A6"/>
              <w:bottom w:val="single" w:sz="4" w:space="0" w:color="A6A6A6" w:themeColor="background1" w:themeShade="A6"/>
            </w:tcBorders>
          </w:tcPr>
          <w:p w14:paraId="1A2950B8" w14:textId="77777777" w:rsidR="00025FEB" w:rsidRPr="00DC20BD" w:rsidRDefault="00025FEB" w:rsidP="00BB4DC3">
            <w:pPr>
              <w:pStyle w:val="TableText"/>
              <w:keepNext/>
            </w:pPr>
            <w:r w:rsidRPr="00F06913">
              <w:t>First report</w:t>
            </w:r>
          </w:p>
        </w:tc>
        <w:tc>
          <w:tcPr>
            <w:tcW w:w="5869" w:type="dxa"/>
            <w:tcBorders>
              <w:top w:val="single" w:sz="4" w:space="0" w:color="A6A6A6" w:themeColor="background1" w:themeShade="A6"/>
              <w:bottom w:val="single" w:sz="4" w:space="0" w:color="A6A6A6" w:themeColor="background1" w:themeShade="A6"/>
            </w:tcBorders>
          </w:tcPr>
          <w:p w14:paraId="3E0A551F" w14:textId="77777777" w:rsidR="00025FEB" w:rsidRPr="00D85A4F" w:rsidRDefault="00025FEB" w:rsidP="00F0504F">
            <w:pPr>
              <w:pStyle w:val="TableBullet"/>
              <w:spacing w:before="60"/>
            </w:pPr>
            <w:r w:rsidRPr="00D85A4F">
              <w:t>A covering letter, signed by the SPRP chair, outlining the key issues noted by the SPRP and including any recommendations on the patient’s legal status or leave progress, including addiction issues and treatment plan if applicable</w:t>
            </w:r>
          </w:p>
          <w:p w14:paraId="2D705B88" w14:textId="77777777" w:rsidR="00025FEB" w:rsidRPr="00D85A4F" w:rsidRDefault="00025FEB" w:rsidP="00F0504F">
            <w:pPr>
              <w:pStyle w:val="TableBullet"/>
              <w:spacing w:before="60"/>
            </w:pPr>
            <w:r w:rsidRPr="00D85A4F">
              <w:t>A report from the patient’s responsible clinician</w:t>
            </w:r>
          </w:p>
          <w:p w14:paraId="4A743F01" w14:textId="77777777" w:rsidR="00025FEB" w:rsidRPr="00D85A4F" w:rsidRDefault="00025FEB" w:rsidP="00F0504F">
            <w:pPr>
              <w:pStyle w:val="TableBullet"/>
              <w:spacing w:before="60"/>
            </w:pPr>
            <w:r w:rsidRPr="00D85A4F">
              <w:t>Summary reports from members of the multidisciplinary team</w:t>
            </w:r>
          </w:p>
          <w:p w14:paraId="68A1F7F5" w14:textId="77777777" w:rsidR="00025FEB" w:rsidRPr="00D85A4F" w:rsidRDefault="00025FEB" w:rsidP="00F0504F">
            <w:pPr>
              <w:pStyle w:val="TableBullet"/>
              <w:spacing w:before="60"/>
            </w:pPr>
            <w:r w:rsidRPr="00D85A4F">
              <w:t xml:space="preserve">A proposed management and rehabilitation plan, including </w:t>
            </w:r>
            <w:r>
              <w:t xml:space="preserve">an </w:t>
            </w:r>
            <w:r w:rsidRPr="00D85A4F">
              <w:t>integrated care plan, wellness and recovery plan and leave plan</w:t>
            </w:r>
          </w:p>
          <w:p w14:paraId="28B24FBE" w14:textId="77777777" w:rsidR="00025FEB" w:rsidRPr="00D85A4F" w:rsidRDefault="00025FEB" w:rsidP="00F0504F">
            <w:pPr>
              <w:pStyle w:val="TableBullet"/>
              <w:spacing w:before="60"/>
            </w:pPr>
            <w:r w:rsidRPr="00D85A4F">
              <w:t>The patient’s history prior to becoming a special patient</w:t>
            </w:r>
          </w:p>
          <w:p w14:paraId="5BA9E86A" w14:textId="77777777" w:rsidR="00025FEB" w:rsidRPr="00D85A4F" w:rsidRDefault="00025FEB" w:rsidP="00F0504F">
            <w:pPr>
              <w:pStyle w:val="TableBullet"/>
              <w:spacing w:before="60"/>
            </w:pPr>
            <w:r w:rsidRPr="00D85A4F">
              <w:t xml:space="preserve">The circumstances of the </w:t>
            </w:r>
            <w:r>
              <w:t xml:space="preserve">patient’s </w:t>
            </w:r>
            <w:r w:rsidRPr="00D85A4F">
              <w:t>offending</w:t>
            </w:r>
          </w:p>
          <w:p w14:paraId="204613C9" w14:textId="77777777" w:rsidR="00025FEB" w:rsidRPr="00D85A4F" w:rsidRDefault="00025FEB" w:rsidP="00F0504F">
            <w:pPr>
              <w:pStyle w:val="TableBullet"/>
              <w:spacing w:before="60"/>
            </w:pPr>
            <w:r w:rsidRPr="00D85A4F">
              <w:t>The patient’s mental state on admission to hospital</w:t>
            </w:r>
          </w:p>
          <w:p w14:paraId="3B71C15D" w14:textId="542FB138" w:rsidR="00025FEB" w:rsidRPr="00D85A4F" w:rsidRDefault="00025FEB" w:rsidP="00F0504F">
            <w:pPr>
              <w:pStyle w:val="TableBullet"/>
              <w:spacing w:before="60"/>
            </w:pPr>
            <w:r w:rsidRPr="00D85A4F">
              <w:t>Comment on matters relating to the offending (</w:t>
            </w:r>
            <w:r w:rsidR="000840E3">
              <w:t>eg</w:t>
            </w:r>
            <w:r w:rsidRPr="00D85A4F">
              <w:t>, insight into the offending, relationship with victims)</w:t>
            </w:r>
          </w:p>
          <w:p w14:paraId="1613E13B" w14:textId="77777777" w:rsidR="00025FEB" w:rsidRPr="00DC20BD" w:rsidRDefault="00025FEB" w:rsidP="00F0504F">
            <w:pPr>
              <w:pStyle w:val="TableBullet"/>
              <w:spacing w:before="60"/>
              <w:rPr>
                <w:rFonts w:eastAsia="Lucida Sans Unicode" w:hAnsi="Lucida Sans Unicode" w:cs="Lucida Sans Unicode"/>
              </w:rPr>
            </w:pPr>
            <w:r w:rsidRPr="00D85A4F">
              <w:t>Family/</w:t>
            </w:r>
            <w:r>
              <w:t>w</w:t>
            </w:r>
            <w:r w:rsidRPr="00D85A4F">
              <w:t>h</w:t>
            </w:r>
            <w:r w:rsidRPr="00856460">
              <w:t>ā</w:t>
            </w:r>
            <w:r w:rsidRPr="00D85A4F">
              <w:t xml:space="preserve">nau feedback on progress </w:t>
            </w:r>
          </w:p>
        </w:tc>
      </w:tr>
      <w:tr w:rsidR="00025FEB" w:rsidRPr="00DC20BD" w14:paraId="0F9E1FE8" w14:textId="77777777" w:rsidTr="00BB4DC3">
        <w:trPr>
          <w:cantSplit/>
        </w:trPr>
        <w:tc>
          <w:tcPr>
            <w:tcW w:w="2211" w:type="dxa"/>
          </w:tcPr>
          <w:p w14:paraId="0A4AF860" w14:textId="77777777" w:rsidR="00025FEB" w:rsidRPr="00DC20BD" w:rsidRDefault="00025FEB" w:rsidP="00BB4DC3">
            <w:pPr>
              <w:pStyle w:val="TableText"/>
            </w:pPr>
            <w:r w:rsidRPr="00F06913">
              <w:t>Subsequent reports</w:t>
            </w:r>
          </w:p>
        </w:tc>
        <w:tc>
          <w:tcPr>
            <w:tcW w:w="5869" w:type="dxa"/>
          </w:tcPr>
          <w:p w14:paraId="79272E1F" w14:textId="77777777" w:rsidR="00025FEB" w:rsidRPr="00D85A4F" w:rsidRDefault="00025FEB" w:rsidP="00F0504F">
            <w:pPr>
              <w:pStyle w:val="TableBullet"/>
              <w:spacing w:before="60"/>
            </w:pPr>
            <w:r w:rsidRPr="00D85A4F">
              <w:t>A covering report, signed by the SPRP chair, outlining the key issues noted by the SPRP and including any recommendations relating to the patient’s legal status or leave progress</w:t>
            </w:r>
          </w:p>
          <w:p w14:paraId="6F2164C1" w14:textId="77777777" w:rsidR="00025FEB" w:rsidRPr="00D85A4F" w:rsidRDefault="00025FEB" w:rsidP="00D25422">
            <w:pPr>
              <w:pStyle w:val="TableBullet"/>
            </w:pPr>
            <w:r w:rsidRPr="00D85A4F">
              <w:t>A report from the patient’s responsible clinician, including an updated leave plan</w:t>
            </w:r>
          </w:p>
          <w:p w14:paraId="6F2325F0" w14:textId="77777777" w:rsidR="00025FEB" w:rsidRPr="00D85A4F" w:rsidRDefault="00025FEB" w:rsidP="00D25422">
            <w:pPr>
              <w:pStyle w:val="TableBullet"/>
            </w:pPr>
            <w:r w:rsidRPr="00D85A4F">
              <w:t>Summary reports from members of the multidisciplinary team</w:t>
            </w:r>
          </w:p>
          <w:p w14:paraId="327362B2" w14:textId="6DBF1A94" w:rsidR="00025FEB" w:rsidRPr="00DC20BD" w:rsidRDefault="00025FEB" w:rsidP="00BB4DC3">
            <w:pPr>
              <w:pStyle w:val="TableText"/>
              <w:tabs>
                <w:tab w:val="decimal" w:pos="1644"/>
              </w:tabs>
              <w:rPr>
                <w:rFonts w:eastAsia="Lucida Sans Unicode" w:hAnsi="Lucida Sans Unicode" w:cs="Lucida Sans Unicode"/>
              </w:rPr>
            </w:pPr>
            <w:r w:rsidRPr="00D85A4F">
              <w:t>NB: Reports should not repeat previous information</w:t>
            </w:r>
            <w:r>
              <w:t>;</w:t>
            </w:r>
            <w:r w:rsidRPr="00D85A4F">
              <w:t xml:space="preserve"> nor should they consist of printouts from the patient’s clinical file.</w:t>
            </w:r>
          </w:p>
        </w:tc>
      </w:tr>
    </w:tbl>
    <w:p w14:paraId="403AC792" w14:textId="77777777" w:rsidR="00025FEB" w:rsidRPr="00D85A4F" w:rsidRDefault="00025FEB" w:rsidP="00DD1006"/>
    <w:p w14:paraId="2A070009" w14:textId="77777777" w:rsidR="00025FEB" w:rsidRPr="00D85A4F" w:rsidRDefault="00025FEB" w:rsidP="00DD1006">
      <w:r>
        <w:t xml:space="preserve">The Ministry holds </w:t>
      </w:r>
      <w:r w:rsidRPr="00D85A4F">
        <w:t xml:space="preserve">SPRP reports on </w:t>
      </w:r>
      <w:r>
        <w:t xml:space="preserve">its </w:t>
      </w:r>
      <w:r w:rsidRPr="00D85A4F">
        <w:t>secure SPMS database</w:t>
      </w:r>
      <w:r>
        <w:t>; RFMHSs</w:t>
      </w:r>
      <w:r w:rsidRPr="00D85A4F">
        <w:t xml:space="preserve"> do not need to provide </w:t>
      </w:r>
      <w:r>
        <w:t xml:space="preserve">them </w:t>
      </w:r>
      <w:r w:rsidRPr="00D85A4F">
        <w:t xml:space="preserve">with every request for leave once </w:t>
      </w:r>
      <w:r>
        <w:t xml:space="preserve">they have been </w:t>
      </w:r>
      <w:r w:rsidRPr="00D85A4F">
        <w:t xml:space="preserve">entered into the SPMS. </w:t>
      </w:r>
    </w:p>
    <w:p w14:paraId="6999247F" w14:textId="77777777" w:rsidR="00025FEB" w:rsidRDefault="00025FEB" w:rsidP="00DD1006"/>
    <w:p w14:paraId="331A0410" w14:textId="6C67A760" w:rsidR="00025FEB" w:rsidRDefault="00025FEB" w:rsidP="00DD1006">
      <w:r>
        <w:t xml:space="preserve">It is important to note that RFMHSs will hold </w:t>
      </w:r>
      <w:r w:rsidRPr="0027384B">
        <w:t>original</w:t>
      </w:r>
      <w:r>
        <w:t xml:space="preserve"> SPRP</w:t>
      </w:r>
      <w:r w:rsidRPr="0027384B">
        <w:t xml:space="preserve"> documents</w:t>
      </w:r>
      <w:r>
        <w:t>. I</w:t>
      </w:r>
      <w:r w:rsidRPr="0027384B">
        <w:t>f a patient wishes to see these</w:t>
      </w:r>
      <w:r>
        <w:t xml:space="preserve">, they </w:t>
      </w:r>
      <w:r w:rsidRPr="0027384B">
        <w:t>should make a privacy request to the service in the usual manner.</w:t>
      </w:r>
    </w:p>
    <w:p w14:paraId="081AB12F" w14:textId="77777777" w:rsidR="00025FEB" w:rsidRPr="00D85A4F" w:rsidRDefault="00025FEB" w:rsidP="00025FEB">
      <w:pPr>
        <w:pStyle w:val="Heading2"/>
      </w:pPr>
      <w:bookmarkStart w:id="49" w:name="_Toc377543393"/>
      <w:bookmarkStart w:id="50" w:name="_Toc441658587"/>
      <w:bookmarkStart w:id="51" w:name="_Toc83197060"/>
      <w:bookmarkStart w:id="52" w:name="_Toc112845444"/>
      <w:bookmarkStart w:id="53" w:name="_Toc112862048"/>
      <w:bookmarkStart w:id="54" w:name="_Toc180497398"/>
      <w:r w:rsidRPr="00D85A4F">
        <w:t>A note regarding risk assessments</w:t>
      </w:r>
      <w:bookmarkEnd w:id="49"/>
      <w:bookmarkEnd w:id="50"/>
      <w:bookmarkEnd w:id="51"/>
      <w:bookmarkEnd w:id="52"/>
      <w:bookmarkEnd w:id="53"/>
      <w:bookmarkEnd w:id="54"/>
    </w:p>
    <w:p w14:paraId="030C039D" w14:textId="77777777" w:rsidR="00025FEB" w:rsidRPr="00D85A4F" w:rsidRDefault="00025FEB" w:rsidP="00025FEB">
      <w:r w:rsidRPr="00D85A4F">
        <w:t>Several clinical tools, including structured clinical judgement tools, may be used to assess risk. The decision about which one to use is the responsibility of the patient’s responsible clinician, in line with practice in individual services</w:t>
      </w:r>
      <w:r>
        <w:t>,</w:t>
      </w:r>
      <w:r w:rsidRPr="00D85A4F">
        <w:t xml:space="preserve"> and will depend upon the type of risk the individual presents. Both the HCR20</w:t>
      </w:r>
      <w:r w:rsidRPr="00D85A4F">
        <w:rPr>
          <w:rStyle w:val="FootnoteReference"/>
        </w:rPr>
        <w:footnoteReference w:id="4"/>
      </w:r>
      <w:r w:rsidRPr="00D85A4F">
        <w:t xml:space="preserve"> and START</w:t>
      </w:r>
      <w:r w:rsidRPr="00D85A4F">
        <w:rPr>
          <w:rStyle w:val="FootnoteReference"/>
        </w:rPr>
        <w:footnoteReference w:id="5"/>
      </w:r>
      <w:r w:rsidRPr="00D85A4F">
        <w:t xml:space="preserve"> are suitable structured clinical judgement risk assessment tools. </w:t>
      </w:r>
      <w:r>
        <w:t>Some RFMHSs are also effectively using t</w:t>
      </w:r>
      <w:r w:rsidRPr="00D85A4F">
        <w:t>he DUNDRUM</w:t>
      </w:r>
      <w:r w:rsidRPr="00D85A4F">
        <w:rPr>
          <w:rStyle w:val="FootnoteReference"/>
        </w:rPr>
        <w:footnoteReference w:id="6"/>
      </w:r>
      <w:r w:rsidRPr="00D85A4F">
        <w:t xml:space="preserve"> toolkit.</w:t>
      </w:r>
    </w:p>
    <w:p w14:paraId="7EF33F99" w14:textId="77777777" w:rsidR="00025FEB" w:rsidRPr="00D85A4F" w:rsidRDefault="00025FEB" w:rsidP="00025FEB"/>
    <w:p w14:paraId="54DBDF2C" w14:textId="44AEA5C8" w:rsidR="00025FEB" w:rsidRPr="00D85A4F" w:rsidRDefault="00025FEB" w:rsidP="00025FEB">
      <w:r w:rsidRPr="00D85A4F">
        <w:t>Note that a full risk assessment is not required for each leave application. However, the most recent assessment should be summarised, and a current summary of risk provided in support of any leave application. It is suggested that a full risk assessment be provided to each SPRP.</w:t>
      </w:r>
    </w:p>
    <w:p w14:paraId="120D7EDE" w14:textId="77777777" w:rsidR="00025FEB" w:rsidRPr="00D85A4F" w:rsidRDefault="00025FEB" w:rsidP="00025FEB">
      <w:pPr>
        <w:pStyle w:val="Heading2"/>
      </w:pPr>
      <w:bookmarkStart w:id="55" w:name="_Toc377543394"/>
      <w:bookmarkStart w:id="56" w:name="_Toc441658588"/>
      <w:bookmarkStart w:id="57" w:name="_Toc83197061"/>
      <w:bookmarkStart w:id="58" w:name="_Toc112845445"/>
      <w:bookmarkStart w:id="59" w:name="_Toc112862049"/>
      <w:bookmarkStart w:id="60" w:name="_Toc180497399"/>
      <w:r w:rsidRPr="00D85A4F">
        <w:t>Timing of special patient reviews</w:t>
      </w:r>
      <w:bookmarkEnd w:id="55"/>
      <w:bookmarkEnd w:id="56"/>
      <w:bookmarkEnd w:id="57"/>
      <w:bookmarkEnd w:id="58"/>
      <w:bookmarkEnd w:id="59"/>
      <w:bookmarkEnd w:id="60"/>
    </w:p>
    <w:p w14:paraId="2AC8C2FF" w14:textId="7B1ACDD5" w:rsidR="00025FEB" w:rsidRPr="00D85A4F" w:rsidRDefault="00025FEB" w:rsidP="00025FEB">
      <w:pPr>
        <w:keepNext/>
      </w:pPr>
      <w:r w:rsidRPr="00D85A4F">
        <w:t>Because the SPRP process is not specified in legislation, RFMHS</w:t>
      </w:r>
      <w:r>
        <w:t>s undertake these reviews at</w:t>
      </w:r>
      <w:r w:rsidRPr="00D85A4F">
        <w:t xml:space="preserve"> vary</w:t>
      </w:r>
      <w:r>
        <w:t>ing</w:t>
      </w:r>
      <w:r w:rsidRPr="00D85A4F">
        <w:t xml:space="preserve"> frequenc</w:t>
      </w:r>
      <w:r>
        <w:t>ies</w:t>
      </w:r>
      <w:r w:rsidRPr="00D85A4F">
        <w:t xml:space="preserve">. As a general practice, </w:t>
      </w:r>
      <w:r>
        <w:t xml:space="preserve">the Ministry </w:t>
      </w:r>
      <w:r w:rsidRPr="00D85A4F">
        <w:t>recommend</w:t>
      </w:r>
      <w:r>
        <w:t>s</w:t>
      </w:r>
      <w:r w:rsidRPr="00D85A4F">
        <w:t xml:space="preserve"> that </w:t>
      </w:r>
      <w:r>
        <w:t xml:space="preserve">an SPRP review </w:t>
      </w:r>
      <w:r w:rsidRPr="00D85A4F">
        <w:t xml:space="preserve">special patients at least every six months following the order for their detention as a special patient. Some special patients </w:t>
      </w:r>
      <w:r>
        <w:t xml:space="preserve">can </w:t>
      </w:r>
      <w:r w:rsidRPr="00D85A4F">
        <w:t>be seen by the SPRP less frequently (</w:t>
      </w:r>
      <w:r w:rsidR="009836F8">
        <w:t>eg</w:t>
      </w:r>
      <w:r>
        <w:t xml:space="preserve">, </w:t>
      </w:r>
      <w:r w:rsidRPr="00D85A4F">
        <w:t xml:space="preserve">every 12 months) </w:t>
      </w:r>
      <w:r>
        <w:t xml:space="preserve">where they are </w:t>
      </w:r>
      <w:r w:rsidRPr="00D85A4F">
        <w:t xml:space="preserve">sufficiently stable and their stability appears unlikely to change in the near future. It is helpful if the DAMHS provides the Office of the Director with a list of patients who are on </w:t>
      </w:r>
      <w:r>
        <w:t xml:space="preserve">such </w:t>
      </w:r>
      <w:r w:rsidRPr="00D85A4F">
        <w:t>an extended review cycle.</w:t>
      </w:r>
    </w:p>
    <w:p w14:paraId="72ED7AE3" w14:textId="77777777" w:rsidR="00025FEB" w:rsidRPr="00D85A4F" w:rsidRDefault="00025FEB" w:rsidP="00025FEB">
      <w:pPr>
        <w:keepNext/>
      </w:pPr>
    </w:p>
    <w:p w14:paraId="1B9056E5" w14:textId="5D39BCA0" w:rsidR="00025FEB" w:rsidRPr="00D85A4F" w:rsidRDefault="0020726B" w:rsidP="00025FEB">
      <w:r>
        <w:t xml:space="preserve">The </w:t>
      </w:r>
      <w:r w:rsidR="00025FEB" w:rsidRPr="00D85A4F">
        <w:t xml:space="preserve">SPRP reports </w:t>
      </w:r>
      <w:r>
        <w:t xml:space="preserve">should be uploaded </w:t>
      </w:r>
      <w:r w:rsidR="00025FEB" w:rsidRPr="00D85A4F">
        <w:t xml:space="preserve">into the </w:t>
      </w:r>
      <w:r w:rsidR="00025FEB">
        <w:t xml:space="preserve">SPMS, </w:t>
      </w:r>
      <w:r w:rsidR="00025FEB" w:rsidRPr="00D85A4F">
        <w:t>including the outcome of the SPRP signed by the DAMHS.</w:t>
      </w:r>
    </w:p>
    <w:p w14:paraId="0B624F8F" w14:textId="77777777" w:rsidR="00025FEB" w:rsidRPr="00D85A4F" w:rsidRDefault="00025FEB" w:rsidP="00025FEB"/>
    <w:p w14:paraId="5592D58C" w14:textId="77777777" w:rsidR="00025FEB" w:rsidRPr="00D85A4F" w:rsidRDefault="00025FEB" w:rsidP="00D25422">
      <w:pPr>
        <w:ind w:right="-285"/>
      </w:pPr>
      <w:r>
        <w:t>An SPRP should review p</w:t>
      </w:r>
      <w:r w:rsidRPr="00D85A4F">
        <w:t xml:space="preserve">atients detained under section 45 of the </w:t>
      </w:r>
      <w:r>
        <w:t>Mental Health Act</w:t>
      </w:r>
      <w:r w:rsidRPr="00D85A4F">
        <w:t xml:space="preserve"> when they have been subject to a compulsory treatment order for longer than 12 months.  </w:t>
      </w:r>
    </w:p>
    <w:p w14:paraId="7D174954" w14:textId="77777777" w:rsidR="00025FEB" w:rsidRPr="00D85A4F" w:rsidRDefault="00025FEB" w:rsidP="00025FEB"/>
    <w:p w14:paraId="016503D2" w14:textId="77777777" w:rsidR="00025FEB" w:rsidRPr="00D85A4F" w:rsidRDefault="00025FEB" w:rsidP="00025FEB">
      <w:r w:rsidRPr="00D85A4F">
        <w:t>In some cases, the patient’s responsible clinician may decide to ask the SPRP to review a patient before that date.</w:t>
      </w:r>
    </w:p>
    <w:p w14:paraId="70383538" w14:textId="77777777" w:rsidR="00025FEB" w:rsidRPr="00D85A4F" w:rsidRDefault="00025FEB" w:rsidP="00025FEB">
      <w:pPr>
        <w:pStyle w:val="Heading3"/>
      </w:pPr>
      <w:r w:rsidRPr="00D85A4F">
        <w:t xml:space="preserve">Clinical review of certain special patients </w:t>
      </w:r>
    </w:p>
    <w:p w14:paraId="375EA104" w14:textId="77777777" w:rsidR="00025FEB" w:rsidRDefault="00025FEB" w:rsidP="00025FEB">
      <w:pPr>
        <w:sectPr w:rsidR="00025FEB" w:rsidSect="00BB4DC3">
          <w:pgSz w:w="11907" w:h="16834" w:code="9"/>
          <w:pgMar w:top="1418" w:right="1701" w:bottom="1134" w:left="1843" w:header="284" w:footer="425" w:gutter="284"/>
          <w:cols w:space="720"/>
        </w:sectPr>
      </w:pPr>
      <w:r w:rsidRPr="00D85A4F">
        <w:t xml:space="preserve">In addition to the SPRP process, </w:t>
      </w:r>
      <w:r w:rsidRPr="00A04CAC">
        <w:t xml:space="preserve">section 77 of the </w:t>
      </w:r>
      <w:r>
        <w:t>Mental Health Act</w:t>
      </w:r>
      <w:r w:rsidRPr="00D85A4F">
        <w:t xml:space="preserve"> requires </w:t>
      </w:r>
      <w:r>
        <w:t xml:space="preserve">responsible clinicians to review </w:t>
      </w:r>
      <w:r w:rsidRPr="00D85A4F">
        <w:t xml:space="preserve">special patients who are special patients because they have been detained in a hospital pursuant to </w:t>
      </w:r>
      <w:r>
        <w:t xml:space="preserve">a </w:t>
      </w:r>
      <w:r w:rsidRPr="00D85A4F">
        <w:t xml:space="preserve">court order made under section 24(2)(a) of the </w:t>
      </w:r>
      <w:r w:rsidRPr="00D85A4F">
        <w:rPr>
          <w:color w:val="000000"/>
        </w:rPr>
        <w:t xml:space="preserve">CP(MIP) Act </w:t>
      </w:r>
      <w:r w:rsidRPr="00D85A4F">
        <w:t>no later than three months following the order for detention, and at least every six months thereafter. Where a section 77 clinical review results in the patient’s responsible clinician finding that the patient no longer meets the criteria for being held as a special patient, SPRP reports provide valuable information to assist the Office of the Director in making a recommendation to the Minister and/or the Attorney-General.</w:t>
      </w:r>
    </w:p>
    <w:p w14:paraId="4453D578" w14:textId="77777777" w:rsidR="00025FEB" w:rsidRPr="00D85A4F" w:rsidRDefault="00025FEB" w:rsidP="00025FEB">
      <w:pPr>
        <w:pStyle w:val="Heading1"/>
      </w:pPr>
      <w:bookmarkStart w:id="61" w:name="_Toc112862050"/>
      <w:bookmarkStart w:id="62" w:name="_Toc180497400"/>
      <w:r w:rsidRPr="00D85A4F">
        <w:t>Leave for special and restricted patients</w:t>
      </w:r>
      <w:bookmarkEnd w:id="61"/>
      <w:bookmarkEnd w:id="62"/>
    </w:p>
    <w:p w14:paraId="5F312D37" w14:textId="77777777" w:rsidR="00025FEB" w:rsidRPr="00D85A4F" w:rsidRDefault="00025FEB" w:rsidP="00025FEB">
      <w:r w:rsidRPr="00D85A4F">
        <w:t>Leave is an important part of the rehabilitation and recovery process for special patients and should generally occur as part of a comprehensive leave plan supported by the SPRP.</w:t>
      </w:r>
    </w:p>
    <w:p w14:paraId="7CA081E6" w14:textId="77777777" w:rsidR="00025FEB" w:rsidRPr="00D85A4F" w:rsidRDefault="00025FEB" w:rsidP="00025FEB"/>
    <w:p w14:paraId="34A45C7A" w14:textId="4E575EF6" w:rsidR="00025FEB" w:rsidRPr="00D85A4F" w:rsidRDefault="00025FEB" w:rsidP="00025FEB">
      <w:r>
        <w:t>Table 3 sets out t</w:t>
      </w:r>
      <w:r w:rsidRPr="00D85A4F">
        <w:t xml:space="preserve">he individual steps for leave progression, varied according to </w:t>
      </w:r>
      <w:r w:rsidR="007F4D48">
        <w:t>a</w:t>
      </w:r>
      <w:r w:rsidR="007F4D48" w:rsidRPr="00D85A4F">
        <w:t xml:space="preserve"> </w:t>
      </w:r>
      <w:r w:rsidRPr="00D85A4F">
        <w:t>patient’s individual plan. A person’s first access to the grounds of the hospital or facility is not considered a leave of absence. Ground access should be considered in the person’s overall leave plan approved by the DAMHS.</w:t>
      </w:r>
    </w:p>
    <w:p w14:paraId="207C7AFB" w14:textId="77777777" w:rsidR="00025FEB" w:rsidRPr="00D85A4F" w:rsidRDefault="00025FEB" w:rsidP="00025FEB"/>
    <w:p w14:paraId="6286ADAC" w14:textId="77777777" w:rsidR="00025FEB" w:rsidRPr="00D85A4F" w:rsidRDefault="00025FEB" w:rsidP="00025FEB">
      <w:r w:rsidRPr="00D85A4F">
        <w:t xml:space="preserve">Following ground access within the hospital grounds, the first leave will generally be escorted short leave. Note that each step in the leave progression may not need to be taken consecutively, and that </w:t>
      </w:r>
      <w:r>
        <w:t xml:space="preserve">in this context </w:t>
      </w:r>
      <w:r w:rsidRPr="00D85A4F">
        <w:t>patients may progress at different rates.</w:t>
      </w:r>
    </w:p>
    <w:p w14:paraId="63C18C0E" w14:textId="77777777" w:rsidR="00025FEB" w:rsidRPr="00D85A4F" w:rsidRDefault="00025FEB" w:rsidP="00025FEB"/>
    <w:p w14:paraId="1326D67F" w14:textId="52C5F183" w:rsidR="00025FEB" w:rsidRPr="00D85A4F" w:rsidRDefault="00025FEB" w:rsidP="00300B55">
      <w:pPr>
        <w:pStyle w:val="Table"/>
      </w:pPr>
      <w:bookmarkStart w:id="63" w:name="_Toc445803199"/>
      <w:bookmarkStart w:id="64" w:name="_Toc83191228"/>
      <w:bookmarkStart w:id="65" w:name="_Toc111810258"/>
      <w:bookmarkStart w:id="66" w:name="_Toc112861576"/>
      <w:bookmarkStart w:id="67" w:name="_Toc180593110"/>
      <w:r>
        <w:t xml:space="preserve">Table </w:t>
      </w:r>
      <w:r>
        <w:fldChar w:fldCharType="begin"/>
      </w:r>
      <w:r>
        <w:instrText>SEQ Table \* ARABIC</w:instrText>
      </w:r>
      <w:r>
        <w:fldChar w:fldCharType="separate"/>
      </w:r>
      <w:r w:rsidR="00411DF3">
        <w:rPr>
          <w:noProof/>
        </w:rPr>
        <w:t>3</w:t>
      </w:r>
      <w:r>
        <w:fldChar w:fldCharType="end"/>
      </w:r>
      <w:r>
        <w:t xml:space="preserve">: </w:t>
      </w:r>
      <w:r w:rsidRPr="00D85A4F">
        <w:t>Leave progression</w:t>
      </w:r>
      <w:bookmarkEnd w:id="63"/>
      <w:bookmarkEnd w:id="64"/>
      <w:bookmarkEnd w:id="65"/>
      <w:bookmarkEnd w:id="66"/>
      <w:bookmarkEnd w:id="67"/>
    </w:p>
    <w:tbl>
      <w:tblPr>
        <w:tblStyle w:val="TableGrid"/>
        <w:tblW w:w="7886"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4678"/>
        <w:gridCol w:w="1989"/>
      </w:tblGrid>
      <w:tr w:rsidR="00025FEB" w:rsidRPr="00DC20BD" w14:paraId="09D99175" w14:textId="77777777" w:rsidTr="00D25422">
        <w:trPr>
          <w:cantSplit/>
        </w:trPr>
        <w:tc>
          <w:tcPr>
            <w:tcW w:w="1219" w:type="dxa"/>
            <w:tcBorders>
              <w:top w:val="nil"/>
              <w:bottom w:val="nil"/>
            </w:tcBorders>
            <w:shd w:val="clear" w:color="auto" w:fill="D9D9D9" w:themeFill="background1" w:themeFillShade="D9"/>
          </w:tcPr>
          <w:p w14:paraId="53FF7EB5" w14:textId="77777777" w:rsidR="00025FEB" w:rsidRPr="00121607" w:rsidRDefault="00025FEB" w:rsidP="00BB4DC3">
            <w:pPr>
              <w:pStyle w:val="TableText"/>
              <w:keepNext/>
              <w:rPr>
                <w:b/>
              </w:rPr>
            </w:pPr>
            <w:r w:rsidRPr="00D85A4F">
              <w:rPr>
                <w:b/>
              </w:rPr>
              <w:t>Step</w:t>
            </w:r>
          </w:p>
        </w:tc>
        <w:tc>
          <w:tcPr>
            <w:tcW w:w="4678" w:type="dxa"/>
            <w:tcBorders>
              <w:top w:val="nil"/>
              <w:bottom w:val="nil"/>
            </w:tcBorders>
            <w:shd w:val="clear" w:color="auto" w:fill="D9D9D9" w:themeFill="background1" w:themeFillShade="D9"/>
          </w:tcPr>
          <w:p w14:paraId="0BACC4EB" w14:textId="38B43C12" w:rsidR="00025FEB" w:rsidRPr="00DC20BD" w:rsidRDefault="00025FEB" w:rsidP="00BB4DC3">
            <w:pPr>
              <w:pStyle w:val="TableText"/>
              <w:keepNext/>
              <w:rPr>
                <w:b/>
              </w:rPr>
            </w:pPr>
            <w:r w:rsidRPr="00D85A4F">
              <w:rPr>
                <w:b/>
              </w:rPr>
              <w:t>Type of ground access</w:t>
            </w:r>
            <w:r w:rsidR="00874C3C">
              <w:rPr>
                <w:b/>
              </w:rPr>
              <w:t xml:space="preserve"> or short leave</w:t>
            </w:r>
          </w:p>
        </w:tc>
        <w:tc>
          <w:tcPr>
            <w:tcW w:w="1989" w:type="dxa"/>
            <w:tcBorders>
              <w:top w:val="nil"/>
              <w:bottom w:val="nil"/>
            </w:tcBorders>
            <w:shd w:val="clear" w:color="auto" w:fill="D9D9D9" w:themeFill="background1" w:themeFillShade="D9"/>
          </w:tcPr>
          <w:p w14:paraId="7E0B12B4" w14:textId="77777777" w:rsidR="00025FEB" w:rsidRPr="00DC20BD" w:rsidRDefault="00025FEB" w:rsidP="00D25422">
            <w:pPr>
              <w:pStyle w:val="TableText"/>
              <w:keepNext/>
              <w:rPr>
                <w:b/>
              </w:rPr>
            </w:pPr>
            <w:r w:rsidRPr="00D85A4F">
              <w:rPr>
                <w:b/>
              </w:rPr>
              <w:t>Approval required</w:t>
            </w:r>
          </w:p>
        </w:tc>
      </w:tr>
      <w:tr w:rsidR="00025FEB" w:rsidRPr="00DC20BD" w14:paraId="781C48DE" w14:textId="77777777" w:rsidTr="00D25422">
        <w:trPr>
          <w:cantSplit/>
        </w:trPr>
        <w:tc>
          <w:tcPr>
            <w:tcW w:w="1219" w:type="dxa"/>
            <w:tcBorders>
              <w:top w:val="nil"/>
            </w:tcBorders>
          </w:tcPr>
          <w:p w14:paraId="7AADF7F6" w14:textId="77777777" w:rsidR="00025FEB" w:rsidRPr="00D85A4F" w:rsidRDefault="00025FEB" w:rsidP="00BB4DC3">
            <w:pPr>
              <w:pStyle w:val="TableText"/>
              <w:keepNext/>
            </w:pPr>
            <w:r w:rsidRPr="00D85A4F">
              <w:t>Step 1</w:t>
            </w:r>
          </w:p>
        </w:tc>
        <w:tc>
          <w:tcPr>
            <w:tcW w:w="4678" w:type="dxa"/>
            <w:tcBorders>
              <w:top w:val="nil"/>
            </w:tcBorders>
          </w:tcPr>
          <w:p w14:paraId="7F0E9CFD" w14:textId="77777777" w:rsidR="00025FEB" w:rsidRPr="00DC20BD" w:rsidRDefault="00025FEB" w:rsidP="00BB4DC3">
            <w:pPr>
              <w:pStyle w:val="TableText"/>
              <w:keepNext/>
            </w:pPr>
            <w:r w:rsidRPr="00D85A4F">
              <w:t>Ground access with staff escort</w:t>
            </w:r>
          </w:p>
        </w:tc>
        <w:tc>
          <w:tcPr>
            <w:tcW w:w="1989" w:type="dxa"/>
            <w:tcBorders>
              <w:top w:val="nil"/>
            </w:tcBorders>
          </w:tcPr>
          <w:p w14:paraId="6EA9833A" w14:textId="77777777" w:rsidR="00025FEB" w:rsidRPr="00856460" w:rsidRDefault="00025FEB" w:rsidP="00D25422">
            <w:pPr>
              <w:pStyle w:val="TableText"/>
              <w:keepNext/>
            </w:pPr>
            <w:r w:rsidRPr="00D85A4F">
              <w:t>DAMHS</w:t>
            </w:r>
          </w:p>
        </w:tc>
      </w:tr>
      <w:tr w:rsidR="00025FEB" w:rsidRPr="00DC20BD" w14:paraId="72DBCEC2" w14:textId="77777777" w:rsidTr="00D25422">
        <w:trPr>
          <w:cantSplit/>
        </w:trPr>
        <w:tc>
          <w:tcPr>
            <w:tcW w:w="1219" w:type="dxa"/>
          </w:tcPr>
          <w:p w14:paraId="70247624" w14:textId="77777777" w:rsidR="00025FEB" w:rsidRPr="00D85A4F" w:rsidRDefault="00025FEB" w:rsidP="00BB4DC3">
            <w:pPr>
              <w:pStyle w:val="TableText"/>
            </w:pPr>
            <w:r w:rsidRPr="00D85A4F">
              <w:t>Step 2</w:t>
            </w:r>
          </w:p>
        </w:tc>
        <w:tc>
          <w:tcPr>
            <w:tcW w:w="4678" w:type="dxa"/>
          </w:tcPr>
          <w:p w14:paraId="41D528E8" w14:textId="77777777" w:rsidR="00025FEB" w:rsidRPr="00DC20BD" w:rsidRDefault="00025FEB" w:rsidP="00BB4DC3">
            <w:pPr>
              <w:pStyle w:val="TableText"/>
            </w:pPr>
            <w:r w:rsidRPr="00D85A4F">
              <w:t>Unescorted ground access</w:t>
            </w:r>
          </w:p>
        </w:tc>
        <w:tc>
          <w:tcPr>
            <w:tcW w:w="1989" w:type="dxa"/>
          </w:tcPr>
          <w:p w14:paraId="298F206D" w14:textId="77777777" w:rsidR="00025FEB" w:rsidRPr="00856460" w:rsidRDefault="00025FEB" w:rsidP="00D25422">
            <w:pPr>
              <w:pStyle w:val="TableText"/>
              <w:keepNext/>
            </w:pPr>
            <w:r w:rsidRPr="00D85A4F">
              <w:t>DAMHS</w:t>
            </w:r>
          </w:p>
        </w:tc>
      </w:tr>
      <w:tr w:rsidR="00025FEB" w:rsidRPr="00DC20BD" w14:paraId="111C10F3" w14:textId="77777777" w:rsidTr="00D25422">
        <w:trPr>
          <w:cantSplit/>
        </w:trPr>
        <w:tc>
          <w:tcPr>
            <w:tcW w:w="1219" w:type="dxa"/>
          </w:tcPr>
          <w:p w14:paraId="14642F19" w14:textId="77777777" w:rsidR="00025FEB" w:rsidRPr="00D85A4F" w:rsidRDefault="00025FEB" w:rsidP="00BB4DC3">
            <w:pPr>
              <w:pStyle w:val="TableText"/>
            </w:pPr>
            <w:r w:rsidRPr="00D85A4F">
              <w:t>Step 3</w:t>
            </w:r>
          </w:p>
        </w:tc>
        <w:tc>
          <w:tcPr>
            <w:tcW w:w="4678" w:type="dxa"/>
          </w:tcPr>
          <w:p w14:paraId="626F8196" w14:textId="77777777" w:rsidR="00025FEB" w:rsidRPr="00DC20BD" w:rsidRDefault="00025FEB" w:rsidP="00BB4DC3">
            <w:pPr>
              <w:pStyle w:val="TableText"/>
              <w:rPr>
                <w:rFonts w:eastAsia="Lucida Sans Unicode"/>
                <w:b/>
              </w:rPr>
            </w:pPr>
            <w:r w:rsidRPr="00D85A4F">
              <w:t>Staff-escorted leave outside the hospital grounds</w:t>
            </w:r>
          </w:p>
        </w:tc>
        <w:tc>
          <w:tcPr>
            <w:tcW w:w="1989" w:type="dxa"/>
          </w:tcPr>
          <w:p w14:paraId="6ACB3779" w14:textId="08E2E381" w:rsidR="00025FEB" w:rsidRPr="00D25422" w:rsidRDefault="00025FEB" w:rsidP="00D25422">
            <w:pPr>
              <w:pStyle w:val="TableText"/>
              <w:keepNext/>
            </w:pPr>
            <w:r w:rsidRPr="00D85A4F">
              <w:t>Director</w:t>
            </w:r>
          </w:p>
        </w:tc>
      </w:tr>
      <w:tr w:rsidR="00025FEB" w:rsidRPr="00DC20BD" w14:paraId="41403AC4" w14:textId="77777777" w:rsidTr="00D25422">
        <w:trPr>
          <w:cantSplit/>
        </w:trPr>
        <w:tc>
          <w:tcPr>
            <w:tcW w:w="1219" w:type="dxa"/>
          </w:tcPr>
          <w:p w14:paraId="7CC2F4A5" w14:textId="77777777" w:rsidR="00025FEB" w:rsidRPr="00D85A4F" w:rsidRDefault="00025FEB" w:rsidP="00BB4DC3">
            <w:pPr>
              <w:pStyle w:val="TableText"/>
            </w:pPr>
            <w:r w:rsidRPr="00D85A4F">
              <w:t>Step 4</w:t>
            </w:r>
          </w:p>
        </w:tc>
        <w:tc>
          <w:tcPr>
            <w:tcW w:w="4678" w:type="dxa"/>
          </w:tcPr>
          <w:p w14:paraId="5E304AE3" w14:textId="033E8111" w:rsidR="00025FEB" w:rsidRPr="00DC20BD" w:rsidRDefault="00025FEB" w:rsidP="00BB4DC3">
            <w:pPr>
              <w:pStyle w:val="TableText"/>
              <w:rPr>
                <w:rFonts w:eastAsia="Lucida Sans Unicode"/>
                <w:b/>
              </w:rPr>
            </w:pPr>
            <w:r w:rsidRPr="00D85A4F">
              <w:t>Staff-escorted short-term leave, where the patient is left unescorted while at their destination (</w:t>
            </w:r>
            <w:r w:rsidR="009836F8">
              <w:t>eg</w:t>
            </w:r>
            <w:r w:rsidRPr="00D85A4F">
              <w:t>, to attend a community programme, or a home visit)</w:t>
            </w:r>
          </w:p>
        </w:tc>
        <w:tc>
          <w:tcPr>
            <w:tcW w:w="1989" w:type="dxa"/>
          </w:tcPr>
          <w:p w14:paraId="7DB5C47F" w14:textId="0FEA1B4E" w:rsidR="00025FEB" w:rsidRPr="00D25422" w:rsidRDefault="00025FEB" w:rsidP="00D25422">
            <w:pPr>
              <w:pStyle w:val="TableText"/>
              <w:keepNext/>
            </w:pPr>
            <w:r w:rsidRPr="00D85A4F">
              <w:t>Director</w:t>
            </w:r>
          </w:p>
        </w:tc>
      </w:tr>
      <w:tr w:rsidR="00025FEB" w:rsidRPr="00DC20BD" w14:paraId="17D38862" w14:textId="77777777" w:rsidTr="00D25422">
        <w:trPr>
          <w:cantSplit/>
        </w:trPr>
        <w:tc>
          <w:tcPr>
            <w:tcW w:w="1219" w:type="dxa"/>
          </w:tcPr>
          <w:p w14:paraId="581B4A24" w14:textId="77777777" w:rsidR="00025FEB" w:rsidRPr="00D85A4F" w:rsidRDefault="00025FEB" w:rsidP="00BB4DC3">
            <w:pPr>
              <w:pStyle w:val="TableText"/>
            </w:pPr>
            <w:r w:rsidRPr="00D85A4F">
              <w:t>Step 5</w:t>
            </w:r>
          </w:p>
        </w:tc>
        <w:tc>
          <w:tcPr>
            <w:tcW w:w="4678" w:type="dxa"/>
          </w:tcPr>
          <w:p w14:paraId="29F83839" w14:textId="77777777" w:rsidR="00025FEB" w:rsidRPr="00DC20BD" w:rsidRDefault="00025FEB" w:rsidP="00BB4DC3">
            <w:pPr>
              <w:pStyle w:val="TableText"/>
              <w:rPr>
                <w:rFonts w:eastAsia="Lucida Sans Unicode"/>
                <w:b/>
              </w:rPr>
            </w:pPr>
            <w:r w:rsidRPr="00D85A4F">
              <w:t>Unescorted short leave, not including overnight leave</w:t>
            </w:r>
          </w:p>
        </w:tc>
        <w:tc>
          <w:tcPr>
            <w:tcW w:w="1989" w:type="dxa"/>
          </w:tcPr>
          <w:p w14:paraId="3291A0D3" w14:textId="232646AC" w:rsidR="00025FEB" w:rsidRPr="00D25422" w:rsidRDefault="00025FEB" w:rsidP="00D25422">
            <w:pPr>
              <w:pStyle w:val="TableText"/>
              <w:keepNext/>
            </w:pPr>
            <w:r w:rsidRPr="00D85A4F">
              <w:t>Director</w:t>
            </w:r>
          </w:p>
        </w:tc>
      </w:tr>
      <w:tr w:rsidR="00025FEB" w:rsidRPr="00DC20BD" w14:paraId="44199F3B" w14:textId="77777777" w:rsidTr="00D25422">
        <w:trPr>
          <w:cantSplit/>
        </w:trPr>
        <w:tc>
          <w:tcPr>
            <w:tcW w:w="1219" w:type="dxa"/>
          </w:tcPr>
          <w:p w14:paraId="2923E741" w14:textId="77777777" w:rsidR="00025FEB" w:rsidRPr="00D85A4F" w:rsidRDefault="00025FEB" w:rsidP="00BB4DC3">
            <w:pPr>
              <w:pStyle w:val="TableText"/>
            </w:pPr>
            <w:r w:rsidRPr="00D85A4F">
              <w:t>Step 6</w:t>
            </w:r>
          </w:p>
        </w:tc>
        <w:tc>
          <w:tcPr>
            <w:tcW w:w="4678" w:type="dxa"/>
          </w:tcPr>
          <w:p w14:paraId="616B5F4F" w14:textId="5969CB10" w:rsidR="00025FEB" w:rsidRPr="00D85A4F" w:rsidRDefault="00025FEB" w:rsidP="00BB4DC3">
            <w:pPr>
              <w:pStyle w:val="TableText"/>
            </w:pPr>
            <w:r w:rsidRPr="00D85A4F">
              <w:t xml:space="preserve">Overnight leave </w:t>
            </w:r>
            <w:r w:rsidR="00874C3C">
              <w:t xml:space="preserve">for </w:t>
            </w:r>
            <w:r w:rsidRPr="00D85A4F">
              <w:t>1–3 days (‘2+1’ leave)</w:t>
            </w:r>
          </w:p>
        </w:tc>
        <w:tc>
          <w:tcPr>
            <w:tcW w:w="1989" w:type="dxa"/>
          </w:tcPr>
          <w:p w14:paraId="6F344A77" w14:textId="0E71FBF8" w:rsidR="00025FEB" w:rsidRPr="00D85A4F" w:rsidRDefault="00025FEB" w:rsidP="00D25422">
            <w:pPr>
              <w:pStyle w:val="TableText"/>
              <w:keepNext/>
            </w:pPr>
            <w:r w:rsidRPr="00D85A4F">
              <w:t>Director</w:t>
            </w:r>
          </w:p>
        </w:tc>
      </w:tr>
      <w:tr w:rsidR="00025FEB" w:rsidRPr="00DC20BD" w14:paraId="4290FD22" w14:textId="77777777" w:rsidTr="00D25422">
        <w:trPr>
          <w:cantSplit/>
        </w:trPr>
        <w:tc>
          <w:tcPr>
            <w:tcW w:w="1219" w:type="dxa"/>
          </w:tcPr>
          <w:p w14:paraId="25FE78C5" w14:textId="77777777" w:rsidR="00025FEB" w:rsidRPr="00D85A4F" w:rsidRDefault="00025FEB" w:rsidP="00BB4DC3">
            <w:pPr>
              <w:pStyle w:val="TableText"/>
            </w:pPr>
            <w:r w:rsidRPr="00D85A4F">
              <w:t>Step 7</w:t>
            </w:r>
          </w:p>
        </w:tc>
        <w:tc>
          <w:tcPr>
            <w:tcW w:w="4678" w:type="dxa"/>
          </w:tcPr>
          <w:p w14:paraId="2E6BEB58" w14:textId="77A1F348" w:rsidR="00025FEB" w:rsidRPr="00D85A4F" w:rsidRDefault="00025FEB" w:rsidP="00BB4DC3">
            <w:pPr>
              <w:pStyle w:val="TableText"/>
            </w:pPr>
            <w:r w:rsidRPr="00D85A4F">
              <w:t xml:space="preserve">Overnight leave </w:t>
            </w:r>
            <w:r w:rsidR="00874C3C">
              <w:t xml:space="preserve">for </w:t>
            </w:r>
            <w:r w:rsidRPr="00D85A4F">
              <w:t>4–7 days (‘6+1’ leave)</w:t>
            </w:r>
          </w:p>
        </w:tc>
        <w:tc>
          <w:tcPr>
            <w:tcW w:w="1989" w:type="dxa"/>
          </w:tcPr>
          <w:p w14:paraId="7D305745" w14:textId="277EBBD5" w:rsidR="00025FEB" w:rsidRPr="00D85A4F" w:rsidRDefault="00025FEB" w:rsidP="00D25422">
            <w:pPr>
              <w:pStyle w:val="TableText"/>
              <w:keepNext/>
            </w:pPr>
            <w:r w:rsidRPr="00D85A4F">
              <w:t>Director</w:t>
            </w:r>
          </w:p>
        </w:tc>
      </w:tr>
    </w:tbl>
    <w:p w14:paraId="29604C5A" w14:textId="77777777" w:rsidR="00025FEB" w:rsidRPr="00D85A4F" w:rsidRDefault="00025FEB" w:rsidP="00D25422"/>
    <w:p w14:paraId="6E5DD888" w14:textId="43F8998B" w:rsidR="00025FEB" w:rsidRPr="00D85A4F" w:rsidRDefault="00025FEB" w:rsidP="00D25422">
      <w:r>
        <w:t>P</w:t>
      </w:r>
      <w:r w:rsidRPr="00D85A4F">
        <w:t xml:space="preserve">rior to the COVID-19 </w:t>
      </w:r>
      <w:r>
        <w:t>p</w:t>
      </w:r>
      <w:r w:rsidRPr="00D85A4F">
        <w:t xml:space="preserve">andemic, procedures for </w:t>
      </w:r>
      <w:r>
        <w:t xml:space="preserve">special </w:t>
      </w:r>
      <w:r w:rsidRPr="00D85A4F">
        <w:t xml:space="preserve">patients on full section 52 overnight leave </w:t>
      </w:r>
      <w:r>
        <w:t xml:space="preserve">for 4–7 days </w:t>
      </w:r>
      <w:r w:rsidRPr="00D85A4F">
        <w:t xml:space="preserve">required the </w:t>
      </w:r>
      <w:r>
        <w:t>p</w:t>
      </w:r>
      <w:r w:rsidRPr="00D85A4F">
        <w:t xml:space="preserve">atient to return to hospital to stay overnight after being out of hospital for six nights. The patient was assessed the following day and, if </w:t>
      </w:r>
      <w:r w:rsidR="00442459">
        <w:t xml:space="preserve">they were </w:t>
      </w:r>
      <w:r w:rsidRPr="00D85A4F">
        <w:t xml:space="preserve">deemed to be safe, granted another period of leave for a further seven days. </w:t>
      </w:r>
    </w:p>
    <w:p w14:paraId="2148D052" w14:textId="77777777" w:rsidR="00025FEB" w:rsidRPr="00D85A4F" w:rsidRDefault="00025FEB" w:rsidP="00D25422"/>
    <w:p w14:paraId="016C9776" w14:textId="76CEE227" w:rsidR="00025FEB" w:rsidRPr="00D85A4F" w:rsidRDefault="00025FEB" w:rsidP="00D25422">
      <w:r w:rsidRPr="00D85A4F">
        <w:t>During COVID</w:t>
      </w:r>
      <w:r>
        <w:t>-</w:t>
      </w:r>
      <w:r w:rsidRPr="00D85A4F">
        <w:t xml:space="preserve">19 alert levels, to ensure service continuity and minimise the risk of infection for patients and staff, it was necessary to modify this approach. </w:t>
      </w:r>
      <w:r>
        <w:t xml:space="preserve">Under the new approach, patients could </w:t>
      </w:r>
      <w:r w:rsidRPr="00D85A4F">
        <w:t>return to the hospital (noting that court</w:t>
      </w:r>
      <w:r w:rsidR="009669E0">
        <w:t>s have held ‘hospital’ to include</w:t>
      </w:r>
      <w:r w:rsidRPr="00D85A4F">
        <w:t xml:space="preserve"> </w:t>
      </w:r>
      <w:r w:rsidR="009669E0">
        <w:t xml:space="preserve">hospital </w:t>
      </w:r>
      <w:r w:rsidRPr="00D85A4F">
        <w:t>grounds) for a full assessment by the responsible clinician and case manager or another member of the care team</w:t>
      </w:r>
      <w:r>
        <w:t>, without the need to stay overnight</w:t>
      </w:r>
      <w:r w:rsidRPr="00D85A4F">
        <w:t xml:space="preserve">. </w:t>
      </w:r>
      <w:r>
        <w:t>This approach has remained in place.</w:t>
      </w:r>
    </w:p>
    <w:p w14:paraId="3DFB29C9" w14:textId="77777777" w:rsidR="00025FEB" w:rsidRPr="00D85A4F" w:rsidRDefault="00025FEB" w:rsidP="00025FEB"/>
    <w:p w14:paraId="677EEC65" w14:textId="0F780E1A" w:rsidR="00025FEB" w:rsidRPr="00D85A4F" w:rsidRDefault="00025FEB" w:rsidP="00025FEB">
      <w:r w:rsidRPr="00D85A4F">
        <w:t>Provided the patient is compliant with leave conditions, their mental state is stable and there are no safety issues, they can be granted leave for a further period of seven days</w:t>
      </w:r>
      <w:r>
        <w:t xml:space="preserve"> following the assessment</w:t>
      </w:r>
      <w:r w:rsidRPr="00D85A4F">
        <w:t xml:space="preserve">. This approach requires the </w:t>
      </w:r>
      <w:r>
        <w:t xml:space="preserve">DAMHS </w:t>
      </w:r>
      <w:r w:rsidRPr="00D85A4F">
        <w:t xml:space="preserve">and </w:t>
      </w:r>
      <w:r>
        <w:t>the c</w:t>
      </w:r>
      <w:r w:rsidRPr="00D85A4F">
        <w:t xml:space="preserve">linical </w:t>
      </w:r>
      <w:r>
        <w:t>d</w:t>
      </w:r>
      <w:r w:rsidRPr="00D85A4F">
        <w:t xml:space="preserve">irector of the service to agree on where in the hospital, or on hospital grounds, would be the safest place for the </w:t>
      </w:r>
      <w:r w:rsidR="002935C2">
        <w:t xml:space="preserve">patient to </w:t>
      </w:r>
      <w:r w:rsidRPr="00D85A4F">
        <w:t xml:space="preserve">return and assessment to take place. </w:t>
      </w:r>
      <w:r>
        <w:t>N</w:t>
      </w:r>
      <w:r w:rsidRPr="00D85A4F">
        <w:t xml:space="preserve">ote that it is not possible to dispense with the return to hospital </w:t>
      </w:r>
      <w:r>
        <w:t xml:space="preserve">entirely; </w:t>
      </w:r>
      <w:r w:rsidRPr="00D85A4F">
        <w:t xml:space="preserve">that would in effect give the patient a form of </w:t>
      </w:r>
      <w:r>
        <w:t>m</w:t>
      </w:r>
      <w:r w:rsidRPr="00D85A4F">
        <w:t xml:space="preserve">inisterial </w:t>
      </w:r>
      <w:r>
        <w:t>l</w:t>
      </w:r>
      <w:r w:rsidRPr="00D85A4F">
        <w:t xml:space="preserve">ong </w:t>
      </w:r>
      <w:r>
        <w:t>l</w:t>
      </w:r>
      <w:r w:rsidRPr="00D85A4F">
        <w:t>eave.</w:t>
      </w:r>
    </w:p>
    <w:p w14:paraId="0B3FC4F9" w14:textId="77777777" w:rsidR="00025FEB" w:rsidRPr="00D85A4F" w:rsidRDefault="00025FEB" w:rsidP="00025FEB">
      <w:pPr>
        <w:pStyle w:val="Heading2"/>
      </w:pPr>
      <w:bookmarkStart w:id="68" w:name="_Toc83197063"/>
      <w:bookmarkStart w:id="69" w:name="_Toc112845447"/>
      <w:bookmarkStart w:id="70" w:name="_Toc112862051"/>
      <w:bookmarkStart w:id="71" w:name="_Toc180497401"/>
      <w:r w:rsidRPr="00D85A4F">
        <w:t>Ground access</w:t>
      </w:r>
      <w:bookmarkEnd w:id="68"/>
      <w:bookmarkEnd w:id="69"/>
      <w:bookmarkEnd w:id="70"/>
      <w:bookmarkEnd w:id="71"/>
    </w:p>
    <w:p w14:paraId="2874359D" w14:textId="77777777" w:rsidR="00025FEB" w:rsidRPr="00D85A4F" w:rsidRDefault="00025FEB" w:rsidP="00025FEB">
      <w:r w:rsidRPr="00D85A4F">
        <w:t>‘Ground access’ is defined as permission for a patient to enter the grounds of the RFMHS at which they are detained, either with an escort or unescorted. The grounds of a</w:t>
      </w:r>
      <w:r>
        <w:t>n</w:t>
      </w:r>
      <w:r w:rsidRPr="00D85A4F">
        <w:t xml:space="preserve"> RFMHS are defined by each individual service. For mixed</w:t>
      </w:r>
      <w:r>
        <w:t>-</w:t>
      </w:r>
      <w:r w:rsidRPr="00D85A4F">
        <w:t>purpose hospital facilities, the grounds are likely to include the premises of the wider hospital.</w:t>
      </w:r>
    </w:p>
    <w:p w14:paraId="0D398182" w14:textId="77777777" w:rsidR="00025FEB" w:rsidRPr="00D85A4F" w:rsidRDefault="00025FEB" w:rsidP="00025FEB"/>
    <w:p w14:paraId="722A17EA" w14:textId="1E9B3149" w:rsidR="00025FEB" w:rsidRPr="00D85A4F" w:rsidRDefault="00025FEB" w:rsidP="00025FEB">
      <w:r w:rsidRPr="00D85A4F">
        <w:t>All special patients are eligible for ground access, including patients excluded from section 52 leave under section 50</w:t>
      </w:r>
      <w:r w:rsidR="00930F55">
        <w:t>A(3)</w:t>
      </w:r>
      <w:r w:rsidRPr="00D85A4F">
        <w:t xml:space="preserve"> of the </w:t>
      </w:r>
      <w:r>
        <w:t>Mental Health Act</w:t>
      </w:r>
      <w:r w:rsidRPr="00D85A4F">
        <w:t xml:space="preserve"> (</w:t>
      </w:r>
      <w:r>
        <w:t>that is,</w:t>
      </w:r>
      <w:r w:rsidRPr="00D85A4F">
        <w:t xml:space="preserve"> patients detained for trial or sentencing, or awaiting the outcome of an appeal following conviction).</w:t>
      </w:r>
    </w:p>
    <w:p w14:paraId="53E454FB" w14:textId="77777777" w:rsidR="00025FEB" w:rsidRPr="00D85A4F" w:rsidRDefault="00025FEB" w:rsidP="00025FEB"/>
    <w:p w14:paraId="799D0D74" w14:textId="79C6EAB9" w:rsidR="00025FEB" w:rsidRPr="00D85A4F" w:rsidRDefault="00025FEB" w:rsidP="00025FEB">
      <w:r w:rsidRPr="00D85A4F">
        <w:t xml:space="preserve">Although ground access is not governed by the provisions of section 52 of the </w:t>
      </w:r>
      <w:r>
        <w:t>Mental Health Act</w:t>
      </w:r>
      <w:r w:rsidRPr="00D85A4F">
        <w:t xml:space="preserve">, </w:t>
      </w:r>
      <w:r>
        <w:t xml:space="preserve">the Ministry </w:t>
      </w:r>
      <w:r w:rsidR="00DC70D2">
        <w:t xml:space="preserve">of Health </w:t>
      </w:r>
      <w:r w:rsidRPr="00D85A4F">
        <w:t>recommend</w:t>
      </w:r>
      <w:r>
        <w:t>s</w:t>
      </w:r>
      <w:r w:rsidRPr="00D85A4F">
        <w:t xml:space="preserve"> that </w:t>
      </w:r>
      <w:r w:rsidR="00AE7B6E">
        <w:t>a</w:t>
      </w:r>
      <w:r w:rsidR="00AE7B6E" w:rsidRPr="00D85A4F">
        <w:t xml:space="preserve"> </w:t>
      </w:r>
      <w:r w:rsidRPr="00D85A4F">
        <w:t xml:space="preserve">patient’s responsible clinician should be responsible for </w:t>
      </w:r>
      <w:r w:rsidRPr="000144F5">
        <w:t>seeking permission for ground access, and the DAMHS should provide approval of the requests</w:t>
      </w:r>
      <w:r w:rsidRPr="00D85A4F">
        <w:t>.</w:t>
      </w:r>
    </w:p>
    <w:p w14:paraId="191A070A" w14:textId="77777777" w:rsidR="00025FEB" w:rsidRPr="00D85A4F" w:rsidRDefault="00025FEB" w:rsidP="00025FEB"/>
    <w:p w14:paraId="168CD3B1" w14:textId="77777777" w:rsidR="00025FEB" w:rsidRPr="00D85A4F" w:rsidRDefault="00025FEB" w:rsidP="00025FEB">
      <w:r w:rsidRPr="00D85A4F">
        <w:t xml:space="preserve">The DAMHS should inform the Director of any request for ground access where the patient is considered to present a significant risk to themselves or to another person, or is likely to attract media attention, prior to granting approval. </w:t>
      </w:r>
    </w:p>
    <w:p w14:paraId="33A1E499" w14:textId="77777777" w:rsidR="00025FEB" w:rsidRPr="00D85A4F" w:rsidRDefault="00025FEB" w:rsidP="00025FEB">
      <w:pPr>
        <w:pStyle w:val="Heading2"/>
      </w:pPr>
      <w:bookmarkStart w:id="72" w:name="_Toc83197064"/>
      <w:bookmarkStart w:id="73" w:name="_Toc112845448"/>
      <w:bookmarkStart w:id="74" w:name="_Toc112862052"/>
      <w:bookmarkStart w:id="75" w:name="_Toc180497402"/>
      <w:r w:rsidRPr="00D85A4F">
        <w:t>Ground access requirements and risk management</w:t>
      </w:r>
      <w:bookmarkEnd w:id="72"/>
      <w:bookmarkEnd w:id="73"/>
      <w:bookmarkEnd w:id="74"/>
      <w:bookmarkEnd w:id="75"/>
    </w:p>
    <w:p w14:paraId="64CB9D5E" w14:textId="5F27C573" w:rsidR="00025FEB" w:rsidRPr="00D85A4F" w:rsidRDefault="00025FEB" w:rsidP="00025FEB">
      <w:r w:rsidRPr="00D85A4F">
        <w:t xml:space="preserve">Ground access requests </w:t>
      </w:r>
      <w:r>
        <w:t xml:space="preserve">for each patient </w:t>
      </w:r>
      <w:r w:rsidRPr="00D85A4F">
        <w:t xml:space="preserve">should align with the patient’s leave plan and be part of an identifiable pathway set out in the documentation accompanying the request for DAMHS approval. This must include an individualised assessment of risk and consideration of all the relevant circumstances for the patient. The </w:t>
      </w:r>
      <w:r>
        <w:t xml:space="preserve">documentation accompanying the request must clearly identify the </w:t>
      </w:r>
      <w:r w:rsidRPr="00D85A4F">
        <w:t>type of ground access and any restrictions on access. Escort arrangements, including the ratio and gender of escorting staff, should reflect the RFMHS'</w:t>
      </w:r>
      <w:r>
        <w:t>s</w:t>
      </w:r>
      <w:r w:rsidRPr="00D85A4F">
        <w:t xml:space="preserve"> current policy and the degree of risk </w:t>
      </w:r>
      <w:r>
        <w:t xml:space="preserve">the particular patient </w:t>
      </w:r>
      <w:r w:rsidRPr="00D85A4F">
        <w:t>present</w:t>
      </w:r>
      <w:r>
        <w:t>s</w:t>
      </w:r>
      <w:r w:rsidRPr="00D85A4F">
        <w:t xml:space="preserve"> to themsel</w:t>
      </w:r>
      <w:r w:rsidR="001E5C8D">
        <w:t>ves</w:t>
      </w:r>
      <w:r w:rsidRPr="00D85A4F">
        <w:t xml:space="preserve"> or others.</w:t>
      </w:r>
    </w:p>
    <w:p w14:paraId="72610C8A" w14:textId="77777777" w:rsidR="00025FEB" w:rsidRPr="00D85A4F" w:rsidRDefault="00025FEB" w:rsidP="00025FEB"/>
    <w:p w14:paraId="102B11D5" w14:textId="12AD8E9D" w:rsidR="00025FEB" w:rsidRPr="00D85A4F" w:rsidRDefault="00025FEB" w:rsidP="00025FEB">
      <w:r w:rsidRPr="00D85A4F">
        <w:t xml:space="preserve">Before each period of ground access, staff (in practice, </w:t>
      </w:r>
      <w:r>
        <w:t xml:space="preserve">usually </w:t>
      </w:r>
      <w:r w:rsidRPr="00D85A4F">
        <w:t>be a registered nurse) should conduct a risk assessment. This should include</w:t>
      </w:r>
      <w:r w:rsidR="00B77790">
        <w:t xml:space="preserve"> an assessment of</w:t>
      </w:r>
      <w:r w:rsidRPr="00D85A4F">
        <w:t xml:space="preserve"> the following:</w:t>
      </w:r>
    </w:p>
    <w:p w14:paraId="5F57CA0E" w14:textId="77777777" w:rsidR="00025FEB" w:rsidRPr="00D85A4F" w:rsidRDefault="00025FEB" w:rsidP="00D25422">
      <w:pPr>
        <w:pStyle w:val="Bullet"/>
      </w:pPr>
      <w:r>
        <w:t>w</w:t>
      </w:r>
      <w:r w:rsidRPr="00D85A4F">
        <w:t>hether there is the right staff mix to support the person to take the leave</w:t>
      </w:r>
    </w:p>
    <w:p w14:paraId="45EF6556" w14:textId="77777777" w:rsidR="00025FEB" w:rsidRPr="00D85A4F" w:rsidRDefault="00025FEB" w:rsidP="00D25422">
      <w:pPr>
        <w:pStyle w:val="Bullet"/>
      </w:pPr>
      <w:r>
        <w:t>w</w:t>
      </w:r>
      <w:r w:rsidRPr="00D85A4F">
        <w:t>hether the staff escorts have good rapport with the patient.</w:t>
      </w:r>
    </w:p>
    <w:p w14:paraId="0C0F5D73" w14:textId="77777777" w:rsidR="00025FEB" w:rsidRDefault="00025FEB" w:rsidP="00025FEB"/>
    <w:p w14:paraId="4480CA03" w14:textId="1C3C4AC9" w:rsidR="00025FEB" w:rsidRPr="00D85A4F" w:rsidRDefault="00025FEB" w:rsidP="00025FEB">
      <w:r w:rsidRPr="00D85A4F">
        <w:t>The focus should be on making sure that person is well supported to have the optimal experience from the period of leave that helps them achieve their recovery goals</w:t>
      </w:r>
      <w:r>
        <w:t>,</w:t>
      </w:r>
      <w:r w:rsidRPr="00D85A4F">
        <w:t xml:space="preserve"> which may include connecting with </w:t>
      </w:r>
      <w:r w:rsidR="00F044A6">
        <w:t>family/</w:t>
      </w:r>
      <w:r w:rsidRPr="00D85A4F">
        <w:t>wh</w:t>
      </w:r>
      <w:r>
        <w:t>ā</w:t>
      </w:r>
      <w:r w:rsidRPr="00D85A4F">
        <w:t>nau. Thi</w:t>
      </w:r>
      <w:r>
        <w:t>s</w:t>
      </w:r>
      <w:r w:rsidRPr="00D85A4F">
        <w:t xml:space="preserve"> experience should be safe for all who are involved.</w:t>
      </w:r>
    </w:p>
    <w:p w14:paraId="1BD2A8A3" w14:textId="77777777" w:rsidR="00025FEB" w:rsidRPr="00D85A4F" w:rsidRDefault="00025FEB" w:rsidP="00025FEB"/>
    <w:p w14:paraId="7B9C3CFE" w14:textId="77777777" w:rsidR="00025FEB" w:rsidRPr="00D85A4F" w:rsidRDefault="00025FEB" w:rsidP="00025FEB">
      <w:r w:rsidRPr="00D85A4F">
        <w:t>The request may be deferred if the patient presents with a significant increase in risk. Ground access may be subject to restrictions and conditions imposed by the responsible clinician. Where appropriate, the request for ground access should specify the geographic limits within which the leave can occur.</w:t>
      </w:r>
    </w:p>
    <w:p w14:paraId="33DCDCED" w14:textId="77777777" w:rsidR="00025FEB" w:rsidRPr="00D85A4F" w:rsidRDefault="00025FEB" w:rsidP="00025FEB"/>
    <w:p w14:paraId="3B14454B" w14:textId="77777777" w:rsidR="00025FEB" w:rsidRPr="00D85A4F" w:rsidRDefault="00025FEB" w:rsidP="00025FEB">
      <w:r w:rsidRPr="00D85A4F">
        <w:t>When considering whether to seek the DAMHS’</w:t>
      </w:r>
      <w:r>
        <w:t>s</w:t>
      </w:r>
      <w:r w:rsidRPr="00D85A4F">
        <w:t xml:space="preserve"> approval for ground access, the treating team should consider such factors as whether the patient:</w:t>
      </w:r>
    </w:p>
    <w:p w14:paraId="13B315E1" w14:textId="77777777" w:rsidR="00025FEB" w:rsidRPr="00D85A4F" w:rsidRDefault="00025FEB" w:rsidP="00D25422">
      <w:pPr>
        <w:pStyle w:val="Bullet"/>
      </w:pPr>
      <w:r w:rsidRPr="00D85A4F">
        <w:t xml:space="preserve">is assessed as posing a low risk to the public, identified </w:t>
      </w:r>
      <w:r>
        <w:t xml:space="preserve">people </w:t>
      </w:r>
      <w:r w:rsidRPr="00D85A4F">
        <w:t xml:space="preserve">or groups of </w:t>
      </w:r>
      <w:r>
        <w:t>people</w:t>
      </w:r>
    </w:p>
    <w:p w14:paraId="585B2517" w14:textId="77777777" w:rsidR="00025FEB" w:rsidRPr="00D85A4F" w:rsidRDefault="00025FEB" w:rsidP="00D25422">
      <w:pPr>
        <w:pStyle w:val="Bullet"/>
      </w:pPr>
      <w:r w:rsidRPr="00D85A4F">
        <w:t>has the capacity for socially appropriate behaviour</w:t>
      </w:r>
    </w:p>
    <w:p w14:paraId="3BAAC0B7" w14:textId="77777777" w:rsidR="00025FEB" w:rsidRPr="00D85A4F" w:rsidRDefault="00025FEB" w:rsidP="00D25422">
      <w:pPr>
        <w:pStyle w:val="Bullet"/>
      </w:pPr>
      <w:r w:rsidRPr="00D85A4F">
        <w:t>is able to take responsibility for their wellbeing and recovery</w:t>
      </w:r>
    </w:p>
    <w:p w14:paraId="20B012C3" w14:textId="77777777" w:rsidR="00025FEB" w:rsidRPr="00D85A4F" w:rsidRDefault="00025FEB" w:rsidP="00D25422">
      <w:pPr>
        <w:pStyle w:val="Bullet"/>
      </w:pPr>
      <w:r w:rsidRPr="00D85A4F">
        <w:t xml:space="preserve">is assessed as </w:t>
      </w:r>
      <w:r>
        <w:t xml:space="preserve">being at </w:t>
      </w:r>
      <w:r w:rsidRPr="00D85A4F">
        <w:t>low risk of absconding/escaping</w:t>
      </w:r>
    </w:p>
    <w:p w14:paraId="1DCC73FF" w14:textId="77777777" w:rsidR="00025FEB" w:rsidRPr="00D85A4F" w:rsidRDefault="00025FEB" w:rsidP="00D25422">
      <w:pPr>
        <w:pStyle w:val="Bullet"/>
      </w:pPr>
      <w:r w:rsidRPr="00D85A4F">
        <w:t>has the capacity to follow directions</w:t>
      </w:r>
    </w:p>
    <w:p w14:paraId="478AB71B" w14:textId="77777777" w:rsidR="00025FEB" w:rsidRPr="00D85A4F" w:rsidRDefault="00025FEB" w:rsidP="00D25422">
      <w:pPr>
        <w:pStyle w:val="Bullet"/>
      </w:pPr>
      <w:r w:rsidRPr="00D85A4F">
        <w:t>is compliant with medication and directions</w:t>
      </w:r>
    </w:p>
    <w:p w14:paraId="2F9F6CDD" w14:textId="77777777" w:rsidR="00025FEB" w:rsidRPr="00D85A4F" w:rsidRDefault="00025FEB" w:rsidP="00D25422">
      <w:pPr>
        <w:pStyle w:val="Bullet"/>
      </w:pPr>
      <w:r w:rsidRPr="00D85A4F">
        <w:t>is abstinent from illicit substances and alcohol</w:t>
      </w:r>
    </w:p>
    <w:p w14:paraId="12201CE6" w14:textId="13CEAB91" w:rsidR="00025FEB" w:rsidRPr="00D85A4F" w:rsidRDefault="00025FEB" w:rsidP="00D25422">
      <w:pPr>
        <w:pStyle w:val="Bullet"/>
      </w:pPr>
      <w:r w:rsidRPr="00D85A4F">
        <w:t xml:space="preserve">has </w:t>
      </w:r>
      <w:r>
        <w:t xml:space="preserve">had </w:t>
      </w:r>
      <w:r w:rsidRPr="00D85A4F">
        <w:t xml:space="preserve">liaison with </w:t>
      </w:r>
      <w:bookmarkStart w:id="76" w:name="_Hlk78831560"/>
      <w:r w:rsidRPr="00D85A4F">
        <w:t>Ara Poutama</w:t>
      </w:r>
      <w:bookmarkEnd w:id="76"/>
      <w:r w:rsidRPr="00D85A4F">
        <w:t xml:space="preserve"> Aotearoa (Department of Corrections) staff, </w:t>
      </w:r>
      <w:r w:rsidR="00C309A3" w:rsidRPr="00D85A4F">
        <w:t xml:space="preserve">if the patient is on remand, or awaiting the outcome of a trial or sentencing, </w:t>
      </w:r>
      <w:r w:rsidRPr="00D85A4F">
        <w:t>where appropriate.</w:t>
      </w:r>
    </w:p>
    <w:p w14:paraId="75016963" w14:textId="77777777" w:rsidR="00025FEB" w:rsidRPr="00D85A4F" w:rsidRDefault="00025FEB" w:rsidP="00025FEB"/>
    <w:p w14:paraId="5234DFE4" w14:textId="7A988488" w:rsidR="00025FEB" w:rsidRPr="00D85A4F" w:rsidRDefault="00025FEB" w:rsidP="00025FEB">
      <w:bookmarkStart w:id="77" w:name="_Toc445803200"/>
      <w:r w:rsidRPr="00D85A4F">
        <w:t>The RFMHS should have a plan in place to enable escorting staff to receive assistance in an emergency. This plan should include a requirement that escorting staff carry a mobile telephone or two-way radio. Any incident during leave should be reported to the DAMHS and, if necessary, to the Director in accordance with the Ministry’s requirements on reportable events (see section 1</w:t>
      </w:r>
      <w:r w:rsidR="006932D1">
        <w:t>3</w:t>
      </w:r>
      <w:r w:rsidRPr="00D85A4F">
        <w:t xml:space="preserve"> of these guidelines).</w:t>
      </w:r>
      <w:bookmarkEnd w:id="77"/>
    </w:p>
    <w:p w14:paraId="517E2171" w14:textId="77777777" w:rsidR="00025FEB" w:rsidRPr="00D85A4F" w:rsidRDefault="00025FEB" w:rsidP="00025FEB">
      <w:pPr>
        <w:pStyle w:val="Heading2"/>
      </w:pPr>
      <w:bookmarkStart w:id="78" w:name="_Toc445803201"/>
      <w:bookmarkStart w:id="79" w:name="_Toc83197065"/>
      <w:bookmarkStart w:id="80" w:name="_Toc112845449"/>
      <w:bookmarkStart w:id="81" w:name="_Toc112862053"/>
      <w:bookmarkStart w:id="82" w:name="_Toc180497403"/>
      <w:r w:rsidRPr="00D85A4F">
        <w:t>Managing flight risk</w:t>
      </w:r>
      <w:bookmarkEnd w:id="78"/>
      <w:bookmarkEnd w:id="79"/>
      <w:bookmarkEnd w:id="80"/>
      <w:bookmarkEnd w:id="81"/>
      <w:bookmarkEnd w:id="82"/>
    </w:p>
    <w:p w14:paraId="6ED5D04D" w14:textId="77777777" w:rsidR="00025FEB" w:rsidRPr="00D85A4F" w:rsidRDefault="00025FEB" w:rsidP="00025FEB">
      <w:r w:rsidRPr="00D85A4F">
        <w:t xml:space="preserve">As noted in section 2.3, </w:t>
      </w:r>
      <w:r>
        <w:t xml:space="preserve">RFMHSs should assess </w:t>
      </w:r>
      <w:r w:rsidRPr="00D85A4F">
        <w:t xml:space="preserve">all special patients for flight risk and </w:t>
      </w:r>
      <w:r>
        <w:t xml:space="preserve">put </w:t>
      </w:r>
      <w:r w:rsidRPr="00D85A4F">
        <w:t>steps in place to mitigate any risk.</w:t>
      </w:r>
    </w:p>
    <w:p w14:paraId="1BA51B87" w14:textId="77777777" w:rsidR="00025FEB" w:rsidRPr="00D85A4F" w:rsidRDefault="00025FEB" w:rsidP="00025FEB"/>
    <w:p w14:paraId="281DBFC5" w14:textId="482151B6" w:rsidR="00025FEB" w:rsidRPr="00D85A4F" w:rsidRDefault="00025FEB" w:rsidP="00025FEB">
      <w:r w:rsidRPr="00D85A4F">
        <w:t xml:space="preserve">If the Ministry or the RFMHS considers that a special patient presents a flight risk, </w:t>
      </w:r>
      <w:r w:rsidR="00CE028D">
        <w:t xml:space="preserve">they will not approve </w:t>
      </w:r>
      <w:r w:rsidRPr="00D85A4F">
        <w:t>leave until actions have been taken to minimise this risk.</w:t>
      </w:r>
    </w:p>
    <w:p w14:paraId="1852A51C" w14:textId="77777777" w:rsidR="00025FEB" w:rsidRPr="00D85A4F" w:rsidRDefault="00025FEB" w:rsidP="00025FEB"/>
    <w:p w14:paraId="3594F405" w14:textId="41489A25" w:rsidR="00025FEB" w:rsidRPr="00D85A4F" w:rsidRDefault="00025FEB" w:rsidP="00025FEB">
      <w:pPr>
        <w:keepNext/>
      </w:pPr>
      <w:r w:rsidRPr="00D85A4F">
        <w:t>There are no grounds under which special patients can be restricted in their ability to hold a passport. However, RFMHS</w:t>
      </w:r>
      <w:r>
        <w:t>s</w:t>
      </w:r>
      <w:r w:rsidRPr="00D85A4F">
        <w:t xml:space="preserve"> should ask patients assessed as high flight risk to voluntarily surrender their travel documents as a condition of leave. So long as the surrender of documents is done with the special patient’s consent and not against their will</w:t>
      </w:r>
      <w:r>
        <w:t xml:space="preserve"> (and the special patient had capacity to make that decision)</w:t>
      </w:r>
      <w:r w:rsidRPr="00D85A4F">
        <w:t>, there will be no offence under the Passports Act 1992. If a special patient refuses to provide their passport or other travel document, this can be considered as part of the decision on whether to grant leave (provided safe and secure storage of the passport or travel document was offered to the patient).</w:t>
      </w:r>
    </w:p>
    <w:p w14:paraId="2E623D48" w14:textId="77777777" w:rsidR="00025FEB" w:rsidRPr="00D85A4F" w:rsidRDefault="00025FEB" w:rsidP="00025FEB"/>
    <w:p w14:paraId="09D5C85A" w14:textId="6C0FE6FE" w:rsidR="00025FEB" w:rsidRPr="00D85A4F" w:rsidRDefault="00025FEB" w:rsidP="00025FEB">
      <w:r w:rsidRPr="00D85A4F">
        <w:t>If a special patient fails to return from leave (</w:t>
      </w:r>
      <w:r>
        <w:t xml:space="preserve">that is, </w:t>
      </w:r>
      <w:r w:rsidR="006530CB">
        <w:t xml:space="preserve">they are </w:t>
      </w:r>
      <w:r w:rsidR="003C47EF">
        <w:t>AWOL</w:t>
      </w:r>
      <w:r w:rsidRPr="00D85A4F">
        <w:t xml:space="preserve">) and there are concerns that they may try to leave the country, </w:t>
      </w:r>
      <w:r>
        <w:t xml:space="preserve">the RFMHS should notify </w:t>
      </w:r>
      <w:r w:rsidRPr="00D85A4F">
        <w:t>immigration authorities immediately.</w:t>
      </w:r>
    </w:p>
    <w:p w14:paraId="6973EC53" w14:textId="77777777" w:rsidR="00025FEB" w:rsidRPr="00D85A4F" w:rsidRDefault="00025FEB" w:rsidP="00025FEB">
      <w:pPr>
        <w:pStyle w:val="Heading2"/>
      </w:pPr>
      <w:bookmarkStart w:id="83" w:name="_Toc83197066"/>
      <w:bookmarkStart w:id="84" w:name="_Toc112845450"/>
      <w:bookmarkStart w:id="85" w:name="_Toc112862054"/>
      <w:bookmarkStart w:id="86" w:name="_Toc180497404"/>
      <w:r w:rsidRPr="00D85A4F">
        <w:t>Border alerts and notifying registered victims</w:t>
      </w:r>
      <w:bookmarkEnd w:id="83"/>
      <w:bookmarkEnd w:id="84"/>
      <w:bookmarkEnd w:id="85"/>
      <w:bookmarkEnd w:id="86"/>
    </w:p>
    <w:p w14:paraId="1F3E1EDF" w14:textId="77777777" w:rsidR="00025FEB" w:rsidRPr="00D85A4F" w:rsidRDefault="00025FEB" w:rsidP="00025FEB">
      <w:r w:rsidRPr="00D85A4F">
        <w:t>Overseas border alerts should be in place for all special patients who have unescorted short leave or ministerial long leave. See section 2.3</w:t>
      </w:r>
      <w:r>
        <w:t>.1</w:t>
      </w:r>
      <w:r w:rsidRPr="00D85A4F">
        <w:t xml:space="preserve"> and 6.3.1 for more information on the process of placing overseas border alerts.</w:t>
      </w:r>
    </w:p>
    <w:p w14:paraId="2D330803" w14:textId="77777777" w:rsidR="00025FEB" w:rsidRPr="00D85A4F" w:rsidRDefault="00025FEB" w:rsidP="00025FEB"/>
    <w:p w14:paraId="19C71B02" w14:textId="391D8813" w:rsidR="00025FEB" w:rsidRPr="00D85A4F" w:rsidRDefault="00025FEB" w:rsidP="00025FEB">
      <w:r w:rsidRPr="00D85A4F">
        <w:t xml:space="preserve">Registered victims need to be notified in certain circumstances, including when the special patient has first unescorted leave from hospital, has their first unescorted overnight leave from hospital or is </w:t>
      </w:r>
      <w:r w:rsidR="00E8418B">
        <w:t xml:space="preserve">AWOL </w:t>
      </w:r>
      <w:r w:rsidRPr="00D85A4F">
        <w:t>(including failing to return from leave). See section 12 of these guidelines for a more detailed explanation of the requirements relating to victim notification.</w:t>
      </w:r>
    </w:p>
    <w:p w14:paraId="0663CCE2" w14:textId="77777777" w:rsidR="00025FEB" w:rsidRPr="00D85A4F" w:rsidRDefault="00025FEB" w:rsidP="00025FEB">
      <w:pPr>
        <w:pStyle w:val="Heading2"/>
      </w:pPr>
      <w:bookmarkStart w:id="87" w:name="_Toc83197067"/>
      <w:bookmarkStart w:id="88" w:name="_Toc112845451"/>
      <w:bookmarkStart w:id="89" w:name="_Toc112862055"/>
      <w:bookmarkStart w:id="90" w:name="_Toc180497405"/>
      <w:r w:rsidRPr="00D85A4F">
        <w:t>Conditions of ministerial long leave and unescorted community short leave</w:t>
      </w:r>
      <w:bookmarkEnd w:id="87"/>
      <w:bookmarkEnd w:id="88"/>
      <w:bookmarkEnd w:id="89"/>
      <w:bookmarkEnd w:id="90"/>
    </w:p>
    <w:p w14:paraId="3DB7B392" w14:textId="77777777" w:rsidR="00025FEB" w:rsidRPr="00D85A4F" w:rsidRDefault="00025FEB" w:rsidP="00025FEB">
      <w:r w:rsidRPr="00D85A4F">
        <w:t xml:space="preserve">Certain conditions apply to all special patients on unescorted short leave and ministerial long leave. Those conditions do not apply to patients on escorted or unescorted ground leave. The </w:t>
      </w:r>
      <w:r>
        <w:t xml:space="preserve">RFMHS must inform the </w:t>
      </w:r>
      <w:r w:rsidRPr="00D85A4F">
        <w:t xml:space="preserve">patient of all conditions of leave before they leave the hospital grounds, and </w:t>
      </w:r>
      <w:r>
        <w:t xml:space="preserve">document </w:t>
      </w:r>
      <w:r w:rsidRPr="00D85A4F">
        <w:t>conditions in the patient’s records.</w:t>
      </w:r>
    </w:p>
    <w:p w14:paraId="4B70CE17" w14:textId="77777777" w:rsidR="00025FEB" w:rsidRPr="00D85A4F" w:rsidRDefault="00025FEB" w:rsidP="00025FEB"/>
    <w:p w14:paraId="419F3155" w14:textId="77777777" w:rsidR="00025FEB" w:rsidRPr="00D85A4F" w:rsidRDefault="00025FEB" w:rsidP="00025FEB">
      <w:r w:rsidRPr="00D85A4F">
        <w:t>Any application for ministerial long leave or for unescorted short leave in the community should include the following information:</w:t>
      </w:r>
    </w:p>
    <w:p w14:paraId="13344FB7" w14:textId="77777777" w:rsidR="00025FEB" w:rsidRPr="00D85A4F" w:rsidRDefault="00025FEB" w:rsidP="00D25422">
      <w:pPr>
        <w:pStyle w:val="Bullet"/>
      </w:pPr>
      <w:r w:rsidRPr="00D85A4F">
        <w:t>confirmation that no overseas travel will be permitted</w:t>
      </w:r>
    </w:p>
    <w:p w14:paraId="58E2DE0B" w14:textId="77777777" w:rsidR="00025FEB" w:rsidRPr="00D85A4F" w:rsidRDefault="00025FEB" w:rsidP="00D25422">
      <w:pPr>
        <w:pStyle w:val="Bullet"/>
      </w:pPr>
      <w:r w:rsidRPr="00D85A4F">
        <w:t>a current flight risk assessment</w:t>
      </w:r>
    </w:p>
    <w:p w14:paraId="126D3F8A" w14:textId="77777777" w:rsidR="00025FEB" w:rsidRPr="00D85A4F" w:rsidRDefault="00025FEB" w:rsidP="00D25422">
      <w:pPr>
        <w:pStyle w:val="Bullet"/>
      </w:pPr>
      <w:r w:rsidRPr="00D85A4F">
        <w:t>confirmation that the patient has agreed to surrender their travel documents.</w:t>
      </w:r>
    </w:p>
    <w:p w14:paraId="042B480F" w14:textId="77777777" w:rsidR="00025FEB" w:rsidRDefault="00025FEB" w:rsidP="00025FEB">
      <w:pPr>
        <w:sectPr w:rsidR="00025FEB" w:rsidSect="00BB4DC3">
          <w:pgSz w:w="11907" w:h="16834" w:code="9"/>
          <w:pgMar w:top="1418" w:right="1701" w:bottom="1134" w:left="1843" w:header="284" w:footer="425" w:gutter="284"/>
          <w:cols w:space="720"/>
        </w:sectPr>
      </w:pPr>
    </w:p>
    <w:p w14:paraId="0B782066" w14:textId="77777777" w:rsidR="00025FEB" w:rsidRPr="00D85A4F" w:rsidRDefault="00025FEB" w:rsidP="00025FEB">
      <w:pPr>
        <w:pStyle w:val="Heading1"/>
      </w:pPr>
      <w:bookmarkStart w:id="91" w:name="_Toc112862056"/>
      <w:bookmarkStart w:id="92" w:name="_Toc180497406"/>
      <w:r w:rsidRPr="00D85A4F">
        <w:t xml:space="preserve">Transfer of special patients under </w:t>
      </w:r>
      <w:r>
        <w:t>s</w:t>
      </w:r>
      <w:r w:rsidRPr="00D85A4F">
        <w:t>ection 49</w:t>
      </w:r>
      <w:bookmarkEnd w:id="91"/>
      <w:bookmarkEnd w:id="92"/>
    </w:p>
    <w:p w14:paraId="2CE9DBFA" w14:textId="1FA51EED" w:rsidR="00025FEB" w:rsidRPr="00D85A4F" w:rsidRDefault="00025FEB" w:rsidP="00025FEB">
      <w:r w:rsidRPr="00D85A4F">
        <w:t xml:space="preserve">Section 49 </w:t>
      </w:r>
      <w:r>
        <w:t xml:space="preserve">of the Mental Health Act </w:t>
      </w:r>
      <w:r w:rsidRPr="00D85A4F">
        <w:t xml:space="preserve">enables the Director to direct the transfer of </w:t>
      </w:r>
      <w:r w:rsidRPr="00D85A4F">
        <w:rPr>
          <w:color w:val="000000"/>
          <w:lang w:eastAsia="en-NZ"/>
        </w:rPr>
        <w:t xml:space="preserve">any special patient from any hospital in which the patient is detained to any other hospital. </w:t>
      </w:r>
      <w:r w:rsidR="001C228A">
        <w:t xml:space="preserve">Such a </w:t>
      </w:r>
      <w:r w:rsidRPr="00D85A4F">
        <w:t>transfer can be permanent or temporary, such as for a period of urgent assessment and treatment.</w:t>
      </w:r>
    </w:p>
    <w:p w14:paraId="22A8C908" w14:textId="77777777" w:rsidR="00025FEB" w:rsidRPr="00D85A4F" w:rsidRDefault="00025FEB" w:rsidP="00025FEB"/>
    <w:p w14:paraId="40350F20" w14:textId="6CAE2409" w:rsidR="00025FEB" w:rsidRPr="00D85A4F" w:rsidRDefault="00025FEB" w:rsidP="00025FEB">
      <w:r>
        <w:t xml:space="preserve">A </w:t>
      </w:r>
      <w:r w:rsidRPr="00D85A4F">
        <w:t xml:space="preserve">special patient subject to a direction under this section always remains in custody and is considered to detained and to be continuing their assessment and treatment as required under the court orders. There needs to be a secure escort during the transfer process (see </w:t>
      </w:r>
      <w:r w:rsidR="004C4884" w:rsidRPr="00C16FEC">
        <w:rPr>
          <w:i/>
          <w:iCs/>
        </w:rPr>
        <w:t xml:space="preserve">Guidelines for the </w:t>
      </w:r>
      <w:r w:rsidR="00780352">
        <w:rPr>
          <w:i/>
          <w:iCs/>
        </w:rPr>
        <w:t>S</w:t>
      </w:r>
      <w:r w:rsidR="004C4884" w:rsidRPr="00C16FEC">
        <w:rPr>
          <w:i/>
          <w:iCs/>
        </w:rPr>
        <w:t xml:space="preserve">afe </w:t>
      </w:r>
      <w:r w:rsidR="00780352">
        <w:rPr>
          <w:i/>
          <w:iCs/>
        </w:rPr>
        <w:t>T</w:t>
      </w:r>
      <w:r w:rsidR="004C4884" w:rsidRPr="00C16FEC">
        <w:rPr>
          <w:i/>
          <w:iCs/>
        </w:rPr>
        <w:t xml:space="preserve">ransport of </w:t>
      </w:r>
      <w:r w:rsidR="00780352">
        <w:rPr>
          <w:i/>
          <w:iCs/>
        </w:rPr>
        <w:t>S</w:t>
      </w:r>
      <w:r w:rsidR="004C4884" w:rsidRPr="00C16FEC">
        <w:rPr>
          <w:i/>
          <w:iCs/>
        </w:rPr>
        <w:t xml:space="preserve">pecial </w:t>
      </w:r>
      <w:r w:rsidR="00780352">
        <w:rPr>
          <w:i/>
          <w:iCs/>
        </w:rPr>
        <w:t>P</w:t>
      </w:r>
      <w:r w:rsidR="004C4884" w:rsidRPr="00C16FEC">
        <w:rPr>
          <w:i/>
          <w:iCs/>
        </w:rPr>
        <w:t xml:space="preserve">atients in the </w:t>
      </w:r>
      <w:r w:rsidR="00780352">
        <w:rPr>
          <w:i/>
          <w:iCs/>
        </w:rPr>
        <w:t>C</w:t>
      </w:r>
      <w:r w:rsidR="004C4884" w:rsidRPr="00C16FEC">
        <w:rPr>
          <w:i/>
          <w:iCs/>
        </w:rPr>
        <w:t>are of Regional Forensic Mental Health Services</w:t>
      </w:r>
      <w:r w:rsidR="004C4884">
        <w:t xml:space="preserve"> </w:t>
      </w:r>
      <w:r>
        <w:t>(Ministry of Health 20</w:t>
      </w:r>
      <w:r w:rsidR="004C4884">
        <w:t>2</w:t>
      </w:r>
      <w:r>
        <w:t>2</w:t>
      </w:r>
      <w:r w:rsidR="00D822F6">
        <w:t>b</w:t>
      </w:r>
      <w:r>
        <w:t>))</w:t>
      </w:r>
      <w:r w:rsidRPr="00D85A4F">
        <w:t>.</w:t>
      </w:r>
    </w:p>
    <w:p w14:paraId="4E920296" w14:textId="77777777" w:rsidR="00025FEB" w:rsidRPr="00D85A4F" w:rsidRDefault="00025FEB" w:rsidP="00025FEB"/>
    <w:p w14:paraId="527A04AA" w14:textId="77777777" w:rsidR="00025FEB" w:rsidRPr="00D85A4F" w:rsidRDefault="00025FEB" w:rsidP="00025FEB">
      <w:r w:rsidRPr="00D85A4F">
        <w:t xml:space="preserve">This is not a form of leave. Therefore, special patients on remand can be subject to a transfer direction.  </w:t>
      </w:r>
    </w:p>
    <w:p w14:paraId="2E11D53C" w14:textId="77777777" w:rsidR="00025FEB" w:rsidRPr="00D85A4F" w:rsidRDefault="00025FEB" w:rsidP="00025FEB"/>
    <w:p w14:paraId="7D2E32B7" w14:textId="6EC55300" w:rsidR="00025FEB" w:rsidRPr="00D85A4F" w:rsidRDefault="00025FEB" w:rsidP="00025FEB">
      <w:r w:rsidRPr="00D85A4F">
        <w:t xml:space="preserve">It is important to note that </w:t>
      </w:r>
      <w:r>
        <w:t xml:space="preserve">DAMHSs for </w:t>
      </w:r>
      <w:r w:rsidRPr="00D85A4F">
        <w:t>RFMHS</w:t>
      </w:r>
      <w:r>
        <w:t>s</w:t>
      </w:r>
      <w:r w:rsidRPr="00D85A4F">
        <w:t xml:space="preserve"> cover region</w:t>
      </w:r>
      <w:r>
        <w:t>s</w:t>
      </w:r>
      <w:r w:rsidRPr="00D85A4F">
        <w:t xml:space="preserve"> that often contain more than one hospital. This means that special patients can move from one hospital to another but still be under the oversight (and control) of </w:t>
      </w:r>
      <w:r>
        <w:t>the same</w:t>
      </w:r>
      <w:r w:rsidRPr="00D85A4F">
        <w:t xml:space="preserve"> DAMHS. </w:t>
      </w:r>
      <w:r>
        <w:t>The wording of section 49(3) anticipates t</w:t>
      </w:r>
      <w:r w:rsidRPr="00D85A4F">
        <w:t>his.</w:t>
      </w:r>
    </w:p>
    <w:p w14:paraId="705C811A" w14:textId="77777777" w:rsidR="00025FEB" w:rsidRPr="00D85A4F" w:rsidRDefault="00025FEB" w:rsidP="00025FEB"/>
    <w:p w14:paraId="27D1AE92" w14:textId="77777777" w:rsidR="00025FEB" w:rsidRPr="00D85A4F" w:rsidRDefault="00025FEB" w:rsidP="00025FEB">
      <w:r>
        <w:t>T</w:t>
      </w:r>
      <w:r w:rsidRPr="00D85A4F">
        <w:t>he assessment and treatment of special patients should be completed in a holistic manner</w:t>
      </w:r>
      <w:r>
        <w:t>,</w:t>
      </w:r>
      <w:r w:rsidRPr="00D85A4F">
        <w:t xml:space="preserve"> and </w:t>
      </w:r>
      <w:r>
        <w:t xml:space="preserve">should </w:t>
      </w:r>
      <w:r w:rsidRPr="00D85A4F">
        <w:t xml:space="preserve">include all medical treatment and other health care that is appropriate to </w:t>
      </w:r>
      <w:r>
        <w:t xml:space="preserve">the patient’s </w:t>
      </w:r>
      <w:r w:rsidRPr="00D85A4F">
        <w:t>condition (</w:t>
      </w:r>
      <w:r>
        <w:t xml:space="preserve">under </w:t>
      </w:r>
      <w:r w:rsidRPr="00D85A4F">
        <w:t>section 66), including physical health investigations and care.</w:t>
      </w:r>
    </w:p>
    <w:p w14:paraId="3222CEB6" w14:textId="77777777" w:rsidR="00025FEB" w:rsidRPr="00D85A4F" w:rsidRDefault="00025FEB" w:rsidP="00025FEB"/>
    <w:p w14:paraId="7C60F461" w14:textId="6FA96F1E" w:rsidR="00025FEB" w:rsidRPr="00D85A4F" w:rsidRDefault="00025FEB" w:rsidP="00025FEB">
      <w:r w:rsidRPr="00D85A4F">
        <w:t xml:space="preserve">When a special patient is transferred from a forensic mental health ward to a medical or surgical ward, their forensic mental health care </w:t>
      </w:r>
      <w:r>
        <w:t>(</w:t>
      </w:r>
      <w:r w:rsidR="00D25D3C">
        <w:t>eg</w:t>
      </w:r>
      <w:r>
        <w:t xml:space="preserve">, their medication) </w:t>
      </w:r>
      <w:r w:rsidRPr="00D85A4F">
        <w:t>continues but in addition they will receive the medical treatment</w:t>
      </w:r>
      <w:r>
        <w:t xml:space="preserve"> they need</w:t>
      </w:r>
      <w:r w:rsidRPr="00D85A4F">
        <w:t xml:space="preserve">. </w:t>
      </w:r>
      <w:r>
        <w:t>F</w:t>
      </w:r>
      <w:r w:rsidRPr="00D85A4F">
        <w:t>or short appointments or admissions for medical treatment</w:t>
      </w:r>
      <w:r>
        <w:t>, it may not be necessary</w:t>
      </w:r>
      <w:r w:rsidRPr="00D85A4F">
        <w:t xml:space="preserve"> to transfer DAMHS responsibilities for the special patient from the </w:t>
      </w:r>
      <w:r>
        <w:t>f</w:t>
      </w:r>
      <w:r w:rsidRPr="00D85A4F">
        <w:t>orensic DAMHS to the general DAMH</w:t>
      </w:r>
      <w:r>
        <w:t>S</w:t>
      </w:r>
      <w:r w:rsidRPr="00D85A4F">
        <w:t xml:space="preserve">. </w:t>
      </w:r>
    </w:p>
    <w:p w14:paraId="2E8C2C65" w14:textId="77777777" w:rsidR="00025FEB" w:rsidRPr="00D85A4F" w:rsidRDefault="00025FEB" w:rsidP="00025FEB"/>
    <w:p w14:paraId="528FDB9B" w14:textId="77777777" w:rsidR="00025FEB" w:rsidRPr="00D85A4F" w:rsidRDefault="00025FEB" w:rsidP="00025FEB">
      <w:r w:rsidRPr="00D85A4F">
        <w:t>When a special patient is transferred for extended treatment over a period of weeks</w:t>
      </w:r>
      <w:r>
        <w:t>,</w:t>
      </w:r>
      <w:r w:rsidRPr="00D85A4F">
        <w:t xml:space="preserve"> it may be necessary to transfer DAMHS responsibilities. However, it is likely that</w:t>
      </w:r>
      <w:r>
        <w:t>,</w:t>
      </w:r>
      <w:r w:rsidRPr="00D85A4F">
        <w:t xml:space="preserve"> in terms of assessment and care under the </w:t>
      </w:r>
      <w:r>
        <w:t>Mental Health Act,</w:t>
      </w:r>
      <w:r w:rsidRPr="00D85A4F">
        <w:t xml:space="preserve"> a specific assessment and treatment programme </w:t>
      </w:r>
      <w:r>
        <w:t xml:space="preserve">will </w:t>
      </w:r>
      <w:r w:rsidRPr="00D85A4F">
        <w:t xml:space="preserve">be needed </w:t>
      </w:r>
      <w:r>
        <w:t xml:space="preserve">in this case </w:t>
      </w:r>
      <w:r w:rsidRPr="00D85A4F">
        <w:t>that include</w:t>
      </w:r>
      <w:r>
        <w:t>s</w:t>
      </w:r>
      <w:r w:rsidRPr="00D85A4F">
        <w:t xml:space="preserve"> hospital consultation and liaison staff, forensic staff and general hospital staff (perhaps including security).  </w:t>
      </w:r>
    </w:p>
    <w:p w14:paraId="7B92E938" w14:textId="77777777" w:rsidR="007A6F61" w:rsidRDefault="007A6F61" w:rsidP="00025FEB"/>
    <w:p w14:paraId="42A76DDC" w14:textId="1DAC0B78" w:rsidR="00025FEB" w:rsidRPr="00D85A4F" w:rsidRDefault="00025FEB" w:rsidP="00025FEB">
      <w:r w:rsidRPr="00D85A4F">
        <w:t>The section 49 approval is necessary to transfer the place of care so there is an unbroken chain of custody (which is why the warrant holding the patient need</w:t>
      </w:r>
      <w:r>
        <w:t>s</w:t>
      </w:r>
      <w:r w:rsidRPr="00D85A4F">
        <w:t xml:space="preserve"> to be held by the hospital</w:t>
      </w:r>
      <w:r w:rsidR="007A6F61" w:rsidRPr="00D85A4F">
        <w:t>)</w:t>
      </w:r>
      <w:r w:rsidRPr="00D85A4F">
        <w:t xml:space="preserve"> but the mental health treatment (including compulsory treatment) continues. In practice</w:t>
      </w:r>
      <w:r>
        <w:t>,</w:t>
      </w:r>
      <w:r w:rsidRPr="00D85A4F">
        <w:t xml:space="preserve"> it may still be the same DAMHS administrator </w:t>
      </w:r>
      <w:r>
        <w:t xml:space="preserve">who </w:t>
      </w:r>
      <w:r w:rsidRPr="00D85A4F">
        <w:t>holds the master copy of the warrant.</w:t>
      </w:r>
    </w:p>
    <w:p w14:paraId="2C2E6811" w14:textId="77777777" w:rsidR="00025FEB" w:rsidRPr="00D85A4F" w:rsidRDefault="00025FEB" w:rsidP="00025FEB"/>
    <w:p w14:paraId="0B5B112C" w14:textId="671A1D02" w:rsidR="00025FEB" w:rsidRDefault="00025FEB" w:rsidP="00300B55">
      <w:pPr>
        <w:pStyle w:val="Table"/>
      </w:pPr>
      <w:bookmarkStart w:id="93" w:name="_Toc83191229"/>
      <w:bookmarkStart w:id="94" w:name="_Toc111810259"/>
      <w:bookmarkStart w:id="95" w:name="_Toc112861577"/>
      <w:bookmarkStart w:id="96" w:name="_Toc180593111"/>
      <w:r>
        <w:t xml:space="preserve">Table </w:t>
      </w:r>
      <w:r>
        <w:fldChar w:fldCharType="begin"/>
      </w:r>
      <w:r>
        <w:instrText>SEQ Table \* ARABIC</w:instrText>
      </w:r>
      <w:r>
        <w:fldChar w:fldCharType="separate"/>
      </w:r>
      <w:r w:rsidR="00411DF3">
        <w:rPr>
          <w:noProof/>
        </w:rPr>
        <w:t>4</w:t>
      </w:r>
      <w:r>
        <w:fldChar w:fldCharType="end"/>
      </w:r>
      <w:r>
        <w:t>: Information in support of a non-emergency transfer of a special patient under section 49 applications</w:t>
      </w:r>
      <w:bookmarkEnd w:id="93"/>
      <w:bookmarkEnd w:id="94"/>
      <w:bookmarkEnd w:id="95"/>
      <w:bookmarkEnd w:id="96"/>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433AF6C6"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3FAE72EA" w14:textId="77777777" w:rsidR="00025FEB" w:rsidRPr="00DC20BD" w:rsidRDefault="00025FEB" w:rsidP="00BB4DC3">
            <w:pPr>
              <w:pStyle w:val="TableText"/>
              <w:keepN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227B621C" w14:textId="77777777" w:rsidR="00025FEB" w:rsidRPr="00D85A4F" w:rsidRDefault="00025FEB" w:rsidP="00BB4DC3">
            <w:pPr>
              <w:pStyle w:val="TableText"/>
            </w:pPr>
            <w:r w:rsidRPr="00D85A4F">
              <w:t>A letter from the responsible clinician, including:</w:t>
            </w:r>
          </w:p>
          <w:p w14:paraId="726FA39C" w14:textId="77777777" w:rsidR="00025FEB" w:rsidRPr="00D85A4F" w:rsidRDefault="00025FEB" w:rsidP="00D25422">
            <w:pPr>
              <w:pStyle w:val="TableBullet"/>
            </w:pPr>
            <w:r w:rsidRPr="00D85A4F">
              <w:t xml:space="preserve">the patient’s legal status </w:t>
            </w:r>
          </w:p>
          <w:p w14:paraId="3FE496E7" w14:textId="77777777" w:rsidR="00025FEB" w:rsidRPr="00D85A4F" w:rsidRDefault="00025FEB" w:rsidP="00D25422">
            <w:pPr>
              <w:pStyle w:val="TableBullet"/>
            </w:pPr>
            <w:r w:rsidRPr="00D85A4F">
              <w:t>a current mental state assessment, including compliance with treatment</w:t>
            </w:r>
          </w:p>
          <w:p w14:paraId="3F7DDFE1" w14:textId="1C04CF6C" w:rsidR="00025FEB" w:rsidRPr="00D85A4F" w:rsidRDefault="00025FEB" w:rsidP="00D25422">
            <w:pPr>
              <w:pStyle w:val="TableBullet"/>
            </w:pPr>
            <w:r w:rsidRPr="00D85A4F">
              <w:t xml:space="preserve">advice of any critical incidents, including possession of weapons, drugs or other prohibited material, and management of </w:t>
            </w:r>
            <w:r w:rsidR="00AF06AA">
              <w:t xml:space="preserve">those </w:t>
            </w:r>
            <w:r w:rsidRPr="00D85A4F">
              <w:t>incident</w:t>
            </w:r>
            <w:r w:rsidR="00AF06AA">
              <w:t>s</w:t>
            </w:r>
          </w:p>
          <w:p w14:paraId="5B028AE9" w14:textId="77777777" w:rsidR="00025FEB" w:rsidRPr="00D85A4F" w:rsidRDefault="00025FEB" w:rsidP="00D25422">
            <w:pPr>
              <w:pStyle w:val="TableBullet"/>
            </w:pPr>
            <w:r w:rsidRPr="00D85A4F">
              <w:t>the reason for the transfer request, including urgency</w:t>
            </w:r>
          </w:p>
          <w:p w14:paraId="0B97F420" w14:textId="77777777" w:rsidR="00025FEB" w:rsidRPr="00D85A4F" w:rsidRDefault="00025FEB" w:rsidP="00D25422">
            <w:pPr>
              <w:pStyle w:val="TableBullet"/>
            </w:pPr>
            <w:r w:rsidRPr="00D85A4F">
              <w:t>escort/supervision details, if relevant</w:t>
            </w:r>
          </w:p>
          <w:p w14:paraId="5F7D1D2E" w14:textId="77777777" w:rsidR="00025FEB" w:rsidRPr="00D85A4F" w:rsidRDefault="00025FEB" w:rsidP="00D25422">
            <w:pPr>
              <w:pStyle w:val="TableBullet"/>
            </w:pPr>
            <w:r w:rsidRPr="00D85A4F">
              <w:t>a treatment plan including clinical risk assessment and management and flight risk</w:t>
            </w:r>
          </w:p>
          <w:p w14:paraId="5DD55855" w14:textId="77777777" w:rsidR="00025FEB" w:rsidRPr="00D85A4F" w:rsidRDefault="00025FEB" w:rsidP="00D25422">
            <w:pPr>
              <w:pStyle w:val="TableBullet"/>
            </w:pPr>
            <w:r w:rsidRPr="00D85A4F">
              <w:t>the correct section 49 transfer form, signed by the patient’s responsible clinician and the DAMHS</w:t>
            </w:r>
          </w:p>
          <w:p w14:paraId="5CAAA0ED" w14:textId="11BD52DB" w:rsidR="00025FEB" w:rsidRPr="00D85A4F" w:rsidRDefault="00025FEB" w:rsidP="00D25422">
            <w:pPr>
              <w:pStyle w:val="TableBullet"/>
            </w:pPr>
            <w:r w:rsidRPr="00D85A4F">
              <w:t xml:space="preserve">for patients under sections 45 or 46 of the </w:t>
            </w:r>
            <w:r>
              <w:t>Mental Health Act</w:t>
            </w:r>
            <w:r w:rsidRPr="00D85A4F">
              <w:t>, advice on</w:t>
            </w:r>
            <w:r w:rsidR="00EE73F6">
              <w:t xml:space="preserve"> </w:t>
            </w:r>
            <w:r w:rsidR="00EE73F6" w:rsidRPr="00EE73F6">
              <w:t>the extent of their sentence the patient has served</w:t>
            </w:r>
            <w:r w:rsidR="00EE73F6">
              <w:t>.</w:t>
            </w:r>
          </w:p>
          <w:p w14:paraId="333CC8A6" w14:textId="77777777" w:rsidR="00025FEB" w:rsidRDefault="00025FEB" w:rsidP="00BB4DC3">
            <w:pPr>
              <w:pStyle w:val="TableText"/>
            </w:pPr>
            <w:r w:rsidRPr="00C84E6C">
              <w:t xml:space="preserve">A signed transport management plan under the </w:t>
            </w:r>
            <w:r w:rsidR="004C4884" w:rsidRPr="004C4884">
              <w:rPr>
                <w:i/>
                <w:iCs/>
              </w:rPr>
              <w:t xml:space="preserve">Guidelines for the </w:t>
            </w:r>
            <w:r w:rsidR="00EB4E38">
              <w:rPr>
                <w:i/>
                <w:iCs/>
              </w:rPr>
              <w:t>S</w:t>
            </w:r>
            <w:r w:rsidR="004C4884" w:rsidRPr="004C4884">
              <w:rPr>
                <w:i/>
                <w:iCs/>
              </w:rPr>
              <w:t xml:space="preserve">afe </w:t>
            </w:r>
            <w:r w:rsidR="00EB4E38">
              <w:rPr>
                <w:i/>
                <w:iCs/>
              </w:rPr>
              <w:t>T</w:t>
            </w:r>
            <w:r w:rsidR="004C4884" w:rsidRPr="004C4884">
              <w:rPr>
                <w:i/>
                <w:iCs/>
              </w:rPr>
              <w:t xml:space="preserve">ransport of </w:t>
            </w:r>
            <w:r w:rsidR="00EB4E38">
              <w:rPr>
                <w:i/>
                <w:iCs/>
              </w:rPr>
              <w:t>S</w:t>
            </w:r>
            <w:r w:rsidR="004C4884" w:rsidRPr="004C4884">
              <w:rPr>
                <w:i/>
                <w:iCs/>
              </w:rPr>
              <w:t xml:space="preserve">pecial </w:t>
            </w:r>
            <w:r w:rsidR="00EB4E38">
              <w:rPr>
                <w:i/>
                <w:iCs/>
              </w:rPr>
              <w:t>P</w:t>
            </w:r>
            <w:r w:rsidR="004C4884" w:rsidRPr="004C4884">
              <w:rPr>
                <w:i/>
                <w:iCs/>
              </w:rPr>
              <w:t xml:space="preserve">atients in the </w:t>
            </w:r>
            <w:r w:rsidR="00EB4E38">
              <w:rPr>
                <w:i/>
                <w:iCs/>
              </w:rPr>
              <w:t>C</w:t>
            </w:r>
            <w:r w:rsidR="004C4884" w:rsidRPr="004C4884">
              <w:rPr>
                <w:i/>
                <w:iCs/>
              </w:rPr>
              <w:t>are of Regional Forensic Mental Health Services</w:t>
            </w:r>
            <w:r w:rsidRPr="00F42F27">
              <w:t xml:space="preserve"> </w:t>
            </w:r>
            <w:r w:rsidRPr="00C84E6C">
              <w:t>(Ministry of Health</w:t>
            </w:r>
            <w:r w:rsidR="004C4884">
              <w:t xml:space="preserve"> 2022</w:t>
            </w:r>
            <w:r w:rsidR="00EB4E38">
              <w:t>b</w:t>
            </w:r>
            <w:r w:rsidRPr="00C84E6C">
              <w:t>)</w:t>
            </w:r>
            <w:r w:rsidRPr="00F42F27">
              <w:t xml:space="preserve"> </w:t>
            </w:r>
            <w:r w:rsidRPr="00C84E6C">
              <w:t>if assistance by another agency is required</w:t>
            </w:r>
            <w:r w:rsidR="00EE73F6">
              <w:t>.</w:t>
            </w:r>
          </w:p>
          <w:p w14:paraId="18EC7B18" w14:textId="1507AF49" w:rsidR="00EE73F6" w:rsidRPr="00DC20BD" w:rsidRDefault="00EE73F6" w:rsidP="00BB4DC3">
            <w:pPr>
              <w:pStyle w:val="TableText"/>
              <w:rPr>
                <w:rFonts w:eastAsia="Lucida Sans Unicode" w:hAnsi="Lucida Sans Unicode" w:cs="Lucida Sans Unicode"/>
              </w:rPr>
            </w:pPr>
            <w:r w:rsidRPr="00EE73F6">
              <w:rPr>
                <w:rFonts w:eastAsia="Lucida Sans Unicode" w:hAnsi="Lucida Sans Unicode" w:cs="Lucida Sans Unicode"/>
              </w:rPr>
              <w:t>In practice, this information will be uploaded into the SPMS.</w:t>
            </w:r>
          </w:p>
        </w:tc>
      </w:tr>
      <w:tr w:rsidR="00D86D22" w:rsidRPr="00DC20BD" w14:paraId="22A26506"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3095C305" w14:textId="0B54E608" w:rsidR="00D86D22" w:rsidRPr="00D85A4F" w:rsidRDefault="00D86D22" w:rsidP="00BB4DC3">
            <w:pPr>
              <w:pStyle w:val="TableText"/>
              <w:keepNext/>
            </w:pPr>
            <w:r>
              <w:t>Timeframe</w:t>
            </w:r>
          </w:p>
        </w:tc>
        <w:tc>
          <w:tcPr>
            <w:tcW w:w="6861" w:type="dxa"/>
            <w:tcBorders>
              <w:top w:val="single" w:sz="4" w:space="0" w:color="A6A6A6" w:themeColor="background1" w:themeShade="A6"/>
              <w:bottom w:val="single" w:sz="4" w:space="0" w:color="A6A6A6" w:themeColor="background1" w:themeShade="A6"/>
            </w:tcBorders>
          </w:tcPr>
          <w:p w14:paraId="384072B0" w14:textId="77777777" w:rsidR="00D86D22" w:rsidRDefault="00D86D22" w:rsidP="00D86D22">
            <w:pPr>
              <w:pStyle w:val="TableText"/>
            </w:pPr>
            <w:r>
              <w:t xml:space="preserve">The DAMHS must submit the application at least three working days prior to the scheduled appointment. </w:t>
            </w:r>
          </w:p>
          <w:p w14:paraId="1B7CAB32" w14:textId="77777777" w:rsidR="00D86D22" w:rsidRDefault="00D86D22" w:rsidP="00D86D22">
            <w:pPr>
              <w:pStyle w:val="TableText"/>
            </w:pPr>
            <w:r>
              <w:t xml:space="preserve">The Office of the Director must respond within two working days (unless urgent hospital admission is required). In practice, this information will be uploaded into the SPMS. </w:t>
            </w:r>
          </w:p>
          <w:p w14:paraId="7C67512F" w14:textId="18C06E2A" w:rsidR="00D86D22" w:rsidRPr="00D85A4F" w:rsidRDefault="00D86D22" w:rsidP="00D86D22">
            <w:pPr>
              <w:pStyle w:val="TableText"/>
            </w:pPr>
            <w:r>
              <w:t>Incomplete information will result in a delay in approving leave.</w:t>
            </w:r>
          </w:p>
        </w:tc>
      </w:tr>
    </w:tbl>
    <w:p w14:paraId="5A32B79D" w14:textId="77777777" w:rsidR="00025FEB" w:rsidRPr="00D85A4F" w:rsidRDefault="00025FEB" w:rsidP="00025FEB">
      <w:pPr>
        <w:pStyle w:val="Heading2"/>
      </w:pPr>
      <w:bookmarkStart w:id="97" w:name="_Toc112845453"/>
      <w:bookmarkStart w:id="98" w:name="_Toc112862057"/>
      <w:bookmarkStart w:id="99" w:name="_Toc180497407"/>
      <w:r w:rsidRPr="00D85A4F">
        <w:t>Medical emergency transfers</w:t>
      </w:r>
      <w:bookmarkEnd w:id="97"/>
      <w:bookmarkEnd w:id="98"/>
      <w:bookmarkEnd w:id="99"/>
    </w:p>
    <w:p w14:paraId="29D9CED1" w14:textId="77777777" w:rsidR="00025FEB" w:rsidRPr="006D79BD" w:rsidRDefault="00025FEB" w:rsidP="00025FEB">
      <w:pPr>
        <w:rPr>
          <w:szCs w:val="22"/>
        </w:rPr>
      </w:pPr>
      <w:r w:rsidRPr="006D79BD">
        <w:rPr>
          <w:szCs w:val="22"/>
        </w:rPr>
        <w:t xml:space="preserve">In a medical emergency, </w:t>
      </w:r>
      <w:r>
        <w:rPr>
          <w:szCs w:val="22"/>
        </w:rPr>
        <w:t xml:space="preserve">meeting </w:t>
      </w:r>
      <w:r w:rsidRPr="006D79BD">
        <w:rPr>
          <w:szCs w:val="22"/>
        </w:rPr>
        <w:t xml:space="preserve">the full requirements of </w:t>
      </w:r>
      <w:r>
        <w:rPr>
          <w:szCs w:val="22"/>
        </w:rPr>
        <w:t xml:space="preserve">a </w:t>
      </w:r>
      <w:r w:rsidRPr="006D79BD">
        <w:rPr>
          <w:szCs w:val="22"/>
        </w:rPr>
        <w:t>section 53A transport management plan may not be possible</w:t>
      </w:r>
      <w:r>
        <w:rPr>
          <w:szCs w:val="22"/>
        </w:rPr>
        <w:t>,</w:t>
      </w:r>
      <w:r w:rsidRPr="006D79BD">
        <w:rPr>
          <w:szCs w:val="22"/>
        </w:rPr>
        <w:t xml:space="preserve"> as all of the above information may not be </w:t>
      </w:r>
      <w:r>
        <w:rPr>
          <w:szCs w:val="22"/>
        </w:rPr>
        <w:t xml:space="preserve">immediately </w:t>
      </w:r>
      <w:r w:rsidRPr="006D79BD">
        <w:rPr>
          <w:szCs w:val="22"/>
        </w:rPr>
        <w:t xml:space="preserve">available. </w:t>
      </w:r>
      <w:r>
        <w:rPr>
          <w:szCs w:val="22"/>
        </w:rPr>
        <w:t>In this case, t</w:t>
      </w:r>
      <w:r w:rsidRPr="006D79BD">
        <w:rPr>
          <w:szCs w:val="22"/>
        </w:rPr>
        <w:t>he priority is to ensure the special patient receives life</w:t>
      </w:r>
      <w:r>
        <w:rPr>
          <w:szCs w:val="22"/>
        </w:rPr>
        <w:t>-</w:t>
      </w:r>
      <w:r w:rsidRPr="006D79BD">
        <w:rPr>
          <w:szCs w:val="22"/>
        </w:rPr>
        <w:t xml:space="preserve">preserving medical attention. </w:t>
      </w:r>
      <w:r>
        <w:rPr>
          <w:szCs w:val="22"/>
        </w:rPr>
        <w:t>T</w:t>
      </w:r>
      <w:r w:rsidRPr="006D79BD">
        <w:rPr>
          <w:szCs w:val="22"/>
        </w:rPr>
        <w:t>he RFMHS facility should arrange for 111 emergency services if required.</w:t>
      </w:r>
    </w:p>
    <w:p w14:paraId="23DFE704" w14:textId="77777777" w:rsidR="00025FEB" w:rsidRPr="006D79BD" w:rsidRDefault="00025FEB" w:rsidP="00025FEB">
      <w:pPr>
        <w:rPr>
          <w:szCs w:val="22"/>
        </w:rPr>
      </w:pPr>
    </w:p>
    <w:p w14:paraId="5FAE5C0B" w14:textId="77777777" w:rsidR="00025FEB" w:rsidRPr="006D79BD" w:rsidRDefault="00025FEB" w:rsidP="00025FEB">
      <w:pPr>
        <w:rPr>
          <w:szCs w:val="22"/>
        </w:rPr>
      </w:pPr>
      <w:r>
        <w:rPr>
          <w:szCs w:val="22"/>
        </w:rPr>
        <w:t>In a medical emergency, t</w:t>
      </w:r>
      <w:r w:rsidRPr="006D79BD">
        <w:rPr>
          <w:szCs w:val="22"/>
        </w:rPr>
        <w:t xml:space="preserve">he special patient’s </w:t>
      </w:r>
      <w:r>
        <w:rPr>
          <w:szCs w:val="22"/>
        </w:rPr>
        <w:t>r</w:t>
      </w:r>
      <w:r w:rsidRPr="006D79BD">
        <w:rPr>
          <w:szCs w:val="22"/>
        </w:rPr>
        <w:t xml:space="preserve">esponsible </w:t>
      </w:r>
      <w:r>
        <w:rPr>
          <w:szCs w:val="22"/>
        </w:rPr>
        <w:t>c</w:t>
      </w:r>
      <w:r w:rsidRPr="006D79BD">
        <w:rPr>
          <w:szCs w:val="22"/>
        </w:rPr>
        <w:t xml:space="preserve">linician or RFMHS staff must notify the DAMHS </w:t>
      </w:r>
      <w:r>
        <w:rPr>
          <w:szCs w:val="22"/>
        </w:rPr>
        <w:t xml:space="preserve">within the RFMHS </w:t>
      </w:r>
      <w:r w:rsidRPr="006D79BD">
        <w:rPr>
          <w:szCs w:val="22"/>
        </w:rPr>
        <w:t>as soon as practicable of the situation</w:t>
      </w:r>
      <w:r>
        <w:rPr>
          <w:szCs w:val="22"/>
        </w:rPr>
        <w:t>,</w:t>
      </w:r>
      <w:r w:rsidRPr="006D79BD">
        <w:rPr>
          <w:szCs w:val="22"/>
        </w:rPr>
        <w:t xml:space="preserve"> and discuss transportation requirements, including the need for restraint or police assistance to support clinical staff to transfer the patient to a general hospital emergency department.</w:t>
      </w:r>
    </w:p>
    <w:p w14:paraId="3F0DF8CC" w14:textId="77777777" w:rsidR="00025FEB" w:rsidRPr="006D79BD" w:rsidRDefault="00025FEB" w:rsidP="00025FEB">
      <w:pPr>
        <w:rPr>
          <w:szCs w:val="22"/>
        </w:rPr>
      </w:pPr>
    </w:p>
    <w:p w14:paraId="160E8C0B" w14:textId="77777777" w:rsidR="00025FEB" w:rsidRPr="006D79BD" w:rsidRDefault="00025FEB" w:rsidP="00025FEB">
      <w:pPr>
        <w:rPr>
          <w:szCs w:val="22"/>
        </w:rPr>
      </w:pPr>
      <w:r w:rsidRPr="006D79BD">
        <w:rPr>
          <w:szCs w:val="22"/>
        </w:rPr>
        <w:t xml:space="preserve">The DAMHS </w:t>
      </w:r>
      <w:r>
        <w:rPr>
          <w:szCs w:val="22"/>
        </w:rPr>
        <w:t xml:space="preserve">within the RFMHS </w:t>
      </w:r>
      <w:r w:rsidRPr="006D79BD">
        <w:rPr>
          <w:szCs w:val="22"/>
        </w:rPr>
        <w:t>should contact the Director or Deputy Director of Mental Health as soon as practicable and provide the patient details, a summary of the situation, background</w:t>
      </w:r>
      <w:r>
        <w:rPr>
          <w:szCs w:val="22"/>
        </w:rPr>
        <w:t xml:space="preserve"> information</w:t>
      </w:r>
      <w:r w:rsidRPr="006D79BD">
        <w:rPr>
          <w:szCs w:val="22"/>
        </w:rPr>
        <w:t xml:space="preserve">, </w:t>
      </w:r>
      <w:r>
        <w:rPr>
          <w:szCs w:val="22"/>
        </w:rPr>
        <w:t xml:space="preserve">information on </w:t>
      </w:r>
      <w:r w:rsidRPr="006D79BD">
        <w:rPr>
          <w:szCs w:val="22"/>
        </w:rPr>
        <w:t>assessments undertaken and recommendations regarding the transportation plan</w:t>
      </w:r>
      <w:r>
        <w:rPr>
          <w:szCs w:val="22"/>
        </w:rPr>
        <w:t>,</w:t>
      </w:r>
      <w:r w:rsidRPr="006D79BD">
        <w:rPr>
          <w:szCs w:val="22"/>
        </w:rPr>
        <w:t xml:space="preserve"> including whether police assistance is required and whether restraint is deemed necessary. </w:t>
      </w:r>
      <w:r>
        <w:rPr>
          <w:szCs w:val="22"/>
        </w:rPr>
        <w:t>T</w:t>
      </w:r>
      <w:r w:rsidRPr="006D79BD">
        <w:rPr>
          <w:szCs w:val="22"/>
        </w:rPr>
        <w:t xml:space="preserve">he Director or Deputy Director can </w:t>
      </w:r>
      <w:r>
        <w:rPr>
          <w:szCs w:val="22"/>
        </w:rPr>
        <w:t xml:space="preserve">thereafter </w:t>
      </w:r>
      <w:r w:rsidRPr="006D79BD">
        <w:rPr>
          <w:szCs w:val="22"/>
        </w:rPr>
        <w:t xml:space="preserve">approve </w:t>
      </w:r>
      <w:r>
        <w:rPr>
          <w:szCs w:val="22"/>
        </w:rPr>
        <w:t xml:space="preserve">the transfer </w:t>
      </w:r>
      <w:r w:rsidRPr="006D79BD">
        <w:rPr>
          <w:szCs w:val="22"/>
        </w:rPr>
        <w:t xml:space="preserve">verbally, </w:t>
      </w:r>
      <w:r>
        <w:rPr>
          <w:szCs w:val="22"/>
        </w:rPr>
        <w:t xml:space="preserve">so </w:t>
      </w:r>
      <w:r w:rsidRPr="006D79BD">
        <w:rPr>
          <w:szCs w:val="22"/>
        </w:rPr>
        <w:t>as not to delay treatment.</w:t>
      </w:r>
    </w:p>
    <w:p w14:paraId="471F44FB" w14:textId="77777777" w:rsidR="00025FEB" w:rsidRPr="006D79BD" w:rsidRDefault="00025FEB" w:rsidP="00025FEB">
      <w:pPr>
        <w:rPr>
          <w:szCs w:val="22"/>
        </w:rPr>
      </w:pPr>
    </w:p>
    <w:p w14:paraId="15A639DC" w14:textId="77777777" w:rsidR="00025FEB" w:rsidRDefault="00025FEB" w:rsidP="00025FEB">
      <w:pPr>
        <w:rPr>
          <w:szCs w:val="22"/>
        </w:rPr>
      </w:pPr>
      <w:r w:rsidRPr="006D79BD">
        <w:rPr>
          <w:szCs w:val="22"/>
        </w:rPr>
        <w:t>Due to the urgency of the situation</w:t>
      </w:r>
      <w:r>
        <w:rPr>
          <w:szCs w:val="22"/>
        </w:rPr>
        <w:t>,</w:t>
      </w:r>
      <w:r w:rsidRPr="006D79BD">
        <w:rPr>
          <w:szCs w:val="22"/>
        </w:rPr>
        <w:t xml:space="preserve"> an exchange of emails between the DAMHS and the Director may be the quickest way to gain confirmation of the transfer and transport approvals. This should be followed up by the more formal documentation being uploaded into the SPMS.</w:t>
      </w:r>
    </w:p>
    <w:p w14:paraId="25067D3F" w14:textId="77777777" w:rsidR="00025FEB" w:rsidRDefault="00025FEB" w:rsidP="00025FEB">
      <w:pPr>
        <w:rPr>
          <w:szCs w:val="22"/>
        </w:rPr>
        <w:sectPr w:rsidR="00025FEB" w:rsidSect="00BB4DC3">
          <w:pgSz w:w="11907" w:h="16834" w:code="9"/>
          <w:pgMar w:top="1418" w:right="1701" w:bottom="1134" w:left="1843" w:header="284" w:footer="425" w:gutter="284"/>
          <w:cols w:space="720"/>
        </w:sectPr>
      </w:pPr>
    </w:p>
    <w:p w14:paraId="04FFA8F1" w14:textId="0BBF7D2E" w:rsidR="00025FEB" w:rsidRPr="00D85A4F" w:rsidRDefault="00025FEB" w:rsidP="00025FEB">
      <w:pPr>
        <w:pStyle w:val="Heading1"/>
      </w:pPr>
      <w:bookmarkStart w:id="100" w:name="_Toc112862058"/>
      <w:bookmarkStart w:id="101" w:name="_Toc180497408"/>
      <w:r w:rsidRPr="00D85A4F">
        <w:t>Leave under section</w:t>
      </w:r>
      <w:r w:rsidR="00E71A1E">
        <w:t> </w:t>
      </w:r>
      <w:r w:rsidRPr="00D85A4F">
        <w:t>52: ‘short-term leave’ requests</w:t>
      </w:r>
      <w:bookmarkEnd w:id="100"/>
      <w:bookmarkEnd w:id="101"/>
    </w:p>
    <w:p w14:paraId="5F00CADD" w14:textId="4C3211AC" w:rsidR="00025FEB" w:rsidRPr="00D85A4F" w:rsidRDefault="00025FEB" w:rsidP="007A6F61">
      <w:pPr>
        <w:ind w:right="-110"/>
      </w:pPr>
      <w:r w:rsidRPr="00D85A4F">
        <w:t xml:space="preserve">Section 52 of the </w:t>
      </w:r>
      <w:r>
        <w:t>Mental Health Act</w:t>
      </w:r>
      <w:r w:rsidRPr="00D85A4F">
        <w:t xml:space="preserve"> enables the Director (through the Office of the Director) to approve leave for up to </w:t>
      </w:r>
      <w:r>
        <w:t>seven</w:t>
      </w:r>
      <w:r w:rsidRPr="00D85A4F">
        <w:t xml:space="preserve"> days to certain special patients. </w:t>
      </w:r>
      <w:r>
        <w:t>This is called ‘s</w:t>
      </w:r>
      <w:r w:rsidRPr="00D85A4F">
        <w:t>hort</w:t>
      </w:r>
      <w:r>
        <w:t>-</w:t>
      </w:r>
      <w:r w:rsidRPr="00D85A4F">
        <w:t>term leave</w:t>
      </w:r>
      <w:r>
        <w:t>’ and</w:t>
      </w:r>
      <w:r w:rsidRPr="00D85A4F">
        <w:t xml:space="preserve"> is subject to conditions the Director sees fit.</w:t>
      </w:r>
    </w:p>
    <w:p w14:paraId="3C736BA8" w14:textId="77777777" w:rsidR="00025FEB" w:rsidRPr="00D85A4F" w:rsidRDefault="00025FEB" w:rsidP="007A6F61">
      <w:pPr>
        <w:ind w:right="-110"/>
      </w:pPr>
    </w:p>
    <w:p w14:paraId="32F5F109" w14:textId="2B4AEB82" w:rsidR="00025FEB" w:rsidRPr="00D85A4F" w:rsidRDefault="00025FEB" w:rsidP="007A6F61">
      <w:pPr>
        <w:ind w:right="-110"/>
      </w:pPr>
      <w:r w:rsidRPr="00D85A4F">
        <w:t xml:space="preserve">Once the </w:t>
      </w:r>
      <w:r>
        <w:t xml:space="preserve">Director has approved the </w:t>
      </w:r>
      <w:r w:rsidRPr="00D85A4F">
        <w:t>category of short</w:t>
      </w:r>
      <w:r>
        <w:t>-term</w:t>
      </w:r>
      <w:r w:rsidRPr="00D85A4F">
        <w:t xml:space="preserve"> leave, DAMHS</w:t>
      </w:r>
      <w:r>
        <w:t>s</w:t>
      </w:r>
      <w:r w:rsidRPr="00D85A4F">
        <w:t xml:space="preserve"> have delegated authority to approve ongoing short</w:t>
      </w:r>
      <w:r>
        <w:t>-term</w:t>
      </w:r>
      <w:r w:rsidRPr="00D85A4F">
        <w:t xml:space="preserve"> leave applications within the category and to cancel or withhold leaves of that category </w:t>
      </w:r>
      <w:r>
        <w:t>under s</w:t>
      </w:r>
      <w:r w:rsidRPr="00D85A4F">
        <w:t xml:space="preserve">ection </w:t>
      </w:r>
      <w:r w:rsidR="00925282">
        <w:t>52H</w:t>
      </w:r>
      <w:r w:rsidRPr="00D85A4F">
        <w:t>.</w:t>
      </w:r>
    </w:p>
    <w:p w14:paraId="202CBA6B" w14:textId="77777777" w:rsidR="00025FEB" w:rsidRPr="00D85A4F" w:rsidRDefault="00025FEB" w:rsidP="007A6F61">
      <w:pPr>
        <w:ind w:right="-110"/>
      </w:pPr>
    </w:p>
    <w:p w14:paraId="6EF84DAC" w14:textId="7439AE25" w:rsidR="00025FEB" w:rsidRPr="00D85A4F" w:rsidRDefault="00025FEB" w:rsidP="007A6F61">
      <w:pPr>
        <w:ind w:right="-110"/>
      </w:pPr>
      <w:r>
        <w:t>E</w:t>
      </w:r>
      <w:r w:rsidRPr="00D85A4F">
        <w:t xml:space="preserve">xercising the power to grant leave under this section requires consultation with the </w:t>
      </w:r>
      <w:r>
        <w:t>p</w:t>
      </w:r>
      <w:r w:rsidRPr="00D85A4F">
        <w:t xml:space="preserve">rison </w:t>
      </w:r>
      <w:r>
        <w:t>d</w:t>
      </w:r>
      <w:r w:rsidRPr="00D85A4F">
        <w:t>irector for patients held under section 45 or section 46.</w:t>
      </w:r>
    </w:p>
    <w:p w14:paraId="46C89F2B" w14:textId="77777777" w:rsidR="00025FEB" w:rsidRPr="00D85A4F" w:rsidRDefault="00025FEB" w:rsidP="007A6F61">
      <w:pPr>
        <w:ind w:right="-110"/>
      </w:pPr>
    </w:p>
    <w:p w14:paraId="198F0CD0" w14:textId="5707CDEF" w:rsidR="00025FEB" w:rsidRPr="00D85A4F" w:rsidRDefault="00025FEB" w:rsidP="007A6F61">
      <w:pPr>
        <w:ind w:right="-110"/>
      </w:pPr>
      <w:r>
        <w:t>U</w:t>
      </w:r>
      <w:r w:rsidRPr="00D85A4F">
        <w:t>nder section 52(</w:t>
      </w:r>
      <w:r w:rsidR="0092398D">
        <w:t>3</w:t>
      </w:r>
      <w:r w:rsidRPr="00D85A4F">
        <w:t>), short</w:t>
      </w:r>
      <w:r>
        <w:t>-</w:t>
      </w:r>
      <w:r w:rsidRPr="00D85A4F">
        <w:t xml:space="preserve">term leave cannot be granted to any person who was immediately before </w:t>
      </w:r>
      <w:r>
        <w:t xml:space="preserve">their </w:t>
      </w:r>
      <w:r w:rsidRPr="00D85A4F">
        <w:t>admission to the hospital detained in a prison:</w:t>
      </w:r>
    </w:p>
    <w:p w14:paraId="1FEB5963" w14:textId="77777777" w:rsidR="00025FEB" w:rsidRPr="00D85A4F" w:rsidRDefault="00025FEB" w:rsidP="00D25422">
      <w:pPr>
        <w:pStyle w:val="Bullet"/>
      </w:pPr>
      <w:r w:rsidRPr="00D85A4F">
        <w:t>while awaiting a trial or</w:t>
      </w:r>
    </w:p>
    <w:p w14:paraId="22D0EBEE" w14:textId="77777777" w:rsidR="00025FEB" w:rsidRPr="00D85A4F" w:rsidRDefault="00025FEB" w:rsidP="00D25422">
      <w:pPr>
        <w:pStyle w:val="Bullet"/>
      </w:pPr>
      <w:r w:rsidRPr="00D85A4F">
        <w:t>during a trial or</w:t>
      </w:r>
    </w:p>
    <w:p w14:paraId="43F7CF72" w14:textId="77777777" w:rsidR="00025FEB" w:rsidRPr="00D85A4F" w:rsidRDefault="00025FEB" w:rsidP="00D25422">
      <w:pPr>
        <w:pStyle w:val="Bullet"/>
      </w:pPr>
      <w:r w:rsidRPr="00D85A4F">
        <w:t xml:space="preserve">awaiting sentencing or </w:t>
      </w:r>
    </w:p>
    <w:p w14:paraId="14DE14EB" w14:textId="77777777" w:rsidR="00025FEB" w:rsidRPr="00D85A4F" w:rsidRDefault="00025FEB" w:rsidP="00D25422">
      <w:pPr>
        <w:pStyle w:val="Bullet"/>
      </w:pPr>
      <w:r w:rsidRPr="00D85A4F">
        <w:t xml:space="preserve">pending the determination of any appeal against conviction or </w:t>
      </w:r>
    </w:p>
    <w:p w14:paraId="26D5404F" w14:textId="77777777" w:rsidR="00025FEB" w:rsidRPr="00D85A4F" w:rsidRDefault="00025FEB" w:rsidP="00D25422">
      <w:pPr>
        <w:pStyle w:val="Bullet"/>
      </w:pPr>
      <w:r w:rsidRPr="00D85A4F">
        <w:t>subject to a sentence of life imprisonment or preventive detention</w:t>
      </w:r>
      <w:r>
        <w:t>.</w:t>
      </w:r>
    </w:p>
    <w:p w14:paraId="5E10CE5F" w14:textId="77777777" w:rsidR="00025FEB" w:rsidRDefault="00025FEB" w:rsidP="007A6F61">
      <w:pPr>
        <w:ind w:right="-110"/>
      </w:pPr>
    </w:p>
    <w:p w14:paraId="45C9EAC7" w14:textId="40271B51" w:rsidR="00025FEB" w:rsidRPr="00D85A4F" w:rsidRDefault="00950900" w:rsidP="007A6F61">
      <w:pPr>
        <w:ind w:right="-110"/>
        <w:rPr>
          <w:b/>
        </w:rPr>
      </w:pPr>
      <w:r>
        <w:t xml:space="preserve">The term </w:t>
      </w:r>
      <w:r w:rsidR="00025FEB" w:rsidRPr="00D85A4F">
        <w:t>‘</w:t>
      </w:r>
      <w:r>
        <w:t>e</w:t>
      </w:r>
      <w:r w:rsidR="00025FEB" w:rsidRPr="00D85A4F">
        <w:t>scorted short</w:t>
      </w:r>
      <w:r w:rsidR="00025FEB">
        <w:t>-term</w:t>
      </w:r>
      <w:r w:rsidR="00025FEB" w:rsidRPr="00D85A4F">
        <w:t xml:space="preserve"> leave</w:t>
      </w:r>
      <w:r>
        <w:t>’</w:t>
      </w:r>
      <w:r w:rsidR="00025FEB" w:rsidRPr="00D85A4F">
        <w:t xml:space="preserve"> refers to short</w:t>
      </w:r>
      <w:r w:rsidR="00025FEB">
        <w:t>-term</w:t>
      </w:r>
      <w:r w:rsidR="00025FEB" w:rsidRPr="00D85A4F">
        <w:t xml:space="preserve"> leave where the Director has imposed a condition requiring the patient to be accompanied by one or more members of</w:t>
      </w:r>
      <w:r w:rsidR="00025FEB">
        <w:t xml:space="preserve"> RFMHS</w:t>
      </w:r>
      <w:r w:rsidR="00025FEB" w:rsidRPr="00D85A4F">
        <w:t xml:space="preserve"> staff. Where patients present a high risk to themselves or to others, their leave should include a condition that they be accompanied by at least one health professional. Any staff member accompanying a patient should be familiar with the patient and fully briefed on the need for the escort and any particular issues or concerns regarding safety. </w:t>
      </w:r>
      <w:r w:rsidR="00025FEB">
        <w:t xml:space="preserve">As in the case of </w:t>
      </w:r>
      <w:r w:rsidR="00025FEB" w:rsidRPr="00D85A4F">
        <w:t>ground access, there should be a plan in place to enable escorting staff to receive assistance in an emergency.</w:t>
      </w:r>
    </w:p>
    <w:p w14:paraId="6E40AD15" w14:textId="77777777" w:rsidR="00025FEB" w:rsidRPr="00D85A4F" w:rsidRDefault="00025FEB" w:rsidP="007A6F61">
      <w:pPr>
        <w:pStyle w:val="Heading2"/>
        <w:ind w:right="-110"/>
      </w:pPr>
      <w:bookmarkStart w:id="102" w:name="_Toc377543396"/>
      <w:bookmarkStart w:id="103" w:name="_Toc441658591"/>
      <w:bookmarkStart w:id="104" w:name="_Toc83197070"/>
      <w:bookmarkStart w:id="105" w:name="_Toc112845455"/>
      <w:bookmarkStart w:id="106" w:name="_Toc112862059"/>
      <w:bookmarkStart w:id="107" w:name="_Toc180497409"/>
      <w:r w:rsidRPr="00D85A4F">
        <w:t>Planned leave</w:t>
      </w:r>
      <w:bookmarkEnd w:id="102"/>
      <w:bookmarkEnd w:id="103"/>
      <w:bookmarkEnd w:id="104"/>
      <w:bookmarkEnd w:id="105"/>
      <w:bookmarkEnd w:id="106"/>
      <w:bookmarkEnd w:id="107"/>
    </w:p>
    <w:p w14:paraId="423CE1D6" w14:textId="374FCF56" w:rsidR="00025FEB" w:rsidRDefault="00025FEB" w:rsidP="007A6F61">
      <w:pPr>
        <w:ind w:right="-110"/>
      </w:pPr>
      <w:r w:rsidRPr="00D85A4F">
        <w:t xml:space="preserve">Ongoing planned leave requests should align with </w:t>
      </w:r>
      <w:r>
        <w:t>a</w:t>
      </w:r>
      <w:r w:rsidRPr="00D85A4F">
        <w:t xml:space="preserve"> patient’s leave plan and be part of an identifiable pathway set out in the documentation accompanying SPRP reports. The approval of the Director is required for each new step in the leave progression, but variations within that step may be approved by the DAMHS (</w:t>
      </w:r>
      <w:r w:rsidR="00D25D3C">
        <w:t>eg</w:t>
      </w:r>
      <w:r>
        <w:t xml:space="preserve">, </w:t>
      </w:r>
      <w:r w:rsidRPr="00D85A4F">
        <w:t xml:space="preserve">increasing escorted leave from one to two hours does not require approval, but moving leave categories </w:t>
      </w:r>
      <w:r>
        <w:t>does</w:t>
      </w:r>
      <w:r w:rsidRPr="00D85A4F">
        <w:t>).</w:t>
      </w:r>
    </w:p>
    <w:p w14:paraId="7554CF6C" w14:textId="040D67D1" w:rsidR="00025FEB" w:rsidRPr="006D79BD" w:rsidRDefault="00025FEB" w:rsidP="00300B55">
      <w:pPr>
        <w:pStyle w:val="Table"/>
        <w:rPr>
          <w:szCs w:val="22"/>
        </w:rPr>
      </w:pPr>
      <w:bookmarkStart w:id="108" w:name="_Toc445803203"/>
      <w:bookmarkStart w:id="109" w:name="_Toc83191230"/>
      <w:bookmarkStart w:id="110" w:name="_Toc111810260"/>
      <w:bookmarkStart w:id="111" w:name="_Toc112861578"/>
      <w:bookmarkStart w:id="112" w:name="_Toc180593112"/>
      <w:r>
        <w:t xml:space="preserve">Table </w:t>
      </w:r>
      <w:r>
        <w:fldChar w:fldCharType="begin"/>
      </w:r>
      <w:r>
        <w:instrText>SEQ Table \* ARABIC</w:instrText>
      </w:r>
      <w:r>
        <w:fldChar w:fldCharType="separate"/>
      </w:r>
      <w:r w:rsidR="00411DF3">
        <w:rPr>
          <w:noProof/>
        </w:rPr>
        <w:t>5</w:t>
      </w:r>
      <w:r>
        <w:fldChar w:fldCharType="end"/>
      </w:r>
      <w:r>
        <w:t xml:space="preserve">: </w:t>
      </w:r>
      <w:r w:rsidRPr="00D85A4F">
        <w:t>Information in support of planned leave and ground access applications</w:t>
      </w:r>
      <w:bookmarkEnd w:id="108"/>
      <w:bookmarkEnd w:id="109"/>
      <w:bookmarkEnd w:id="110"/>
      <w:bookmarkEnd w:id="111"/>
      <w:bookmarkEnd w:id="112"/>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67455ABA"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51A65F4A" w14:textId="77777777" w:rsidR="00025FEB" w:rsidRPr="00DC20BD" w:rsidRDefault="00025FEB" w:rsidP="00BB4DC3">
            <w:pPr>
              <w:pStyle w:val="TableText"/>
              <w:keepN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76A279DD" w14:textId="77777777" w:rsidR="00025FEB" w:rsidRPr="00D85A4F" w:rsidRDefault="00025FEB" w:rsidP="00BB4DC3">
            <w:pPr>
              <w:pStyle w:val="TableText"/>
            </w:pPr>
            <w:r w:rsidRPr="001A31F0">
              <w:t>A letter from the responsible clinician, including:</w:t>
            </w:r>
          </w:p>
          <w:p w14:paraId="522A0746" w14:textId="77777777" w:rsidR="00025FEB" w:rsidRPr="00D85A4F" w:rsidRDefault="00025FEB" w:rsidP="00D25422">
            <w:pPr>
              <w:pStyle w:val="TableBullet"/>
            </w:pPr>
            <w:r w:rsidRPr="00D85A4F">
              <w:t>the patient’s legal status (including the parole or release date)</w:t>
            </w:r>
          </w:p>
          <w:p w14:paraId="3165E92A" w14:textId="77777777" w:rsidR="00025FEB" w:rsidRPr="00D85A4F" w:rsidRDefault="00025FEB" w:rsidP="00D25422">
            <w:pPr>
              <w:pStyle w:val="TableBullet"/>
            </w:pPr>
            <w:r w:rsidRPr="00D85A4F">
              <w:t>a current mental state assessment, including compliance with treatment</w:t>
            </w:r>
          </w:p>
          <w:p w14:paraId="2DAEB6D7" w14:textId="114D17C9" w:rsidR="00025FEB" w:rsidRPr="00D85A4F" w:rsidRDefault="00025FEB" w:rsidP="00D25422">
            <w:pPr>
              <w:pStyle w:val="TableBullet"/>
            </w:pPr>
            <w:r w:rsidRPr="00D85A4F">
              <w:t xml:space="preserve">advice of any critical incidents, including possession of weapons, drugs or other prohibited material, and management of </w:t>
            </w:r>
            <w:r w:rsidR="00AF06AA">
              <w:t xml:space="preserve">those </w:t>
            </w:r>
            <w:r w:rsidRPr="00D85A4F">
              <w:t>incident</w:t>
            </w:r>
            <w:r w:rsidR="00AF06AA">
              <w:t>s</w:t>
            </w:r>
          </w:p>
          <w:p w14:paraId="22A933FE" w14:textId="77777777" w:rsidR="00025FEB" w:rsidRPr="00D85A4F" w:rsidRDefault="00025FEB" w:rsidP="00D25422">
            <w:pPr>
              <w:pStyle w:val="TableBullet"/>
            </w:pPr>
            <w:r w:rsidRPr="00D85A4F">
              <w:t>the reason for the new leave step request, and its connection to the leave plan</w:t>
            </w:r>
          </w:p>
          <w:p w14:paraId="503C619A" w14:textId="77777777" w:rsidR="00025FEB" w:rsidRPr="00D85A4F" w:rsidRDefault="00025FEB" w:rsidP="00D25422">
            <w:pPr>
              <w:pStyle w:val="TableBullet"/>
            </w:pPr>
            <w:r w:rsidRPr="00D85A4F">
              <w:t>escort/supervision details, if relevant</w:t>
            </w:r>
          </w:p>
          <w:p w14:paraId="377931FA" w14:textId="77777777" w:rsidR="00025FEB" w:rsidRPr="00D85A4F" w:rsidRDefault="00025FEB" w:rsidP="00D25422">
            <w:pPr>
              <w:pStyle w:val="TableBullet"/>
            </w:pPr>
            <w:r w:rsidRPr="00D85A4F">
              <w:t>a risk assessment and management plan while the patient is on leave, including flight risk</w:t>
            </w:r>
          </w:p>
          <w:p w14:paraId="3F7F2647" w14:textId="77777777" w:rsidR="00025FEB" w:rsidRPr="00D85A4F" w:rsidRDefault="00025FEB" w:rsidP="00D25422">
            <w:pPr>
              <w:pStyle w:val="TableBullet"/>
            </w:pPr>
            <w:r w:rsidRPr="00D85A4F">
              <w:t>the patient’s recovery/wellness plan</w:t>
            </w:r>
          </w:p>
          <w:p w14:paraId="0BEC3F33" w14:textId="77777777" w:rsidR="00025FEB" w:rsidRPr="00D85A4F" w:rsidRDefault="00025FEB" w:rsidP="00D25422">
            <w:pPr>
              <w:pStyle w:val="TableBullet"/>
            </w:pPr>
            <w:r w:rsidRPr="00D85A4F">
              <w:t xml:space="preserve">consideration of the needs of children or other vulnerable people </w:t>
            </w:r>
            <w:r>
              <w:t xml:space="preserve">in </w:t>
            </w:r>
            <w:r w:rsidRPr="00D85A4F">
              <w:t>the household if the patient will be with family while on leave (particularly if the index offence took place within the family)</w:t>
            </w:r>
          </w:p>
          <w:p w14:paraId="01412CFF" w14:textId="77777777" w:rsidR="00025FEB" w:rsidRPr="00D85A4F" w:rsidRDefault="00025FEB" w:rsidP="00D25422">
            <w:pPr>
              <w:pStyle w:val="TableBullet"/>
            </w:pPr>
            <w:r w:rsidRPr="00D85A4F">
              <w:t>the correct leave form, signed by the patient’s responsible clinician and the DAMHS</w:t>
            </w:r>
          </w:p>
          <w:p w14:paraId="3C67DF38" w14:textId="5596313E" w:rsidR="00025FEB" w:rsidRPr="00D85A4F" w:rsidRDefault="00025FEB" w:rsidP="00D25422">
            <w:pPr>
              <w:pStyle w:val="TableBullet"/>
            </w:pPr>
            <w:r w:rsidRPr="00D85A4F">
              <w:t>comment on matters relating to the offending (</w:t>
            </w:r>
            <w:r w:rsidR="00D25D3C">
              <w:t>eg</w:t>
            </w:r>
            <w:r w:rsidRPr="00D85A4F">
              <w:t>, insight into the offending, relationship with victims)</w:t>
            </w:r>
          </w:p>
          <w:p w14:paraId="77EB441A" w14:textId="77777777" w:rsidR="00025FEB" w:rsidRPr="00D85A4F" w:rsidRDefault="00025FEB" w:rsidP="00D25422">
            <w:pPr>
              <w:pStyle w:val="TableBullet"/>
            </w:pPr>
            <w:r w:rsidRPr="00D85A4F">
              <w:t>comment on matters relating to the risk presented by the patient, particularly in relation to victims of previous offending, especially when planning unescorted community leaves.</w:t>
            </w:r>
          </w:p>
          <w:p w14:paraId="17A0A02B" w14:textId="77777777" w:rsidR="00025FEB" w:rsidRPr="00D85A4F" w:rsidRDefault="00025FEB" w:rsidP="00D25422">
            <w:pPr>
              <w:pStyle w:val="TableBullet"/>
            </w:pPr>
            <w:r w:rsidRPr="00D85A4F">
              <w:t xml:space="preserve">for patients under sections 45 or 46 of the </w:t>
            </w:r>
            <w:r>
              <w:t>Mental Health Act</w:t>
            </w:r>
            <w:r w:rsidRPr="00D85A4F">
              <w:t xml:space="preserve">, a copy of the most recent </w:t>
            </w:r>
            <w:r>
              <w:t>p</w:t>
            </w:r>
            <w:r w:rsidRPr="00D85A4F">
              <w:t xml:space="preserve">arole </w:t>
            </w:r>
            <w:r>
              <w:t>b</w:t>
            </w:r>
            <w:r w:rsidRPr="00D85A4F">
              <w:t>oard outcome, if available</w:t>
            </w:r>
          </w:p>
          <w:p w14:paraId="082D5BE1" w14:textId="77777777" w:rsidR="00025FEB" w:rsidRPr="00D85A4F" w:rsidRDefault="00025FEB" w:rsidP="00D25422">
            <w:pPr>
              <w:pStyle w:val="TableBullet"/>
            </w:pPr>
            <w:r w:rsidRPr="00D85A4F">
              <w:t xml:space="preserve">for patients under sections 45 or 46 of the </w:t>
            </w:r>
            <w:r>
              <w:t>Mental Health Act</w:t>
            </w:r>
            <w:r w:rsidRPr="00D85A4F">
              <w:t>, advice on where the patient is in terms of their sentence</w:t>
            </w:r>
          </w:p>
          <w:p w14:paraId="4F2A7A70" w14:textId="7DEBEC57" w:rsidR="00025FEB" w:rsidRPr="00D85A4F" w:rsidRDefault="00025FEB" w:rsidP="00D25422">
            <w:pPr>
              <w:pStyle w:val="TableBullet"/>
            </w:pPr>
            <w:r w:rsidRPr="00D85A4F">
              <w:t xml:space="preserve">how the leave addresses cultural requirements and whether </w:t>
            </w:r>
            <w:r w:rsidR="00F044A6">
              <w:t>family/</w:t>
            </w:r>
            <w:r w:rsidRPr="00D85A4F">
              <w:t>wh</w:t>
            </w:r>
            <w:r>
              <w:t>ā</w:t>
            </w:r>
            <w:r w:rsidRPr="00D85A4F">
              <w:t>nau support is part of the management plan</w:t>
            </w:r>
          </w:p>
          <w:p w14:paraId="2BA80144" w14:textId="6E3C014B" w:rsidR="00025FEB" w:rsidRPr="00DC20BD" w:rsidRDefault="002D070F" w:rsidP="00D25422">
            <w:pPr>
              <w:pStyle w:val="TableBullet"/>
              <w:rPr>
                <w:rFonts w:eastAsia="Lucida Sans Unicode" w:hAnsi="Lucida Sans Unicode" w:cs="Lucida Sans Unicode"/>
              </w:rPr>
            </w:pPr>
            <w:r>
              <w:t xml:space="preserve">a reference </w:t>
            </w:r>
            <w:r w:rsidR="00025FEB" w:rsidRPr="00D85A4F">
              <w:t>to the current SPRP report, if available</w:t>
            </w:r>
          </w:p>
        </w:tc>
      </w:tr>
      <w:tr w:rsidR="00025FEB" w:rsidRPr="00DC20BD" w14:paraId="3FD5138F"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6AB68748" w14:textId="77777777" w:rsidR="00025FEB" w:rsidRPr="00D85A4F" w:rsidRDefault="00025FEB" w:rsidP="00BB4DC3">
            <w:pPr>
              <w:pStyle w:val="TableText"/>
              <w:keepN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1F1E84F1" w14:textId="37E02294" w:rsidR="00252227" w:rsidRDefault="00025FEB" w:rsidP="00BB4DC3">
            <w:pPr>
              <w:pStyle w:val="TableText"/>
            </w:pPr>
            <w:r>
              <w:t xml:space="preserve">The </w:t>
            </w:r>
            <w:r w:rsidRPr="00D85A4F">
              <w:t xml:space="preserve">DAMHS </w:t>
            </w:r>
            <w:r w:rsidR="00252227">
              <w:t>must notify and</w:t>
            </w:r>
            <w:r w:rsidR="00642D77">
              <w:t xml:space="preserve"> give</w:t>
            </w:r>
            <w:r w:rsidR="00252227">
              <w:t xml:space="preserve"> registered victims</w:t>
            </w:r>
            <w:r w:rsidR="00642D77">
              <w:t xml:space="preserve"> 14 days</w:t>
            </w:r>
            <w:r w:rsidR="00252227">
              <w:t xml:space="preserve"> to make a submission </w:t>
            </w:r>
            <w:r w:rsidR="008E4A68">
              <w:t>on the leave application</w:t>
            </w:r>
            <w:r w:rsidR="00DB0F1A">
              <w:t>, if that leave would permit the special patient greater autonom</w:t>
            </w:r>
            <w:r w:rsidR="00F87458">
              <w:t xml:space="preserve">y </w:t>
            </w:r>
            <w:r w:rsidR="008C08F4">
              <w:t xml:space="preserve">outside the hospital </w:t>
            </w:r>
            <w:r w:rsidR="00F87458">
              <w:t>than previous approved leave</w:t>
            </w:r>
            <w:r w:rsidR="008C08F4">
              <w:t>.</w:t>
            </w:r>
          </w:p>
          <w:p w14:paraId="7770BCB4" w14:textId="38A5297E" w:rsidR="00025FEB" w:rsidRPr="00D85A4F" w:rsidRDefault="008C08F4" w:rsidP="00BB4DC3">
            <w:pPr>
              <w:pStyle w:val="TableText"/>
            </w:pPr>
            <w:r>
              <w:t xml:space="preserve">The DAMHS </w:t>
            </w:r>
            <w:r w:rsidR="00025FEB">
              <w:t xml:space="preserve">must </w:t>
            </w:r>
            <w:r w:rsidR="00025FEB" w:rsidRPr="00D85A4F">
              <w:t xml:space="preserve">submit </w:t>
            </w:r>
            <w:r w:rsidR="00025FEB">
              <w:t xml:space="preserve">the </w:t>
            </w:r>
            <w:r w:rsidR="00025FEB" w:rsidRPr="00D85A4F">
              <w:t xml:space="preserve">application to the Director at least </w:t>
            </w:r>
            <w:r w:rsidR="00025FEB">
              <w:t xml:space="preserve">five </w:t>
            </w:r>
            <w:r w:rsidR="00025FEB" w:rsidRPr="00D85A4F">
              <w:t>working days prior to the planned leave.</w:t>
            </w:r>
          </w:p>
          <w:p w14:paraId="3B0446A4" w14:textId="77777777" w:rsidR="00025FEB" w:rsidRPr="00D85A4F" w:rsidRDefault="00025FEB" w:rsidP="00BB4DC3">
            <w:pPr>
              <w:pStyle w:val="TableText"/>
            </w:pPr>
            <w:r>
              <w:t xml:space="preserve">The </w:t>
            </w:r>
            <w:r w:rsidRPr="00D85A4F">
              <w:t xml:space="preserve">Office of the Director </w:t>
            </w:r>
            <w:r>
              <w:t xml:space="preserve">must </w:t>
            </w:r>
            <w:r w:rsidRPr="00D85A4F">
              <w:t xml:space="preserve">respond within </w:t>
            </w:r>
            <w:r>
              <w:t xml:space="preserve">three </w:t>
            </w:r>
            <w:r w:rsidRPr="00D85A4F">
              <w:t>working days. In practice</w:t>
            </w:r>
            <w:r>
              <w:t>,</w:t>
            </w:r>
            <w:r w:rsidRPr="00D85A4F">
              <w:t xml:space="preserve"> this information will be uploaded into the </w:t>
            </w:r>
            <w:r>
              <w:t>SPMS</w:t>
            </w:r>
            <w:r w:rsidRPr="00D85A4F">
              <w:t>.</w:t>
            </w:r>
          </w:p>
          <w:p w14:paraId="2E16E828" w14:textId="205ED2F2" w:rsidR="00025FEB" w:rsidRPr="00D85A4F" w:rsidRDefault="00025FEB" w:rsidP="00BB4DC3">
            <w:pPr>
              <w:pStyle w:val="TableText"/>
            </w:pPr>
            <w:r w:rsidRPr="00D85A4F">
              <w:t>Incomplete information will result in a delay in approving leave.</w:t>
            </w:r>
          </w:p>
        </w:tc>
      </w:tr>
    </w:tbl>
    <w:p w14:paraId="6C5C244C" w14:textId="1C7454EB" w:rsidR="00025FEB" w:rsidRPr="00025FEB" w:rsidRDefault="00025FEB" w:rsidP="00025FEB">
      <w:pPr>
        <w:pStyle w:val="Heading3"/>
      </w:pPr>
      <w:r w:rsidRPr="00025FEB">
        <w:t>Recall to hospital and cancelling leave</w:t>
      </w:r>
    </w:p>
    <w:p w14:paraId="25E95F2A" w14:textId="77777777" w:rsidR="00025FEB" w:rsidRPr="00D85A4F" w:rsidRDefault="00025FEB" w:rsidP="00025FEB">
      <w:r w:rsidRPr="00D85A4F">
        <w:t xml:space="preserve">The Director or the DAMHS (acting with authority delegated by the Director) may, at any time during the period of </w:t>
      </w:r>
      <w:r>
        <w:t xml:space="preserve">short-term </w:t>
      </w:r>
      <w:r w:rsidRPr="00D85A4F">
        <w:t>leave granted under section 52, cancel that period of leave. For example, leave may be cancelled because:</w:t>
      </w:r>
    </w:p>
    <w:p w14:paraId="04F482F0" w14:textId="77777777" w:rsidR="00025FEB" w:rsidRPr="00D85A4F" w:rsidRDefault="00025FEB" w:rsidP="00D25422">
      <w:pPr>
        <w:pStyle w:val="Bullet"/>
      </w:pPr>
      <w:r w:rsidRPr="00D85A4F">
        <w:t>there are concerns about the patient’s mental state</w:t>
      </w:r>
    </w:p>
    <w:p w14:paraId="334FD8E7" w14:textId="77777777" w:rsidR="00025FEB" w:rsidRPr="00D85A4F" w:rsidRDefault="00025FEB" w:rsidP="00D25422">
      <w:pPr>
        <w:pStyle w:val="Bullet"/>
      </w:pPr>
      <w:r w:rsidRPr="00D85A4F">
        <w:t xml:space="preserve">the patient has breached their conditions of leave </w:t>
      </w:r>
    </w:p>
    <w:p w14:paraId="1940D3BD" w14:textId="77777777" w:rsidR="00025FEB" w:rsidRPr="00D85A4F" w:rsidRDefault="00025FEB" w:rsidP="00D25422">
      <w:pPr>
        <w:pStyle w:val="Bullet"/>
      </w:pPr>
      <w:r w:rsidRPr="00D85A4F">
        <w:t xml:space="preserve">there are concerns about the risk </w:t>
      </w:r>
      <w:r>
        <w:t xml:space="preserve">the patient </w:t>
      </w:r>
      <w:r w:rsidRPr="00D85A4F">
        <w:t>present</w:t>
      </w:r>
      <w:r>
        <w:t>s</w:t>
      </w:r>
      <w:r w:rsidRPr="00D85A4F">
        <w:t xml:space="preserve"> to others</w:t>
      </w:r>
    </w:p>
    <w:p w14:paraId="6707A784" w14:textId="77777777" w:rsidR="00025FEB" w:rsidRPr="00D85A4F" w:rsidRDefault="00025FEB" w:rsidP="00D25422">
      <w:pPr>
        <w:pStyle w:val="Bullet"/>
      </w:pPr>
      <w:r w:rsidRPr="00D85A4F">
        <w:t>the patient has been involved in a serious incident.</w:t>
      </w:r>
    </w:p>
    <w:p w14:paraId="2BB25316" w14:textId="77777777" w:rsidR="00025FEB" w:rsidRPr="00D85A4F" w:rsidRDefault="00025FEB" w:rsidP="00025FEB"/>
    <w:p w14:paraId="732A4E8D" w14:textId="77777777" w:rsidR="00025FEB" w:rsidRPr="00D85A4F" w:rsidRDefault="00025FEB" w:rsidP="00025FEB">
      <w:r w:rsidRPr="00D85A4F">
        <w:t>The Director or the DAMHS (acting with authority delegated by the Director) does not have to cancel leave if situations listed above occur. However, they do need to consider whether the patient should be recalled to hospital and, if so, whether it is necessary to cancel leave.</w:t>
      </w:r>
    </w:p>
    <w:p w14:paraId="39147614" w14:textId="77777777" w:rsidR="00025FEB" w:rsidRPr="00D85A4F" w:rsidRDefault="00025FEB" w:rsidP="00025FEB"/>
    <w:p w14:paraId="6102A4AC" w14:textId="70CF4150" w:rsidR="00025FEB" w:rsidRPr="00D85A4F" w:rsidRDefault="00025FEB" w:rsidP="00025FEB">
      <w:r w:rsidRPr="00D85A4F">
        <w:t xml:space="preserve">If a special patient breaches conditions of leave, section 53 of the </w:t>
      </w:r>
      <w:r>
        <w:t>Mental Health Act</w:t>
      </w:r>
      <w:r w:rsidRPr="00D85A4F">
        <w:t xml:space="preserve"> allows the Director, </w:t>
      </w:r>
      <w:r>
        <w:t xml:space="preserve">the </w:t>
      </w:r>
      <w:r w:rsidRPr="00D85A4F">
        <w:t xml:space="preserve">DAMHS, </w:t>
      </w:r>
      <w:r>
        <w:t xml:space="preserve">a </w:t>
      </w:r>
      <w:r w:rsidR="00370463">
        <w:t>duly authorised officer</w:t>
      </w:r>
      <w:r>
        <w:t>,</w:t>
      </w:r>
      <w:r w:rsidRPr="00D85A4F">
        <w:t xml:space="preserve"> </w:t>
      </w:r>
      <w:r>
        <w:t xml:space="preserve">a </w:t>
      </w:r>
      <w:r w:rsidRPr="00D85A4F">
        <w:t>constable or any person to whom the patient has been entrusted during the period of leave to return the patient to hospital (</w:t>
      </w:r>
      <w:r>
        <w:t xml:space="preserve">see </w:t>
      </w:r>
      <w:r w:rsidRPr="00D85A4F">
        <w:t xml:space="preserve">section 6.3 for further information). </w:t>
      </w:r>
    </w:p>
    <w:p w14:paraId="3D74384C" w14:textId="77777777" w:rsidR="00025FEB" w:rsidRPr="00D85A4F" w:rsidRDefault="00025FEB" w:rsidP="00025FEB"/>
    <w:p w14:paraId="2EA07EF9" w14:textId="5A098B21" w:rsidR="00025FEB" w:rsidRPr="00D85A4F" w:rsidRDefault="00025FEB" w:rsidP="00025FEB">
      <w:r w:rsidRPr="00D85A4F">
        <w:t xml:space="preserve">If leave is cancelled, </w:t>
      </w:r>
      <w:r w:rsidR="00585023">
        <w:t xml:space="preserve">the </w:t>
      </w:r>
      <w:r>
        <w:t xml:space="preserve">RFMHS </w:t>
      </w:r>
      <w:r w:rsidRPr="00D85A4F">
        <w:t>should see</w:t>
      </w:r>
      <w:r>
        <w:t xml:space="preserve"> this</w:t>
      </w:r>
      <w:r w:rsidRPr="00D85A4F">
        <w:t xml:space="preserve"> as a revocation of that step within the leave progression. The approval of the Director should be sought before recommencing leave, at a step appropriate </w:t>
      </w:r>
      <w:r w:rsidR="000A0955">
        <w:t xml:space="preserve">to </w:t>
      </w:r>
      <w:r w:rsidRPr="00D85A4F">
        <w:t>the condition of the patient. The reason for cancelling the leave and the safety of the individual and the public should also be considered.</w:t>
      </w:r>
    </w:p>
    <w:p w14:paraId="5E33D53F" w14:textId="77777777" w:rsidR="00025FEB" w:rsidRPr="00D85A4F" w:rsidRDefault="00025FEB" w:rsidP="00025FEB"/>
    <w:p w14:paraId="0588B3F9" w14:textId="42FD7FDC" w:rsidR="00025FEB" w:rsidRDefault="006450AB" w:rsidP="00025FEB">
      <w:r>
        <w:t xml:space="preserve">The </w:t>
      </w:r>
      <w:r w:rsidR="00025FEB">
        <w:t xml:space="preserve">RFMHS should inform the </w:t>
      </w:r>
      <w:r w:rsidR="00025FEB" w:rsidRPr="00D85A4F">
        <w:t xml:space="preserve">Director of any decision to recall a patient from leave, the actions taken to address the issues leading to their recall and, if leave is cancelled, the reasons for leave being cancelled. </w:t>
      </w:r>
      <w:r w:rsidR="00002D19">
        <w:t>A</w:t>
      </w:r>
      <w:r w:rsidR="00025FEB" w:rsidRPr="00D85A4F">
        <w:t xml:space="preserve"> serious incident resulting in cancellation of leave should trigger the reportable events process described in </w:t>
      </w:r>
      <w:r w:rsidR="002B5233">
        <w:t>section </w:t>
      </w:r>
      <w:r w:rsidR="00025FEB" w:rsidRPr="00D85A4F">
        <w:t>13 of these guidelines.</w:t>
      </w:r>
    </w:p>
    <w:p w14:paraId="686D0204" w14:textId="77777777" w:rsidR="00025FEB" w:rsidRDefault="00025FEB" w:rsidP="00025FEB"/>
    <w:p w14:paraId="38F333E3" w14:textId="77777777" w:rsidR="00025FEB" w:rsidRDefault="00025FEB" w:rsidP="00025FEB">
      <w:r>
        <w:t>Where a decision is made to cancel and recall a patient from leave, the Director or DAMHS should inform the patient about the</w:t>
      </w:r>
      <w:r w:rsidRPr="0038314A">
        <w:t xml:space="preserve"> d</w:t>
      </w:r>
      <w:r>
        <w:t>ecision</w:t>
      </w:r>
      <w:r w:rsidRPr="0038314A">
        <w:t xml:space="preserve"> and </w:t>
      </w:r>
      <w:r>
        <w:t xml:space="preserve">provide the direction and </w:t>
      </w:r>
      <w:r w:rsidRPr="0038314A">
        <w:t>the reasons for the d</w:t>
      </w:r>
      <w:r>
        <w:t xml:space="preserve">irection to the patient in writing </w:t>
      </w:r>
      <w:r w:rsidRPr="0038314A">
        <w:t xml:space="preserve">as soon as practicable.  </w:t>
      </w:r>
    </w:p>
    <w:p w14:paraId="651A5C89" w14:textId="77777777" w:rsidR="00025FEB" w:rsidRPr="00D85A4F" w:rsidRDefault="00025FEB" w:rsidP="00025FEB">
      <w:pPr>
        <w:pStyle w:val="Heading2"/>
      </w:pPr>
      <w:bookmarkStart w:id="113" w:name="_Toc377543397"/>
      <w:bookmarkStart w:id="114" w:name="_Toc441658592"/>
      <w:bookmarkStart w:id="115" w:name="_Toc83197071"/>
      <w:bookmarkStart w:id="116" w:name="_Toc112845456"/>
      <w:bookmarkStart w:id="117" w:name="_Toc112862060"/>
      <w:bookmarkStart w:id="118" w:name="_Toc180497410"/>
      <w:r w:rsidRPr="00D85A4F">
        <w:t>Medical and urgent appointments</w:t>
      </w:r>
      <w:bookmarkEnd w:id="113"/>
      <w:bookmarkEnd w:id="114"/>
      <w:bookmarkEnd w:id="115"/>
      <w:bookmarkEnd w:id="116"/>
      <w:bookmarkEnd w:id="117"/>
      <w:bookmarkEnd w:id="118"/>
    </w:p>
    <w:p w14:paraId="3F5CE224" w14:textId="7A0B1EAB" w:rsidR="00025FEB" w:rsidRPr="00D85A4F" w:rsidRDefault="00025FEB" w:rsidP="00025FEB">
      <w:r w:rsidRPr="00D85A4F">
        <w:t>One</w:t>
      </w:r>
      <w:r>
        <w:t>-</w:t>
      </w:r>
      <w:r w:rsidRPr="00D85A4F">
        <w:t>off short</w:t>
      </w:r>
      <w:r>
        <w:t>-term</w:t>
      </w:r>
      <w:r w:rsidRPr="00D85A4F">
        <w:t xml:space="preserve"> leave under section 52 of the </w:t>
      </w:r>
      <w:r>
        <w:t>Mental Health Act</w:t>
      </w:r>
      <w:r w:rsidRPr="00D85A4F">
        <w:t xml:space="preserve"> for medical or dental appointments, or compassionate short</w:t>
      </w:r>
      <w:r>
        <w:t>-term</w:t>
      </w:r>
      <w:r w:rsidRPr="00D85A4F">
        <w:t xml:space="preserve"> leave (</w:t>
      </w:r>
      <w:r w:rsidR="001F75E7">
        <w:t>eg</w:t>
      </w:r>
      <w:r w:rsidRPr="00D85A4F">
        <w:t xml:space="preserve">, due to bereavement or sudden family illness), may need to be approved within a shorter timeframe than that proposed for ‘rehabilitative’ short leave. The Office of the Director understands that appointments may be urgent (albeit not life-threatening) </w:t>
      </w:r>
      <w:r w:rsidR="009719AE">
        <w:t xml:space="preserve">and that </w:t>
      </w:r>
      <w:r w:rsidRPr="00D85A4F">
        <w:t>opportunities for treatment (</w:t>
      </w:r>
      <w:r w:rsidR="001F75E7">
        <w:t>eg</w:t>
      </w:r>
      <w:r w:rsidRPr="00D85A4F">
        <w:t>, dental treatment) may arise at short notice.</w:t>
      </w:r>
    </w:p>
    <w:p w14:paraId="695C47E8" w14:textId="77777777" w:rsidR="00025FEB" w:rsidRPr="00D85A4F" w:rsidRDefault="00025FEB" w:rsidP="00025FEB"/>
    <w:p w14:paraId="143F7E67" w14:textId="77777777" w:rsidR="00025FEB" w:rsidRPr="00D85A4F" w:rsidRDefault="00025FEB" w:rsidP="00025FEB">
      <w:r w:rsidRPr="00D85A4F">
        <w:t xml:space="preserve">The Office of the Director will endeavour to respond to requests made at short notice, provided the necessary information is given in support of the request. If possible, the DAMHS should phone the Director or Deputy Director to advise of the pending request for leave and to </w:t>
      </w:r>
      <w:r>
        <w:t xml:space="preserve">discuss </w:t>
      </w:r>
      <w:r w:rsidRPr="00D85A4F">
        <w:t>any relevant issues.</w:t>
      </w:r>
    </w:p>
    <w:p w14:paraId="62E0F734" w14:textId="77777777" w:rsidR="00025FEB" w:rsidRPr="00D85A4F" w:rsidRDefault="00025FEB" w:rsidP="00025FEB"/>
    <w:p w14:paraId="6B787229" w14:textId="37E06DE1" w:rsidR="00025FEB" w:rsidRPr="00D85A4F" w:rsidRDefault="00025FEB" w:rsidP="00025FEB">
      <w:r w:rsidRPr="00D85A4F">
        <w:t xml:space="preserve">It is particularly important to </w:t>
      </w:r>
      <w:r>
        <w:t xml:space="preserve">provide </w:t>
      </w:r>
      <w:r w:rsidRPr="00D85A4F">
        <w:t>information about the number and mix of people escorting the patient (</w:t>
      </w:r>
      <w:r w:rsidR="001F75E7">
        <w:t>eg</w:t>
      </w:r>
      <w:r w:rsidRPr="00D85A4F">
        <w:t xml:space="preserve">, </w:t>
      </w:r>
      <w:r>
        <w:t xml:space="preserve">whether they are </w:t>
      </w:r>
      <w:r w:rsidRPr="00D85A4F">
        <w:t>nursing staff or other</w:t>
      </w:r>
      <w:r>
        <w:t xml:space="preserve"> </w:t>
      </w:r>
      <w:r w:rsidRPr="00D85A4F">
        <w:t>s</w:t>
      </w:r>
      <w:r>
        <w:t>taff</w:t>
      </w:r>
      <w:r w:rsidRPr="00D85A4F">
        <w:t xml:space="preserve">, and their gender), with a view to assuring the Director that a patient who may be quite unwell, and who may present a degree of risk where leave </w:t>
      </w:r>
      <w:r w:rsidR="007B5D59">
        <w:t xml:space="preserve">would </w:t>
      </w:r>
      <w:r w:rsidRPr="00D85A4F">
        <w:t>not usually be considered, is able to be managed safely outside the confines of hospital. If the patient would not normally be approved leave outside the hospital, but needs to attend a medical appointment, they should be accompanied by a health professional who can provide advice and support to the patient prior to (or during) the medical procedure. If the patient presents a high risk, the application needs to include clear reasons why the leave is being sought at this time and cannot be deferred.</w:t>
      </w:r>
    </w:p>
    <w:p w14:paraId="06C07ACC" w14:textId="77777777" w:rsidR="00025FEB" w:rsidRPr="00D85A4F" w:rsidRDefault="00025FEB" w:rsidP="00025FEB"/>
    <w:p w14:paraId="213386CE" w14:textId="7F65149D" w:rsidR="00025FEB" w:rsidRPr="00D85A4F" w:rsidRDefault="00025FEB" w:rsidP="00300B55">
      <w:pPr>
        <w:pStyle w:val="Table"/>
      </w:pPr>
      <w:bookmarkStart w:id="119" w:name="_Toc445803204"/>
      <w:bookmarkStart w:id="120" w:name="_Toc83191231"/>
      <w:bookmarkStart w:id="121" w:name="_Toc111810261"/>
      <w:bookmarkStart w:id="122" w:name="_Toc112861579"/>
      <w:bookmarkStart w:id="123" w:name="_Toc180593113"/>
      <w:r>
        <w:t xml:space="preserve">Table </w:t>
      </w:r>
      <w:r>
        <w:fldChar w:fldCharType="begin"/>
      </w:r>
      <w:r>
        <w:instrText>SEQ Table \* ARABIC</w:instrText>
      </w:r>
      <w:r>
        <w:fldChar w:fldCharType="separate"/>
      </w:r>
      <w:r w:rsidR="00411DF3">
        <w:rPr>
          <w:noProof/>
        </w:rPr>
        <w:t>6</w:t>
      </w:r>
      <w:r>
        <w:fldChar w:fldCharType="end"/>
      </w:r>
      <w:r>
        <w:t xml:space="preserve">: </w:t>
      </w:r>
      <w:r w:rsidRPr="00D85A4F">
        <w:t>Information in support of applications for medical and dental appointments</w:t>
      </w:r>
      <w:bookmarkEnd w:id="119"/>
      <w:bookmarkEnd w:id="120"/>
      <w:bookmarkEnd w:id="121"/>
      <w:bookmarkEnd w:id="122"/>
      <w:bookmarkEnd w:id="123"/>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69650D57" w14:textId="77777777" w:rsidTr="392F85EB">
        <w:trPr>
          <w:cantSplit/>
          <w:trHeight w:val="300"/>
        </w:trPr>
        <w:tc>
          <w:tcPr>
            <w:tcW w:w="1219" w:type="dxa"/>
            <w:tcBorders>
              <w:top w:val="single" w:sz="4" w:space="0" w:color="A6A6A6" w:themeColor="background1" w:themeShade="A6"/>
              <w:bottom w:val="single" w:sz="4" w:space="0" w:color="A6A6A6" w:themeColor="background1" w:themeShade="A6"/>
            </w:tcBorders>
          </w:tcPr>
          <w:p w14:paraId="50C74422" w14:textId="77777777" w:rsidR="00025FEB" w:rsidRPr="00DC20BD" w:rsidRDefault="00025FEB" w:rsidP="00BB4DC3">
            <w:pPr>
              <w:pStyle w:val="TableText"/>
              <w:keepN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078DA824" w14:textId="77777777" w:rsidR="00025FEB" w:rsidRPr="00D85A4F" w:rsidRDefault="00025FEB" w:rsidP="00BB4DC3">
            <w:pPr>
              <w:pStyle w:val="TableText"/>
            </w:pPr>
            <w:r w:rsidRPr="00D85A4F">
              <w:t>A letter from the responsible clinician, including:</w:t>
            </w:r>
          </w:p>
          <w:p w14:paraId="6078341C" w14:textId="77777777" w:rsidR="00025FEB" w:rsidRPr="00D85A4F" w:rsidRDefault="00025FEB" w:rsidP="00D25422">
            <w:pPr>
              <w:pStyle w:val="TableBullet"/>
            </w:pPr>
            <w:r w:rsidRPr="00D85A4F">
              <w:t>the patient’s legal status</w:t>
            </w:r>
          </w:p>
          <w:p w14:paraId="7E73F780" w14:textId="77777777" w:rsidR="00025FEB" w:rsidRPr="00D85A4F" w:rsidRDefault="00025FEB" w:rsidP="00D25422">
            <w:pPr>
              <w:pStyle w:val="TableBullet"/>
            </w:pPr>
            <w:r w:rsidRPr="00D85A4F">
              <w:t>a current mental state assessment / clinical summary</w:t>
            </w:r>
          </w:p>
          <w:p w14:paraId="41EAE7D4" w14:textId="77777777" w:rsidR="00025FEB" w:rsidRPr="00D85A4F" w:rsidRDefault="00025FEB" w:rsidP="00D25422">
            <w:pPr>
              <w:pStyle w:val="TableBullet"/>
            </w:pPr>
            <w:r w:rsidRPr="00D85A4F">
              <w:t>the reason for the leave request, including why leave cannot be deferred</w:t>
            </w:r>
          </w:p>
          <w:p w14:paraId="6BCC9371" w14:textId="77777777" w:rsidR="00025FEB" w:rsidRPr="00D85A4F" w:rsidRDefault="00025FEB" w:rsidP="00D25422">
            <w:pPr>
              <w:pStyle w:val="TableBullet"/>
            </w:pPr>
            <w:r w:rsidRPr="00D85A4F">
              <w:t>escort/supervision details</w:t>
            </w:r>
          </w:p>
          <w:p w14:paraId="224157AE" w14:textId="1F5CED9A" w:rsidR="00025FEB" w:rsidRPr="00D85A4F" w:rsidRDefault="00025FEB" w:rsidP="00D25422">
            <w:pPr>
              <w:pStyle w:val="TableBullet"/>
            </w:pPr>
            <w:r w:rsidRPr="00D85A4F">
              <w:t xml:space="preserve">a risk assessment and management plan for the patient while </w:t>
            </w:r>
            <w:r w:rsidR="008B1ECA">
              <w:t xml:space="preserve">they are </w:t>
            </w:r>
            <w:r w:rsidRPr="00D85A4F">
              <w:t>on leave, including the potential for media interest in the case of high-profile patients</w:t>
            </w:r>
          </w:p>
          <w:p w14:paraId="3FCD6AFA" w14:textId="77777777" w:rsidR="00025FEB" w:rsidRPr="00D85A4F" w:rsidRDefault="00025FEB" w:rsidP="00D25422">
            <w:pPr>
              <w:pStyle w:val="TableBullet"/>
            </w:pPr>
            <w:r w:rsidRPr="00D85A4F">
              <w:t>flight risk assessment</w:t>
            </w:r>
          </w:p>
          <w:p w14:paraId="468DDE93" w14:textId="77777777" w:rsidR="00025FEB" w:rsidRPr="00D85A4F" w:rsidRDefault="00025FEB" w:rsidP="00D25422">
            <w:pPr>
              <w:pStyle w:val="TableBullet"/>
            </w:pPr>
            <w:r w:rsidRPr="00D85A4F">
              <w:t>the correct leave form, signed by the patient’s responsible clinician and the DAMHS</w:t>
            </w:r>
          </w:p>
          <w:p w14:paraId="4BA07A81" w14:textId="034D5538" w:rsidR="00025FEB" w:rsidRPr="00D85A4F" w:rsidRDefault="00025FEB" w:rsidP="00D25422">
            <w:pPr>
              <w:pStyle w:val="TableBullet"/>
            </w:pPr>
            <w:r w:rsidRPr="00D85A4F">
              <w:t>comment on matters relating to the offending (</w:t>
            </w:r>
            <w:r w:rsidR="001F75E7">
              <w:t xml:space="preserve">eg, </w:t>
            </w:r>
            <w:r w:rsidRPr="00D85A4F">
              <w:t>insight into the offending, relationship with victims)</w:t>
            </w:r>
          </w:p>
          <w:p w14:paraId="66887D2E" w14:textId="2B7F3B92" w:rsidR="00025FEB" w:rsidRPr="00D85A4F" w:rsidRDefault="006723BF" w:rsidP="00D25422">
            <w:pPr>
              <w:pStyle w:val="TableBullet"/>
            </w:pPr>
            <w:r>
              <w:t>a r</w:t>
            </w:r>
            <w:r w:rsidR="00025FEB" w:rsidRPr="00D85A4F">
              <w:t>efer</w:t>
            </w:r>
            <w:r>
              <w:t>ence</w:t>
            </w:r>
            <w:r w:rsidR="00025FEB" w:rsidRPr="00D85A4F">
              <w:t xml:space="preserve"> to the current SPRP report, if available</w:t>
            </w:r>
          </w:p>
          <w:p w14:paraId="1D373125" w14:textId="4B1D2468" w:rsidR="00025FEB" w:rsidRPr="00DC20BD" w:rsidRDefault="00025FEB" w:rsidP="00BB4DC3">
            <w:pPr>
              <w:pStyle w:val="TableText"/>
              <w:rPr>
                <w:rFonts w:eastAsia="Lucida Sans Unicode" w:hAnsi="Lucida Sans Unicode" w:cs="Lucida Sans Unicode"/>
              </w:rPr>
            </w:pPr>
            <w:r w:rsidRPr="00D85A4F">
              <w:t xml:space="preserve">A signed transport management plan </w:t>
            </w:r>
            <w:r>
              <w:t xml:space="preserve">under </w:t>
            </w:r>
            <w:r w:rsidRPr="00D85A4F">
              <w:t xml:space="preserve">the </w:t>
            </w:r>
            <w:r w:rsidRPr="00C84E6C">
              <w:rPr>
                <w:i/>
                <w:iCs/>
              </w:rPr>
              <w:t xml:space="preserve">Guidelines for the Safe Transport of Special </w:t>
            </w:r>
            <w:r w:rsidR="00EE39FF" w:rsidRPr="00C84E6C">
              <w:rPr>
                <w:i/>
                <w:iCs/>
              </w:rPr>
              <w:t>Patients in</w:t>
            </w:r>
            <w:r w:rsidRPr="00C84E6C">
              <w:rPr>
                <w:i/>
                <w:iCs/>
              </w:rPr>
              <w:t xml:space="preserve"> the Care of Regional Forensic Mental Health Services</w:t>
            </w:r>
            <w:r w:rsidRPr="00D85A4F">
              <w:t xml:space="preserve"> </w:t>
            </w:r>
            <w:r>
              <w:t>(Ministry of Health 2022</w:t>
            </w:r>
            <w:r w:rsidR="00D822F6">
              <w:t>b</w:t>
            </w:r>
            <w:r>
              <w:t xml:space="preserve">) </w:t>
            </w:r>
            <w:r w:rsidRPr="00D85A4F">
              <w:t>if assistance by another agency is required</w:t>
            </w:r>
          </w:p>
        </w:tc>
      </w:tr>
      <w:tr w:rsidR="00025FEB" w:rsidRPr="00DC20BD" w14:paraId="48F988EF" w14:textId="77777777" w:rsidTr="392F85EB">
        <w:trPr>
          <w:cantSplit/>
          <w:trHeight w:val="300"/>
        </w:trPr>
        <w:tc>
          <w:tcPr>
            <w:tcW w:w="1219" w:type="dxa"/>
            <w:tcBorders>
              <w:top w:val="single" w:sz="4" w:space="0" w:color="A6A6A6" w:themeColor="background1" w:themeShade="A6"/>
              <w:bottom w:val="single" w:sz="4" w:space="0" w:color="A6A6A6" w:themeColor="background1" w:themeShade="A6"/>
            </w:tcBorders>
          </w:tcPr>
          <w:p w14:paraId="64BDA595" w14:textId="77777777" w:rsidR="00025FEB" w:rsidRPr="00D85A4F" w:rsidRDefault="00025FEB" w:rsidP="00BB4DC3">
            <w:pPr>
              <w:pStyle w:val="TableText"/>
              <w:keepN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5A86434F" w14:textId="77777777" w:rsidR="00025FEB" w:rsidRPr="00D85A4F" w:rsidRDefault="00025FEB" w:rsidP="00BB4DC3">
            <w:pPr>
              <w:pStyle w:val="TableText"/>
            </w:pPr>
            <w:r>
              <w:t xml:space="preserve">The </w:t>
            </w:r>
            <w:r w:rsidRPr="00D85A4F">
              <w:t xml:space="preserve">DAMHS </w:t>
            </w:r>
            <w:r>
              <w:t xml:space="preserve">must </w:t>
            </w:r>
            <w:r w:rsidRPr="00D85A4F">
              <w:t xml:space="preserve">submit </w:t>
            </w:r>
            <w:r>
              <w:t xml:space="preserve">the </w:t>
            </w:r>
            <w:r w:rsidRPr="00D85A4F">
              <w:t xml:space="preserve">application at least </w:t>
            </w:r>
            <w:r>
              <w:t xml:space="preserve">three </w:t>
            </w:r>
            <w:r w:rsidRPr="00D85A4F">
              <w:t>working days prior to the scheduled appointment.</w:t>
            </w:r>
          </w:p>
          <w:p w14:paraId="6BD1030A" w14:textId="77777777" w:rsidR="00025FEB" w:rsidRPr="00D85A4F" w:rsidRDefault="00025FEB" w:rsidP="00BB4DC3">
            <w:pPr>
              <w:pStyle w:val="TableText"/>
            </w:pPr>
            <w:r>
              <w:t xml:space="preserve">The </w:t>
            </w:r>
            <w:r w:rsidRPr="00D85A4F">
              <w:t xml:space="preserve">Office of the Director </w:t>
            </w:r>
            <w:r>
              <w:t xml:space="preserve">must </w:t>
            </w:r>
            <w:r w:rsidRPr="00D85A4F">
              <w:t xml:space="preserve">respond within </w:t>
            </w:r>
            <w:r>
              <w:t xml:space="preserve">two </w:t>
            </w:r>
            <w:r w:rsidRPr="00D85A4F">
              <w:t>working days (unless urgent hospital admission is required). In practice</w:t>
            </w:r>
            <w:r>
              <w:t>,</w:t>
            </w:r>
            <w:r w:rsidRPr="00D85A4F">
              <w:t xml:space="preserve"> this information will be uploaded into the </w:t>
            </w:r>
            <w:r>
              <w:t>SPMS</w:t>
            </w:r>
            <w:r w:rsidRPr="00D85A4F">
              <w:t>.</w:t>
            </w:r>
          </w:p>
          <w:p w14:paraId="4C6E9290" w14:textId="09705985" w:rsidR="00025FEB" w:rsidRPr="00D85A4F" w:rsidRDefault="00025FEB" w:rsidP="00BB4DC3">
            <w:pPr>
              <w:pStyle w:val="TableText"/>
            </w:pPr>
            <w:r w:rsidRPr="00D85A4F">
              <w:t>Incomplete information will result in a delay in approving leave.</w:t>
            </w:r>
          </w:p>
        </w:tc>
      </w:tr>
    </w:tbl>
    <w:p w14:paraId="280724DF" w14:textId="77777777" w:rsidR="00025FEB" w:rsidRDefault="00025FEB" w:rsidP="00025FEB"/>
    <w:p w14:paraId="351E5601" w14:textId="3626F632" w:rsidR="00025FEB" w:rsidRDefault="00025FEB" w:rsidP="00025FEB">
      <w:r w:rsidRPr="00D85A4F">
        <w:t>If a patient is admitted to hospital and approval cannot reasonably be sought in advance (</w:t>
      </w:r>
      <w:r w:rsidR="00293669">
        <w:t>eg</w:t>
      </w:r>
      <w:r w:rsidRPr="00D85A4F">
        <w:t>, due to a life-threatening event or admission to hospital after hours), the DAMHS should ensure that retrospective approval for leave is sought on the next working day.</w:t>
      </w:r>
    </w:p>
    <w:p w14:paraId="20738A32" w14:textId="77777777" w:rsidR="00025FEB" w:rsidRPr="00D85A4F" w:rsidRDefault="00025FEB" w:rsidP="00025FEB"/>
    <w:p w14:paraId="0B896028" w14:textId="756962C3" w:rsidR="00025FEB" w:rsidRPr="00D85A4F" w:rsidRDefault="00025FEB" w:rsidP="00300B55">
      <w:pPr>
        <w:pStyle w:val="Table"/>
      </w:pPr>
      <w:bookmarkStart w:id="124" w:name="_Toc445803205"/>
      <w:bookmarkStart w:id="125" w:name="_Toc83191232"/>
      <w:bookmarkStart w:id="126" w:name="_Toc111810262"/>
      <w:bookmarkStart w:id="127" w:name="_Toc112861580"/>
      <w:bookmarkStart w:id="128" w:name="_Toc180593114"/>
      <w:r>
        <w:t xml:space="preserve">Table </w:t>
      </w:r>
      <w:r>
        <w:fldChar w:fldCharType="begin"/>
      </w:r>
      <w:r>
        <w:instrText>SEQ Table \* ARABIC</w:instrText>
      </w:r>
      <w:r>
        <w:fldChar w:fldCharType="separate"/>
      </w:r>
      <w:r w:rsidR="00411DF3">
        <w:rPr>
          <w:noProof/>
        </w:rPr>
        <w:t>7</w:t>
      </w:r>
      <w:r>
        <w:fldChar w:fldCharType="end"/>
      </w:r>
      <w:r>
        <w:t xml:space="preserve">: </w:t>
      </w:r>
      <w:r w:rsidRPr="00D85A4F">
        <w:t>Information in support of urgent admissions to hospital</w:t>
      </w:r>
      <w:bookmarkEnd w:id="124"/>
      <w:bookmarkEnd w:id="125"/>
      <w:bookmarkEnd w:id="126"/>
      <w:bookmarkEnd w:id="127"/>
      <w:bookmarkEnd w:id="128"/>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5AE0A209"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303A96A7"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52B26061" w14:textId="77777777" w:rsidR="00025FEB" w:rsidRPr="00D85A4F" w:rsidRDefault="00025FEB" w:rsidP="00BB4DC3">
            <w:pPr>
              <w:pStyle w:val="TableText"/>
            </w:pPr>
            <w:r w:rsidRPr="00D85A4F">
              <w:t>A letter from the responsible clinician, including:</w:t>
            </w:r>
          </w:p>
          <w:p w14:paraId="20284FAB" w14:textId="77777777" w:rsidR="00025FEB" w:rsidRPr="00D85A4F" w:rsidRDefault="00025FEB" w:rsidP="00D25422">
            <w:pPr>
              <w:pStyle w:val="TableBullet"/>
            </w:pPr>
            <w:r w:rsidRPr="00D85A4F">
              <w:t>the patient’s legal status</w:t>
            </w:r>
          </w:p>
          <w:p w14:paraId="45851236" w14:textId="77777777" w:rsidR="00025FEB" w:rsidRPr="00D85A4F" w:rsidRDefault="00025FEB" w:rsidP="00D25422">
            <w:pPr>
              <w:pStyle w:val="TableBullet"/>
            </w:pPr>
            <w:r w:rsidRPr="00D85A4F">
              <w:t>a current mental state assessment, including compliance with treatment</w:t>
            </w:r>
          </w:p>
          <w:p w14:paraId="1D187936" w14:textId="77777777" w:rsidR="00025FEB" w:rsidRPr="00D85A4F" w:rsidRDefault="00025FEB" w:rsidP="00D25422">
            <w:pPr>
              <w:pStyle w:val="TableBullet"/>
            </w:pPr>
            <w:r w:rsidRPr="00D85A4F">
              <w:t>the reason for the leave request</w:t>
            </w:r>
          </w:p>
          <w:p w14:paraId="4EEECD0E" w14:textId="77777777" w:rsidR="00025FEB" w:rsidRPr="00D85A4F" w:rsidRDefault="00025FEB" w:rsidP="00D25422">
            <w:pPr>
              <w:pStyle w:val="TableBullet"/>
            </w:pPr>
            <w:r w:rsidRPr="00D85A4F">
              <w:t>escort/supervision details</w:t>
            </w:r>
          </w:p>
          <w:p w14:paraId="3A3D7405" w14:textId="77777777" w:rsidR="00025FEB" w:rsidRPr="00D85A4F" w:rsidRDefault="00025FEB" w:rsidP="00D25422">
            <w:pPr>
              <w:pStyle w:val="TableBullet"/>
            </w:pPr>
            <w:r w:rsidRPr="00D85A4F">
              <w:t>a risk assessment, including flight risk</w:t>
            </w:r>
          </w:p>
          <w:p w14:paraId="6298A6CD" w14:textId="419B5206" w:rsidR="00025FEB" w:rsidRPr="00D85A4F" w:rsidRDefault="00025FEB" w:rsidP="00D25422">
            <w:pPr>
              <w:pStyle w:val="TableBullet"/>
            </w:pPr>
            <w:r w:rsidRPr="00D85A4F">
              <w:t xml:space="preserve">a risk and clinical management plan for the patient while </w:t>
            </w:r>
            <w:r w:rsidR="008B1ECA">
              <w:t xml:space="preserve">they are </w:t>
            </w:r>
            <w:r w:rsidRPr="00D85A4F">
              <w:t>on leave</w:t>
            </w:r>
          </w:p>
          <w:p w14:paraId="1543EF27" w14:textId="44E1E223" w:rsidR="00025FEB" w:rsidRPr="00D85A4F" w:rsidRDefault="00025FEB" w:rsidP="00D25422">
            <w:pPr>
              <w:pStyle w:val="TableBullet"/>
            </w:pPr>
            <w:r w:rsidRPr="00D85A4F">
              <w:t>comment on matters relating to the offending (</w:t>
            </w:r>
            <w:r w:rsidR="00293669">
              <w:t>eg</w:t>
            </w:r>
            <w:r w:rsidRPr="00D85A4F">
              <w:t>, insight into the offending, relationship with victims)</w:t>
            </w:r>
          </w:p>
          <w:p w14:paraId="6A3A5520" w14:textId="1548BC7B" w:rsidR="00025FEB" w:rsidRPr="00DC20BD" w:rsidRDefault="00870E39" w:rsidP="00D25422">
            <w:pPr>
              <w:pStyle w:val="TableBullet"/>
              <w:rPr>
                <w:rFonts w:eastAsia="Lucida Sans Unicode" w:hAnsi="Lucida Sans Unicode" w:cs="Lucida Sans Unicode"/>
              </w:rPr>
            </w:pPr>
            <w:r>
              <w:t>a r</w:t>
            </w:r>
            <w:r w:rsidR="00025FEB" w:rsidRPr="00D85A4F">
              <w:t>efer</w:t>
            </w:r>
            <w:r>
              <w:t>ence</w:t>
            </w:r>
            <w:r w:rsidR="00025FEB" w:rsidRPr="00D85A4F">
              <w:t xml:space="preserve"> to the current SPRP report, if available</w:t>
            </w:r>
          </w:p>
        </w:tc>
      </w:tr>
      <w:tr w:rsidR="00025FEB" w:rsidRPr="00DC20BD" w14:paraId="7F206CA1"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76B5254F"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1E653313" w14:textId="77777777" w:rsidR="00025FEB" w:rsidRPr="00D85A4F" w:rsidRDefault="00025FEB" w:rsidP="00BB4DC3">
            <w:pPr>
              <w:pStyle w:val="TableText"/>
            </w:pPr>
            <w:r>
              <w:t xml:space="preserve">The </w:t>
            </w:r>
            <w:r w:rsidRPr="00D85A4F">
              <w:t xml:space="preserve">DAMHS </w:t>
            </w:r>
            <w:r>
              <w:t xml:space="preserve">must </w:t>
            </w:r>
            <w:r w:rsidRPr="00D85A4F">
              <w:t xml:space="preserve">submit </w:t>
            </w:r>
            <w:r>
              <w:t xml:space="preserve">the </w:t>
            </w:r>
            <w:r w:rsidRPr="00D85A4F">
              <w:t>application as soon as practicable prior to the scheduled appointment.</w:t>
            </w:r>
          </w:p>
          <w:p w14:paraId="2B651E9E" w14:textId="77777777" w:rsidR="00025FEB" w:rsidRPr="00D85A4F" w:rsidRDefault="00025FEB" w:rsidP="00BB4DC3">
            <w:pPr>
              <w:pStyle w:val="TableText"/>
            </w:pPr>
            <w:r>
              <w:t xml:space="preserve">The Office of the Director must </w:t>
            </w:r>
            <w:r w:rsidRPr="00D85A4F">
              <w:t xml:space="preserve">respond within </w:t>
            </w:r>
            <w:r>
              <w:t xml:space="preserve">two </w:t>
            </w:r>
            <w:r w:rsidRPr="00D85A4F">
              <w:t>working days.</w:t>
            </w:r>
          </w:p>
          <w:p w14:paraId="61546E82" w14:textId="22736BB0" w:rsidR="00025FEB" w:rsidRPr="00D85A4F" w:rsidRDefault="00025FEB" w:rsidP="00BB4DC3">
            <w:pPr>
              <w:pStyle w:val="TableText"/>
            </w:pPr>
            <w:r w:rsidRPr="00D85A4F">
              <w:t xml:space="preserve">If approval from </w:t>
            </w:r>
            <w:r>
              <w:t xml:space="preserve">the Office of the Director </w:t>
            </w:r>
            <w:r w:rsidRPr="00D85A4F">
              <w:t>cannot be obtained prior to admission, the DAMHS should seek approval on the next working day. In practice</w:t>
            </w:r>
            <w:r>
              <w:t>,</w:t>
            </w:r>
            <w:r w:rsidRPr="00D85A4F">
              <w:t xml:space="preserve"> this information will be uploaded into the </w:t>
            </w:r>
            <w:r>
              <w:t>SPMS</w:t>
            </w:r>
            <w:r w:rsidRPr="00D85A4F">
              <w:t xml:space="preserve">. </w:t>
            </w:r>
          </w:p>
        </w:tc>
      </w:tr>
    </w:tbl>
    <w:p w14:paraId="19F462EA" w14:textId="6DE11F31" w:rsidR="00025FEB" w:rsidRPr="00025FEB" w:rsidRDefault="00025FEB" w:rsidP="00025FEB">
      <w:pPr>
        <w:pStyle w:val="Heading3"/>
      </w:pPr>
      <w:r w:rsidRPr="00025FEB">
        <w:t>Exceptional circumstances</w:t>
      </w:r>
    </w:p>
    <w:p w14:paraId="4F835963" w14:textId="40F710D6" w:rsidR="00025FEB" w:rsidRDefault="00025FEB" w:rsidP="00025FEB">
      <w:r w:rsidRPr="00D85A4F">
        <w:t xml:space="preserve">In rare situations, there may be exceptional circumstances </w:t>
      </w:r>
      <w:r w:rsidR="00695466">
        <w:t xml:space="preserve">in which </w:t>
      </w:r>
      <w:r w:rsidRPr="00D85A4F">
        <w:t>a special patient need</w:t>
      </w:r>
      <w:r>
        <w:t>s</w:t>
      </w:r>
      <w:r w:rsidRPr="00D85A4F">
        <w:t xml:space="preserve"> to travel overseas.</w:t>
      </w:r>
    </w:p>
    <w:p w14:paraId="35F58317" w14:textId="77777777" w:rsidR="007A6F61" w:rsidRPr="00D85A4F" w:rsidRDefault="007A6F61" w:rsidP="00025FEB"/>
    <w:p w14:paraId="7D091582" w14:textId="77777777" w:rsidR="00025FEB" w:rsidRPr="00D85A4F" w:rsidRDefault="00025FEB" w:rsidP="00025FEB">
      <w:r w:rsidRPr="00D85A4F">
        <w:t xml:space="preserve">Section 52A of the </w:t>
      </w:r>
      <w:r>
        <w:t>Mental Health Act</w:t>
      </w:r>
      <w:r w:rsidRPr="00D85A4F">
        <w:t xml:space="preserve"> prevents special patients from departing, or preparing to or attempting to depart, Aotearoa New Zealand unless:</w:t>
      </w:r>
    </w:p>
    <w:p w14:paraId="608B27AB" w14:textId="1A66770B" w:rsidR="00025FEB" w:rsidRPr="00D85A4F" w:rsidRDefault="00025FEB" w:rsidP="00D25422">
      <w:pPr>
        <w:pStyle w:val="Bullet"/>
      </w:pPr>
      <w:r>
        <w:t xml:space="preserve">they </w:t>
      </w:r>
      <w:r w:rsidRPr="00D85A4F">
        <w:t>have been granted section 52 or 50</w:t>
      </w:r>
      <w:r w:rsidR="00CF45BC">
        <w:t>A</w:t>
      </w:r>
      <w:r w:rsidRPr="00D85A4F">
        <w:t xml:space="preserve"> leave </w:t>
      </w:r>
    </w:p>
    <w:p w14:paraId="557DA64F" w14:textId="05E4C981" w:rsidR="00025FEB" w:rsidRPr="00D85A4F" w:rsidRDefault="00025FEB" w:rsidP="00D25422">
      <w:pPr>
        <w:pStyle w:val="Bullet"/>
      </w:pPr>
      <w:r>
        <w:t xml:space="preserve">they </w:t>
      </w:r>
      <w:r w:rsidRPr="00D85A4F">
        <w:t>have permission from the Minister to be absent from Aotearoa New Zealand during that period of leave</w:t>
      </w:r>
      <w:r w:rsidR="00D45F86">
        <w:t>,</w:t>
      </w:r>
      <w:r w:rsidRPr="00D85A4F">
        <w:t xml:space="preserve"> and </w:t>
      </w:r>
      <w:r w:rsidR="00D45F86">
        <w:t xml:space="preserve">they agree to </w:t>
      </w:r>
      <w:r w:rsidRPr="00D85A4F">
        <w:t>comply with terms and conditions specified by the Minister</w:t>
      </w:r>
    </w:p>
    <w:p w14:paraId="506200B6" w14:textId="77777777" w:rsidR="00025FEB" w:rsidRPr="00D85A4F" w:rsidRDefault="00025FEB" w:rsidP="00D25422">
      <w:pPr>
        <w:pStyle w:val="Bullet"/>
      </w:pPr>
      <w:r w:rsidRPr="00D85A4F">
        <w:t xml:space="preserve">their departure from Aotearoa New Zealand is in accordance with those terms and conditions. </w:t>
      </w:r>
    </w:p>
    <w:p w14:paraId="5AC2220E" w14:textId="77777777" w:rsidR="00025FEB" w:rsidRPr="00D85A4F" w:rsidRDefault="00025FEB" w:rsidP="00025FEB"/>
    <w:p w14:paraId="64A1480D" w14:textId="77777777" w:rsidR="00025FEB" w:rsidRPr="00D85A4F" w:rsidRDefault="00025FEB" w:rsidP="00025FEB">
      <w:r w:rsidRPr="00D85A4F">
        <w:t>Any special patient who attempts to</w:t>
      </w:r>
      <w:r>
        <w:t xml:space="preserve"> depart</w:t>
      </w:r>
      <w:r w:rsidRPr="00D85A4F">
        <w:t>, prepares to</w:t>
      </w:r>
      <w:r>
        <w:t xml:space="preserve"> depart</w:t>
      </w:r>
      <w:r w:rsidRPr="00D85A4F">
        <w:t xml:space="preserve"> or successfully departs Aotearoa New Zealand without permission from the Minister or in breach of the conditions set by the Minister must be treated as having escaped (</w:t>
      </w:r>
      <w:r>
        <w:t xml:space="preserve">see </w:t>
      </w:r>
      <w:r w:rsidRPr="00D85A4F">
        <w:t>section 6.3 below for further information).</w:t>
      </w:r>
    </w:p>
    <w:p w14:paraId="1A561A2E" w14:textId="77777777" w:rsidR="00025FEB" w:rsidRPr="00D85A4F" w:rsidRDefault="00025FEB" w:rsidP="00025FEB"/>
    <w:p w14:paraId="7437090F" w14:textId="5134D5F3" w:rsidR="00025FEB" w:rsidRPr="00D85A4F" w:rsidRDefault="00025FEB" w:rsidP="00025FEB">
      <w:r w:rsidRPr="00D85A4F">
        <w:t xml:space="preserve">Any application for overseas travel during a period of leave must include information on </w:t>
      </w:r>
      <w:r>
        <w:t xml:space="preserve">the </w:t>
      </w:r>
      <w:r w:rsidRPr="00D85A4F">
        <w:t xml:space="preserve">details of </w:t>
      </w:r>
      <w:r>
        <w:t xml:space="preserve">the </w:t>
      </w:r>
      <w:r w:rsidRPr="00D85A4F">
        <w:t xml:space="preserve">proposed overseas travel, </w:t>
      </w:r>
      <w:r>
        <w:t xml:space="preserve">the </w:t>
      </w:r>
      <w:r w:rsidRPr="00D85A4F">
        <w:t xml:space="preserve">necessity of travel and the processes in place to ensure </w:t>
      </w:r>
      <w:r>
        <w:t xml:space="preserve">the </w:t>
      </w:r>
      <w:r w:rsidRPr="00D85A4F">
        <w:t>safety of the special patient and others whil</w:t>
      </w:r>
      <w:r>
        <w:t>e</w:t>
      </w:r>
      <w:r w:rsidRPr="00D85A4F">
        <w:t xml:space="preserve"> </w:t>
      </w:r>
      <w:r w:rsidR="0052603E">
        <w:t xml:space="preserve">the patient is </w:t>
      </w:r>
      <w:r w:rsidRPr="00D85A4F">
        <w:t xml:space="preserve">overseas. </w:t>
      </w:r>
      <w:r>
        <w:t xml:space="preserve">In this case, RFMHSs should </w:t>
      </w:r>
      <w:r w:rsidRPr="00D85A4F">
        <w:t>ring the Director or Deputy Director in the first instance to discuss how to proceed.</w:t>
      </w:r>
    </w:p>
    <w:p w14:paraId="7E63870C" w14:textId="77777777" w:rsidR="00025FEB" w:rsidRPr="00D85A4F" w:rsidRDefault="00025FEB" w:rsidP="00025FEB">
      <w:pPr>
        <w:pStyle w:val="Heading2"/>
      </w:pPr>
      <w:bookmarkStart w:id="129" w:name="_Toc83197072"/>
      <w:bookmarkStart w:id="130" w:name="_Toc112845457"/>
      <w:bookmarkStart w:id="131" w:name="_Toc112862061"/>
      <w:bookmarkStart w:id="132" w:name="_Toc180497411"/>
      <w:r w:rsidRPr="00D85A4F">
        <w:t>Absence without leave</w:t>
      </w:r>
      <w:bookmarkEnd w:id="129"/>
      <w:bookmarkEnd w:id="130"/>
      <w:bookmarkEnd w:id="131"/>
      <w:bookmarkEnd w:id="132"/>
    </w:p>
    <w:p w14:paraId="4B40C847" w14:textId="08C7F9FF" w:rsidR="00025FEB" w:rsidRPr="00D85A4F" w:rsidRDefault="00025FEB" w:rsidP="00025FEB">
      <w:r w:rsidRPr="00D85A4F">
        <w:t xml:space="preserve">Each RFMHS must </w:t>
      </w:r>
      <w:r>
        <w:t xml:space="preserve">implement </w:t>
      </w:r>
      <w:r w:rsidRPr="00D85A4F">
        <w:t xml:space="preserve">its own procedures in the event of a special patient who escapes, is AWOL or fails to return on the expiry or cancellation of leave. </w:t>
      </w:r>
      <w:r>
        <w:t xml:space="preserve">The Ministry </w:t>
      </w:r>
      <w:r w:rsidRPr="00D85A4F">
        <w:t>intend</w:t>
      </w:r>
      <w:r>
        <w:t>s</w:t>
      </w:r>
      <w:r w:rsidRPr="00D85A4F">
        <w:t xml:space="preserve"> that the process described below will build on, rather than contradict, current processes. </w:t>
      </w:r>
      <w:r w:rsidR="001750E2">
        <w:t>A</w:t>
      </w:r>
      <w:r>
        <w:t>ppendix</w:t>
      </w:r>
      <w:r w:rsidR="001750E2">
        <w:t> </w:t>
      </w:r>
      <w:r w:rsidR="00041AD4">
        <w:t>2</w:t>
      </w:r>
      <w:r>
        <w:t xml:space="preserve"> provides a</w:t>
      </w:r>
      <w:r w:rsidRPr="00D85A4F">
        <w:t xml:space="preserve"> flowchart of the special patient </w:t>
      </w:r>
      <w:r>
        <w:t xml:space="preserve">AWOL </w:t>
      </w:r>
      <w:r w:rsidRPr="00D85A4F">
        <w:t>process.</w:t>
      </w:r>
    </w:p>
    <w:p w14:paraId="0F501B72" w14:textId="77777777" w:rsidR="00025FEB" w:rsidRPr="00D85A4F" w:rsidRDefault="00025FEB" w:rsidP="00025FEB"/>
    <w:p w14:paraId="0F399B1D" w14:textId="77777777" w:rsidR="00025FEB" w:rsidRPr="00D85A4F" w:rsidRDefault="00025FEB" w:rsidP="00025FEB">
      <w:r w:rsidRPr="00D85A4F">
        <w:t xml:space="preserve">Section 53 </w:t>
      </w:r>
      <w:r w:rsidRPr="002F0894">
        <w:t>of the Mental</w:t>
      </w:r>
      <w:r>
        <w:t xml:space="preserve"> Health Act</w:t>
      </w:r>
      <w:r w:rsidRPr="00D85A4F">
        <w:t xml:space="preserve"> provides that:</w:t>
      </w:r>
    </w:p>
    <w:p w14:paraId="300071F1" w14:textId="77777777" w:rsidR="00025FEB" w:rsidRPr="00D85A4F" w:rsidRDefault="00025FEB" w:rsidP="00025FEB">
      <w:pPr>
        <w:pStyle w:val="Quote"/>
      </w:pPr>
      <w:r w:rsidRPr="00D85A4F">
        <w:t>Any special patient who escapes, or who breaches any condition of leave, or who fails to return on the expiry or cancellation of any period of leave may be retaken at any time by the Director, or by the Director of Area Mental Health Services, or by a duly authorised officer, or by any constable, or by any person to whom the person has been entrusted during the period of leave, and taken to the hospital from which the patient escaped or was on leave or to any other hospital specified by the Director.</w:t>
      </w:r>
    </w:p>
    <w:p w14:paraId="1C1FEC31" w14:textId="77777777" w:rsidR="00025FEB" w:rsidRPr="00D85A4F" w:rsidRDefault="00025FEB" w:rsidP="00025FEB"/>
    <w:p w14:paraId="0FB4CBC7" w14:textId="77777777" w:rsidR="00025FEB" w:rsidRPr="00D85A4F" w:rsidRDefault="00025FEB" w:rsidP="00025FEB">
      <w:r w:rsidRPr="00D85A4F">
        <w:t>If a special patient has escaped or is AWOL, the DAMHS (or their delegated staff member) must immediately take the actions set out below.</w:t>
      </w:r>
    </w:p>
    <w:p w14:paraId="25FA38B5" w14:textId="77777777" w:rsidR="00025FEB" w:rsidRPr="00D85A4F" w:rsidRDefault="00025FEB" w:rsidP="00025FEB"/>
    <w:p w14:paraId="0B5E4010" w14:textId="77777777" w:rsidR="00025FEB" w:rsidRPr="00D85A4F" w:rsidRDefault="00025FEB" w:rsidP="00025FEB">
      <w:r w:rsidRPr="00D85A4F">
        <w:t>A 111 call should always be placed if the special patient has escaped</w:t>
      </w:r>
      <w:r>
        <w:t xml:space="preserve"> or has become </w:t>
      </w:r>
      <w:r w:rsidRPr="00D85A4F">
        <w:t xml:space="preserve"> AWOL and there is an immediate concern for the safety of the patient, the public in general or particular </w:t>
      </w:r>
      <w:r>
        <w:t>people.</w:t>
      </w:r>
      <w:r w:rsidRPr="00D85A4F">
        <w:t xml:space="preserve">  This call should be made (and subsequently documented) by the staff member responsible for the special patient or anyone with authority in the RFMHS (usually the nurse in charge or the allocated nurse).</w:t>
      </w:r>
    </w:p>
    <w:p w14:paraId="39CC6427" w14:textId="77777777" w:rsidR="00025FEB" w:rsidRPr="00D85A4F" w:rsidRDefault="00025FEB" w:rsidP="00025FEB"/>
    <w:p w14:paraId="712B0ACD" w14:textId="7ACE6D32" w:rsidR="00025FEB" w:rsidRPr="00D85A4F" w:rsidRDefault="00025FEB" w:rsidP="00025FEB">
      <w:r w:rsidRPr="00D85A4F">
        <w:t xml:space="preserve">Once </w:t>
      </w:r>
      <w:r>
        <w:t>p</w:t>
      </w:r>
      <w:r w:rsidRPr="00D85A4F">
        <w:t xml:space="preserve">olice have been alerted, the DAMHS should call the Director and/or Deputy Director, and provide the details of the incident, a summary of actions taken and information on whether the special patient is a foreign national and </w:t>
      </w:r>
      <w:r w:rsidR="002F0894">
        <w:t xml:space="preserve">whether there is a </w:t>
      </w:r>
      <w:r w:rsidRPr="00D85A4F">
        <w:t>potential flight risk.</w:t>
      </w:r>
    </w:p>
    <w:p w14:paraId="1B4A4420" w14:textId="77777777" w:rsidR="00025FEB" w:rsidRPr="00D85A4F" w:rsidRDefault="00025FEB" w:rsidP="00025FEB"/>
    <w:p w14:paraId="0B24379A" w14:textId="216E673D" w:rsidR="00025FEB" w:rsidRPr="00D85A4F" w:rsidRDefault="00025FEB" w:rsidP="00025FEB">
      <w:r w:rsidRPr="00D85A4F">
        <w:t xml:space="preserve">The initial call to </w:t>
      </w:r>
      <w:r>
        <w:t>p</w:t>
      </w:r>
      <w:r w:rsidRPr="00D85A4F">
        <w:t xml:space="preserve">olice needs to include information on how best to approach the patient, and information about the risk posed by the patient to </w:t>
      </w:r>
      <w:r w:rsidR="001E5C8D">
        <w:t xml:space="preserve">themselves </w:t>
      </w:r>
      <w:r w:rsidRPr="00D85A4F">
        <w:t>or to others. Police also need the following information to help them identify the missing patient:</w:t>
      </w:r>
    </w:p>
    <w:p w14:paraId="0775B65D" w14:textId="77777777" w:rsidR="00025FEB" w:rsidRPr="00D85A4F" w:rsidRDefault="00025FEB" w:rsidP="00D25422">
      <w:pPr>
        <w:pStyle w:val="Bullet"/>
      </w:pPr>
      <w:r w:rsidRPr="00D85A4F">
        <w:t>the patient’s full name and date of birth</w:t>
      </w:r>
    </w:p>
    <w:p w14:paraId="49E1AFBA" w14:textId="77777777" w:rsidR="00025FEB" w:rsidRPr="00D85A4F" w:rsidRDefault="00025FEB" w:rsidP="00D25422">
      <w:pPr>
        <w:pStyle w:val="Bullet"/>
      </w:pPr>
      <w:r w:rsidRPr="00D85A4F">
        <w:t xml:space="preserve">details of the </w:t>
      </w:r>
      <w:r>
        <w:t xml:space="preserve">RFMHS’s </w:t>
      </w:r>
      <w:r w:rsidRPr="00D85A4F">
        <w:t>last contact with the patient (in person or by phone, social media, etc)</w:t>
      </w:r>
    </w:p>
    <w:p w14:paraId="721F5745" w14:textId="00077125" w:rsidR="00025FEB" w:rsidRPr="00D85A4F" w:rsidRDefault="00025FEB" w:rsidP="00D25422">
      <w:pPr>
        <w:pStyle w:val="Bullet"/>
      </w:pPr>
      <w:r w:rsidRPr="00D85A4F">
        <w:t xml:space="preserve">a full physical description of the missing patient, including </w:t>
      </w:r>
      <w:r w:rsidR="0000640D">
        <w:t xml:space="preserve">the </w:t>
      </w:r>
      <w:r w:rsidRPr="00D85A4F">
        <w:t xml:space="preserve">clothing </w:t>
      </w:r>
      <w:r w:rsidR="0000640D">
        <w:t xml:space="preserve">they </w:t>
      </w:r>
      <w:r w:rsidRPr="00D85A4F">
        <w:t>wor</w:t>
      </w:r>
      <w:r w:rsidR="0000640D">
        <w:t>e</w:t>
      </w:r>
      <w:r w:rsidRPr="00D85A4F">
        <w:t xml:space="preserve"> when they were last seen </w:t>
      </w:r>
      <w:r w:rsidR="0000640D">
        <w:t xml:space="preserve">and </w:t>
      </w:r>
      <w:r w:rsidRPr="00D85A4F">
        <w:t>any distinguishing features</w:t>
      </w:r>
      <w:r w:rsidR="0000640D">
        <w:t xml:space="preserve">; </w:t>
      </w:r>
      <w:r w:rsidRPr="00D85A4F">
        <w:t xml:space="preserve">a recent photograph of the patient </w:t>
      </w:r>
      <w:r w:rsidR="0000640D">
        <w:t xml:space="preserve">should be supplied, </w:t>
      </w:r>
      <w:r w:rsidRPr="00D85A4F">
        <w:t>if available</w:t>
      </w:r>
    </w:p>
    <w:p w14:paraId="3763F711" w14:textId="77777777" w:rsidR="00025FEB" w:rsidRPr="00D85A4F" w:rsidRDefault="00025FEB" w:rsidP="00D25422">
      <w:pPr>
        <w:pStyle w:val="Bullet"/>
      </w:pPr>
      <w:r w:rsidRPr="00D85A4F">
        <w:t>actions already taken to find the patient</w:t>
      </w:r>
    </w:p>
    <w:p w14:paraId="110A0A8A" w14:textId="77777777" w:rsidR="00025FEB" w:rsidRPr="00D85A4F" w:rsidRDefault="00025FEB" w:rsidP="00D25422">
      <w:pPr>
        <w:pStyle w:val="Bullet"/>
      </w:pPr>
      <w:r w:rsidRPr="00D85A4F">
        <w:t>names and contact details of family/whānau, friends and associates</w:t>
      </w:r>
    </w:p>
    <w:p w14:paraId="49430EEC" w14:textId="79E4810F" w:rsidR="00025FEB" w:rsidRPr="00D85A4F" w:rsidRDefault="00025FEB" w:rsidP="00D25422">
      <w:pPr>
        <w:pStyle w:val="Bullet"/>
      </w:pPr>
      <w:r w:rsidRPr="00D85A4F">
        <w:t xml:space="preserve">places the patient </w:t>
      </w:r>
      <w:r w:rsidR="001C5BFC">
        <w:t xml:space="preserve">is likely to </w:t>
      </w:r>
      <w:r w:rsidRPr="00D85A4F">
        <w:t>visit</w:t>
      </w:r>
    </w:p>
    <w:p w14:paraId="2CA055D1" w14:textId="4E380B1E" w:rsidR="00025FEB" w:rsidRPr="00D85A4F" w:rsidRDefault="00025FEB" w:rsidP="00D25422">
      <w:pPr>
        <w:pStyle w:val="Bullet"/>
      </w:pPr>
      <w:r w:rsidRPr="00D85A4F">
        <w:t>relevant health information</w:t>
      </w:r>
      <w:r>
        <w:t>, including</w:t>
      </w:r>
      <w:r w:rsidRPr="00D85A4F">
        <w:t xml:space="preserve"> medication needed</w:t>
      </w:r>
    </w:p>
    <w:p w14:paraId="1E0903DA" w14:textId="77777777" w:rsidR="00025FEB" w:rsidRPr="00D85A4F" w:rsidRDefault="00025FEB" w:rsidP="00D25422">
      <w:pPr>
        <w:pStyle w:val="Bullet"/>
      </w:pPr>
      <w:r w:rsidRPr="00D85A4F">
        <w:t>details of any people who are, or may be</w:t>
      </w:r>
      <w:r>
        <w:t>,</w:t>
      </w:r>
      <w:r w:rsidRPr="00D85A4F">
        <w:t xml:space="preserve"> in the company of the patient.</w:t>
      </w:r>
    </w:p>
    <w:p w14:paraId="5AE57C43" w14:textId="77777777" w:rsidR="00025FEB" w:rsidRPr="00D85A4F" w:rsidRDefault="00025FEB" w:rsidP="00025FEB"/>
    <w:p w14:paraId="30DD0DC7" w14:textId="734C4BB3" w:rsidR="00025FEB" w:rsidRDefault="00FE4CD0" w:rsidP="00025FEB">
      <w:r w:rsidRPr="00FE4CD0">
        <w:t>Police will ask the RFMHS to advise them where members of the public should send information about the patient, if they have it, and for the name of a local contact person at the RFMHS during the patient’s absence</w:t>
      </w:r>
      <w:r>
        <w:t xml:space="preserve">. </w:t>
      </w:r>
      <w:r w:rsidR="00025FEB" w:rsidRPr="00D85A4F">
        <w:t>Police will provide the RFMHS with an event number that should be referenced in any further communication regarding the incident. Police will also need contact details for the RFMHS (cell phone and landline) and any other person who may be affected by the absence of the patient (</w:t>
      </w:r>
      <w:r w:rsidR="00293669">
        <w:t>eg</w:t>
      </w:r>
      <w:r w:rsidR="00025FEB" w:rsidRPr="00D85A4F">
        <w:t>, family members</w:t>
      </w:r>
      <w:r w:rsidR="00025FEB">
        <w:t xml:space="preserve"> and registered victims, if relevant (see below)).</w:t>
      </w:r>
    </w:p>
    <w:p w14:paraId="2B66534D" w14:textId="77777777" w:rsidR="00025FEB" w:rsidRDefault="00025FEB" w:rsidP="00025FEB"/>
    <w:p w14:paraId="0F9679CE" w14:textId="145257E6" w:rsidR="00025FEB" w:rsidRPr="00D85A4F" w:rsidRDefault="00025FEB" w:rsidP="00025FEB">
      <w:r w:rsidRPr="00D85A4F">
        <w:t xml:space="preserve">A person authorised by section 53 of the </w:t>
      </w:r>
      <w:r w:rsidR="00ED4139">
        <w:t xml:space="preserve">Mental Health </w:t>
      </w:r>
      <w:r w:rsidRPr="00D85A4F">
        <w:t>Act can retake and return a special patient to the hospital from which the patient escaped or was on leave. If the place of return is not easily reached (</w:t>
      </w:r>
      <w:r w:rsidR="00293669">
        <w:t>eg</w:t>
      </w:r>
      <w:r w:rsidRPr="00D85A4F">
        <w:t xml:space="preserve">, because the special patient was found in a different region from the hospital in which they are usually detained), </w:t>
      </w:r>
      <w:r>
        <w:t xml:space="preserve">the patient </w:t>
      </w:r>
      <w:r w:rsidRPr="00D85A4F">
        <w:t xml:space="preserve">should be returned to any other hospital specified by the Director, which will typically be the closest RFMHS. The DAMHS will need to negotiate this with the relevant service. Patients cannot be left in the custody of </w:t>
      </w:r>
      <w:r>
        <w:t>p</w:t>
      </w:r>
      <w:r w:rsidRPr="00D85A4F">
        <w:t xml:space="preserve">olice, as there </w:t>
      </w:r>
      <w:r>
        <w:t>may be</w:t>
      </w:r>
      <w:r w:rsidRPr="00D85A4F">
        <w:t xml:space="preserve"> no lawful ability for the </w:t>
      </w:r>
      <w:r>
        <w:t>p</w:t>
      </w:r>
      <w:r w:rsidRPr="00D85A4F">
        <w:t xml:space="preserve">olice to detain them. The </w:t>
      </w:r>
      <w:r>
        <w:t>p</w:t>
      </w:r>
      <w:r w:rsidRPr="00D85A4F">
        <w:t>olice only have the power to take or retake the special patient to a hospital.</w:t>
      </w:r>
    </w:p>
    <w:p w14:paraId="1ACB9C98" w14:textId="77777777" w:rsidR="00025FEB" w:rsidRPr="00D85A4F" w:rsidRDefault="00025FEB" w:rsidP="00025FEB"/>
    <w:p w14:paraId="10433502" w14:textId="06A2C042" w:rsidR="00025FEB" w:rsidRPr="00D85A4F" w:rsidRDefault="00025FEB" w:rsidP="00025FEB">
      <w:pPr>
        <w:keepLines/>
      </w:pPr>
      <w:r w:rsidRPr="00D85A4F">
        <w:t>If a special patient is AWOL, the RFMHS must notify the patient’s family</w:t>
      </w:r>
      <w:r w:rsidR="00F044A6">
        <w:t>/</w:t>
      </w:r>
      <w:r w:rsidRPr="00D85A4F">
        <w:t xml:space="preserve">whānau of the event and the actions that </w:t>
      </w:r>
      <w:r>
        <w:t xml:space="preserve">it is taking </w:t>
      </w:r>
      <w:r w:rsidRPr="00D85A4F">
        <w:t xml:space="preserve">to find and return the patient. If there are concerns that family members may be at risk from the patient, the RFMHS should </w:t>
      </w:r>
      <w:r w:rsidR="00296057">
        <w:t xml:space="preserve">inform the </w:t>
      </w:r>
      <w:r>
        <w:t>p</w:t>
      </w:r>
      <w:r w:rsidRPr="00D85A4F">
        <w:t xml:space="preserve">olice </w:t>
      </w:r>
      <w:r w:rsidR="00296057">
        <w:t>of this</w:t>
      </w:r>
      <w:r w:rsidRPr="00D85A4F">
        <w:t xml:space="preserve">. </w:t>
      </w:r>
      <w:r>
        <w:t>The Director-General of Health (in practice, the DAMHS as delegated)</w:t>
      </w:r>
      <w:r w:rsidRPr="00D85A4F">
        <w:t xml:space="preserve"> </w:t>
      </w:r>
      <w:r>
        <w:t>must notify a</w:t>
      </w:r>
      <w:r w:rsidRPr="00D85A4F">
        <w:t>ny registered victims of the escape or absence without leave in accordance with section 37 of the Victims</w:t>
      </w:r>
      <w:r w:rsidR="00EC0694">
        <w:t>’</w:t>
      </w:r>
      <w:r w:rsidRPr="00D85A4F">
        <w:t xml:space="preserve"> Rights Act 2002</w:t>
      </w:r>
      <w:r>
        <w:t xml:space="preserve"> (see further discussion on the requirements of the Victims</w:t>
      </w:r>
      <w:r w:rsidR="00EC0694">
        <w:t>’</w:t>
      </w:r>
      <w:r>
        <w:t xml:space="preserve"> Rights Act in section 12 below)</w:t>
      </w:r>
      <w:r w:rsidRPr="00D85A4F">
        <w:t>.</w:t>
      </w:r>
    </w:p>
    <w:p w14:paraId="7D5553A2" w14:textId="527AD5F2" w:rsidR="00025FEB" w:rsidRPr="00D85A4F" w:rsidRDefault="00025FEB" w:rsidP="00025FEB">
      <w:pPr>
        <w:pStyle w:val="Heading3"/>
      </w:pPr>
      <w:r w:rsidRPr="00D85A4F">
        <w:t>Emergency border alert</w:t>
      </w:r>
    </w:p>
    <w:p w14:paraId="4D7659BF" w14:textId="5200AC6E" w:rsidR="00025FEB" w:rsidRPr="00D85A4F" w:rsidRDefault="00025FEB" w:rsidP="00025FEB">
      <w:r w:rsidRPr="00D85A4F">
        <w:t xml:space="preserve">If a special patient is AWOL, the DAMHS </w:t>
      </w:r>
      <w:r>
        <w:t xml:space="preserve">must </w:t>
      </w:r>
      <w:r w:rsidRPr="00D85A4F">
        <w:t xml:space="preserve">request an emergency overseas border alert. To do this, the DAMHS (or a person acting on their authority) </w:t>
      </w:r>
      <w:r>
        <w:t xml:space="preserve">must </w:t>
      </w:r>
      <w:r w:rsidRPr="00D85A4F">
        <w:rPr>
          <w:color w:val="000000"/>
        </w:rPr>
        <w:t xml:space="preserve">call </w:t>
      </w:r>
      <w:r w:rsidRPr="00D85A4F">
        <w:t>Customs’ Integrated Targeting and Operations Centre (ITOC) on 0508 ITOC OPS (0508 4862 677). The ITOC will require identifying information about the patient, including their full name, date and place of birth, any aliases and a photograph</w:t>
      </w:r>
      <w:r w:rsidR="00951785">
        <w:t>,</w:t>
      </w:r>
      <w:r w:rsidRPr="00D85A4F">
        <w:t xml:space="preserve"> where available.</w:t>
      </w:r>
    </w:p>
    <w:p w14:paraId="505DE3CE" w14:textId="77777777" w:rsidR="00025FEB" w:rsidRPr="00D85A4F" w:rsidRDefault="00025FEB" w:rsidP="00025FEB"/>
    <w:p w14:paraId="3CF9337F" w14:textId="4F8C16D9" w:rsidR="00025FEB" w:rsidRPr="00D85A4F" w:rsidRDefault="00951785" w:rsidP="00025FEB">
      <w:pPr>
        <w:rPr>
          <w:spacing w:val="-13"/>
          <w:w w:val="105"/>
        </w:rPr>
      </w:pPr>
      <w:r>
        <w:rPr>
          <w:w w:val="105"/>
        </w:rPr>
        <w:t xml:space="preserve">Appendix 1 </w:t>
      </w:r>
      <w:r w:rsidR="00041AD4">
        <w:rPr>
          <w:w w:val="105"/>
        </w:rPr>
        <w:t xml:space="preserve">provides a sample form that sets out </w:t>
      </w:r>
      <w:r w:rsidR="00025FEB">
        <w:rPr>
          <w:w w:val="105"/>
        </w:rPr>
        <w:t>t</w:t>
      </w:r>
      <w:r w:rsidR="00025FEB" w:rsidRPr="00D85A4F">
        <w:rPr>
          <w:w w:val="105"/>
        </w:rPr>
        <w:t xml:space="preserve">he information required to place an emergency overseas border alert. </w:t>
      </w:r>
    </w:p>
    <w:p w14:paraId="3F396AED" w14:textId="77777777" w:rsidR="00025FEB" w:rsidRPr="00D85A4F" w:rsidRDefault="00025FEB" w:rsidP="00025FEB">
      <w:pPr>
        <w:rPr>
          <w:spacing w:val="-13"/>
          <w:w w:val="105"/>
        </w:rPr>
      </w:pPr>
    </w:p>
    <w:p w14:paraId="18C7CD22" w14:textId="77777777" w:rsidR="00025FEB" w:rsidRPr="00D85A4F" w:rsidRDefault="00025FEB" w:rsidP="00025FEB">
      <w:r w:rsidRPr="00D85A4F">
        <w:t xml:space="preserve">Once </w:t>
      </w:r>
      <w:r>
        <w:t>p</w:t>
      </w:r>
      <w:r w:rsidRPr="00D85A4F">
        <w:t>olice have been notified of the absence of a special patient, the DAMHS or person acting on the authority of the DAMHS should phone the Director (or the Deputy Director)</w:t>
      </w:r>
      <w:r>
        <w:t xml:space="preserve"> to give the following information, which </w:t>
      </w:r>
      <w:r w:rsidRPr="00D85A4F">
        <w:t xml:space="preserve">should be the same information as </w:t>
      </w:r>
      <w:r>
        <w:t xml:space="preserve">that </w:t>
      </w:r>
      <w:r w:rsidRPr="00D85A4F">
        <w:t xml:space="preserve">provided to </w:t>
      </w:r>
      <w:r>
        <w:t>p</w:t>
      </w:r>
      <w:r w:rsidRPr="00D85A4F">
        <w:t>olice:</w:t>
      </w:r>
    </w:p>
    <w:p w14:paraId="44154C52" w14:textId="77777777" w:rsidR="00025FEB" w:rsidRPr="00D85A4F" w:rsidRDefault="00025FEB" w:rsidP="00D25422">
      <w:pPr>
        <w:pStyle w:val="Bullet"/>
      </w:pPr>
      <w:r w:rsidRPr="00D85A4F">
        <w:t xml:space="preserve">the </w:t>
      </w:r>
      <w:r>
        <w:t>p</w:t>
      </w:r>
      <w:r w:rsidRPr="00D85A4F">
        <w:t>olice event number</w:t>
      </w:r>
    </w:p>
    <w:p w14:paraId="001DBDC2" w14:textId="5DB7BA92" w:rsidR="00025FEB" w:rsidRPr="00D85A4F" w:rsidRDefault="00025FEB" w:rsidP="00D25422">
      <w:pPr>
        <w:pStyle w:val="Bullet"/>
      </w:pPr>
      <w:r w:rsidRPr="00D85A4F">
        <w:t xml:space="preserve">confirmation that any registered victims have been notified </w:t>
      </w:r>
      <w:r>
        <w:t>(and their details</w:t>
      </w:r>
      <w:r w:rsidR="00874F6B">
        <w:t>,</w:t>
      </w:r>
      <w:r>
        <w:t xml:space="preserve"> first checked with police)</w:t>
      </w:r>
    </w:p>
    <w:p w14:paraId="10057866" w14:textId="77777777" w:rsidR="00025FEB" w:rsidRPr="00D85A4F" w:rsidRDefault="00025FEB" w:rsidP="00D25422">
      <w:pPr>
        <w:pStyle w:val="Bullet"/>
      </w:pPr>
      <w:r w:rsidRPr="00D85A4F">
        <w:t>advice on whether the patient has an up-to-date passport and an assessment of their current level of flight risk.</w:t>
      </w:r>
    </w:p>
    <w:p w14:paraId="3CE88805" w14:textId="77777777" w:rsidR="00025FEB" w:rsidRPr="00D85A4F" w:rsidRDefault="00025FEB" w:rsidP="00025FEB"/>
    <w:p w14:paraId="3FB6FB0B" w14:textId="30B77141" w:rsidR="00025FEB" w:rsidRPr="00D85A4F" w:rsidRDefault="00025FEB" w:rsidP="00025FEB">
      <w:r>
        <w:t xml:space="preserve">They should follow up this call with an email giving the same information, and thereafter </w:t>
      </w:r>
      <w:r w:rsidR="00874F6B">
        <w:t xml:space="preserve">update </w:t>
      </w:r>
      <w:r w:rsidRPr="00D85A4F">
        <w:t>the Director (usually by a daily phone call or email), until the patient is retaken or is returned.</w:t>
      </w:r>
    </w:p>
    <w:p w14:paraId="69C9AF22" w14:textId="77777777" w:rsidR="00025FEB" w:rsidRPr="00D85A4F" w:rsidRDefault="00025FEB" w:rsidP="00025FEB"/>
    <w:p w14:paraId="795098E5" w14:textId="77777777" w:rsidR="00025FEB" w:rsidRPr="00D85A4F" w:rsidRDefault="00025FEB" w:rsidP="00025FEB">
      <w:r w:rsidRPr="00D85A4F">
        <w:t xml:space="preserve">The Director or Deputy Director will acknowledge all emails from the DAMHS and </w:t>
      </w:r>
      <w:r>
        <w:t xml:space="preserve">inform </w:t>
      </w:r>
      <w:r w:rsidRPr="00D85A4F">
        <w:t xml:space="preserve">the DAMHS of any actions </w:t>
      </w:r>
      <w:r>
        <w:t xml:space="preserve">they </w:t>
      </w:r>
      <w:r w:rsidRPr="00D85A4F">
        <w:t xml:space="preserve">take as a result. </w:t>
      </w:r>
      <w:r>
        <w:t xml:space="preserve">Such </w:t>
      </w:r>
      <w:r w:rsidRPr="00D85A4F">
        <w:t>actions may include:</w:t>
      </w:r>
    </w:p>
    <w:p w14:paraId="24067876" w14:textId="77777777" w:rsidR="00025FEB" w:rsidRPr="00D85A4F" w:rsidRDefault="00025FEB" w:rsidP="00D25422">
      <w:pPr>
        <w:pStyle w:val="Bullet"/>
      </w:pPr>
      <w:r w:rsidRPr="00D85A4F">
        <w:t xml:space="preserve">checking registered victims’ details with </w:t>
      </w:r>
      <w:r>
        <w:t>p</w:t>
      </w:r>
      <w:r w:rsidRPr="00D85A4F">
        <w:t>olice</w:t>
      </w:r>
    </w:p>
    <w:p w14:paraId="274816AB" w14:textId="77777777" w:rsidR="00025FEB" w:rsidRPr="00D85A4F" w:rsidRDefault="00025FEB" w:rsidP="00D25422">
      <w:pPr>
        <w:pStyle w:val="Bullet"/>
      </w:pPr>
      <w:r w:rsidRPr="00D85A4F">
        <w:t>informing the Director-General and/or the Minister’s office</w:t>
      </w:r>
    </w:p>
    <w:p w14:paraId="139A62C2" w14:textId="77777777" w:rsidR="00025FEB" w:rsidRPr="00D85A4F" w:rsidRDefault="00025FEB" w:rsidP="00D25422">
      <w:pPr>
        <w:pStyle w:val="Bullet"/>
      </w:pPr>
      <w:r w:rsidRPr="00D85A4F">
        <w:t xml:space="preserve">checking that the </w:t>
      </w:r>
      <w:r>
        <w:t>RFMHS</w:t>
      </w:r>
      <w:r w:rsidRPr="00D85A4F">
        <w:t xml:space="preserve"> has a media strategy in place</w:t>
      </w:r>
    </w:p>
    <w:p w14:paraId="24CB6EA4" w14:textId="77777777" w:rsidR="00025FEB" w:rsidRPr="00D85A4F" w:rsidRDefault="00025FEB" w:rsidP="00D25422">
      <w:pPr>
        <w:pStyle w:val="Bullet"/>
      </w:pPr>
      <w:r w:rsidRPr="00D85A4F">
        <w:t>advising the Ministry of Health’s media team</w:t>
      </w:r>
    </w:p>
    <w:p w14:paraId="2B604BF7" w14:textId="77777777" w:rsidR="00025FEB" w:rsidRPr="00D85A4F" w:rsidRDefault="00025FEB" w:rsidP="00D25422">
      <w:pPr>
        <w:pStyle w:val="Bullet"/>
      </w:pPr>
      <w:r w:rsidRPr="00D85A4F">
        <w:t>assisting with the emergency overseas border alert if required</w:t>
      </w:r>
    </w:p>
    <w:p w14:paraId="284F1A06" w14:textId="77777777" w:rsidR="00025FEB" w:rsidRPr="00D85A4F" w:rsidRDefault="00025FEB" w:rsidP="00D25422">
      <w:pPr>
        <w:pStyle w:val="Bullet"/>
      </w:pPr>
      <w:r w:rsidRPr="00D85A4F">
        <w:t xml:space="preserve">requesting that the </w:t>
      </w:r>
      <w:r w:rsidRPr="004205D3">
        <w:t>Department of Internal Affairs</w:t>
      </w:r>
      <w:r w:rsidRPr="00D85A4F">
        <w:t xml:space="preserve"> invalidate any passport held for </w:t>
      </w:r>
      <w:r>
        <w:t>the</w:t>
      </w:r>
      <w:r w:rsidRPr="00D85A4F">
        <w:t xml:space="preserve"> special patient and asking that the Office of the Director be informed if an application is received from that special patient.</w:t>
      </w:r>
    </w:p>
    <w:p w14:paraId="7DA6231B" w14:textId="77777777" w:rsidR="00025FEB" w:rsidRPr="00D85A4F" w:rsidRDefault="00025FEB" w:rsidP="00025FEB"/>
    <w:p w14:paraId="699DB539" w14:textId="6E819333" w:rsidR="00025FEB" w:rsidRPr="00D85A4F" w:rsidRDefault="00025FEB" w:rsidP="00025FEB">
      <w:r w:rsidRPr="00D85A4F">
        <w:t>The Director may also arrange for further emergency measures if the special patient is a foreign national by informing the New Zealand Ministry of Foreign Affairs and Trade (MFAT) and/or the</w:t>
      </w:r>
      <w:r>
        <w:t xml:space="preserve"> Diplomatic</w:t>
      </w:r>
      <w:r w:rsidRPr="00D85A4F">
        <w:t xml:space="preserve"> Protection Service</w:t>
      </w:r>
      <w:r w:rsidR="0086304D">
        <w:t>’</w:t>
      </w:r>
      <w:r w:rsidRPr="00D85A4F">
        <w:t xml:space="preserve">s Wellington </w:t>
      </w:r>
      <w:r>
        <w:t>d</w:t>
      </w:r>
      <w:r w:rsidRPr="00D85A4F">
        <w:t xml:space="preserve">uty </w:t>
      </w:r>
      <w:r>
        <w:t>o</w:t>
      </w:r>
      <w:r w:rsidRPr="00D85A4F">
        <w:t>fficer and an embassy/consulate.</w:t>
      </w:r>
    </w:p>
    <w:p w14:paraId="623E33A1" w14:textId="77777777" w:rsidR="00025FEB" w:rsidRPr="00D85A4F" w:rsidRDefault="00025FEB" w:rsidP="00025FEB">
      <w:pPr>
        <w:pStyle w:val="Heading2"/>
      </w:pPr>
      <w:bookmarkStart w:id="133" w:name="_Toc83197073"/>
      <w:bookmarkStart w:id="134" w:name="_Toc112845458"/>
      <w:bookmarkStart w:id="135" w:name="_Toc112862062"/>
      <w:bookmarkStart w:id="136" w:name="_Toc180497412"/>
      <w:r w:rsidRPr="00D85A4F">
        <w:t>Return of special patient</w:t>
      </w:r>
      <w:bookmarkEnd w:id="133"/>
      <w:bookmarkEnd w:id="134"/>
      <w:bookmarkEnd w:id="135"/>
      <w:bookmarkEnd w:id="136"/>
    </w:p>
    <w:p w14:paraId="074FA539" w14:textId="77777777" w:rsidR="00025FEB" w:rsidRPr="00D85A4F" w:rsidRDefault="00025FEB" w:rsidP="00025FEB">
      <w:r>
        <w:t>When a special patient returns, i</w:t>
      </w:r>
      <w:r w:rsidRPr="00D85A4F">
        <w:t xml:space="preserve">rrespective of the circumstances, the </w:t>
      </w:r>
      <w:r>
        <w:t xml:space="preserve">DAMHS or a delegated staff member needs to take the </w:t>
      </w:r>
      <w:r w:rsidRPr="00D85A4F">
        <w:t xml:space="preserve">following actions so that the </w:t>
      </w:r>
      <w:r>
        <w:t>p</w:t>
      </w:r>
      <w:r w:rsidRPr="00D85A4F">
        <w:t xml:space="preserve">olice can be stood down and the overseas border alert removed. The DAMHS or their delegated staff member should call the main </w:t>
      </w:r>
      <w:r>
        <w:t>p</w:t>
      </w:r>
      <w:r w:rsidRPr="00D85A4F">
        <w:t>olice liaison point and provide the following information:</w:t>
      </w:r>
    </w:p>
    <w:p w14:paraId="1582273E" w14:textId="77777777" w:rsidR="00025FEB" w:rsidRPr="00D85A4F" w:rsidRDefault="00025FEB" w:rsidP="00D25422">
      <w:pPr>
        <w:pStyle w:val="Bullet"/>
      </w:pPr>
      <w:r w:rsidRPr="00D85A4F">
        <w:t xml:space="preserve">the </w:t>
      </w:r>
      <w:r>
        <w:t>p</w:t>
      </w:r>
      <w:r w:rsidRPr="00D85A4F">
        <w:t>olice event number</w:t>
      </w:r>
    </w:p>
    <w:p w14:paraId="3D283D75" w14:textId="77777777" w:rsidR="00025FEB" w:rsidRPr="00D85A4F" w:rsidRDefault="00025FEB" w:rsidP="00D25422">
      <w:pPr>
        <w:pStyle w:val="Bullet"/>
      </w:pPr>
      <w:r>
        <w:t xml:space="preserve">the </w:t>
      </w:r>
      <w:r w:rsidRPr="00D85A4F">
        <w:t>special patient’s full name and date of birth</w:t>
      </w:r>
    </w:p>
    <w:p w14:paraId="4BCA735E" w14:textId="042B22D9" w:rsidR="00025FEB" w:rsidRPr="00D85A4F" w:rsidRDefault="00025FEB" w:rsidP="00D25422">
      <w:pPr>
        <w:pStyle w:val="Bullet"/>
      </w:pPr>
      <w:r w:rsidRPr="00D85A4F">
        <w:t>details of where and when the missing patient was located</w:t>
      </w:r>
    </w:p>
    <w:p w14:paraId="30B8AA07" w14:textId="77777777" w:rsidR="00025FEB" w:rsidRPr="00D85A4F" w:rsidRDefault="00025FEB" w:rsidP="00D25422">
      <w:pPr>
        <w:pStyle w:val="Bullet"/>
      </w:pPr>
      <w:r w:rsidRPr="00D85A4F">
        <w:t>details of the patient’s return</w:t>
      </w:r>
    </w:p>
    <w:p w14:paraId="375F8FF5" w14:textId="77777777" w:rsidR="00025FEB" w:rsidRPr="00D85A4F" w:rsidRDefault="00025FEB" w:rsidP="00D25422">
      <w:pPr>
        <w:pStyle w:val="Bullet"/>
      </w:pPr>
      <w:r w:rsidRPr="00D85A4F">
        <w:t>information that may be useful in case there is a future event.</w:t>
      </w:r>
    </w:p>
    <w:p w14:paraId="6822736E" w14:textId="77777777" w:rsidR="00025FEB" w:rsidRPr="00D85A4F" w:rsidRDefault="00025FEB" w:rsidP="00025FEB"/>
    <w:p w14:paraId="0CB34377" w14:textId="30DF1DB0" w:rsidR="00025FEB" w:rsidRPr="00D85A4F" w:rsidRDefault="00025FEB" w:rsidP="00025FEB">
      <w:r w:rsidRPr="00D85A4F">
        <w:t>The DAMHS should also inform any registered victims and the patient’s family</w:t>
      </w:r>
      <w:r w:rsidR="00F044A6">
        <w:t>/</w:t>
      </w:r>
      <w:r w:rsidRPr="00F044A6">
        <w:t>whānau</w:t>
      </w:r>
      <w:r w:rsidRPr="00D85A4F">
        <w:t xml:space="preserve"> that the patient has returned to the facility</w:t>
      </w:r>
      <w:r>
        <w:t xml:space="preserve"> and take steps to remove t</w:t>
      </w:r>
      <w:r w:rsidRPr="00D85A4F">
        <w:t>he emergency overseas border alert</w:t>
      </w:r>
      <w:r>
        <w:t xml:space="preserve"> by contacting </w:t>
      </w:r>
      <w:r w:rsidRPr="00D409D4">
        <w:t>Customs’ Integrated Targeting and Operations Centre (ITOC) on 0508 ITOC OPS (0508 4862 677)</w:t>
      </w:r>
      <w:r w:rsidRPr="00D85A4F">
        <w:t>.</w:t>
      </w:r>
    </w:p>
    <w:p w14:paraId="542FF369" w14:textId="77777777" w:rsidR="00025FEB" w:rsidRPr="00D85A4F" w:rsidRDefault="00025FEB" w:rsidP="00025FEB"/>
    <w:p w14:paraId="4E99F26A" w14:textId="77777777" w:rsidR="00025FEB" w:rsidRPr="00D85A4F" w:rsidRDefault="00025FEB" w:rsidP="00025FEB">
      <w:r w:rsidRPr="00D85A4F">
        <w:t>The Director will ensure that the Director-General and the Minister’s office are advised of the patient’s return and remove any emergency passport measures. The Director will also inform the Ministry’s media team and MFAT. If a standard overseas border alert is needed to replace an emergency alert,</w:t>
      </w:r>
      <w:r>
        <w:t xml:space="preserve"> the Office of the Director</w:t>
      </w:r>
      <w:r w:rsidRPr="00D85A4F">
        <w:t xml:space="preserve"> will place</w:t>
      </w:r>
      <w:r>
        <w:t xml:space="preserve"> it</w:t>
      </w:r>
      <w:r w:rsidRPr="00D85A4F">
        <w:t>.</w:t>
      </w:r>
    </w:p>
    <w:p w14:paraId="02F59C3C" w14:textId="77777777" w:rsidR="00025FEB" w:rsidRPr="00D85A4F" w:rsidRDefault="00025FEB" w:rsidP="00025FEB"/>
    <w:p w14:paraId="23776777" w14:textId="77777777" w:rsidR="00025FEB" w:rsidRPr="00D85A4F" w:rsidRDefault="00025FEB" w:rsidP="00025FEB">
      <w:r w:rsidRPr="00D85A4F">
        <w:t xml:space="preserve">Following the immediate response, the DAMHS should provide the Director with a reportable events form and, in due course, with the findings of </w:t>
      </w:r>
      <w:r>
        <w:t xml:space="preserve">any </w:t>
      </w:r>
      <w:r w:rsidRPr="00D85A4F">
        <w:t xml:space="preserve">internal </w:t>
      </w:r>
      <w:r>
        <w:t xml:space="preserve">or external </w:t>
      </w:r>
      <w:r w:rsidRPr="00D85A4F">
        <w:t>review</w:t>
      </w:r>
      <w:r>
        <w:t>.</w:t>
      </w:r>
      <w:r w:rsidRPr="00D85A4F">
        <w:t xml:space="preserve"> </w:t>
      </w:r>
    </w:p>
    <w:p w14:paraId="36C90684" w14:textId="77777777" w:rsidR="00025FEB" w:rsidRDefault="00025FEB" w:rsidP="00025FEB">
      <w:pPr>
        <w:sectPr w:rsidR="00025FEB" w:rsidSect="00BB4DC3">
          <w:pgSz w:w="11907" w:h="16834" w:code="9"/>
          <w:pgMar w:top="1418" w:right="1701" w:bottom="1134" w:left="1843" w:header="284" w:footer="425" w:gutter="284"/>
          <w:cols w:space="720"/>
        </w:sectPr>
      </w:pPr>
    </w:p>
    <w:p w14:paraId="590BCEF7" w14:textId="7A82BA4E" w:rsidR="00025FEB" w:rsidRPr="00D85A4F" w:rsidRDefault="00025FEB" w:rsidP="00025FEB">
      <w:pPr>
        <w:pStyle w:val="Heading1"/>
        <w:rPr>
          <w:rFonts w:eastAsia="Calibri"/>
        </w:rPr>
      </w:pPr>
      <w:bookmarkStart w:id="137" w:name="_Toc112862063"/>
      <w:bookmarkStart w:id="138" w:name="_Toc180497413"/>
      <w:r w:rsidRPr="00D85A4F">
        <w:rPr>
          <w:rFonts w:eastAsia="Calibri"/>
        </w:rPr>
        <w:t>Leave under section</w:t>
      </w:r>
      <w:r w:rsidR="00894D40">
        <w:rPr>
          <w:rFonts w:eastAsia="Calibri"/>
        </w:rPr>
        <w:t> </w:t>
      </w:r>
      <w:r w:rsidRPr="00D85A4F">
        <w:rPr>
          <w:rFonts w:eastAsia="Calibri"/>
        </w:rPr>
        <w:t>50</w:t>
      </w:r>
      <w:r w:rsidR="000F18CA">
        <w:rPr>
          <w:rFonts w:eastAsia="Calibri"/>
        </w:rPr>
        <w:t>A</w:t>
      </w:r>
      <w:r w:rsidRPr="00D85A4F">
        <w:rPr>
          <w:rFonts w:eastAsia="Calibri"/>
        </w:rPr>
        <w:t xml:space="preserve"> of the </w:t>
      </w:r>
      <w:r>
        <w:rPr>
          <w:rFonts w:eastAsia="Calibri"/>
        </w:rPr>
        <w:t>Mental Health Act</w:t>
      </w:r>
      <w:r w:rsidRPr="00D85A4F">
        <w:rPr>
          <w:rFonts w:eastAsia="Calibri"/>
        </w:rPr>
        <w:t>: ‘ministerial long leave’</w:t>
      </w:r>
      <w:bookmarkEnd w:id="137"/>
      <w:bookmarkEnd w:id="138"/>
    </w:p>
    <w:p w14:paraId="350FD1D7" w14:textId="3AA51774" w:rsidR="00025FEB" w:rsidRPr="00D85A4F" w:rsidRDefault="00025FEB" w:rsidP="00025FEB">
      <w:r w:rsidRPr="00D85A4F">
        <w:t>Section 50</w:t>
      </w:r>
      <w:r w:rsidR="000F18CA">
        <w:t>A</w:t>
      </w:r>
      <w:r w:rsidRPr="00D85A4F">
        <w:t xml:space="preserve"> of the </w:t>
      </w:r>
      <w:r>
        <w:t>Mental Health Act</w:t>
      </w:r>
      <w:r w:rsidRPr="00D85A4F">
        <w:t xml:space="preserve"> enables the Minister to grant specific periods of ‘long leave’ to persons detained in a hospital as a special patient:</w:t>
      </w:r>
    </w:p>
    <w:p w14:paraId="3AF20577" w14:textId="77777777" w:rsidR="00025FEB" w:rsidRPr="00D25422" w:rsidRDefault="00025FEB" w:rsidP="00D25422">
      <w:pPr>
        <w:pStyle w:val="Bullet"/>
      </w:pPr>
      <w:r w:rsidRPr="00D25422">
        <w:t>acquitted on account of insanity</w:t>
      </w:r>
    </w:p>
    <w:p w14:paraId="71C87055" w14:textId="77777777" w:rsidR="00025FEB" w:rsidRPr="00D25422" w:rsidRDefault="00025FEB" w:rsidP="00D25422">
      <w:pPr>
        <w:pStyle w:val="Bullet"/>
      </w:pPr>
      <w:r w:rsidRPr="00D25422">
        <w:t xml:space="preserve">pursuant to section 34(1)(a)(i) of the CP(MIP) Act </w:t>
      </w:r>
    </w:p>
    <w:p w14:paraId="318A5F5F" w14:textId="77777777" w:rsidR="00025FEB" w:rsidRPr="00D25422" w:rsidRDefault="00025FEB" w:rsidP="00D25422">
      <w:pPr>
        <w:pStyle w:val="Bullet"/>
      </w:pPr>
      <w:r w:rsidRPr="00D25422">
        <w:t>pursuant to an order made under section 45 of the Mental Health Act</w:t>
      </w:r>
    </w:p>
    <w:p w14:paraId="247987F8" w14:textId="77777777" w:rsidR="00025FEB" w:rsidRPr="00D25422" w:rsidRDefault="00025FEB" w:rsidP="00D25422">
      <w:pPr>
        <w:pStyle w:val="Bullet"/>
      </w:pPr>
      <w:r w:rsidRPr="00D25422">
        <w:t>pursuant to section 46 of the Mental Health Act.</w:t>
      </w:r>
    </w:p>
    <w:p w14:paraId="6562015E" w14:textId="77777777" w:rsidR="00025FEB" w:rsidRPr="00D85A4F" w:rsidRDefault="00025FEB" w:rsidP="00025FEB"/>
    <w:p w14:paraId="7BDB6FE7" w14:textId="164442F8" w:rsidR="00025FEB" w:rsidRPr="00D85A4F" w:rsidRDefault="00025FEB" w:rsidP="00025FEB">
      <w:r w:rsidRPr="00D85A4F">
        <w:t>Some special patients pursuant to section 45 or 46 will not be eligible for ministerial long leave under section 50</w:t>
      </w:r>
      <w:r w:rsidR="00901F25">
        <w:t>A</w:t>
      </w:r>
      <w:r w:rsidRPr="00D85A4F">
        <w:t xml:space="preserve"> of the </w:t>
      </w:r>
      <w:r>
        <w:t>Mental Health Act</w:t>
      </w:r>
      <w:r w:rsidRPr="00D85A4F">
        <w:t>. The power to grant leave under this section shall not be exercised in respect of any person who</w:t>
      </w:r>
      <w:r>
        <w:t>:</w:t>
      </w:r>
    </w:p>
    <w:p w14:paraId="2C60DB51" w14:textId="77777777" w:rsidR="00025FEB" w:rsidRPr="00D25422" w:rsidRDefault="00025FEB" w:rsidP="00D25422">
      <w:pPr>
        <w:pStyle w:val="Bullet"/>
      </w:pPr>
      <w:r w:rsidRPr="00D25422">
        <w:t>was, immediately before their admission to the hospital, detained in a prison while awaiting or during the course of a trial or hearing before any court or while awaiting sentence by any court or pending the determination of any appeal to any court against conviction</w:t>
      </w:r>
    </w:p>
    <w:p w14:paraId="1ACA8992" w14:textId="77777777" w:rsidR="00025FEB" w:rsidRPr="00D25422" w:rsidRDefault="00025FEB" w:rsidP="00D25422">
      <w:pPr>
        <w:pStyle w:val="Bullet"/>
      </w:pPr>
      <w:r w:rsidRPr="00D25422">
        <w:t xml:space="preserve">is subject to a sentence of imprisonment for life or to a sentence of preventive detention. </w:t>
      </w:r>
    </w:p>
    <w:p w14:paraId="670C6307" w14:textId="77777777" w:rsidR="00025FEB" w:rsidRPr="00D85A4F" w:rsidRDefault="00025FEB" w:rsidP="00D25422"/>
    <w:p w14:paraId="613FFE33" w14:textId="7E0460B8" w:rsidR="00025FEB" w:rsidRPr="00D85A4F" w:rsidRDefault="00025FEB" w:rsidP="00D25422">
      <w:r w:rsidRPr="00D85A4F">
        <w:t>The Minister may only grant long leave if two medical practitioners have certified that the special patient is fit to be allowed to be absent from the hospital</w:t>
      </w:r>
      <w:r w:rsidR="00930F55">
        <w:t xml:space="preserve"> and if the Director supports the proposed leave of absence, taking into account any submission from a victim made in accordance with section 50C or 50D of the Mental Health Act</w:t>
      </w:r>
      <w:r w:rsidRPr="00D85A4F">
        <w:t xml:space="preserve">. </w:t>
      </w:r>
    </w:p>
    <w:p w14:paraId="6F07D1A0" w14:textId="77777777" w:rsidR="00025FEB" w:rsidRPr="00D85A4F" w:rsidRDefault="00025FEB" w:rsidP="00D25422"/>
    <w:p w14:paraId="1A01E4EF" w14:textId="77777777" w:rsidR="00025FEB" w:rsidRPr="00D85A4F" w:rsidRDefault="00025FEB" w:rsidP="00D25422">
      <w:r w:rsidRPr="00D85A4F">
        <w:t xml:space="preserve">The </w:t>
      </w:r>
      <w:r>
        <w:t xml:space="preserve">most recent SPRP report should identify the </w:t>
      </w:r>
      <w:r w:rsidRPr="00D85A4F">
        <w:t xml:space="preserve">patient’s suitability for long leave. </w:t>
      </w:r>
    </w:p>
    <w:p w14:paraId="55B85766" w14:textId="77777777" w:rsidR="00025FEB" w:rsidRPr="00D85A4F" w:rsidRDefault="00025FEB" w:rsidP="00D25422"/>
    <w:p w14:paraId="1BFDD533" w14:textId="6941CFE6" w:rsidR="00025FEB" w:rsidRPr="00D85A4F" w:rsidRDefault="00025FEB" w:rsidP="00D25422">
      <w:r w:rsidRPr="00D85A4F">
        <w:t xml:space="preserve">The Minister may grant long leave on such conditions as </w:t>
      </w:r>
      <w:r>
        <w:t xml:space="preserve">they </w:t>
      </w:r>
      <w:r w:rsidR="00C75FCB">
        <w:t>consider appropriate</w:t>
      </w:r>
      <w:r w:rsidRPr="00D85A4F">
        <w:t xml:space="preserve">, including (at the </w:t>
      </w:r>
      <w:r w:rsidR="005F1C75">
        <w:t>M</w:t>
      </w:r>
      <w:r w:rsidRPr="00D85A4F">
        <w:t xml:space="preserve">inister's discretion) a condition that the person </w:t>
      </w:r>
      <w:r w:rsidR="00C75FCB">
        <w:t>must</w:t>
      </w:r>
      <w:r w:rsidRPr="00D85A4F">
        <w:t xml:space="preserve"> return to the hospital on </w:t>
      </w:r>
      <w:r w:rsidR="00C75FCB">
        <w:t>the</w:t>
      </w:r>
      <w:r w:rsidRPr="00D85A4F">
        <w:t xml:space="preserve"> date or within </w:t>
      </w:r>
      <w:r w:rsidR="00C75FCB">
        <w:t>the</w:t>
      </w:r>
      <w:r w:rsidRPr="00D85A4F">
        <w:t xml:space="preserve"> period </w:t>
      </w:r>
      <w:r w:rsidR="00C75FCB">
        <w:t>that</w:t>
      </w:r>
      <w:r w:rsidRPr="00D85A4F">
        <w:t xml:space="preserve"> the Minister </w:t>
      </w:r>
      <w:r w:rsidR="00C75FCB">
        <w:t>specifies.</w:t>
      </w:r>
    </w:p>
    <w:p w14:paraId="73E8C3A4" w14:textId="77777777" w:rsidR="00025FEB" w:rsidRPr="00D85A4F" w:rsidRDefault="00025FEB" w:rsidP="00D25422">
      <w:pPr>
        <w:rPr>
          <w:color w:val="000000"/>
          <w:sz w:val="25"/>
          <w:szCs w:val="25"/>
          <w:shd w:val="clear" w:color="auto" w:fill="FFFFFF"/>
        </w:rPr>
      </w:pPr>
    </w:p>
    <w:p w14:paraId="43A65AAC" w14:textId="3460515C" w:rsidR="00025FEB" w:rsidRPr="00D85A4F" w:rsidRDefault="00025FEB" w:rsidP="00D25422">
      <w:r w:rsidRPr="00D85A4F">
        <w:t>Special patients on remand are not eligible for long leave (section 50</w:t>
      </w:r>
      <w:r w:rsidR="00930F55">
        <w:t>A(3)</w:t>
      </w:r>
      <w:r w:rsidRPr="00D85A4F">
        <w:t xml:space="preserve"> </w:t>
      </w:r>
      <w:r>
        <w:t>of the Mental Health Act</w:t>
      </w:r>
      <w:r w:rsidRPr="00D85A4F">
        <w:t>).</w:t>
      </w:r>
    </w:p>
    <w:p w14:paraId="5FF14822" w14:textId="77777777" w:rsidR="00025FEB" w:rsidRPr="00D85A4F" w:rsidRDefault="00025FEB" w:rsidP="00D25422"/>
    <w:p w14:paraId="46691D6A" w14:textId="2436D792" w:rsidR="00025FEB" w:rsidRPr="00D85A4F" w:rsidRDefault="00025FEB" w:rsidP="00D25422">
      <w:r w:rsidRPr="00D85A4F">
        <w:t xml:space="preserve">The conditions </w:t>
      </w:r>
      <w:r w:rsidRPr="00BB563B">
        <w:t>imposed by the</w:t>
      </w:r>
      <w:r w:rsidRPr="00D85A4F">
        <w:t xml:space="preserve"> Minister on special patients granted ministerial long leave have tended to be somewhat generic. In seeking ministerial long leave</w:t>
      </w:r>
      <w:r>
        <w:t>,</w:t>
      </w:r>
      <w:r w:rsidRPr="00D85A4F">
        <w:t xml:space="preserve"> it may be of value to the patient and their responsible clinician </w:t>
      </w:r>
      <w:r>
        <w:t xml:space="preserve">if the application for leave </w:t>
      </w:r>
      <w:r w:rsidR="006937AD">
        <w:t>suggests</w:t>
      </w:r>
      <w:r w:rsidRPr="00D85A4F">
        <w:t xml:space="preserve"> </w:t>
      </w:r>
      <w:r>
        <w:t xml:space="preserve">specific </w:t>
      </w:r>
      <w:r w:rsidRPr="00D85A4F">
        <w:t>conditions that are relevant to the individual patient (</w:t>
      </w:r>
      <w:r w:rsidR="00293669">
        <w:t>eg</w:t>
      </w:r>
      <w:r w:rsidRPr="00D85A4F">
        <w:t>, contact with victims).</w:t>
      </w:r>
      <w:r>
        <w:t xml:space="preserve"> The responsible clinician should inform the patient about the conditions prior to </w:t>
      </w:r>
      <w:r w:rsidR="00BB563B">
        <w:t xml:space="preserve">the patient </w:t>
      </w:r>
      <w:r>
        <w:t xml:space="preserve">beginning their leave (ideally in writing).  </w:t>
      </w:r>
    </w:p>
    <w:p w14:paraId="499A35E9" w14:textId="77777777" w:rsidR="00025FEB" w:rsidRPr="00D85A4F" w:rsidRDefault="00025FEB" w:rsidP="00025FEB"/>
    <w:p w14:paraId="3C1313A5" w14:textId="5E7FD115" w:rsidR="00025FEB" w:rsidRPr="00D85A4F" w:rsidRDefault="00025FEB" w:rsidP="00300B55">
      <w:pPr>
        <w:pStyle w:val="Table"/>
      </w:pPr>
      <w:bookmarkStart w:id="139" w:name="_Toc445803206"/>
      <w:bookmarkStart w:id="140" w:name="_Toc83191233"/>
      <w:bookmarkStart w:id="141" w:name="_Toc111810263"/>
      <w:bookmarkStart w:id="142" w:name="_Toc112861581"/>
      <w:bookmarkStart w:id="143" w:name="_Toc180593115"/>
      <w:r>
        <w:t xml:space="preserve">Table </w:t>
      </w:r>
      <w:r>
        <w:fldChar w:fldCharType="begin"/>
      </w:r>
      <w:r>
        <w:instrText>SEQ Table \* ARABIC</w:instrText>
      </w:r>
      <w:r>
        <w:fldChar w:fldCharType="separate"/>
      </w:r>
      <w:r w:rsidR="00411DF3">
        <w:rPr>
          <w:noProof/>
        </w:rPr>
        <w:t>8</w:t>
      </w:r>
      <w:r>
        <w:fldChar w:fldCharType="end"/>
      </w:r>
      <w:r>
        <w:t xml:space="preserve">: </w:t>
      </w:r>
      <w:r w:rsidRPr="00D85A4F">
        <w:t>Information in support of applications for ministerial long leave</w:t>
      </w:r>
      <w:bookmarkEnd w:id="139"/>
      <w:bookmarkEnd w:id="140"/>
      <w:bookmarkEnd w:id="141"/>
      <w:bookmarkEnd w:id="142"/>
      <w:bookmarkEnd w:id="143"/>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139F3A71"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42E57F47"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79509491" w14:textId="77777777" w:rsidR="00025FEB" w:rsidRPr="00D85A4F" w:rsidRDefault="00025FEB" w:rsidP="00BB4DC3">
            <w:pPr>
              <w:pStyle w:val="TableText"/>
            </w:pPr>
            <w:r w:rsidRPr="00D85A4F">
              <w:t>A letter from the responsible clinician, including:</w:t>
            </w:r>
          </w:p>
          <w:p w14:paraId="23606D59" w14:textId="77777777" w:rsidR="00025FEB" w:rsidRPr="00D25422" w:rsidRDefault="00025FEB" w:rsidP="00D25422">
            <w:pPr>
              <w:pStyle w:val="TableBullet"/>
            </w:pPr>
            <w:r w:rsidRPr="00D25422">
              <w:t>the patient’s legal status</w:t>
            </w:r>
          </w:p>
          <w:p w14:paraId="454FADBF" w14:textId="77777777" w:rsidR="00025FEB" w:rsidRPr="00D25422" w:rsidRDefault="00025FEB" w:rsidP="00D25422">
            <w:pPr>
              <w:pStyle w:val="TableBullet"/>
            </w:pPr>
            <w:r w:rsidRPr="00D25422">
              <w:t>a current mental state assessment, including compliance with treatment</w:t>
            </w:r>
          </w:p>
          <w:p w14:paraId="1CC95DFE" w14:textId="77777777" w:rsidR="00025FEB" w:rsidRPr="00D25422" w:rsidRDefault="00025FEB" w:rsidP="00D25422">
            <w:pPr>
              <w:pStyle w:val="TableBullet"/>
            </w:pPr>
            <w:r w:rsidRPr="00D25422">
              <w:t>justification of the leave request</w:t>
            </w:r>
          </w:p>
          <w:p w14:paraId="7427986F" w14:textId="57A73405" w:rsidR="00025FEB" w:rsidRPr="00D25422" w:rsidRDefault="00025FEB" w:rsidP="00D25422">
            <w:pPr>
              <w:pStyle w:val="TableBullet"/>
            </w:pPr>
            <w:r w:rsidRPr="00D25422">
              <w:t xml:space="preserve">a risk assessment and management plan for the patient while </w:t>
            </w:r>
            <w:r w:rsidR="00985522" w:rsidRPr="00D25422">
              <w:t xml:space="preserve">they are </w:t>
            </w:r>
            <w:r w:rsidRPr="00D25422">
              <w:t xml:space="preserve">on leave, including </w:t>
            </w:r>
            <w:r w:rsidR="0040588C" w:rsidRPr="00D25422">
              <w:t xml:space="preserve">in regard to </w:t>
            </w:r>
            <w:r w:rsidRPr="00D25422">
              <w:t>flight risk</w:t>
            </w:r>
          </w:p>
          <w:p w14:paraId="2E0FDF40" w14:textId="77777777" w:rsidR="00025FEB" w:rsidRPr="00D25422" w:rsidRDefault="00025FEB" w:rsidP="00D25422">
            <w:pPr>
              <w:pStyle w:val="TableBullet"/>
            </w:pPr>
            <w:r w:rsidRPr="00D25422">
              <w:t xml:space="preserve">an overview of the patient’s recovery plan </w:t>
            </w:r>
          </w:p>
          <w:p w14:paraId="31F456B8" w14:textId="271ABD5C" w:rsidR="00025FEB" w:rsidRPr="00D25422" w:rsidRDefault="00025FEB" w:rsidP="00D25422">
            <w:pPr>
              <w:pStyle w:val="TableBullet"/>
            </w:pPr>
            <w:r w:rsidRPr="00D25422">
              <w:t xml:space="preserve">advice of any critical incidents, including possession of weapons, drugs or other prohibited material, and management of </w:t>
            </w:r>
            <w:r w:rsidR="00AF06AA" w:rsidRPr="00D25422">
              <w:t xml:space="preserve">those </w:t>
            </w:r>
            <w:r w:rsidRPr="00D25422">
              <w:t>incident</w:t>
            </w:r>
            <w:r w:rsidR="00AF06AA" w:rsidRPr="00D25422">
              <w:t>s</w:t>
            </w:r>
          </w:p>
          <w:p w14:paraId="05AF9ABA" w14:textId="77777777" w:rsidR="00025FEB" w:rsidRPr="00D25422" w:rsidRDefault="00025FEB" w:rsidP="00D25422">
            <w:pPr>
              <w:pStyle w:val="TableBullet"/>
            </w:pPr>
            <w:r w:rsidRPr="00D25422">
              <w:t>advice on whether the patient has used or is likely to use psychoactive substances</w:t>
            </w:r>
          </w:p>
          <w:p w14:paraId="3CCF88CB" w14:textId="77777777" w:rsidR="00025FEB" w:rsidRPr="00D25422" w:rsidRDefault="00025FEB" w:rsidP="00D25422">
            <w:pPr>
              <w:pStyle w:val="TableBullet"/>
            </w:pPr>
            <w:r w:rsidRPr="00D25422">
              <w:t>the proposed conditions of leave</w:t>
            </w:r>
          </w:p>
          <w:p w14:paraId="00BFA892" w14:textId="48E1DDD8" w:rsidR="00025FEB" w:rsidRPr="00D25422" w:rsidRDefault="00025FEB" w:rsidP="00D25422">
            <w:pPr>
              <w:pStyle w:val="TableBullet"/>
            </w:pPr>
            <w:r w:rsidRPr="00D25422">
              <w:t>a certificate, signed by two medical practitioners, stating that the patient is fit to be allowed to be absent from hospital (section 50</w:t>
            </w:r>
            <w:r w:rsidR="00DF7186" w:rsidRPr="00D25422">
              <w:t>A</w:t>
            </w:r>
            <w:r w:rsidRPr="00D25422">
              <w:t>(1)</w:t>
            </w:r>
            <w:r w:rsidR="00C63C44" w:rsidRPr="00D25422">
              <w:t>(a)</w:t>
            </w:r>
            <w:r w:rsidRPr="00D25422">
              <w:t xml:space="preserve"> of the Mental Health Act)</w:t>
            </w:r>
          </w:p>
          <w:p w14:paraId="53B28DD4" w14:textId="77777777" w:rsidR="00025FEB" w:rsidRPr="00D25422" w:rsidRDefault="00025FEB" w:rsidP="00D25422">
            <w:pPr>
              <w:pStyle w:val="TableBullet"/>
            </w:pPr>
            <w:r w:rsidRPr="00D25422">
              <w:t xml:space="preserve">a second opinion (or a recent SPRP report) supporting the leave </w:t>
            </w:r>
          </w:p>
          <w:p w14:paraId="03F7DEFA" w14:textId="77777777" w:rsidR="00025FEB" w:rsidRPr="00D25422" w:rsidRDefault="00025FEB" w:rsidP="00D25422">
            <w:pPr>
              <w:pStyle w:val="TableBullet"/>
            </w:pPr>
            <w:r w:rsidRPr="00D25422">
              <w:t>an indication of support from the DAMHS for the proposed leave</w:t>
            </w:r>
          </w:p>
          <w:p w14:paraId="5731DD68" w14:textId="58B4C398" w:rsidR="00025FEB" w:rsidRPr="00D25422" w:rsidRDefault="00025FEB" w:rsidP="00D25422">
            <w:pPr>
              <w:pStyle w:val="TableBullet"/>
            </w:pPr>
            <w:r w:rsidRPr="00D25422">
              <w:t>comment on matters concerning the offending (</w:t>
            </w:r>
            <w:r w:rsidR="00293669" w:rsidRPr="00D25422">
              <w:t>eg</w:t>
            </w:r>
            <w:r w:rsidRPr="00D25422">
              <w:t>, insight into the offending, relationship with victims)</w:t>
            </w:r>
          </w:p>
          <w:p w14:paraId="2F07CEA7" w14:textId="77777777" w:rsidR="00025FEB" w:rsidRPr="00D25422" w:rsidRDefault="00025FEB" w:rsidP="00D25422">
            <w:pPr>
              <w:pStyle w:val="TableBullet"/>
            </w:pPr>
            <w:r w:rsidRPr="00D25422">
              <w:t>comment on matters relating to the risk presented by the patient, particularly in relation to victims of previous offending</w:t>
            </w:r>
          </w:p>
          <w:p w14:paraId="598F9769" w14:textId="315DDEEF" w:rsidR="00025FEB" w:rsidRPr="00D25422" w:rsidRDefault="00AF5230" w:rsidP="00D25422">
            <w:pPr>
              <w:pStyle w:val="TableBullet"/>
            </w:pPr>
            <w:r w:rsidRPr="00D25422">
              <w:t xml:space="preserve">comment on </w:t>
            </w:r>
            <w:r w:rsidR="00025FEB" w:rsidRPr="00D25422">
              <w:t xml:space="preserve">what </w:t>
            </w:r>
            <w:r w:rsidR="00F044A6" w:rsidRPr="00D25422">
              <w:t>family/</w:t>
            </w:r>
            <w:r w:rsidR="00025FEB" w:rsidRPr="00D25422">
              <w:t>whānau support is available</w:t>
            </w:r>
          </w:p>
          <w:p w14:paraId="09015825" w14:textId="06F99BF5" w:rsidR="00025FEB" w:rsidRPr="00D25422" w:rsidRDefault="00025FEB" w:rsidP="00D25422">
            <w:pPr>
              <w:pStyle w:val="TableBullet"/>
            </w:pPr>
            <w:r w:rsidRPr="00D25422">
              <w:t>consideration of the needs of children or other vulnerable people in the household if the patient will be with family while on leave (particularly if the index offence took place within the family).</w:t>
            </w:r>
          </w:p>
        </w:tc>
      </w:tr>
    </w:tbl>
    <w:p w14:paraId="5E91C0F7" w14:textId="77777777" w:rsidR="00025FEB" w:rsidRDefault="00025FEB" w:rsidP="00D25422"/>
    <w:p w14:paraId="0DA262EA" w14:textId="77777777" w:rsidR="00BB1189" w:rsidRDefault="00BB1189" w:rsidP="00D25422">
      <w:pPr>
        <w:rPr>
          <w:rFonts w:eastAsia="Lucida Sans Unicode" w:hAnsi="Lucida Sans Unicode" w:cs="Lucida Sans Unicode"/>
        </w:rPr>
      </w:pPr>
      <w:r w:rsidRPr="006454DE">
        <w:rPr>
          <w:rFonts w:eastAsia="Lucida Sans Unicode" w:hAnsi="Lucida Sans Unicode" w:cs="Lucida Sans Unicode"/>
        </w:rPr>
        <w:t>Incomplete information will result in delay in providing a report to the Minister.</w:t>
      </w:r>
    </w:p>
    <w:p w14:paraId="3BC9E08F" w14:textId="77777777" w:rsidR="00D25422" w:rsidRDefault="00025FEB" w:rsidP="00D25422">
      <w:pPr>
        <w:sectPr w:rsidR="00D25422" w:rsidSect="00BB4DC3">
          <w:pgSz w:w="11907" w:h="16834" w:code="9"/>
          <w:pgMar w:top="1418" w:right="1701" w:bottom="1134" w:left="1843" w:header="284" w:footer="425" w:gutter="284"/>
          <w:cols w:space="720"/>
        </w:sectPr>
      </w:pPr>
      <w:r w:rsidRPr="00D85A4F">
        <w:t>The DAMHS should inform the Office of the Director of issues arising throughout the period of ministerial long leave, particularly where those issues concern compliance with leave conditions, or the safety of the patient or others.</w:t>
      </w:r>
    </w:p>
    <w:p w14:paraId="46D03BE5" w14:textId="77777777" w:rsidR="00025FEB" w:rsidRPr="00D85A4F" w:rsidRDefault="00025FEB" w:rsidP="00D25422">
      <w:pPr>
        <w:pStyle w:val="Heading2"/>
        <w:spacing w:before="0"/>
      </w:pPr>
      <w:bookmarkStart w:id="144" w:name="_Toc377543398"/>
      <w:bookmarkStart w:id="145" w:name="_Toc441658594"/>
      <w:bookmarkStart w:id="146" w:name="_Toc83197075"/>
      <w:bookmarkStart w:id="147" w:name="_Toc112845460"/>
      <w:bookmarkStart w:id="148" w:name="_Toc112862064"/>
      <w:bookmarkStart w:id="149" w:name="_Toc180497414"/>
      <w:r w:rsidRPr="00D85A4F">
        <w:t>Extension of leave (re-application)</w:t>
      </w:r>
      <w:bookmarkEnd w:id="144"/>
      <w:bookmarkEnd w:id="145"/>
      <w:bookmarkEnd w:id="146"/>
      <w:bookmarkEnd w:id="147"/>
      <w:bookmarkEnd w:id="148"/>
      <w:bookmarkEnd w:id="149"/>
    </w:p>
    <w:p w14:paraId="3D96A951" w14:textId="77777777" w:rsidR="00025FEB" w:rsidRDefault="00025FEB" w:rsidP="00025FEB">
      <w:pPr>
        <w:keepNext/>
      </w:pPr>
      <w:r w:rsidRPr="00D85A4F">
        <w:t>The first period of ministerial long leave is usually six months</w:t>
      </w:r>
      <w:r>
        <w:t>;</w:t>
      </w:r>
      <w:r w:rsidRPr="00D85A4F">
        <w:t xml:space="preserve"> subsequent </w:t>
      </w:r>
      <w:r>
        <w:t xml:space="preserve">extension periods are for </w:t>
      </w:r>
      <w:r w:rsidRPr="00D85A4F">
        <w:t>six or 12</w:t>
      </w:r>
      <w:r>
        <w:t> </w:t>
      </w:r>
      <w:r w:rsidRPr="00D85A4F">
        <w:t>month</w:t>
      </w:r>
      <w:r>
        <w:t>s</w:t>
      </w:r>
      <w:r w:rsidRPr="00D85A4F">
        <w:t xml:space="preserve">. Special patients may be granted several consecutive periods of ministerial long leave. </w:t>
      </w:r>
      <w:r>
        <w:t xml:space="preserve">The </w:t>
      </w:r>
      <w:r w:rsidRPr="00D85A4F">
        <w:t>DAMHS should make an application to the Ministry at least six weeks before the current period of leave expires.</w:t>
      </w:r>
    </w:p>
    <w:p w14:paraId="57EA5C32" w14:textId="77777777" w:rsidR="00025FEB" w:rsidRPr="00D85A4F" w:rsidRDefault="00025FEB" w:rsidP="00025FEB">
      <w:pPr>
        <w:keepNext/>
      </w:pPr>
    </w:p>
    <w:p w14:paraId="54DFC6D9" w14:textId="704D6BD7" w:rsidR="00025FEB" w:rsidRPr="00D25422" w:rsidRDefault="00025FEB" w:rsidP="00300B55">
      <w:pPr>
        <w:pStyle w:val="Table"/>
      </w:pPr>
      <w:bookmarkStart w:id="150" w:name="_Toc112861582"/>
      <w:bookmarkStart w:id="151" w:name="_Toc180593116"/>
      <w:r w:rsidRPr="00D25422">
        <w:t xml:space="preserve">Table </w:t>
      </w:r>
      <w:r w:rsidRPr="00D25422">
        <w:fldChar w:fldCharType="begin"/>
      </w:r>
      <w:r w:rsidRPr="00D25422">
        <w:instrText>SEQ Table \* ARABIC</w:instrText>
      </w:r>
      <w:r w:rsidRPr="00D25422">
        <w:fldChar w:fldCharType="separate"/>
      </w:r>
      <w:r w:rsidR="00411DF3">
        <w:rPr>
          <w:noProof/>
        </w:rPr>
        <w:t>9</w:t>
      </w:r>
      <w:r w:rsidRPr="00D25422">
        <w:fldChar w:fldCharType="end"/>
      </w:r>
      <w:r w:rsidRPr="00D25422">
        <w:t>: Information in support of extension of leave</w:t>
      </w:r>
      <w:bookmarkEnd w:id="150"/>
      <w:bookmarkEnd w:id="151"/>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7455AB53"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27DC671F"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4D6CE681" w14:textId="77777777" w:rsidR="00025FEB" w:rsidRPr="00D85A4F" w:rsidRDefault="00025FEB" w:rsidP="00BB4DC3">
            <w:pPr>
              <w:pStyle w:val="TableText"/>
            </w:pPr>
            <w:r w:rsidRPr="00D85A4F">
              <w:t>A letter from the responsible clinician, including:</w:t>
            </w:r>
          </w:p>
          <w:p w14:paraId="65D3BF53" w14:textId="77777777" w:rsidR="00025FEB" w:rsidRPr="00D25422" w:rsidRDefault="00025FEB" w:rsidP="00D25422">
            <w:pPr>
              <w:pStyle w:val="TableBullet"/>
            </w:pPr>
            <w:r w:rsidRPr="00D25422">
              <w:t>a current mental state assessment, including compliance with treatment</w:t>
            </w:r>
          </w:p>
          <w:p w14:paraId="075FB28A" w14:textId="77777777" w:rsidR="00025FEB" w:rsidRPr="00D25422" w:rsidRDefault="00025FEB" w:rsidP="00D25422">
            <w:pPr>
              <w:pStyle w:val="TableBullet"/>
            </w:pPr>
            <w:r w:rsidRPr="00D25422">
              <w:t>the justification for extending the leave</w:t>
            </w:r>
          </w:p>
          <w:p w14:paraId="7D51145F" w14:textId="58E17C93" w:rsidR="00025FEB" w:rsidRPr="00D25422" w:rsidRDefault="00025FEB" w:rsidP="00D25422">
            <w:pPr>
              <w:pStyle w:val="TableBullet"/>
            </w:pPr>
            <w:r w:rsidRPr="00D25422">
              <w:t>a summary of progress while on leave, including any concerns that have arisen during leave (</w:t>
            </w:r>
            <w:r w:rsidR="00AA644E" w:rsidRPr="00D25422">
              <w:t>eg</w:t>
            </w:r>
            <w:r w:rsidRPr="00D25422">
              <w:t>, compliance with medication) and how these have been managed</w:t>
            </w:r>
          </w:p>
          <w:p w14:paraId="2A878237" w14:textId="76CB3550" w:rsidR="00025FEB" w:rsidRPr="00D25422" w:rsidRDefault="00025FEB" w:rsidP="00D25422">
            <w:pPr>
              <w:pStyle w:val="TableBullet"/>
            </w:pPr>
            <w:r w:rsidRPr="00D25422">
              <w:t xml:space="preserve">a risk assessment and management plan for the patient while </w:t>
            </w:r>
            <w:r w:rsidR="008B1ECA" w:rsidRPr="00D25422">
              <w:t xml:space="preserve">they are </w:t>
            </w:r>
            <w:r w:rsidRPr="00D25422">
              <w:t xml:space="preserve">on leave, including </w:t>
            </w:r>
            <w:r w:rsidR="008B1ECA" w:rsidRPr="00D25422">
              <w:t xml:space="preserve">in regard to </w:t>
            </w:r>
            <w:r w:rsidRPr="00D25422">
              <w:t>flight risk</w:t>
            </w:r>
          </w:p>
          <w:p w14:paraId="2B9B3BA4" w14:textId="77777777" w:rsidR="00025FEB" w:rsidRPr="00D25422" w:rsidRDefault="00025FEB" w:rsidP="00D25422">
            <w:pPr>
              <w:pStyle w:val="TableBullet"/>
            </w:pPr>
            <w:r w:rsidRPr="00D25422">
              <w:t>an overview of the patient’s recovery plan</w:t>
            </w:r>
          </w:p>
          <w:p w14:paraId="7D4BDD3D" w14:textId="77777777" w:rsidR="00025FEB" w:rsidRPr="00D25422" w:rsidRDefault="00025FEB" w:rsidP="00D25422">
            <w:pPr>
              <w:pStyle w:val="TableBullet"/>
            </w:pPr>
            <w:r w:rsidRPr="00D25422">
              <w:t>advice on whether the patient has used or is likely to use psychoactive substances</w:t>
            </w:r>
          </w:p>
          <w:p w14:paraId="6273651E" w14:textId="6D02AF8F" w:rsidR="00025FEB" w:rsidRPr="00D25422" w:rsidRDefault="00025FEB" w:rsidP="00D25422">
            <w:pPr>
              <w:pStyle w:val="TableBullet"/>
            </w:pPr>
            <w:r w:rsidRPr="00D25422">
              <w:t xml:space="preserve">advice of any critical incidents, including possession of weapons, drugs or other prohibited material, and management of </w:t>
            </w:r>
            <w:r w:rsidR="00AF06AA" w:rsidRPr="00D25422">
              <w:t xml:space="preserve">those </w:t>
            </w:r>
            <w:r w:rsidRPr="00D25422">
              <w:t>incident</w:t>
            </w:r>
            <w:r w:rsidR="00AF06AA" w:rsidRPr="00D25422">
              <w:t>s</w:t>
            </w:r>
          </w:p>
          <w:p w14:paraId="7FFB28C1" w14:textId="77777777" w:rsidR="00025FEB" w:rsidRPr="00D25422" w:rsidRDefault="00025FEB" w:rsidP="00D25422">
            <w:pPr>
              <w:pStyle w:val="TableBullet"/>
            </w:pPr>
            <w:r w:rsidRPr="00D25422">
              <w:t>any proposed changes to the conditions of leave</w:t>
            </w:r>
          </w:p>
          <w:p w14:paraId="615773CA" w14:textId="6730E378" w:rsidR="00025FEB" w:rsidRPr="00D25422" w:rsidRDefault="00025FEB" w:rsidP="00D25422">
            <w:pPr>
              <w:pStyle w:val="TableBullet"/>
            </w:pPr>
            <w:r w:rsidRPr="00D25422">
              <w:t>a certificate, signed by two medical practitioners, stating that the patient is fit to be allowed to be absent from hospital (section 50</w:t>
            </w:r>
            <w:r w:rsidR="00C63C44" w:rsidRPr="00D25422">
              <w:t>A</w:t>
            </w:r>
            <w:r w:rsidRPr="00D25422">
              <w:t>(1)</w:t>
            </w:r>
            <w:r w:rsidR="00C63C44" w:rsidRPr="00D25422">
              <w:t>(a)</w:t>
            </w:r>
            <w:r w:rsidRPr="00D25422">
              <w:t xml:space="preserve"> of the Mental Health Act)</w:t>
            </w:r>
          </w:p>
          <w:p w14:paraId="7301FA00" w14:textId="77777777" w:rsidR="00025FEB" w:rsidRPr="00D25422" w:rsidRDefault="00025FEB" w:rsidP="00D25422">
            <w:pPr>
              <w:pStyle w:val="TableBullet"/>
            </w:pPr>
            <w:r w:rsidRPr="00D25422">
              <w:t xml:space="preserve">a second opinion (or a recent SPRP report) supporting the leave </w:t>
            </w:r>
          </w:p>
          <w:p w14:paraId="2DE0C83D" w14:textId="77777777" w:rsidR="00025FEB" w:rsidRPr="00D25422" w:rsidRDefault="00025FEB" w:rsidP="00D25422">
            <w:pPr>
              <w:pStyle w:val="TableBullet"/>
            </w:pPr>
            <w:r w:rsidRPr="00D25422">
              <w:t>an indication of support from the DAMHS for the proposed leave</w:t>
            </w:r>
          </w:p>
          <w:p w14:paraId="236E97EA" w14:textId="1B15F6BD" w:rsidR="00025FEB" w:rsidRPr="00D25422" w:rsidRDefault="00025FEB" w:rsidP="00D25422">
            <w:pPr>
              <w:pStyle w:val="TableBullet"/>
            </w:pPr>
            <w:r w:rsidRPr="00D25422">
              <w:t>comment on matters concerning the offending (</w:t>
            </w:r>
            <w:r w:rsidR="00AA644E" w:rsidRPr="00D25422">
              <w:t>eg</w:t>
            </w:r>
            <w:r w:rsidRPr="00D25422">
              <w:t>, insight into the offending, relationship with victims)</w:t>
            </w:r>
          </w:p>
          <w:p w14:paraId="64C6B7FC" w14:textId="77777777" w:rsidR="00025FEB" w:rsidRPr="00D25422" w:rsidRDefault="00025FEB" w:rsidP="00D25422">
            <w:pPr>
              <w:pStyle w:val="TableBullet"/>
            </w:pPr>
            <w:r w:rsidRPr="00D25422">
              <w:t>comment on matters relating to the risk presented by the patient, particularly in relation to victims of previous offending</w:t>
            </w:r>
          </w:p>
          <w:p w14:paraId="368D1F6E" w14:textId="08B2C4AA" w:rsidR="00025FEB" w:rsidRPr="00D25422" w:rsidRDefault="00854D52" w:rsidP="00D25422">
            <w:pPr>
              <w:pStyle w:val="TableBullet"/>
            </w:pPr>
            <w:r w:rsidRPr="00D25422">
              <w:t xml:space="preserve">comment on </w:t>
            </w:r>
            <w:r w:rsidR="00025FEB" w:rsidRPr="00D25422">
              <w:t xml:space="preserve">what </w:t>
            </w:r>
            <w:r w:rsidR="00F044A6" w:rsidRPr="00D25422">
              <w:t>family/</w:t>
            </w:r>
            <w:r w:rsidR="00025FEB" w:rsidRPr="00D25422">
              <w:t>whānau support is available</w:t>
            </w:r>
          </w:p>
          <w:p w14:paraId="5EFB937A" w14:textId="34A778D1" w:rsidR="00025FEB" w:rsidRPr="006454DE" w:rsidRDefault="00025FEB" w:rsidP="00D25422">
            <w:pPr>
              <w:pStyle w:val="TableBullet"/>
            </w:pPr>
            <w:r w:rsidRPr="00D25422">
              <w:t>consideration of the needs of children or other vulnerable people in the household if the patient will be with family while on leave (particularly if the index offence took place within the family)</w:t>
            </w:r>
          </w:p>
        </w:tc>
      </w:tr>
      <w:tr w:rsidR="00025FEB" w:rsidRPr="00DC20BD" w14:paraId="41053C37"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159A8099"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6344215B" w14:textId="5ECD003F" w:rsidR="00025FEB" w:rsidRPr="00D85A4F" w:rsidRDefault="00025FEB" w:rsidP="00BB4DC3">
            <w:pPr>
              <w:pStyle w:val="TableText"/>
            </w:pPr>
            <w:r>
              <w:t xml:space="preserve">The </w:t>
            </w:r>
            <w:r w:rsidRPr="00D85A4F">
              <w:t xml:space="preserve">DAMHS </w:t>
            </w:r>
            <w:r>
              <w:t xml:space="preserve">must </w:t>
            </w:r>
            <w:r w:rsidRPr="00D85A4F">
              <w:t xml:space="preserve">request an extension of ministerial long leave at least </w:t>
            </w:r>
            <w:r w:rsidR="00361C17">
              <w:t xml:space="preserve">six </w:t>
            </w:r>
            <w:r w:rsidRPr="00D85A4F">
              <w:t>weeks prior to the expiry date.</w:t>
            </w:r>
            <w:r w:rsidR="000F18CA">
              <w:t xml:space="preserve"> If there are registered victims, DAMHS must allow 14 days for registered victims to make a submission</w:t>
            </w:r>
            <w:r w:rsidR="002F5502">
              <w:t>;</w:t>
            </w:r>
            <w:r w:rsidR="000F18CA">
              <w:t xml:space="preserve"> therefore</w:t>
            </w:r>
            <w:r w:rsidR="002F5502">
              <w:t>,</w:t>
            </w:r>
            <w:r w:rsidR="000F18CA">
              <w:t xml:space="preserve"> the registered victim must be notified </w:t>
            </w:r>
            <w:r w:rsidR="002F5502">
              <w:t xml:space="preserve">eight </w:t>
            </w:r>
            <w:r w:rsidR="000F18CA">
              <w:t>weeks prior to the expiry date.</w:t>
            </w:r>
          </w:p>
          <w:p w14:paraId="47C08D9B" w14:textId="1B20F790" w:rsidR="00025FEB" w:rsidRPr="00D85A4F" w:rsidRDefault="00025FEB" w:rsidP="00BB4DC3">
            <w:pPr>
              <w:pStyle w:val="TableText"/>
            </w:pPr>
            <w:r w:rsidRPr="00D85A4F">
              <w:t>Incomplete information will result in delay in providing a report to the Minister and may lead to the patient’s section 50</w:t>
            </w:r>
            <w:r w:rsidR="000F18CA">
              <w:t>A</w:t>
            </w:r>
            <w:r w:rsidRPr="00D85A4F">
              <w:t xml:space="preserve"> leave expiring.</w:t>
            </w:r>
          </w:p>
        </w:tc>
      </w:tr>
    </w:tbl>
    <w:p w14:paraId="4023B26C" w14:textId="77777777" w:rsidR="00025FEB" w:rsidRPr="00D85A4F" w:rsidRDefault="00025FEB" w:rsidP="00025FEB">
      <w:pPr>
        <w:pStyle w:val="Heading2"/>
      </w:pPr>
      <w:bookmarkStart w:id="152" w:name="_Toc377543399"/>
      <w:bookmarkStart w:id="153" w:name="_Toc441658595"/>
      <w:bookmarkStart w:id="154" w:name="_Toc83197076"/>
      <w:bookmarkStart w:id="155" w:name="_Toc112845461"/>
      <w:bookmarkStart w:id="156" w:name="_Toc112862065"/>
      <w:bookmarkStart w:id="157" w:name="_Toc180497415"/>
      <w:r w:rsidRPr="00D85A4F">
        <w:t>Recall to hospital and cancelling ministerial long leave</w:t>
      </w:r>
      <w:bookmarkEnd w:id="152"/>
      <w:bookmarkEnd w:id="153"/>
      <w:bookmarkEnd w:id="154"/>
      <w:bookmarkEnd w:id="155"/>
      <w:bookmarkEnd w:id="156"/>
      <w:bookmarkEnd w:id="157"/>
    </w:p>
    <w:p w14:paraId="34809F85" w14:textId="77777777" w:rsidR="00025FEB" w:rsidRPr="00D85A4F" w:rsidRDefault="00025FEB" w:rsidP="00025FEB">
      <w:pPr>
        <w:keepNext/>
      </w:pPr>
      <w:r w:rsidRPr="00D85A4F">
        <w:t xml:space="preserve">Section 51 permits </w:t>
      </w:r>
      <w:r>
        <w:t>a</w:t>
      </w:r>
      <w:r w:rsidRPr="00D85A4F">
        <w:t xml:space="preserve"> DAMHS to direct in writing that a patient on ministerial long leave be admitted or readmitted to hospital if the DAMHS is satisfied that it is necessary ‘in the interests of the safety of that patient or the public’. Where such a direction is given, the DAMHS should record in writing the reasons for the direction and </w:t>
      </w:r>
      <w:r>
        <w:t xml:space="preserve">give </w:t>
      </w:r>
      <w:r w:rsidRPr="00D85A4F">
        <w:t xml:space="preserve">both a copy of the direction and a copy of the reasons for the direction to the patient as soon as practicable. </w:t>
      </w:r>
    </w:p>
    <w:p w14:paraId="45747ECB" w14:textId="77777777" w:rsidR="00025FEB" w:rsidRPr="00D85A4F" w:rsidRDefault="00025FEB" w:rsidP="00025FEB">
      <w:pPr>
        <w:keepNext/>
      </w:pPr>
    </w:p>
    <w:p w14:paraId="2131048B" w14:textId="7527B45F" w:rsidR="00025FEB" w:rsidRPr="00D85A4F" w:rsidRDefault="00025FEB" w:rsidP="00025FEB">
      <w:pPr>
        <w:keepNext/>
      </w:pPr>
      <w:r w:rsidRPr="00D85A4F">
        <w:t xml:space="preserve">Where a direction is ordered by the DAMHS under section 51, the patient may be taken to the specified hospital by the Director, </w:t>
      </w:r>
      <w:r>
        <w:t xml:space="preserve">the </w:t>
      </w:r>
      <w:r w:rsidRPr="00D85A4F">
        <w:t xml:space="preserve">DAMHS, a </w:t>
      </w:r>
      <w:r w:rsidR="009778B0">
        <w:t>duly authorised officer</w:t>
      </w:r>
      <w:r w:rsidRPr="00D85A4F">
        <w:t xml:space="preserve">, any constable or any person to whom the charge of the patient has been entrusted during the period of leave. </w:t>
      </w:r>
    </w:p>
    <w:p w14:paraId="70881751" w14:textId="77777777" w:rsidR="00025FEB" w:rsidRPr="00D85A4F" w:rsidRDefault="00025FEB" w:rsidP="00025FEB">
      <w:pPr>
        <w:keepNext/>
      </w:pPr>
    </w:p>
    <w:p w14:paraId="2FF381ED" w14:textId="77777777" w:rsidR="00025FEB" w:rsidRPr="00D85A4F" w:rsidRDefault="00025FEB" w:rsidP="00025FEB">
      <w:pPr>
        <w:keepNext/>
      </w:pPr>
      <w:r w:rsidRPr="00D85A4F">
        <w:t>Such an admission can only be for 72 hours, during which time the Minister may be asked to cancel the patient’s leave. If leave is not cancelled by the Minister before the expiration of the 72 hours, the patient must be released on leave subject to any conditions imposed by the Minister.</w:t>
      </w:r>
    </w:p>
    <w:p w14:paraId="2BCC328C" w14:textId="77777777" w:rsidR="00025FEB" w:rsidRPr="00D85A4F" w:rsidRDefault="00025FEB" w:rsidP="00025FEB">
      <w:pPr>
        <w:keepNext/>
      </w:pPr>
    </w:p>
    <w:p w14:paraId="53BBE958" w14:textId="77777777" w:rsidR="00025FEB" w:rsidRPr="00D85A4F" w:rsidRDefault="00025FEB" w:rsidP="00025FEB">
      <w:pPr>
        <w:keepNext/>
      </w:pPr>
      <w:r w:rsidRPr="00D85A4F">
        <w:t>If the patient’s leave needs to be cancelled, the Director must prepare a report to the Minister seeking cancellation of leave. This report will need to be prepared at short notice, and sometimes without immediate access to patient records held by the Ministry</w:t>
      </w:r>
      <w:r>
        <w:t>. T</w:t>
      </w:r>
      <w:r w:rsidRPr="00D85A4F">
        <w:t>herefore</w:t>
      </w:r>
      <w:r>
        <w:t>,</w:t>
      </w:r>
      <w:r w:rsidRPr="00D85A4F">
        <w:t xml:space="preserve"> the following information must be provided.</w:t>
      </w:r>
    </w:p>
    <w:p w14:paraId="6AF3AF8E" w14:textId="77777777" w:rsidR="00025FEB" w:rsidRDefault="00025FEB" w:rsidP="00025FEB"/>
    <w:p w14:paraId="21A2CB94" w14:textId="30B72342" w:rsidR="00025FEB" w:rsidRPr="00D85A4F" w:rsidRDefault="00025FEB" w:rsidP="00300B55">
      <w:pPr>
        <w:pStyle w:val="Table"/>
      </w:pPr>
      <w:bookmarkStart w:id="158" w:name="_Toc112861583"/>
      <w:bookmarkStart w:id="159" w:name="_Toc180593117"/>
      <w:r>
        <w:t xml:space="preserve">Table </w:t>
      </w:r>
      <w:r>
        <w:fldChar w:fldCharType="begin"/>
      </w:r>
      <w:r>
        <w:instrText>SEQ Table \* ARABIC</w:instrText>
      </w:r>
      <w:r>
        <w:fldChar w:fldCharType="separate"/>
      </w:r>
      <w:r w:rsidR="00411DF3">
        <w:rPr>
          <w:noProof/>
        </w:rPr>
        <w:t>10</w:t>
      </w:r>
      <w:r>
        <w:fldChar w:fldCharType="end"/>
      </w:r>
      <w:r>
        <w:t xml:space="preserve">: </w:t>
      </w:r>
      <w:r w:rsidRPr="006454DE">
        <w:t>Information to support cancellation of ministerial long leave</w:t>
      </w:r>
      <w:bookmarkEnd w:id="158"/>
      <w:bookmarkEnd w:id="159"/>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436D1A51"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7D68C34E"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37197FAC" w14:textId="77777777" w:rsidR="00025FEB" w:rsidRPr="00D85A4F" w:rsidRDefault="00025FEB" w:rsidP="00BB4DC3">
            <w:pPr>
              <w:pStyle w:val="TableText"/>
            </w:pPr>
            <w:r w:rsidRPr="00D85A4F">
              <w:t>A letter from the responsible clinician, including:</w:t>
            </w:r>
          </w:p>
          <w:p w14:paraId="6843B888" w14:textId="77777777" w:rsidR="00025FEB" w:rsidRPr="00D25422" w:rsidRDefault="00025FEB" w:rsidP="00D25422">
            <w:pPr>
              <w:pStyle w:val="TableBullet"/>
            </w:pPr>
            <w:r w:rsidRPr="00D25422">
              <w:t>a current mental state assessment</w:t>
            </w:r>
          </w:p>
          <w:p w14:paraId="090B2B73" w14:textId="77777777" w:rsidR="00025FEB" w:rsidRPr="00D25422" w:rsidRDefault="00025FEB" w:rsidP="00D25422">
            <w:pPr>
              <w:pStyle w:val="TableBullet"/>
            </w:pPr>
            <w:r w:rsidRPr="00D25422">
              <w:t>the reason for cancelling the ministerial long leave</w:t>
            </w:r>
          </w:p>
          <w:p w14:paraId="0C8E9FCA" w14:textId="77777777" w:rsidR="00025FEB" w:rsidRPr="00D25422" w:rsidRDefault="00025FEB" w:rsidP="00D25422">
            <w:pPr>
              <w:pStyle w:val="TableBullet"/>
            </w:pPr>
            <w:r w:rsidRPr="00D25422">
              <w:t>current risk assessment and management (including flight risk)</w:t>
            </w:r>
          </w:p>
          <w:p w14:paraId="5694C706" w14:textId="77777777" w:rsidR="00025FEB" w:rsidRPr="00D25422" w:rsidRDefault="00025FEB" w:rsidP="00D25422">
            <w:pPr>
              <w:pStyle w:val="TableBullet"/>
            </w:pPr>
            <w:r w:rsidRPr="00D25422">
              <w:t>if the patient’s recall from leave has occurred in the context of a serious incident, advice on the steps that are being taken to review the incident</w:t>
            </w:r>
          </w:p>
          <w:p w14:paraId="24A40553" w14:textId="6CFE5FCB" w:rsidR="00025FEB" w:rsidRPr="006454DE" w:rsidRDefault="00025FEB" w:rsidP="00D25422">
            <w:pPr>
              <w:pStyle w:val="TableBullet"/>
            </w:pPr>
            <w:r w:rsidRPr="00D25422">
              <w:t>comment on matters relating to the offending (</w:t>
            </w:r>
            <w:r w:rsidR="00AA644E" w:rsidRPr="00D25422">
              <w:t>eg</w:t>
            </w:r>
            <w:r w:rsidRPr="00D25422">
              <w:t>, insight into the offending, relationship with victims), particularly if the victim of the index offence has been affected by the decision to cancel leave</w:t>
            </w:r>
          </w:p>
        </w:tc>
      </w:tr>
      <w:tr w:rsidR="00025FEB" w:rsidRPr="00DC20BD" w14:paraId="01AA0968"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4B97751C"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0C748B4B" w14:textId="77777777" w:rsidR="00025FEB" w:rsidRPr="00D25422" w:rsidRDefault="00025FEB" w:rsidP="00D25422">
            <w:pPr>
              <w:pStyle w:val="TableText"/>
            </w:pPr>
            <w:r w:rsidRPr="00D25422">
              <w:t>The DAMHS must advise the Office of the Director as soon as the patient is recalled to hospital and provide a report to that Office within 12 hours.</w:t>
            </w:r>
          </w:p>
          <w:p w14:paraId="6E1060BC" w14:textId="739C04C4" w:rsidR="00025FEB" w:rsidRPr="00D25422" w:rsidRDefault="00025FEB" w:rsidP="00D25422">
            <w:pPr>
              <w:pStyle w:val="TableText"/>
            </w:pPr>
            <w:r w:rsidRPr="00D25422">
              <w:t xml:space="preserve">The Office of the Director must report to the Minister of Health within 24 hours, and the Minister </w:t>
            </w:r>
            <w:r w:rsidR="00B2526D" w:rsidRPr="00D25422">
              <w:t xml:space="preserve">must </w:t>
            </w:r>
            <w:r w:rsidRPr="00D25422">
              <w:t>make a decision within 72 hours.</w:t>
            </w:r>
          </w:p>
          <w:p w14:paraId="055BF7BF" w14:textId="77777777" w:rsidR="00025FEB" w:rsidRPr="00D25422" w:rsidRDefault="00025FEB" w:rsidP="00D25422">
            <w:pPr>
              <w:pStyle w:val="TableText"/>
            </w:pPr>
            <w:r w:rsidRPr="00D25422">
              <w:t>The Office of the Director must send a letter confirming the Minister’s decision within 24 hours.</w:t>
            </w:r>
          </w:p>
          <w:p w14:paraId="343C2025" w14:textId="75ADDA91" w:rsidR="00025FEB" w:rsidRPr="00D85A4F" w:rsidRDefault="00025FEB" w:rsidP="00D25422">
            <w:pPr>
              <w:pStyle w:val="TableText"/>
            </w:pPr>
            <w:r w:rsidRPr="00D25422">
              <w:t>If ministerial long leave is cancelled during a weekend or holiday period, the DAMHS must notify the Director by phone.</w:t>
            </w:r>
          </w:p>
        </w:tc>
      </w:tr>
    </w:tbl>
    <w:p w14:paraId="34119A65" w14:textId="77777777" w:rsidR="00025FEB" w:rsidRDefault="00025FEB" w:rsidP="00025FEB"/>
    <w:p w14:paraId="225CDCB3" w14:textId="004DEE5B" w:rsidR="00025FEB" w:rsidRPr="00D85A4F" w:rsidRDefault="00025FEB" w:rsidP="00025FEB">
      <w:r w:rsidRPr="00D85A4F">
        <w:t xml:space="preserve">There may be situations </w:t>
      </w:r>
      <w:r>
        <w:t xml:space="preserve">in which </w:t>
      </w:r>
      <w:r w:rsidRPr="00D85A4F">
        <w:t xml:space="preserve">a special patient who is on ministerial long leave decompensates in their mental state and behaviours, is assessed by their responsible clinician and agrees to return to hospital for a voluntary admission. Where this occurs, it is important that the patient has the capacity to make that decision. The voluntary admission could be </w:t>
      </w:r>
      <w:r w:rsidR="0082423A">
        <w:t xml:space="preserve">for </w:t>
      </w:r>
      <w:r w:rsidRPr="00D85A4F">
        <w:t>longer than 72 hours</w:t>
      </w:r>
      <w:r w:rsidR="0082423A">
        <w:t>,</w:t>
      </w:r>
      <w:r w:rsidRPr="00D85A4F">
        <w:t xml:space="preserve"> to investigate the circumstances leading to the deterioration of </w:t>
      </w:r>
      <w:r w:rsidR="0082423A">
        <w:t xml:space="preserve">the patient’s </w:t>
      </w:r>
      <w:r w:rsidRPr="00D85A4F">
        <w:t xml:space="preserve">mental state. </w:t>
      </w:r>
    </w:p>
    <w:p w14:paraId="5F8B87DB" w14:textId="77777777" w:rsidR="00025FEB" w:rsidRPr="00D85A4F" w:rsidRDefault="00025FEB" w:rsidP="00025FEB"/>
    <w:p w14:paraId="06E7CBAE" w14:textId="77777777" w:rsidR="00025FEB" w:rsidRPr="00D85A4F" w:rsidRDefault="00025FEB" w:rsidP="00025FEB">
      <w:r w:rsidRPr="00D85A4F">
        <w:t>If cancellation is deemed necessary after investigations into the circumstances and subsequent inpatient admission, a new application for ministerial long leave must be completed identify</w:t>
      </w:r>
      <w:r>
        <w:t>ing</w:t>
      </w:r>
      <w:r w:rsidRPr="00D85A4F">
        <w:t xml:space="preserve"> the factors leading to the cancellation of leave and indicat</w:t>
      </w:r>
      <w:r>
        <w:t>ing</w:t>
      </w:r>
      <w:r w:rsidRPr="00D85A4F">
        <w:t xml:space="preserve"> how these have been addressed. </w:t>
      </w:r>
      <w:r>
        <w:t>S</w:t>
      </w:r>
      <w:r w:rsidRPr="00D85A4F">
        <w:t>ee section 7.4 for more detail.</w:t>
      </w:r>
    </w:p>
    <w:p w14:paraId="057D9400" w14:textId="77777777" w:rsidR="00025FEB" w:rsidRPr="00025FEB" w:rsidRDefault="00025FEB" w:rsidP="00025FEB">
      <w:pPr>
        <w:pStyle w:val="Heading2"/>
        <w:rPr>
          <w:rStyle w:val="Heading2Char"/>
          <w:b/>
        </w:rPr>
      </w:pPr>
      <w:bookmarkStart w:id="160" w:name="_Toc377543400"/>
      <w:bookmarkStart w:id="161" w:name="_Toc441658596"/>
      <w:bookmarkStart w:id="162" w:name="_Toc83197077"/>
      <w:bookmarkStart w:id="163" w:name="_Toc112845462"/>
      <w:bookmarkStart w:id="164" w:name="_Toc112862066"/>
      <w:bookmarkStart w:id="165" w:name="_Toc180497416"/>
      <w:r w:rsidRPr="00025FEB">
        <w:rPr>
          <w:rStyle w:val="Heading2Char"/>
          <w:b/>
        </w:rPr>
        <w:t>Recommencing short-term</w:t>
      </w:r>
      <w:r w:rsidRPr="00025FEB">
        <w:t xml:space="preserve"> </w:t>
      </w:r>
      <w:r w:rsidRPr="00025FEB">
        <w:rPr>
          <w:rStyle w:val="Heading2Char"/>
          <w:b/>
        </w:rPr>
        <w:t xml:space="preserve">leave following </w:t>
      </w:r>
      <w:bookmarkEnd w:id="160"/>
      <w:bookmarkEnd w:id="161"/>
      <w:r w:rsidRPr="00025FEB">
        <w:rPr>
          <w:rStyle w:val="Heading2Char"/>
          <w:b/>
        </w:rPr>
        <w:t>cancellation</w:t>
      </w:r>
      <w:bookmarkEnd w:id="162"/>
      <w:bookmarkEnd w:id="163"/>
      <w:bookmarkEnd w:id="164"/>
      <w:bookmarkEnd w:id="165"/>
    </w:p>
    <w:p w14:paraId="3DA389E9" w14:textId="11142DA7" w:rsidR="00025FEB" w:rsidRPr="00D85A4F" w:rsidRDefault="00025FEB" w:rsidP="00025FEB">
      <w:r w:rsidRPr="00D85A4F">
        <w:t>Cancellation of ministerial long leave is not undertaken lightly</w:t>
      </w:r>
      <w:r>
        <w:t>,</w:t>
      </w:r>
      <w:r w:rsidRPr="00D85A4F">
        <w:t xml:space="preserve"> and inevitably involves the readmission of the patient to an inpatient ward. </w:t>
      </w:r>
      <w:r w:rsidR="00B04405">
        <w:t>If a special patient’s ministerial long leave has been cancelled</w:t>
      </w:r>
      <w:r w:rsidR="00C75FCB">
        <w:t xml:space="preserve"> under section 50G of the Mental Health Act</w:t>
      </w:r>
      <w:r w:rsidR="00B04405">
        <w:t>, the Director will consider cancelling all short-term leave</w:t>
      </w:r>
      <w:r w:rsidR="00B72A58">
        <w:t xml:space="preserve"> period</w:t>
      </w:r>
      <w:r w:rsidR="00B04405">
        <w:t xml:space="preserve">s granted under section 52 of the Mental Health Act. </w:t>
      </w:r>
      <w:r w:rsidRPr="00D85A4F">
        <w:t xml:space="preserve">The Director’s approval </w:t>
      </w:r>
      <w:r w:rsidR="00930F55">
        <w:t xml:space="preserve">or support </w:t>
      </w:r>
      <w:r w:rsidRPr="00D85A4F">
        <w:t xml:space="preserve">must be sought for any </w:t>
      </w:r>
      <w:r w:rsidR="00930F55">
        <w:t xml:space="preserve">further periods of </w:t>
      </w:r>
      <w:r w:rsidRPr="00D85A4F">
        <w:t>leave following cancellation of ministerial long leave</w:t>
      </w:r>
      <w:r w:rsidR="00BA7B92">
        <w:t>.</w:t>
      </w:r>
    </w:p>
    <w:p w14:paraId="45EE752E" w14:textId="77777777" w:rsidR="00025FEB" w:rsidRPr="00025FEB" w:rsidRDefault="00025FEB" w:rsidP="00025FEB">
      <w:pPr>
        <w:pStyle w:val="Heading2"/>
      </w:pPr>
      <w:bookmarkStart w:id="166" w:name="_Toc377543401"/>
      <w:bookmarkStart w:id="167" w:name="_Toc441658597"/>
      <w:bookmarkStart w:id="168" w:name="_Toc83197078"/>
      <w:bookmarkStart w:id="169" w:name="_Toc112845463"/>
      <w:bookmarkStart w:id="170" w:name="_Toc112862067"/>
      <w:bookmarkStart w:id="171" w:name="_Toc180497417"/>
      <w:r w:rsidRPr="00025FEB">
        <w:t xml:space="preserve">Applying for ministerial long leave following </w:t>
      </w:r>
      <w:bookmarkEnd w:id="166"/>
      <w:bookmarkEnd w:id="167"/>
      <w:r w:rsidRPr="00025FEB">
        <w:t>cancellation</w:t>
      </w:r>
      <w:bookmarkEnd w:id="168"/>
      <w:bookmarkEnd w:id="169"/>
      <w:bookmarkEnd w:id="170"/>
      <w:bookmarkEnd w:id="171"/>
    </w:p>
    <w:p w14:paraId="68122EC4" w14:textId="77777777" w:rsidR="00025FEB" w:rsidRPr="00D85A4F" w:rsidRDefault="00025FEB" w:rsidP="00025FEB">
      <w:pPr>
        <w:keepNext/>
      </w:pPr>
      <w:r w:rsidRPr="00D85A4F">
        <w:t>A new application for ministerial long leave following cancellation and subsequent inpatient admission must identify the factors leading to the cancellation of leave and indicate how these have been addressed.</w:t>
      </w:r>
    </w:p>
    <w:p w14:paraId="1C98F2DE" w14:textId="4AB89BA6" w:rsidR="00025FEB" w:rsidRDefault="00025FEB" w:rsidP="00025FEB"/>
    <w:p w14:paraId="32A9E413" w14:textId="4A32C4AD" w:rsidR="00025FEB" w:rsidRPr="00D85A4F" w:rsidRDefault="00025FEB" w:rsidP="00300B55">
      <w:pPr>
        <w:pStyle w:val="Table"/>
      </w:pPr>
      <w:bookmarkStart w:id="172" w:name="_Toc112861584"/>
      <w:bookmarkStart w:id="173" w:name="_Toc180593118"/>
      <w:r>
        <w:t xml:space="preserve">Table </w:t>
      </w:r>
      <w:r>
        <w:fldChar w:fldCharType="begin"/>
      </w:r>
      <w:r>
        <w:instrText>SEQ Table \* ARABIC</w:instrText>
      </w:r>
      <w:r>
        <w:fldChar w:fldCharType="separate"/>
      </w:r>
      <w:r w:rsidR="00411DF3">
        <w:rPr>
          <w:noProof/>
        </w:rPr>
        <w:t>11</w:t>
      </w:r>
      <w:r>
        <w:fldChar w:fldCharType="end"/>
      </w:r>
      <w:r>
        <w:t xml:space="preserve">: </w:t>
      </w:r>
      <w:r w:rsidRPr="008F4064">
        <w:t>Information in support of a re-application for ministerial long leave following cancellation</w:t>
      </w:r>
      <w:bookmarkEnd w:id="172"/>
      <w:bookmarkEnd w:id="173"/>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67E58A2A" w14:textId="77777777" w:rsidTr="00D25422">
        <w:tc>
          <w:tcPr>
            <w:tcW w:w="1219" w:type="dxa"/>
            <w:tcBorders>
              <w:top w:val="single" w:sz="4" w:space="0" w:color="A6A6A6" w:themeColor="background1" w:themeShade="A6"/>
              <w:bottom w:val="single" w:sz="4" w:space="0" w:color="A6A6A6" w:themeColor="background1" w:themeShade="A6"/>
            </w:tcBorders>
          </w:tcPr>
          <w:p w14:paraId="3A9F73EF" w14:textId="77777777" w:rsidR="00025FEB" w:rsidRPr="00DC20BD" w:rsidRDefault="00025FEB" w:rsidP="00D25422">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122F7929" w14:textId="77777777" w:rsidR="00025FEB" w:rsidRPr="00D85A4F" w:rsidRDefault="00025FEB" w:rsidP="00D25422">
            <w:pPr>
              <w:pStyle w:val="TableText"/>
            </w:pPr>
            <w:r w:rsidRPr="00D85A4F">
              <w:t>A letter from the responsible clinician, including:</w:t>
            </w:r>
          </w:p>
          <w:p w14:paraId="4247CB7F" w14:textId="77777777" w:rsidR="00025FEB" w:rsidRPr="00D25422" w:rsidRDefault="00025FEB" w:rsidP="00D25422">
            <w:pPr>
              <w:pStyle w:val="TableBullet"/>
            </w:pPr>
            <w:r w:rsidRPr="00D25422">
              <w:t>a current mental state assessment, including compliance with treatment</w:t>
            </w:r>
          </w:p>
          <w:p w14:paraId="5756AA6A" w14:textId="77777777" w:rsidR="00025FEB" w:rsidRPr="00D25422" w:rsidRDefault="00025FEB" w:rsidP="00D25422">
            <w:pPr>
              <w:pStyle w:val="TableBullet"/>
            </w:pPr>
            <w:r w:rsidRPr="00D25422">
              <w:t>how the factors resulting in cancellation have been addressed</w:t>
            </w:r>
          </w:p>
          <w:p w14:paraId="32D49833" w14:textId="1BA134C3" w:rsidR="00025FEB" w:rsidRPr="00D25422" w:rsidRDefault="00025FEB" w:rsidP="00D25422">
            <w:pPr>
              <w:pStyle w:val="TableBullet"/>
            </w:pPr>
            <w:r w:rsidRPr="00D25422">
              <w:t xml:space="preserve">a risk assessment and management plan for the patient while </w:t>
            </w:r>
            <w:r w:rsidR="008B1ECA" w:rsidRPr="00D25422">
              <w:t xml:space="preserve">they are </w:t>
            </w:r>
            <w:r w:rsidRPr="00D25422">
              <w:t>on leave, and any concerns held about risk</w:t>
            </w:r>
          </w:p>
          <w:p w14:paraId="20DFA164" w14:textId="77777777" w:rsidR="00025FEB" w:rsidRPr="00D25422" w:rsidRDefault="00025FEB" w:rsidP="00D25422">
            <w:pPr>
              <w:pStyle w:val="TableBullet"/>
            </w:pPr>
            <w:r w:rsidRPr="00D25422">
              <w:t>an overview of the patient’s recovery plan</w:t>
            </w:r>
          </w:p>
          <w:p w14:paraId="3E3F2A08" w14:textId="77777777" w:rsidR="00025FEB" w:rsidRPr="00D25422" w:rsidRDefault="00025FEB" w:rsidP="00D25422">
            <w:pPr>
              <w:pStyle w:val="TableBullet"/>
            </w:pPr>
            <w:r w:rsidRPr="00D25422">
              <w:t>advice on whether the patient has used or is likely to use psychoactive substances and the steps in place to manage the risk of future use</w:t>
            </w:r>
          </w:p>
          <w:p w14:paraId="183C514C" w14:textId="35060DD0" w:rsidR="00025FEB" w:rsidRPr="00D25422" w:rsidRDefault="00025FEB" w:rsidP="00D25422">
            <w:pPr>
              <w:pStyle w:val="TableBullet"/>
            </w:pPr>
            <w:r w:rsidRPr="00D25422">
              <w:t xml:space="preserve">advice of any critical incidents during the patient’s time in hospital, including possession of weapons, drugs or other prohibited material, and management of </w:t>
            </w:r>
            <w:r w:rsidR="00AF06AA" w:rsidRPr="00D25422">
              <w:t xml:space="preserve">those </w:t>
            </w:r>
            <w:r w:rsidRPr="00D25422">
              <w:t>incident</w:t>
            </w:r>
            <w:r w:rsidR="00AF06AA" w:rsidRPr="00D25422">
              <w:t>s</w:t>
            </w:r>
          </w:p>
          <w:p w14:paraId="5D0782A9" w14:textId="77777777" w:rsidR="00025FEB" w:rsidRPr="00D25422" w:rsidRDefault="00025FEB" w:rsidP="00D25422">
            <w:pPr>
              <w:pStyle w:val="TableBullet"/>
            </w:pPr>
            <w:r w:rsidRPr="00D25422">
              <w:t>the proposed conditions of leave</w:t>
            </w:r>
          </w:p>
          <w:p w14:paraId="042C7420" w14:textId="44F76FAA" w:rsidR="00025FEB" w:rsidRPr="00D25422" w:rsidRDefault="00025FEB" w:rsidP="00D25422">
            <w:pPr>
              <w:pStyle w:val="TableBullet"/>
            </w:pPr>
            <w:r w:rsidRPr="00D25422">
              <w:t>a certificate, signed by two medical practitioners, stating that the patient is fit to be allowed to be absent from hospital (section 50</w:t>
            </w:r>
            <w:r w:rsidR="00C63C44" w:rsidRPr="00D25422">
              <w:t>A</w:t>
            </w:r>
            <w:r w:rsidRPr="00D25422">
              <w:t>(1)</w:t>
            </w:r>
            <w:r w:rsidR="00E215A0" w:rsidRPr="00D25422">
              <w:t>(a)</w:t>
            </w:r>
            <w:r w:rsidRPr="00D25422">
              <w:t xml:space="preserve"> of the Mental Health Act)</w:t>
            </w:r>
          </w:p>
          <w:p w14:paraId="386FA43A" w14:textId="77777777" w:rsidR="00025FEB" w:rsidRPr="00D25422" w:rsidRDefault="00025FEB" w:rsidP="00D25422">
            <w:pPr>
              <w:pStyle w:val="TableBullet"/>
            </w:pPr>
            <w:r w:rsidRPr="00D25422">
              <w:t xml:space="preserve">a second opinion (or a recent SPRP report) supporting the leave </w:t>
            </w:r>
          </w:p>
          <w:p w14:paraId="2DFC0C2E" w14:textId="77777777" w:rsidR="00025FEB" w:rsidRPr="00D25422" w:rsidRDefault="00025FEB" w:rsidP="00D25422">
            <w:pPr>
              <w:pStyle w:val="TableBullet"/>
            </w:pPr>
            <w:r w:rsidRPr="00D25422">
              <w:t>an indication of support from the DAMHS for the proposed leave</w:t>
            </w:r>
          </w:p>
          <w:p w14:paraId="396C02A6" w14:textId="444CBF60" w:rsidR="00025FEB" w:rsidRPr="00D25422" w:rsidRDefault="00025FEB" w:rsidP="00D25422">
            <w:pPr>
              <w:pStyle w:val="TableBullet"/>
            </w:pPr>
            <w:r w:rsidRPr="00D25422">
              <w:t>comment on matters concerning the offending (</w:t>
            </w:r>
            <w:r w:rsidR="009C0472" w:rsidRPr="00D25422">
              <w:t>eg</w:t>
            </w:r>
            <w:r w:rsidRPr="00D25422">
              <w:t>, insight into the offending, relationship with victims)</w:t>
            </w:r>
          </w:p>
          <w:p w14:paraId="7FAE6E25" w14:textId="77777777" w:rsidR="00025FEB" w:rsidRPr="00D25422" w:rsidRDefault="00025FEB" w:rsidP="00D25422">
            <w:pPr>
              <w:pStyle w:val="TableBullet"/>
            </w:pPr>
            <w:r w:rsidRPr="00D25422">
              <w:t>comment on matters relating to the risk presented by the patient, particularly in relation to victims of previous offending</w:t>
            </w:r>
          </w:p>
          <w:p w14:paraId="61C48B75" w14:textId="77E48C5F" w:rsidR="00025FEB" w:rsidRPr="00D25422" w:rsidRDefault="00854D52" w:rsidP="00D25422">
            <w:pPr>
              <w:pStyle w:val="TableBullet"/>
            </w:pPr>
            <w:r w:rsidRPr="00D25422">
              <w:t xml:space="preserve">comment on </w:t>
            </w:r>
            <w:r w:rsidR="00025FEB" w:rsidRPr="00D25422">
              <w:t xml:space="preserve">what </w:t>
            </w:r>
            <w:r w:rsidR="00F044A6" w:rsidRPr="00D25422">
              <w:t>family/</w:t>
            </w:r>
            <w:r w:rsidR="00025FEB" w:rsidRPr="00D25422">
              <w:t>whānau support is available</w:t>
            </w:r>
          </w:p>
          <w:p w14:paraId="0DFE17D9" w14:textId="61073B00" w:rsidR="00025FEB" w:rsidRPr="006454DE" w:rsidRDefault="00025FEB" w:rsidP="00D25422">
            <w:pPr>
              <w:pStyle w:val="TableBullet"/>
            </w:pPr>
            <w:r w:rsidRPr="00D25422">
              <w:t>consideration of the needs of children or other vulnerable people in the household if the patient will be with family while on leave (particularly if the index offence took place within the family)</w:t>
            </w:r>
          </w:p>
        </w:tc>
      </w:tr>
      <w:tr w:rsidR="00025FEB" w:rsidRPr="00DC20BD" w14:paraId="21C2980D" w14:textId="77777777" w:rsidTr="00D25422">
        <w:tc>
          <w:tcPr>
            <w:tcW w:w="1219" w:type="dxa"/>
            <w:tcBorders>
              <w:top w:val="single" w:sz="4" w:space="0" w:color="A6A6A6" w:themeColor="background1" w:themeShade="A6"/>
              <w:bottom w:val="single" w:sz="4" w:space="0" w:color="A6A6A6" w:themeColor="background1" w:themeShade="A6"/>
            </w:tcBorders>
          </w:tcPr>
          <w:p w14:paraId="6BF25F25" w14:textId="77777777" w:rsidR="00025FEB" w:rsidRPr="00D85A4F" w:rsidRDefault="00025FEB" w:rsidP="00D25422">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4C39123D" w14:textId="77777777" w:rsidR="00025FEB" w:rsidRPr="00D85A4F" w:rsidRDefault="00025FEB" w:rsidP="00D25422">
            <w:pPr>
              <w:pStyle w:val="TableText"/>
            </w:pPr>
            <w:r>
              <w:t xml:space="preserve">The </w:t>
            </w:r>
            <w:r w:rsidRPr="00D85A4F">
              <w:t xml:space="preserve">DAMHS </w:t>
            </w:r>
            <w:r>
              <w:t xml:space="preserve">must </w:t>
            </w:r>
            <w:r w:rsidRPr="00D85A4F">
              <w:t>request ministerial long leave as appropriate following cancellation.</w:t>
            </w:r>
          </w:p>
          <w:p w14:paraId="447D9B7B" w14:textId="7AA0717E" w:rsidR="00025FEB" w:rsidRPr="00D85A4F" w:rsidRDefault="00025FEB" w:rsidP="00D25422">
            <w:pPr>
              <w:pStyle w:val="TableText"/>
            </w:pPr>
            <w:r w:rsidRPr="00D85A4F">
              <w:t>Incomplete information will result in delay in providing a report to the Minister.</w:t>
            </w:r>
          </w:p>
        </w:tc>
      </w:tr>
    </w:tbl>
    <w:p w14:paraId="414FE072" w14:textId="77777777" w:rsidR="00025FEB" w:rsidRPr="00025FEB" w:rsidRDefault="00025FEB" w:rsidP="00025FEB">
      <w:pPr>
        <w:pStyle w:val="Heading2"/>
      </w:pPr>
      <w:bookmarkStart w:id="174" w:name="_Toc377543402"/>
      <w:bookmarkStart w:id="175" w:name="_Toc441658598"/>
      <w:bookmarkStart w:id="176" w:name="_Toc83197079"/>
      <w:bookmarkStart w:id="177" w:name="_Toc112845464"/>
      <w:bookmarkStart w:id="178" w:name="_Toc112862068"/>
      <w:bookmarkStart w:id="179" w:name="_Toc180497418"/>
      <w:r w:rsidRPr="00025FEB">
        <w:t>Voluntary admission to hospital during ministerial long leave</w:t>
      </w:r>
      <w:bookmarkEnd w:id="174"/>
      <w:bookmarkEnd w:id="175"/>
      <w:bookmarkEnd w:id="176"/>
      <w:bookmarkEnd w:id="177"/>
      <w:bookmarkEnd w:id="178"/>
      <w:bookmarkEnd w:id="179"/>
    </w:p>
    <w:p w14:paraId="30625852" w14:textId="77777777" w:rsidR="00025FEB" w:rsidRPr="00D85A4F" w:rsidRDefault="00025FEB" w:rsidP="00025FEB">
      <w:r w:rsidRPr="00D85A4F">
        <w:t xml:space="preserve">The </w:t>
      </w:r>
      <w:r>
        <w:t>Mental Health Act</w:t>
      </w:r>
      <w:r w:rsidRPr="00D85A4F">
        <w:t xml:space="preserve"> is silent on whether special patients can be readmitted on a voluntary basis during a period of ministerial long leave. However, it is reasonable to assume that some </w:t>
      </w:r>
      <w:r>
        <w:t>people</w:t>
      </w:r>
      <w:r w:rsidRPr="00D85A4F">
        <w:t xml:space="preserve"> may seek or agree to a brief period of inpatient care. If a voluntary admission is considered, the following factors should form part of that consideration</w:t>
      </w:r>
      <w:r>
        <w:t>.</w:t>
      </w:r>
    </w:p>
    <w:p w14:paraId="47E312A3" w14:textId="25495CDB" w:rsidR="00025FEB" w:rsidRPr="00D25422" w:rsidRDefault="00025FEB" w:rsidP="00D25422">
      <w:pPr>
        <w:pStyle w:val="Bullet"/>
      </w:pPr>
      <w:r w:rsidRPr="00D25422">
        <w:t>Consent must be documented and reviewed at regular intervals during the admission</w:t>
      </w:r>
      <w:r w:rsidR="00E94492" w:rsidRPr="00D25422">
        <w:t>,</w:t>
      </w:r>
      <w:r w:rsidRPr="00D25422">
        <w:rPr>
          <w:rStyle w:val="FootnoteReference"/>
        </w:rPr>
        <w:footnoteReference w:id="7"/>
      </w:r>
      <w:r w:rsidRPr="00D25422">
        <w:t xml:space="preserve"> including a clinical assessment of capacity to consent (see </w:t>
      </w:r>
      <w:r w:rsidR="00786646" w:rsidRPr="00D25422">
        <w:t xml:space="preserve">Appendix 1, which contains a form seeking </w:t>
      </w:r>
      <w:r w:rsidRPr="00D25422">
        <w:t>consent to voluntary admission and treatment while subject to leave under section 50</w:t>
      </w:r>
      <w:r w:rsidR="00E215A0" w:rsidRPr="00D25422">
        <w:t>A</w:t>
      </w:r>
      <w:r w:rsidRPr="00D25422">
        <w:t xml:space="preserve"> of the Mental Health Act (‘ministerial long leave’)). </w:t>
      </w:r>
    </w:p>
    <w:p w14:paraId="6D4ED0AD" w14:textId="77777777" w:rsidR="00025FEB" w:rsidRPr="00D25422" w:rsidRDefault="00025FEB" w:rsidP="00D25422">
      <w:pPr>
        <w:pStyle w:val="Bullet"/>
      </w:pPr>
      <w:r w:rsidRPr="00D25422">
        <w:t>Accommodation must be in the least restrictive environment, although the Ministry acknowledges that because of the nature of RFMHS this may be a locked ward. For this reason, consent processes must be rigorous and transparent.</w:t>
      </w:r>
    </w:p>
    <w:p w14:paraId="03A87869" w14:textId="77777777" w:rsidR="00025FEB" w:rsidRPr="00D25422" w:rsidRDefault="00025FEB" w:rsidP="00D25422">
      <w:pPr>
        <w:pStyle w:val="Bullet"/>
      </w:pPr>
      <w:r w:rsidRPr="00D25422">
        <w:t>Voluntary inpatient admissions should generally be for no longer than 14 days.</w:t>
      </w:r>
    </w:p>
    <w:p w14:paraId="711FF57C" w14:textId="557DB705" w:rsidR="00025FEB" w:rsidRPr="00D25422" w:rsidRDefault="00025FEB" w:rsidP="00D25422">
      <w:pPr>
        <w:pStyle w:val="Bullet"/>
      </w:pPr>
      <w:r w:rsidRPr="00D25422">
        <w:t xml:space="preserve">The DAMHS must inform the </w:t>
      </w:r>
      <w:r w:rsidR="00E42AA4" w:rsidRPr="00D25422">
        <w:t>d</w:t>
      </w:r>
      <w:r w:rsidRPr="00D25422">
        <w:t xml:space="preserve">istrict </w:t>
      </w:r>
      <w:r w:rsidR="00E42AA4" w:rsidRPr="00D25422">
        <w:t>i</w:t>
      </w:r>
      <w:r w:rsidRPr="00D25422">
        <w:t>nspector and the Director.</w:t>
      </w:r>
    </w:p>
    <w:p w14:paraId="72198FBA" w14:textId="77777777" w:rsidR="00025FEB" w:rsidRDefault="00025FEB" w:rsidP="00025FEB"/>
    <w:p w14:paraId="59ABD22C" w14:textId="0B273EF4" w:rsidR="00025FEB" w:rsidRDefault="00025FEB" w:rsidP="00025FEB">
      <w:r w:rsidRPr="00D85A4F">
        <w:t xml:space="preserve">The patient’s responsible clinician should consider whether the circumstances surrounding the admission meet the standard of ‘the interests of the safety of that patient or the public’ specified in section 51 of the </w:t>
      </w:r>
      <w:r>
        <w:t>Mental Health Act</w:t>
      </w:r>
      <w:r w:rsidRPr="00D85A4F">
        <w:t xml:space="preserve">. If so, the responsible clinician </w:t>
      </w:r>
      <w:r>
        <w:t>may</w:t>
      </w:r>
      <w:r w:rsidRPr="00D85A4F">
        <w:t xml:space="preserve"> recommend to the DAMHS that they direct the patient to temporarily return to the RFMHS under section 51</w:t>
      </w:r>
      <w:r w:rsidR="008C7682">
        <w:t xml:space="preserve"> of the </w:t>
      </w:r>
      <w:r>
        <w:t>Mental Health Act</w:t>
      </w:r>
      <w:r w:rsidRPr="00D85A4F">
        <w:t>.</w:t>
      </w:r>
    </w:p>
    <w:p w14:paraId="2FAAC8B6" w14:textId="77777777" w:rsidR="00025FEB" w:rsidRDefault="00025FEB" w:rsidP="00025FEB">
      <w:pPr>
        <w:sectPr w:rsidR="00025FEB" w:rsidSect="00BB4DC3">
          <w:pgSz w:w="11907" w:h="16834" w:code="9"/>
          <w:pgMar w:top="1418" w:right="1701" w:bottom="1134" w:left="1843" w:header="284" w:footer="425" w:gutter="284"/>
          <w:cols w:space="720"/>
        </w:sectPr>
      </w:pPr>
    </w:p>
    <w:p w14:paraId="45E2C915" w14:textId="77777777" w:rsidR="00025FEB" w:rsidRPr="00D85A4F" w:rsidRDefault="00025FEB" w:rsidP="00025FEB">
      <w:pPr>
        <w:pStyle w:val="Heading1"/>
      </w:pPr>
      <w:bookmarkStart w:id="180" w:name="_Toc377543403"/>
      <w:bookmarkStart w:id="181" w:name="_Toc441658599"/>
      <w:bookmarkStart w:id="182" w:name="_Toc83197080"/>
      <w:bookmarkStart w:id="183" w:name="_Toc112845465"/>
      <w:bookmarkStart w:id="184" w:name="_Toc112862069"/>
      <w:bookmarkStart w:id="185" w:name="_Toc180497419"/>
      <w:r w:rsidRPr="00D85A4F">
        <w:t>Change of legal status</w:t>
      </w:r>
      <w:bookmarkEnd w:id="180"/>
      <w:bookmarkEnd w:id="181"/>
      <w:bookmarkEnd w:id="182"/>
      <w:bookmarkEnd w:id="183"/>
      <w:bookmarkEnd w:id="184"/>
      <w:bookmarkEnd w:id="185"/>
    </w:p>
    <w:p w14:paraId="2848F1BD" w14:textId="77777777" w:rsidR="00025FEB" w:rsidRPr="00D85A4F" w:rsidRDefault="00025FEB" w:rsidP="00D25422">
      <w:pPr>
        <w:pStyle w:val="Heading2"/>
        <w:spacing w:before="240"/>
      </w:pPr>
      <w:bookmarkStart w:id="186" w:name="_Toc377543404"/>
      <w:bookmarkStart w:id="187" w:name="_Toc441658600"/>
      <w:bookmarkStart w:id="188" w:name="_Toc83197081"/>
      <w:bookmarkStart w:id="189" w:name="_Toc112845466"/>
      <w:bookmarkStart w:id="190" w:name="_Toc112862070"/>
      <w:bookmarkStart w:id="191" w:name="_Toc180497420"/>
      <w:r w:rsidRPr="00D85A4F">
        <w:t>Patients acquitted on the grounds of insanity</w:t>
      </w:r>
      <w:bookmarkEnd w:id="186"/>
      <w:bookmarkEnd w:id="187"/>
      <w:bookmarkEnd w:id="188"/>
      <w:bookmarkEnd w:id="189"/>
      <w:bookmarkEnd w:id="190"/>
      <w:bookmarkEnd w:id="191"/>
    </w:p>
    <w:p w14:paraId="116EA19A" w14:textId="1628795D" w:rsidR="00025FEB" w:rsidRPr="00D85A4F" w:rsidRDefault="00025FEB" w:rsidP="00025FEB">
      <w:r w:rsidRPr="00D85A4F">
        <w:rPr>
          <w:spacing w:val="-2"/>
        </w:rPr>
        <w:t xml:space="preserve">Special patients acquitted on </w:t>
      </w:r>
      <w:r>
        <w:rPr>
          <w:spacing w:val="-2"/>
        </w:rPr>
        <w:t>account</w:t>
      </w:r>
      <w:r w:rsidRPr="00D85A4F">
        <w:rPr>
          <w:spacing w:val="-2"/>
        </w:rPr>
        <w:t xml:space="preserve"> of insanity may have their legal status changed by the Minister and become subject to a compulsory treatment order under the </w:t>
      </w:r>
      <w:r>
        <w:rPr>
          <w:spacing w:val="-2"/>
        </w:rPr>
        <w:t>Mental Health Act</w:t>
      </w:r>
      <w:r w:rsidR="00587214">
        <w:t>, or discharged</w:t>
      </w:r>
      <w:r w:rsidRPr="00D85A4F">
        <w:rPr>
          <w:spacing w:val="-2"/>
        </w:rPr>
        <w:t>.</w:t>
      </w:r>
    </w:p>
    <w:p w14:paraId="5C3A3E6D" w14:textId="77777777" w:rsidR="00025FEB" w:rsidRPr="00D85A4F" w:rsidRDefault="00025FEB" w:rsidP="00025FEB"/>
    <w:p w14:paraId="4179BF41" w14:textId="7343DBED" w:rsidR="00025FEB" w:rsidRPr="00D85A4F" w:rsidRDefault="00025FEB" w:rsidP="00025FEB">
      <w:r w:rsidRPr="00D85A4F">
        <w:t>If a certificate is given</w:t>
      </w:r>
      <w:r>
        <w:t xml:space="preserve"> by the responsible clinician</w:t>
      </w:r>
      <w:r w:rsidRPr="00D85A4F">
        <w:t xml:space="preserve"> under the </w:t>
      </w:r>
      <w:hyperlink r:id="rId26" w:history="1">
        <w:r>
          <w:t>Mental Health Act</w:t>
        </w:r>
      </w:hyperlink>
      <w:r w:rsidRPr="00D85A4F">
        <w:t xml:space="preserve"> to the effect that the patient</w:t>
      </w:r>
      <w:r>
        <w:t>’</w:t>
      </w:r>
      <w:r w:rsidRPr="00D85A4F">
        <w:t>s detention is no longer necessary to safeguard the patient</w:t>
      </w:r>
      <w:r>
        <w:t>’</w:t>
      </w:r>
      <w:r w:rsidRPr="00D85A4F">
        <w:t>s own interest</w:t>
      </w:r>
      <w:r w:rsidR="00166033">
        <w:t>s</w:t>
      </w:r>
      <w:r w:rsidRPr="00D85A4F">
        <w:t xml:space="preserve"> and the safety of the public or the safety of a person or class of person, the Minister must:</w:t>
      </w:r>
    </w:p>
    <w:p w14:paraId="76AAEA6A" w14:textId="39ABBFB8" w:rsidR="00025FEB" w:rsidRPr="00D85A4F" w:rsidRDefault="00025FEB" w:rsidP="00D25422">
      <w:pPr>
        <w:pStyle w:val="Bullet"/>
      </w:pPr>
      <w:r w:rsidRPr="00D85A4F">
        <w:t>consider whether, in the Minister</w:t>
      </w:r>
      <w:r>
        <w:t>’</w:t>
      </w:r>
      <w:r w:rsidRPr="00D85A4F">
        <w:t>s opinion, the patient</w:t>
      </w:r>
      <w:r>
        <w:t>’</w:t>
      </w:r>
      <w:r w:rsidRPr="00D85A4F">
        <w:t>s continued detention is no longer necessary to safeguard the patient</w:t>
      </w:r>
      <w:r>
        <w:t>’</w:t>
      </w:r>
      <w:r w:rsidRPr="00D85A4F">
        <w:t>s own interest</w:t>
      </w:r>
      <w:r w:rsidR="00166033">
        <w:t>s</w:t>
      </w:r>
      <w:r w:rsidRPr="00D85A4F">
        <w:t xml:space="preserve"> and the safety of the public or the safety of a person or class of person; and</w:t>
      </w:r>
    </w:p>
    <w:p w14:paraId="15EFE17E" w14:textId="56A70C66" w:rsidR="00025FEB" w:rsidRPr="00D85A4F" w:rsidRDefault="00025FEB" w:rsidP="00D25422">
      <w:pPr>
        <w:pStyle w:val="Bullet"/>
      </w:pPr>
      <w:r w:rsidRPr="00D85A4F">
        <w:t>if, in the Minister</w:t>
      </w:r>
      <w:r>
        <w:t>’</w:t>
      </w:r>
      <w:r w:rsidRPr="00D85A4F">
        <w:t>s opinion, detention is no longer necessary to safeguard those interests, direct that the patient be held as a patient</w:t>
      </w:r>
      <w:r w:rsidR="002B7B2F">
        <w:t xml:space="preserve"> (under a compulsory treatment order under the Mental Health Act), or that the patient be discharged</w:t>
      </w:r>
      <w:r w:rsidRPr="00D85A4F">
        <w:t xml:space="preserve"> (section 33(3) </w:t>
      </w:r>
      <w:r>
        <w:t xml:space="preserve">of the </w:t>
      </w:r>
      <w:r w:rsidRPr="00D85A4F">
        <w:t>CP(MIP) Act).</w:t>
      </w:r>
    </w:p>
    <w:p w14:paraId="2EAA515A" w14:textId="77777777" w:rsidR="00025FEB" w:rsidRPr="00D85A4F" w:rsidRDefault="00025FEB" w:rsidP="00025FEB"/>
    <w:p w14:paraId="42BDDB3C" w14:textId="693D9466" w:rsidR="00587214" w:rsidRPr="00D85A4F" w:rsidRDefault="00587214" w:rsidP="00587214">
      <w:r>
        <w:t>D</w:t>
      </w:r>
      <w:r w:rsidRPr="00807F87">
        <w:t>espite section 3</w:t>
      </w:r>
      <w:r>
        <w:t>3</w:t>
      </w:r>
      <w:r w:rsidRPr="00D85A4F">
        <w:t xml:space="preserve"> of the CP(MIP) Act, on receiving a copy of the certificate of clinical review under section 77(3)</w:t>
      </w:r>
      <w:r>
        <w:t>(c)</w:t>
      </w:r>
      <w:r w:rsidRPr="00D85A4F">
        <w:t xml:space="preserve">, the </w:t>
      </w:r>
      <w:r>
        <w:t>Minister</w:t>
      </w:r>
      <w:r w:rsidRPr="00D85A4F">
        <w:t xml:space="preserve"> may, instead of exercising and performing the powers and duties under that section, apply to the </w:t>
      </w:r>
      <w:r>
        <w:t>r</w:t>
      </w:r>
      <w:r w:rsidRPr="00D85A4F">
        <w:t xml:space="preserve">eview </w:t>
      </w:r>
      <w:r>
        <w:t>t</w:t>
      </w:r>
      <w:r w:rsidRPr="00D85A4F">
        <w:t xml:space="preserve">ribunal for a review of the patient’s condition, before making a direction. </w:t>
      </w:r>
    </w:p>
    <w:p w14:paraId="719BE338" w14:textId="77777777" w:rsidR="009F37EE" w:rsidRDefault="009F37EE" w:rsidP="00025FEB">
      <w:pPr>
        <w:rPr>
          <w:rStyle w:val="cf01"/>
        </w:rPr>
      </w:pPr>
    </w:p>
    <w:p w14:paraId="508B6E05" w14:textId="1DF35DAC" w:rsidR="00587214" w:rsidRPr="00AC0869" w:rsidRDefault="009F37EE" w:rsidP="00025FEB">
      <w:pPr>
        <w:rPr>
          <w:szCs w:val="21"/>
        </w:rPr>
      </w:pPr>
      <w:r w:rsidRPr="00B36CCA">
        <w:rPr>
          <w:rStyle w:val="cf01"/>
          <w:sz w:val="21"/>
          <w:szCs w:val="21"/>
        </w:rPr>
        <w:t>Please note that under section 33(4A) the Minister is required to have regard to the report provided by the Director of Mental Health. The Director in preparing this report will consider all relevant material (including that supplied by the service and any submission provided by a registered victim). Services are therefore asked to ensure all relevant material is supplied to the Director, including the material set out below</w:t>
      </w:r>
      <w:r w:rsidR="00AC0869">
        <w:rPr>
          <w:rStyle w:val="cf01"/>
          <w:sz w:val="21"/>
          <w:szCs w:val="21"/>
        </w:rPr>
        <w:t>.</w:t>
      </w:r>
    </w:p>
    <w:p w14:paraId="7849BAEC" w14:textId="77777777" w:rsidR="009F37EE" w:rsidRDefault="009F37EE" w:rsidP="00025FEB"/>
    <w:p w14:paraId="56FFB479" w14:textId="753E7635" w:rsidR="00025FEB" w:rsidRPr="00D85A4F" w:rsidRDefault="00025FEB" w:rsidP="00025FEB">
      <w:r w:rsidRPr="00D85A4F">
        <w:t xml:space="preserve">The information accompanying a certificate of clinical review recommending a change of legal status should address the factors leading to the index offence, how these have been addressed and the measures put in place to reduce the chance of those factors arising in future. </w:t>
      </w:r>
      <w:r>
        <w:t>It should specifically reference a</w:t>
      </w:r>
      <w:r w:rsidRPr="00D85A4F">
        <w:t xml:space="preserve">lcohol and drug use, particularly if </w:t>
      </w:r>
      <w:r>
        <w:t xml:space="preserve">the responsible clinician </w:t>
      </w:r>
      <w:r w:rsidRPr="00D85A4F">
        <w:t xml:space="preserve">considered </w:t>
      </w:r>
      <w:r>
        <w:t xml:space="preserve">alcohol and drug use </w:t>
      </w:r>
      <w:r w:rsidRPr="00D85A4F">
        <w:t>to have had an impact on the index offence.</w:t>
      </w:r>
    </w:p>
    <w:p w14:paraId="2ABB6A70" w14:textId="77777777" w:rsidR="00025FEB" w:rsidRPr="00D85A4F" w:rsidRDefault="00025FEB" w:rsidP="00025FEB"/>
    <w:p w14:paraId="72EF146A" w14:textId="0A850949" w:rsidR="00025FEB" w:rsidRDefault="007A4355" w:rsidP="00025FEB">
      <w:r>
        <w:t>The i</w:t>
      </w:r>
      <w:r w:rsidR="00025FEB" w:rsidRPr="00D85A4F">
        <w:t xml:space="preserve">nformation </w:t>
      </w:r>
      <w:r>
        <w:t xml:space="preserve">accompanying a certificate of clinical review </w:t>
      </w:r>
      <w:r w:rsidR="00E71FA9">
        <w:t xml:space="preserve">for this purpose </w:t>
      </w:r>
      <w:r w:rsidR="00025FEB" w:rsidRPr="00D85A4F">
        <w:t xml:space="preserve">should also </w:t>
      </w:r>
      <w:r w:rsidR="00E71FA9">
        <w:t xml:space="preserve">address </w:t>
      </w:r>
      <w:r w:rsidR="00025FEB" w:rsidRPr="00D85A4F">
        <w:t xml:space="preserve">plans for the patient’s ongoing management by mental health services once </w:t>
      </w:r>
      <w:r w:rsidR="00E02A3A">
        <w:t xml:space="preserve">the patient is </w:t>
      </w:r>
      <w:r w:rsidR="00025FEB" w:rsidRPr="00D85A4F">
        <w:t>no longer subject to special patient status. Issues of ongoing management are particularly important if there are doubts that the patient will continue to meet the criteria for compulsory treatment.</w:t>
      </w:r>
    </w:p>
    <w:p w14:paraId="58EF1C85" w14:textId="77777777" w:rsidR="00025FEB" w:rsidRPr="00D85A4F" w:rsidRDefault="00025FEB" w:rsidP="00025FEB"/>
    <w:p w14:paraId="6825F773" w14:textId="46BDE9FF" w:rsidR="00025FEB" w:rsidRPr="00D85A4F" w:rsidRDefault="00025FEB" w:rsidP="00300B55">
      <w:pPr>
        <w:pStyle w:val="Table"/>
      </w:pPr>
      <w:bookmarkStart w:id="192" w:name="_Toc112861585"/>
      <w:bookmarkStart w:id="193" w:name="_Toc180593119"/>
      <w:r>
        <w:t xml:space="preserve">Table </w:t>
      </w:r>
      <w:r>
        <w:fldChar w:fldCharType="begin"/>
      </w:r>
      <w:r>
        <w:instrText>SEQ Table \* ARABIC</w:instrText>
      </w:r>
      <w:r>
        <w:fldChar w:fldCharType="separate"/>
      </w:r>
      <w:r w:rsidR="00411DF3">
        <w:rPr>
          <w:noProof/>
        </w:rPr>
        <w:t>12</w:t>
      </w:r>
      <w:r>
        <w:fldChar w:fldCharType="end"/>
      </w:r>
      <w:r>
        <w:t xml:space="preserve">: </w:t>
      </w:r>
      <w:r w:rsidRPr="00DF0810">
        <w:t>Information to support a request for change of legal status (acquitted on account of insanity)</w:t>
      </w:r>
      <w:bookmarkEnd w:id="192"/>
      <w:bookmarkEnd w:id="193"/>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5406E4E3"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1392EE84"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06D4FB79" w14:textId="77777777" w:rsidR="00025FEB" w:rsidRPr="00D85A4F" w:rsidRDefault="00025FEB" w:rsidP="00BB4DC3">
            <w:pPr>
              <w:pStyle w:val="TableText"/>
              <w:keepNext/>
            </w:pPr>
            <w:r w:rsidRPr="00D85A4F">
              <w:t>A letter from the responsible clinician, including:</w:t>
            </w:r>
          </w:p>
          <w:p w14:paraId="33C0094E" w14:textId="77777777" w:rsidR="00025FEB" w:rsidRPr="00D85A4F" w:rsidRDefault="00025FEB" w:rsidP="00D25422">
            <w:pPr>
              <w:pStyle w:val="TableBullet"/>
            </w:pPr>
            <w:r w:rsidRPr="00D85A4F">
              <w:t>a current mental state assessment, including compliance with treatment</w:t>
            </w:r>
          </w:p>
          <w:p w14:paraId="6931BF96" w14:textId="77777777" w:rsidR="00025FEB" w:rsidRPr="00D85A4F" w:rsidRDefault="00025FEB" w:rsidP="00D25422">
            <w:pPr>
              <w:pStyle w:val="TableBullet"/>
            </w:pPr>
            <w:r w:rsidRPr="00D85A4F">
              <w:t>a section 77 certificate of clinical review</w:t>
            </w:r>
          </w:p>
          <w:p w14:paraId="348FDDEC" w14:textId="72FBD39F" w:rsidR="00025FEB" w:rsidRPr="00D85A4F" w:rsidRDefault="00025FEB" w:rsidP="00D25422">
            <w:pPr>
              <w:pStyle w:val="TableBullet"/>
            </w:pPr>
            <w:r w:rsidRPr="00D85A4F">
              <w:t xml:space="preserve">a risk assessment and management plan, including </w:t>
            </w:r>
            <w:r w:rsidR="005B35AE">
              <w:t xml:space="preserve">in regard to </w:t>
            </w:r>
            <w:r w:rsidRPr="00D85A4F">
              <w:t>flight risk.</w:t>
            </w:r>
          </w:p>
          <w:p w14:paraId="0E4166F4" w14:textId="2CC1E972" w:rsidR="00025FEB" w:rsidRPr="00D85A4F" w:rsidRDefault="00025FEB" w:rsidP="00BB4DC3">
            <w:pPr>
              <w:pStyle w:val="TableText"/>
              <w:keepNext/>
            </w:pPr>
            <w:r w:rsidRPr="00D85A4F">
              <w:t xml:space="preserve">If not provided in the SPRP report, the following information should be specifically </w:t>
            </w:r>
            <w:r w:rsidR="00D812FD">
              <w:t xml:space="preserve">provided </w:t>
            </w:r>
            <w:r w:rsidR="001D129C">
              <w:t>in the letter</w:t>
            </w:r>
            <w:r w:rsidRPr="00D85A4F">
              <w:t>:</w:t>
            </w:r>
          </w:p>
          <w:p w14:paraId="7E17454D" w14:textId="77777777" w:rsidR="00025FEB" w:rsidRPr="00D85A4F" w:rsidRDefault="00025FEB" w:rsidP="00D25422">
            <w:pPr>
              <w:pStyle w:val="TableBullet"/>
            </w:pPr>
            <w:r w:rsidRPr="00D85A4F">
              <w:t>how the factors leading to the index offence have been addressed and the measures taken to reduce the chance of future offending</w:t>
            </w:r>
          </w:p>
          <w:p w14:paraId="5DCA90AF" w14:textId="26258F89" w:rsidR="00025FEB" w:rsidRPr="00D85A4F" w:rsidRDefault="00025FEB" w:rsidP="00D25422">
            <w:pPr>
              <w:pStyle w:val="TableBullet"/>
            </w:pPr>
            <w:r w:rsidRPr="00D85A4F">
              <w:t>comment on matters concerning the offending (</w:t>
            </w:r>
            <w:r w:rsidR="009C0472">
              <w:t>eg</w:t>
            </w:r>
            <w:r w:rsidRPr="00D85A4F">
              <w:t>, insight into the offending, relationship with victims)</w:t>
            </w:r>
          </w:p>
          <w:p w14:paraId="3F1D7133" w14:textId="77777777" w:rsidR="00025FEB" w:rsidRPr="00D85A4F" w:rsidRDefault="00025FEB" w:rsidP="00D25422">
            <w:pPr>
              <w:pStyle w:val="TableBullet"/>
            </w:pPr>
            <w:r w:rsidRPr="00D85A4F">
              <w:t>comment on matters relating to the risk presented by the patient, particularly in relation to victims of previous offending</w:t>
            </w:r>
          </w:p>
          <w:p w14:paraId="678C9362" w14:textId="77777777" w:rsidR="00025FEB" w:rsidRPr="00D85A4F" w:rsidRDefault="00025FEB" w:rsidP="00D25422">
            <w:pPr>
              <w:pStyle w:val="TableBullet"/>
            </w:pPr>
            <w:r w:rsidRPr="00D85A4F">
              <w:t>specific comment on alcohol and drug use (including the use of psychoactive substances)</w:t>
            </w:r>
          </w:p>
          <w:p w14:paraId="16FEF8FC" w14:textId="45F4E1CC" w:rsidR="00025FEB" w:rsidRPr="00D85A4F" w:rsidRDefault="00025FEB" w:rsidP="00D25422">
            <w:pPr>
              <w:pStyle w:val="TableBullet"/>
            </w:pPr>
            <w:r w:rsidRPr="00D85A4F">
              <w:t xml:space="preserve">advice of any critical incidents, including possession of weapons, drugs or other prohibited material, and management of </w:t>
            </w:r>
            <w:r w:rsidR="00B567DE">
              <w:t xml:space="preserve">those </w:t>
            </w:r>
            <w:r w:rsidRPr="00D85A4F">
              <w:t>incident</w:t>
            </w:r>
            <w:r w:rsidR="00356EB9">
              <w:t>s</w:t>
            </w:r>
          </w:p>
          <w:p w14:paraId="4EA2A1FB" w14:textId="2944DA06" w:rsidR="00025FEB" w:rsidRPr="00D85A4F" w:rsidRDefault="00854D52" w:rsidP="00D25422">
            <w:pPr>
              <w:pStyle w:val="TableBullet"/>
            </w:pPr>
            <w:r>
              <w:t xml:space="preserve">comment on </w:t>
            </w:r>
            <w:r w:rsidR="00025FEB" w:rsidRPr="00D85A4F">
              <w:t xml:space="preserve">what </w:t>
            </w:r>
            <w:r w:rsidR="00F044A6">
              <w:t>family/</w:t>
            </w:r>
            <w:r w:rsidR="00025FEB" w:rsidRPr="00D85A4F">
              <w:t>wh</w:t>
            </w:r>
            <w:r w:rsidR="00025FEB" w:rsidRPr="00D85A4F">
              <w:rPr>
                <w:rFonts w:cs="Arial"/>
              </w:rPr>
              <w:t>ā</w:t>
            </w:r>
            <w:r w:rsidR="00025FEB" w:rsidRPr="00D85A4F">
              <w:t>nau support is available</w:t>
            </w:r>
          </w:p>
          <w:p w14:paraId="502CEA22" w14:textId="77777777" w:rsidR="00025FEB" w:rsidRPr="00D85A4F" w:rsidRDefault="00025FEB" w:rsidP="00D25422">
            <w:pPr>
              <w:pStyle w:val="TableBullet"/>
            </w:pPr>
            <w:r w:rsidRPr="00D85A4F">
              <w:t>consideration of the needs of any children of the patient, particularly if the index offence took place within the family</w:t>
            </w:r>
          </w:p>
          <w:p w14:paraId="661EECEC" w14:textId="77777777" w:rsidR="00025FEB" w:rsidRPr="00D85A4F" w:rsidRDefault="00025FEB" w:rsidP="00D25422">
            <w:pPr>
              <w:pStyle w:val="TableBullet"/>
            </w:pPr>
            <w:r w:rsidRPr="00D85A4F">
              <w:t>advice on the ways in which the patient meets the criteria of section 33(4) of the CP(MIP) Act</w:t>
            </w:r>
          </w:p>
          <w:p w14:paraId="4B73FA04" w14:textId="5E872C18" w:rsidR="00025FEB" w:rsidRPr="00D85A4F" w:rsidRDefault="00025FEB" w:rsidP="00D25422">
            <w:pPr>
              <w:pStyle w:val="TableBullet"/>
            </w:pPr>
            <w:r w:rsidRPr="00D85A4F">
              <w:t xml:space="preserve">plans for the patient’s ongoing management by mental health services once </w:t>
            </w:r>
            <w:r w:rsidR="000777C1">
              <w:t xml:space="preserve">the patient is </w:t>
            </w:r>
            <w:r w:rsidRPr="00D85A4F">
              <w:t>no longer subject to special patient status, particularly if the patient may not continue to meet the criteria for compulsory treatment.</w:t>
            </w:r>
          </w:p>
          <w:p w14:paraId="3B4B54F4" w14:textId="3CA6B227" w:rsidR="00025FEB" w:rsidRPr="006454DE" w:rsidRDefault="00025FEB" w:rsidP="00BB4DC3">
            <w:pPr>
              <w:pStyle w:val="TableText"/>
            </w:pPr>
            <w:r w:rsidRPr="00D85A4F">
              <w:t>A recent SPRP report must be provided with the application. In practice</w:t>
            </w:r>
            <w:r>
              <w:t>,</w:t>
            </w:r>
            <w:r w:rsidRPr="00D85A4F">
              <w:t xml:space="preserve"> this information will </w:t>
            </w:r>
            <w:r w:rsidR="00E52D8D">
              <w:t>already be available on the patient’s profile in</w:t>
            </w:r>
            <w:r w:rsidRPr="00D85A4F">
              <w:t xml:space="preserve"> the </w:t>
            </w:r>
            <w:r>
              <w:t>SPMS</w:t>
            </w:r>
            <w:r w:rsidRPr="00D85A4F">
              <w:t>.</w:t>
            </w:r>
          </w:p>
        </w:tc>
      </w:tr>
      <w:tr w:rsidR="00025FEB" w:rsidRPr="00DC20BD" w14:paraId="11D8E20D"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2787C6E9"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4208BD99" w14:textId="3B097A13" w:rsidR="00D2612A" w:rsidRDefault="00D2612A" w:rsidP="00BB4DC3">
            <w:pPr>
              <w:pStyle w:val="TableText"/>
            </w:pPr>
            <w:r w:rsidRPr="00D2612A">
              <w:t>If the special patient is subject to registered victim notifications, the Director will notify the registered victim of the application and give them 14 days to make a submission. The Director will then notify the registered victim of the Minister’s decision.</w:t>
            </w:r>
          </w:p>
          <w:p w14:paraId="1EE6A872" w14:textId="759D08DD" w:rsidR="00025FEB" w:rsidRPr="00D85A4F" w:rsidRDefault="00025FEB" w:rsidP="00BB4DC3">
            <w:pPr>
              <w:pStyle w:val="TableText"/>
            </w:pPr>
            <w:r>
              <w:t xml:space="preserve">The </w:t>
            </w:r>
            <w:r w:rsidRPr="00D85A4F">
              <w:t xml:space="preserve">Office of the Director </w:t>
            </w:r>
            <w:r>
              <w:t xml:space="preserve">must </w:t>
            </w:r>
            <w:r w:rsidRPr="00D85A4F">
              <w:t xml:space="preserve">inform the forensic service of the Minister’s decision within </w:t>
            </w:r>
            <w:r w:rsidR="00070348">
              <w:t xml:space="preserve">three </w:t>
            </w:r>
            <w:r w:rsidRPr="00D85A4F">
              <w:t>working days.</w:t>
            </w:r>
          </w:p>
        </w:tc>
      </w:tr>
    </w:tbl>
    <w:p w14:paraId="4864CEE2" w14:textId="77777777" w:rsidR="00025FEB" w:rsidRPr="00D85A4F" w:rsidRDefault="00025FEB" w:rsidP="00025FEB">
      <w:pPr>
        <w:pStyle w:val="Heading2"/>
      </w:pPr>
      <w:bookmarkStart w:id="194" w:name="_Toc377543405"/>
      <w:bookmarkStart w:id="195" w:name="_Toc441658601"/>
      <w:bookmarkStart w:id="196" w:name="_Toc83197082"/>
      <w:bookmarkStart w:id="197" w:name="_Toc112845467"/>
      <w:bookmarkStart w:id="198" w:name="_Toc112862071"/>
      <w:bookmarkStart w:id="199" w:name="_Toc180497421"/>
      <w:r w:rsidRPr="00D85A4F">
        <w:t xml:space="preserve">Unfit to stand trial: </w:t>
      </w:r>
      <w:r>
        <w:t xml:space="preserve">where a </w:t>
      </w:r>
      <w:r w:rsidRPr="00D85A4F">
        <w:t>patient is now considered fit to stand trial</w:t>
      </w:r>
      <w:bookmarkEnd w:id="194"/>
      <w:bookmarkEnd w:id="195"/>
      <w:bookmarkEnd w:id="196"/>
      <w:bookmarkEnd w:id="197"/>
      <w:bookmarkEnd w:id="198"/>
      <w:bookmarkEnd w:id="199"/>
    </w:p>
    <w:p w14:paraId="5E619CDA" w14:textId="0733870B" w:rsidR="00025FEB" w:rsidRPr="00D85A4F" w:rsidRDefault="009F5D65" w:rsidP="00025FEB">
      <w:r>
        <w:t>The Attorney-General makes d</w:t>
      </w:r>
      <w:r w:rsidR="00025FEB" w:rsidRPr="00D85A4F">
        <w:t xml:space="preserve">ecisions on </w:t>
      </w:r>
      <w:r>
        <w:t xml:space="preserve">whether </w:t>
      </w:r>
      <w:r w:rsidR="00025FEB" w:rsidRPr="00D85A4F">
        <w:t xml:space="preserve">special patients who were initially considered unfit to stand trial are subsequently fit to </w:t>
      </w:r>
      <w:r w:rsidR="00D7207E">
        <w:t>do so</w:t>
      </w:r>
      <w:r>
        <w:t xml:space="preserve">, </w:t>
      </w:r>
      <w:r w:rsidR="00025FEB" w:rsidRPr="00D85A4F">
        <w:t>on the basis of advice from the Crown Law Office. In formulating that advice, the Crown Law Office is provided with information from the Director.</w:t>
      </w:r>
    </w:p>
    <w:p w14:paraId="61CB2E7C" w14:textId="77777777" w:rsidR="00025FEB" w:rsidRPr="00D85A4F" w:rsidRDefault="00025FEB" w:rsidP="00025FEB"/>
    <w:p w14:paraId="4AC33C57" w14:textId="77777777" w:rsidR="00025FEB" w:rsidRPr="00D85A4F" w:rsidRDefault="00025FEB" w:rsidP="00025FEB">
      <w:r w:rsidRPr="00D85A4F">
        <w:t>Under section 30 of the CP(MIP) Act, the maximum period of detention for which a defendant who has been found unfit to stand trial can be detained under section 24 as a special patient is:</w:t>
      </w:r>
    </w:p>
    <w:p w14:paraId="63BC91E1" w14:textId="77777777" w:rsidR="00025FEB" w:rsidRPr="00D85A4F" w:rsidRDefault="00025FEB" w:rsidP="00D25422">
      <w:pPr>
        <w:pStyle w:val="Bullet"/>
      </w:pPr>
      <w:r>
        <w:t xml:space="preserve">if </w:t>
      </w:r>
      <w:r w:rsidRPr="00D85A4F">
        <w:t>the defendant was charged with an offence that was punishable by imprisonment for life</w:t>
      </w:r>
      <w:r>
        <w:t>,</w:t>
      </w:r>
      <w:r w:rsidRPr="00D85A4F">
        <w:t xml:space="preserve"> 10 years from the date of the making of the order under section 24 </w:t>
      </w:r>
    </w:p>
    <w:p w14:paraId="54355B80" w14:textId="77777777" w:rsidR="00025FEB" w:rsidRPr="00D85A4F" w:rsidRDefault="00025FEB" w:rsidP="00D25422">
      <w:pPr>
        <w:pStyle w:val="Bullet"/>
      </w:pPr>
      <w:r>
        <w:t>otherwise</w:t>
      </w:r>
      <w:r w:rsidRPr="00D85A4F">
        <w:t>, a period from the date of the order under section 24 equal to half the maximum term of imprisonment to which the defendant would have been liable if they had been convicted of the offence charged.</w:t>
      </w:r>
    </w:p>
    <w:p w14:paraId="1E041385" w14:textId="77777777" w:rsidR="00025FEB" w:rsidRDefault="00025FEB" w:rsidP="00025FEB"/>
    <w:p w14:paraId="1D6D9CE0" w14:textId="77777777" w:rsidR="00025FEB" w:rsidRPr="00D85A4F" w:rsidRDefault="00025FEB" w:rsidP="00025FEB">
      <w:r w:rsidRPr="00D85A4F">
        <w:t>If, before or on the expiry of the maximum period of detention, a certificate is given under the</w:t>
      </w:r>
      <w:r>
        <w:t xml:space="preserve"> Mental Health Act </w:t>
      </w:r>
      <w:r w:rsidRPr="005C3852">
        <w:t xml:space="preserve">to </w:t>
      </w:r>
      <w:r w:rsidRPr="00D85A4F">
        <w:t>the effect that the defendant is no longer unfit to stand trial, the Attorney-General must either:</w:t>
      </w:r>
    </w:p>
    <w:p w14:paraId="112802C3" w14:textId="77777777" w:rsidR="00025FEB" w:rsidRPr="00D85A4F" w:rsidRDefault="00025FEB" w:rsidP="00D25422">
      <w:pPr>
        <w:pStyle w:val="Bullet"/>
      </w:pPr>
      <w:r w:rsidRPr="00D85A4F">
        <w:t>direct that the defendant be brought before the appropriate court; or</w:t>
      </w:r>
    </w:p>
    <w:p w14:paraId="46FEADF5" w14:textId="77777777" w:rsidR="00025FEB" w:rsidRPr="00D85A4F" w:rsidRDefault="00025FEB" w:rsidP="00D25422">
      <w:pPr>
        <w:pStyle w:val="Bullet"/>
      </w:pPr>
      <w:r w:rsidRPr="00D85A4F">
        <w:t xml:space="preserve">direct that the defendant be held as a patient (section 31(2) </w:t>
      </w:r>
      <w:r>
        <w:t xml:space="preserve">of the </w:t>
      </w:r>
      <w:r w:rsidRPr="00D85A4F">
        <w:t>CP(MIP) Act).</w:t>
      </w:r>
    </w:p>
    <w:p w14:paraId="336475E8" w14:textId="77777777" w:rsidR="00025FEB" w:rsidRDefault="00025FEB" w:rsidP="00025FEB"/>
    <w:p w14:paraId="300C2052" w14:textId="77777777" w:rsidR="00025FEB" w:rsidRPr="00D85A4F" w:rsidRDefault="00025FEB" w:rsidP="00025FEB">
      <w:r>
        <w:t>D</w:t>
      </w:r>
      <w:r w:rsidRPr="00807F87">
        <w:t>espite section 31</w:t>
      </w:r>
      <w:r w:rsidRPr="00D85A4F">
        <w:t xml:space="preserve"> of the CP(MIP) Act, on receiving a copy of the certificate of clinical review under section 77(3)</w:t>
      </w:r>
      <w:r>
        <w:t>(c)</w:t>
      </w:r>
      <w:r w:rsidRPr="00D85A4F">
        <w:t xml:space="preserve">, the Attorney-General may, instead of exercising and performing the powers and duties under that section, apply to the </w:t>
      </w:r>
      <w:r>
        <w:t>r</w:t>
      </w:r>
      <w:r w:rsidRPr="00D85A4F">
        <w:t xml:space="preserve">eview </w:t>
      </w:r>
      <w:r>
        <w:t>t</w:t>
      </w:r>
      <w:r w:rsidRPr="00D85A4F">
        <w:t xml:space="preserve">ribunal for a review of the patient’s condition, before making a direction. </w:t>
      </w:r>
    </w:p>
    <w:p w14:paraId="5C40B7DD" w14:textId="77777777" w:rsidR="00025FEB" w:rsidRPr="00D85A4F" w:rsidRDefault="00025FEB" w:rsidP="00025FEB"/>
    <w:p w14:paraId="39DA7D77" w14:textId="512344D4" w:rsidR="00025FEB" w:rsidRPr="00D85A4F" w:rsidRDefault="00025FEB" w:rsidP="00025FEB">
      <w:r>
        <w:t>The Attorney-General must direct that the defendant be held as a patient if:</w:t>
      </w:r>
    </w:p>
    <w:p w14:paraId="0E0C1274" w14:textId="493981E6" w:rsidR="00025FEB" w:rsidRPr="00D85A4F" w:rsidRDefault="00025FEB" w:rsidP="00D25422">
      <w:pPr>
        <w:pStyle w:val="Bullet"/>
      </w:pPr>
      <w:r w:rsidRPr="00D85A4F">
        <w:t>the defendant is still detained as a special patient when the maximum period of detention</w:t>
      </w:r>
      <w:r w:rsidR="00F92BD3">
        <w:t xml:space="preserve"> specified in section 30</w:t>
      </w:r>
      <w:r w:rsidRPr="00D85A4F">
        <w:t> expires</w:t>
      </w:r>
      <w:r w:rsidR="00F92BD3">
        <w:t>; and</w:t>
      </w:r>
    </w:p>
    <w:p w14:paraId="002CA5EA" w14:textId="4E282114" w:rsidR="00025FEB" w:rsidRPr="00D85A4F" w:rsidRDefault="00025FEB" w:rsidP="00D25422">
      <w:pPr>
        <w:pStyle w:val="Bullet"/>
      </w:pPr>
      <w:r w:rsidRPr="00D85A4F">
        <w:t xml:space="preserve">the Attorney-General has not given a direction in respect of the defendant under sections 31(2) or (3); </w:t>
      </w:r>
      <w:r w:rsidR="00F92BD3">
        <w:t>and</w:t>
      </w:r>
    </w:p>
    <w:p w14:paraId="4BE5B735" w14:textId="7B88C92D" w:rsidR="00025FEB" w:rsidRPr="00D85A4F" w:rsidRDefault="00025FEB" w:rsidP="00D25422">
      <w:pPr>
        <w:pStyle w:val="Bullet"/>
      </w:pPr>
      <w:r>
        <w:t xml:space="preserve">no certificate under the </w:t>
      </w:r>
      <w:r w:rsidR="006B2CCB">
        <w:t xml:space="preserve">Mental Health </w:t>
      </w:r>
      <w:r>
        <w:t>Act or the </w:t>
      </w:r>
      <w:hyperlink r:id="rId27">
        <w:r>
          <w:t>Intellectual Disability (Compulsory Care and Rehabilitation) Act 2003</w:t>
        </w:r>
      </w:hyperlink>
      <w:r>
        <w:t xml:space="preserve"> has been given in respect of the defendant (section 31(4) of the CP(MIP) Act).</w:t>
      </w:r>
    </w:p>
    <w:p w14:paraId="46B244BF" w14:textId="77777777" w:rsidR="00025FEB" w:rsidRDefault="00025FEB" w:rsidP="00025FEB"/>
    <w:p w14:paraId="4004291B" w14:textId="002C1865" w:rsidR="00025FEB" w:rsidRPr="00D85A4F" w:rsidRDefault="006B2CCB" w:rsidP="00025FEB">
      <w:r>
        <w:t xml:space="preserve">A </w:t>
      </w:r>
      <w:r w:rsidR="00025FEB">
        <w:t xml:space="preserve">decision about whether </w:t>
      </w:r>
      <w:r w:rsidR="00BD4FCA">
        <w:t xml:space="preserve">a </w:t>
      </w:r>
      <w:r w:rsidR="00025FEB">
        <w:t xml:space="preserve">patient should be returned to court may take several months, as </w:t>
      </w:r>
      <w:r w:rsidR="00010DE8">
        <w:t xml:space="preserve">the </w:t>
      </w:r>
      <w:r w:rsidR="00B069D5">
        <w:t>p</w:t>
      </w:r>
      <w:r w:rsidR="00025FEB">
        <w:t>olice also need to make recommendations to the Crown Law Office. This process may involve finding witnesses and re-examining prosecution files that are several years old.</w:t>
      </w:r>
      <w:r w:rsidR="00FA6985">
        <w:t xml:space="preserve"> In forming their advice to the Attorney-General, Crown Law may request additional documentation </w:t>
      </w:r>
      <w:r w:rsidR="00124B35">
        <w:t xml:space="preserve">from the Ministry of Health, who will </w:t>
      </w:r>
      <w:r w:rsidR="00A12A8D">
        <w:t xml:space="preserve">in turn, request information from the mental health service </w:t>
      </w:r>
      <w:r w:rsidR="00FA6985">
        <w:t xml:space="preserve">to ensure the </w:t>
      </w:r>
      <w:r w:rsidR="00124B35">
        <w:t>Attorney-General</w:t>
      </w:r>
      <w:r w:rsidR="00FA6985">
        <w:t xml:space="preserve"> can be satisfied about the grounds for the decision required. </w:t>
      </w:r>
    </w:p>
    <w:p w14:paraId="7AA9C2DA" w14:textId="77777777" w:rsidR="00025FEB" w:rsidRPr="00D85A4F" w:rsidRDefault="00025FEB" w:rsidP="00025FEB"/>
    <w:p w14:paraId="5DA5216D" w14:textId="6A31D596" w:rsidR="00025FEB" w:rsidRPr="00D85A4F" w:rsidRDefault="00025FEB" w:rsidP="00025FEB">
      <w:r w:rsidRPr="00D85A4F">
        <w:t xml:space="preserve">Note that where a responsible clinician believes that </w:t>
      </w:r>
      <w:r w:rsidR="002A4650">
        <w:t xml:space="preserve">a </w:t>
      </w:r>
      <w:r w:rsidRPr="00D85A4F">
        <w:t>patient is no longer unfit to stand trial</w:t>
      </w:r>
      <w:r w:rsidR="00F92BD3">
        <w:t xml:space="preserve"> in accordance with section </w:t>
      </w:r>
      <w:r w:rsidR="2A896CAE">
        <w:t xml:space="preserve"> 77(3)(c)</w:t>
      </w:r>
      <w:r>
        <w:t>,</w:t>
      </w:r>
      <w:r w:rsidRPr="00D85A4F">
        <w:t xml:space="preserve"> and/or that the patient no longer needs to be subject to the order of detention as a special patient, their report must be sent directly to all of the following people:</w:t>
      </w:r>
    </w:p>
    <w:p w14:paraId="230032BC" w14:textId="77777777" w:rsidR="00025FEB" w:rsidRPr="00D85A4F" w:rsidRDefault="00025FEB" w:rsidP="00D25422">
      <w:pPr>
        <w:pStyle w:val="Bullet"/>
      </w:pPr>
      <w:r>
        <w:t xml:space="preserve">the </w:t>
      </w:r>
      <w:r w:rsidRPr="00D85A4F">
        <w:t xml:space="preserve">Attorney-General </w:t>
      </w:r>
    </w:p>
    <w:p w14:paraId="59A70B7F" w14:textId="1CFF766A" w:rsidR="00025FEB" w:rsidRPr="00D85A4F" w:rsidRDefault="00025FEB" w:rsidP="00D25422">
      <w:pPr>
        <w:pStyle w:val="Bullet"/>
      </w:pPr>
      <w:r w:rsidRPr="00D85A4F">
        <w:t>the Director</w:t>
      </w:r>
    </w:p>
    <w:p w14:paraId="7870DFA0" w14:textId="1F416636" w:rsidR="00025FEB" w:rsidRPr="00D85A4F" w:rsidRDefault="00025FEB" w:rsidP="00D25422">
      <w:pPr>
        <w:pStyle w:val="Bullet"/>
      </w:pPr>
      <w:r w:rsidRPr="00D85A4F">
        <w:t xml:space="preserve">each of the persons specified in section 76(7)(b) of the </w:t>
      </w:r>
      <w:r>
        <w:t>Mental Health Act</w:t>
      </w:r>
      <w:r w:rsidRPr="00D85A4F">
        <w:t xml:space="preserve"> (section 78 </w:t>
      </w:r>
      <w:r>
        <w:t xml:space="preserve">of </w:t>
      </w:r>
      <w:r w:rsidR="009D484D">
        <w:t xml:space="preserve">that </w:t>
      </w:r>
      <w:r>
        <w:t>Act</w:t>
      </w:r>
      <w:r w:rsidRPr="00D85A4F">
        <w:t xml:space="preserve">).  </w:t>
      </w:r>
    </w:p>
    <w:p w14:paraId="1D3FEAD3" w14:textId="77777777" w:rsidR="00025FEB" w:rsidRDefault="00025FEB" w:rsidP="00025FEB"/>
    <w:p w14:paraId="38205122" w14:textId="0C0762CB" w:rsidR="00025FEB" w:rsidRDefault="009C4EEA" w:rsidP="00025FEB">
      <w:r w:rsidRPr="009C4EEA">
        <w:t>Clinical reports should be written to explicitly address the grounds for the decision that the Attorney-General is required to make, and should include the below information</w:t>
      </w:r>
      <w:r>
        <w:t>.</w:t>
      </w:r>
      <w:r w:rsidRPr="009C4EEA">
        <w:t xml:space="preserve"> </w:t>
      </w:r>
      <w:r w:rsidR="00025FEB" w:rsidRPr="00D85A4F">
        <w:t xml:space="preserve">The report therefore needs to reflect the key issues </w:t>
      </w:r>
      <w:r w:rsidR="00CE0881">
        <w:t xml:space="preserve">in regard </w:t>
      </w:r>
      <w:r w:rsidR="00D66477">
        <w:t xml:space="preserve">to </w:t>
      </w:r>
      <w:r w:rsidR="00025FEB" w:rsidRPr="00D85A4F">
        <w:t>the patient’s progress and management rather than being a detailed clinical summary.</w:t>
      </w:r>
    </w:p>
    <w:p w14:paraId="4AD54CD5" w14:textId="77777777" w:rsidR="00025FEB" w:rsidRDefault="00025FEB" w:rsidP="00025FEB"/>
    <w:p w14:paraId="73F16C28" w14:textId="711A804F" w:rsidR="00025FEB" w:rsidRPr="00D85A4F" w:rsidRDefault="00025FEB" w:rsidP="00300B55">
      <w:pPr>
        <w:pStyle w:val="Table"/>
      </w:pPr>
      <w:bookmarkStart w:id="200" w:name="_Toc112861586"/>
      <w:bookmarkStart w:id="201" w:name="_Toc180593120"/>
      <w:r>
        <w:t xml:space="preserve">Table </w:t>
      </w:r>
      <w:r>
        <w:fldChar w:fldCharType="begin"/>
      </w:r>
      <w:r>
        <w:instrText>SEQ Table \* ARABIC</w:instrText>
      </w:r>
      <w:r>
        <w:fldChar w:fldCharType="separate"/>
      </w:r>
      <w:r w:rsidR="00411DF3">
        <w:rPr>
          <w:noProof/>
        </w:rPr>
        <w:t>13</w:t>
      </w:r>
      <w:r>
        <w:fldChar w:fldCharType="end"/>
      </w:r>
      <w:r>
        <w:t xml:space="preserve">: </w:t>
      </w:r>
      <w:r w:rsidRPr="00DF0810">
        <w:t>Information to support a request for change of status for a special patient now fit to stand trial</w:t>
      </w:r>
      <w:bookmarkEnd w:id="200"/>
      <w:bookmarkEnd w:id="201"/>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6F3C6117"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0FCF2023"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18109DE2" w14:textId="77777777" w:rsidR="00025FEB" w:rsidRPr="00D85A4F" w:rsidRDefault="00025FEB" w:rsidP="00BB4DC3">
            <w:pPr>
              <w:pStyle w:val="TableText"/>
            </w:pPr>
            <w:r w:rsidRPr="00D85A4F">
              <w:t>A report from the responsible clinician, including:</w:t>
            </w:r>
          </w:p>
          <w:p w14:paraId="50859F4C" w14:textId="77777777" w:rsidR="00025FEB" w:rsidRPr="00D85A4F" w:rsidRDefault="00025FEB" w:rsidP="00D25422">
            <w:pPr>
              <w:pStyle w:val="TableBullet"/>
            </w:pPr>
            <w:r w:rsidRPr="00D85A4F">
              <w:t>a current mental state assessment, including compliance with treatment</w:t>
            </w:r>
          </w:p>
          <w:p w14:paraId="313D094B" w14:textId="77777777" w:rsidR="00025FEB" w:rsidRPr="00D85A4F" w:rsidRDefault="00025FEB" w:rsidP="00D25422">
            <w:pPr>
              <w:pStyle w:val="TableBullet"/>
            </w:pPr>
            <w:r w:rsidRPr="00D85A4F">
              <w:t>a section 77 certificate of clinical review.</w:t>
            </w:r>
          </w:p>
          <w:p w14:paraId="0D9A3E31" w14:textId="74E2D9D4" w:rsidR="00025FEB" w:rsidRPr="00D85A4F" w:rsidRDefault="00025FEB" w:rsidP="00BB4DC3">
            <w:pPr>
              <w:pStyle w:val="TableText"/>
            </w:pPr>
            <w:r w:rsidRPr="00D85A4F">
              <w:t xml:space="preserve">If not provided in the SPRP report, the following information should be specifically </w:t>
            </w:r>
            <w:r w:rsidR="00C3022F">
              <w:t>provided in the letter</w:t>
            </w:r>
            <w:r w:rsidRPr="00D85A4F">
              <w:t>:</w:t>
            </w:r>
          </w:p>
          <w:p w14:paraId="71509D43" w14:textId="77777777" w:rsidR="00025FEB" w:rsidRPr="00D85A4F" w:rsidRDefault="00025FEB" w:rsidP="00D25422">
            <w:pPr>
              <w:pStyle w:val="TableBullet"/>
            </w:pPr>
            <w:r w:rsidRPr="00D85A4F">
              <w:t>comment specifically addressing the patient’s fitness to stand trial</w:t>
            </w:r>
          </w:p>
          <w:p w14:paraId="3CAE0DC6" w14:textId="77777777" w:rsidR="00025FEB" w:rsidRPr="00D85A4F" w:rsidRDefault="00025FEB" w:rsidP="00D25422">
            <w:pPr>
              <w:pStyle w:val="TableBullet"/>
            </w:pPr>
            <w:r w:rsidRPr="00D85A4F">
              <w:t>how the factors leading to the index offence have been addressed and the measures taken to reduce the chance of future offending</w:t>
            </w:r>
          </w:p>
          <w:p w14:paraId="7C533746" w14:textId="77777777" w:rsidR="00025FEB" w:rsidRPr="00D85A4F" w:rsidRDefault="00025FEB" w:rsidP="00D25422">
            <w:pPr>
              <w:pStyle w:val="TableBullet"/>
            </w:pPr>
            <w:r w:rsidRPr="00D85A4F">
              <w:t>specific co</w:t>
            </w:r>
            <w:r w:rsidRPr="00E17CF3">
              <w:t>mme</w:t>
            </w:r>
            <w:r w:rsidRPr="00D85A4F">
              <w:t>nt on alcohol and drug use</w:t>
            </w:r>
          </w:p>
          <w:p w14:paraId="1F7C6A2C" w14:textId="77777777" w:rsidR="00025FEB" w:rsidRPr="00D85A4F" w:rsidRDefault="00025FEB" w:rsidP="00D25422">
            <w:pPr>
              <w:pStyle w:val="TableBullet"/>
            </w:pPr>
            <w:r w:rsidRPr="00D85A4F">
              <w:t>plans for the patient’s ongoing management by mental health services if a decision is reached that they should be detained subject to compulsory treatment status – this is particularly important if the patient may not continue to meet the criteria for compulsory treatment</w:t>
            </w:r>
          </w:p>
          <w:p w14:paraId="0301E9A3" w14:textId="77777777" w:rsidR="00025FEB" w:rsidRPr="00D85A4F" w:rsidRDefault="00025FEB" w:rsidP="00D25422">
            <w:pPr>
              <w:pStyle w:val="TableBullet"/>
            </w:pPr>
            <w:r w:rsidRPr="00D85A4F">
              <w:t>flight risk assessment and management</w:t>
            </w:r>
          </w:p>
          <w:p w14:paraId="7B6CC8E9" w14:textId="77777777" w:rsidR="00025FEB" w:rsidRPr="00D85A4F" w:rsidRDefault="00025FEB" w:rsidP="00D25422">
            <w:pPr>
              <w:pStyle w:val="TableBullet"/>
            </w:pPr>
            <w:r w:rsidRPr="00D85A4F">
              <w:t>consideration of the needs of any children of the patient, particularly if the index offence took place within the family.</w:t>
            </w:r>
          </w:p>
          <w:p w14:paraId="1764836B" w14:textId="3DCB8204" w:rsidR="00025FEB" w:rsidRPr="00D85A4F" w:rsidRDefault="00025FEB" w:rsidP="00D25422">
            <w:pPr>
              <w:pStyle w:val="TableBullet"/>
            </w:pPr>
            <w:r w:rsidRPr="00D85A4F">
              <w:t>comment on matters relating to the offending (</w:t>
            </w:r>
            <w:r w:rsidR="009C0472">
              <w:t>eg</w:t>
            </w:r>
            <w:r w:rsidRPr="00D85A4F">
              <w:t>, insight into the offending, relationship with victims)</w:t>
            </w:r>
          </w:p>
          <w:p w14:paraId="06125227" w14:textId="77777777" w:rsidR="00025FEB" w:rsidRPr="00D85A4F" w:rsidRDefault="00025FEB" w:rsidP="00D25422">
            <w:pPr>
              <w:pStyle w:val="TableBullet"/>
            </w:pPr>
            <w:r w:rsidRPr="00D85A4F">
              <w:t>comment on matters relating to the risk presented by the patient, particularly in relation to victims of previous offending</w:t>
            </w:r>
          </w:p>
          <w:p w14:paraId="07E65114" w14:textId="77777777" w:rsidR="00025FEB" w:rsidRPr="00D85A4F" w:rsidRDefault="00025FEB" w:rsidP="00D25422">
            <w:pPr>
              <w:pStyle w:val="TableBullet"/>
            </w:pPr>
            <w:r w:rsidRPr="00D85A4F">
              <w:t xml:space="preserve">if relevant, advice on whether the patient meets the criteria for an insanity plea. </w:t>
            </w:r>
          </w:p>
          <w:p w14:paraId="29C11481" w14:textId="6144A7C3" w:rsidR="00025FEB" w:rsidRPr="006454DE" w:rsidRDefault="00025FEB" w:rsidP="00BB4DC3">
            <w:pPr>
              <w:pStyle w:val="TableText"/>
            </w:pPr>
            <w:r w:rsidRPr="00D85A4F">
              <w:t xml:space="preserve">A recent SPRP report must be provided with the application. </w:t>
            </w:r>
            <w:r w:rsidR="004B51E0">
              <w:t xml:space="preserve">In practice, this information will </w:t>
            </w:r>
            <w:r w:rsidR="004B51E0" w:rsidRPr="004B51E0">
              <w:t>already be available on the patient’s profile in the SPMS</w:t>
            </w:r>
            <w:r w:rsidRPr="00D85A4F">
              <w:t>.</w:t>
            </w:r>
          </w:p>
        </w:tc>
      </w:tr>
      <w:tr w:rsidR="00025FEB" w:rsidRPr="00DC20BD" w14:paraId="6299A4B9"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7A65B373"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2AA24BF9" w14:textId="77777777" w:rsidR="00025FEB" w:rsidRPr="00D85A4F" w:rsidRDefault="00025FEB" w:rsidP="00BB4DC3">
            <w:pPr>
              <w:pStyle w:val="TableText"/>
            </w:pPr>
            <w:r>
              <w:t xml:space="preserve">The </w:t>
            </w:r>
            <w:r w:rsidRPr="00D85A4F">
              <w:t xml:space="preserve">Office of the Director </w:t>
            </w:r>
            <w:r>
              <w:t xml:space="preserve">must </w:t>
            </w:r>
            <w:r w:rsidRPr="00D85A4F">
              <w:t xml:space="preserve">send </w:t>
            </w:r>
            <w:r>
              <w:t xml:space="preserve">the </w:t>
            </w:r>
            <w:r w:rsidRPr="00D85A4F">
              <w:t xml:space="preserve">covering letter and associated material to </w:t>
            </w:r>
            <w:r>
              <w:t xml:space="preserve">the </w:t>
            </w:r>
            <w:r w:rsidRPr="00D85A4F">
              <w:t>Crown Law office within 10 working days of receipt.</w:t>
            </w:r>
          </w:p>
          <w:p w14:paraId="2F49596A" w14:textId="4347B1CA" w:rsidR="00025FEB" w:rsidRPr="00D85A4F" w:rsidRDefault="00025FEB" w:rsidP="00BB4DC3">
            <w:pPr>
              <w:pStyle w:val="TableText"/>
            </w:pPr>
            <w:r w:rsidRPr="00D85A4F">
              <w:t xml:space="preserve">Note: because of the need to access information from the </w:t>
            </w:r>
            <w:r>
              <w:t>p</w:t>
            </w:r>
            <w:r w:rsidRPr="00D85A4F">
              <w:t>olice, decisions from the Attorney-General can take several months.</w:t>
            </w:r>
          </w:p>
          <w:p w14:paraId="2BF7F5B3" w14:textId="2E81CD34" w:rsidR="00025FEB" w:rsidRPr="00D85A4F" w:rsidRDefault="00025FEB" w:rsidP="00BB4DC3">
            <w:pPr>
              <w:pStyle w:val="TableText"/>
            </w:pPr>
            <w:r w:rsidRPr="00D85A4F">
              <w:t>Incomplete information will result in delays in providing a report to the Crown Law Office.</w:t>
            </w:r>
          </w:p>
        </w:tc>
      </w:tr>
    </w:tbl>
    <w:p w14:paraId="3B513F19" w14:textId="77777777" w:rsidR="00025FEB" w:rsidRPr="00D85A4F" w:rsidRDefault="00025FEB" w:rsidP="00025FEB"/>
    <w:p w14:paraId="36EE7F85" w14:textId="77777777" w:rsidR="00025FEB" w:rsidRPr="00D85A4F" w:rsidRDefault="00025FEB" w:rsidP="00025FEB">
      <w:r>
        <w:t xml:space="preserve">A </w:t>
      </w:r>
      <w:r w:rsidRPr="00D85A4F">
        <w:t xml:space="preserve">patient who is directed to return to </w:t>
      </w:r>
      <w:r>
        <w:t>c</w:t>
      </w:r>
      <w:r w:rsidRPr="00D85A4F">
        <w:t xml:space="preserve">ourt should continue to be treated as a special patient until the </w:t>
      </w:r>
      <w:r>
        <w:t>c</w:t>
      </w:r>
      <w:r w:rsidRPr="00D85A4F">
        <w:t>ourt has made a decision about the patient’s future status.</w:t>
      </w:r>
    </w:p>
    <w:p w14:paraId="769ED832" w14:textId="77777777" w:rsidR="00025FEB" w:rsidRPr="00D85A4F" w:rsidRDefault="00025FEB" w:rsidP="00025FEB"/>
    <w:p w14:paraId="46D8EFEC" w14:textId="77777777" w:rsidR="00025FEB" w:rsidRPr="00D85A4F" w:rsidRDefault="00025FEB" w:rsidP="00025FEB">
      <w:r w:rsidRPr="00D85A4F">
        <w:t xml:space="preserve">The </w:t>
      </w:r>
      <w:r>
        <w:t>c</w:t>
      </w:r>
      <w:r w:rsidRPr="00D85A4F">
        <w:t xml:space="preserve">ourt may order that a person be detained in a hospital or secure facility for the purpose of an assessment under </w:t>
      </w:r>
      <w:r w:rsidRPr="00E1307D">
        <w:t>section 38 of the CP(MIP)</w:t>
      </w:r>
      <w:r w:rsidRPr="00D85A4F">
        <w:t xml:space="preserve"> Act, in which case they continue to be a special patient.</w:t>
      </w:r>
    </w:p>
    <w:p w14:paraId="0B791105" w14:textId="77777777" w:rsidR="00025FEB" w:rsidRPr="00D85A4F" w:rsidRDefault="00025FEB" w:rsidP="00025FEB"/>
    <w:p w14:paraId="3E8EAFF4" w14:textId="04259160" w:rsidR="00025FEB" w:rsidRPr="00D85A4F" w:rsidRDefault="00025FEB" w:rsidP="00025FEB">
      <w:r w:rsidRPr="00D85A4F">
        <w:t xml:space="preserve">If, on returning to </w:t>
      </w:r>
      <w:r>
        <w:t>c</w:t>
      </w:r>
      <w:r w:rsidRPr="00D85A4F">
        <w:t>ourt, the patient is remanded on bail, the DAMHS</w:t>
      </w:r>
      <w:r w:rsidR="001E63CA">
        <w:t>,</w:t>
      </w:r>
      <w:r w:rsidRPr="00D85A4F">
        <w:t xml:space="preserve"> in consultation with the patient’s responsible clinician</w:t>
      </w:r>
      <w:r w:rsidR="001E63CA">
        <w:t>,</w:t>
      </w:r>
      <w:r w:rsidRPr="00D85A4F">
        <w:t xml:space="preserve"> should consider whether it is appropriate for an application to be made under the </w:t>
      </w:r>
      <w:r>
        <w:t>Mental Health Act</w:t>
      </w:r>
      <w:r w:rsidRPr="00D85A4F">
        <w:t xml:space="preserve"> to ensure ongoing treatment until such time as the </w:t>
      </w:r>
      <w:r>
        <w:t>c</w:t>
      </w:r>
      <w:r w:rsidRPr="00D85A4F">
        <w:t>ourt determines the appropriate disposition for the patient.</w:t>
      </w:r>
    </w:p>
    <w:p w14:paraId="0300F3E5" w14:textId="77777777" w:rsidR="00025FEB" w:rsidRPr="00D85A4F" w:rsidRDefault="00025FEB" w:rsidP="00025FEB"/>
    <w:p w14:paraId="569939E8" w14:textId="667B1D33" w:rsidR="00025FEB" w:rsidRPr="00D85A4F" w:rsidRDefault="00025FEB" w:rsidP="00025FEB">
      <w:pPr>
        <w:pStyle w:val="Heading2"/>
      </w:pPr>
      <w:bookmarkStart w:id="202" w:name="_Toc377543406"/>
      <w:bookmarkStart w:id="203" w:name="_Toc441658602"/>
      <w:bookmarkStart w:id="204" w:name="_Toc83197083"/>
      <w:bookmarkStart w:id="205" w:name="_Toc112845468"/>
      <w:bookmarkStart w:id="206" w:name="_Toc112862072"/>
      <w:bookmarkStart w:id="207" w:name="_Toc180497422"/>
      <w:r w:rsidRPr="00D85A4F">
        <w:t>Unfit to stand trial: end of maximum period of detention</w:t>
      </w:r>
      <w:bookmarkEnd w:id="202"/>
      <w:bookmarkEnd w:id="203"/>
      <w:bookmarkEnd w:id="204"/>
      <w:bookmarkEnd w:id="205"/>
      <w:bookmarkEnd w:id="206"/>
      <w:bookmarkEnd w:id="207"/>
    </w:p>
    <w:p w14:paraId="4F4F6F72" w14:textId="1F9EC5DF" w:rsidR="00025FEB" w:rsidRPr="00D85A4F" w:rsidRDefault="00025FEB" w:rsidP="00025FEB">
      <w:pPr>
        <w:keepLines/>
      </w:pPr>
      <w:r>
        <w:t>Special patients found unfit to stand trial remain subject to special patient status for the maximum period of detention (see section 8.2 above). Although the patient’s legal status automatically changes from ‘special patient’ to ‘patient’ at the end of the maximum period of detention, the Attorney-General is still required to provide a direction in relation to the change of status (section 31(4) of the CP(MIP) Act). In effect, this means that that the Office of the Director will send a covering letter and accompanying material to the Crown Law Office.</w:t>
      </w:r>
      <w:r w:rsidR="00EC47B1">
        <w:t xml:space="preserve"> The accompanying material will usually consist of </w:t>
      </w:r>
      <w:r w:rsidR="00C3399A">
        <w:t xml:space="preserve">the court order, SPRP summary, </w:t>
      </w:r>
      <w:r w:rsidR="00297C4F">
        <w:t>certificate of clinical re</w:t>
      </w:r>
      <w:r w:rsidR="00F67963">
        <w:t xml:space="preserve">view given under section </w:t>
      </w:r>
      <w:r w:rsidR="00846CCC">
        <w:t>77(3) of the Mental Health Act</w:t>
      </w:r>
      <w:r w:rsidR="00A43508">
        <w:t xml:space="preserve">, and the clinical report given under </w:t>
      </w:r>
      <w:r w:rsidR="008F6ECF">
        <w:t>this section. Clinical reports should be written to explicitly address the grounds for the decision that the Attorney-General is required to make, and should include the below information.</w:t>
      </w:r>
    </w:p>
    <w:p w14:paraId="3573440D" w14:textId="77777777" w:rsidR="00025FEB" w:rsidRDefault="00025FEB" w:rsidP="00025FEB"/>
    <w:p w14:paraId="2206862F" w14:textId="445532C4" w:rsidR="00025FEB" w:rsidRPr="00D85A4F" w:rsidRDefault="00025FEB" w:rsidP="00300B55">
      <w:pPr>
        <w:pStyle w:val="Table"/>
      </w:pPr>
      <w:bookmarkStart w:id="208" w:name="_Toc112861587"/>
      <w:bookmarkStart w:id="209" w:name="_Toc180593121"/>
      <w:r>
        <w:t xml:space="preserve">Table </w:t>
      </w:r>
      <w:r>
        <w:fldChar w:fldCharType="begin"/>
      </w:r>
      <w:r>
        <w:instrText>SEQ Table \* ARABIC</w:instrText>
      </w:r>
      <w:r>
        <w:fldChar w:fldCharType="separate"/>
      </w:r>
      <w:r w:rsidR="00411DF3">
        <w:rPr>
          <w:noProof/>
        </w:rPr>
        <w:t>14</w:t>
      </w:r>
      <w:r>
        <w:fldChar w:fldCharType="end"/>
      </w:r>
      <w:r>
        <w:t xml:space="preserve">: </w:t>
      </w:r>
      <w:r w:rsidRPr="00DF0810">
        <w:t>Information to support a change of status for a special patient at the end of the maximum period of detention</w:t>
      </w:r>
      <w:bookmarkEnd w:id="208"/>
      <w:bookmarkEnd w:id="209"/>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36981B67"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6F567C48"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63EAD3BC" w14:textId="77777777" w:rsidR="00025FEB" w:rsidRPr="00D85A4F" w:rsidRDefault="00025FEB" w:rsidP="00BB4DC3">
            <w:pPr>
              <w:pStyle w:val="TableText"/>
            </w:pPr>
            <w:r w:rsidRPr="00D85A4F">
              <w:t>A letter from the responsible clinician, including:</w:t>
            </w:r>
          </w:p>
          <w:p w14:paraId="42C9BD9F" w14:textId="77777777" w:rsidR="00025FEB" w:rsidRPr="00D85A4F" w:rsidRDefault="00025FEB" w:rsidP="00D25422">
            <w:pPr>
              <w:pStyle w:val="TableBullet"/>
            </w:pPr>
            <w:r w:rsidRPr="00D85A4F">
              <w:t>a current mental state assessment, including compliance with treatment</w:t>
            </w:r>
          </w:p>
          <w:p w14:paraId="507C4CEF" w14:textId="77777777" w:rsidR="00025FEB" w:rsidRPr="00D85A4F" w:rsidRDefault="00025FEB" w:rsidP="00D25422">
            <w:pPr>
              <w:pStyle w:val="TableBullet"/>
            </w:pPr>
            <w:r w:rsidRPr="00D85A4F">
              <w:t>a section 77 certificate of clinical review.</w:t>
            </w:r>
          </w:p>
          <w:p w14:paraId="4BA0544D" w14:textId="49247011" w:rsidR="00025FEB" w:rsidRPr="00D85A4F" w:rsidRDefault="00025FEB" w:rsidP="00BB4DC3">
            <w:pPr>
              <w:pStyle w:val="TableText"/>
            </w:pPr>
            <w:r w:rsidRPr="00D85A4F">
              <w:t xml:space="preserve">If not provided in </w:t>
            </w:r>
            <w:r w:rsidR="00C6492A">
              <w:t xml:space="preserve">the </w:t>
            </w:r>
            <w:r w:rsidRPr="00D85A4F">
              <w:t xml:space="preserve">SPRP report, the following information should be specifically </w:t>
            </w:r>
            <w:r w:rsidR="00C6492A">
              <w:t>provided in the letter</w:t>
            </w:r>
            <w:r w:rsidRPr="00D85A4F">
              <w:t>:</w:t>
            </w:r>
          </w:p>
          <w:p w14:paraId="60CEE1E4" w14:textId="6153BE86" w:rsidR="00025FEB" w:rsidRPr="00D85A4F" w:rsidRDefault="00025FEB" w:rsidP="00D25422">
            <w:pPr>
              <w:pStyle w:val="TableBullet"/>
            </w:pPr>
            <w:r w:rsidRPr="00D85A4F">
              <w:t>how the factors leading to the index offence have been addressed and the measure</w:t>
            </w:r>
            <w:r w:rsidR="00B36E32">
              <w:t>s</w:t>
            </w:r>
            <w:r w:rsidRPr="00D85A4F">
              <w:t xml:space="preserve"> taken to reduce the chance of future offending</w:t>
            </w:r>
          </w:p>
          <w:p w14:paraId="7BBCD273" w14:textId="77777777" w:rsidR="00025FEB" w:rsidRPr="00D85A4F" w:rsidRDefault="00025FEB" w:rsidP="00D25422">
            <w:pPr>
              <w:pStyle w:val="TableBullet"/>
            </w:pPr>
            <w:r w:rsidRPr="00D85A4F">
              <w:t>specific comment on alcohol and drug use</w:t>
            </w:r>
          </w:p>
          <w:p w14:paraId="15E271D4" w14:textId="77777777" w:rsidR="00025FEB" w:rsidRPr="00D85A4F" w:rsidRDefault="00025FEB" w:rsidP="00D25422">
            <w:pPr>
              <w:pStyle w:val="TableBullet"/>
            </w:pPr>
            <w:r w:rsidRPr="00D85A4F">
              <w:t>plans for the patient’s ongoing management by mental health services if a decision is reached that they should be detained subject to compulsory treatment status – this is particularly important if the patient may not continue to meet the criteria for compulsory treatment</w:t>
            </w:r>
          </w:p>
          <w:p w14:paraId="2B3582CC" w14:textId="77777777" w:rsidR="00025FEB" w:rsidRPr="00D85A4F" w:rsidRDefault="00025FEB" w:rsidP="00D25422">
            <w:pPr>
              <w:pStyle w:val="TableBullet"/>
            </w:pPr>
            <w:r w:rsidRPr="00D85A4F">
              <w:t>flight risk assessment and management</w:t>
            </w:r>
          </w:p>
          <w:p w14:paraId="3EE7891A" w14:textId="775AFD1D" w:rsidR="00025FEB" w:rsidRPr="00D85A4F" w:rsidRDefault="00854D52" w:rsidP="00D25422">
            <w:pPr>
              <w:pStyle w:val="TableBullet"/>
            </w:pPr>
            <w:r>
              <w:t xml:space="preserve">comment on </w:t>
            </w:r>
            <w:r w:rsidR="00025FEB" w:rsidRPr="00D85A4F">
              <w:t xml:space="preserve">what </w:t>
            </w:r>
            <w:r w:rsidR="00F044A6">
              <w:t>family/</w:t>
            </w:r>
            <w:r w:rsidR="00025FEB" w:rsidRPr="00D85A4F">
              <w:t>wh</w:t>
            </w:r>
            <w:r w:rsidR="00025FEB" w:rsidRPr="00D85A4F">
              <w:rPr>
                <w:rFonts w:cs="Arial"/>
              </w:rPr>
              <w:t>ā</w:t>
            </w:r>
            <w:r w:rsidR="00025FEB" w:rsidRPr="00D85A4F">
              <w:t>nau support is available</w:t>
            </w:r>
          </w:p>
          <w:p w14:paraId="53837EBD" w14:textId="77777777" w:rsidR="00025FEB" w:rsidRPr="00D85A4F" w:rsidRDefault="00025FEB" w:rsidP="00D25422">
            <w:pPr>
              <w:pStyle w:val="TableBullet"/>
            </w:pPr>
            <w:r w:rsidRPr="00D85A4F">
              <w:t>consideration of the needs of any children of the patient, particularly if the index offence took place within the family</w:t>
            </w:r>
          </w:p>
          <w:p w14:paraId="76A1FFC2" w14:textId="15EC25D4" w:rsidR="00025FEB" w:rsidRPr="00D85A4F" w:rsidRDefault="00025FEB" w:rsidP="00D25422">
            <w:pPr>
              <w:pStyle w:val="TableBullet"/>
            </w:pPr>
            <w:r w:rsidRPr="00D85A4F">
              <w:t>comment on matters relating to the offending (</w:t>
            </w:r>
            <w:r w:rsidR="009C0472">
              <w:t>eg</w:t>
            </w:r>
            <w:r w:rsidRPr="00D85A4F">
              <w:t>, insight into the offending, relationship with victims).</w:t>
            </w:r>
          </w:p>
          <w:p w14:paraId="3FDDB348" w14:textId="6876E6F6" w:rsidR="00025FEB" w:rsidRPr="00D85A4F" w:rsidRDefault="00025FEB" w:rsidP="00D25422">
            <w:pPr>
              <w:pStyle w:val="TableBullet"/>
            </w:pPr>
            <w:r w:rsidRPr="00D85A4F">
              <w:t>comment on matters relating to the risk presented by the patient, particularly in relation to victims of previous offending</w:t>
            </w:r>
            <w:r w:rsidR="001E6004">
              <w:t>.</w:t>
            </w:r>
          </w:p>
          <w:p w14:paraId="54114BDC" w14:textId="744B674A" w:rsidR="00025FEB" w:rsidRPr="006454DE" w:rsidRDefault="00025FEB" w:rsidP="00BB4DC3">
            <w:pPr>
              <w:pStyle w:val="TableText"/>
            </w:pPr>
            <w:r w:rsidRPr="00D85A4F">
              <w:t>A recent SPRP report must be provided with the application. In practice</w:t>
            </w:r>
            <w:r>
              <w:t>,</w:t>
            </w:r>
            <w:r w:rsidRPr="00D85A4F">
              <w:t xml:space="preserve"> this information will be uploaded into the </w:t>
            </w:r>
            <w:r>
              <w:t>SPMS</w:t>
            </w:r>
            <w:r w:rsidR="00855084">
              <w:t xml:space="preserve"> via a change of legal status application</w:t>
            </w:r>
            <w:r w:rsidRPr="00D85A4F">
              <w:t>.</w:t>
            </w:r>
          </w:p>
        </w:tc>
      </w:tr>
      <w:tr w:rsidR="00025FEB" w:rsidRPr="00DC20BD" w14:paraId="49AC64E0"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04600827"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473EB7C5" w14:textId="06A33D17" w:rsidR="00025FEB" w:rsidRDefault="00025FEB" w:rsidP="00550072">
            <w:pPr>
              <w:pStyle w:val="TableText"/>
            </w:pPr>
            <w:r>
              <w:t xml:space="preserve">The Office of the Director will </w:t>
            </w:r>
            <w:r w:rsidRPr="00D85A4F">
              <w:t xml:space="preserve">receive a signed </w:t>
            </w:r>
            <w:r w:rsidR="002774A5">
              <w:t>direction</w:t>
            </w:r>
            <w:r w:rsidR="002774A5" w:rsidRPr="00D85A4F">
              <w:t xml:space="preserve"> </w:t>
            </w:r>
            <w:r w:rsidRPr="00D85A4F">
              <w:t xml:space="preserve">from the Attorney-General, </w:t>
            </w:r>
            <w:r w:rsidR="00550072">
              <w:t>which will be sent</w:t>
            </w:r>
            <w:r w:rsidRPr="00D85A4F">
              <w:t xml:space="preserve"> to the DAMHS upon receipt.</w:t>
            </w:r>
          </w:p>
          <w:p w14:paraId="24BB8A11" w14:textId="7BFAAF5E" w:rsidR="00074F8D" w:rsidRPr="00D85A4F" w:rsidRDefault="00074F8D" w:rsidP="00BB4DC3">
            <w:pPr>
              <w:pStyle w:val="TableText"/>
            </w:pPr>
            <w:r>
              <w:t>See table 15 for further information on timeframes.</w:t>
            </w:r>
          </w:p>
        </w:tc>
      </w:tr>
    </w:tbl>
    <w:p w14:paraId="75A6AFC7" w14:textId="1967D9CA" w:rsidR="00025FEB" w:rsidRDefault="00025FEB" w:rsidP="00025FEB"/>
    <w:p w14:paraId="401ADE7E" w14:textId="61D665E2" w:rsidR="00F0504F" w:rsidRDefault="00F0504F" w:rsidP="00025FEB"/>
    <w:p w14:paraId="790F6E55" w14:textId="77777777" w:rsidR="00F0504F" w:rsidRDefault="00F0504F" w:rsidP="00025FEB"/>
    <w:p w14:paraId="16B24D4C" w14:textId="3D7810F2" w:rsidR="00025FEB" w:rsidRPr="00621805" w:rsidRDefault="00025FEB" w:rsidP="00025FEB">
      <w:pPr>
        <w:rPr>
          <w:szCs w:val="22"/>
        </w:rPr>
      </w:pPr>
      <w:r w:rsidRPr="00621805">
        <w:rPr>
          <w:szCs w:val="22"/>
        </w:rPr>
        <w:t>The status of a special patient following the maximum period of detention, but before receipt of the Attorney</w:t>
      </w:r>
      <w:r w:rsidR="009C0472">
        <w:rPr>
          <w:szCs w:val="22"/>
        </w:rPr>
        <w:t>-</w:t>
      </w:r>
      <w:r w:rsidRPr="00621805">
        <w:rPr>
          <w:szCs w:val="22"/>
        </w:rPr>
        <w:t>General's direction, is unclear. The Ministry recommends that the patient continue to be regarded as a special patient until the DAMHS has received the Attorney</w:t>
      </w:r>
      <w:r w:rsidR="009C0472">
        <w:rPr>
          <w:szCs w:val="22"/>
        </w:rPr>
        <w:t>-</w:t>
      </w:r>
      <w:r w:rsidRPr="00621805">
        <w:rPr>
          <w:szCs w:val="22"/>
        </w:rPr>
        <w:t>General's direction.</w:t>
      </w:r>
    </w:p>
    <w:p w14:paraId="514C1495" w14:textId="77777777" w:rsidR="00025FEB" w:rsidRDefault="00025FEB" w:rsidP="00025FEB"/>
    <w:p w14:paraId="6EBE65E7" w14:textId="1C0C58BC" w:rsidR="00025FEB" w:rsidRPr="00D85A4F" w:rsidRDefault="00025FEB" w:rsidP="00300B55">
      <w:pPr>
        <w:pStyle w:val="Table"/>
      </w:pPr>
      <w:bookmarkStart w:id="210" w:name="_Toc112861588"/>
      <w:bookmarkStart w:id="211" w:name="_Toc180593122"/>
      <w:r>
        <w:t xml:space="preserve">Table </w:t>
      </w:r>
      <w:r>
        <w:fldChar w:fldCharType="begin"/>
      </w:r>
      <w:r>
        <w:instrText>SEQ Table \* ARABIC</w:instrText>
      </w:r>
      <w:r>
        <w:fldChar w:fldCharType="separate"/>
      </w:r>
      <w:r w:rsidR="00411DF3">
        <w:rPr>
          <w:noProof/>
        </w:rPr>
        <w:t>15</w:t>
      </w:r>
      <w:r>
        <w:fldChar w:fldCharType="end"/>
      </w:r>
      <w:r>
        <w:t xml:space="preserve">: </w:t>
      </w:r>
      <w:r w:rsidRPr="00DF0810">
        <w:t>Protocol for special patients and special care recipients approaching maximum detention dates</w:t>
      </w:r>
      <w:bookmarkEnd w:id="210"/>
      <w:bookmarkEnd w:id="211"/>
    </w:p>
    <w:tbl>
      <w:tblPr>
        <w:tblStyle w:val="TableGrid"/>
        <w:tblW w:w="8023"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69"/>
        <w:gridCol w:w="4252"/>
        <w:gridCol w:w="1843"/>
        <w:gridCol w:w="1559"/>
      </w:tblGrid>
      <w:tr w:rsidR="00025FEB" w:rsidRPr="00D25422" w14:paraId="28E9D3DE" w14:textId="77777777" w:rsidTr="00D25422">
        <w:trPr>
          <w:cantSplit/>
        </w:trPr>
        <w:tc>
          <w:tcPr>
            <w:tcW w:w="369" w:type="dxa"/>
            <w:tcBorders>
              <w:top w:val="nil"/>
              <w:bottom w:val="nil"/>
            </w:tcBorders>
            <w:shd w:val="clear" w:color="auto" w:fill="D9D9D9" w:themeFill="background1" w:themeFillShade="D9"/>
          </w:tcPr>
          <w:p w14:paraId="19583D97" w14:textId="77777777" w:rsidR="00025FEB" w:rsidRPr="00D25422" w:rsidRDefault="00025FEB" w:rsidP="00D25422">
            <w:pPr>
              <w:pStyle w:val="TableText"/>
              <w:rPr>
                <w:b/>
                <w:bCs/>
              </w:rPr>
            </w:pPr>
          </w:p>
        </w:tc>
        <w:tc>
          <w:tcPr>
            <w:tcW w:w="4252" w:type="dxa"/>
            <w:tcBorders>
              <w:top w:val="nil"/>
              <w:bottom w:val="nil"/>
            </w:tcBorders>
            <w:shd w:val="clear" w:color="auto" w:fill="D9D9D9" w:themeFill="background1" w:themeFillShade="D9"/>
          </w:tcPr>
          <w:p w14:paraId="693F8845" w14:textId="0BC6750D" w:rsidR="00025FEB" w:rsidRPr="00D25422" w:rsidRDefault="00D25422" w:rsidP="00D25422">
            <w:pPr>
              <w:pStyle w:val="TableText"/>
              <w:rPr>
                <w:b/>
                <w:bCs/>
              </w:rPr>
            </w:pPr>
            <w:r w:rsidRPr="00D25422">
              <w:rPr>
                <w:b/>
                <w:bCs/>
              </w:rPr>
              <w:t xml:space="preserve"> </w:t>
            </w:r>
            <w:r w:rsidR="00025FEB" w:rsidRPr="00D25422">
              <w:rPr>
                <w:b/>
                <w:bCs/>
              </w:rPr>
              <w:t>Task</w:t>
            </w:r>
          </w:p>
        </w:tc>
        <w:tc>
          <w:tcPr>
            <w:tcW w:w="1843" w:type="dxa"/>
            <w:tcBorders>
              <w:top w:val="nil"/>
              <w:bottom w:val="nil"/>
            </w:tcBorders>
            <w:shd w:val="clear" w:color="auto" w:fill="D9D9D9" w:themeFill="background1" w:themeFillShade="D9"/>
          </w:tcPr>
          <w:p w14:paraId="455BA4AB" w14:textId="77777777" w:rsidR="00025FEB" w:rsidRPr="00D25422" w:rsidRDefault="00025FEB" w:rsidP="00D25422">
            <w:pPr>
              <w:pStyle w:val="TableText"/>
              <w:rPr>
                <w:b/>
                <w:bCs/>
              </w:rPr>
            </w:pPr>
            <w:r w:rsidRPr="00D25422">
              <w:rPr>
                <w:b/>
                <w:bCs/>
              </w:rPr>
              <w:t>Timeframe</w:t>
            </w:r>
          </w:p>
        </w:tc>
        <w:tc>
          <w:tcPr>
            <w:tcW w:w="1559" w:type="dxa"/>
            <w:tcBorders>
              <w:top w:val="nil"/>
              <w:bottom w:val="nil"/>
            </w:tcBorders>
            <w:shd w:val="clear" w:color="auto" w:fill="D9D9D9" w:themeFill="background1" w:themeFillShade="D9"/>
          </w:tcPr>
          <w:p w14:paraId="67C919A6" w14:textId="77777777" w:rsidR="00025FEB" w:rsidRPr="00D25422" w:rsidRDefault="00025FEB" w:rsidP="00D25422">
            <w:pPr>
              <w:pStyle w:val="TableText"/>
              <w:rPr>
                <w:b/>
                <w:bCs/>
              </w:rPr>
            </w:pPr>
            <w:r w:rsidRPr="00D25422">
              <w:rPr>
                <w:b/>
                <w:bCs/>
              </w:rPr>
              <w:t>Agency</w:t>
            </w:r>
          </w:p>
        </w:tc>
      </w:tr>
      <w:tr w:rsidR="00025FEB" w:rsidRPr="00DC20BD" w14:paraId="73433D3B" w14:textId="77777777" w:rsidTr="00D25422">
        <w:trPr>
          <w:cantSplit/>
        </w:trPr>
        <w:tc>
          <w:tcPr>
            <w:tcW w:w="369" w:type="dxa"/>
            <w:tcBorders>
              <w:top w:val="nil"/>
              <w:bottom w:val="single" w:sz="4" w:space="0" w:color="A6A6A6" w:themeColor="background1" w:themeShade="A6"/>
            </w:tcBorders>
          </w:tcPr>
          <w:p w14:paraId="2D71A7F8" w14:textId="77777777" w:rsidR="00025FEB" w:rsidRPr="00DF0810" w:rsidRDefault="00025FEB" w:rsidP="00BB4DC3">
            <w:pPr>
              <w:pStyle w:val="TableText"/>
            </w:pPr>
            <w:r w:rsidRPr="00DF0810">
              <w:t>1.</w:t>
            </w:r>
          </w:p>
        </w:tc>
        <w:tc>
          <w:tcPr>
            <w:tcW w:w="4252" w:type="dxa"/>
            <w:tcBorders>
              <w:top w:val="nil"/>
              <w:bottom w:val="single" w:sz="4" w:space="0" w:color="A6A6A6" w:themeColor="background1" w:themeShade="A6"/>
            </w:tcBorders>
          </w:tcPr>
          <w:p w14:paraId="7C459108" w14:textId="4734BD2E" w:rsidR="00025FEB" w:rsidRPr="00DC20BD" w:rsidRDefault="00025FEB" w:rsidP="00BB4DC3">
            <w:pPr>
              <w:pStyle w:val="TableText"/>
              <w:ind w:left="57"/>
            </w:pPr>
            <w:r w:rsidRPr="00621805">
              <w:rPr>
                <w:rFonts w:cs="Times"/>
                <w:szCs w:val="22"/>
              </w:rPr>
              <w:t>Detaining authority to conduct clinical review under s</w:t>
            </w:r>
            <w:r w:rsidR="00230786">
              <w:rPr>
                <w:rFonts w:cs="Times"/>
                <w:szCs w:val="22"/>
              </w:rPr>
              <w:t>ection</w:t>
            </w:r>
            <w:r w:rsidRPr="00621805">
              <w:rPr>
                <w:rFonts w:cs="Times"/>
                <w:szCs w:val="22"/>
              </w:rPr>
              <w:t> 77(3) of the MHCAT Act or s</w:t>
            </w:r>
            <w:r w:rsidR="00230786">
              <w:rPr>
                <w:rFonts w:cs="Times"/>
                <w:szCs w:val="22"/>
              </w:rPr>
              <w:t>ection</w:t>
            </w:r>
            <w:r w:rsidRPr="00621805">
              <w:rPr>
                <w:rFonts w:cs="Times"/>
                <w:szCs w:val="22"/>
              </w:rPr>
              <w:t> 77 of the Intellectual Disability (Compulsory Care and Rehabilitation) Act 2003 and provision of certificate of review to the Ministry of Health</w:t>
            </w:r>
          </w:p>
        </w:tc>
        <w:tc>
          <w:tcPr>
            <w:tcW w:w="1843" w:type="dxa"/>
            <w:tcBorders>
              <w:top w:val="nil"/>
              <w:bottom w:val="single" w:sz="4" w:space="0" w:color="A6A6A6" w:themeColor="background1" w:themeShade="A6"/>
            </w:tcBorders>
          </w:tcPr>
          <w:p w14:paraId="13D9EC1A" w14:textId="77777777" w:rsidR="00025FEB" w:rsidRPr="00DC20BD" w:rsidRDefault="00025FEB" w:rsidP="00BB4DC3">
            <w:pPr>
              <w:pStyle w:val="TableText"/>
              <w:ind w:left="57"/>
            </w:pPr>
            <w:r w:rsidRPr="00621805">
              <w:rPr>
                <w:rFonts w:cs="Times"/>
                <w:szCs w:val="22"/>
              </w:rPr>
              <w:t>Eight to ten weeks prior to maximum detention date</w:t>
            </w:r>
          </w:p>
        </w:tc>
        <w:tc>
          <w:tcPr>
            <w:tcW w:w="1559" w:type="dxa"/>
            <w:tcBorders>
              <w:top w:val="nil"/>
              <w:bottom w:val="single" w:sz="4" w:space="0" w:color="A6A6A6" w:themeColor="background1" w:themeShade="A6"/>
            </w:tcBorders>
          </w:tcPr>
          <w:p w14:paraId="2A434F3A" w14:textId="77777777" w:rsidR="00025FEB" w:rsidRPr="006454DE" w:rsidRDefault="00025FEB" w:rsidP="00BB4DC3">
            <w:pPr>
              <w:pStyle w:val="TableText"/>
              <w:ind w:left="57"/>
            </w:pPr>
            <w:r w:rsidRPr="00621805">
              <w:rPr>
                <w:rFonts w:cs="Times"/>
                <w:szCs w:val="22"/>
              </w:rPr>
              <w:t>RFMHS, forensic coordination services</w:t>
            </w:r>
          </w:p>
        </w:tc>
      </w:tr>
      <w:tr w:rsidR="00025FEB" w:rsidRPr="00DC20BD" w14:paraId="176BC1A6" w14:textId="77777777" w:rsidTr="00BB4DC3">
        <w:trPr>
          <w:cantSplit/>
        </w:trPr>
        <w:tc>
          <w:tcPr>
            <w:tcW w:w="369" w:type="dxa"/>
            <w:tcBorders>
              <w:top w:val="single" w:sz="4" w:space="0" w:color="A6A6A6" w:themeColor="background1" w:themeShade="A6"/>
              <w:bottom w:val="single" w:sz="4" w:space="0" w:color="A6A6A6" w:themeColor="background1" w:themeShade="A6"/>
            </w:tcBorders>
          </w:tcPr>
          <w:p w14:paraId="7591067A" w14:textId="77777777" w:rsidR="00025FEB" w:rsidRPr="00DF0810" w:rsidRDefault="00025FEB" w:rsidP="00BB4DC3">
            <w:pPr>
              <w:pStyle w:val="TableText"/>
            </w:pPr>
            <w:r w:rsidRPr="00DF0810">
              <w:t>2.</w:t>
            </w:r>
          </w:p>
        </w:tc>
        <w:tc>
          <w:tcPr>
            <w:tcW w:w="4252" w:type="dxa"/>
            <w:tcBorders>
              <w:top w:val="single" w:sz="4" w:space="0" w:color="A6A6A6" w:themeColor="background1" w:themeShade="A6"/>
              <w:bottom w:val="single" w:sz="4" w:space="0" w:color="A6A6A6" w:themeColor="background1" w:themeShade="A6"/>
            </w:tcBorders>
          </w:tcPr>
          <w:p w14:paraId="57B274E0" w14:textId="77777777" w:rsidR="00025FEB" w:rsidRPr="00D85A4F" w:rsidRDefault="00025FEB" w:rsidP="00BB4DC3">
            <w:pPr>
              <w:pStyle w:val="TableText"/>
              <w:ind w:left="57"/>
            </w:pPr>
            <w:r w:rsidRPr="00621805">
              <w:rPr>
                <w:rFonts w:cs="Times"/>
                <w:szCs w:val="22"/>
              </w:rPr>
              <w:t>Provision of certificate of review, special patient or special care recipient court order, accompanying report(s) and covering letter to Crown Law</w:t>
            </w:r>
          </w:p>
        </w:tc>
        <w:tc>
          <w:tcPr>
            <w:tcW w:w="1843" w:type="dxa"/>
            <w:tcBorders>
              <w:top w:val="single" w:sz="4" w:space="0" w:color="A6A6A6" w:themeColor="background1" w:themeShade="A6"/>
              <w:bottom w:val="single" w:sz="4" w:space="0" w:color="A6A6A6" w:themeColor="background1" w:themeShade="A6"/>
            </w:tcBorders>
          </w:tcPr>
          <w:p w14:paraId="743A8745" w14:textId="77777777" w:rsidR="00025FEB" w:rsidRPr="00D85A4F" w:rsidRDefault="00025FEB" w:rsidP="00BB4DC3">
            <w:pPr>
              <w:pStyle w:val="TableText"/>
              <w:ind w:left="57"/>
            </w:pPr>
            <w:r w:rsidRPr="00621805">
              <w:rPr>
                <w:rFonts w:cs="Times"/>
                <w:szCs w:val="22"/>
              </w:rPr>
              <w:t>Seven weeks prior to maximum detention date</w:t>
            </w:r>
          </w:p>
        </w:tc>
        <w:tc>
          <w:tcPr>
            <w:tcW w:w="1559" w:type="dxa"/>
            <w:tcBorders>
              <w:top w:val="single" w:sz="4" w:space="0" w:color="A6A6A6" w:themeColor="background1" w:themeShade="A6"/>
              <w:bottom w:val="single" w:sz="4" w:space="0" w:color="A6A6A6" w:themeColor="background1" w:themeShade="A6"/>
            </w:tcBorders>
          </w:tcPr>
          <w:p w14:paraId="0464505D" w14:textId="77777777" w:rsidR="00025FEB" w:rsidRPr="00D85A4F" w:rsidRDefault="00025FEB" w:rsidP="00BB4DC3">
            <w:pPr>
              <w:pStyle w:val="TableText"/>
              <w:ind w:left="57"/>
            </w:pPr>
            <w:r w:rsidRPr="00621805">
              <w:rPr>
                <w:rFonts w:cs="Times"/>
                <w:szCs w:val="22"/>
              </w:rPr>
              <w:t>Ministry of Health</w:t>
            </w:r>
          </w:p>
        </w:tc>
      </w:tr>
      <w:tr w:rsidR="00025FEB" w:rsidRPr="00DC20BD" w14:paraId="4AF24C11" w14:textId="77777777" w:rsidTr="00BB4DC3">
        <w:trPr>
          <w:cantSplit/>
        </w:trPr>
        <w:tc>
          <w:tcPr>
            <w:tcW w:w="369" w:type="dxa"/>
            <w:tcBorders>
              <w:top w:val="single" w:sz="4" w:space="0" w:color="A6A6A6" w:themeColor="background1" w:themeShade="A6"/>
              <w:bottom w:val="single" w:sz="4" w:space="0" w:color="A6A6A6" w:themeColor="background1" w:themeShade="A6"/>
            </w:tcBorders>
          </w:tcPr>
          <w:p w14:paraId="1BF0CA2F" w14:textId="77777777" w:rsidR="00025FEB" w:rsidRPr="00DF0810" w:rsidRDefault="00025FEB" w:rsidP="00BB4DC3">
            <w:pPr>
              <w:pStyle w:val="TableText"/>
            </w:pPr>
            <w:r w:rsidRPr="00DF0810">
              <w:t>3.</w:t>
            </w:r>
          </w:p>
        </w:tc>
        <w:tc>
          <w:tcPr>
            <w:tcW w:w="4252" w:type="dxa"/>
            <w:tcBorders>
              <w:top w:val="single" w:sz="4" w:space="0" w:color="A6A6A6" w:themeColor="background1" w:themeShade="A6"/>
              <w:bottom w:val="single" w:sz="4" w:space="0" w:color="A6A6A6" w:themeColor="background1" w:themeShade="A6"/>
            </w:tcBorders>
          </w:tcPr>
          <w:p w14:paraId="7F892E7C" w14:textId="77777777" w:rsidR="00025FEB" w:rsidRPr="00D85A4F" w:rsidRDefault="00025FEB" w:rsidP="00BB4DC3">
            <w:pPr>
              <w:pStyle w:val="TableText"/>
              <w:ind w:left="57"/>
            </w:pPr>
            <w:r w:rsidRPr="00621805">
              <w:rPr>
                <w:rFonts w:cs="Times"/>
                <w:szCs w:val="22"/>
              </w:rPr>
              <w:t>Processing of clinical review and associated documentation from Ministry of Health to Crown Law</w:t>
            </w:r>
          </w:p>
        </w:tc>
        <w:tc>
          <w:tcPr>
            <w:tcW w:w="1843" w:type="dxa"/>
            <w:tcBorders>
              <w:top w:val="single" w:sz="4" w:space="0" w:color="A6A6A6" w:themeColor="background1" w:themeShade="A6"/>
              <w:bottom w:val="single" w:sz="4" w:space="0" w:color="A6A6A6" w:themeColor="background1" w:themeShade="A6"/>
            </w:tcBorders>
          </w:tcPr>
          <w:p w14:paraId="4CC93AD7" w14:textId="77777777" w:rsidR="00025FEB" w:rsidRPr="00D85A4F" w:rsidRDefault="00025FEB" w:rsidP="00BB4DC3">
            <w:pPr>
              <w:pStyle w:val="TableText"/>
              <w:ind w:left="57"/>
            </w:pPr>
            <w:r w:rsidRPr="00621805">
              <w:rPr>
                <w:rFonts w:cs="Times"/>
                <w:szCs w:val="22"/>
              </w:rPr>
              <w:t>Six weeks prior to maximum detention date</w:t>
            </w:r>
          </w:p>
        </w:tc>
        <w:tc>
          <w:tcPr>
            <w:tcW w:w="1559" w:type="dxa"/>
            <w:tcBorders>
              <w:top w:val="single" w:sz="4" w:space="0" w:color="A6A6A6" w:themeColor="background1" w:themeShade="A6"/>
              <w:bottom w:val="single" w:sz="4" w:space="0" w:color="A6A6A6" w:themeColor="background1" w:themeShade="A6"/>
            </w:tcBorders>
          </w:tcPr>
          <w:p w14:paraId="5EE3243E" w14:textId="77777777" w:rsidR="00025FEB" w:rsidRPr="00D85A4F" w:rsidRDefault="00025FEB" w:rsidP="00BB4DC3">
            <w:pPr>
              <w:pStyle w:val="TableText"/>
              <w:ind w:left="57"/>
            </w:pPr>
            <w:r w:rsidRPr="00621805">
              <w:rPr>
                <w:rFonts w:cs="Times"/>
                <w:szCs w:val="22"/>
              </w:rPr>
              <w:t>Crown Law</w:t>
            </w:r>
          </w:p>
        </w:tc>
      </w:tr>
      <w:tr w:rsidR="00025FEB" w:rsidRPr="00DC20BD" w14:paraId="6E432B7E" w14:textId="77777777" w:rsidTr="00BB4DC3">
        <w:trPr>
          <w:cantSplit/>
        </w:trPr>
        <w:tc>
          <w:tcPr>
            <w:tcW w:w="369" w:type="dxa"/>
            <w:tcBorders>
              <w:top w:val="single" w:sz="4" w:space="0" w:color="A6A6A6" w:themeColor="background1" w:themeShade="A6"/>
              <w:bottom w:val="single" w:sz="4" w:space="0" w:color="A6A6A6" w:themeColor="background1" w:themeShade="A6"/>
            </w:tcBorders>
          </w:tcPr>
          <w:p w14:paraId="4C5D1772" w14:textId="77777777" w:rsidR="00025FEB" w:rsidRPr="00DF0810" w:rsidRDefault="00025FEB" w:rsidP="00BB4DC3">
            <w:pPr>
              <w:pStyle w:val="TableText"/>
            </w:pPr>
            <w:r w:rsidRPr="00DF0810">
              <w:t>4.</w:t>
            </w:r>
          </w:p>
        </w:tc>
        <w:tc>
          <w:tcPr>
            <w:tcW w:w="4252" w:type="dxa"/>
            <w:tcBorders>
              <w:top w:val="single" w:sz="4" w:space="0" w:color="A6A6A6" w:themeColor="background1" w:themeShade="A6"/>
              <w:bottom w:val="single" w:sz="4" w:space="0" w:color="A6A6A6" w:themeColor="background1" w:themeShade="A6"/>
            </w:tcBorders>
          </w:tcPr>
          <w:p w14:paraId="2A594024" w14:textId="0F7C3236" w:rsidR="00025FEB" w:rsidRPr="00D85A4F" w:rsidRDefault="00025FEB" w:rsidP="00BB4DC3">
            <w:pPr>
              <w:pStyle w:val="TableText"/>
              <w:ind w:left="57"/>
            </w:pPr>
            <w:r w:rsidRPr="00621805">
              <w:rPr>
                <w:rFonts w:cs="Times"/>
                <w:szCs w:val="22"/>
              </w:rPr>
              <w:t>‘Conditional’ direction of Attorney-General made under s</w:t>
            </w:r>
            <w:r w:rsidR="00886627">
              <w:rPr>
                <w:rFonts w:cs="Times"/>
                <w:szCs w:val="22"/>
              </w:rPr>
              <w:t>ection</w:t>
            </w:r>
            <w:r w:rsidRPr="00621805">
              <w:rPr>
                <w:rFonts w:cs="Times"/>
                <w:szCs w:val="22"/>
              </w:rPr>
              <w:t> 31(4) of the CPMIP Act</w:t>
            </w:r>
          </w:p>
        </w:tc>
        <w:tc>
          <w:tcPr>
            <w:tcW w:w="1843" w:type="dxa"/>
            <w:tcBorders>
              <w:top w:val="single" w:sz="4" w:space="0" w:color="A6A6A6" w:themeColor="background1" w:themeShade="A6"/>
              <w:bottom w:val="single" w:sz="4" w:space="0" w:color="A6A6A6" w:themeColor="background1" w:themeShade="A6"/>
            </w:tcBorders>
          </w:tcPr>
          <w:p w14:paraId="3CFE62BF" w14:textId="77777777" w:rsidR="00025FEB" w:rsidRPr="00D85A4F" w:rsidRDefault="00025FEB" w:rsidP="00BB4DC3">
            <w:pPr>
              <w:pStyle w:val="TableText"/>
              <w:ind w:left="57"/>
            </w:pPr>
            <w:r w:rsidRPr="00621805">
              <w:rPr>
                <w:rFonts w:cs="Times"/>
                <w:szCs w:val="22"/>
              </w:rPr>
              <w:t>Four weeks prior to maximum detention date</w:t>
            </w:r>
          </w:p>
        </w:tc>
        <w:tc>
          <w:tcPr>
            <w:tcW w:w="1559" w:type="dxa"/>
            <w:tcBorders>
              <w:top w:val="single" w:sz="4" w:space="0" w:color="A6A6A6" w:themeColor="background1" w:themeShade="A6"/>
              <w:bottom w:val="single" w:sz="4" w:space="0" w:color="A6A6A6" w:themeColor="background1" w:themeShade="A6"/>
            </w:tcBorders>
          </w:tcPr>
          <w:p w14:paraId="061EFFAC" w14:textId="77777777" w:rsidR="00025FEB" w:rsidRPr="00D85A4F" w:rsidRDefault="00025FEB" w:rsidP="00BB4DC3">
            <w:pPr>
              <w:pStyle w:val="TableText"/>
              <w:ind w:left="57"/>
            </w:pPr>
            <w:r w:rsidRPr="00621805">
              <w:rPr>
                <w:rFonts w:cs="Times"/>
                <w:szCs w:val="22"/>
              </w:rPr>
              <w:t>Crown Law</w:t>
            </w:r>
          </w:p>
        </w:tc>
      </w:tr>
      <w:tr w:rsidR="00025FEB" w:rsidRPr="00DC20BD" w14:paraId="3D7AE057" w14:textId="77777777" w:rsidTr="00BB4DC3">
        <w:trPr>
          <w:cantSplit/>
        </w:trPr>
        <w:tc>
          <w:tcPr>
            <w:tcW w:w="369" w:type="dxa"/>
            <w:tcBorders>
              <w:top w:val="single" w:sz="4" w:space="0" w:color="A6A6A6" w:themeColor="background1" w:themeShade="A6"/>
              <w:bottom w:val="single" w:sz="4" w:space="0" w:color="A6A6A6" w:themeColor="background1" w:themeShade="A6"/>
            </w:tcBorders>
          </w:tcPr>
          <w:p w14:paraId="21E881F4" w14:textId="77777777" w:rsidR="00025FEB" w:rsidRPr="00DF0810" w:rsidRDefault="00025FEB" w:rsidP="00BB4DC3">
            <w:pPr>
              <w:pStyle w:val="TableText"/>
            </w:pPr>
            <w:r w:rsidRPr="00DF0810">
              <w:t>5.</w:t>
            </w:r>
          </w:p>
        </w:tc>
        <w:tc>
          <w:tcPr>
            <w:tcW w:w="4252" w:type="dxa"/>
            <w:tcBorders>
              <w:top w:val="single" w:sz="4" w:space="0" w:color="A6A6A6" w:themeColor="background1" w:themeShade="A6"/>
              <w:bottom w:val="single" w:sz="4" w:space="0" w:color="A6A6A6" w:themeColor="background1" w:themeShade="A6"/>
            </w:tcBorders>
          </w:tcPr>
          <w:p w14:paraId="6FCE26CF" w14:textId="77777777" w:rsidR="00025FEB" w:rsidRPr="00D85A4F" w:rsidRDefault="00025FEB" w:rsidP="00BB4DC3">
            <w:pPr>
              <w:pStyle w:val="TableText"/>
              <w:ind w:left="57"/>
            </w:pPr>
            <w:r w:rsidRPr="00621805">
              <w:rPr>
                <w:rFonts w:cs="Times"/>
                <w:szCs w:val="22"/>
              </w:rPr>
              <w:t>Transmission of ‘conditional’ direction from Crown Law to Ministry of Health and detaining authority</w:t>
            </w:r>
          </w:p>
        </w:tc>
        <w:tc>
          <w:tcPr>
            <w:tcW w:w="1843" w:type="dxa"/>
            <w:tcBorders>
              <w:top w:val="single" w:sz="4" w:space="0" w:color="A6A6A6" w:themeColor="background1" w:themeShade="A6"/>
              <w:bottom w:val="single" w:sz="4" w:space="0" w:color="A6A6A6" w:themeColor="background1" w:themeShade="A6"/>
            </w:tcBorders>
          </w:tcPr>
          <w:p w14:paraId="52B3C3BE" w14:textId="77777777" w:rsidR="00025FEB" w:rsidRPr="00D85A4F" w:rsidRDefault="00025FEB" w:rsidP="00BB4DC3">
            <w:pPr>
              <w:pStyle w:val="TableText"/>
              <w:ind w:left="57"/>
            </w:pPr>
            <w:r w:rsidRPr="00621805">
              <w:rPr>
                <w:rFonts w:cs="Times"/>
                <w:szCs w:val="22"/>
              </w:rPr>
              <w:t>Four weeks prior to maximum detention date</w:t>
            </w:r>
          </w:p>
        </w:tc>
        <w:tc>
          <w:tcPr>
            <w:tcW w:w="1559" w:type="dxa"/>
            <w:tcBorders>
              <w:top w:val="single" w:sz="4" w:space="0" w:color="A6A6A6" w:themeColor="background1" w:themeShade="A6"/>
              <w:bottom w:val="single" w:sz="4" w:space="0" w:color="A6A6A6" w:themeColor="background1" w:themeShade="A6"/>
            </w:tcBorders>
          </w:tcPr>
          <w:p w14:paraId="55692345" w14:textId="77777777" w:rsidR="00025FEB" w:rsidRPr="00D85A4F" w:rsidRDefault="00025FEB" w:rsidP="00BB4DC3">
            <w:pPr>
              <w:pStyle w:val="TableText"/>
              <w:ind w:left="57"/>
            </w:pPr>
            <w:r w:rsidRPr="00621805">
              <w:rPr>
                <w:rFonts w:cs="Times"/>
                <w:szCs w:val="22"/>
              </w:rPr>
              <w:t>Crown Law</w:t>
            </w:r>
          </w:p>
        </w:tc>
      </w:tr>
      <w:tr w:rsidR="00025FEB" w:rsidRPr="00DC20BD" w14:paraId="01CAA13D" w14:textId="77777777" w:rsidTr="00BB4DC3">
        <w:trPr>
          <w:cantSplit/>
        </w:trPr>
        <w:tc>
          <w:tcPr>
            <w:tcW w:w="369" w:type="dxa"/>
            <w:tcBorders>
              <w:top w:val="single" w:sz="4" w:space="0" w:color="A6A6A6" w:themeColor="background1" w:themeShade="A6"/>
              <w:bottom w:val="single" w:sz="4" w:space="0" w:color="A6A6A6" w:themeColor="background1" w:themeShade="A6"/>
            </w:tcBorders>
          </w:tcPr>
          <w:p w14:paraId="2DFD2E04" w14:textId="77777777" w:rsidR="00025FEB" w:rsidRPr="00DF0810" w:rsidRDefault="00025FEB" w:rsidP="00BB4DC3">
            <w:pPr>
              <w:pStyle w:val="TableText"/>
            </w:pPr>
            <w:r w:rsidRPr="00DF0810">
              <w:t>6.</w:t>
            </w:r>
          </w:p>
        </w:tc>
        <w:tc>
          <w:tcPr>
            <w:tcW w:w="4252" w:type="dxa"/>
            <w:tcBorders>
              <w:top w:val="single" w:sz="4" w:space="0" w:color="A6A6A6" w:themeColor="background1" w:themeShade="A6"/>
              <w:bottom w:val="single" w:sz="4" w:space="0" w:color="A6A6A6" w:themeColor="background1" w:themeShade="A6"/>
            </w:tcBorders>
          </w:tcPr>
          <w:p w14:paraId="64DB2312" w14:textId="77777777" w:rsidR="00025FEB" w:rsidRPr="00D85A4F" w:rsidRDefault="00025FEB" w:rsidP="00BB4DC3">
            <w:pPr>
              <w:pStyle w:val="TableText"/>
              <w:ind w:left="57"/>
            </w:pPr>
            <w:r w:rsidRPr="00621805">
              <w:rPr>
                <w:rFonts w:cs="Times"/>
                <w:szCs w:val="22"/>
              </w:rPr>
              <w:t>Communication of change of circumstances to Ministry of Health and Crown Law</w:t>
            </w:r>
          </w:p>
        </w:tc>
        <w:tc>
          <w:tcPr>
            <w:tcW w:w="1843" w:type="dxa"/>
            <w:tcBorders>
              <w:top w:val="single" w:sz="4" w:space="0" w:color="A6A6A6" w:themeColor="background1" w:themeShade="A6"/>
              <w:bottom w:val="single" w:sz="4" w:space="0" w:color="A6A6A6" w:themeColor="background1" w:themeShade="A6"/>
            </w:tcBorders>
          </w:tcPr>
          <w:p w14:paraId="45DD5EA7" w14:textId="77777777" w:rsidR="00025FEB" w:rsidRPr="00D85A4F" w:rsidRDefault="00025FEB" w:rsidP="00BB4DC3">
            <w:pPr>
              <w:pStyle w:val="TableText"/>
              <w:ind w:left="57"/>
            </w:pPr>
            <w:r w:rsidRPr="00621805">
              <w:rPr>
                <w:rFonts w:cs="Times"/>
                <w:szCs w:val="22"/>
              </w:rPr>
              <w:t>Any time prior to maximum detention date, without delay</w:t>
            </w:r>
          </w:p>
        </w:tc>
        <w:tc>
          <w:tcPr>
            <w:tcW w:w="1559" w:type="dxa"/>
            <w:tcBorders>
              <w:top w:val="single" w:sz="4" w:space="0" w:color="A6A6A6" w:themeColor="background1" w:themeShade="A6"/>
              <w:bottom w:val="single" w:sz="4" w:space="0" w:color="A6A6A6" w:themeColor="background1" w:themeShade="A6"/>
            </w:tcBorders>
          </w:tcPr>
          <w:p w14:paraId="588502D6" w14:textId="77777777" w:rsidR="00025FEB" w:rsidRPr="00D85A4F" w:rsidRDefault="00025FEB" w:rsidP="00BB4DC3">
            <w:pPr>
              <w:pStyle w:val="TableText"/>
              <w:ind w:left="57"/>
            </w:pPr>
            <w:r w:rsidRPr="00621805">
              <w:rPr>
                <w:rFonts w:cs="Times"/>
                <w:szCs w:val="22"/>
              </w:rPr>
              <w:t>RFMHS, forensic coordination services</w:t>
            </w:r>
          </w:p>
        </w:tc>
      </w:tr>
    </w:tbl>
    <w:p w14:paraId="55985E4D" w14:textId="77777777" w:rsidR="00025FEB" w:rsidRDefault="00025FEB" w:rsidP="00025FEB"/>
    <w:p w14:paraId="51669235" w14:textId="77777777" w:rsidR="00025FEB" w:rsidRPr="00621805" w:rsidRDefault="00025FEB" w:rsidP="00025FEB">
      <w:r w:rsidRPr="00621805">
        <w:t xml:space="preserve">Note: A ‘conditional’ direction will come into force at the end of the maximum period of detention so long as there is no change of circumstances which might affect that direction. A change of circumstances includes a fresh certificate of clinical review which indicates a person has become fit to stand trial. </w:t>
      </w:r>
    </w:p>
    <w:p w14:paraId="6703CAC0" w14:textId="77777777" w:rsidR="00025FEB" w:rsidRPr="00621805" w:rsidRDefault="00025FEB" w:rsidP="00025FEB"/>
    <w:p w14:paraId="17861D3E" w14:textId="77777777" w:rsidR="00025FEB" w:rsidRPr="00D85A4F" w:rsidRDefault="00025FEB" w:rsidP="00025FEB">
      <w:r w:rsidRPr="00621805">
        <w:t>If a detaining authority has any doubt as to whether there has been a change of circumstances that might impact upon a conditional direction, it is best practice to raise that issue with Crown Law and the Ministry of Health.</w:t>
      </w:r>
    </w:p>
    <w:p w14:paraId="535FE916" w14:textId="1C1C0E43" w:rsidR="00025FEB" w:rsidRPr="00D85A4F" w:rsidRDefault="00025FEB" w:rsidP="00025FEB">
      <w:pPr>
        <w:pStyle w:val="Heading2"/>
      </w:pPr>
      <w:bookmarkStart w:id="212" w:name="_Toc377543407"/>
      <w:bookmarkStart w:id="213" w:name="_Toc441658603"/>
      <w:bookmarkStart w:id="214" w:name="_Toc83197084"/>
      <w:bookmarkStart w:id="215" w:name="_Toc112845469"/>
      <w:bookmarkStart w:id="216" w:name="_Toc112862073"/>
      <w:bookmarkStart w:id="217" w:name="_Toc180497423"/>
      <w:r>
        <w:t>U</w:t>
      </w:r>
      <w:r w:rsidRPr="00D85A4F">
        <w:t>nfit to stand trial</w:t>
      </w:r>
      <w:r>
        <w:t>: where the patient</w:t>
      </w:r>
      <w:r w:rsidRPr="00D85A4F">
        <w:t xml:space="preserve"> no longer needs to be detained as a special </w:t>
      </w:r>
      <w:bookmarkEnd w:id="212"/>
      <w:bookmarkEnd w:id="213"/>
      <w:r w:rsidRPr="00D85A4F">
        <w:t>patient</w:t>
      </w:r>
      <w:bookmarkEnd w:id="214"/>
      <w:bookmarkEnd w:id="215"/>
      <w:bookmarkEnd w:id="216"/>
      <w:bookmarkEnd w:id="217"/>
    </w:p>
    <w:p w14:paraId="217DD65F" w14:textId="6008ADE9" w:rsidR="00025FEB" w:rsidRDefault="00025FEB" w:rsidP="00025FEB">
      <w:pPr>
        <w:keepLines/>
      </w:pPr>
      <w:r w:rsidRPr="00D85A4F">
        <w:t xml:space="preserve">Less commonly, a special patient’s responsible clinician may consider that, although a patient remains unfit to stand trial, their continued detention is no longer necessary (section </w:t>
      </w:r>
      <w:r w:rsidRPr="00AB4198">
        <w:t xml:space="preserve">31 </w:t>
      </w:r>
      <w:r>
        <w:t xml:space="preserve">of the </w:t>
      </w:r>
      <w:r w:rsidRPr="00AB4198">
        <w:t>CP(MIP</w:t>
      </w:r>
      <w:r w:rsidRPr="00D85A4F">
        <w:t xml:space="preserve">) Act). In such cases, </w:t>
      </w:r>
      <w:r>
        <w:t xml:space="preserve">the Minister makes </w:t>
      </w:r>
      <w:r w:rsidRPr="00D85A4F">
        <w:t xml:space="preserve">the decision about a change of legal status with the concurrence of the Attorney-General. Orders made pursuant to section </w:t>
      </w:r>
      <w:r w:rsidRPr="00AB4198">
        <w:t>24(2)(a) o</w:t>
      </w:r>
      <w:r w:rsidRPr="00D85A4F">
        <w:t>f the CP(MIP) Act for the detention of a defendant as a special patient remain unless the Attorney-General (where the defendant is unfit to stand trial) or the Minister (where the defendant is unfit to stand trial but detention as a special patient is no longer necessary) direct</w:t>
      </w:r>
      <w:r>
        <w:t>s</w:t>
      </w:r>
      <w:r w:rsidRPr="00D85A4F">
        <w:t xml:space="preserve"> a change of legal status under section </w:t>
      </w:r>
      <w:r w:rsidRPr="00AB4198">
        <w:t>31 of the CP(MI</w:t>
      </w:r>
      <w:r w:rsidRPr="00D85A4F">
        <w:t xml:space="preserve">P) Act. </w:t>
      </w:r>
    </w:p>
    <w:p w14:paraId="4804A760" w14:textId="77777777" w:rsidR="00F0504F" w:rsidRPr="00D85A4F" w:rsidRDefault="00F0504F" w:rsidP="00025FEB">
      <w:pPr>
        <w:keepLines/>
      </w:pPr>
    </w:p>
    <w:p w14:paraId="549EC246" w14:textId="76B902ED" w:rsidR="00025FEB" w:rsidRPr="00D85A4F" w:rsidRDefault="00025FEB" w:rsidP="00300B55">
      <w:pPr>
        <w:pStyle w:val="Table"/>
      </w:pPr>
      <w:bookmarkStart w:id="218" w:name="_Toc112861589"/>
      <w:bookmarkStart w:id="219" w:name="_Toc180593123"/>
      <w:r>
        <w:t xml:space="preserve">Table </w:t>
      </w:r>
      <w:r>
        <w:fldChar w:fldCharType="begin"/>
      </w:r>
      <w:r>
        <w:instrText>SEQ Table \* ARABIC</w:instrText>
      </w:r>
      <w:r>
        <w:fldChar w:fldCharType="separate"/>
      </w:r>
      <w:r w:rsidR="00411DF3">
        <w:rPr>
          <w:noProof/>
        </w:rPr>
        <w:t>16</w:t>
      </w:r>
      <w:r>
        <w:fldChar w:fldCharType="end"/>
      </w:r>
      <w:r>
        <w:t xml:space="preserve">: </w:t>
      </w:r>
      <w:r w:rsidRPr="00AF6402">
        <w:t>Information to support a request for change of status for a patient who is unfit to stand trial but no longer needs to be detained as a special patient</w:t>
      </w:r>
      <w:bookmarkEnd w:id="218"/>
      <w:bookmarkEnd w:id="219"/>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0BF49A9A"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698FD90F"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4E87084A" w14:textId="77777777" w:rsidR="00025FEB" w:rsidRPr="00D85A4F" w:rsidRDefault="00025FEB" w:rsidP="00BB4DC3">
            <w:pPr>
              <w:pStyle w:val="TableText"/>
            </w:pPr>
            <w:r w:rsidRPr="00D85A4F">
              <w:t>A letter from the responsible clinician, including:</w:t>
            </w:r>
          </w:p>
          <w:p w14:paraId="2D55D1AE" w14:textId="77777777" w:rsidR="00025FEB" w:rsidRPr="00D85A4F" w:rsidRDefault="00025FEB" w:rsidP="00D25422">
            <w:pPr>
              <w:pStyle w:val="TableBullet"/>
            </w:pPr>
            <w:r w:rsidRPr="00D85A4F">
              <w:t>a current mental state assessment</w:t>
            </w:r>
          </w:p>
          <w:p w14:paraId="5059CF09" w14:textId="77777777" w:rsidR="00025FEB" w:rsidRPr="00D85A4F" w:rsidRDefault="00025FEB" w:rsidP="00D25422">
            <w:pPr>
              <w:pStyle w:val="TableBullet"/>
            </w:pPr>
            <w:r w:rsidRPr="00D85A4F">
              <w:t>a certificate of clinical review.</w:t>
            </w:r>
          </w:p>
          <w:p w14:paraId="20686968" w14:textId="1BFF66D3" w:rsidR="00025FEB" w:rsidRPr="00D85A4F" w:rsidRDefault="00025FEB" w:rsidP="00BB4DC3">
            <w:pPr>
              <w:pStyle w:val="TableText"/>
            </w:pPr>
            <w:r w:rsidRPr="00D85A4F">
              <w:t xml:space="preserve">If not provided in the SPRP report, the following information should be specifically </w:t>
            </w:r>
            <w:r w:rsidR="00C3022F">
              <w:t>provided in the letter</w:t>
            </w:r>
            <w:r w:rsidRPr="00D85A4F">
              <w:t>:</w:t>
            </w:r>
          </w:p>
          <w:p w14:paraId="60A08C27" w14:textId="30186BF8" w:rsidR="00025FEB" w:rsidRPr="00D85A4F" w:rsidRDefault="00025FEB" w:rsidP="00D25422">
            <w:pPr>
              <w:pStyle w:val="TableBullet"/>
            </w:pPr>
            <w:r w:rsidRPr="00D85A4F">
              <w:t>how the factors leading to the index offence have been addressed and the measures taken to reduce the chance of future offending (including compliance with treatment)</w:t>
            </w:r>
          </w:p>
          <w:p w14:paraId="0A2D980D" w14:textId="77777777" w:rsidR="00025FEB" w:rsidRPr="00D85A4F" w:rsidRDefault="00025FEB" w:rsidP="00D25422">
            <w:pPr>
              <w:pStyle w:val="TableBullet"/>
            </w:pPr>
            <w:r w:rsidRPr="00D85A4F">
              <w:t>specific comment on alcohol and drug use</w:t>
            </w:r>
          </w:p>
          <w:p w14:paraId="122EE312" w14:textId="0504BE83" w:rsidR="00025FEB" w:rsidRPr="00D85A4F" w:rsidRDefault="00025FEB" w:rsidP="00D25422">
            <w:pPr>
              <w:pStyle w:val="TableBullet"/>
            </w:pPr>
            <w:r w:rsidRPr="00D85A4F">
              <w:t xml:space="preserve">advice of any critical incidents, including possession of weapons, drugs or other prohibited material, and management of </w:t>
            </w:r>
            <w:r w:rsidR="00AF06AA">
              <w:t xml:space="preserve">those </w:t>
            </w:r>
            <w:r w:rsidRPr="00D85A4F">
              <w:t>incident</w:t>
            </w:r>
            <w:r w:rsidR="00AF06AA">
              <w:t>s</w:t>
            </w:r>
          </w:p>
          <w:p w14:paraId="2BC9F3CB" w14:textId="77777777" w:rsidR="00025FEB" w:rsidRPr="00D85A4F" w:rsidRDefault="00025FEB" w:rsidP="00D25422">
            <w:pPr>
              <w:pStyle w:val="TableBullet"/>
            </w:pPr>
            <w:r w:rsidRPr="00D85A4F">
              <w:t>plans for the patient’s ongoing management by mental health services if a decision is reached that they should be detained subject to compulsory treatment status – this is particularly important if the patient may not continue to meet the criteria for compulsory treatment</w:t>
            </w:r>
          </w:p>
          <w:p w14:paraId="7D9A8CCE" w14:textId="77777777" w:rsidR="00025FEB" w:rsidRPr="00D85A4F" w:rsidRDefault="00025FEB" w:rsidP="00D25422">
            <w:pPr>
              <w:pStyle w:val="TableBullet"/>
            </w:pPr>
            <w:r w:rsidRPr="00D85A4F">
              <w:t>flight risk assessment and proposed management</w:t>
            </w:r>
          </w:p>
          <w:p w14:paraId="2D18C7C7" w14:textId="77777777" w:rsidR="00025FEB" w:rsidRPr="00D85A4F" w:rsidRDefault="00025FEB" w:rsidP="00D25422">
            <w:pPr>
              <w:pStyle w:val="TableBullet"/>
            </w:pPr>
            <w:r w:rsidRPr="00D85A4F">
              <w:t>consideration of the needs of any children of the patient, particularly if the index offence took place within the family</w:t>
            </w:r>
          </w:p>
          <w:p w14:paraId="2AB4EA65" w14:textId="77777777" w:rsidR="00025FEB" w:rsidRPr="00D85A4F" w:rsidRDefault="00025FEB" w:rsidP="00D25422">
            <w:pPr>
              <w:pStyle w:val="TableBullet"/>
            </w:pPr>
            <w:r w:rsidRPr="00D85A4F">
              <w:t>comment on matters relating to the offending (eg, insight into the offending, relationship with victims)</w:t>
            </w:r>
          </w:p>
          <w:p w14:paraId="7990FB01" w14:textId="77777777" w:rsidR="00025FEB" w:rsidRPr="00D85A4F" w:rsidRDefault="00025FEB" w:rsidP="00D25422">
            <w:pPr>
              <w:pStyle w:val="TableBullet"/>
            </w:pPr>
            <w:r w:rsidRPr="00D85A4F">
              <w:t>comment on matters relating to the risk presented by the patient, particularly in relation to victims of previous offending</w:t>
            </w:r>
          </w:p>
          <w:p w14:paraId="49FA5F28" w14:textId="77777777" w:rsidR="00025FEB" w:rsidRPr="00D85A4F" w:rsidRDefault="00025FEB" w:rsidP="00D25422">
            <w:pPr>
              <w:pStyle w:val="TableBullet"/>
            </w:pPr>
            <w:r w:rsidRPr="00D85A4F">
              <w:t>comment specifically addressing the patient’s continued lack of fitness to stand trial.</w:t>
            </w:r>
          </w:p>
          <w:p w14:paraId="25215CDF" w14:textId="77777777" w:rsidR="00025FEB" w:rsidRPr="006454DE" w:rsidRDefault="00025FEB" w:rsidP="00BB4DC3">
            <w:pPr>
              <w:pStyle w:val="TableText"/>
            </w:pPr>
            <w:r w:rsidRPr="00D85A4F">
              <w:t>A recent SPRP report must be provided with the application. In practice</w:t>
            </w:r>
            <w:r>
              <w:t>,</w:t>
            </w:r>
            <w:r w:rsidRPr="00D85A4F">
              <w:t xml:space="preserve"> this information will be uploaded into the </w:t>
            </w:r>
            <w:r>
              <w:t>SPMS</w:t>
            </w:r>
            <w:r w:rsidRPr="00D85A4F">
              <w:t>.</w:t>
            </w:r>
          </w:p>
        </w:tc>
      </w:tr>
      <w:tr w:rsidR="00025FEB" w:rsidRPr="00DC20BD" w14:paraId="74987FA8"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41DBB347"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24798083" w14:textId="77777777" w:rsidR="00025FEB" w:rsidRPr="00D85A4F" w:rsidRDefault="00025FEB" w:rsidP="00BB4DC3">
            <w:pPr>
              <w:pStyle w:val="TableText"/>
            </w:pPr>
            <w:r>
              <w:t xml:space="preserve">The </w:t>
            </w:r>
            <w:r w:rsidRPr="00D85A4F">
              <w:t xml:space="preserve">DAMHS </w:t>
            </w:r>
            <w:r>
              <w:t xml:space="preserve">must </w:t>
            </w:r>
            <w:r w:rsidRPr="00D85A4F">
              <w:t xml:space="preserve">send </w:t>
            </w:r>
            <w:r>
              <w:t xml:space="preserve">the </w:t>
            </w:r>
            <w:r w:rsidRPr="00D85A4F">
              <w:t>report within six weeks of the SPRP</w:t>
            </w:r>
            <w:r>
              <w:t xml:space="preserve"> meeting</w:t>
            </w:r>
            <w:r w:rsidRPr="00D85A4F">
              <w:t>.</w:t>
            </w:r>
          </w:p>
          <w:p w14:paraId="6443F3A2" w14:textId="77777777" w:rsidR="00025FEB" w:rsidRPr="00D85A4F" w:rsidRDefault="00025FEB" w:rsidP="00BB4DC3">
            <w:pPr>
              <w:pStyle w:val="TableText"/>
            </w:pPr>
            <w:r>
              <w:t xml:space="preserve">The Office of the Director must </w:t>
            </w:r>
            <w:r w:rsidRPr="00D85A4F">
              <w:t xml:space="preserve">send </w:t>
            </w:r>
            <w:r>
              <w:t xml:space="preserve">the </w:t>
            </w:r>
            <w:r w:rsidRPr="00D85A4F">
              <w:t>covering letter and associated material to the Crown Law office within 10 working days and advise the service by email.</w:t>
            </w:r>
          </w:p>
          <w:p w14:paraId="1DE68A16" w14:textId="77777777" w:rsidR="00025FEB" w:rsidRDefault="00025FEB" w:rsidP="00BB4DC3">
            <w:pPr>
              <w:pStyle w:val="TableText"/>
            </w:pPr>
            <w:r w:rsidRPr="00D85A4F">
              <w:t xml:space="preserve">Because of the need to access information from the </w:t>
            </w:r>
            <w:r>
              <w:t>p</w:t>
            </w:r>
            <w:r w:rsidRPr="00D85A4F">
              <w:t>olice, decisions from the Attorney-General can take several months.</w:t>
            </w:r>
          </w:p>
          <w:p w14:paraId="125BAF98" w14:textId="31107AC6" w:rsidR="00095230" w:rsidRPr="00D85A4F" w:rsidRDefault="00095230" w:rsidP="00BB4DC3">
            <w:pPr>
              <w:pStyle w:val="TableText"/>
            </w:pPr>
            <w:r>
              <w:t>If the special patient is subject to registered victim notifications, the Director will notify the registered victim of the application</w:t>
            </w:r>
            <w:r w:rsidR="00D2612A">
              <w:t xml:space="preserve"> and give them 14 days to make a submission. The Director will then notify the registered victim of the Minister’s decision.</w:t>
            </w:r>
          </w:p>
          <w:p w14:paraId="304C279D" w14:textId="7EC6F8F6" w:rsidR="00025FEB" w:rsidRPr="00D85A4F" w:rsidRDefault="00025FEB" w:rsidP="00BB4DC3">
            <w:pPr>
              <w:pStyle w:val="TableText"/>
            </w:pPr>
            <w:r w:rsidRPr="00D85A4F">
              <w:t>Incomplete information will result in a delay in providing a report to the Minister.</w:t>
            </w:r>
          </w:p>
        </w:tc>
      </w:tr>
    </w:tbl>
    <w:p w14:paraId="1C79C337" w14:textId="3249E53C" w:rsidR="008B0164" w:rsidRDefault="008B0164" w:rsidP="00025FEB">
      <w:pPr>
        <w:pStyle w:val="Heading2"/>
      </w:pPr>
      <w:bookmarkStart w:id="220" w:name="_Toc180497424"/>
      <w:bookmarkStart w:id="221" w:name="_Toc112845470"/>
      <w:bookmarkStart w:id="222" w:name="_Toc112862074"/>
      <w:r>
        <w:t xml:space="preserve">Section 77 </w:t>
      </w:r>
      <w:r w:rsidR="001E6004">
        <w:t>c</w:t>
      </w:r>
      <w:r>
        <w:t>ertificates</w:t>
      </w:r>
      <w:bookmarkEnd w:id="220"/>
    </w:p>
    <w:p w14:paraId="7D03896E" w14:textId="58530ECE" w:rsidR="008B0164" w:rsidRDefault="008B0164" w:rsidP="008B0164">
      <w:r>
        <w:t xml:space="preserve">The certificate given following a review </w:t>
      </w:r>
      <w:r w:rsidR="00F01B37">
        <w:t>under section</w:t>
      </w:r>
      <w:r w:rsidR="00C47FD8">
        <w:t> </w:t>
      </w:r>
      <w:r w:rsidR="00F01B37">
        <w:t xml:space="preserve">77 of the Mental Health Act </w:t>
      </w:r>
      <w:r>
        <w:t>should have one of the following options selected by the responsible clinician.</w:t>
      </w:r>
    </w:p>
    <w:p w14:paraId="2CE1C232" w14:textId="162DDA37" w:rsidR="008B0164" w:rsidRPr="00F0504F" w:rsidRDefault="008B0164" w:rsidP="00F0504F">
      <w:pPr>
        <w:pStyle w:val="Bullet"/>
      </w:pPr>
      <w:r w:rsidRPr="00F0504F">
        <w:t xml:space="preserve">The patient is no longer unfit to stand trial (see </w:t>
      </w:r>
      <w:r w:rsidR="00201B11" w:rsidRPr="00F0504F">
        <w:t>section </w:t>
      </w:r>
      <w:r w:rsidRPr="00F0504F">
        <w:t>8.2 above)</w:t>
      </w:r>
      <w:r w:rsidR="00201B11" w:rsidRPr="00F0504F">
        <w:t>.</w:t>
      </w:r>
    </w:p>
    <w:p w14:paraId="1B3ADD1B" w14:textId="7A1872A7" w:rsidR="008B0164" w:rsidRPr="00F0504F" w:rsidRDefault="008B0164" w:rsidP="00F0504F">
      <w:pPr>
        <w:pStyle w:val="Bullet"/>
      </w:pPr>
      <w:r w:rsidRPr="00F0504F">
        <w:t xml:space="preserve">The patient is still unfit to stand trial but it is no longer necessary that </w:t>
      </w:r>
      <w:r w:rsidR="00201B11" w:rsidRPr="00F0504F">
        <w:t xml:space="preserve">they </w:t>
      </w:r>
      <w:r w:rsidRPr="00F0504F">
        <w:t xml:space="preserve">should be subject to the order as a special patient (see </w:t>
      </w:r>
      <w:r w:rsidR="00201B11" w:rsidRPr="00F0504F">
        <w:t>section </w:t>
      </w:r>
      <w:r w:rsidRPr="00F0504F">
        <w:t>8.</w:t>
      </w:r>
      <w:r w:rsidR="007D5317" w:rsidRPr="00F0504F">
        <w:t>4</w:t>
      </w:r>
      <w:r w:rsidRPr="00F0504F">
        <w:t xml:space="preserve"> above).</w:t>
      </w:r>
    </w:p>
    <w:p w14:paraId="171C9502" w14:textId="122D048F" w:rsidR="008B0164" w:rsidRPr="00F0504F" w:rsidRDefault="008B0164" w:rsidP="00F0504F">
      <w:pPr>
        <w:pStyle w:val="Bullet"/>
      </w:pPr>
      <w:r w:rsidRPr="00F0504F">
        <w:t xml:space="preserve">The patient is still unfit to stand trial and should continue to be subject to the order of detention as a special patient (see </w:t>
      </w:r>
      <w:r w:rsidR="00310A79" w:rsidRPr="00F0504F">
        <w:t>section </w:t>
      </w:r>
      <w:r w:rsidRPr="00F0504F">
        <w:t>8.</w:t>
      </w:r>
      <w:r w:rsidR="003B1D67" w:rsidRPr="00F0504F">
        <w:t xml:space="preserve">3 for the process </w:t>
      </w:r>
      <w:r w:rsidR="00F465C2" w:rsidRPr="00F0504F">
        <w:t>where this option is selected</w:t>
      </w:r>
      <w:r w:rsidR="002B07F3" w:rsidRPr="00F0504F">
        <w:t xml:space="preserve"> and</w:t>
      </w:r>
      <w:r w:rsidR="00F465C2" w:rsidRPr="00F0504F">
        <w:t xml:space="preserve"> the </w:t>
      </w:r>
      <w:r w:rsidR="00FE670D" w:rsidRPr="00F0504F">
        <w:t>special patient is approaching their maximum detention date</w:t>
      </w:r>
      <w:r w:rsidRPr="00F0504F">
        <w:t>).</w:t>
      </w:r>
    </w:p>
    <w:p w14:paraId="663816BC" w14:textId="14871665" w:rsidR="008B0164" w:rsidRDefault="008B0164" w:rsidP="008B0164">
      <w:pPr>
        <w:pStyle w:val="Heading2"/>
      </w:pPr>
      <w:bookmarkStart w:id="223" w:name="_Toc180497425"/>
      <w:bookmarkStart w:id="224" w:name="_Hlk163119911"/>
      <w:r>
        <w:t>Change of legal status application submission</w:t>
      </w:r>
      <w:bookmarkEnd w:id="223"/>
    </w:p>
    <w:bookmarkEnd w:id="224"/>
    <w:p w14:paraId="1D72EACC" w14:textId="028EB211" w:rsidR="008B0164" w:rsidRDefault="008B0164" w:rsidP="008B0164">
      <w:r>
        <w:t>Provision of supporting documents for any of the processes outlined in</w:t>
      </w:r>
      <w:r w:rsidR="009E1BBD">
        <w:t xml:space="preserve"> </w:t>
      </w:r>
      <w:r w:rsidR="004902C3">
        <w:t>sections </w:t>
      </w:r>
      <w:r w:rsidR="009E1BBD">
        <w:t>8.1</w:t>
      </w:r>
      <w:r w:rsidR="00230786">
        <w:t>–</w:t>
      </w:r>
      <w:r w:rsidR="009E1BBD">
        <w:t xml:space="preserve">8.4 should be </w:t>
      </w:r>
      <w:r w:rsidR="004902C3">
        <w:t xml:space="preserve">made </w:t>
      </w:r>
      <w:r w:rsidR="009E1BBD">
        <w:t>via the SPMS</w:t>
      </w:r>
      <w:r w:rsidR="004902C3">
        <w:t>,</w:t>
      </w:r>
      <w:r w:rsidR="009E1BBD">
        <w:t xml:space="preserve"> using the ‘change of legal status’ application function. </w:t>
      </w:r>
    </w:p>
    <w:p w14:paraId="37A41A1C" w14:textId="1971CC07" w:rsidR="009E1BBD" w:rsidRDefault="009E1BBD" w:rsidP="008B0164"/>
    <w:p w14:paraId="3DACD6C6" w14:textId="3751F80A" w:rsidR="009E1BBD" w:rsidRDefault="009E1BBD">
      <w:r>
        <w:t>Change of legal status document</w:t>
      </w:r>
      <w:r w:rsidR="009A1A2D">
        <w:t>s</w:t>
      </w:r>
      <w:r>
        <w:t xml:space="preserve"> should not be uploaded via the ‘Documents’ function or ‘Patient Review’ function, unless they </w:t>
      </w:r>
      <w:r w:rsidR="009A1A2D">
        <w:t xml:space="preserve">concern </w:t>
      </w:r>
      <w:r>
        <w:t>a section 77 review that will not trigger a change of legal status application.</w:t>
      </w:r>
    </w:p>
    <w:p w14:paraId="0D509ADF" w14:textId="67703711" w:rsidR="00456DFF" w:rsidRDefault="00456DFF" w:rsidP="00456DFF">
      <w:pPr>
        <w:pStyle w:val="Heading2"/>
      </w:pPr>
      <w:bookmarkStart w:id="225" w:name="_Toc180497426"/>
      <w:r>
        <w:t>Change of legal status application timing</w:t>
      </w:r>
      <w:bookmarkEnd w:id="225"/>
    </w:p>
    <w:p w14:paraId="54230C94" w14:textId="5ADFED7E" w:rsidR="00456DFF" w:rsidRPr="008B0164" w:rsidRDefault="00E26EFF" w:rsidP="00C86AD7">
      <w:r>
        <w:t xml:space="preserve">A change of legal status application may take several months </w:t>
      </w:r>
      <w:r w:rsidR="00040D76">
        <w:t xml:space="preserve">to process from the time the application is </w:t>
      </w:r>
      <w:r w:rsidR="00A11DA8">
        <w:t xml:space="preserve">made. </w:t>
      </w:r>
      <w:r w:rsidR="006456E6">
        <w:t xml:space="preserve">If a special patient is currently on ministerial long leave, and that leave </w:t>
      </w:r>
      <w:r w:rsidR="00F52165">
        <w:t xml:space="preserve">is due to expire within the next </w:t>
      </w:r>
      <w:r w:rsidR="00DE0B76">
        <w:t xml:space="preserve">three </w:t>
      </w:r>
      <w:r w:rsidR="00BB64AF">
        <w:t xml:space="preserve">months, </w:t>
      </w:r>
      <w:r w:rsidR="00A54949">
        <w:t xml:space="preserve">RFMHSs </w:t>
      </w:r>
      <w:r w:rsidR="00BB64AF">
        <w:t xml:space="preserve">need to </w:t>
      </w:r>
      <w:r w:rsidR="00796BBC">
        <w:t xml:space="preserve">ensure that an application is put forward to extend this leave, prior to </w:t>
      </w:r>
      <w:r w:rsidR="00734A49">
        <w:t xml:space="preserve">any change of legal status application. </w:t>
      </w:r>
      <w:r w:rsidR="0051751C">
        <w:t>The application for an extension of ministerial long leave and a change of legal status application will not be considered as a joint application.</w:t>
      </w:r>
    </w:p>
    <w:p w14:paraId="19665721" w14:textId="31581DBE" w:rsidR="00025FEB" w:rsidRPr="00D85A4F" w:rsidRDefault="00025FEB" w:rsidP="00025FEB">
      <w:pPr>
        <w:pStyle w:val="Heading2"/>
      </w:pPr>
      <w:bookmarkStart w:id="226" w:name="_Toc180497427"/>
      <w:r>
        <w:t>Withdrawal of c</w:t>
      </w:r>
      <w:r w:rsidRPr="00D85A4F">
        <w:t>harges</w:t>
      </w:r>
      <w:bookmarkStart w:id="227" w:name="_Toc83197085"/>
      <w:bookmarkEnd w:id="221"/>
      <w:bookmarkEnd w:id="222"/>
      <w:bookmarkEnd w:id="226"/>
      <w:r w:rsidRPr="00D85A4F">
        <w:t xml:space="preserve"> </w:t>
      </w:r>
      <w:bookmarkEnd w:id="227"/>
    </w:p>
    <w:p w14:paraId="062953A6" w14:textId="77777777" w:rsidR="00025FEB" w:rsidRPr="00DD179B" w:rsidRDefault="00025FEB" w:rsidP="00025FEB">
      <w:r w:rsidRPr="00AB4198">
        <w:t xml:space="preserve">Section 30(5) of the CP(MIP) Act provides that an order under section 24 for the defendant to be detained as a special patient is to be treated as cancelled if every charge brought against the defendant in the proceedings in which the order was made is withdrawn or dismissed. The person could then be transferred out of medium secure or forensic rehabilitation settings to general mental health services if they are still considered to be mentally disordered or </w:t>
      </w:r>
      <w:r>
        <w:t xml:space="preserve">mentally </w:t>
      </w:r>
      <w:r w:rsidRPr="00AB4198">
        <w:t>unwell</w:t>
      </w:r>
      <w:r>
        <w:t xml:space="preserve"> requiring hospitalisation</w:t>
      </w:r>
      <w:r w:rsidRPr="00DD179B">
        <w:t>.</w:t>
      </w:r>
    </w:p>
    <w:p w14:paraId="7A7AC5CB" w14:textId="77777777" w:rsidR="00025FEB" w:rsidRPr="00DD179B" w:rsidRDefault="00025FEB" w:rsidP="00025FEB"/>
    <w:p w14:paraId="5302E951" w14:textId="6E48EC12" w:rsidR="00025FEB" w:rsidRDefault="00025FEB" w:rsidP="00025FEB">
      <w:r w:rsidRPr="00DD179B">
        <w:t xml:space="preserve">Note that in this situation, if the person is not already subject to the provisions </w:t>
      </w:r>
      <w:r>
        <w:t>of</w:t>
      </w:r>
      <w:r w:rsidRPr="00DD179B">
        <w:t xml:space="preserve"> the </w:t>
      </w:r>
      <w:r>
        <w:t>Mental Health Act</w:t>
      </w:r>
      <w:r w:rsidR="006501B9">
        <w:t>,</w:t>
      </w:r>
      <w:r w:rsidRPr="00DD179B">
        <w:t xml:space="preserve"> the service will need to commence the assessment process required by the </w:t>
      </w:r>
      <w:r>
        <w:t>Mental Health Act</w:t>
      </w:r>
      <w:r w:rsidRPr="00DD179B">
        <w:t>.</w:t>
      </w:r>
    </w:p>
    <w:p w14:paraId="08098A3A" w14:textId="77777777" w:rsidR="00025FEB" w:rsidRDefault="00025FEB" w:rsidP="00025FEB"/>
    <w:p w14:paraId="69DEB593" w14:textId="77777777" w:rsidR="00F603E8" w:rsidRDefault="00F603E8" w:rsidP="00025FEB"/>
    <w:p w14:paraId="31BDA9E9" w14:textId="31A6DFA6" w:rsidR="00F603E8" w:rsidRDefault="00F603E8" w:rsidP="00025FEB">
      <w:pPr>
        <w:sectPr w:rsidR="00F603E8" w:rsidSect="00BB4DC3">
          <w:pgSz w:w="11907" w:h="16834" w:code="9"/>
          <w:pgMar w:top="1418" w:right="1701" w:bottom="1134" w:left="1843" w:header="284" w:footer="425" w:gutter="284"/>
          <w:cols w:space="720"/>
        </w:sectPr>
      </w:pPr>
    </w:p>
    <w:p w14:paraId="542C0F2F" w14:textId="77777777" w:rsidR="00025FEB" w:rsidRPr="00D85A4F" w:rsidRDefault="00025FEB" w:rsidP="00025FEB">
      <w:pPr>
        <w:pStyle w:val="Heading1"/>
        <w:rPr>
          <w:szCs w:val="24"/>
          <w:lang w:eastAsia="en-US"/>
        </w:rPr>
      </w:pPr>
      <w:bookmarkStart w:id="228" w:name="_Toc112862075"/>
      <w:bookmarkStart w:id="229" w:name="_Toc180497428"/>
      <w:r w:rsidRPr="00D85A4F">
        <w:t>Application for restricted patient status</w:t>
      </w:r>
      <w:bookmarkEnd w:id="228"/>
      <w:bookmarkEnd w:id="229"/>
    </w:p>
    <w:p w14:paraId="394F591D" w14:textId="32EB4DE4" w:rsidR="00025FEB" w:rsidRPr="00D85A4F" w:rsidRDefault="00025FEB" w:rsidP="00025FEB">
      <w:r w:rsidRPr="00D85A4F">
        <w:t xml:space="preserve">Section 54 of the </w:t>
      </w:r>
      <w:r>
        <w:t>Mental Health Act</w:t>
      </w:r>
      <w:r w:rsidRPr="00D85A4F">
        <w:t xml:space="preserve"> enables the Director to apply to the </w:t>
      </w:r>
      <w:r>
        <w:t>c</w:t>
      </w:r>
      <w:r w:rsidRPr="00D85A4F">
        <w:t xml:space="preserve">ourt for an order under section 55 declaring </w:t>
      </w:r>
      <w:r w:rsidR="00367618">
        <w:t xml:space="preserve">a </w:t>
      </w:r>
      <w:r w:rsidRPr="00D85A4F">
        <w:t xml:space="preserve">patient to be a restricted patient (restricted patient order). For a restricted patient order to be made under section 55, the </w:t>
      </w:r>
      <w:r>
        <w:t>c</w:t>
      </w:r>
      <w:r w:rsidRPr="00D85A4F">
        <w:t>ourt must be satisfied that the patient presents special difficulties because of the danger they pose to others (section 55(3)</w:t>
      </w:r>
      <w:r w:rsidR="00095230">
        <w:t xml:space="preserve"> </w:t>
      </w:r>
      <w:r w:rsidR="001B1B0C">
        <w:t xml:space="preserve">of the </w:t>
      </w:r>
      <w:r>
        <w:t>Mental Health Act</w:t>
      </w:r>
      <w:r w:rsidRPr="00D85A4F">
        <w:t>).</w:t>
      </w:r>
    </w:p>
    <w:p w14:paraId="341A7B9D" w14:textId="77777777" w:rsidR="00025FEB" w:rsidRPr="00D85A4F" w:rsidRDefault="00025FEB" w:rsidP="00025FEB"/>
    <w:p w14:paraId="7704F3D9" w14:textId="77777777" w:rsidR="00025FEB" w:rsidRPr="00D85A4F" w:rsidRDefault="00025FEB" w:rsidP="00025FEB">
      <w:r w:rsidRPr="00D85A4F">
        <w:t xml:space="preserve">The DAMHS may also refer a case to the Director for consideration if they consider that any patient who is subject to an inpatient order presents special difficulties because of the danger they pose to others and, for that reason, it may be appropriate that an order be made under section 55 declaring the patient to be a restricted patient. </w:t>
      </w:r>
    </w:p>
    <w:p w14:paraId="140BC66B" w14:textId="77777777" w:rsidR="00025FEB" w:rsidRPr="00D85A4F" w:rsidRDefault="00025FEB" w:rsidP="00025FEB"/>
    <w:p w14:paraId="22C7B0A5" w14:textId="1AEFC05B" w:rsidR="00025FEB" w:rsidRPr="00D85A4F" w:rsidRDefault="00025FEB" w:rsidP="00025FEB">
      <w:r w:rsidRPr="00D85A4F">
        <w:t xml:space="preserve">Restricted patient status significantly limits an individual’s liberty. </w:t>
      </w:r>
      <w:r w:rsidR="007519DA">
        <w:t>R</w:t>
      </w:r>
      <w:r w:rsidRPr="00D85A4F">
        <w:t>estricted patient orders are rare</w:t>
      </w:r>
      <w:r w:rsidR="00D335A6">
        <w:t>;</w:t>
      </w:r>
      <w:r w:rsidRPr="00D85A4F">
        <w:t xml:space="preserve"> few </w:t>
      </w:r>
      <w:r>
        <w:t xml:space="preserve">people </w:t>
      </w:r>
      <w:r w:rsidRPr="00D85A4F">
        <w:t xml:space="preserve">have been detained in this way since the </w:t>
      </w:r>
      <w:r>
        <w:t>Mental Health Act</w:t>
      </w:r>
      <w:r w:rsidRPr="00D85A4F">
        <w:t xml:space="preserve"> came into force.</w:t>
      </w:r>
    </w:p>
    <w:p w14:paraId="61D05F24" w14:textId="77777777" w:rsidR="00025FEB" w:rsidRPr="00D85A4F" w:rsidRDefault="00025FEB" w:rsidP="00025FEB">
      <w:pPr>
        <w:pStyle w:val="Heading2"/>
      </w:pPr>
      <w:bookmarkStart w:id="230" w:name="_Toc83197087"/>
      <w:bookmarkStart w:id="231" w:name="_Toc112845472"/>
      <w:bookmarkStart w:id="232" w:name="_Toc112862076"/>
      <w:bookmarkStart w:id="233" w:name="_Toc180497429"/>
      <w:r w:rsidRPr="00D85A4F">
        <w:t>Key features of restricted patient status</w:t>
      </w:r>
      <w:bookmarkEnd w:id="230"/>
      <w:bookmarkEnd w:id="231"/>
      <w:bookmarkEnd w:id="232"/>
      <w:bookmarkEnd w:id="233"/>
    </w:p>
    <w:p w14:paraId="11DEC092" w14:textId="77777777" w:rsidR="00025FEB" w:rsidRPr="00D85A4F" w:rsidRDefault="00025FEB" w:rsidP="00025FEB">
      <w:r>
        <w:t xml:space="preserve">Where a court is considering declaring a person to be a restricted patient, it </w:t>
      </w:r>
      <w:r w:rsidRPr="00D85A4F">
        <w:t>must be satisfied that the patient presents special difficulties because of the danger they pose to others.</w:t>
      </w:r>
    </w:p>
    <w:p w14:paraId="298E685F" w14:textId="0F362ECF" w:rsidR="00025FEB" w:rsidRPr="00D85A4F" w:rsidRDefault="00025FEB" w:rsidP="00025FEB">
      <w:pPr>
        <w:pStyle w:val="Heading3"/>
      </w:pPr>
      <w:r w:rsidRPr="00D85A4F">
        <w:t>Danger</w:t>
      </w:r>
    </w:p>
    <w:p w14:paraId="5746DB5A" w14:textId="056BCCF5" w:rsidR="00025FEB" w:rsidRDefault="00025FEB" w:rsidP="00025FEB">
      <w:r>
        <w:t>The Mental Health Act does not define d</w:t>
      </w:r>
      <w:r w:rsidRPr="00D85A4F">
        <w:t xml:space="preserve">anger. In </w:t>
      </w:r>
      <w:r w:rsidRPr="00D85A4F">
        <w:rPr>
          <w:i/>
          <w:iCs/>
        </w:rPr>
        <w:t>Re SKN</w:t>
      </w:r>
      <w:r w:rsidRPr="00D85A4F">
        <w:t xml:space="preserve"> (1998) 16 FRNZ 559, the </w:t>
      </w:r>
      <w:r>
        <w:t>c</w:t>
      </w:r>
      <w:r w:rsidRPr="00D85A4F">
        <w:t xml:space="preserve">ourt analysed the danger requirement of section 55 of the </w:t>
      </w:r>
      <w:r w:rsidR="00090BEE">
        <w:t>Mental Health Act</w:t>
      </w:r>
      <w:r w:rsidRPr="00D85A4F">
        <w:t>, based on earlier restricted patient applications (</w:t>
      </w:r>
      <w:r w:rsidRPr="00D85A4F">
        <w:rPr>
          <w:i/>
          <w:iCs/>
        </w:rPr>
        <w:t xml:space="preserve">Re </w:t>
      </w:r>
      <w:r>
        <w:rPr>
          <w:i/>
          <w:iCs/>
        </w:rPr>
        <w:t xml:space="preserve">Tahere </w:t>
      </w:r>
      <w:r w:rsidRPr="00D85A4F">
        <w:t xml:space="preserve">[1995] DCR 545; </w:t>
      </w:r>
      <w:r w:rsidRPr="00D85A4F">
        <w:rPr>
          <w:i/>
          <w:iCs/>
        </w:rPr>
        <w:t xml:space="preserve">Re TAV </w:t>
      </w:r>
      <w:r w:rsidRPr="00C84E6C">
        <w:t>[</w:t>
      </w:r>
      <w:r w:rsidRPr="00D85A4F">
        <w:t xml:space="preserve">1997] NZFLR 846; </w:t>
      </w:r>
      <w:r w:rsidRPr="00D85A4F">
        <w:rPr>
          <w:i/>
          <w:iCs/>
        </w:rPr>
        <w:t>Re RWD</w:t>
      </w:r>
      <w:r w:rsidRPr="00D85A4F">
        <w:t xml:space="preserve"> (1994) 12 FRNZ </w:t>
      </w:r>
      <w:r>
        <w:t>3</w:t>
      </w:r>
      <w:r w:rsidRPr="00D85A4F">
        <w:t>87)</w:t>
      </w:r>
      <w:r w:rsidR="00073B9A">
        <w:t>.</w:t>
      </w:r>
      <w:r w:rsidRPr="00D85A4F">
        <w:t xml:space="preserve"> Walsh J found that:</w:t>
      </w:r>
    </w:p>
    <w:p w14:paraId="13A2777F" w14:textId="77777777" w:rsidR="00D25422" w:rsidRPr="00D85A4F" w:rsidRDefault="00D25422" w:rsidP="00025FEB"/>
    <w:p w14:paraId="5459F98A" w14:textId="77777777" w:rsidR="00025FEB" w:rsidRPr="00D85A4F" w:rsidRDefault="00025FEB" w:rsidP="00D25422">
      <w:pPr>
        <w:pStyle w:val="Quote"/>
        <w:spacing w:before="0"/>
        <w:rPr>
          <w:i/>
          <w:iCs/>
        </w:rPr>
      </w:pPr>
      <w:r w:rsidRPr="00D85A4F">
        <w:rPr>
          <w:i/>
          <w:iCs/>
        </w:rPr>
        <w:t xml:space="preserve">The words </w:t>
      </w:r>
      <w:r>
        <w:rPr>
          <w:i/>
          <w:iCs/>
        </w:rPr>
        <w:t>‘</w:t>
      </w:r>
      <w:r w:rsidRPr="00D85A4F">
        <w:rPr>
          <w:i/>
          <w:iCs/>
        </w:rPr>
        <w:t>the danger he or she poses to others</w:t>
      </w:r>
      <w:r>
        <w:rPr>
          <w:i/>
          <w:iCs/>
        </w:rPr>
        <w:t>’</w:t>
      </w:r>
      <w:r w:rsidRPr="00D85A4F">
        <w:rPr>
          <w:i/>
          <w:iCs/>
        </w:rPr>
        <w:t xml:space="preserve"> relate to the second limb of the definition of </w:t>
      </w:r>
      <w:r>
        <w:rPr>
          <w:i/>
          <w:iCs/>
        </w:rPr>
        <w:t>‘</w:t>
      </w:r>
      <w:r w:rsidRPr="00D85A4F">
        <w:rPr>
          <w:i/>
          <w:iCs/>
        </w:rPr>
        <w:t>mental disorder</w:t>
      </w:r>
      <w:r>
        <w:rPr>
          <w:i/>
          <w:iCs/>
        </w:rPr>
        <w:t>’</w:t>
      </w:r>
      <w:r w:rsidRPr="00D85A4F">
        <w:rPr>
          <w:i/>
          <w:iCs/>
        </w:rPr>
        <w:t xml:space="preserve"> which requires the Court, before making a Compulsory Treatment Order, to be satisfied that the specified clinical symptoms of abnormal state of mind exist to such a degree that it </w:t>
      </w:r>
      <w:r>
        <w:rPr>
          <w:i/>
          <w:iCs/>
        </w:rPr>
        <w:t>‘</w:t>
      </w:r>
      <w:r w:rsidRPr="00D85A4F">
        <w:rPr>
          <w:i/>
          <w:iCs/>
        </w:rPr>
        <w:t>poses a serious danger to the health and safety of others</w:t>
      </w:r>
      <w:r>
        <w:rPr>
          <w:i/>
          <w:iCs/>
        </w:rPr>
        <w:t>’</w:t>
      </w:r>
      <w:r w:rsidRPr="00D85A4F">
        <w:rPr>
          <w:i/>
          <w:iCs/>
        </w:rPr>
        <w:t>.</w:t>
      </w:r>
    </w:p>
    <w:p w14:paraId="1AC707EA" w14:textId="77777777" w:rsidR="00025FEB" w:rsidRPr="00D85A4F" w:rsidRDefault="00025FEB" w:rsidP="00025FEB"/>
    <w:p w14:paraId="60875B3F" w14:textId="74199F1A" w:rsidR="00025FEB" w:rsidRDefault="00025FEB" w:rsidP="00025FEB">
      <w:r w:rsidRPr="00D85A4F">
        <w:t xml:space="preserve">Walsh J applied a </w:t>
      </w:r>
      <w:r w:rsidR="007A6F61" w:rsidRPr="00D85A4F">
        <w:t>commonsense</w:t>
      </w:r>
      <w:r w:rsidRPr="00D85A4F">
        <w:t xml:space="preserve"> approach to interpreting and applying the danger requirement. He also stated that the danger ‘does not have to be imminent or likely to occur immediately because of the effect of current medication on the patient’.</w:t>
      </w:r>
    </w:p>
    <w:p w14:paraId="15F9AC52" w14:textId="77777777" w:rsidR="00D25422" w:rsidRPr="00D85A4F" w:rsidRDefault="00D25422" w:rsidP="00025FEB"/>
    <w:p w14:paraId="43C4656A" w14:textId="77777777" w:rsidR="00025FEB" w:rsidRPr="00D85A4F" w:rsidRDefault="00025FEB" w:rsidP="00D25422">
      <w:pPr>
        <w:pStyle w:val="Quote"/>
        <w:spacing w:before="0"/>
        <w:rPr>
          <w:i/>
          <w:iCs/>
        </w:rPr>
      </w:pPr>
      <w:r w:rsidRPr="00D85A4F">
        <w:rPr>
          <w:i/>
          <w:iCs/>
        </w:rPr>
        <w:t>There can be consideration of the nature of past danger to others in order to look ahead to assess present and future dangerousness. In that context an examination of the ability of a patient to control his or her dangerousness, the degree of insight possessed and the degree of risk of serious harm are relevant considerations.</w:t>
      </w:r>
    </w:p>
    <w:p w14:paraId="60737211" w14:textId="77777777" w:rsidR="00025FEB" w:rsidRPr="00D85A4F" w:rsidRDefault="00025FEB" w:rsidP="00025FEB"/>
    <w:p w14:paraId="47EBD8DB" w14:textId="77777777" w:rsidR="00025FEB" w:rsidRPr="00D85A4F" w:rsidRDefault="00025FEB" w:rsidP="00025FEB">
      <w:r>
        <w:t xml:space="preserve">In another case, </w:t>
      </w:r>
      <w:hyperlink r:id="rId28" w:tgtFrame="_blank" w:history="1">
        <w:r w:rsidRPr="005A65D5">
          <w:rPr>
            <w:i/>
            <w:iCs/>
            <w:szCs w:val="18"/>
          </w:rPr>
          <w:t>Applicant 11/040</w:t>
        </w:r>
      </w:hyperlink>
      <w:r w:rsidRPr="005A65D5">
        <w:rPr>
          <w:szCs w:val="18"/>
        </w:rPr>
        <w:t> [2011] NZMHRT 40</w:t>
      </w:r>
      <w:r>
        <w:rPr>
          <w:szCs w:val="18"/>
        </w:rPr>
        <w:t>,</w:t>
      </w:r>
      <w:r w:rsidRPr="005A65D5" w:rsidDel="005A65D5">
        <w:rPr>
          <w:szCs w:val="18"/>
        </w:rPr>
        <w:t xml:space="preserve"> </w:t>
      </w:r>
      <w:r w:rsidRPr="00D85A4F">
        <w:t>the Mental Health Review Tribunal said</w:t>
      </w:r>
      <w:r>
        <w:t xml:space="preserve"> regarding the definition of ‘serious dangerousness’:</w:t>
      </w:r>
      <w:r w:rsidRPr="00D85A4F">
        <w:t xml:space="preserve"> </w:t>
      </w:r>
    </w:p>
    <w:p w14:paraId="3DEB2BDD" w14:textId="77777777" w:rsidR="00025FEB" w:rsidRPr="00D85A4F" w:rsidRDefault="00025FEB" w:rsidP="00025FEB"/>
    <w:p w14:paraId="20C4639B" w14:textId="79FB4F2F" w:rsidR="00025FEB" w:rsidRPr="00D85A4F" w:rsidRDefault="00025FEB" w:rsidP="00D25422">
      <w:pPr>
        <w:pStyle w:val="Quote"/>
        <w:spacing w:before="0"/>
        <w:rPr>
          <w:i/>
          <w:iCs/>
        </w:rPr>
      </w:pPr>
      <w:r w:rsidRPr="00D85A4F">
        <w:rPr>
          <w:i/>
          <w:iCs/>
        </w:rPr>
        <w:t xml:space="preserve">The determination of serious dangerousness in terms of the mental disorder definition is ultimately a matter of judgement having regard to a multiplicity of considerations and the unique circumstances of each case. A helpful analysis is to have regard to the following considerations: </w:t>
      </w:r>
    </w:p>
    <w:p w14:paraId="292E0382" w14:textId="77777777" w:rsidR="00025FEB" w:rsidRPr="00E61D15" w:rsidRDefault="00025FEB" w:rsidP="00D25422">
      <w:pPr>
        <w:pStyle w:val="ListParagraph"/>
        <w:numPr>
          <w:ilvl w:val="0"/>
          <w:numId w:val="20"/>
        </w:numPr>
        <w:spacing w:before="90"/>
        <w:ind w:left="851" w:hanging="567"/>
        <w:contextualSpacing w:val="0"/>
        <w:rPr>
          <w:rFonts w:cs="Segoe UI"/>
          <w:i/>
          <w:iCs/>
          <w:szCs w:val="21"/>
        </w:rPr>
      </w:pPr>
      <w:r w:rsidRPr="00E61D15">
        <w:rPr>
          <w:rFonts w:cs="Segoe UI"/>
          <w:i/>
          <w:iCs/>
          <w:szCs w:val="21"/>
        </w:rPr>
        <w:t xml:space="preserve">What is the magnitude or gravity of the behaviour concerned? </w:t>
      </w:r>
    </w:p>
    <w:p w14:paraId="654966AB" w14:textId="77777777" w:rsidR="00025FEB" w:rsidRPr="00E61D15" w:rsidRDefault="00025FEB" w:rsidP="00D25422">
      <w:pPr>
        <w:pStyle w:val="ListParagraph"/>
        <w:numPr>
          <w:ilvl w:val="0"/>
          <w:numId w:val="20"/>
        </w:numPr>
        <w:spacing w:before="90"/>
        <w:ind w:left="851" w:hanging="567"/>
        <w:contextualSpacing w:val="0"/>
        <w:rPr>
          <w:rFonts w:cs="Segoe UI"/>
          <w:i/>
          <w:iCs/>
          <w:szCs w:val="21"/>
        </w:rPr>
      </w:pPr>
      <w:r w:rsidRPr="00E61D15">
        <w:rPr>
          <w:rFonts w:cs="Segoe UI"/>
          <w:i/>
          <w:iCs/>
          <w:szCs w:val="21"/>
        </w:rPr>
        <w:t xml:space="preserve">What is the likelihood of the behaviour occurring? </w:t>
      </w:r>
    </w:p>
    <w:p w14:paraId="4BF4A329" w14:textId="77777777" w:rsidR="00025FEB" w:rsidRPr="00E61D15" w:rsidRDefault="00025FEB" w:rsidP="00D25422">
      <w:pPr>
        <w:pStyle w:val="ListParagraph"/>
        <w:numPr>
          <w:ilvl w:val="0"/>
          <w:numId w:val="20"/>
        </w:numPr>
        <w:spacing w:before="90"/>
        <w:ind w:left="851" w:hanging="567"/>
        <w:contextualSpacing w:val="0"/>
        <w:rPr>
          <w:rFonts w:cs="Segoe UI"/>
          <w:i/>
          <w:iCs/>
          <w:szCs w:val="21"/>
        </w:rPr>
      </w:pPr>
      <w:r w:rsidRPr="00E61D15">
        <w:rPr>
          <w:rFonts w:cs="Segoe UI"/>
          <w:i/>
          <w:iCs/>
          <w:szCs w:val="21"/>
        </w:rPr>
        <w:t xml:space="preserve">What is the proximity or imminence of the behaviour, in other words, how soon or quickly might it occur? </w:t>
      </w:r>
    </w:p>
    <w:p w14:paraId="03242B19" w14:textId="77777777" w:rsidR="00025FEB" w:rsidRPr="00E61D15" w:rsidRDefault="00025FEB" w:rsidP="00D25422">
      <w:pPr>
        <w:pStyle w:val="ListParagraph"/>
        <w:numPr>
          <w:ilvl w:val="0"/>
          <w:numId w:val="20"/>
        </w:numPr>
        <w:spacing w:before="90"/>
        <w:ind w:left="851" w:hanging="567"/>
        <w:contextualSpacing w:val="0"/>
        <w:rPr>
          <w:rFonts w:cs="Segoe UI"/>
          <w:i/>
          <w:iCs/>
          <w:szCs w:val="21"/>
        </w:rPr>
      </w:pPr>
      <w:r w:rsidRPr="00E61D15">
        <w:rPr>
          <w:rFonts w:cs="Segoe UI"/>
          <w:i/>
          <w:iCs/>
          <w:szCs w:val="21"/>
        </w:rPr>
        <w:t xml:space="preserve">What is the frequency of the behaviour, that is to say how often might it occur? </w:t>
      </w:r>
    </w:p>
    <w:p w14:paraId="29F5E8F7" w14:textId="77777777" w:rsidR="00D25422" w:rsidRDefault="00D25422" w:rsidP="00D25422">
      <w:pPr>
        <w:pStyle w:val="Quote"/>
        <w:spacing w:before="0"/>
        <w:rPr>
          <w:i/>
          <w:iCs/>
        </w:rPr>
      </w:pPr>
    </w:p>
    <w:p w14:paraId="1D961156" w14:textId="59479397" w:rsidR="00025FEB" w:rsidRPr="00D25422" w:rsidRDefault="00025FEB" w:rsidP="00D25422">
      <w:pPr>
        <w:pStyle w:val="Quote"/>
        <w:spacing w:before="0"/>
        <w:rPr>
          <w:i/>
          <w:iCs/>
        </w:rPr>
      </w:pPr>
      <w:r w:rsidRPr="00D85A4F">
        <w:rPr>
          <w:i/>
          <w:iCs/>
        </w:rPr>
        <w:t>These four considerations are not isolated one from the other but need to be considered collectively. The weighting given to one may reduce the significance of another. For example, if the gravity of a behaviour is particularly high, less weight need be placed on the issues of likelihood, proximity or frequency in order that a finding of serious danger is made. Thus, a risk of say homicide, is likely to constitute serious danger to others in the mental disorder definition despite the likelihood, proximity and frequency being relatively low. On the other hand, low level assaultive behaviour may also be deemed to constitute serious danger to others if its likelihood, proximity and frequency are high. By contrast, the same level of assaultive behaviour may be deemed to not constitute serious danger to others if its likelihood, proximity or frequency are relatively low.</w:t>
      </w:r>
    </w:p>
    <w:p w14:paraId="2123CD03" w14:textId="77777777" w:rsidR="00025FEB" w:rsidRPr="00D85A4F" w:rsidRDefault="00025FEB" w:rsidP="00025FEB">
      <w:pPr>
        <w:ind w:left="567"/>
      </w:pPr>
    </w:p>
    <w:p w14:paraId="757CC27B" w14:textId="77777777" w:rsidR="00025FEB" w:rsidRPr="00D85A4F" w:rsidRDefault="00025FEB" w:rsidP="00D25422">
      <w:r w:rsidRPr="00D85A4F">
        <w:t>In relation to the risk of serious danger to others posed by a patient relapsing, the Mental Health Review Tribunal suggested that the following factors may be relevant considerations:</w:t>
      </w:r>
    </w:p>
    <w:p w14:paraId="4E3DD315" w14:textId="77777777" w:rsidR="00025FEB" w:rsidRPr="00D25422" w:rsidRDefault="00025FEB" w:rsidP="00D25422">
      <w:pPr>
        <w:pStyle w:val="Bullet"/>
      </w:pPr>
      <w:r w:rsidRPr="00D25422">
        <w:t>the degree of causal connection between relapse and dangerousness</w:t>
      </w:r>
    </w:p>
    <w:p w14:paraId="34D7A3C6" w14:textId="77777777" w:rsidR="00025FEB" w:rsidRPr="00D25422" w:rsidRDefault="00025FEB" w:rsidP="00D25422">
      <w:pPr>
        <w:pStyle w:val="Bullet"/>
      </w:pPr>
      <w:r w:rsidRPr="00D25422">
        <w:t>the expected time lapse between release from compulsory status and cessation of treatment</w:t>
      </w:r>
    </w:p>
    <w:p w14:paraId="4FB29FEC" w14:textId="77777777" w:rsidR="00025FEB" w:rsidRPr="00D25422" w:rsidRDefault="00025FEB" w:rsidP="00D25422">
      <w:pPr>
        <w:pStyle w:val="Bullet"/>
      </w:pPr>
      <w:r w:rsidRPr="00D25422">
        <w:t>the estimated time lapse between non-compliance with treatment and relapse</w:t>
      </w:r>
    </w:p>
    <w:p w14:paraId="12ADF508" w14:textId="77777777" w:rsidR="00025FEB" w:rsidRPr="00D25422" w:rsidRDefault="00025FEB" w:rsidP="00D25422">
      <w:pPr>
        <w:pStyle w:val="Bullet"/>
      </w:pPr>
      <w:r w:rsidRPr="00D25422">
        <w:t>whether interventions by clinicians or family or friends or others can prevent or lessen a relapse which is in its early stages</w:t>
      </w:r>
    </w:p>
    <w:p w14:paraId="369DF4A5" w14:textId="77777777" w:rsidR="00025FEB" w:rsidRPr="00D25422" w:rsidRDefault="00025FEB" w:rsidP="00D25422">
      <w:pPr>
        <w:pStyle w:val="Bullet"/>
      </w:pPr>
      <w:r w:rsidRPr="00D25422">
        <w:t>the ability of clinicians to re-initiate the compulsory assessment and treatment provisions of the Mental Health Act.</w:t>
      </w:r>
    </w:p>
    <w:p w14:paraId="64BF3561" w14:textId="77777777" w:rsidR="00025FEB" w:rsidRPr="00D85A4F" w:rsidRDefault="00025FEB" w:rsidP="00025FEB"/>
    <w:p w14:paraId="166FC978" w14:textId="6011F148" w:rsidR="00025FEB" w:rsidRPr="00D85A4F" w:rsidRDefault="00025FEB" w:rsidP="00025FEB">
      <w:pPr>
        <w:pStyle w:val="Heading3"/>
      </w:pPr>
      <w:r w:rsidRPr="00D85A4F">
        <w:t>Special difficulties</w:t>
      </w:r>
    </w:p>
    <w:p w14:paraId="5990C467" w14:textId="2203F5B0" w:rsidR="00025FEB" w:rsidRDefault="00025FEB" w:rsidP="00025FEB">
      <w:pPr>
        <w:keepNext/>
      </w:pPr>
      <w:r>
        <w:t>The Mental Health Act does not define ‘s</w:t>
      </w:r>
      <w:r w:rsidRPr="00D85A4F">
        <w:t>pecial difficulties</w:t>
      </w:r>
      <w:r>
        <w:t>’</w:t>
      </w:r>
      <w:r w:rsidR="00B33E9D">
        <w:t xml:space="preserve">, </w:t>
      </w:r>
      <w:r w:rsidRPr="00D85A4F">
        <w:t xml:space="preserve">but </w:t>
      </w:r>
      <w:r>
        <w:t xml:space="preserve">the courts </w:t>
      </w:r>
      <w:r w:rsidRPr="00D85A4F">
        <w:t xml:space="preserve">have interpreted </w:t>
      </w:r>
      <w:r>
        <w:t xml:space="preserve">‘special’ </w:t>
      </w:r>
      <w:r w:rsidRPr="00D85A4F">
        <w:t>to mean ‘peculiar, or exceptional in amount, degree or intensity’ (</w:t>
      </w:r>
      <w:r w:rsidRPr="00D85A4F">
        <w:rPr>
          <w:i/>
          <w:iCs/>
        </w:rPr>
        <w:t>Re T</w:t>
      </w:r>
      <w:r>
        <w:rPr>
          <w:i/>
          <w:iCs/>
        </w:rPr>
        <w:t>ahere</w:t>
      </w:r>
      <w:r w:rsidRPr="00D85A4F">
        <w:t xml:space="preserve">). In </w:t>
      </w:r>
      <w:r w:rsidRPr="00D85A4F">
        <w:rPr>
          <w:i/>
          <w:iCs/>
        </w:rPr>
        <w:t>Re STN</w:t>
      </w:r>
      <w:r w:rsidRPr="00D85A4F">
        <w:t xml:space="preserve"> 6/4/00, NRT766/00</w:t>
      </w:r>
      <w:r>
        <w:t>,</w:t>
      </w:r>
      <w:r w:rsidRPr="00D85A4F">
        <w:t xml:space="preserve"> the Tribunal </w:t>
      </w:r>
      <w:r w:rsidR="004F0BAC">
        <w:t xml:space="preserve">described </w:t>
      </w:r>
      <w:r w:rsidRPr="00D85A4F">
        <w:t>special difficulties</w:t>
      </w:r>
      <w:r w:rsidR="004F0BAC">
        <w:t xml:space="preserve"> as follows</w:t>
      </w:r>
      <w:r w:rsidRPr="00D85A4F">
        <w:t>:</w:t>
      </w:r>
    </w:p>
    <w:p w14:paraId="0CF52C78" w14:textId="77777777" w:rsidR="00D25422" w:rsidRPr="00D85A4F" w:rsidRDefault="00D25422" w:rsidP="00025FEB">
      <w:pPr>
        <w:keepNext/>
      </w:pPr>
    </w:p>
    <w:p w14:paraId="21CB8C05" w14:textId="77777777" w:rsidR="00025FEB" w:rsidRPr="00D85A4F" w:rsidRDefault="00025FEB" w:rsidP="00D25422">
      <w:pPr>
        <w:pStyle w:val="Quote"/>
        <w:keepNext/>
        <w:spacing w:before="0"/>
        <w:rPr>
          <w:i/>
          <w:iCs/>
        </w:rPr>
      </w:pPr>
      <w:r w:rsidRPr="00D85A4F">
        <w:rPr>
          <w:i/>
          <w:iCs/>
        </w:rPr>
        <w:t>The applicant possesses unusual features out of the ordinary run but not extraordinary or unique. It is the duration, intensity and magnitude of the applicant’s antisocial behaviour, which makes his difficulties special.</w:t>
      </w:r>
    </w:p>
    <w:p w14:paraId="18C7652D" w14:textId="77777777" w:rsidR="00025FEB" w:rsidRPr="00D85A4F" w:rsidRDefault="00025FEB" w:rsidP="00025FEB"/>
    <w:p w14:paraId="34811C28" w14:textId="77777777" w:rsidR="00025FEB" w:rsidRPr="00D85A4F" w:rsidRDefault="00025FEB" w:rsidP="00025FEB">
      <w:r w:rsidRPr="00D85A4F">
        <w:t xml:space="preserve">In </w:t>
      </w:r>
      <w:r w:rsidRPr="00D85A4F">
        <w:rPr>
          <w:i/>
        </w:rPr>
        <w:t>Re T</w:t>
      </w:r>
      <w:r>
        <w:rPr>
          <w:i/>
        </w:rPr>
        <w:t>ahere</w:t>
      </w:r>
      <w:r w:rsidRPr="00D85A4F">
        <w:t xml:space="preserve">, Kendall FCJ held that </w:t>
      </w:r>
      <w:r w:rsidRPr="00D85A4F">
        <w:rPr>
          <w:i/>
        </w:rPr>
        <w:t>‘</w:t>
      </w:r>
      <w:r w:rsidRPr="00D85A4F">
        <w:rPr>
          <w:iCs/>
        </w:rPr>
        <w:t>What must be looked at is that “special difficulties” must relate to the degree of danger to others, the nature of it, its causes, and its likely manifestations’</w:t>
      </w:r>
      <w:r w:rsidRPr="00D85A4F">
        <w:t xml:space="preserve">. Thus, there must be a causal link between the </w:t>
      </w:r>
      <w:r>
        <w:t>‘</w:t>
      </w:r>
      <w:r w:rsidRPr="00D85A4F">
        <w:t>danger</w:t>
      </w:r>
      <w:r>
        <w:t>’</w:t>
      </w:r>
      <w:r w:rsidRPr="00D85A4F">
        <w:t xml:space="preserve"> and the </w:t>
      </w:r>
      <w:r>
        <w:t>‘</w:t>
      </w:r>
      <w:r w:rsidRPr="00D85A4F">
        <w:t>special difficulties</w:t>
      </w:r>
      <w:r>
        <w:t>’</w:t>
      </w:r>
      <w:r w:rsidRPr="00D85A4F">
        <w:t>.</w:t>
      </w:r>
    </w:p>
    <w:p w14:paraId="5821F5D5" w14:textId="77777777" w:rsidR="00025FEB" w:rsidRPr="00D85A4F" w:rsidRDefault="00025FEB" w:rsidP="00025FEB">
      <w:pPr>
        <w:pStyle w:val="Heading2"/>
      </w:pPr>
      <w:bookmarkStart w:id="234" w:name="_Toc83197088"/>
      <w:bookmarkStart w:id="235" w:name="_Toc112845473"/>
      <w:bookmarkStart w:id="236" w:name="_Toc112862077"/>
      <w:bookmarkStart w:id="237" w:name="_Toc180497430"/>
      <w:r w:rsidRPr="00D85A4F">
        <w:t>Information in support of an application for restricted patient status</w:t>
      </w:r>
      <w:bookmarkEnd w:id="234"/>
      <w:bookmarkEnd w:id="235"/>
      <w:bookmarkEnd w:id="236"/>
      <w:bookmarkEnd w:id="237"/>
    </w:p>
    <w:p w14:paraId="29E0DB46" w14:textId="6BCC695D" w:rsidR="00025FEB" w:rsidRPr="00D85A4F" w:rsidRDefault="00025FEB" w:rsidP="00025FEB">
      <w:pPr>
        <w:rPr>
          <w:lang w:eastAsia="en-NZ"/>
        </w:rPr>
      </w:pPr>
      <w:r w:rsidRPr="00D85A4F">
        <w:rPr>
          <w:lang w:eastAsia="en-NZ"/>
        </w:rPr>
        <w:t xml:space="preserve">As set out above, under section 54 of the </w:t>
      </w:r>
      <w:r>
        <w:rPr>
          <w:lang w:eastAsia="en-NZ"/>
        </w:rPr>
        <w:t>Mental Health Act</w:t>
      </w:r>
      <w:r w:rsidR="00E116AC">
        <w:rPr>
          <w:lang w:eastAsia="en-NZ"/>
        </w:rPr>
        <w:t>,</w:t>
      </w:r>
      <w:r w:rsidRPr="00D85A4F">
        <w:rPr>
          <w:lang w:eastAsia="en-NZ"/>
        </w:rPr>
        <w:t xml:space="preserve"> the Director may apply to the </w:t>
      </w:r>
      <w:r>
        <w:rPr>
          <w:lang w:eastAsia="en-NZ"/>
        </w:rPr>
        <w:t>c</w:t>
      </w:r>
      <w:r w:rsidRPr="00D85A4F">
        <w:rPr>
          <w:lang w:eastAsia="en-NZ"/>
        </w:rPr>
        <w:t>ourt for an order declaring a patient to be a restrict</w:t>
      </w:r>
      <w:r>
        <w:rPr>
          <w:lang w:eastAsia="en-NZ"/>
        </w:rPr>
        <w:t>ed</w:t>
      </w:r>
      <w:r w:rsidRPr="00D85A4F">
        <w:rPr>
          <w:lang w:eastAsia="en-NZ"/>
        </w:rPr>
        <w:t xml:space="preserve"> patient. In practice, the responsible clinician organises the application, which is then provided to the Director</w:t>
      </w:r>
      <w:r>
        <w:rPr>
          <w:lang w:eastAsia="en-NZ"/>
        </w:rPr>
        <w:t>,</w:t>
      </w:r>
      <w:r w:rsidRPr="00D85A4F">
        <w:rPr>
          <w:lang w:eastAsia="en-NZ"/>
        </w:rPr>
        <w:t xml:space="preserve"> who in turn applies to the </w:t>
      </w:r>
      <w:r>
        <w:rPr>
          <w:lang w:eastAsia="en-NZ"/>
        </w:rPr>
        <w:t>c</w:t>
      </w:r>
      <w:r w:rsidRPr="00D85A4F">
        <w:rPr>
          <w:lang w:eastAsia="en-NZ"/>
        </w:rPr>
        <w:t xml:space="preserve">ourt. </w:t>
      </w:r>
    </w:p>
    <w:p w14:paraId="3248DFAD" w14:textId="77777777" w:rsidR="00025FEB" w:rsidRPr="00D85A4F" w:rsidRDefault="00025FEB" w:rsidP="00025FEB">
      <w:pPr>
        <w:rPr>
          <w:lang w:eastAsia="en-NZ"/>
        </w:rPr>
      </w:pPr>
    </w:p>
    <w:p w14:paraId="30B9C21F" w14:textId="77777777" w:rsidR="00025FEB" w:rsidRPr="00D85A4F" w:rsidRDefault="00025FEB" w:rsidP="00025FEB">
      <w:pPr>
        <w:rPr>
          <w:lang w:eastAsia="en-NZ"/>
        </w:rPr>
      </w:pPr>
      <w:r w:rsidRPr="00D85A4F">
        <w:rPr>
          <w:lang w:eastAsia="en-NZ"/>
        </w:rPr>
        <w:t>Information in support of an application for restricted patient status should provide a comprehensive overview of the patient’s history (including any forensic history), as well as a plan for the patient’s proposed management as a restricted patient. In particular, the report on the patient should cover the following matters:</w:t>
      </w:r>
    </w:p>
    <w:p w14:paraId="6158E3AB" w14:textId="77777777" w:rsidR="00025FEB" w:rsidRPr="00D85A4F" w:rsidRDefault="00025FEB" w:rsidP="00D25422">
      <w:pPr>
        <w:pStyle w:val="Bullet"/>
      </w:pPr>
      <w:r w:rsidRPr="00D85A4F">
        <w:t>the relationship between the patient’s previous offending and their mental disorder</w:t>
      </w:r>
    </w:p>
    <w:p w14:paraId="2A23111B" w14:textId="4153F5B9" w:rsidR="00025FEB" w:rsidRPr="00D85A4F" w:rsidRDefault="00025FEB" w:rsidP="00D25422">
      <w:pPr>
        <w:pStyle w:val="Bullet"/>
      </w:pPr>
      <w:r w:rsidRPr="00D85A4F">
        <w:t>whether the responsible clinician considers the patient poses a danger to others</w:t>
      </w:r>
      <w:r w:rsidR="00650216">
        <w:t>,</w:t>
      </w:r>
      <w:r w:rsidRPr="00D85A4F">
        <w:t xml:space="preserve"> and the reasons for this analysis</w:t>
      </w:r>
    </w:p>
    <w:p w14:paraId="1E540790" w14:textId="0B5A05F2" w:rsidR="00025FEB" w:rsidRPr="00D85A4F" w:rsidRDefault="00025FEB" w:rsidP="00D25422">
      <w:pPr>
        <w:pStyle w:val="Bullet"/>
      </w:pPr>
      <w:r w:rsidRPr="00D85A4F">
        <w:t xml:space="preserve">if the patient does pose a danger to others, whether the patient presents special difficulties because of </w:t>
      </w:r>
      <w:r w:rsidR="00FA099F">
        <w:t>that</w:t>
      </w:r>
    </w:p>
    <w:p w14:paraId="18B2CF1F" w14:textId="5C86A3A2" w:rsidR="00025FEB" w:rsidRPr="00D85A4F" w:rsidRDefault="00025FEB" w:rsidP="00D25422">
      <w:pPr>
        <w:pStyle w:val="Bullet"/>
      </w:pPr>
      <w:r w:rsidRPr="00D85A4F">
        <w:t xml:space="preserve">relevant aspects of the patient’s cultural background that contribute to the precise diagnosis of their mental disorder. </w:t>
      </w:r>
    </w:p>
    <w:p w14:paraId="1EC08765" w14:textId="77777777" w:rsidR="00025FEB" w:rsidRDefault="00025FEB" w:rsidP="00025FEB">
      <w:pPr>
        <w:rPr>
          <w:szCs w:val="22"/>
        </w:rPr>
      </w:pPr>
    </w:p>
    <w:p w14:paraId="5B16EAD5" w14:textId="77777777" w:rsidR="00025FEB" w:rsidRPr="00D85A4F" w:rsidRDefault="00025FEB" w:rsidP="00025FEB">
      <w:pPr>
        <w:rPr>
          <w:szCs w:val="22"/>
        </w:rPr>
      </w:pPr>
      <w:r>
        <w:rPr>
          <w:szCs w:val="22"/>
        </w:rPr>
        <w:t>As far as</w:t>
      </w:r>
      <w:r w:rsidRPr="00D85A4F">
        <w:rPr>
          <w:szCs w:val="22"/>
        </w:rPr>
        <w:t xml:space="preserve"> special difficulties</w:t>
      </w:r>
      <w:r>
        <w:rPr>
          <w:szCs w:val="22"/>
        </w:rPr>
        <w:t>, the information should include</w:t>
      </w:r>
      <w:r w:rsidRPr="00D85A4F">
        <w:rPr>
          <w:szCs w:val="22"/>
        </w:rPr>
        <w:t>:</w:t>
      </w:r>
    </w:p>
    <w:p w14:paraId="193BCF9D" w14:textId="77777777" w:rsidR="00025FEB" w:rsidRPr="00D85A4F" w:rsidRDefault="00025FEB" w:rsidP="00D25422">
      <w:pPr>
        <w:pStyle w:val="Bullet"/>
      </w:pPr>
      <w:r w:rsidRPr="00D85A4F">
        <w:t>the nature and degree of seriousness of the special difficulties presented by the patient because of the danger they pose to others</w:t>
      </w:r>
    </w:p>
    <w:p w14:paraId="26987288" w14:textId="77777777" w:rsidR="00025FEB" w:rsidRPr="00D85A4F" w:rsidRDefault="00025FEB" w:rsidP="00D25422">
      <w:pPr>
        <w:pStyle w:val="Bullet"/>
      </w:pPr>
      <w:r w:rsidRPr="00D85A4F">
        <w:t>an opinion on the ability to manage the special difficulties described, in a clinical and/or community setting.</w:t>
      </w:r>
    </w:p>
    <w:p w14:paraId="416EA399" w14:textId="77777777" w:rsidR="00025FEB" w:rsidRDefault="00025FEB" w:rsidP="00025FEB">
      <w:pPr>
        <w:rPr>
          <w:szCs w:val="22"/>
        </w:rPr>
      </w:pPr>
    </w:p>
    <w:p w14:paraId="4C86F667" w14:textId="77777777" w:rsidR="00025FEB" w:rsidRPr="00D85A4F" w:rsidRDefault="00025FEB" w:rsidP="00025FEB">
      <w:pPr>
        <w:rPr>
          <w:szCs w:val="22"/>
        </w:rPr>
      </w:pPr>
      <w:r>
        <w:rPr>
          <w:szCs w:val="22"/>
        </w:rPr>
        <w:t>Information about why the</w:t>
      </w:r>
      <w:r w:rsidRPr="00D85A4F">
        <w:rPr>
          <w:szCs w:val="22"/>
        </w:rPr>
        <w:t xml:space="preserve"> responsible clinician</w:t>
      </w:r>
      <w:r>
        <w:rPr>
          <w:szCs w:val="22"/>
        </w:rPr>
        <w:t xml:space="preserve"> or Director</w:t>
      </w:r>
      <w:r w:rsidRPr="00D85A4F">
        <w:rPr>
          <w:szCs w:val="22"/>
        </w:rPr>
        <w:t xml:space="preserve"> forms the view that the patient presents special difficulties because of the danger they pose to others</w:t>
      </w:r>
      <w:r>
        <w:rPr>
          <w:szCs w:val="22"/>
        </w:rPr>
        <w:t xml:space="preserve"> should also be included, addressing</w:t>
      </w:r>
      <w:r w:rsidRPr="00D85A4F">
        <w:rPr>
          <w:szCs w:val="22"/>
        </w:rPr>
        <w:t>:</w:t>
      </w:r>
    </w:p>
    <w:p w14:paraId="70A7B4BE" w14:textId="77777777" w:rsidR="00025FEB" w:rsidRPr="00D85A4F" w:rsidRDefault="00025FEB" w:rsidP="00D25422">
      <w:pPr>
        <w:pStyle w:val="Bullet"/>
      </w:pPr>
      <w:r w:rsidRPr="00D85A4F">
        <w:t>wh</w:t>
      </w:r>
      <w:r>
        <w:t xml:space="preserve">y </w:t>
      </w:r>
      <w:r w:rsidRPr="00D85A4F">
        <w:t xml:space="preserve">it would be appropriate that an order be made declaring the patient to be a restricted patient </w:t>
      </w:r>
    </w:p>
    <w:p w14:paraId="6CCDC95E" w14:textId="77777777" w:rsidR="00025FEB" w:rsidRDefault="00025FEB" w:rsidP="00D25422">
      <w:pPr>
        <w:pStyle w:val="Bullet"/>
      </w:pPr>
      <w:r w:rsidRPr="00D85A4F">
        <w:t>wh</w:t>
      </w:r>
      <w:r>
        <w:t>y</w:t>
      </w:r>
      <w:r w:rsidRPr="00D85A4F">
        <w:t xml:space="preserve"> restricted patient status is necessary to provide appropriate clinical supervision </w:t>
      </w:r>
    </w:p>
    <w:p w14:paraId="2DB30E2A" w14:textId="77777777" w:rsidR="00025FEB" w:rsidRPr="00D85A4F" w:rsidRDefault="00025FEB" w:rsidP="00D25422">
      <w:pPr>
        <w:pStyle w:val="Bullet"/>
      </w:pPr>
      <w:r w:rsidRPr="00D85A4F">
        <w:t>the reasons for these views.</w:t>
      </w:r>
    </w:p>
    <w:p w14:paraId="49333434" w14:textId="77777777" w:rsidR="00025FEB" w:rsidRDefault="00025FEB" w:rsidP="00025FEB"/>
    <w:p w14:paraId="4C668BA7" w14:textId="77777777" w:rsidR="00025FEB" w:rsidRPr="00D85A4F" w:rsidRDefault="00025FEB" w:rsidP="00025FEB">
      <w:r w:rsidRPr="00D85A4F">
        <w:t xml:space="preserve">The application should also discuss the difference that restricted patient status would make in </w:t>
      </w:r>
      <w:r>
        <w:t xml:space="preserve">terms of </w:t>
      </w:r>
      <w:r w:rsidRPr="00D85A4F">
        <w:t xml:space="preserve">the management of the patient, given that most </w:t>
      </w:r>
      <w:r>
        <w:t xml:space="preserve">people </w:t>
      </w:r>
      <w:r w:rsidRPr="00D85A4F">
        <w:t>for whom such an application is made are already subject to an inpatient compulsory treatment order.</w:t>
      </w:r>
    </w:p>
    <w:p w14:paraId="15085A91" w14:textId="77777777" w:rsidR="00025FEB" w:rsidRPr="00D85A4F" w:rsidRDefault="00025FEB" w:rsidP="00025FEB">
      <w:pPr>
        <w:pStyle w:val="Heading2"/>
      </w:pPr>
      <w:bookmarkStart w:id="238" w:name="_Toc83197089"/>
      <w:bookmarkStart w:id="239" w:name="_Toc112845474"/>
      <w:bookmarkStart w:id="240" w:name="_Toc112862078"/>
      <w:bookmarkStart w:id="241" w:name="_Toc180497431"/>
      <w:r w:rsidRPr="00D85A4F">
        <w:t>Second opinion</w:t>
      </w:r>
      <w:bookmarkEnd w:id="238"/>
      <w:bookmarkEnd w:id="239"/>
      <w:bookmarkEnd w:id="240"/>
      <w:bookmarkEnd w:id="241"/>
    </w:p>
    <w:p w14:paraId="7C87186E" w14:textId="77777777" w:rsidR="00025FEB" w:rsidRPr="00D85A4F" w:rsidRDefault="00025FEB" w:rsidP="00025FEB">
      <w:r w:rsidRPr="00D85A4F">
        <w:t>A request for restricted patient status should be accompanied by a second opinion from a forensic psychiatrist, and address the issues set out in section 9.2 above. Accompanying material should be similar to that required for a change in legal status.</w:t>
      </w:r>
    </w:p>
    <w:p w14:paraId="65C13729" w14:textId="77777777" w:rsidR="00025FEB" w:rsidRPr="00DD179B" w:rsidRDefault="00025FEB" w:rsidP="00025FEB"/>
    <w:p w14:paraId="406DFBD5" w14:textId="608B3F33" w:rsidR="00025FEB" w:rsidRPr="00D85A4F" w:rsidRDefault="00025FEB" w:rsidP="00300B55">
      <w:pPr>
        <w:pStyle w:val="Table"/>
      </w:pPr>
      <w:bookmarkStart w:id="242" w:name="_Toc112861590"/>
      <w:bookmarkStart w:id="243" w:name="_Toc180593124"/>
      <w:r>
        <w:t xml:space="preserve">Table </w:t>
      </w:r>
      <w:r>
        <w:fldChar w:fldCharType="begin"/>
      </w:r>
      <w:r>
        <w:instrText>SEQ Table \* ARABIC</w:instrText>
      </w:r>
      <w:r>
        <w:fldChar w:fldCharType="separate"/>
      </w:r>
      <w:r w:rsidR="00411DF3">
        <w:rPr>
          <w:noProof/>
        </w:rPr>
        <w:t>17</w:t>
      </w:r>
      <w:r>
        <w:fldChar w:fldCharType="end"/>
      </w:r>
      <w:r>
        <w:t xml:space="preserve">: </w:t>
      </w:r>
      <w:r w:rsidRPr="00D45387">
        <w:t>Information to support an application for restricted patient status</w:t>
      </w:r>
      <w:bookmarkEnd w:id="242"/>
      <w:bookmarkEnd w:id="243"/>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1F0A6BF6"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5662EF59"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2C85026C" w14:textId="77777777" w:rsidR="00025FEB" w:rsidRPr="00D85A4F" w:rsidRDefault="00025FEB" w:rsidP="00BB4DC3">
            <w:pPr>
              <w:pStyle w:val="TableText"/>
            </w:pPr>
            <w:r w:rsidRPr="00D85A4F">
              <w:t>A letter from the responsible clinician, including:</w:t>
            </w:r>
          </w:p>
          <w:p w14:paraId="05BAC1F4" w14:textId="77777777" w:rsidR="00025FEB" w:rsidRPr="00D85A4F" w:rsidRDefault="00025FEB" w:rsidP="00D25422">
            <w:pPr>
              <w:pStyle w:val="TableBullet"/>
            </w:pPr>
            <w:r w:rsidRPr="00D85A4F">
              <w:t>a current mental state assessment</w:t>
            </w:r>
          </w:p>
          <w:p w14:paraId="68AF6383" w14:textId="77777777" w:rsidR="00025FEB" w:rsidRPr="00D85A4F" w:rsidRDefault="00025FEB" w:rsidP="00D25422">
            <w:pPr>
              <w:pStyle w:val="TableBullet"/>
            </w:pPr>
            <w:r w:rsidRPr="00D85A4F">
              <w:t>a certificate of clinical review</w:t>
            </w:r>
          </w:p>
          <w:p w14:paraId="2B89896F" w14:textId="77777777" w:rsidR="00025FEB" w:rsidRPr="00D85A4F" w:rsidRDefault="00025FEB" w:rsidP="00D25422">
            <w:pPr>
              <w:pStyle w:val="TableBullet"/>
            </w:pPr>
            <w:r w:rsidRPr="00D85A4F">
              <w:t>a risk assessment and management plan</w:t>
            </w:r>
          </w:p>
          <w:p w14:paraId="566A2FEE" w14:textId="77777777" w:rsidR="00025FEB" w:rsidRPr="00D85A4F" w:rsidRDefault="00025FEB" w:rsidP="00D25422">
            <w:pPr>
              <w:pStyle w:val="TableBullet"/>
            </w:pPr>
            <w:r w:rsidRPr="00D85A4F">
              <w:t>a recent report from the SPRP, if one is available.</w:t>
            </w:r>
          </w:p>
          <w:p w14:paraId="42BD97AD" w14:textId="344073DD" w:rsidR="00025FEB" w:rsidRPr="00D85A4F" w:rsidRDefault="00025FEB" w:rsidP="00D25422">
            <w:pPr>
              <w:pStyle w:val="TableBullet"/>
              <w:numPr>
                <w:ilvl w:val="0"/>
                <w:numId w:val="0"/>
              </w:numPr>
            </w:pPr>
            <w:r w:rsidRPr="00D85A4F">
              <w:t xml:space="preserve">If not provided in the SPRP report, the following information should be specifically </w:t>
            </w:r>
            <w:r w:rsidR="00C3022F">
              <w:t>provided in the letter</w:t>
            </w:r>
            <w:r w:rsidRPr="00D85A4F">
              <w:t>:</w:t>
            </w:r>
          </w:p>
          <w:p w14:paraId="7E7095FF" w14:textId="77777777" w:rsidR="00025FEB" w:rsidRPr="00D85A4F" w:rsidRDefault="00025FEB" w:rsidP="00D25422">
            <w:pPr>
              <w:pStyle w:val="TableBullet"/>
            </w:pPr>
            <w:r w:rsidRPr="00D85A4F">
              <w:t>the factors leading to the application for the patient to be made a restricted patient, with a focus on danger and special difficulties</w:t>
            </w:r>
          </w:p>
          <w:p w14:paraId="403742C9" w14:textId="77777777" w:rsidR="00025FEB" w:rsidRPr="00D85A4F" w:rsidRDefault="00025FEB" w:rsidP="00D25422">
            <w:pPr>
              <w:pStyle w:val="TableBullet"/>
            </w:pPr>
            <w:r w:rsidRPr="00D85A4F">
              <w:t>specific comment on alcohol and drug use, including the use of psychoactive substances</w:t>
            </w:r>
          </w:p>
          <w:p w14:paraId="2309E945" w14:textId="27A9C259" w:rsidR="00025FEB" w:rsidRPr="00D85A4F" w:rsidRDefault="00025FEB" w:rsidP="00D25422">
            <w:pPr>
              <w:pStyle w:val="TableBullet"/>
            </w:pPr>
            <w:r w:rsidRPr="00D85A4F">
              <w:t xml:space="preserve">advice of any critical incidents that occurred during the patient’s time as an inpatient, including possession of weapons, drugs or other prohibited material, and management of </w:t>
            </w:r>
            <w:r>
              <w:t xml:space="preserve">those </w:t>
            </w:r>
            <w:r w:rsidRPr="00D85A4F">
              <w:t>incident</w:t>
            </w:r>
            <w:r>
              <w:t>s</w:t>
            </w:r>
          </w:p>
          <w:p w14:paraId="4E46C426" w14:textId="77777777" w:rsidR="00025FEB" w:rsidRPr="00D85A4F" w:rsidRDefault="00025FEB" w:rsidP="00D25422">
            <w:pPr>
              <w:pStyle w:val="TableBullet"/>
            </w:pPr>
            <w:r w:rsidRPr="00D85A4F">
              <w:t>plans for the patient’s ongoing management, including specific comment on the danger the patient presents to others and the special difficulties resulting in the application.</w:t>
            </w:r>
          </w:p>
          <w:p w14:paraId="0BDFB59B" w14:textId="77777777" w:rsidR="00025FEB" w:rsidRPr="00D85A4F" w:rsidRDefault="00025FEB" w:rsidP="00D25422">
            <w:pPr>
              <w:pStyle w:val="TableBullet"/>
            </w:pPr>
            <w:r w:rsidRPr="00D85A4F">
              <w:t>flight risk assessment</w:t>
            </w:r>
          </w:p>
          <w:p w14:paraId="2046BFF2" w14:textId="77777777" w:rsidR="00025FEB" w:rsidRPr="00D85A4F" w:rsidRDefault="00025FEB" w:rsidP="00D25422">
            <w:pPr>
              <w:pStyle w:val="TableBullet"/>
            </w:pPr>
            <w:r w:rsidRPr="00D85A4F">
              <w:t>consideration of the needs of any children of the patient</w:t>
            </w:r>
          </w:p>
          <w:p w14:paraId="553E6913" w14:textId="36919ABD" w:rsidR="00025FEB" w:rsidRPr="00D85A4F" w:rsidRDefault="00025FEB" w:rsidP="00D25422">
            <w:pPr>
              <w:pStyle w:val="TableBullet"/>
            </w:pPr>
            <w:r w:rsidRPr="00D85A4F">
              <w:t>comment on matters relating to the risk presented by the patient, particularly in relation to any victims of previous offending</w:t>
            </w:r>
          </w:p>
          <w:p w14:paraId="5651E6A7" w14:textId="4F006FF2" w:rsidR="00025FEB" w:rsidRPr="006454DE" w:rsidRDefault="005F1253" w:rsidP="00D25422">
            <w:pPr>
              <w:pStyle w:val="TableBullet"/>
            </w:pPr>
            <w:r>
              <w:t>a r</w:t>
            </w:r>
            <w:r w:rsidR="00025FEB" w:rsidRPr="00D85A4F">
              <w:t>efer</w:t>
            </w:r>
            <w:r>
              <w:t>ence</w:t>
            </w:r>
            <w:r w:rsidR="00025FEB" w:rsidRPr="00D85A4F">
              <w:t xml:space="preserve"> to the current SPRP report, if available</w:t>
            </w:r>
          </w:p>
        </w:tc>
      </w:tr>
      <w:tr w:rsidR="00025FEB" w:rsidRPr="00DC20BD" w14:paraId="3239426E"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6DDC874B"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403F3AA9" w14:textId="77777777" w:rsidR="00025FEB" w:rsidRPr="00D85A4F" w:rsidRDefault="00025FEB" w:rsidP="00BB4DC3">
            <w:pPr>
              <w:pStyle w:val="TableText"/>
            </w:pPr>
            <w:r>
              <w:t xml:space="preserve">The </w:t>
            </w:r>
            <w:r w:rsidRPr="00D85A4F">
              <w:t xml:space="preserve">DAMHS </w:t>
            </w:r>
            <w:r>
              <w:t xml:space="preserve">must </w:t>
            </w:r>
            <w:r w:rsidRPr="00D85A4F">
              <w:t xml:space="preserve">submit </w:t>
            </w:r>
            <w:r>
              <w:t xml:space="preserve">a </w:t>
            </w:r>
            <w:r w:rsidRPr="00D85A4F">
              <w:t>report seeking a change of status within six weeks of the SPRP.</w:t>
            </w:r>
          </w:p>
          <w:p w14:paraId="54BA4D52" w14:textId="5ED364B0" w:rsidR="00025FEB" w:rsidRPr="00D85A4F" w:rsidRDefault="00025FEB" w:rsidP="00BB4DC3">
            <w:pPr>
              <w:pStyle w:val="TableText"/>
            </w:pPr>
            <w:r>
              <w:t xml:space="preserve">The </w:t>
            </w:r>
            <w:r w:rsidRPr="00D85A4F">
              <w:t xml:space="preserve">Director </w:t>
            </w:r>
            <w:r>
              <w:t xml:space="preserve">must </w:t>
            </w:r>
            <w:r w:rsidRPr="00D85A4F">
              <w:t>determine t</w:t>
            </w:r>
            <w:r w:rsidRPr="00BB1189">
              <w:t xml:space="preserve">o </w:t>
            </w:r>
            <w:r w:rsidRPr="00E46115">
              <w:t>either</w:t>
            </w:r>
            <w:r w:rsidRPr="00BB1189">
              <w:t xml:space="preserve"> direct that the patient be released forthwith from compulsory status </w:t>
            </w:r>
            <w:r w:rsidRPr="00E46115">
              <w:t>or</w:t>
            </w:r>
            <w:r w:rsidRPr="00D85A4F">
              <w:rPr>
                <w:i/>
              </w:rPr>
              <w:t xml:space="preserve"> </w:t>
            </w:r>
            <w:r w:rsidRPr="00D85A4F">
              <w:t xml:space="preserve">apply to the </w:t>
            </w:r>
            <w:r>
              <w:t>r</w:t>
            </w:r>
            <w:r w:rsidRPr="00D85A4F">
              <w:t xml:space="preserve">eview </w:t>
            </w:r>
            <w:r>
              <w:t>t</w:t>
            </w:r>
            <w:r w:rsidRPr="00D85A4F">
              <w:t>ribunal for a review of the patient’s condition to begin within 21 working days and advise the service by email.</w:t>
            </w:r>
          </w:p>
          <w:p w14:paraId="0A351A29" w14:textId="4879C6B9" w:rsidR="00025FEB" w:rsidRPr="00D85A4F" w:rsidRDefault="00025FEB" w:rsidP="00BB4DC3">
            <w:pPr>
              <w:pStyle w:val="TableText"/>
            </w:pPr>
            <w:r w:rsidRPr="00D85A4F">
              <w:t>Incomplete information will result in delay in receiving a decision from the Director.</w:t>
            </w:r>
          </w:p>
        </w:tc>
      </w:tr>
    </w:tbl>
    <w:p w14:paraId="59B63DE4" w14:textId="77777777" w:rsidR="00025FEB" w:rsidRDefault="00025FEB" w:rsidP="00025FEB">
      <w:pPr>
        <w:sectPr w:rsidR="00025FEB" w:rsidSect="00BB4DC3">
          <w:pgSz w:w="11907" w:h="16834" w:code="9"/>
          <w:pgMar w:top="1418" w:right="1701" w:bottom="1134" w:left="1843" w:header="284" w:footer="425" w:gutter="284"/>
          <w:cols w:space="720"/>
        </w:sectPr>
      </w:pPr>
    </w:p>
    <w:p w14:paraId="3F713C0E" w14:textId="77777777" w:rsidR="00025FEB" w:rsidRPr="00D85A4F" w:rsidRDefault="00025FEB" w:rsidP="00025FEB">
      <w:pPr>
        <w:pStyle w:val="Heading1"/>
        <w:rPr>
          <w:lang w:eastAsia="en-NZ"/>
        </w:rPr>
      </w:pPr>
      <w:bookmarkStart w:id="244" w:name="_Toc112862079"/>
      <w:bookmarkStart w:id="245" w:name="_Toc180497432"/>
      <w:r w:rsidRPr="00D85A4F">
        <w:rPr>
          <w:lang w:eastAsia="en-NZ"/>
        </w:rPr>
        <w:t>Change of legal status: restricted patients</w:t>
      </w:r>
      <w:bookmarkEnd w:id="244"/>
      <w:bookmarkEnd w:id="245"/>
    </w:p>
    <w:p w14:paraId="7619B1F6" w14:textId="63003F06" w:rsidR="00025FEB" w:rsidRPr="00D85A4F" w:rsidRDefault="00025FEB" w:rsidP="00025FEB">
      <w:r w:rsidRPr="00D85A4F">
        <w:t>A restricted patient can only have their status changed once the matter is referred to the Director. The purpose of a restricted patient order is to ensure that decisions regarding restricted patients regarding long-term leave and discharge from that status are taken at ministerial level</w:t>
      </w:r>
      <w:r>
        <w:t>,</w:t>
      </w:r>
      <w:r w:rsidRPr="00D85A4F">
        <w:t xml:space="preserve"> while decisions as to whether patients remain mentally disordered are still to</w:t>
      </w:r>
      <w:r w:rsidR="007C7EA7">
        <w:t xml:space="preserve"> be</w:t>
      </w:r>
      <w:r w:rsidRPr="00D85A4F">
        <w:t xml:space="preserve"> taken at clinical level</w:t>
      </w:r>
      <w:r>
        <w:t>,</w:t>
      </w:r>
      <w:r w:rsidRPr="00D85A4F">
        <w:t xml:space="preserve"> with oversight by the Director or the Mental Health Review Tribunal in any final decision.</w:t>
      </w:r>
    </w:p>
    <w:p w14:paraId="52CD1224" w14:textId="77777777" w:rsidR="00025FEB" w:rsidRPr="00D85A4F" w:rsidRDefault="00025FEB" w:rsidP="00025FEB"/>
    <w:p w14:paraId="203DDEF3" w14:textId="0DE51471" w:rsidR="00025FEB" w:rsidRPr="00D85A4F" w:rsidRDefault="00025FEB" w:rsidP="00025FEB">
      <w:r>
        <w:t xml:space="preserve">In </w:t>
      </w:r>
      <w:r w:rsidRPr="00D85A4F">
        <w:rPr>
          <w:i/>
          <w:iCs/>
        </w:rPr>
        <w:t>Re STN</w:t>
      </w:r>
      <w:r w:rsidRPr="00D85A4F">
        <w:t xml:space="preserve"> 6/4/00, NRT766/00</w:t>
      </w:r>
      <w:r>
        <w:t xml:space="preserve">, the Review Tribunal </w:t>
      </w:r>
      <w:r w:rsidRPr="00D85A4F">
        <w:t xml:space="preserve">noted that continuation of restricted patient status is appropriate to ensure the continuation of the ministerial decision-making process. The additional </w:t>
      </w:r>
      <w:r>
        <w:t xml:space="preserve">restrictions </w:t>
      </w:r>
      <w:r w:rsidRPr="00D85A4F">
        <w:t>on the leave and change of status are designed to protect the public where the danger posed by the patient is such that this is necessary.</w:t>
      </w:r>
    </w:p>
    <w:p w14:paraId="009ECB06" w14:textId="77777777" w:rsidR="00025FEB" w:rsidRPr="00D85A4F" w:rsidRDefault="00025FEB" w:rsidP="00025FEB">
      <w:pPr>
        <w:rPr>
          <w:lang w:eastAsia="en-NZ"/>
        </w:rPr>
      </w:pPr>
    </w:p>
    <w:p w14:paraId="66DF683D" w14:textId="77777777" w:rsidR="00025FEB" w:rsidRPr="00D85A4F" w:rsidRDefault="00025FEB" w:rsidP="00025FEB">
      <w:pPr>
        <w:rPr>
          <w:lang w:eastAsia="en-NZ"/>
        </w:rPr>
      </w:pPr>
      <w:r w:rsidRPr="00D85A4F">
        <w:rPr>
          <w:lang w:eastAsia="en-NZ"/>
        </w:rPr>
        <w:t xml:space="preserve">Section 78 of the </w:t>
      </w:r>
      <w:r>
        <w:rPr>
          <w:lang w:eastAsia="en-NZ"/>
        </w:rPr>
        <w:t>Mental Health Act</w:t>
      </w:r>
      <w:r w:rsidRPr="00D85A4F">
        <w:rPr>
          <w:lang w:eastAsia="en-NZ"/>
        </w:rPr>
        <w:t xml:space="preserve"> governs clinical reviews and change of status for restricted patients. </w:t>
      </w:r>
      <w:r>
        <w:rPr>
          <w:lang w:eastAsia="en-NZ"/>
        </w:rPr>
        <w:t>In the case of a change of legal status, t</w:t>
      </w:r>
      <w:r w:rsidRPr="00D85A4F">
        <w:rPr>
          <w:lang w:eastAsia="en-NZ"/>
        </w:rPr>
        <w:t>he responsible clinician</w:t>
      </w:r>
      <w:r>
        <w:rPr>
          <w:lang w:eastAsia="en-NZ"/>
        </w:rPr>
        <w:t xml:space="preserve"> must conduct a formal review not later than three months after the date of the order and thereafter at intervals not longer than six months. The review</w:t>
      </w:r>
      <w:r w:rsidRPr="00D85A4F">
        <w:rPr>
          <w:lang w:eastAsia="en-NZ"/>
        </w:rPr>
        <w:t xml:space="preserve"> may find that:</w:t>
      </w:r>
    </w:p>
    <w:p w14:paraId="23AEDBCE" w14:textId="77777777" w:rsidR="00025FEB" w:rsidRPr="00D85A4F" w:rsidRDefault="00025FEB" w:rsidP="00D25422">
      <w:pPr>
        <w:pStyle w:val="Bullet"/>
        <w:rPr>
          <w:lang w:eastAsia="en-NZ"/>
        </w:rPr>
      </w:pPr>
      <w:r w:rsidRPr="00D85A4F">
        <w:rPr>
          <w:lang w:eastAsia="en-NZ"/>
        </w:rPr>
        <w:t>the patient is fit to be released from compulsory status</w:t>
      </w:r>
    </w:p>
    <w:p w14:paraId="06334582" w14:textId="284DEA9D" w:rsidR="00025FEB" w:rsidRPr="00D85A4F" w:rsidRDefault="00025FEB" w:rsidP="00D25422">
      <w:pPr>
        <w:pStyle w:val="Bullet"/>
        <w:rPr>
          <w:lang w:eastAsia="en-NZ"/>
        </w:rPr>
      </w:pPr>
      <w:r w:rsidRPr="00D85A4F">
        <w:rPr>
          <w:lang w:eastAsia="en-NZ"/>
        </w:rPr>
        <w:t xml:space="preserve">the patient is not fit to be released from compulsory </w:t>
      </w:r>
      <w:r w:rsidR="007C7EA7" w:rsidRPr="00D85A4F">
        <w:rPr>
          <w:lang w:eastAsia="en-NZ"/>
        </w:rPr>
        <w:t>status,</w:t>
      </w:r>
      <w:r w:rsidRPr="00D85A4F">
        <w:rPr>
          <w:lang w:eastAsia="en-NZ"/>
        </w:rPr>
        <w:t xml:space="preserve"> but it is no longer necessary for the patient to be declared to be a restricted patient</w:t>
      </w:r>
    </w:p>
    <w:p w14:paraId="77FE2D44" w14:textId="77777777" w:rsidR="00025FEB" w:rsidRPr="00D85A4F" w:rsidRDefault="00025FEB" w:rsidP="00D25422">
      <w:pPr>
        <w:pStyle w:val="Bullet"/>
        <w:rPr>
          <w:lang w:eastAsia="en-NZ"/>
        </w:rPr>
      </w:pPr>
      <w:r w:rsidRPr="00D85A4F">
        <w:rPr>
          <w:lang w:eastAsia="en-NZ"/>
        </w:rPr>
        <w:t>the patient is not fit to be released from compulsory status and should continue to be declared to be a restricted patient.</w:t>
      </w:r>
    </w:p>
    <w:p w14:paraId="6D1B8DE0" w14:textId="77777777" w:rsidR="00025FEB" w:rsidRPr="00D85A4F" w:rsidRDefault="00025FEB" w:rsidP="00025FEB">
      <w:pPr>
        <w:rPr>
          <w:lang w:eastAsia="en-NZ"/>
        </w:rPr>
      </w:pPr>
    </w:p>
    <w:p w14:paraId="551EB419" w14:textId="77777777" w:rsidR="00025FEB" w:rsidRDefault="00025FEB" w:rsidP="00025FEB">
      <w:pPr>
        <w:rPr>
          <w:lang w:eastAsia="en-NZ"/>
        </w:rPr>
      </w:pPr>
      <w:r w:rsidRPr="00D85A4F">
        <w:rPr>
          <w:lang w:eastAsia="en-NZ"/>
        </w:rPr>
        <w:t xml:space="preserve">The responsible clinician must send a copy of the certificate of clinical review to the Director and each of the persons specified in section 76(7)(b) of the </w:t>
      </w:r>
      <w:r>
        <w:rPr>
          <w:lang w:eastAsia="en-NZ"/>
        </w:rPr>
        <w:t>Mental Health Act</w:t>
      </w:r>
      <w:r w:rsidRPr="00D85A4F">
        <w:rPr>
          <w:lang w:eastAsia="en-NZ"/>
        </w:rPr>
        <w:t>.</w:t>
      </w:r>
    </w:p>
    <w:p w14:paraId="06DF3D8E" w14:textId="77777777" w:rsidR="00025FEB" w:rsidRPr="00D85A4F" w:rsidRDefault="00025FEB" w:rsidP="00025FEB">
      <w:pPr>
        <w:pStyle w:val="Heading2"/>
      </w:pPr>
      <w:bookmarkStart w:id="246" w:name="_Toc377543409"/>
      <w:bookmarkStart w:id="247" w:name="_Toc441658605"/>
      <w:bookmarkStart w:id="248" w:name="_Toc83197091"/>
      <w:bookmarkStart w:id="249" w:name="_Toc112845476"/>
      <w:bookmarkStart w:id="250" w:name="_Toc112862080"/>
      <w:bookmarkStart w:id="251" w:name="_Toc180497433"/>
      <w:r>
        <w:t>Where a r</w:t>
      </w:r>
      <w:r w:rsidRPr="00D85A4F">
        <w:t xml:space="preserve">estricted patient </w:t>
      </w:r>
      <w:r>
        <w:t xml:space="preserve">is </w:t>
      </w:r>
      <w:r w:rsidRPr="00D85A4F">
        <w:t>fit to be released from compulsory status</w:t>
      </w:r>
      <w:bookmarkEnd w:id="246"/>
      <w:bookmarkEnd w:id="247"/>
      <w:bookmarkEnd w:id="248"/>
      <w:bookmarkEnd w:id="249"/>
      <w:bookmarkEnd w:id="250"/>
      <w:bookmarkEnd w:id="251"/>
    </w:p>
    <w:p w14:paraId="3D492B08" w14:textId="6D0787E2" w:rsidR="00025FEB" w:rsidRDefault="00025FEB" w:rsidP="00025FEB">
      <w:r w:rsidRPr="00D85A4F">
        <w:t xml:space="preserve">Where </w:t>
      </w:r>
      <w:r w:rsidR="00C6127B">
        <w:t>a</w:t>
      </w:r>
      <w:r w:rsidR="00C6127B" w:rsidRPr="00D85A4F">
        <w:t xml:space="preserve"> </w:t>
      </w:r>
      <w:r w:rsidRPr="00D85A4F">
        <w:t xml:space="preserve">responsible clinician is of the opinion that </w:t>
      </w:r>
      <w:r>
        <w:t xml:space="preserve">a restricted </w:t>
      </w:r>
      <w:r w:rsidRPr="00D85A4F">
        <w:t>patient is fit to be released from compulsory status, the</w:t>
      </w:r>
      <w:r w:rsidRPr="00D85A4F">
        <w:rPr>
          <w:color w:val="000000"/>
        </w:rPr>
        <w:t xml:space="preserve"> Director must </w:t>
      </w:r>
      <w:r w:rsidRPr="00D85A4F">
        <w:t>either direct that the patient be released from compulsory status or apply to the Mental Health Review Tribunal for a review of the patient’s condition.</w:t>
      </w:r>
      <w:r w:rsidR="006E5F89" w:rsidRPr="006E5F89">
        <w:t xml:space="preserve"> </w:t>
      </w:r>
      <w:r w:rsidR="006E5F89">
        <w:t>C</w:t>
      </w:r>
      <w:r w:rsidR="006E5F89" w:rsidRPr="006E5F89">
        <w:t xml:space="preserve">linical reports should be written to explicitly address the grounds for the decision that the </w:t>
      </w:r>
      <w:r w:rsidR="005275A0">
        <w:t>Director</w:t>
      </w:r>
      <w:r w:rsidR="006E5F89" w:rsidRPr="006E5F89">
        <w:t xml:space="preserve"> is required to make</w:t>
      </w:r>
      <w:r w:rsidR="005275A0">
        <w:t xml:space="preserve"> and should include the below information</w:t>
      </w:r>
      <w:r w:rsidR="006E5F89" w:rsidRPr="006E5F89">
        <w:t>.</w:t>
      </w:r>
    </w:p>
    <w:p w14:paraId="54F4DDC4" w14:textId="77777777" w:rsidR="00300B55" w:rsidRPr="00D85A4F" w:rsidRDefault="00300B55" w:rsidP="00025FEB">
      <w:pPr>
        <w:rPr>
          <w:color w:val="000000"/>
        </w:rPr>
      </w:pPr>
    </w:p>
    <w:p w14:paraId="3B049F75" w14:textId="7A172ED7" w:rsidR="00025FEB" w:rsidRPr="00300B55" w:rsidRDefault="00025FEB" w:rsidP="00300B55">
      <w:pPr>
        <w:pStyle w:val="Table"/>
      </w:pPr>
      <w:bookmarkStart w:id="252" w:name="_Toc112861591"/>
      <w:bookmarkStart w:id="253" w:name="_Toc180593125"/>
      <w:r w:rsidRPr="00300B55">
        <w:t xml:space="preserve">Table </w:t>
      </w:r>
      <w:r w:rsidRPr="00300B55">
        <w:fldChar w:fldCharType="begin"/>
      </w:r>
      <w:r w:rsidRPr="00300B55">
        <w:instrText>SEQ Table \* ARABIC</w:instrText>
      </w:r>
      <w:r w:rsidRPr="00300B55">
        <w:fldChar w:fldCharType="separate"/>
      </w:r>
      <w:r w:rsidR="00411DF3">
        <w:rPr>
          <w:noProof/>
        </w:rPr>
        <w:t>18</w:t>
      </w:r>
      <w:r w:rsidRPr="00300B55">
        <w:fldChar w:fldCharType="end"/>
      </w:r>
      <w:r w:rsidRPr="00300B55">
        <w:t>: Information to support a change of status for a restricted patient who is fit to be released from compulsory treatment status</w:t>
      </w:r>
      <w:bookmarkEnd w:id="252"/>
      <w:bookmarkEnd w:id="253"/>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47A5D1CB"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3B662545"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58B092C5" w14:textId="77777777" w:rsidR="00025FEB" w:rsidRPr="00D85A4F" w:rsidRDefault="00025FEB" w:rsidP="00BB4DC3">
            <w:pPr>
              <w:pStyle w:val="TableText"/>
            </w:pPr>
            <w:r w:rsidRPr="00D85A4F">
              <w:t>A letter from the responsible clinician, including:</w:t>
            </w:r>
          </w:p>
          <w:p w14:paraId="08FB6D15" w14:textId="77777777" w:rsidR="00025FEB" w:rsidRPr="00D85A4F" w:rsidRDefault="00025FEB" w:rsidP="00D25422">
            <w:pPr>
              <w:pStyle w:val="TableBullet"/>
            </w:pPr>
            <w:r w:rsidRPr="00D85A4F">
              <w:t>a current mental state assessment</w:t>
            </w:r>
          </w:p>
          <w:p w14:paraId="3094661E" w14:textId="77777777" w:rsidR="00025FEB" w:rsidRPr="00D85A4F" w:rsidRDefault="00025FEB" w:rsidP="00D25422">
            <w:pPr>
              <w:pStyle w:val="TableBullet"/>
            </w:pPr>
            <w:r w:rsidRPr="00D85A4F">
              <w:t>a certificate of clinical review</w:t>
            </w:r>
          </w:p>
          <w:p w14:paraId="481E5C2C" w14:textId="77777777" w:rsidR="00025FEB" w:rsidRPr="00D85A4F" w:rsidRDefault="00025FEB" w:rsidP="00D25422">
            <w:pPr>
              <w:pStyle w:val="TableBullet"/>
            </w:pPr>
            <w:r w:rsidRPr="00D85A4F">
              <w:t>a risk assessment and management plan, including flight risk.</w:t>
            </w:r>
          </w:p>
          <w:p w14:paraId="4FC2E491" w14:textId="09C9DF9E" w:rsidR="00025FEB" w:rsidRPr="00D85A4F" w:rsidRDefault="00025FEB" w:rsidP="00BB4DC3">
            <w:pPr>
              <w:pStyle w:val="TableText"/>
            </w:pPr>
            <w:r w:rsidRPr="00D85A4F">
              <w:t xml:space="preserve">If not provided in the SPRP report, the following information should be specifically </w:t>
            </w:r>
            <w:r w:rsidR="00DA562E">
              <w:t>provided in the letter</w:t>
            </w:r>
            <w:r w:rsidRPr="00D85A4F">
              <w:t>:</w:t>
            </w:r>
          </w:p>
          <w:p w14:paraId="02C76DB0" w14:textId="77777777" w:rsidR="00025FEB" w:rsidRPr="00D85A4F" w:rsidRDefault="00025FEB" w:rsidP="00D25422">
            <w:pPr>
              <w:pStyle w:val="TableBullet"/>
            </w:pPr>
            <w:r w:rsidRPr="00D85A4F">
              <w:t>how the factors leading to the patient being subject to restricted patient status have been addressed (including compliance with treatment)</w:t>
            </w:r>
          </w:p>
          <w:p w14:paraId="37C7B8B4" w14:textId="77777777" w:rsidR="00025FEB" w:rsidRPr="00D85A4F" w:rsidRDefault="00025FEB" w:rsidP="00D25422">
            <w:pPr>
              <w:pStyle w:val="TableBullet"/>
            </w:pPr>
            <w:r w:rsidRPr="00D85A4F">
              <w:t>specific comment on alcohol and drug use, including the use of psychoactive substances</w:t>
            </w:r>
          </w:p>
          <w:p w14:paraId="04059AFA" w14:textId="7904A2D0" w:rsidR="00025FEB" w:rsidRPr="00D85A4F" w:rsidRDefault="00025FEB" w:rsidP="00D25422">
            <w:pPr>
              <w:pStyle w:val="TableBullet"/>
            </w:pPr>
            <w:r w:rsidRPr="00D85A4F">
              <w:t xml:space="preserve">advice of any critical incidents that occurred during the patient’s time as a restricted patient, including possession of weapons, drugs or other prohibited material, and management of </w:t>
            </w:r>
            <w:r w:rsidR="00AF06AA">
              <w:t xml:space="preserve">those </w:t>
            </w:r>
            <w:r w:rsidRPr="00D85A4F">
              <w:t>incident</w:t>
            </w:r>
            <w:r w:rsidR="00AF06AA">
              <w:t>s</w:t>
            </w:r>
          </w:p>
          <w:p w14:paraId="66171B2C" w14:textId="41E6F40B" w:rsidR="00025FEB" w:rsidRPr="00D85A4F" w:rsidRDefault="00025FEB" w:rsidP="00D25422">
            <w:pPr>
              <w:pStyle w:val="TableBullet"/>
            </w:pPr>
            <w:r w:rsidRPr="00D85A4F">
              <w:t xml:space="preserve">plans for the patient’s ongoing management by mental health services once </w:t>
            </w:r>
            <w:r w:rsidR="000777C1">
              <w:t xml:space="preserve">the patient is </w:t>
            </w:r>
            <w:r w:rsidRPr="00D85A4F">
              <w:t>no longer subject to compulsory treatment status (inclusive of recovery plan)</w:t>
            </w:r>
          </w:p>
          <w:p w14:paraId="1F7A4339" w14:textId="77777777" w:rsidR="00025FEB" w:rsidRPr="00D85A4F" w:rsidRDefault="00025FEB" w:rsidP="00D25422">
            <w:pPr>
              <w:pStyle w:val="TableBullet"/>
            </w:pPr>
            <w:r w:rsidRPr="00D85A4F">
              <w:t>flight risk assessment, particularly if the patient is likely to disengage from services</w:t>
            </w:r>
          </w:p>
          <w:p w14:paraId="3071AC30" w14:textId="77777777" w:rsidR="00025FEB" w:rsidRPr="00D85A4F" w:rsidRDefault="00025FEB" w:rsidP="00D25422">
            <w:pPr>
              <w:pStyle w:val="TableBullet"/>
            </w:pPr>
            <w:r w:rsidRPr="00D85A4F">
              <w:t>a cultural assessment</w:t>
            </w:r>
          </w:p>
          <w:p w14:paraId="13E7760C" w14:textId="1E00C5A3" w:rsidR="00025FEB" w:rsidRPr="00D85A4F" w:rsidRDefault="00854D52" w:rsidP="00D25422">
            <w:pPr>
              <w:pStyle w:val="TableBullet"/>
            </w:pPr>
            <w:r>
              <w:t xml:space="preserve">comment on </w:t>
            </w:r>
            <w:r w:rsidR="00025FEB" w:rsidRPr="00D85A4F">
              <w:t xml:space="preserve">what </w:t>
            </w:r>
            <w:r w:rsidR="00F044A6">
              <w:t>family/</w:t>
            </w:r>
            <w:r w:rsidR="00025FEB" w:rsidRPr="00D85A4F">
              <w:t>wh</w:t>
            </w:r>
            <w:r w:rsidR="00025FEB" w:rsidRPr="00D85A4F">
              <w:rPr>
                <w:rFonts w:cs="Arial"/>
              </w:rPr>
              <w:t>ā</w:t>
            </w:r>
            <w:r w:rsidR="00025FEB" w:rsidRPr="00D85A4F">
              <w:t>nau support is available</w:t>
            </w:r>
          </w:p>
          <w:p w14:paraId="31A85E36" w14:textId="77777777" w:rsidR="00025FEB" w:rsidRPr="00D85A4F" w:rsidRDefault="00025FEB" w:rsidP="00D25422">
            <w:pPr>
              <w:pStyle w:val="TableBullet"/>
            </w:pPr>
            <w:r w:rsidRPr="00D85A4F">
              <w:t>consideration of the needs of any children of the patient</w:t>
            </w:r>
          </w:p>
          <w:p w14:paraId="23330BC5" w14:textId="77777777" w:rsidR="00025FEB" w:rsidRPr="00D85A4F" w:rsidRDefault="00025FEB" w:rsidP="00D25422">
            <w:pPr>
              <w:pStyle w:val="TableBullet"/>
            </w:pPr>
            <w:r w:rsidRPr="00D85A4F">
              <w:t>comment on matters relating to the risk presented by the patient, particularly in relation to victims of previous offending.</w:t>
            </w:r>
          </w:p>
          <w:p w14:paraId="78574959" w14:textId="77777777" w:rsidR="00025FEB" w:rsidRPr="006454DE" w:rsidRDefault="00025FEB" w:rsidP="00BB4DC3">
            <w:pPr>
              <w:pStyle w:val="TableText"/>
            </w:pPr>
            <w:r w:rsidRPr="00D85A4F">
              <w:t>A recent SPRP report must be provided with the application. In practice</w:t>
            </w:r>
            <w:r>
              <w:t>,</w:t>
            </w:r>
            <w:r w:rsidRPr="00D85A4F">
              <w:t xml:space="preserve"> this information will be uploaded into the </w:t>
            </w:r>
            <w:r>
              <w:t>SPMS</w:t>
            </w:r>
            <w:r w:rsidRPr="00D85A4F">
              <w:t>.</w:t>
            </w:r>
          </w:p>
        </w:tc>
      </w:tr>
      <w:tr w:rsidR="00025FEB" w:rsidRPr="00DC20BD" w14:paraId="41F1C372"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3F6E3954"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029A2A87" w14:textId="77777777" w:rsidR="00025FEB" w:rsidRPr="00D85A4F" w:rsidRDefault="00025FEB" w:rsidP="00BB4DC3">
            <w:pPr>
              <w:pStyle w:val="TableText"/>
            </w:pPr>
            <w:r>
              <w:t xml:space="preserve">The </w:t>
            </w:r>
            <w:r w:rsidRPr="00D85A4F">
              <w:t xml:space="preserve">DAMHS </w:t>
            </w:r>
            <w:r>
              <w:t xml:space="preserve">must </w:t>
            </w:r>
            <w:r w:rsidRPr="00D85A4F">
              <w:t xml:space="preserve">submit </w:t>
            </w:r>
            <w:r>
              <w:t xml:space="preserve">the </w:t>
            </w:r>
            <w:r w:rsidRPr="00D85A4F">
              <w:t>report seeking a change of status within six weeks of the SPRP.</w:t>
            </w:r>
          </w:p>
          <w:p w14:paraId="6F5E3CCE" w14:textId="542D3092" w:rsidR="00025FEB" w:rsidRPr="00D85A4F" w:rsidRDefault="00025FEB" w:rsidP="00BB4DC3">
            <w:pPr>
              <w:pStyle w:val="TableText"/>
            </w:pPr>
            <w:r>
              <w:t xml:space="preserve">The </w:t>
            </w:r>
            <w:r w:rsidRPr="00D85A4F">
              <w:t xml:space="preserve">Director </w:t>
            </w:r>
            <w:r>
              <w:t xml:space="preserve">must </w:t>
            </w:r>
            <w:r w:rsidRPr="00D85A4F">
              <w:t>determi</w:t>
            </w:r>
            <w:r w:rsidRPr="00BB1189">
              <w:t xml:space="preserve">ne to </w:t>
            </w:r>
            <w:r w:rsidRPr="00E46115">
              <w:t>either</w:t>
            </w:r>
            <w:r w:rsidRPr="00BB1189">
              <w:t xml:space="preserve"> direct that the patient be released forthwith from compulsory status </w:t>
            </w:r>
            <w:r w:rsidRPr="00E46115">
              <w:t>or</w:t>
            </w:r>
            <w:r w:rsidRPr="00D85A4F">
              <w:rPr>
                <w:i/>
              </w:rPr>
              <w:t xml:space="preserve"> </w:t>
            </w:r>
            <w:r w:rsidRPr="00D85A4F">
              <w:t xml:space="preserve">apply to the </w:t>
            </w:r>
            <w:r>
              <w:t>r</w:t>
            </w:r>
            <w:r w:rsidRPr="00D85A4F">
              <w:t xml:space="preserve">eview </w:t>
            </w:r>
            <w:r>
              <w:t>t</w:t>
            </w:r>
            <w:r w:rsidRPr="00D85A4F">
              <w:t>ribunal for a review of the patient’s condition within 20 working days and advise the service by email.</w:t>
            </w:r>
          </w:p>
          <w:p w14:paraId="0D4F9AC9" w14:textId="5F28AF23" w:rsidR="00025FEB" w:rsidRPr="00D85A4F" w:rsidRDefault="00025FEB" w:rsidP="00BB4DC3">
            <w:pPr>
              <w:pStyle w:val="TableText"/>
            </w:pPr>
            <w:r w:rsidRPr="00D85A4F">
              <w:t>Incomplete information will result in delay in receiving a decision from the Director.</w:t>
            </w:r>
          </w:p>
        </w:tc>
      </w:tr>
    </w:tbl>
    <w:p w14:paraId="742913D6" w14:textId="77777777" w:rsidR="00025FEB" w:rsidRDefault="00025FEB" w:rsidP="00025FEB">
      <w:pPr>
        <w:pStyle w:val="Heading2"/>
        <w:rPr>
          <w:rStyle w:val="Heading2Char"/>
          <w:b/>
        </w:rPr>
        <w:sectPr w:rsidR="00025FEB" w:rsidSect="00BB4DC3">
          <w:pgSz w:w="11907" w:h="16834" w:code="9"/>
          <w:pgMar w:top="1418" w:right="1701" w:bottom="1134" w:left="1843" w:header="284" w:footer="425" w:gutter="284"/>
          <w:cols w:space="720"/>
        </w:sectPr>
      </w:pPr>
      <w:bookmarkStart w:id="254" w:name="_Toc377543410"/>
      <w:bookmarkStart w:id="255" w:name="_Toc441658606"/>
      <w:bookmarkStart w:id="256" w:name="_Toc83197092"/>
      <w:bookmarkStart w:id="257" w:name="_Toc112845477"/>
      <w:bookmarkStart w:id="258" w:name="_Toc112862081"/>
    </w:p>
    <w:p w14:paraId="28A0CD1F" w14:textId="2B624620" w:rsidR="00025FEB" w:rsidRPr="00025FEB" w:rsidRDefault="00025FEB" w:rsidP="00025FEB">
      <w:pPr>
        <w:pStyle w:val="Heading2"/>
        <w:rPr>
          <w:rStyle w:val="Heading2Char"/>
          <w:b/>
        </w:rPr>
      </w:pPr>
      <w:bookmarkStart w:id="259" w:name="_Toc180497434"/>
      <w:r w:rsidRPr="00025FEB">
        <w:rPr>
          <w:rStyle w:val="Heading2Char"/>
          <w:b/>
        </w:rPr>
        <w:t>Where a patient is not fit to be released from compulsory</w:t>
      </w:r>
      <w:r w:rsidRPr="00025FEB">
        <w:t xml:space="preserve"> </w:t>
      </w:r>
      <w:r w:rsidRPr="00025FEB">
        <w:rPr>
          <w:rStyle w:val="Heading2Char"/>
          <w:b/>
        </w:rPr>
        <w:t>status but no longer needs to be a restricted patient</w:t>
      </w:r>
      <w:bookmarkEnd w:id="254"/>
      <w:bookmarkEnd w:id="255"/>
      <w:bookmarkEnd w:id="256"/>
      <w:bookmarkEnd w:id="257"/>
      <w:bookmarkEnd w:id="258"/>
      <w:bookmarkEnd w:id="259"/>
    </w:p>
    <w:p w14:paraId="3BE9E751" w14:textId="77777777" w:rsidR="00025FEB" w:rsidRPr="00D85A4F" w:rsidRDefault="00025FEB" w:rsidP="00300B55">
      <w:pPr>
        <w:rPr>
          <w:lang w:eastAsia="en-NZ"/>
        </w:rPr>
      </w:pPr>
      <w:r w:rsidRPr="1BDC5191">
        <w:rPr>
          <w:lang w:eastAsia="en-NZ"/>
        </w:rPr>
        <w:t>Where a responsible clinician finds that a patient is not fit to be released from compulsory status, but it is no longer necessary that the patient be declared to be a restricted patient:</w:t>
      </w:r>
    </w:p>
    <w:p w14:paraId="175BEC17" w14:textId="77777777" w:rsidR="00025FEB" w:rsidRPr="00300B55" w:rsidRDefault="00025FEB" w:rsidP="00300B55">
      <w:pPr>
        <w:pStyle w:val="Bullet"/>
      </w:pPr>
      <w:r w:rsidRPr="00300B55">
        <w:t>the responsible clinician must send a copy of the certificate of clinical review to the Minister</w:t>
      </w:r>
    </w:p>
    <w:p w14:paraId="3C7CE3C8" w14:textId="0D1C3732" w:rsidR="00025FEB" w:rsidRPr="00300B55" w:rsidRDefault="00025FEB" w:rsidP="00300B55">
      <w:pPr>
        <w:pStyle w:val="Bullet"/>
      </w:pPr>
      <w:r w:rsidRPr="00300B55">
        <w:t>the Minister must, after consultation with the Attorney-General, either revoke the declaration that the patient shall be a restricted patient or apply to the Mental Health Review Tribunal for a review of the patient’s condition.</w:t>
      </w:r>
    </w:p>
    <w:p w14:paraId="6C0447F1" w14:textId="77777777" w:rsidR="00300B55" w:rsidRDefault="00300B55" w:rsidP="00300B55"/>
    <w:p w14:paraId="0E7E38EE" w14:textId="7B48E1EE" w:rsidR="007A6F61" w:rsidRDefault="005275A0" w:rsidP="00300B55">
      <w:r>
        <w:t>C</w:t>
      </w:r>
      <w:r w:rsidRPr="00B36CCA">
        <w:t xml:space="preserve">linical reports should be written to explicitly address the grounds for the decision that the </w:t>
      </w:r>
      <w:r>
        <w:t xml:space="preserve">Minister and the </w:t>
      </w:r>
      <w:r w:rsidRPr="00B36CCA">
        <w:t>A</w:t>
      </w:r>
      <w:r>
        <w:t>ttorney-</w:t>
      </w:r>
      <w:r w:rsidRPr="00B36CCA">
        <w:t>G</w:t>
      </w:r>
      <w:r>
        <w:t>eneral</w:t>
      </w:r>
      <w:r w:rsidRPr="00B36CCA">
        <w:t xml:space="preserve"> is required to make</w:t>
      </w:r>
      <w:r w:rsidR="0020271C">
        <w:t xml:space="preserve">, </w:t>
      </w:r>
      <w:r>
        <w:t>and should include the below information</w:t>
      </w:r>
      <w:r w:rsidRPr="00B36CCA">
        <w:t>.</w:t>
      </w:r>
    </w:p>
    <w:p w14:paraId="3610718E" w14:textId="77777777" w:rsidR="00300B55" w:rsidRPr="005275A0" w:rsidRDefault="00300B55" w:rsidP="00300B55"/>
    <w:p w14:paraId="60ADDF45" w14:textId="514DEE35" w:rsidR="00025FEB" w:rsidRPr="00D85A4F" w:rsidRDefault="00025FEB" w:rsidP="00300B55">
      <w:pPr>
        <w:pStyle w:val="Table"/>
      </w:pPr>
      <w:bookmarkStart w:id="260" w:name="_Toc112861592"/>
      <w:bookmarkStart w:id="261" w:name="_Toc180593126"/>
      <w:r>
        <w:t xml:space="preserve">Table </w:t>
      </w:r>
      <w:r>
        <w:fldChar w:fldCharType="begin"/>
      </w:r>
      <w:r>
        <w:instrText>SEQ Table \* ARABIC</w:instrText>
      </w:r>
      <w:r>
        <w:fldChar w:fldCharType="separate"/>
      </w:r>
      <w:r w:rsidR="00411DF3">
        <w:rPr>
          <w:noProof/>
        </w:rPr>
        <w:t>19</w:t>
      </w:r>
      <w:r>
        <w:fldChar w:fldCharType="end"/>
      </w:r>
      <w:r>
        <w:t xml:space="preserve">: </w:t>
      </w:r>
      <w:r w:rsidRPr="00D45387">
        <w:t>Information to support a change of status for a patient who is not fit to be released from compulsory status, but no longer needs to be a restricted patient</w:t>
      </w:r>
      <w:bookmarkEnd w:id="260"/>
      <w:bookmarkEnd w:id="261"/>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2444BEBC" w14:textId="77777777" w:rsidTr="00025FEB">
        <w:tc>
          <w:tcPr>
            <w:tcW w:w="1219" w:type="dxa"/>
            <w:tcBorders>
              <w:top w:val="single" w:sz="4" w:space="0" w:color="A6A6A6" w:themeColor="background1" w:themeShade="A6"/>
              <w:bottom w:val="single" w:sz="4" w:space="0" w:color="A6A6A6" w:themeColor="background1" w:themeShade="A6"/>
            </w:tcBorders>
          </w:tcPr>
          <w:p w14:paraId="095B3209" w14:textId="77777777" w:rsidR="00025FEB" w:rsidRPr="00DC20BD" w:rsidRDefault="00025FEB" w:rsidP="00025FEB">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0A9B4031" w14:textId="77777777" w:rsidR="00025FEB" w:rsidRPr="00D85A4F" w:rsidRDefault="00025FEB" w:rsidP="00025FEB">
            <w:pPr>
              <w:pStyle w:val="TableText"/>
            </w:pPr>
            <w:r w:rsidRPr="00D85A4F">
              <w:t>A letter from the responsible clinician, including:</w:t>
            </w:r>
          </w:p>
          <w:p w14:paraId="00FA3EC5" w14:textId="77777777" w:rsidR="00025FEB" w:rsidRPr="00D85A4F" w:rsidRDefault="00025FEB" w:rsidP="00D25422">
            <w:pPr>
              <w:pStyle w:val="TableBullet"/>
            </w:pPr>
            <w:r w:rsidRPr="00D85A4F">
              <w:t>a current mental state assessment</w:t>
            </w:r>
          </w:p>
          <w:p w14:paraId="1B46AA11" w14:textId="77777777" w:rsidR="00025FEB" w:rsidRPr="00D85A4F" w:rsidRDefault="00025FEB" w:rsidP="00D25422">
            <w:pPr>
              <w:pStyle w:val="TableBullet"/>
            </w:pPr>
            <w:r w:rsidRPr="00D85A4F">
              <w:t>a certificate of clinical review</w:t>
            </w:r>
          </w:p>
          <w:p w14:paraId="00F6FEE2" w14:textId="77777777" w:rsidR="00025FEB" w:rsidRPr="00D85A4F" w:rsidRDefault="00025FEB" w:rsidP="00D25422">
            <w:pPr>
              <w:pStyle w:val="TableBullet"/>
            </w:pPr>
            <w:r w:rsidRPr="00D85A4F">
              <w:t>a risk assessment and management plan.</w:t>
            </w:r>
          </w:p>
          <w:p w14:paraId="1E9CE5A1" w14:textId="3AD3C91A" w:rsidR="00025FEB" w:rsidRPr="00D85A4F" w:rsidRDefault="00025FEB" w:rsidP="00025FEB">
            <w:pPr>
              <w:pStyle w:val="TableText"/>
            </w:pPr>
            <w:r w:rsidRPr="00D85A4F">
              <w:t xml:space="preserve">If not provided in </w:t>
            </w:r>
            <w:r w:rsidR="00637833">
              <w:t xml:space="preserve">the </w:t>
            </w:r>
            <w:r w:rsidRPr="00D85A4F">
              <w:t xml:space="preserve">SPRP report, the following information should be specifically </w:t>
            </w:r>
            <w:r w:rsidR="00637833">
              <w:t>provided in the letter</w:t>
            </w:r>
            <w:r w:rsidRPr="00D85A4F">
              <w:t>:</w:t>
            </w:r>
          </w:p>
          <w:p w14:paraId="04221232" w14:textId="77777777" w:rsidR="00025FEB" w:rsidRPr="00D85A4F" w:rsidRDefault="00025FEB" w:rsidP="00D25422">
            <w:pPr>
              <w:pStyle w:val="TableBullet"/>
            </w:pPr>
            <w:r w:rsidRPr="00D85A4F">
              <w:t>how the factors leading to the patient being subject to restricted patient status have been addressed (including compliance with treatment)</w:t>
            </w:r>
          </w:p>
          <w:p w14:paraId="2A20AE14" w14:textId="77777777" w:rsidR="00025FEB" w:rsidRPr="00D85A4F" w:rsidRDefault="00025FEB" w:rsidP="00D25422">
            <w:pPr>
              <w:pStyle w:val="TableBullet"/>
            </w:pPr>
            <w:r w:rsidRPr="00D85A4F">
              <w:t>specific comment on alcohol and drug use, including the use of psychoactive substances</w:t>
            </w:r>
          </w:p>
          <w:p w14:paraId="42C30BA8" w14:textId="69D6C0FC" w:rsidR="00025FEB" w:rsidRPr="00D85A4F" w:rsidRDefault="00025FEB" w:rsidP="00D25422">
            <w:pPr>
              <w:pStyle w:val="TableBullet"/>
            </w:pPr>
            <w:r w:rsidRPr="00D85A4F">
              <w:t>advice of any critical incidents that occurred during the patient’s time as a restricted patient, including possession of weapons, drugs or other prohibited material, and management of those incidents</w:t>
            </w:r>
          </w:p>
          <w:p w14:paraId="4FA3166E" w14:textId="6EB67BE1" w:rsidR="00025FEB" w:rsidRPr="00D85A4F" w:rsidRDefault="00025FEB" w:rsidP="00D25422">
            <w:pPr>
              <w:pStyle w:val="TableBullet"/>
            </w:pPr>
            <w:r w:rsidRPr="00D85A4F">
              <w:t xml:space="preserve">plans for the patient’s ongoing management by mental health services once </w:t>
            </w:r>
            <w:r w:rsidR="000777C1">
              <w:t xml:space="preserve">the patient is </w:t>
            </w:r>
            <w:r w:rsidRPr="00D85A4F">
              <w:t>no longer subject to restricted patient status (including recovery plan)</w:t>
            </w:r>
          </w:p>
          <w:p w14:paraId="3EA0511A" w14:textId="77777777" w:rsidR="00025FEB" w:rsidRPr="00D85A4F" w:rsidRDefault="00025FEB" w:rsidP="00D25422">
            <w:pPr>
              <w:pStyle w:val="TableBullet"/>
            </w:pPr>
            <w:r w:rsidRPr="00D85A4F">
              <w:t>flight risk assessment and proposed management</w:t>
            </w:r>
          </w:p>
          <w:p w14:paraId="275435CD" w14:textId="77777777" w:rsidR="00025FEB" w:rsidRPr="00D85A4F" w:rsidRDefault="00025FEB" w:rsidP="00D25422">
            <w:pPr>
              <w:pStyle w:val="TableBullet"/>
            </w:pPr>
            <w:r w:rsidRPr="00D85A4F">
              <w:t>a cultural assessment</w:t>
            </w:r>
          </w:p>
          <w:p w14:paraId="64A0CDC4" w14:textId="6CAD1D34" w:rsidR="00025FEB" w:rsidRPr="00D85A4F" w:rsidRDefault="00854D52" w:rsidP="00D25422">
            <w:pPr>
              <w:pStyle w:val="TableBullet"/>
            </w:pPr>
            <w:r>
              <w:t xml:space="preserve">comment on </w:t>
            </w:r>
            <w:r w:rsidR="00025FEB" w:rsidRPr="00D85A4F">
              <w:t xml:space="preserve">what </w:t>
            </w:r>
            <w:r w:rsidR="00F044A6">
              <w:t>family/</w:t>
            </w:r>
            <w:r w:rsidR="00025FEB" w:rsidRPr="00D85A4F">
              <w:t>wh</w:t>
            </w:r>
            <w:r w:rsidR="00025FEB" w:rsidRPr="00D85A4F">
              <w:rPr>
                <w:rFonts w:cs="Arial"/>
              </w:rPr>
              <w:t>ā</w:t>
            </w:r>
            <w:r w:rsidR="00025FEB" w:rsidRPr="00D85A4F">
              <w:t>nau support is available</w:t>
            </w:r>
          </w:p>
          <w:p w14:paraId="0802BF4F" w14:textId="77777777" w:rsidR="00025FEB" w:rsidRPr="00D85A4F" w:rsidRDefault="00025FEB" w:rsidP="00D25422">
            <w:pPr>
              <w:pStyle w:val="TableBullet"/>
            </w:pPr>
            <w:r w:rsidRPr="00D85A4F">
              <w:t>consideration of the needs of any children of the patient</w:t>
            </w:r>
          </w:p>
          <w:p w14:paraId="6C71EAC6" w14:textId="77777777" w:rsidR="00025FEB" w:rsidRPr="00D85A4F" w:rsidRDefault="00025FEB" w:rsidP="00D25422">
            <w:pPr>
              <w:pStyle w:val="TableBullet"/>
            </w:pPr>
            <w:r w:rsidRPr="00D85A4F">
              <w:t>comment on matters concerning the risk presented by the patient, particularly from victims of previous offending.</w:t>
            </w:r>
          </w:p>
          <w:p w14:paraId="6948AD28" w14:textId="77777777" w:rsidR="00025FEB" w:rsidRPr="00D85A4F" w:rsidRDefault="00025FEB" w:rsidP="00025FEB">
            <w:pPr>
              <w:pStyle w:val="TableText"/>
            </w:pPr>
            <w:r w:rsidRPr="00D85A4F">
              <w:t>A recent SPRP report must be provided with the application. In practice</w:t>
            </w:r>
            <w:r>
              <w:t>,</w:t>
            </w:r>
            <w:r w:rsidRPr="00D85A4F">
              <w:t xml:space="preserve"> this information will be uploaded into the </w:t>
            </w:r>
            <w:r>
              <w:t>SPMS</w:t>
            </w:r>
            <w:r w:rsidRPr="00D85A4F">
              <w:t>.</w:t>
            </w:r>
          </w:p>
          <w:p w14:paraId="2427C1DB" w14:textId="69BB5C00" w:rsidR="00025FEB" w:rsidRPr="00300B55" w:rsidRDefault="00025FEB" w:rsidP="00300B55">
            <w:pPr>
              <w:pStyle w:val="TableText"/>
            </w:pPr>
            <w:r w:rsidRPr="00300B55">
              <w:t>NB: Although the Mental Health Act states that the responsible clinician should send the certificate of clinical review to the Minister of Health, in practice they should send it to the Director, who will then prepare a report for the Minister’s consideration. The Director may also be asked to provide information for the Attorney-General (via the Crown Law Office).</w:t>
            </w:r>
          </w:p>
        </w:tc>
      </w:tr>
      <w:tr w:rsidR="00025FEB" w:rsidRPr="00DC20BD" w14:paraId="61D06D5E" w14:textId="77777777" w:rsidTr="00025FEB">
        <w:tc>
          <w:tcPr>
            <w:tcW w:w="1219" w:type="dxa"/>
            <w:tcBorders>
              <w:top w:val="single" w:sz="4" w:space="0" w:color="A6A6A6" w:themeColor="background1" w:themeShade="A6"/>
              <w:bottom w:val="single" w:sz="4" w:space="0" w:color="A6A6A6" w:themeColor="background1" w:themeShade="A6"/>
            </w:tcBorders>
          </w:tcPr>
          <w:p w14:paraId="7C55F368" w14:textId="77777777" w:rsidR="00025FEB" w:rsidRPr="00D85A4F" w:rsidRDefault="00025FEB" w:rsidP="00025FEB">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0867D711" w14:textId="77777777" w:rsidR="00025FEB" w:rsidRPr="00D85A4F" w:rsidRDefault="00025FEB" w:rsidP="00025FEB">
            <w:pPr>
              <w:pStyle w:val="TableText"/>
            </w:pPr>
            <w:r>
              <w:t xml:space="preserve">The </w:t>
            </w:r>
            <w:r w:rsidRPr="00D85A4F">
              <w:t xml:space="preserve">DAMHS </w:t>
            </w:r>
            <w:r>
              <w:t xml:space="preserve">must </w:t>
            </w:r>
            <w:r w:rsidRPr="00D85A4F">
              <w:t xml:space="preserve">submit </w:t>
            </w:r>
            <w:r>
              <w:t xml:space="preserve">the </w:t>
            </w:r>
            <w:r w:rsidRPr="00D85A4F">
              <w:t>application for change of status within six weeks of the clinical review.</w:t>
            </w:r>
          </w:p>
          <w:p w14:paraId="12B26B70" w14:textId="53C5502E" w:rsidR="00025FEB" w:rsidRPr="00D85A4F" w:rsidRDefault="00025FEB" w:rsidP="00025FEB">
            <w:pPr>
              <w:pStyle w:val="TableText"/>
            </w:pPr>
            <w:r w:rsidRPr="00D85A4F">
              <w:t xml:space="preserve">Incomplete information may delay </w:t>
            </w:r>
            <w:r>
              <w:t xml:space="preserve">the Director’s provision of </w:t>
            </w:r>
            <w:r w:rsidRPr="00D85A4F">
              <w:t>advice to the Minister of Health.</w:t>
            </w:r>
          </w:p>
        </w:tc>
      </w:tr>
    </w:tbl>
    <w:p w14:paraId="1400AC82" w14:textId="77777777" w:rsidR="00025FEB" w:rsidRDefault="00025FEB" w:rsidP="00025FEB">
      <w:pPr>
        <w:sectPr w:rsidR="00025FEB" w:rsidSect="00BB4DC3">
          <w:pgSz w:w="11907" w:h="16834" w:code="9"/>
          <w:pgMar w:top="1418" w:right="1701" w:bottom="1134" w:left="1843" w:header="284" w:footer="425" w:gutter="284"/>
          <w:cols w:space="720"/>
        </w:sectPr>
      </w:pPr>
    </w:p>
    <w:p w14:paraId="78E6A647" w14:textId="77777777" w:rsidR="00025FEB" w:rsidRPr="00D85A4F" w:rsidRDefault="00025FEB" w:rsidP="00025FEB">
      <w:pPr>
        <w:pStyle w:val="Heading1"/>
      </w:pPr>
      <w:bookmarkStart w:id="262" w:name="_Toc377543411"/>
      <w:bookmarkStart w:id="263" w:name="_Toc441658607"/>
      <w:bookmarkStart w:id="264" w:name="_Toc83197093"/>
      <w:bookmarkStart w:id="265" w:name="_Toc112845478"/>
      <w:bookmarkStart w:id="266" w:name="_Toc112862082"/>
      <w:bookmarkStart w:id="267" w:name="_Toc180497435"/>
      <w:r w:rsidRPr="00D85A4F">
        <w:t>Return to prison</w:t>
      </w:r>
      <w:bookmarkEnd w:id="262"/>
      <w:bookmarkEnd w:id="263"/>
      <w:bookmarkEnd w:id="264"/>
      <w:bookmarkEnd w:id="265"/>
      <w:bookmarkEnd w:id="266"/>
      <w:bookmarkEnd w:id="267"/>
    </w:p>
    <w:p w14:paraId="4385F4B1" w14:textId="28077225" w:rsidR="00025FEB" w:rsidRPr="00D85A4F" w:rsidRDefault="00025FEB" w:rsidP="00025FEB">
      <w:r w:rsidRPr="00D85A4F">
        <w:t xml:space="preserve">Section 47 of the </w:t>
      </w:r>
      <w:r>
        <w:t>Mental Health Act</w:t>
      </w:r>
      <w:r w:rsidRPr="00D85A4F">
        <w:t xml:space="preserve"> provides for </w:t>
      </w:r>
      <w:r>
        <w:t>a</w:t>
      </w:r>
      <w:r w:rsidRPr="00D85A4F">
        <w:t xml:space="preserve"> DAMHS, with the consent of the Director, to </w:t>
      </w:r>
      <w:r w:rsidR="0092398D">
        <w:t xml:space="preserve">direct the </w:t>
      </w:r>
      <w:r w:rsidRPr="00D85A4F">
        <w:t xml:space="preserve">return </w:t>
      </w:r>
      <w:r w:rsidR="0092398D">
        <w:t xml:space="preserve">of </w:t>
      </w:r>
      <w:r w:rsidRPr="00D85A4F">
        <w:t xml:space="preserve">a special patient detained following an application made under section 45(2) of the </w:t>
      </w:r>
      <w:r>
        <w:t>Mental Health Act</w:t>
      </w:r>
      <w:r w:rsidRPr="00D85A4F">
        <w:t xml:space="preserve"> to prison. This also applies to </w:t>
      </w:r>
      <w:r>
        <w:t xml:space="preserve">people </w:t>
      </w:r>
      <w:r w:rsidRPr="00D85A4F">
        <w:t>detained under a ‘hybrid order’; namely, section 34(1)(a)(i) of the CP(MIP) Act.</w:t>
      </w:r>
    </w:p>
    <w:p w14:paraId="050910BB" w14:textId="77777777" w:rsidR="00025FEB" w:rsidRPr="00D85A4F" w:rsidRDefault="00025FEB" w:rsidP="00025FEB"/>
    <w:p w14:paraId="47D39506" w14:textId="53A1C8EE" w:rsidR="00025FEB" w:rsidRDefault="00025FEB" w:rsidP="00025FEB">
      <w:r w:rsidRPr="00D85A4F">
        <w:t xml:space="preserve">The Director may direct the return to prison of a patient detained under section 46 of the </w:t>
      </w:r>
      <w:r>
        <w:t>Mental Health Act</w:t>
      </w:r>
      <w:r w:rsidRPr="00D85A4F">
        <w:t xml:space="preserve"> (section 47(2)). If a patient detained under section 46 of the </w:t>
      </w:r>
      <w:r>
        <w:t>Mental Health Act</w:t>
      </w:r>
      <w:r w:rsidRPr="00D85A4F">
        <w:t xml:space="preserve"> requests a return to prison, the DAMHS is responsible for ‘making the </w:t>
      </w:r>
      <w:r w:rsidR="0092398D">
        <w:t xml:space="preserve">necessary </w:t>
      </w:r>
      <w:r w:rsidRPr="00D85A4F">
        <w:t xml:space="preserve">arrangements’ </w:t>
      </w:r>
      <w:r w:rsidR="0092398D">
        <w:t xml:space="preserve">as soon as practicable </w:t>
      </w:r>
      <w:r w:rsidRPr="00D85A4F">
        <w:t>for a return to prison (section</w:t>
      </w:r>
      <w:r w:rsidR="00F41245">
        <w:t> </w:t>
      </w:r>
      <w:r w:rsidRPr="00D85A4F">
        <w:t>47(4)). These requests are typically made within five working days before the proposed return.</w:t>
      </w:r>
    </w:p>
    <w:p w14:paraId="1B08DEC6" w14:textId="77777777" w:rsidR="00025FEB" w:rsidRPr="00D85A4F" w:rsidRDefault="00025FEB" w:rsidP="00025FEB"/>
    <w:p w14:paraId="3E57125E" w14:textId="06937F78" w:rsidR="00025FEB" w:rsidRPr="00D85A4F" w:rsidRDefault="00025FEB" w:rsidP="00300B55">
      <w:pPr>
        <w:pStyle w:val="Table"/>
      </w:pPr>
      <w:bookmarkStart w:id="268" w:name="_Toc112861593"/>
      <w:bookmarkStart w:id="269" w:name="_Toc180593127"/>
      <w:r>
        <w:t xml:space="preserve">Table </w:t>
      </w:r>
      <w:r>
        <w:fldChar w:fldCharType="begin"/>
      </w:r>
      <w:r>
        <w:instrText>SEQ Table \* ARABIC</w:instrText>
      </w:r>
      <w:r>
        <w:fldChar w:fldCharType="separate"/>
      </w:r>
      <w:r w:rsidR="00411DF3">
        <w:rPr>
          <w:noProof/>
        </w:rPr>
        <w:t>20</w:t>
      </w:r>
      <w:r>
        <w:fldChar w:fldCharType="end"/>
      </w:r>
      <w:r>
        <w:t xml:space="preserve">: </w:t>
      </w:r>
      <w:r w:rsidRPr="00D45387">
        <w:t>Information to support a request for a patient to be returned to prison</w:t>
      </w:r>
      <w:bookmarkEnd w:id="268"/>
      <w:bookmarkEnd w:id="269"/>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219"/>
        <w:gridCol w:w="6861"/>
      </w:tblGrid>
      <w:tr w:rsidR="00025FEB" w:rsidRPr="00DC20BD" w14:paraId="7F49F598"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2D688215" w14:textId="77777777" w:rsidR="00025FEB" w:rsidRPr="00DC20BD" w:rsidRDefault="00025FEB" w:rsidP="00BB4DC3">
            <w:pPr>
              <w:pStyle w:val="TableText"/>
            </w:pPr>
            <w:r w:rsidRPr="00D85A4F">
              <w:t>Information</w:t>
            </w:r>
          </w:p>
        </w:tc>
        <w:tc>
          <w:tcPr>
            <w:tcW w:w="6861" w:type="dxa"/>
            <w:tcBorders>
              <w:top w:val="single" w:sz="4" w:space="0" w:color="A6A6A6" w:themeColor="background1" w:themeShade="A6"/>
              <w:bottom w:val="single" w:sz="4" w:space="0" w:color="A6A6A6" w:themeColor="background1" w:themeShade="A6"/>
            </w:tcBorders>
          </w:tcPr>
          <w:p w14:paraId="1D53229E" w14:textId="77777777" w:rsidR="00025FEB" w:rsidRPr="00D85A4F" w:rsidRDefault="00025FEB" w:rsidP="00BB4DC3">
            <w:pPr>
              <w:pStyle w:val="TableText"/>
            </w:pPr>
            <w:r w:rsidRPr="00D85A4F">
              <w:t>A letter from the responsible clinician, including:</w:t>
            </w:r>
          </w:p>
          <w:p w14:paraId="1963C9B6" w14:textId="77777777" w:rsidR="00025FEB" w:rsidRPr="00D85A4F" w:rsidRDefault="00025FEB" w:rsidP="00D25422">
            <w:pPr>
              <w:pStyle w:val="TableBullet"/>
            </w:pPr>
            <w:r w:rsidRPr="00D85A4F">
              <w:t>a current mental state assessment, including a statement that the patient is fit to be released from compulsory status (including recovery plan)</w:t>
            </w:r>
          </w:p>
          <w:p w14:paraId="243E1B71" w14:textId="77777777" w:rsidR="00025FEB" w:rsidRPr="00D85A4F" w:rsidRDefault="00025FEB" w:rsidP="00D25422">
            <w:pPr>
              <w:pStyle w:val="TableBullet"/>
            </w:pPr>
            <w:r w:rsidRPr="00D85A4F">
              <w:t>a risk assessment</w:t>
            </w:r>
          </w:p>
          <w:p w14:paraId="7DAF8D19" w14:textId="77777777" w:rsidR="00025FEB" w:rsidRPr="00D85A4F" w:rsidRDefault="00025FEB" w:rsidP="00D25422">
            <w:pPr>
              <w:pStyle w:val="TableBullet"/>
            </w:pPr>
            <w:r w:rsidRPr="00D85A4F">
              <w:t>a cultural assessment</w:t>
            </w:r>
          </w:p>
          <w:p w14:paraId="52C4EA1F" w14:textId="00A63299" w:rsidR="00025FEB" w:rsidRPr="00D85A4F" w:rsidRDefault="00025FEB" w:rsidP="00D25422">
            <w:pPr>
              <w:pStyle w:val="TableBullet"/>
            </w:pPr>
            <w:r w:rsidRPr="00D85A4F">
              <w:t>a plan for the patient’s ongoing management following return to prison, including confirmation that this has been discussed with the prison health service</w:t>
            </w:r>
          </w:p>
          <w:p w14:paraId="675692C8" w14:textId="448FED26" w:rsidR="00025FEB" w:rsidRPr="006454DE" w:rsidRDefault="001E2012" w:rsidP="00D25422">
            <w:pPr>
              <w:pStyle w:val="TableBullet"/>
            </w:pPr>
            <w:r>
              <w:t>a r</w:t>
            </w:r>
            <w:r w:rsidR="00025FEB" w:rsidRPr="00D85A4F">
              <w:t>efer</w:t>
            </w:r>
            <w:r>
              <w:t>ence</w:t>
            </w:r>
            <w:r w:rsidR="00025FEB" w:rsidRPr="00D85A4F">
              <w:t xml:space="preserve"> to the current SPRP, if available. In practice</w:t>
            </w:r>
            <w:r w:rsidR="00025FEB">
              <w:t>,</w:t>
            </w:r>
            <w:r w:rsidR="00025FEB" w:rsidRPr="00D85A4F">
              <w:t xml:space="preserve"> this information will be uploaded into the </w:t>
            </w:r>
            <w:r w:rsidR="00025FEB">
              <w:t>SPMS</w:t>
            </w:r>
          </w:p>
        </w:tc>
      </w:tr>
      <w:tr w:rsidR="00025FEB" w:rsidRPr="00DC20BD" w14:paraId="511A3870" w14:textId="77777777" w:rsidTr="00BB4DC3">
        <w:trPr>
          <w:cantSplit/>
        </w:trPr>
        <w:tc>
          <w:tcPr>
            <w:tcW w:w="1219" w:type="dxa"/>
            <w:tcBorders>
              <w:top w:val="single" w:sz="4" w:space="0" w:color="A6A6A6" w:themeColor="background1" w:themeShade="A6"/>
              <w:bottom w:val="single" w:sz="4" w:space="0" w:color="A6A6A6" w:themeColor="background1" w:themeShade="A6"/>
            </w:tcBorders>
          </w:tcPr>
          <w:p w14:paraId="535FBA7C" w14:textId="77777777" w:rsidR="00025FEB" w:rsidRPr="00D85A4F" w:rsidRDefault="00025FEB" w:rsidP="00BB4DC3">
            <w:pPr>
              <w:pStyle w:val="TableText"/>
            </w:pPr>
            <w:r w:rsidRPr="00D85A4F">
              <w:t>Timeframe</w:t>
            </w:r>
          </w:p>
        </w:tc>
        <w:tc>
          <w:tcPr>
            <w:tcW w:w="6861" w:type="dxa"/>
            <w:tcBorders>
              <w:top w:val="single" w:sz="4" w:space="0" w:color="A6A6A6" w:themeColor="background1" w:themeShade="A6"/>
              <w:bottom w:val="single" w:sz="4" w:space="0" w:color="A6A6A6" w:themeColor="background1" w:themeShade="A6"/>
            </w:tcBorders>
          </w:tcPr>
          <w:p w14:paraId="1A82010A" w14:textId="77777777" w:rsidR="00025FEB" w:rsidRPr="00D85A4F" w:rsidRDefault="00025FEB" w:rsidP="00BB4DC3">
            <w:pPr>
              <w:pStyle w:val="TableText"/>
            </w:pPr>
            <w:r>
              <w:t xml:space="preserve">The </w:t>
            </w:r>
            <w:r w:rsidRPr="00D85A4F">
              <w:t xml:space="preserve">DAMHS </w:t>
            </w:r>
            <w:r>
              <w:t xml:space="preserve">must </w:t>
            </w:r>
            <w:r w:rsidRPr="00D85A4F">
              <w:t xml:space="preserve">submit </w:t>
            </w:r>
            <w:r>
              <w:t xml:space="preserve">the </w:t>
            </w:r>
            <w:r w:rsidRPr="00D85A4F">
              <w:t xml:space="preserve">request to </w:t>
            </w:r>
            <w:r>
              <w:t xml:space="preserve">the Office of the Director </w:t>
            </w:r>
            <w:r w:rsidRPr="00D85A4F">
              <w:t xml:space="preserve">five working days prior to </w:t>
            </w:r>
            <w:r>
              <w:t xml:space="preserve">the </w:t>
            </w:r>
            <w:r w:rsidRPr="00D85A4F">
              <w:t>transfer.</w:t>
            </w:r>
          </w:p>
          <w:p w14:paraId="086E95E2" w14:textId="77777777" w:rsidR="00025FEB" w:rsidRPr="00D85A4F" w:rsidRDefault="00025FEB" w:rsidP="00BB4DC3">
            <w:pPr>
              <w:pStyle w:val="TableText"/>
            </w:pPr>
            <w:r>
              <w:t xml:space="preserve">The Office of the Director must </w:t>
            </w:r>
            <w:r w:rsidRPr="00D85A4F">
              <w:t>respond within three working days prior to transfer.</w:t>
            </w:r>
          </w:p>
          <w:p w14:paraId="1578A9E3" w14:textId="1A7144BE" w:rsidR="00025FEB" w:rsidRPr="00D85A4F" w:rsidRDefault="00025FEB" w:rsidP="00BB4DC3">
            <w:pPr>
              <w:pStyle w:val="TableText"/>
            </w:pPr>
            <w:r w:rsidRPr="00D85A4F">
              <w:t>Incomplete information may result in a delayed response.</w:t>
            </w:r>
          </w:p>
        </w:tc>
      </w:tr>
    </w:tbl>
    <w:p w14:paraId="1C9179C5" w14:textId="0666EE4A" w:rsidR="00D564D7" w:rsidRPr="00A55E3B" w:rsidRDefault="00D564D7" w:rsidP="00A55E3B">
      <w:pPr>
        <w:pStyle w:val="Heading2"/>
        <w:rPr>
          <w:b w:val="0"/>
        </w:rPr>
      </w:pPr>
      <w:bookmarkStart w:id="270" w:name="_Toc180497436"/>
      <w:r w:rsidRPr="00240C7A">
        <w:t>Effect of orders under section</w:t>
      </w:r>
      <w:r w:rsidR="00074485">
        <w:t> </w:t>
      </w:r>
      <w:r w:rsidRPr="00240C7A">
        <w:t xml:space="preserve">24 </w:t>
      </w:r>
      <w:r w:rsidR="001C059C">
        <w:t xml:space="preserve">of the CP(MIP) Act </w:t>
      </w:r>
      <w:r w:rsidRPr="00240C7A">
        <w:t>on prison sentences</w:t>
      </w:r>
      <w:bookmarkEnd w:id="270"/>
    </w:p>
    <w:p w14:paraId="13F941D4" w14:textId="35D04860" w:rsidR="00D564D7" w:rsidRDefault="00D564D7" w:rsidP="00D564D7">
      <w:r>
        <w:t>The situation may arise where someone on an existing sentence, including life imprisonment</w:t>
      </w:r>
      <w:r w:rsidR="001133BF">
        <w:t>,</w:t>
      </w:r>
      <w:r>
        <w:t xml:space="preserve"> is later acquitted on account of insanity following a new offence and placed on a special patient order under section 24(2)(a) </w:t>
      </w:r>
      <w:r w:rsidR="00813D0C">
        <w:t xml:space="preserve">of the </w:t>
      </w:r>
      <w:r>
        <w:t>CP(MIP) Act. This is covered in section 28 of the CP(MIP) Act, which notes that while the offender is subject to that new order, the prison sentence continues to run, unless the offender is absent from the institution without leave. Also, if, while still subject to the prison term, the offender is discharged from the hospital or facility, he or she must be taken to a prison or other appropriate place to serve the remainder of the sentence.</w:t>
      </w:r>
    </w:p>
    <w:p w14:paraId="5C5F0B86" w14:textId="77777777" w:rsidR="00D564D7" w:rsidRDefault="00D564D7" w:rsidP="00D564D7"/>
    <w:p w14:paraId="2E7400F9" w14:textId="77777777" w:rsidR="00025FEB" w:rsidRDefault="00025FEB" w:rsidP="00025FEB">
      <w:pPr>
        <w:sectPr w:rsidR="00025FEB" w:rsidSect="00BB4DC3">
          <w:pgSz w:w="11907" w:h="16834" w:code="9"/>
          <w:pgMar w:top="1418" w:right="1701" w:bottom="1134" w:left="1843" w:header="284" w:footer="425" w:gutter="284"/>
          <w:cols w:space="720"/>
        </w:sectPr>
      </w:pPr>
    </w:p>
    <w:p w14:paraId="33560EB9" w14:textId="77777777" w:rsidR="00025FEB" w:rsidRPr="00D85A4F" w:rsidRDefault="00025FEB" w:rsidP="00025FEB">
      <w:pPr>
        <w:pStyle w:val="Heading1"/>
      </w:pPr>
      <w:bookmarkStart w:id="271" w:name="_Toc112862083"/>
      <w:bookmarkStart w:id="272" w:name="_Toc180497437"/>
      <w:r w:rsidRPr="00D85A4F">
        <w:t>Registered victim notifications</w:t>
      </w:r>
      <w:bookmarkEnd w:id="271"/>
      <w:bookmarkEnd w:id="272"/>
    </w:p>
    <w:p w14:paraId="745034A7" w14:textId="12756D42" w:rsidR="00DE5A78" w:rsidRPr="00DE5A78" w:rsidRDefault="00025FEB" w:rsidP="00DE5A78">
      <w:r>
        <w:t>Certain registered v</w:t>
      </w:r>
      <w:r w:rsidRPr="00D85A4F">
        <w:t>ictims of specified offences committed by special patients and other forensic patients may apply to</w:t>
      </w:r>
      <w:r>
        <w:t xml:space="preserve"> the police to</w:t>
      </w:r>
      <w:r w:rsidRPr="00D85A4F">
        <w:t xml:space="preserve"> be</w:t>
      </w:r>
      <w:r>
        <w:t>come registered victims</w:t>
      </w:r>
      <w:r w:rsidR="00624544">
        <w:t xml:space="preserve">. </w:t>
      </w:r>
      <w:r w:rsidR="005208EE">
        <w:t>Under section 30A of the Victims</w:t>
      </w:r>
      <w:r w:rsidR="009E3B12">
        <w:t xml:space="preserve">’ Rights Act 2002, registered victims must be provided with an explanation of the </w:t>
      </w:r>
      <w:r w:rsidR="00344097">
        <w:t xml:space="preserve">relevant </w:t>
      </w:r>
      <w:r w:rsidR="009E3B12">
        <w:t>special patient’s (or patient’s)</w:t>
      </w:r>
      <w:r>
        <w:t xml:space="preserve"> </w:t>
      </w:r>
      <w:r w:rsidR="00C71934">
        <w:t>designation and</w:t>
      </w:r>
      <w:r w:rsidR="009E3B12">
        <w:t xml:space="preserve"> </w:t>
      </w:r>
      <w:r w:rsidR="00046424">
        <w:t xml:space="preserve">be given a list of future notifications that they are </w:t>
      </w:r>
      <w:r w:rsidR="001C059C">
        <w:t xml:space="preserve">eligible </w:t>
      </w:r>
      <w:r w:rsidR="00046424">
        <w:t>to receive. They mu</w:t>
      </w:r>
      <w:r w:rsidR="00C71934">
        <w:t xml:space="preserve">st also </w:t>
      </w:r>
      <w:r>
        <w:t>be</w:t>
      </w:r>
      <w:r w:rsidRPr="00D85A4F">
        <w:t xml:space="preserve"> notified </w:t>
      </w:r>
      <w:r w:rsidR="00D2612A">
        <w:t>and invited to make submission</w:t>
      </w:r>
      <w:r w:rsidR="002738C9">
        <w:t>s</w:t>
      </w:r>
      <w:r w:rsidR="00D2612A">
        <w:t xml:space="preserve"> on </w:t>
      </w:r>
      <w:r w:rsidRPr="00D85A4F">
        <w:t xml:space="preserve">certain </w:t>
      </w:r>
      <w:r w:rsidR="00D2612A">
        <w:t xml:space="preserve">decisions </w:t>
      </w:r>
      <w:r w:rsidRPr="00D85A4F">
        <w:t>relating to the treatment of those patients</w:t>
      </w:r>
      <w:r w:rsidR="0017716A">
        <w:t>.</w:t>
      </w:r>
      <w:r w:rsidR="0017716A" w:rsidRPr="00D85A4F" w:rsidDel="0017716A">
        <w:t xml:space="preserve"> </w:t>
      </w:r>
    </w:p>
    <w:p w14:paraId="3CFBD2F4" w14:textId="77777777" w:rsidR="00025FEB" w:rsidRPr="00D85A4F" w:rsidRDefault="00025FEB" w:rsidP="00025FEB"/>
    <w:p w14:paraId="23D8BFCC" w14:textId="3DED4369" w:rsidR="00025FEB" w:rsidRPr="00D85A4F" w:rsidRDefault="0017716A" w:rsidP="00025FEB">
      <w:r>
        <w:t>Depending on the legal status of the special patient (or patient) a registered victim may be notified</w:t>
      </w:r>
      <w:r w:rsidR="00426FE4">
        <w:t xml:space="preserve"> of</w:t>
      </w:r>
      <w:r w:rsidR="00C6146D">
        <w:t xml:space="preserve">, invited to </w:t>
      </w:r>
      <w:r w:rsidR="0286B8A5">
        <w:t xml:space="preserve">make a </w:t>
      </w:r>
      <w:r w:rsidR="00C6146D">
        <w:t>submi</w:t>
      </w:r>
      <w:r w:rsidR="7CFEBFF6">
        <w:t>ssion on</w:t>
      </w:r>
      <w:r w:rsidR="00C6146D">
        <w:t xml:space="preserve"> and </w:t>
      </w:r>
      <w:r w:rsidR="26E65174">
        <w:t xml:space="preserve">provided </w:t>
      </w:r>
      <w:r w:rsidR="00C6146D">
        <w:t>the decision</w:t>
      </w:r>
      <w:r>
        <w:t xml:space="preserve"> </w:t>
      </w:r>
      <w:r w:rsidR="00C6146D">
        <w:t>of the application</w:t>
      </w:r>
      <w:r w:rsidR="00426FE4">
        <w:t xml:space="preserve"> for</w:t>
      </w:r>
      <w:r w:rsidR="00025FEB" w:rsidRPr="00D85A4F">
        <w:t xml:space="preserve">:  </w:t>
      </w:r>
    </w:p>
    <w:p w14:paraId="4D42B0D4" w14:textId="77F7E249" w:rsidR="00025FEB" w:rsidRPr="00D85A4F" w:rsidRDefault="0017716A" w:rsidP="00D25422">
      <w:pPr>
        <w:pStyle w:val="Bullet"/>
      </w:pPr>
      <w:r>
        <w:t>leave under section 52 of the Mental Health Act</w:t>
      </w:r>
      <w:r w:rsidR="00C71934">
        <w:t xml:space="preserve"> that would grant</w:t>
      </w:r>
      <w:r w:rsidR="00F26A6A">
        <w:t xml:space="preserve"> the</w:t>
      </w:r>
      <w:r w:rsidR="0030758F">
        <w:t xml:space="preserve"> special</w:t>
      </w:r>
      <w:r w:rsidR="00F26A6A">
        <w:t xml:space="preserve"> patient</w:t>
      </w:r>
      <w:r w:rsidR="00C71934">
        <w:t xml:space="preserve"> </w:t>
      </w:r>
      <w:r w:rsidR="0030758F">
        <w:t xml:space="preserve">(or patient) </w:t>
      </w:r>
      <w:r w:rsidR="00C71934">
        <w:t xml:space="preserve">greater </w:t>
      </w:r>
      <w:r w:rsidR="00C71934" w:rsidRPr="00D85A4F">
        <w:t>autonomy outside the hospital than any other leave of absence previously granted</w:t>
      </w:r>
    </w:p>
    <w:p w14:paraId="0262A57A" w14:textId="449CD3C8" w:rsidR="00E63034" w:rsidRDefault="00E63034" w:rsidP="00D25422">
      <w:pPr>
        <w:pStyle w:val="Bullet"/>
      </w:pPr>
      <w:r>
        <w:t>leave under section 50A of the Mental Health Act</w:t>
      </w:r>
    </w:p>
    <w:p w14:paraId="4833DE2E" w14:textId="77777777" w:rsidR="00B77FCE" w:rsidRDefault="00E63034" w:rsidP="00D25422">
      <w:pPr>
        <w:pStyle w:val="Bullet"/>
      </w:pPr>
      <w:r>
        <w:t xml:space="preserve">a change of legal status </w:t>
      </w:r>
      <w:r w:rsidR="0081105F">
        <w:t xml:space="preserve">under </w:t>
      </w:r>
      <w:r w:rsidR="0031222F">
        <w:t>section 31(1) or 33(1) of the CP(MIP) Act</w:t>
      </w:r>
    </w:p>
    <w:p w14:paraId="128685F1" w14:textId="7FFEBCF2" w:rsidR="00025FEB" w:rsidRDefault="00743DC5" w:rsidP="00D25422">
      <w:pPr>
        <w:pStyle w:val="Bullet"/>
      </w:pPr>
      <w:r>
        <w:t>a</w:t>
      </w:r>
      <w:r w:rsidR="00F4074A">
        <w:t>n application to the Mental Health Review Tribunal</w:t>
      </w:r>
      <w:r w:rsidR="00C6146D">
        <w:t>.</w:t>
      </w:r>
    </w:p>
    <w:p w14:paraId="6AA38A45" w14:textId="77777777" w:rsidR="00D25422" w:rsidRDefault="00D25422" w:rsidP="00300B55"/>
    <w:p w14:paraId="6E07452A" w14:textId="72716CA0" w:rsidR="00C6146D" w:rsidRPr="00D85A4F" w:rsidRDefault="00C6146D" w:rsidP="00300B55">
      <w:r>
        <w:t>Registered victims must also be notified of:</w:t>
      </w:r>
    </w:p>
    <w:p w14:paraId="6127EFE2" w14:textId="694FF6D1" w:rsidR="00025FEB" w:rsidRPr="00300B55" w:rsidRDefault="00025FEB" w:rsidP="00300B55">
      <w:pPr>
        <w:pStyle w:val="Bullet"/>
      </w:pPr>
      <w:r w:rsidRPr="00300B55">
        <w:t>an impending discharge</w:t>
      </w:r>
      <w:r w:rsidR="6EF17B12" w:rsidRPr="00300B55">
        <w:t xml:space="preserve"> of the special patient (or patient)</w:t>
      </w:r>
    </w:p>
    <w:p w14:paraId="72CEA7C5" w14:textId="3761FE5E" w:rsidR="00025FEB" w:rsidRPr="00300B55" w:rsidRDefault="44EA2647" w:rsidP="00300B55">
      <w:pPr>
        <w:pStyle w:val="Bullet"/>
      </w:pPr>
      <w:r w:rsidRPr="00300B55">
        <w:t>the special patient (</w:t>
      </w:r>
      <w:r w:rsidR="00025FEB" w:rsidRPr="00300B55">
        <w:t xml:space="preserve">or </w:t>
      </w:r>
      <w:r w:rsidRPr="00300B55">
        <w:t xml:space="preserve">patient) </w:t>
      </w:r>
      <w:r w:rsidR="00025FEB" w:rsidRPr="00300B55">
        <w:t>escap</w:t>
      </w:r>
      <w:r w:rsidR="56FF9868" w:rsidRPr="00300B55">
        <w:t>ing</w:t>
      </w:r>
      <w:r w:rsidR="00025FEB" w:rsidRPr="00300B55">
        <w:t xml:space="preserve"> or go</w:t>
      </w:r>
      <w:r w:rsidR="4AA2B229" w:rsidRPr="00300B55">
        <w:t>ing</w:t>
      </w:r>
      <w:r w:rsidR="00025FEB" w:rsidRPr="00300B55">
        <w:t xml:space="preserve"> AWOL (including failing to return from leave) (see section 6.3 above)</w:t>
      </w:r>
    </w:p>
    <w:p w14:paraId="7D072D05" w14:textId="45682833" w:rsidR="00025FEB" w:rsidRPr="00300B55" w:rsidRDefault="7FBF189B" w:rsidP="00300B55">
      <w:pPr>
        <w:pStyle w:val="Bullet"/>
      </w:pPr>
      <w:r w:rsidRPr="00300B55">
        <w:t>the special patient</w:t>
      </w:r>
      <w:r w:rsidR="00CF45BC" w:rsidRPr="00300B55">
        <w:t>’</w:t>
      </w:r>
      <w:r w:rsidR="00BBB8B7" w:rsidRPr="00300B55">
        <w:t>s</w:t>
      </w:r>
      <w:r w:rsidRPr="00300B55">
        <w:t xml:space="preserve"> (or patient</w:t>
      </w:r>
      <w:r w:rsidR="00CF45BC" w:rsidRPr="00300B55">
        <w:t>’</w:t>
      </w:r>
      <w:r w:rsidR="675ECA8A" w:rsidRPr="00300B55">
        <w:t>s</w:t>
      </w:r>
      <w:r w:rsidRPr="00300B55">
        <w:t xml:space="preserve">) </w:t>
      </w:r>
      <w:r w:rsidR="50EA224F" w:rsidRPr="00300B55">
        <w:t>death.</w:t>
      </w:r>
    </w:p>
    <w:p w14:paraId="17570DC8" w14:textId="77777777" w:rsidR="00025FEB" w:rsidRDefault="00025FEB" w:rsidP="00025FEB"/>
    <w:p w14:paraId="68384E62" w14:textId="5171FFAB" w:rsidR="000352A0" w:rsidRDefault="00025FEB" w:rsidP="00025FEB">
      <w:r w:rsidRPr="00C84E6C">
        <w:t xml:space="preserve">In practice, </w:t>
      </w:r>
      <w:r w:rsidR="00697145">
        <w:t>notifications regarding leave</w:t>
      </w:r>
      <w:r w:rsidR="008869BC">
        <w:t xml:space="preserve">, discharge, </w:t>
      </w:r>
      <w:r w:rsidR="005C0B9C">
        <w:t>absence without leave</w:t>
      </w:r>
      <w:r w:rsidR="008869BC">
        <w:t xml:space="preserve"> or death</w:t>
      </w:r>
      <w:r w:rsidR="00697145" w:rsidRPr="00C84E6C">
        <w:t xml:space="preserve"> </w:t>
      </w:r>
      <w:r w:rsidRPr="00C84E6C">
        <w:t>will usually be the responsibility of</w:t>
      </w:r>
      <w:r>
        <w:rPr>
          <w:b/>
          <w:bCs/>
        </w:rPr>
        <w:t xml:space="preserve"> </w:t>
      </w:r>
      <w:r>
        <w:t xml:space="preserve">the </w:t>
      </w:r>
      <w:r w:rsidRPr="00AD2EFB">
        <w:t>forensic DAMHS</w:t>
      </w:r>
      <w:r w:rsidR="00620577">
        <w:t xml:space="preserve"> or victim coordin</w:t>
      </w:r>
      <w:r w:rsidR="00697145">
        <w:t>ator</w:t>
      </w:r>
      <w:r w:rsidRPr="00AD2EFB">
        <w:t xml:space="preserve"> for special patients</w:t>
      </w:r>
      <w:r>
        <w:t>, as delegated by the Director.</w:t>
      </w:r>
      <w:r w:rsidR="00492394">
        <w:t xml:space="preserve"> </w:t>
      </w:r>
    </w:p>
    <w:p w14:paraId="237355E3" w14:textId="77777777" w:rsidR="000352A0" w:rsidRDefault="000352A0" w:rsidP="00025FEB"/>
    <w:p w14:paraId="74BCEC32" w14:textId="1D6A346A" w:rsidR="00330ADC" w:rsidRDefault="008869BC" w:rsidP="00025FEB">
      <w:pPr>
        <w:rPr>
          <w:b/>
          <w:bCs/>
        </w:rPr>
      </w:pPr>
      <w:r>
        <w:t xml:space="preserve">All other notifications, including </w:t>
      </w:r>
      <w:r w:rsidR="000E6929">
        <w:t xml:space="preserve">a change of legal status or an application to the Mental Health Review Tribunal, will be made by the Director. </w:t>
      </w:r>
      <w:r w:rsidR="00492394">
        <w:t xml:space="preserve">More information on these delegations </w:t>
      </w:r>
      <w:r w:rsidR="0094114F">
        <w:t xml:space="preserve">and the timeframes for </w:t>
      </w:r>
      <w:r w:rsidR="00A5765A">
        <w:t>registered victim</w:t>
      </w:r>
      <w:r w:rsidR="00D467F9">
        <w:t xml:space="preserve"> </w:t>
      </w:r>
      <w:r w:rsidR="0094114F">
        <w:t xml:space="preserve">notifications </w:t>
      </w:r>
      <w:r w:rsidR="00A5765A">
        <w:t xml:space="preserve">and </w:t>
      </w:r>
      <w:r w:rsidR="00D467F9">
        <w:t xml:space="preserve">submissions </w:t>
      </w:r>
      <w:r w:rsidR="00492394">
        <w:t>can be found in</w:t>
      </w:r>
      <w:r w:rsidR="00492394" w:rsidRPr="00492394">
        <w:t xml:space="preserve"> </w:t>
      </w:r>
      <w:r w:rsidR="00492394" w:rsidRPr="00D2612A">
        <w:rPr>
          <w:i/>
          <w:iCs/>
        </w:rPr>
        <w:t>Victims’ Rights in the Health System</w:t>
      </w:r>
      <w:r w:rsidR="00C26E42">
        <w:rPr>
          <w:i/>
          <w:iCs/>
        </w:rPr>
        <w:t>:</w:t>
      </w:r>
      <w:r w:rsidR="00492394" w:rsidRPr="00D2612A">
        <w:rPr>
          <w:i/>
          <w:iCs/>
        </w:rPr>
        <w:t xml:space="preserve"> Guidance for Directors of Area Mental Health Services, compulsory care coordinators, care managers, victim coordinators</w:t>
      </w:r>
      <w:r w:rsidR="00492394" w:rsidRPr="00492394">
        <w:t xml:space="preserve"> (Ministry of Health 2023</w:t>
      </w:r>
      <w:r w:rsidR="008A4CEF">
        <w:t>c</w:t>
      </w:r>
      <w:r w:rsidR="00492394" w:rsidRPr="00492394">
        <w:t>).</w:t>
      </w:r>
    </w:p>
    <w:p w14:paraId="6321194C" w14:textId="77777777" w:rsidR="00E40F6B" w:rsidRPr="006F3676" w:rsidRDefault="00E40F6B" w:rsidP="00D2612A"/>
    <w:p w14:paraId="12C03B84" w14:textId="3EF00BDF" w:rsidR="00330ADC" w:rsidRPr="00D85A4F" w:rsidRDefault="000D0B46" w:rsidP="00025FEB">
      <w:r>
        <w:t>V</w:t>
      </w:r>
      <w:r w:rsidR="00330ADC" w:rsidRPr="00330ADC">
        <w:t>ictims</w:t>
      </w:r>
      <w:r>
        <w:t>’</w:t>
      </w:r>
      <w:r w:rsidR="00330ADC" w:rsidRPr="00330ADC">
        <w:t xml:space="preserve"> privacy must be carefully protected; no person (including the Director or a DAMHS) may directly or indirectly disclose to </w:t>
      </w:r>
      <w:r w:rsidR="003F5DD0">
        <w:t>a</w:t>
      </w:r>
      <w:r w:rsidR="003F5DD0" w:rsidRPr="00330ADC">
        <w:t xml:space="preserve"> </w:t>
      </w:r>
      <w:r w:rsidR="00330ADC" w:rsidRPr="00330ADC">
        <w:t xml:space="preserve">special patient the current address or contact details of any victim. </w:t>
      </w:r>
    </w:p>
    <w:p w14:paraId="22D0882C" w14:textId="77777777" w:rsidR="00832DC1" w:rsidRPr="00D85A4F" w:rsidRDefault="00832DC1" w:rsidP="00025FEB"/>
    <w:p w14:paraId="22298AF5" w14:textId="565724E9" w:rsidR="00025FEB" w:rsidRPr="00D85A4F" w:rsidRDefault="00BB4DC3" w:rsidP="00025FEB">
      <w:r>
        <w:t xml:space="preserve">To help alleviate a registered victim’s concerns, </w:t>
      </w:r>
      <w:r w:rsidR="0032582F">
        <w:t xml:space="preserve">a </w:t>
      </w:r>
      <w:r w:rsidR="00025FEB" w:rsidRPr="00D85A4F">
        <w:t xml:space="preserve">DAMHS or responsible clinician can discuss with the special patient whether they consent for any additional information to be provided to the registered victim. </w:t>
      </w:r>
      <w:r w:rsidR="00707972">
        <w:t xml:space="preserve">In this case, the </w:t>
      </w:r>
      <w:r w:rsidR="00025FEB" w:rsidRPr="00D85A4F">
        <w:t xml:space="preserve">DAMHS </w:t>
      </w:r>
      <w:r w:rsidR="00707972">
        <w:t xml:space="preserve">or </w:t>
      </w:r>
      <w:r w:rsidR="00025FEB" w:rsidRPr="00D85A4F">
        <w:t xml:space="preserve">responsible clinician should consider </w:t>
      </w:r>
      <w:r w:rsidR="00025FEB">
        <w:t xml:space="preserve">how </w:t>
      </w:r>
      <w:r w:rsidR="00025FEB" w:rsidRPr="00D85A4F">
        <w:t xml:space="preserve">potential over-disclosure may affect </w:t>
      </w:r>
      <w:r w:rsidR="00025FEB">
        <w:t xml:space="preserve">the </w:t>
      </w:r>
      <w:r w:rsidR="00025FEB" w:rsidRPr="00D85A4F">
        <w:t>rehabilitation or reintegration of the special patient. Any additional disclosures should only be made with the special patient’s express consent.</w:t>
      </w:r>
      <w:r w:rsidR="00025FEB">
        <w:t xml:space="preserve"> Discussions about consent for sharing this information should be recorded in the relevant patient records.  </w:t>
      </w:r>
    </w:p>
    <w:p w14:paraId="2EC49459" w14:textId="77777777" w:rsidR="00025FEB" w:rsidRPr="00D85A4F" w:rsidRDefault="00025FEB" w:rsidP="00025FEB"/>
    <w:p w14:paraId="1B8416F8" w14:textId="77777777" w:rsidR="00025FEB" w:rsidRDefault="00025FEB" w:rsidP="00025FEB">
      <w:pPr>
        <w:sectPr w:rsidR="00025FEB" w:rsidSect="00BB4DC3">
          <w:pgSz w:w="11907" w:h="16834" w:code="9"/>
          <w:pgMar w:top="1418" w:right="1701" w:bottom="1134" w:left="1843" w:header="284" w:footer="425" w:gutter="284"/>
          <w:cols w:space="720"/>
        </w:sectPr>
      </w:pPr>
    </w:p>
    <w:p w14:paraId="3571F74B" w14:textId="77777777" w:rsidR="00025FEB" w:rsidRPr="00D85A4F" w:rsidRDefault="00025FEB" w:rsidP="00025FEB">
      <w:pPr>
        <w:pStyle w:val="Heading1"/>
      </w:pPr>
      <w:bookmarkStart w:id="273" w:name="_Toc83197095"/>
      <w:bookmarkStart w:id="274" w:name="_Toc112845482"/>
      <w:bookmarkStart w:id="275" w:name="_Toc112862086"/>
      <w:bookmarkStart w:id="276" w:name="_Toc180497438"/>
      <w:r w:rsidRPr="00D85A4F">
        <w:t>Incidents and reportable events</w:t>
      </w:r>
      <w:bookmarkEnd w:id="273"/>
      <w:bookmarkEnd w:id="274"/>
      <w:bookmarkEnd w:id="275"/>
      <w:bookmarkEnd w:id="276"/>
    </w:p>
    <w:p w14:paraId="7028D1DC" w14:textId="682FE0F3" w:rsidR="00025FEB" w:rsidRPr="00D85A4F" w:rsidRDefault="00025FEB" w:rsidP="00025FEB">
      <w:r>
        <w:t xml:space="preserve">Regional forensic mental health services should immediately advise the Director </w:t>
      </w:r>
      <w:r w:rsidR="777841A3">
        <w:t>or</w:t>
      </w:r>
      <w:r>
        <w:t xml:space="preserve"> Deputy Director by phone of adverse events involving special patients. Thereafter, they </w:t>
      </w:r>
      <w:r w:rsidR="001C4F98">
        <w:t xml:space="preserve">should upload </w:t>
      </w:r>
      <w:r>
        <w:t xml:space="preserve">a completed reportable event form </w:t>
      </w:r>
      <w:r w:rsidR="001C4F98">
        <w:t xml:space="preserve">to the documents </w:t>
      </w:r>
      <w:r w:rsidR="00CA18D6">
        <w:t>section of the special patient’s profile in</w:t>
      </w:r>
      <w:r w:rsidR="008C1065">
        <w:t xml:space="preserve"> the</w:t>
      </w:r>
      <w:r w:rsidR="00CA18D6">
        <w:t xml:space="preserve"> SPMS and notify </w:t>
      </w:r>
      <w:r>
        <w:t>the Office of the Director</w:t>
      </w:r>
      <w:r w:rsidR="00CA18D6">
        <w:t xml:space="preserve"> via email that this has been uploaded</w:t>
      </w:r>
      <w:r>
        <w:t>. Adverse events include:</w:t>
      </w:r>
    </w:p>
    <w:p w14:paraId="6907C80D" w14:textId="77777777" w:rsidR="00025FEB" w:rsidRPr="00D85A4F" w:rsidRDefault="00025FEB" w:rsidP="00D25422">
      <w:pPr>
        <w:pStyle w:val="Bullet"/>
      </w:pPr>
      <w:r w:rsidRPr="00D85A4F">
        <w:t>alleged offending</w:t>
      </w:r>
    </w:p>
    <w:p w14:paraId="6A92808C" w14:textId="3EA4B03D" w:rsidR="00025FEB" w:rsidRPr="00D85A4F" w:rsidRDefault="00025FEB" w:rsidP="00D25422">
      <w:pPr>
        <w:pStyle w:val="Bullet"/>
      </w:pPr>
      <w:r w:rsidRPr="00D85A4F">
        <w:t xml:space="preserve">attempted </w:t>
      </w:r>
      <w:r w:rsidR="00454BA9">
        <w:t xml:space="preserve">or </w:t>
      </w:r>
      <w:r w:rsidR="373E96DC">
        <w:t xml:space="preserve">suspected </w:t>
      </w:r>
      <w:r w:rsidRPr="00D85A4F">
        <w:t>suicide</w:t>
      </w:r>
    </w:p>
    <w:p w14:paraId="115A754C" w14:textId="77777777" w:rsidR="00025FEB" w:rsidRPr="00D85A4F" w:rsidRDefault="00025FEB" w:rsidP="00D25422">
      <w:pPr>
        <w:pStyle w:val="Bullet"/>
      </w:pPr>
      <w:r w:rsidRPr="00D85A4F">
        <w:t>absence without leave</w:t>
      </w:r>
    </w:p>
    <w:p w14:paraId="56529071" w14:textId="334FC52C" w:rsidR="00025FEB" w:rsidRPr="00D85A4F" w:rsidRDefault="00262710" w:rsidP="00D25422">
      <w:pPr>
        <w:pStyle w:val="Bullet"/>
      </w:pPr>
      <w:r>
        <w:t xml:space="preserve">an </w:t>
      </w:r>
      <w:r w:rsidR="00025FEB" w:rsidRPr="00D85A4F">
        <w:t>assault on or by the patient</w:t>
      </w:r>
    </w:p>
    <w:p w14:paraId="387C22DB" w14:textId="2B1735D8" w:rsidR="00025FEB" w:rsidRPr="00D85A4F" w:rsidRDefault="00025FEB" w:rsidP="00D25422">
      <w:pPr>
        <w:pStyle w:val="Bullet"/>
      </w:pPr>
      <w:r w:rsidRPr="00D85A4F">
        <w:t>possession of prohibited items</w:t>
      </w:r>
      <w:r w:rsidR="00221C05">
        <w:t>,</w:t>
      </w:r>
      <w:r w:rsidRPr="00D85A4F">
        <w:t xml:space="preserve"> including weapons</w:t>
      </w:r>
    </w:p>
    <w:p w14:paraId="0A2494B3" w14:textId="77777777" w:rsidR="006F0A4C" w:rsidRDefault="00025FEB" w:rsidP="00D25422">
      <w:pPr>
        <w:pStyle w:val="Bullet"/>
      </w:pPr>
      <w:r w:rsidRPr="00D85A4F">
        <w:t>significant breach of leave conditions (other than minor breaches, such as returning five minutes late)</w:t>
      </w:r>
    </w:p>
    <w:p w14:paraId="0D52034E" w14:textId="4F09EF6C" w:rsidR="00025FEB" w:rsidRPr="00D85A4F" w:rsidRDefault="001053FC" w:rsidP="00D25422">
      <w:pPr>
        <w:pStyle w:val="Bullet"/>
      </w:pPr>
      <w:r>
        <w:t xml:space="preserve">the </w:t>
      </w:r>
      <w:r w:rsidR="00701EBF">
        <w:t>death of the patient</w:t>
      </w:r>
      <w:r w:rsidR="2DC858BF">
        <w:t xml:space="preserve"> other than </w:t>
      </w:r>
      <w:r w:rsidR="066EB9F8">
        <w:t xml:space="preserve">suspected </w:t>
      </w:r>
      <w:r w:rsidR="29791E5A">
        <w:t>suicide</w:t>
      </w:r>
      <w:r w:rsidR="00025FEB" w:rsidRPr="00D85A4F">
        <w:t xml:space="preserve">. </w:t>
      </w:r>
    </w:p>
    <w:p w14:paraId="1E556F5A" w14:textId="77777777" w:rsidR="00025FEB" w:rsidRPr="00D85A4F" w:rsidRDefault="00025FEB" w:rsidP="00025FEB"/>
    <w:p w14:paraId="4E9D8305" w14:textId="0A0DF83C" w:rsidR="00025FEB" w:rsidRPr="00D85A4F" w:rsidRDefault="00025FEB" w:rsidP="00025FEB">
      <w:r w:rsidRPr="00D85A4F">
        <w:t>These reporting requirements do not limit other reporting requirements that may apply (</w:t>
      </w:r>
      <w:r w:rsidR="00C63DCD">
        <w:t>eg</w:t>
      </w:r>
      <w:r w:rsidRPr="00D85A4F">
        <w:t xml:space="preserve">, </w:t>
      </w:r>
      <w:r>
        <w:t xml:space="preserve">coronial or </w:t>
      </w:r>
      <w:r w:rsidRPr="00D85A4F">
        <w:t xml:space="preserve">WorkSafe reporting requirements </w:t>
      </w:r>
      <w:r w:rsidR="00143354">
        <w:t xml:space="preserve">and </w:t>
      </w:r>
      <w:r w:rsidRPr="00D85A4F">
        <w:t xml:space="preserve">the relevant </w:t>
      </w:r>
      <w:r w:rsidR="00C63DCD">
        <w:t>h</w:t>
      </w:r>
      <w:r w:rsidRPr="00D85A4F">
        <w:t xml:space="preserve">ospital's reporting requirements). </w:t>
      </w:r>
    </w:p>
    <w:p w14:paraId="0BB840EB" w14:textId="77777777" w:rsidR="00025FEB" w:rsidRPr="00D85A4F" w:rsidRDefault="00025FEB" w:rsidP="00025FEB"/>
    <w:p w14:paraId="369F32A4" w14:textId="77777777" w:rsidR="00025FEB" w:rsidRPr="00D85A4F" w:rsidRDefault="00025FEB" w:rsidP="00025FEB">
      <w:r>
        <w:t>Regional forensic mental health services should report a</w:t>
      </w:r>
      <w:r w:rsidRPr="00D85A4F">
        <w:t xml:space="preserve">ny potential media interest in a special patient </w:t>
      </w:r>
      <w:r>
        <w:t xml:space="preserve">to </w:t>
      </w:r>
      <w:r w:rsidRPr="00D85A4F">
        <w:t>the Office of the Director.</w:t>
      </w:r>
    </w:p>
    <w:p w14:paraId="14668B0F" w14:textId="77777777" w:rsidR="00025FEB" w:rsidRDefault="00025FEB" w:rsidP="00025FEB">
      <w:pPr>
        <w:sectPr w:rsidR="00025FEB" w:rsidSect="00BB4DC3">
          <w:pgSz w:w="11907" w:h="16834" w:code="9"/>
          <w:pgMar w:top="1418" w:right="1701" w:bottom="1134" w:left="1843" w:header="284" w:footer="425" w:gutter="284"/>
          <w:cols w:space="720"/>
        </w:sectPr>
      </w:pPr>
    </w:p>
    <w:p w14:paraId="3CF16AE2" w14:textId="77777777" w:rsidR="00025FEB" w:rsidRPr="00D85A4F" w:rsidRDefault="00025FEB" w:rsidP="00025FEB">
      <w:pPr>
        <w:pStyle w:val="Heading1"/>
      </w:pPr>
      <w:bookmarkStart w:id="277" w:name="_Toc112862087"/>
      <w:bookmarkStart w:id="278" w:name="_Toc180497439"/>
      <w:r w:rsidRPr="00D85A4F">
        <w:t>Contacting the Office of the Director of Mental Health</w:t>
      </w:r>
      <w:r>
        <w:t xml:space="preserve"> and Addiction</w:t>
      </w:r>
      <w:bookmarkEnd w:id="277"/>
      <w:bookmarkEnd w:id="278"/>
      <w:r>
        <w:t xml:space="preserve"> </w:t>
      </w:r>
    </w:p>
    <w:p w14:paraId="149E2EEE" w14:textId="54F8BDCF" w:rsidR="00025FEB" w:rsidRPr="00D85A4F" w:rsidRDefault="00025FEB" w:rsidP="00025FEB">
      <w:r w:rsidRPr="00D85A4F">
        <w:t>The Office of the Director has a dedicated email address for correspondence regarding special patients</w:t>
      </w:r>
      <w:r>
        <w:t>:</w:t>
      </w:r>
      <w:r w:rsidRPr="00D85A4F">
        <w:t xml:space="preserve"> </w:t>
      </w:r>
      <w:r w:rsidRPr="0030355B">
        <w:rPr>
          <w:rStyle w:val="Hyperlink"/>
          <w:b w:val="0"/>
        </w:rPr>
        <w:t>MentalHealth</w:t>
      </w:r>
      <w:hyperlink r:id="rId29" w:history="1">
        <w:r w:rsidRPr="00A55E3B">
          <w:rPr>
            <w:rStyle w:val="Hyperlink"/>
            <w:b w:val="0"/>
            <w:bCs/>
          </w:rPr>
          <w:t>Admin@health.govt.nz</w:t>
        </w:r>
      </w:hyperlink>
      <w:r w:rsidR="00851189" w:rsidRPr="00B24862">
        <w:rPr>
          <w:bCs/>
        </w:rPr>
        <w:t>.</w:t>
      </w:r>
      <w:r w:rsidRPr="0030355B">
        <w:rPr>
          <w:bCs/>
        </w:rPr>
        <w:t xml:space="preserve"> This is cleared several times each day.</w:t>
      </w:r>
    </w:p>
    <w:p w14:paraId="137B173D" w14:textId="77777777" w:rsidR="00025FEB" w:rsidRPr="00D85A4F" w:rsidRDefault="00025FEB" w:rsidP="00025FEB"/>
    <w:p w14:paraId="74372A2B" w14:textId="77777777" w:rsidR="00025FEB" w:rsidRPr="00D85A4F" w:rsidRDefault="00025FEB" w:rsidP="00025FEB">
      <w:r>
        <w:t>P</w:t>
      </w:r>
      <w:r w:rsidRPr="00D85A4F">
        <w:t>lease phone the Director or Deputy Director to advise of urgent requests for leave or reportable events.</w:t>
      </w:r>
    </w:p>
    <w:p w14:paraId="03599781" w14:textId="77777777" w:rsidR="00025FEB" w:rsidRPr="00D85A4F" w:rsidRDefault="00025FEB" w:rsidP="00025FEB"/>
    <w:p w14:paraId="1F15E849" w14:textId="77777777" w:rsidR="00025FEB" w:rsidRPr="00D85A4F" w:rsidRDefault="00025FEB" w:rsidP="00025FEB">
      <w:r w:rsidRPr="00D85A4F">
        <w:t xml:space="preserve">The Office of the Director has implemented a secure SPMS to store clinical details and reports </w:t>
      </w:r>
      <w:r>
        <w:t xml:space="preserve">and to </w:t>
      </w:r>
      <w:r w:rsidRPr="00D85A4F">
        <w:t xml:space="preserve">process special patient leave and transfer requests. </w:t>
      </w:r>
    </w:p>
    <w:p w14:paraId="267D09BE" w14:textId="77777777" w:rsidR="00025FEB" w:rsidRDefault="00025FEB" w:rsidP="00025FEB">
      <w:pPr>
        <w:sectPr w:rsidR="00025FEB" w:rsidSect="00BB4DC3">
          <w:pgSz w:w="11907" w:h="16834" w:code="9"/>
          <w:pgMar w:top="1418" w:right="1558" w:bottom="1134" w:left="1843" w:header="284" w:footer="425" w:gutter="284"/>
          <w:cols w:space="720"/>
        </w:sectPr>
      </w:pPr>
    </w:p>
    <w:p w14:paraId="25EB93F8" w14:textId="77777777" w:rsidR="00025FEB" w:rsidRPr="00025FEB" w:rsidRDefault="00025FEB" w:rsidP="00025FEB">
      <w:pPr>
        <w:pStyle w:val="Heading1-nonumbering"/>
      </w:pPr>
      <w:bookmarkStart w:id="279" w:name="_Toc377543414"/>
      <w:bookmarkStart w:id="280" w:name="_Toc441658610"/>
      <w:bookmarkStart w:id="281" w:name="_Toc83197097"/>
      <w:bookmarkStart w:id="282" w:name="_Toc112845484"/>
      <w:bookmarkStart w:id="283" w:name="_Toc112862088"/>
      <w:bookmarkStart w:id="284" w:name="_Toc180497440"/>
      <w:r w:rsidRPr="00025FEB">
        <w:t>References</w:t>
      </w:r>
      <w:bookmarkEnd w:id="279"/>
      <w:bookmarkEnd w:id="280"/>
      <w:bookmarkEnd w:id="281"/>
      <w:bookmarkEnd w:id="282"/>
      <w:bookmarkEnd w:id="283"/>
      <w:bookmarkEnd w:id="284"/>
    </w:p>
    <w:p w14:paraId="599851AE" w14:textId="7E0B1363" w:rsidR="00025FEB" w:rsidRPr="00911FEE" w:rsidRDefault="00025FEB" w:rsidP="00025FEB">
      <w:pPr>
        <w:pStyle w:val="References"/>
        <w:rPr>
          <w:iCs/>
        </w:rPr>
      </w:pPr>
      <w:r w:rsidRPr="00D85A4F">
        <w:t xml:space="preserve">Department of Corrections. 2017. </w:t>
      </w:r>
      <w:r w:rsidRPr="00D85A4F">
        <w:rPr>
          <w:i/>
        </w:rPr>
        <w:t>Custodial Practice Manual (CPM)</w:t>
      </w:r>
      <w:r w:rsidRPr="00C84E6C">
        <w:rPr>
          <w:iCs/>
        </w:rPr>
        <w:t>.</w:t>
      </w:r>
      <w:r w:rsidRPr="00D85A4F">
        <w:rPr>
          <w:i/>
        </w:rPr>
        <w:t xml:space="preserve"> </w:t>
      </w:r>
      <w:r>
        <w:t xml:space="preserve">Wellington: Department of Corrections. </w:t>
      </w:r>
    </w:p>
    <w:p w14:paraId="43827014" w14:textId="1519D0C9" w:rsidR="00025FEB" w:rsidRPr="00C32844" w:rsidRDefault="00025FEB" w:rsidP="00025FEB">
      <w:pPr>
        <w:pStyle w:val="References"/>
      </w:pPr>
      <w:r w:rsidRPr="00C32844">
        <w:t xml:space="preserve">Government Inquiry into Mental Health and Addiction. 2018. </w:t>
      </w:r>
      <w:r w:rsidRPr="00C32844">
        <w:rPr>
          <w:i/>
          <w:iCs/>
        </w:rPr>
        <w:t>He Ara Oranga: Report of the Government Inquiry into Mental Health and Addiction</w:t>
      </w:r>
      <w:r w:rsidRPr="00C32844">
        <w:t xml:space="preserve">. Wellington: Government Inquiry into Mental Health and Addiction. </w:t>
      </w:r>
    </w:p>
    <w:p w14:paraId="2789D578" w14:textId="692DD167" w:rsidR="004C4884" w:rsidRDefault="00025FEB" w:rsidP="004C4884">
      <w:pPr>
        <w:pStyle w:val="References"/>
      </w:pPr>
      <w:r w:rsidRPr="00D85A4F">
        <w:t xml:space="preserve">Ministry of Health. 1988. </w:t>
      </w:r>
      <w:r w:rsidRPr="00D85A4F">
        <w:rPr>
          <w:i/>
        </w:rPr>
        <w:t>Report of the Committee of Inquiry into Procedures Used in Certain Psychiatric Hospitals in Relation to Admission, Discharge or Release on Leave of Certain Classes of Patients</w:t>
      </w:r>
      <w:r w:rsidRPr="00D85A4F">
        <w:t>. Wellington: Ministry of Health.</w:t>
      </w:r>
    </w:p>
    <w:p w14:paraId="738D023B" w14:textId="0D162124" w:rsidR="00025FEB" w:rsidRDefault="00025FEB" w:rsidP="00025FEB">
      <w:pPr>
        <w:pStyle w:val="References"/>
      </w:pPr>
      <w:r>
        <w:t>Ministry of Health. 2020</w:t>
      </w:r>
      <w:r w:rsidR="00881FFD">
        <w:t>a</w:t>
      </w:r>
      <w:r>
        <w:t xml:space="preserve">. </w:t>
      </w:r>
      <w:r w:rsidRPr="006407CF">
        <w:rPr>
          <w:i/>
          <w:iCs/>
        </w:rPr>
        <w:t>Human Rights and the Mental Health (Compulsory Assessment and Treatment) Act 1992</w:t>
      </w:r>
      <w:r>
        <w:t xml:space="preserve">. Wellington: Ministry of Health. </w:t>
      </w:r>
    </w:p>
    <w:p w14:paraId="039B8A12" w14:textId="0D037E87" w:rsidR="00025FEB" w:rsidRPr="0030355B" w:rsidRDefault="00025FEB" w:rsidP="00025FEB">
      <w:pPr>
        <w:pStyle w:val="References"/>
      </w:pPr>
      <w:r w:rsidRPr="00D85A4F">
        <w:t>Ministry of Health</w:t>
      </w:r>
      <w:r>
        <w:t>. 2020</w:t>
      </w:r>
      <w:r w:rsidR="0054093E">
        <w:t>b</w:t>
      </w:r>
      <w:r>
        <w:t xml:space="preserve">. The </w:t>
      </w:r>
      <w:r w:rsidRPr="00D85A4F">
        <w:t xml:space="preserve">Mental Health Act </w:t>
      </w:r>
      <w:r>
        <w:t>– g</w:t>
      </w:r>
      <w:r w:rsidRPr="00D85A4F">
        <w:t xml:space="preserve">uidelines and </w:t>
      </w:r>
      <w:r>
        <w:t>r</w:t>
      </w:r>
      <w:r w:rsidRPr="00D85A4F">
        <w:t>esources</w:t>
      </w:r>
      <w:r>
        <w:t>. URL:</w:t>
      </w:r>
      <w:r w:rsidRPr="00D85A4F">
        <w:t xml:space="preserve"> </w:t>
      </w:r>
      <w:hyperlink r:id="rId30" w:history="1">
        <w:r w:rsidRPr="00D85A4F">
          <w:rPr>
            <w:rStyle w:val="Hyperlink"/>
          </w:rPr>
          <w:t>www.health.govt.nz/our-work/mental-health-and-addiction/mental-health-legislation/mental-health-compulsory-assessment-and-treatment-act-1992/mental-health-act-guidelines-and-resources</w:t>
        </w:r>
      </w:hyperlink>
      <w:r>
        <w:rPr>
          <w:rStyle w:val="Hyperlink"/>
        </w:rPr>
        <w:t xml:space="preserve"> </w:t>
      </w:r>
      <w:r w:rsidRPr="0030355B">
        <w:t xml:space="preserve">(accessed </w:t>
      </w:r>
      <w:r w:rsidR="00DA0A7E" w:rsidRPr="0030355B">
        <w:t xml:space="preserve">30 May </w:t>
      </w:r>
      <w:r w:rsidRPr="0030355B">
        <w:t>2022).</w:t>
      </w:r>
    </w:p>
    <w:p w14:paraId="010C991A" w14:textId="5E122A4C" w:rsidR="00025FEB" w:rsidRDefault="00025FEB" w:rsidP="00025FEB">
      <w:pPr>
        <w:pStyle w:val="References"/>
      </w:pPr>
      <w:r>
        <w:t>Ministry of Health. 2022</w:t>
      </w:r>
      <w:r w:rsidR="001D5937">
        <w:t>a</w:t>
      </w:r>
      <w:r>
        <w:t xml:space="preserve">. </w:t>
      </w:r>
      <w:r w:rsidRPr="00D85A4F">
        <w:rPr>
          <w:i/>
          <w:iCs/>
        </w:rPr>
        <w:t>Guidelines for the Role and Function of Statutory Officers: Appointed under the Mental Health (Compulsory Assessment and Treatment) Act 1992</w:t>
      </w:r>
      <w:r>
        <w:t>. Wellington: Ministry of Health.</w:t>
      </w:r>
    </w:p>
    <w:p w14:paraId="2661ECD7" w14:textId="1E5CA732" w:rsidR="00A44AD0" w:rsidRDefault="00A44AD0" w:rsidP="00A44AD0">
      <w:pPr>
        <w:pStyle w:val="References"/>
      </w:pPr>
      <w:bookmarkStart w:id="285" w:name="_Hlk167974376"/>
      <w:r w:rsidRPr="004C4884">
        <w:t>Ministry of Health. 2022</w:t>
      </w:r>
      <w:r>
        <w:t>b</w:t>
      </w:r>
      <w:r w:rsidRPr="004C4884">
        <w:t xml:space="preserve">. </w:t>
      </w:r>
      <w:r w:rsidRPr="00780352">
        <w:rPr>
          <w:i/>
          <w:iCs/>
        </w:rPr>
        <w:t>Guidelines for the Safe Transport of Special Patients in the Care of Regional Forensic Mental Health Services</w:t>
      </w:r>
      <w:bookmarkEnd w:id="285"/>
      <w:r w:rsidRPr="004C4884">
        <w:t>. Wellington: Ministry of Health.</w:t>
      </w:r>
      <w:r>
        <w:t xml:space="preserve"> </w:t>
      </w:r>
    </w:p>
    <w:p w14:paraId="24EE0A8D" w14:textId="7B1F54E2" w:rsidR="001D5937" w:rsidRPr="00D85A4F" w:rsidRDefault="001D5937" w:rsidP="001D5937">
      <w:pPr>
        <w:pStyle w:val="References"/>
      </w:pPr>
      <w:r>
        <w:t>Ministry of Health. 2022</w:t>
      </w:r>
      <w:r w:rsidR="00A44AD0">
        <w:t>c</w:t>
      </w:r>
      <w:r>
        <w:t xml:space="preserve">. </w:t>
      </w:r>
      <w:r w:rsidRPr="0030355B">
        <w:rPr>
          <w:i/>
          <w:iCs/>
        </w:rPr>
        <w:t>Guidelines to the Mental Health (Compulsory Assessment and Treatment) Act 1992</w:t>
      </w:r>
      <w:r>
        <w:t xml:space="preserve">. Wellington: Ministry of Health. </w:t>
      </w:r>
    </w:p>
    <w:p w14:paraId="138B8002" w14:textId="0EB6FBE8" w:rsidR="00A44AD0" w:rsidRDefault="00A44AD0" w:rsidP="00A44AD0">
      <w:pPr>
        <w:pStyle w:val="References"/>
      </w:pPr>
      <w:r>
        <w:t xml:space="preserve">Ministry of Health. 2023a. </w:t>
      </w:r>
      <w:r w:rsidRPr="0030355B">
        <w:rPr>
          <w:i/>
          <w:iCs/>
        </w:rPr>
        <w:t>Guidelines for Reducing and Eliminating Seclusion and Restraint Under the Mental Health (Compulsory Assessment and Treatment) Act 1992</w:t>
      </w:r>
      <w:r>
        <w:t xml:space="preserve">. Wellington: Ministry of Health. </w:t>
      </w:r>
    </w:p>
    <w:p w14:paraId="4C5058D3" w14:textId="7418F151" w:rsidR="008A4CEF" w:rsidRDefault="008A4CEF" w:rsidP="00025FEB">
      <w:pPr>
        <w:pStyle w:val="References"/>
      </w:pPr>
      <w:r w:rsidRPr="00140223">
        <w:t xml:space="preserve">Ministry of </w:t>
      </w:r>
      <w:r w:rsidRPr="008A4CEF">
        <w:t>Health. 2023</w:t>
      </w:r>
      <w:r>
        <w:t>b</w:t>
      </w:r>
      <w:r w:rsidRPr="008A4CEF">
        <w:t xml:space="preserve">. </w:t>
      </w:r>
      <w:r w:rsidRPr="008A4CEF">
        <w:rPr>
          <w:i/>
        </w:rPr>
        <w:t>Office</w:t>
      </w:r>
      <w:r w:rsidRPr="00140223">
        <w:rPr>
          <w:i/>
        </w:rPr>
        <w:t xml:space="preserve"> of the Director of Mental Health and Addiction Services Regulatory Report</w:t>
      </w:r>
      <w:r>
        <w:rPr>
          <w:i/>
        </w:rPr>
        <w:t xml:space="preserve"> 1 July 2021 to 30 June 2022</w:t>
      </w:r>
      <w:r w:rsidRPr="00140223">
        <w:t>. Wellington: Ministry of Health.</w:t>
      </w:r>
    </w:p>
    <w:p w14:paraId="0BFDE712" w14:textId="6A30C6AE" w:rsidR="006C609B" w:rsidRDefault="006C609B" w:rsidP="00025FEB">
      <w:pPr>
        <w:pStyle w:val="References"/>
      </w:pPr>
      <w:r w:rsidRPr="006C609B">
        <w:t>Ministry of Health. 2023</w:t>
      </w:r>
      <w:r w:rsidR="008A4CEF">
        <w:t>c</w:t>
      </w:r>
      <w:r w:rsidRPr="006C609B">
        <w:t xml:space="preserve">. </w:t>
      </w:r>
      <w:r w:rsidRPr="00A55E3B">
        <w:rPr>
          <w:i/>
          <w:iCs/>
        </w:rPr>
        <w:t>Victims’ Rights in the Health System: Guidance for Directors of Area Mental Health Services, compulsory care coordinators, care managers, victim coordinators.</w:t>
      </w:r>
      <w:r w:rsidRPr="006C609B">
        <w:t xml:space="preserve"> Wellington: Ministry of Health.</w:t>
      </w:r>
    </w:p>
    <w:p w14:paraId="2EC89B17" w14:textId="77777777" w:rsidR="00025FEB" w:rsidRDefault="00025FEB" w:rsidP="00025FEB">
      <w:pPr>
        <w:sectPr w:rsidR="00025FEB" w:rsidSect="00BB4DC3">
          <w:pgSz w:w="11907" w:h="16834" w:code="9"/>
          <w:pgMar w:top="1418" w:right="1558" w:bottom="1134" w:left="1843" w:header="284" w:footer="425" w:gutter="284"/>
          <w:cols w:space="720"/>
        </w:sectPr>
      </w:pPr>
    </w:p>
    <w:p w14:paraId="60F27D5F" w14:textId="77777777" w:rsidR="00025FEB" w:rsidRPr="00025FEB" w:rsidRDefault="00025FEB" w:rsidP="00025FEB">
      <w:pPr>
        <w:pStyle w:val="Heading1-nonumbering"/>
        <w:rPr>
          <w:sz w:val="60"/>
          <w:szCs w:val="60"/>
        </w:rPr>
      </w:pPr>
      <w:bookmarkStart w:id="286" w:name="_Toc377543415"/>
      <w:bookmarkStart w:id="287" w:name="_Toc441658611"/>
      <w:bookmarkStart w:id="288" w:name="_Toc83197098"/>
      <w:bookmarkStart w:id="289" w:name="_Toc112845485"/>
      <w:bookmarkStart w:id="290" w:name="_Toc112862089"/>
      <w:bookmarkStart w:id="291" w:name="_Toc180497441"/>
      <w:r w:rsidRPr="00025FEB">
        <w:rPr>
          <w:sz w:val="60"/>
          <w:szCs w:val="60"/>
        </w:rPr>
        <w:t>Appendix 1: Useful resources</w:t>
      </w:r>
      <w:bookmarkEnd w:id="286"/>
      <w:bookmarkEnd w:id="287"/>
      <w:bookmarkEnd w:id="288"/>
      <w:bookmarkEnd w:id="289"/>
      <w:bookmarkEnd w:id="290"/>
      <w:bookmarkEnd w:id="291"/>
    </w:p>
    <w:p w14:paraId="51C0924F" w14:textId="77777777" w:rsidR="00025FEB" w:rsidRDefault="00025FEB" w:rsidP="00025FEB">
      <w:pPr>
        <w:pStyle w:val="Heading2"/>
        <w:numPr>
          <w:ilvl w:val="0"/>
          <w:numId w:val="0"/>
        </w:numPr>
        <w:spacing w:before="360" w:after="240"/>
        <w:ind w:left="1134" w:hanging="1134"/>
      </w:pPr>
      <w:bookmarkStart w:id="292" w:name="_Toc441658612"/>
      <w:bookmarkStart w:id="293" w:name="_Toc83197099"/>
      <w:bookmarkStart w:id="294" w:name="_Toc112845486"/>
      <w:bookmarkStart w:id="295" w:name="_Toc112862090"/>
      <w:bookmarkStart w:id="296" w:name="_Toc180497442"/>
      <w:r w:rsidRPr="00D85A4F">
        <w:t>Published documents</w:t>
      </w:r>
      <w:bookmarkEnd w:id="292"/>
      <w:bookmarkEnd w:id="293"/>
      <w:bookmarkEnd w:id="294"/>
      <w:bookmarkEnd w:id="295"/>
      <w:bookmarkEnd w:id="296"/>
    </w:p>
    <w:p w14:paraId="63B9B0A5" w14:textId="77777777" w:rsidR="00025FEB" w:rsidRPr="003D5EF3" w:rsidRDefault="00025FEB" w:rsidP="00025FEB">
      <w:r>
        <w:t>The following published documents provide useful information:</w:t>
      </w:r>
    </w:p>
    <w:p w14:paraId="44074BA8" w14:textId="7B75729F" w:rsidR="00025FEB" w:rsidRPr="00D85A4F" w:rsidRDefault="004C4884" w:rsidP="00D25422">
      <w:pPr>
        <w:pStyle w:val="Bullet"/>
      </w:pPr>
      <w:r w:rsidRPr="004C4884">
        <w:t>Guidelines to the Mental Health (Compulsory Assessment and Treatment) Act 1992</w:t>
      </w:r>
      <w:r>
        <w:t xml:space="preserve"> </w:t>
      </w:r>
      <w:r w:rsidR="00025FEB" w:rsidRPr="00D85A4F">
        <w:t xml:space="preserve">(Ministry of Health </w:t>
      </w:r>
      <w:r w:rsidRPr="00D85A4F">
        <w:t>202</w:t>
      </w:r>
      <w:r>
        <w:t>2</w:t>
      </w:r>
      <w:r w:rsidR="00765FD2">
        <w:t>c</w:t>
      </w:r>
      <w:r w:rsidR="00025FEB" w:rsidRPr="00D85A4F">
        <w:t>)</w:t>
      </w:r>
    </w:p>
    <w:p w14:paraId="66EE5587" w14:textId="6B2C79AB" w:rsidR="00025FEB" w:rsidRPr="00D85A4F" w:rsidRDefault="00025FEB" w:rsidP="00D25422">
      <w:pPr>
        <w:pStyle w:val="Bullet"/>
      </w:pPr>
      <w:r w:rsidRPr="00C84E6C">
        <w:t>Guidelines for the Role and Function of Statutory Officers: Appointed under the Mental Health (Compulsory Assessment and Treatment) Act 1992</w:t>
      </w:r>
      <w:r w:rsidRPr="00D85A4F">
        <w:t xml:space="preserve"> (Ministry of Health 202</w:t>
      </w:r>
      <w:r>
        <w:t>2</w:t>
      </w:r>
      <w:r w:rsidR="00F76945">
        <w:t>a</w:t>
      </w:r>
      <w:r w:rsidRPr="00D85A4F">
        <w:t>)</w:t>
      </w:r>
    </w:p>
    <w:p w14:paraId="605412A7" w14:textId="1437871A" w:rsidR="00025FEB" w:rsidRDefault="00025FEB" w:rsidP="00D25422">
      <w:pPr>
        <w:pStyle w:val="Bullet"/>
      </w:pPr>
      <w:r w:rsidRPr="00C84E6C">
        <w:t>Office of the Director of Mental Health and Addiction Services Regulatory Report</w:t>
      </w:r>
      <w:r w:rsidR="00BA159F">
        <w:t xml:space="preserve"> 1 July 2021 to 30 June 2022</w:t>
      </w:r>
      <w:r w:rsidRPr="00EC4D90">
        <w:t xml:space="preserve"> </w:t>
      </w:r>
      <w:r w:rsidR="00D958CE">
        <w:t>(</w:t>
      </w:r>
      <w:r w:rsidRPr="00EC4D90">
        <w:t>Ministry of Health</w:t>
      </w:r>
      <w:r w:rsidR="00D958CE">
        <w:t xml:space="preserve"> 2023b)</w:t>
      </w:r>
    </w:p>
    <w:p w14:paraId="145C7F1E" w14:textId="6D5454F7" w:rsidR="00025FEB" w:rsidRPr="00C84E6C" w:rsidRDefault="00025FEB" w:rsidP="00D25422">
      <w:pPr>
        <w:pStyle w:val="Bullet"/>
      </w:pPr>
      <w:r w:rsidRPr="00322189">
        <w:t xml:space="preserve">NZS 8134:2021 Ngā </w:t>
      </w:r>
      <w:r w:rsidR="001F50F5">
        <w:t>P</w:t>
      </w:r>
      <w:r w:rsidRPr="00322189">
        <w:t>aerewa Health and disability services standard</w:t>
      </w:r>
      <w:r>
        <w:t xml:space="preserve"> </w:t>
      </w:r>
    </w:p>
    <w:p w14:paraId="3B854B56" w14:textId="741BFD02" w:rsidR="00025FEB" w:rsidRPr="00D85A4F" w:rsidRDefault="004C4884" w:rsidP="00D25422">
      <w:pPr>
        <w:pStyle w:val="Bullet"/>
      </w:pPr>
      <w:r w:rsidRPr="004C4884">
        <w:t xml:space="preserve">Guidelines for </w:t>
      </w:r>
      <w:r w:rsidR="00946B29">
        <w:t>R</w:t>
      </w:r>
      <w:r w:rsidRPr="004C4884">
        <w:t xml:space="preserve">educing and </w:t>
      </w:r>
      <w:r w:rsidR="00946B29">
        <w:t>E</w:t>
      </w:r>
      <w:r w:rsidRPr="004C4884">
        <w:t xml:space="preserve">liminating </w:t>
      </w:r>
      <w:r w:rsidR="00946B29">
        <w:t>S</w:t>
      </w:r>
      <w:r w:rsidRPr="004C4884">
        <w:t xml:space="preserve">eclusion and </w:t>
      </w:r>
      <w:r w:rsidR="00946B29">
        <w:t>R</w:t>
      </w:r>
      <w:r w:rsidRPr="004C4884">
        <w:t>estraint under the Mental Health (Compulsory Assessment and Treatment) Act 1992</w:t>
      </w:r>
      <w:r w:rsidR="00025FEB" w:rsidRPr="00D85A4F">
        <w:t xml:space="preserve"> (Ministry of Health </w:t>
      </w:r>
      <w:r w:rsidRPr="00D85A4F">
        <w:t>20</w:t>
      </w:r>
      <w:r>
        <w:t>23</w:t>
      </w:r>
      <w:r w:rsidR="00946B29">
        <w:t>a</w:t>
      </w:r>
      <w:r w:rsidR="00025FEB" w:rsidRPr="00D85A4F">
        <w:t>)</w:t>
      </w:r>
    </w:p>
    <w:p w14:paraId="03A7E6E1" w14:textId="70C62EF5" w:rsidR="00025FEB" w:rsidRPr="00D85A4F" w:rsidRDefault="00DE0ED0" w:rsidP="00D25422">
      <w:pPr>
        <w:pStyle w:val="Bullet"/>
      </w:pPr>
      <w:r w:rsidRPr="00DE0ED0">
        <w:t>Victims’ Rights in the Health System: Guidance for Directors of Area Mental Health Services, compulsory care coordinators, care managers, victim coordinators</w:t>
      </w:r>
      <w:r w:rsidRPr="00DE0ED0" w:rsidDel="00DE0ED0">
        <w:t xml:space="preserve"> </w:t>
      </w:r>
      <w:r w:rsidR="00025FEB">
        <w:t xml:space="preserve">(Ministry of Health </w:t>
      </w:r>
      <w:r>
        <w:t>2023</w:t>
      </w:r>
      <w:r w:rsidR="008A4CEF">
        <w:t>c</w:t>
      </w:r>
      <w:r w:rsidR="00025FEB">
        <w:t>).</w:t>
      </w:r>
    </w:p>
    <w:p w14:paraId="5B5107E6" w14:textId="7E04694E" w:rsidR="00025FEB" w:rsidRPr="00D85A4F" w:rsidRDefault="00D21C75" w:rsidP="00025FEB">
      <w:pPr>
        <w:pStyle w:val="Heading2"/>
        <w:numPr>
          <w:ilvl w:val="0"/>
          <w:numId w:val="0"/>
        </w:numPr>
        <w:spacing w:before="360" w:after="240"/>
        <w:ind w:left="1134" w:hanging="1134"/>
      </w:pPr>
      <w:bookmarkStart w:id="297" w:name="_Toc441658613"/>
      <w:bookmarkStart w:id="298" w:name="_Toc83197100"/>
      <w:bookmarkStart w:id="299" w:name="_Toc112845487"/>
      <w:bookmarkStart w:id="300" w:name="_Toc112862091"/>
      <w:bookmarkStart w:id="301" w:name="_Toc180497443"/>
      <w:r>
        <w:t xml:space="preserve">Sample forms </w:t>
      </w:r>
      <w:r w:rsidR="00025FEB" w:rsidRPr="00D85A4F">
        <w:t>and checklists</w:t>
      </w:r>
      <w:bookmarkEnd w:id="297"/>
      <w:bookmarkEnd w:id="298"/>
      <w:bookmarkEnd w:id="299"/>
      <w:bookmarkEnd w:id="300"/>
      <w:bookmarkEnd w:id="301"/>
    </w:p>
    <w:p w14:paraId="4EA8EB4E" w14:textId="292ECA1F" w:rsidR="00025FEB" w:rsidRPr="00D85A4F" w:rsidRDefault="00025FEB" w:rsidP="00025FEB">
      <w:r>
        <w:t>T</w:t>
      </w:r>
      <w:r w:rsidRPr="00D85A4F">
        <w:t>he following pages</w:t>
      </w:r>
      <w:r>
        <w:t xml:space="preserve"> comprise sample </w:t>
      </w:r>
      <w:r w:rsidRPr="00D85A4F">
        <w:t>forms for use in the situations specified</w:t>
      </w:r>
      <w:r w:rsidR="008E1162">
        <w:t xml:space="preserve">. </w:t>
      </w:r>
    </w:p>
    <w:p w14:paraId="4157E6A1" w14:textId="77777777" w:rsidR="00025FEB" w:rsidRPr="00D85A4F" w:rsidRDefault="00025FEB" w:rsidP="00D25422">
      <w:pPr>
        <w:pStyle w:val="Bullet"/>
      </w:pPr>
      <w:r w:rsidRPr="00D85A4F">
        <w:t xml:space="preserve">a sample summary sheet for </w:t>
      </w:r>
      <w:r>
        <w:t xml:space="preserve">SPRP </w:t>
      </w:r>
      <w:r w:rsidRPr="00D85A4F">
        <w:t>reports</w:t>
      </w:r>
    </w:p>
    <w:p w14:paraId="6437796A" w14:textId="030CC4DB" w:rsidR="00025FEB" w:rsidRPr="00D85A4F" w:rsidRDefault="005F7693" w:rsidP="00D25422">
      <w:pPr>
        <w:pStyle w:val="Bullet"/>
      </w:pPr>
      <w:r>
        <w:t>a form recording c</w:t>
      </w:r>
      <w:r w:rsidRPr="005F7693">
        <w:t xml:space="preserve">onsent to </w:t>
      </w:r>
      <w:r w:rsidR="00025FEB" w:rsidRPr="00D85A4F">
        <w:t>voluntary admission and treatment while on ministerial long leave</w:t>
      </w:r>
    </w:p>
    <w:p w14:paraId="3F39C9EC" w14:textId="42E7B1BF" w:rsidR="00025FEB" w:rsidRPr="00D85A4F" w:rsidRDefault="00025FEB" w:rsidP="00D25422">
      <w:pPr>
        <w:pStyle w:val="Bullet"/>
      </w:pPr>
      <w:r w:rsidRPr="00D85A4F">
        <w:t xml:space="preserve">a checklist for </w:t>
      </w:r>
      <w:r w:rsidR="004975BE">
        <w:t xml:space="preserve">applications for </w:t>
      </w:r>
      <w:r w:rsidRPr="00D85A4F">
        <w:t>short leave</w:t>
      </w:r>
    </w:p>
    <w:p w14:paraId="27044A96" w14:textId="1EF0DFDE" w:rsidR="00025FEB" w:rsidRPr="00D85A4F" w:rsidRDefault="00025FEB" w:rsidP="00D25422">
      <w:pPr>
        <w:pStyle w:val="Bullet"/>
      </w:pPr>
      <w:r w:rsidRPr="00D85A4F">
        <w:t xml:space="preserve">a checklist for </w:t>
      </w:r>
      <w:r w:rsidR="004975BE">
        <w:t xml:space="preserve">applications for </w:t>
      </w:r>
      <w:r w:rsidRPr="00D85A4F">
        <w:t>ministerial long leave</w:t>
      </w:r>
    </w:p>
    <w:p w14:paraId="36FCFCD9" w14:textId="474EB929" w:rsidR="00025FEB" w:rsidRPr="00D85A4F" w:rsidRDefault="00025FEB" w:rsidP="00D25422">
      <w:pPr>
        <w:pStyle w:val="Bullet"/>
      </w:pPr>
      <w:bookmarkStart w:id="302" w:name="_Hlk110843700"/>
      <w:r w:rsidRPr="00D85A4F">
        <w:t xml:space="preserve">a checklist for </w:t>
      </w:r>
      <w:r w:rsidR="000C4A70">
        <w:t xml:space="preserve">applications for </w:t>
      </w:r>
      <w:r w:rsidRPr="00D85A4F">
        <w:t xml:space="preserve">change of status: patients acquitted on </w:t>
      </w:r>
      <w:r>
        <w:t>account</w:t>
      </w:r>
      <w:r w:rsidRPr="00D85A4F">
        <w:t xml:space="preserve"> of insanity</w:t>
      </w:r>
    </w:p>
    <w:p w14:paraId="227CD864" w14:textId="6DFD4A6B" w:rsidR="00025FEB" w:rsidRPr="00D85A4F" w:rsidRDefault="00025FEB" w:rsidP="00D25422">
      <w:pPr>
        <w:pStyle w:val="Bullet"/>
      </w:pPr>
      <w:r w:rsidRPr="00D85A4F">
        <w:t xml:space="preserve">a checklist for </w:t>
      </w:r>
      <w:r w:rsidR="0049107A">
        <w:t xml:space="preserve">applications for </w:t>
      </w:r>
      <w:r w:rsidRPr="00D85A4F">
        <w:t>change of status: patients found unfit to stand trial</w:t>
      </w:r>
    </w:p>
    <w:p w14:paraId="2A8639B7" w14:textId="45DD140F" w:rsidR="00025FEB" w:rsidRPr="00D85A4F" w:rsidRDefault="00025FEB" w:rsidP="00D25422">
      <w:pPr>
        <w:pStyle w:val="Bullet"/>
      </w:pPr>
      <w:r w:rsidRPr="00D85A4F">
        <w:t xml:space="preserve">a checklist for </w:t>
      </w:r>
      <w:r w:rsidR="00CF3DCA">
        <w:t xml:space="preserve">applications for </w:t>
      </w:r>
      <w:r w:rsidRPr="00D85A4F">
        <w:t>change of status: restricted patients</w:t>
      </w:r>
    </w:p>
    <w:p w14:paraId="7A60DC98" w14:textId="5375AB6D" w:rsidR="00025FEB" w:rsidRDefault="00025FEB" w:rsidP="00D25422">
      <w:pPr>
        <w:pStyle w:val="Bullet"/>
      </w:pPr>
      <w:r w:rsidRPr="00D85A4F">
        <w:t xml:space="preserve">a reportable event </w:t>
      </w:r>
      <w:r w:rsidR="0057584B">
        <w:t xml:space="preserve">notification </w:t>
      </w:r>
      <w:r w:rsidRPr="00D85A4F">
        <w:t>form</w:t>
      </w:r>
      <w:bookmarkEnd w:id="302"/>
    </w:p>
    <w:p w14:paraId="70FBBF7B" w14:textId="4BD58B83" w:rsidR="00025FEB" w:rsidRPr="0049504B" w:rsidRDefault="0057584B" w:rsidP="00D25422">
      <w:pPr>
        <w:pStyle w:val="Bullet"/>
      </w:pPr>
      <w:r>
        <w:t xml:space="preserve">an </w:t>
      </w:r>
      <w:r w:rsidR="00025FEB">
        <w:t>e</w:t>
      </w:r>
      <w:r w:rsidR="00025FEB" w:rsidRPr="0049504B">
        <w:t xml:space="preserve">mergency </w:t>
      </w:r>
      <w:r w:rsidR="00CB45F0">
        <w:t>b</w:t>
      </w:r>
      <w:r w:rsidR="00025FEB" w:rsidRPr="0049504B">
        <w:t>order alert form.</w:t>
      </w:r>
    </w:p>
    <w:p w14:paraId="04EDD317" w14:textId="77777777" w:rsidR="00025FEB" w:rsidRDefault="00025FEB" w:rsidP="00025FEB"/>
    <w:p w14:paraId="32C7C125" w14:textId="5FF49E12" w:rsidR="00025FEB" w:rsidRDefault="00025FEB" w:rsidP="00025FEB">
      <w:pPr>
        <w:sectPr w:rsidR="00025FEB" w:rsidSect="00BB4DC3">
          <w:pgSz w:w="11907" w:h="16834" w:code="9"/>
          <w:pgMar w:top="1418" w:right="1558" w:bottom="1134" w:left="1843" w:header="284" w:footer="425" w:gutter="284"/>
          <w:cols w:space="720"/>
        </w:sectPr>
      </w:pPr>
    </w:p>
    <w:tbl>
      <w:tblPr>
        <w:tblStyle w:val="TableGrid"/>
        <w:tblW w:w="1077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222"/>
        <w:gridCol w:w="2552"/>
      </w:tblGrid>
      <w:tr w:rsidR="00025FEB" w:rsidRPr="00D85A4F" w14:paraId="3928C421" w14:textId="77777777" w:rsidTr="00BB4DC3">
        <w:trPr>
          <w:cantSplit/>
          <w:trHeight w:val="253"/>
        </w:trPr>
        <w:tc>
          <w:tcPr>
            <w:tcW w:w="8222" w:type="dxa"/>
            <w:vAlign w:val="center"/>
          </w:tcPr>
          <w:p w14:paraId="34496D3A" w14:textId="77777777" w:rsidR="00025FEB" w:rsidRPr="00D85A4F" w:rsidRDefault="00025FEB" w:rsidP="00BB4DC3">
            <w:pPr>
              <w:ind w:left="-57"/>
              <w:rPr>
                <w:rFonts w:ascii="Arial" w:hAnsi="Arial" w:cs="Arial"/>
                <w:i/>
                <w:noProof/>
                <w:sz w:val="36"/>
                <w:szCs w:val="36"/>
                <w:lang w:eastAsia="en-NZ"/>
              </w:rPr>
            </w:pPr>
            <w:bookmarkStart w:id="303" w:name="_Hlk112860082"/>
            <w:r w:rsidRPr="00D85A4F">
              <w:rPr>
                <w:rFonts w:ascii="Arial" w:hAnsi="Arial" w:cs="Arial"/>
                <w:b/>
                <w:sz w:val="36"/>
                <w:szCs w:val="36"/>
              </w:rPr>
              <w:t>Sample summary sheet for</w:t>
            </w:r>
            <w:r w:rsidRPr="00D85A4F">
              <w:rPr>
                <w:rFonts w:ascii="Arial" w:hAnsi="Arial" w:cs="Arial"/>
                <w:b/>
                <w:sz w:val="36"/>
                <w:szCs w:val="36"/>
              </w:rPr>
              <w:br/>
            </w:r>
            <w:r>
              <w:rPr>
                <w:rFonts w:ascii="Arial" w:hAnsi="Arial" w:cs="Arial"/>
                <w:b/>
                <w:sz w:val="36"/>
                <w:szCs w:val="36"/>
              </w:rPr>
              <w:t>s</w:t>
            </w:r>
            <w:r w:rsidRPr="00D85A4F">
              <w:rPr>
                <w:rFonts w:ascii="Arial" w:hAnsi="Arial" w:cs="Arial"/>
                <w:b/>
                <w:sz w:val="36"/>
                <w:szCs w:val="36"/>
              </w:rPr>
              <w:t xml:space="preserve">pecial </w:t>
            </w:r>
            <w:r>
              <w:rPr>
                <w:rFonts w:ascii="Arial" w:hAnsi="Arial" w:cs="Arial"/>
                <w:b/>
                <w:sz w:val="36"/>
                <w:szCs w:val="36"/>
              </w:rPr>
              <w:t>p</w:t>
            </w:r>
            <w:r w:rsidRPr="00D85A4F">
              <w:rPr>
                <w:rFonts w:ascii="Arial" w:hAnsi="Arial" w:cs="Arial"/>
                <w:b/>
                <w:sz w:val="36"/>
                <w:szCs w:val="36"/>
              </w:rPr>
              <w:t xml:space="preserve">atient </w:t>
            </w:r>
            <w:r>
              <w:rPr>
                <w:rFonts w:ascii="Arial" w:hAnsi="Arial" w:cs="Arial"/>
                <w:b/>
                <w:sz w:val="36"/>
                <w:szCs w:val="36"/>
              </w:rPr>
              <w:t>r</w:t>
            </w:r>
            <w:r w:rsidRPr="00D85A4F">
              <w:rPr>
                <w:rFonts w:ascii="Arial" w:hAnsi="Arial" w:cs="Arial"/>
                <w:b/>
                <w:sz w:val="36"/>
                <w:szCs w:val="36"/>
              </w:rPr>
              <w:t xml:space="preserve">eview </w:t>
            </w:r>
            <w:r>
              <w:rPr>
                <w:rFonts w:ascii="Arial" w:hAnsi="Arial" w:cs="Arial"/>
                <w:b/>
                <w:sz w:val="36"/>
                <w:szCs w:val="36"/>
              </w:rPr>
              <w:t>p</w:t>
            </w:r>
            <w:r w:rsidRPr="00D85A4F">
              <w:rPr>
                <w:rFonts w:ascii="Arial" w:hAnsi="Arial" w:cs="Arial"/>
                <w:b/>
                <w:sz w:val="36"/>
                <w:szCs w:val="36"/>
              </w:rPr>
              <w:t>anel reports</w:t>
            </w:r>
          </w:p>
        </w:tc>
        <w:tc>
          <w:tcPr>
            <w:tcW w:w="2552" w:type="dxa"/>
          </w:tcPr>
          <w:p w14:paraId="7FF01A2A" w14:textId="77777777" w:rsidR="00025FEB" w:rsidRPr="00D85A4F" w:rsidRDefault="00025FEB" w:rsidP="00BB4DC3">
            <w:pPr>
              <w:ind w:right="-57"/>
              <w:jc w:val="right"/>
              <w:rPr>
                <w:rFonts w:ascii="Arial" w:hAnsi="Arial" w:cs="Arial"/>
                <w:noProof/>
                <w:lang w:eastAsia="en-NZ"/>
              </w:rPr>
            </w:pPr>
            <w:r>
              <w:rPr>
                <w:noProof/>
              </w:rPr>
              <w:drawing>
                <wp:anchor distT="0" distB="0" distL="114300" distR="114300" simplePos="0" relativeHeight="251658246" behindDoc="0" locked="0" layoutInCell="1" allowOverlap="1" wp14:anchorId="7008C496" wp14:editId="0B296EF5">
                  <wp:simplePos x="0" y="0"/>
                  <wp:positionH relativeFrom="column">
                    <wp:posOffset>635</wp:posOffset>
                  </wp:positionH>
                  <wp:positionV relativeFrom="paragraph">
                    <wp:posOffset>2540</wp:posOffset>
                  </wp:positionV>
                  <wp:extent cx="1519555" cy="718185"/>
                  <wp:effectExtent l="0" t="0" r="4445" b="5715"/>
                  <wp:wrapNone/>
                  <wp:docPr id="13" name="Picture 1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inistry of Health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F8FE07" w14:textId="77777777" w:rsidR="00025FEB" w:rsidRPr="00D85A4F" w:rsidRDefault="00025FEB" w:rsidP="00025FEB">
      <w:pPr>
        <w:spacing w:before="240"/>
        <w:rPr>
          <w:rFonts w:ascii="Arial" w:hAnsi="Arial" w:cs="Arial"/>
          <w:sz w:val="18"/>
          <w:szCs w:val="18"/>
        </w:rPr>
      </w:pPr>
      <w:r w:rsidRPr="00D85A4F">
        <w:rPr>
          <w:rFonts w:ascii="Arial" w:hAnsi="Arial" w:cs="Arial"/>
          <w:sz w:val="18"/>
          <w:szCs w:val="18"/>
        </w:rPr>
        <w:t>Notes:</w:t>
      </w:r>
    </w:p>
    <w:p w14:paraId="4A363CCA" w14:textId="77777777" w:rsidR="00025FEB" w:rsidRPr="00D85A4F" w:rsidRDefault="00025FEB" w:rsidP="00D25422">
      <w:pPr>
        <w:pStyle w:val="Bullet"/>
      </w:pPr>
      <w:r w:rsidRPr="00D85A4F">
        <w:t>The summary should stand alone from the accompanying documentation and serve as a quick reference to be compared to future SPRP reports.</w:t>
      </w:r>
    </w:p>
    <w:p w14:paraId="1DC7011A" w14:textId="77777777" w:rsidR="00025FEB" w:rsidRPr="00D85A4F" w:rsidRDefault="00025FEB" w:rsidP="00D25422">
      <w:pPr>
        <w:pStyle w:val="Bullet"/>
      </w:pPr>
      <w:r w:rsidRPr="00D85A4F">
        <w:t>Please do not include copies of material provided with previous reports.</w:t>
      </w:r>
    </w:p>
    <w:tbl>
      <w:tblPr>
        <w:tblStyle w:val="TableGrid"/>
        <w:tblW w:w="10779" w:type="dxa"/>
        <w:tblInd w:w="57" w:type="dxa"/>
        <w:tblLayout w:type="fixed"/>
        <w:tblCellMar>
          <w:left w:w="57" w:type="dxa"/>
          <w:right w:w="57" w:type="dxa"/>
        </w:tblCellMar>
        <w:tblLook w:val="04A0" w:firstRow="1" w:lastRow="0" w:firstColumn="1" w:lastColumn="0" w:noHBand="0" w:noVBand="1"/>
      </w:tblPr>
      <w:tblGrid>
        <w:gridCol w:w="4536"/>
        <w:gridCol w:w="1680"/>
        <w:gridCol w:w="287"/>
        <w:gridCol w:w="1417"/>
        <w:gridCol w:w="355"/>
        <w:gridCol w:w="355"/>
        <w:gridCol w:w="355"/>
        <w:gridCol w:w="355"/>
        <w:gridCol w:w="355"/>
        <w:gridCol w:w="355"/>
        <w:gridCol w:w="359"/>
        <w:gridCol w:w="359"/>
        <w:gridCol w:w="11"/>
      </w:tblGrid>
      <w:tr w:rsidR="00025FEB" w:rsidRPr="00D85A4F" w14:paraId="6376CEEC" w14:textId="77777777" w:rsidTr="00BB4DC3">
        <w:trPr>
          <w:cantSplit/>
        </w:trPr>
        <w:tc>
          <w:tcPr>
            <w:tcW w:w="6216" w:type="dxa"/>
            <w:gridSpan w:val="2"/>
            <w:tcBorders>
              <w:top w:val="nil"/>
              <w:left w:val="nil"/>
              <w:bottom w:val="single" w:sz="4" w:space="0" w:color="auto"/>
              <w:right w:val="nil"/>
            </w:tcBorders>
            <w:vAlign w:val="center"/>
          </w:tcPr>
          <w:p w14:paraId="7682159D" w14:textId="77777777" w:rsidR="00025FEB" w:rsidRPr="00D85A4F" w:rsidRDefault="00025FEB" w:rsidP="00BB4DC3">
            <w:pPr>
              <w:pStyle w:val="TableText"/>
              <w:spacing w:before="120" w:after="30"/>
              <w:ind w:left="-57"/>
              <w:rPr>
                <w:rFonts w:cs="Arial"/>
              </w:rPr>
            </w:pPr>
            <w:r w:rsidRPr="00D85A4F">
              <w:rPr>
                <w:rFonts w:cs="Arial"/>
              </w:rPr>
              <w:t>Patient’s first name(s)</w:t>
            </w:r>
          </w:p>
        </w:tc>
        <w:tc>
          <w:tcPr>
            <w:tcW w:w="287" w:type="dxa"/>
            <w:tcBorders>
              <w:top w:val="nil"/>
              <w:left w:val="nil"/>
              <w:bottom w:val="nil"/>
              <w:right w:val="nil"/>
            </w:tcBorders>
            <w:vAlign w:val="center"/>
          </w:tcPr>
          <w:p w14:paraId="778419B3" w14:textId="77777777" w:rsidR="00025FEB" w:rsidRPr="00D85A4F" w:rsidRDefault="00025FEB" w:rsidP="00BB4DC3">
            <w:pPr>
              <w:pStyle w:val="TableText"/>
              <w:spacing w:before="120" w:after="30"/>
              <w:jc w:val="center"/>
              <w:rPr>
                <w:rFonts w:cs="Arial"/>
              </w:rPr>
            </w:pPr>
          </w:p>
        </w:tc>
        <w:tc>
          <w:tcPr>
            <w:tcW w:w="4276" w:type="dxa"/>
            <w:gridSpan w:val="10"/>
            <w:tcBorders>
              <w:top w:val="nil"/>
              <w:left w:val="nil"/>
              <w:bottom w:val="single" w:sz="4" w:space="0" w:color="auto"/>
              <w:right w:val="nil"/>
            </w:tcBorders>
            <w:vAlign w:val="center"/>
          </w:tcPr>
          <w:p w14:paraId="21DAD700" w14:textId="77777777" w:rsidR="00025FEB" w:rsidRPr="00D85A4F" w:rsidRDefault="00025FEB" w:rsidP="00BB4DC3">
            <w:pPr>
              <w:pStyle w:val="TableText"/>
              <w:spacing w:before="120" w:after="30"/>
              <w:ind w:left="-57"/>
              <w:rPr>
                <w:rFonts w:cs="Arial"/>
              </w:rPr>
            </w:pPr>
            <w:r w:rsidRPr="00D85A4F">
              <w:rPr>
                <w:rFonts w:cs="Arial"/>
              </w:rPr>
              <w:t>Patient’s last name</w:t>
            </w:r>
          </w:p>
        </w:tc>
      </w:tr>
      <w:tr w:rsidR="00025FEB" w:rsidRPr="00D85A4F" w14:paraId="456B0283" w14:textId="77777777" w:rsidTr="00BB4DC3">
        <w:trPr>
          <w:cantSplit/>
        </w:trPr>
        <w:tc>
          <w:tcPr>
            <w:tcW w:w="6216" w:type="dxa"/>
            <w:gridSpan w:val="2"/>
            <w:tcBorders>
              <w:top w:val="single" w:sz="4" w:space="0" w:color="auto"/>
              <w:left w:val="single" w:sz="4" w:space="0" w:color="auto"/>
              <w:bottom w:val="single" w:sz="4" w:space="0" w:color="auto"/>
              <w:right w:val="single" w:sz="4" w:space="0" w:color="auto"/>
            </w:tcBorders>
            <w:vAlign w:val="center"/>
          </w:tcPr>
          <w:p w14:paraId="5FED2F37"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c>
          <w:tcPr>
            <w:tcW w:w="287" w:type="dxa"/>
            <w:tcBorders>
              <w:top w:val="nil"/>
              <w:left w:val="single" w:sz="4" w:space="0" w:color="auto"/>
              <w:bottom w:val="nil"/>
              <w:right w:val="single" w:sz="4" w:space="0" w:color="auto"/>
            </w:tcBorders>
            <w:vAlign w:val="center"/>
          </w:tcPr>
          <w:p w14:paraId="29393802" w14:textId="77777777" w:rsidR="00025FEB" w:rsidRPr="00D85A4F" w:rsidRDefault="00025FEB" w:rsidP="00BB4DC3">
            <w:pPr>
              <w:pStyle w:val="TableText"/>
              <w:jc w:val="center"/>
              <w:rPr>
                <w:rFonts w:cs="Arial"/>
              </w:rPr>
            </w:pPr>
          </w:p>
        </w:tc>
        <w:tc>
          <w:tcPr>
            <w:tcW w:w="4276" w:type="dxa"/>
            <w:gridSpan w:val="10"/>
            <w:tcBorders>
              <w:top w:val="single" w:sz="4" w:space="0" w:color="auto"/>
              <w:left w:val="single" w:sz="4" w:space="0" w:color="auto"/>
              <w:bottom w:val="single" w:sz="4" w:space="0" w:color="auto"/>
              <w:right w:val="single" w:sz="4" w:space="0" w:color="auto"/>
            </w:tcBorders>
            <w:vAlign w:val="center"/>
          </w:tcPr>
          <w:p w14:paraId="13267534"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r w:rsidR="00025FEB" w:rsidRPr="00D85A4F" w14:paraId="5A90F1F0" w14:textId="77777777" w:rsidTr="00BB4DC3">
        <w:trPr>
          <w:gridAfter w:val="1"/>
          <w:wAfter w:w="11" w:type="dxa"/>
          <w:cantSplit/>
          <w:trHeight w:val="267"/>
        </w:trPr>
        <w:tc>
          <w:tcPr>
            <w:tcW w:w="6216" w:type="dxa"/>
            <w:gridSpan w:val="2"/>
            <w:tcBorders>
              <w:top w:val="nil"/>
              <w:left w:val="nil"/>
              <w:bottom w:val="single" w:sz="4" w:space="0" w:color="auto"/>
              <w:right w:val="nil"/>
            </w:tcBorders>
            <w:shd w:val="clear" w:color="auto" w:fill="auto"/>
            <w:vAlign w:val="center"/>
          </w:tcPr>
          <w:p w14:paraId="354C4564" w14:textId="77777777" w:rsidR="00025FEB" w:rsidRPr="00D85A4F" w:rsidRDefault="00025FEB" w:rsidP="00BB4DC3">
            <w:pPr>
              <w:pStyle w:val="TableText"/>
              <w:ind w:left="-57"/>
              <w:rPr>
                <w:rFonts w:cs="Arial"/>
              </w:rPr>
            </w:pPr>
            <w:r w:rsidRPr="00D85A4F">
              <w:rPr>
                <w:rFonts w:cs="Arial"/>
              </w:rPr>
              <w:t>Location/unit</w:t>
            </w:r>
          </w:p>
        </w:tc>
        <w:tc>
          <w:tcPr>
            <w:tcW w:w="1704" w:type="dxa"/>
            <w:gridSpan w:val="2"/>
            <w:tcBorders>
              <w:top w:val="nil"/>
              <w:left w:val="nil"/>
              <w:bottom w:val="nil"/>
              <w:right w:val="nil"/>
            </w:tcBorders>
            <w:shd w:val="clear" w:color="auto" w:fill="auto"/>
            <w:vAlign w:val="center"/>
          </w:tcPr>
          <w:p w14:paraId="4A0ED316" w14:textId="77777777" w:rsidR="00025FEB" w:rsidRPr="00D85A4F" w:rsidRDefault="00025FEB" w:rsidP="00BB4DC3">
            <w:pPr>
              <w:pStyle w:val="TableText"/>
              <w:jc w:val="right"/>
              <w:rPr>
                <w:rFonts w:cs="Arial"/>
              </w:rPr>
            </w:pPr>
          </w:p>
        </w:tc>
        <w:tc>
          <w:tcPr>
            <w:tcW w:w="2848" w:type="dxa"/>
            <w:gridSpan w:val="8"/>
            <w:tcBorders>
              <w:top w:val="nil"/>
              <w:left w:val="nil"/>
              <w:bottom w:val="single" w:sz="4" w:space="0" w:color="auto"/>
              <w:right w:val="nil"/>
            </w:tcBorders>
            <w:shd w:val="clear" w:color="auto" w:fill="auto"/>
            <w:vAlign w:val="center"/>
          </w:tcPr>
          <w:p w14:paraId="35C4D0F4" w14:textId="77777777" w:rsidR="00025FEB" w:rsidRPr="00D85A4F" w:rsidRDefault="00025FEB" w:rsidP="00BB4DC3">
            <w:pPr>
              <w:pStyle w:val="TableText"/>
              <w:ind w:left="-57"/>
              <w:rPr>
                <w:rFonts w:cs="Arial"/>
              </w:rPr>
            </w:pPr>
          </w:p>
        </w:tc>
      </w:tr>
      <w:tr w:rsidR="00025FEB" w:rsidRPr="00D85A4F" w14:paraId="1A39C1F6" w14:textId="77777777" w:rsidTr="00BB4DC3">
        <w:trPr>
          <w:gridAfter w:val="1"/>
          <w:wAfter w:w="11" w:type="dxa"/>
          <w:cantSplit/>
          <w:trHeight w:val="267"/>
        </w:trPr>
        <w:tc>
          <w:tcPr>
            <w:tcW w:w="6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E611A"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c>
          <w:tcPr>
            <w:tcW w:w="1704" w:type="dxa"/>
            <w:gridSpan w:val="2"/>
            <w:tcBorders>
              <w:top w:val="nil"/>
              <w:left w:val="single" w:sz="4" w:space="0" w:color="auto"/>
              <w:bottom w:val="nil"/>
              <w:right w:val="single" w:sz="4" w:space="0" w:color="auto"/>
            </w:tcBorders>
            <w:shd w:val="clear" w:color="auto" w:fill="auto"/>
            <w:vAlign w:val="center"/>
          </w:tcPr>
          <w:p w14:paraId="27FFDEEA" w14:textId="77777777" w:rsidR="00025FEB" w:rsidRPr="00D85A4F" w:rsidRDefault="00025FEB" w:rsidP="00BB4DC3">
            <w:pPr>
              <w:pStyle w:val="TableText"/>
              <w:jc w:val="right"/>
              <w:rPr>
                <w:rFonts w:cs="Arial"/>
              </w:rPr>
            </w:pPr>
            <w:r w:rsidRPr="00D85A4F">
              <w:rPr>
                <w:rFonts w:cs="Arial"/>
              </w:rPr>
              <w:t>Date of birth</w:t>
            </w:r>
          </w:p>
        </w:tc>
        <w:tc>
          <w:tcPr>
            <w:tcW w:w="355" w:type="dxa"/>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1E1780E4"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6B8620E"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A96618A"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628DCA7"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8A5AD44"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6F4BED4"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6499C8B"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9" w:type="dxa"/>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51072596"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r>
      <w:tr w:rsidR="00025FEB" w:rsidRPr="00D85A4F" w14:paraId="6ABDC07C" w14:textId="77777777" w:rsidTr="00BB4DC3">
        <w:trPr>
          <w:gridAfter w:val="1"/>
          <w:wAfter w:w="11" w:type="dxa"/>
          <w:cantSplit/>
          <w:trHeight w:val="267"/>
        </w:trPr>
        <w:tc>
          <w:tcPr>
            <w:tcW w:w="6216" w:type="dxa"/>
            <w:gridSpan w:val="2"/>
            <w:tcBorders>
              <w:top w:val="nil"/>
              <w:left w:val="nil"/>
              <w:bottom w:val="single" w:sz="4" w:space="0" w:color="auto"/>
              <w:right w:val="nil"/>
            </w:tcBorders>
            <w:shd w:val="clear" w:color="auto" w:fill="auto"/>
            <w:vAlign w:val="center"/>
          </w:tcPr>
          <w:p w14:paraId="34D2C55F" w14:textId="77777777" w:rsidR="00025FEB" w:rsidRPr="00D85A4F" w:rsidRDefault="00025FEB" w:rsidP="00BB4DC3">
            <w:pPr>
              <w:pStyle w:val="TableText"/>
              <w:ind w:left="-57"/>
              <w:rPr>
                <w:rFonts w:cs="Arial"/>
              </w:rPr>
            </w:pPr>
            <w:r w:rsidRPr="00D85A4F">
              <w:rPr>
                <w:rFonts w:cs="Arial"/>
              </w:rPr>
              <w:t>Legal status</w:t>
            </w:r>
          </w:p>
        </w:tc>
        <w:tc>
          <w:tcPr>
            <w:tcW w:w="2059" w:type="dxa"/>
            <w:gridSpan w:val="3"/>
            <w:tcBorders>
              <w:top w:val="nil"/>
              <w:left w:val="nil"/>
              <w:bottom w:val="nil"/>
              <w:right w:val="nil"/>
            </w:tcBorders>
            <w:shd w:val="clear" w:color="auto" w:fill="auto"/>
            <w:vAlign w:val="center"/>
          </w:tcPr>
          <w:p w14:paraId="14EAA089" w14:textId="77777777" w:rsidR="00025FEB" w:rsidRPr="00D85A4F" w:rsidRDefault="00025FEB" w:rsidP="00BB4DC3">
            <w:pPr>
              <w:pStyle w:val="TableText"/>
              <w:jc w:val="right"/>
              <w:rPr>
                <w:rFonts w:cs="Arial"/>
              </w:rPr>
            </w:pPr>
          </w:p>
        </w:tc>
        <w:tc>
          <w:tcPr>
            <w:tcW w:w="2493" w:type="dxa"/>
            <w:gridSpan w:val="7"/>
            <w:tcBorders>
              <w:top w:val="nil"/>
              <w:left w:val="nil"/>
              <w:bottom w:val="single" w:sz="4" w:space="0" w:color="auto"/>
              <w:right w:val="nil"/>
            </w:tcBorders>
            <w:shd w:val="clear" w:color="auto" w:fill="auto"/>
            <w:vAlign w:val="center"/>
          </w:tcPr>
          <w:p w14:paraId="081D6524" w14:textId="77777777" w:rsidR="00025FEB" w:rsidRPr="00D85A4F" w:rsidRDefault="00025FEB" w:rsidP="00BB4DC3">
            <w:pPr>
              <w:pStyle w:val="TableText"/>
              <w:rPr>
                <w:rFonts w:cs="Arial"/>
              </w:rPr>
            </w:pPr>
          </w:p>
        </w:tc>
      </w:tr>
      <w:tr w:rsidR="00025FEB" w:rsidRPr="00D85A4F" w14:paraId="601E1860" w14:textId="77777777" w:rsidTr="00BB4DC3">
        <w:trPr>
          <w:gridAfter w:val="1"/>
          <w:wAfter w:w="11" w:type="dxa"/>
          <w:cantSplit/>
          <w:trHeight w:val="267"/>
        </w:trPr>
        <w:tc>
          <w:tcPr>
            <w:tcW w:w="6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E4DE9"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c>
          <w:tcPr>
            <w:tcW w:w="2059" w:type="dxa"/>
            <w:gridSpan w:val="3"/>
            <w:tcBorders>
              <w:top w:val="nil"/>
              <w:left w:val="single" w:sz="4" w:space="0" w:color="auto"/>
              <w:bottom w:val="nil"/>
              <w:right w:val="single" w:sz="4" w:space="0" w:color="auto"/>
            </w:tcBorders>
            <w:shd w:val="clear" w:color="auto" w:fill="auto"/>
            <w:vAlign w:val="center"/>
          </w:tcPr>
          <w:p w14:paraId="4A4F9698" w14:textId="6B44384C" w:rsidR="00025FEB" w:rsidRPr="00D85A4F" w:rsidRDefault="00025FEB" w:rsidP="00BB4DC3">
            <w:pPr>
              <w:pStyle w:val="TableText"/>
              <w:jc w:val="right"/>
              <w:rPr>
                <w:rFonts w:cs="Arial"/>
              </w:rPr>
            </w:pPr>
            <w:r w:rsidRPr="00D85A4F">
              <w:rPr>
                <w:rFonts w:cs="Arial"/>
              </w:rPr>
              <w:t>NHI</w:t>
            </w:r>
            <w:r w:rsidR="00C33FF2">
              <w:rPr>
                <w:rFonts w:cs="Arial"/>
              </w:rPr>
              <w:t xml:space="preserve"> number</w:t>
            </w:r>
          </w:p>
        </w:tc>
        <w:tc>
          <w:tcPr>
            <w:tcW w:w="355" w:type="dxa"/>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6A5132D6"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81831FB"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34235C9"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E16446C"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74BCC5C"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1EBB944"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9" w:type="dxa"/>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7B2F495B"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r>
      <w:tr w:rsidR="00025FEB" w:rsidRPr="00D85A4F" w14:paraId="3325D81D" w14:textId="77777777" w:rsidTr="00BB4DC3">
        <w:trPr>
          <w:gridAfter w:val="1"/>
          <w:wAfter w:w="11" w:type="dxa"/>
          <w:cantSplit/>
          <w:trHeight w:val="267"/>
        </w:trPr>
        <w:tc>
          <w:tcPr>
            <w:tcW w:w="6216" w:type="dxa"/>
            <w:gridSpan w:val="2"/>
            <w:tcBorders>
              <w:top w:val="nil"/>
              <w:left w:val="nil"/>
              <w:bottom w:val="single" w:sz="4" w:space="0" w:color="auto"/>
              <w:right w:val="nil"/>
            </w:tcBorders>
            <w:shd w:val="clear" w:color="auto" w:fill="auto"/>
            <w:vAlign w:val="center"/>
          </w:tcPr>
          <w:p w14:paraId="7D99FF80" w14:textId="77777777" w:rsidR="00025FEB" w:rsidRPr="00D85A4F" w:rsidRDefault="00025FEB" w:rsidP="00BB4DC3">
            <w:pPr>
              <w:pStyle w:val="TableText"/>
              <w:ind w:left="-57"/>
              <w:rPr>
                <w:rFonts w:cs="Arial"/>
              </w:rPr>
            </w:pPr>
            <w:r w:rsidRPr="00D85A4F">
              <w:rPr>
                <w:rFonts w:cs="Arial"/>
              </w:rPr>
              <w:t>Responsible clinician</w:t>
            </w:r>
          </w:p>
        </w:tc>
        <w:tc>
          <w:tcPr>
            <w:tcW w:w="1704" w:type="dxa"/>
            <w:gridSpan w:val="2"/>
            <w:tcBorders>
              <w:top w:val="nil"/>
              <w:left w:val="nil"/>
              <w:bottom w:val="nil"/>
              <w:right w:val="nil"/>
            </w:tcBorders>
            <w:shd w:val="clear" w:color="auto" w:fill="auto"/>
            <w:vAlign w:val="center"/>
          </w:tcPr>
          <w:p w14:paraId="17EBCF88" w14:textId="77777777" w:rsidR="00025FEB" w:rsidRPr="00D85A4F" w:rsidRDefault="00025FEB" w:rsidP="00BB4DC3">
            <w:pPr>
              <w:pStyle w:val="TableText"/>
              <w:jc w:val="right"/>
              <w:rPr>
                <w:rFonts w:cs="Arial"/>
              </w:rPr>
            </w:pPr>
          </w:p>
        </w:tc>
        <w:tc>
          <w:tcPr>
            <w:tcW w:w="2848" w:type="dxa"/>
            <w:gridSpan w:val="8"/>
            <w:tcBorders>
              <w:top w:val="nil"/>
              <w:left w:val="nil"/>
              <w:bottom w:val="single" w:sz="4" w:space="0" w:color="auto"/>
              <w:right w:val="nil"/>
            </w:tcBorders>
            <w:shd w:val="clear" w:color="auto" w:fill="auto"/>
            <w:vAlign w:val="center"/>
          </w:tcPr>
          <w:p w14:paraId="4C855BF6" w14:textId="77777777" w:rsidR="00025FEB" w:rsidRPr="00D85A4F" w:rsidRDefault="00025FEB" w:rsidP="00BB4DC3">
            <w:pPr>
              <w:pStyle w:val="TableText"/>
              <w:ind w:left="-57"/>
              <w:rPr>
                <w:rFonts w:cs="Arial"/>
              </w:rPr>
            </w:pPr>
          </w:p>
        </w:tc>
      </w:tr>
      <w:tr w:rsidR="00025FEB" w:rsidRPr="00D85A4F" w14:paraId="7A44130A" w14:textId="77777777" w:rsidTr="00BB4DC3">
        <w:trPr>
          <w:gridAfter w:val="1"/>
          <w:wAfter w:w="11" w:type="dxa"/>
          <w:cantSplit/>
          <w:trHeight w:val="267"/>
        </w:trPr>
        <w:tc>
          <w:tcPr>
            <w:tcW w:w="6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0B204"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c>
          <w:tcPr>
            <w:tcW w:w="1704" w:type="dxa"/>
            <w:gridSpan w:val="2"/>
            <w:tcBorders>
              <w:top w:val="nil"/>
              <w:left w:val="single" w:sz="4" w:space="0" w:color="auto"/>
              <w:bottom w:val="nil"/>
              <w:right w:val="single" w:sz="4" w:space="0" w:color="auto"/>
            </w:tcBorders>
            <w:shd w:val="clear" w:color="auto" w:fill="auto"/>
            <w:vAlign w:val="center"/>
          </w:tcPr>
          <w:p w14:paraId="401A295B" w14:textId="77777777" w:rsidR="00025FEB" w:rsidRPr="00D85A4F" w:rsidRDefault="00025FEB" w:rsidP="00BB4DC3">
            <w:pPr>
              <w:pStyle w:val="TableText"/>
              <w:jc w:val="right"/>
              <w:rPr>
                <w:rFonts w:cs="Arial"/>
              </w:rPr>
            </w:pPr>
            <w:r w:rsidRPr="00D85A4F">
              <w:rPr>
                <w:rFonts w:cs="Arial"/>
              </w:rPr>
              <w:t>Date of SPRP</w:t>
            </w:r>
          </w:p>
        </w:tc>
        <w:tc>
          <w:tcPr>
            <w:tcW w:w="355" w:type="dxa"/>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46B16319"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E338429"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961D6B6"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976D855"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F563B60"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A30AD84"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87D5A0D"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9" w:type="dxa"/>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4BF467EF"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r>
      <w:tr w:rsidR="00025FEB" w:rsidRPr="00D85A4F" w14:paraId="572A5C76" w14:textId="77777777" w:rsidTr="00BB4DC3">
        <w:trPr>
          <w:cantSplit/>
        </w:trPr>
        <w:tc>
          <w:tcPr>
            <w:tcW w:w="6216" w:type="dxa"/>
            <w:gridSpan w:val="2"/>
            <w:tcBorders>
              <w:top w:val="nil"/>
              <w:left w:val="nil"/>
              <w:bottom w:val="single" w:sz="4" w:space="0" w:color="auto"/>
              <w:right w:val="nil"/>
            </w:tcBorders>
            <w:vAlign w:val="center"/>
          </w:tcPr>
          <w:p w14:paraId="209B50F5" w14:textId="77777777" w:rsidR="00025FEB" w:rsidRPr="00D85A4F" w:rsidRDefault="00025FEB" w:rsidP="00BB4DC3">
            <w:pPr>
              <w:pStyle w:val="TableText"/>
              <w:spacing w:before="90" w:after="30"/>
              <w:ind w:left="-57"/>
              <w:rPr>
                <w:rFonts w:cs="Arial"/>
              </w:rPr>
            </w:pPr>
            <w:r w:rsidRPr="00D85A4F">
              <w:rPr>
                <w:rFonts w:cs="Arial"/>
              </w:rPr>
              <w:t>Case manager</w:t>
            </w:r>
          </w:p>
        </w:tc>
        <w:tc>
          <w:tcPr>
            <w:tcW w:w="287" w:type="dxa"/>
            <w:tcBorders>
              <w:top w:val="nil"/>
              <w:left w:val="nil"/>
              <w:bottom w:val="nil"/>
              <w:right w:val="nil"/>
            </w:tcBorders>
            <w:vAlign w:val="center"/>
          </w:tcPr>
          <w:p w14:paraId="017D9742" w14:textId="77777777" w:rsidR="00025FEB" w:rsidRPr="00D85A4F" w:rsidRDefault="00025FEB" w:rsidP="00BB4DC3">
            <w:pPr>
              <w:pStyle w:val="TableText"/>
              <w:spacing w:before="90" w:after="30"/>
              <w:ind w:left="-57"/>
              <w:rPr>
                <w:rFonts w:cs="Arial"/>
              </w:rPr>
            </w:pPr>
          </w:p>
        </w:tc>
        <w:tc>
          <w:tcPr>
            <w:tcW w:w="4276" w:type="dxa"/>
            <w:gridSpan w:val="10"/>
            <w:tcBorders>
              <w:top w:val="nil"/>
              <w:left w:val="nil"/>
              <w:bottom w:val="nil"/>
              <w:right w:val="nil"/>
            </w:tcBorders>
            <w:vAlign w:val="center"/>
          </w:tcPr>
          <w:p w14:paraId="4A2060B2" w14:textId="77777777" w:rsidR="00025FEB" w:rsidRPr="00D85A4F" w:rsidRDefault="00025FEB" w:rsidP="00BB4DC3">
            <w:pPr>
              <w:pStyle w:val="TableText"/>
              <w:spacing w:before="90" w:after="30"/>
              <w:ind w:left="-57"/>
              <w:rPr>
                <w:rFonts w:cs="Arial"/>
              </w:rPr>
            </w:pPr>
          </w:p>
        </w:tc>
      </w:tr>
      <w:tr w:rsidR="00025FEB" w:rsidRPr="00D85A4F" w14:paraId="023B1899" w14:textId="77777777" w:rsidTr="00BB4DC3">
        <w:trPr>
          <w:cantSplit/>
        </w:trPr>
        <w:tc>
          <w:tcPr>
            <w:tcW w:w="6216" w:type="dxa"/>
            <w:gridSpan w:val="2"/>
            <w:tcBorders>
              <w:top w:val="single" w:sz="4" w:space="0" w:color="auto"/>
              <w:left w:val="single" w:sz="4" w:space="0" w:color="auto"/>
              <w:bottom w:val="single" w:sz="4" w:space="0" w:color="auto"/>
              <w:right w:val="single" w:sz="4" w:space="0" w:color="auto"/>
            </w:tcBorders>
            <w:vAlign w:val="center"/>
          </w:tcPr>
          <w:p w14:paraId="0F2A1155"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c>
          <w:tcPr>
            <w:tcW w:w="287" w:type="dxa"/>
            <w:tcBorders>
              <w:top w:val="nil"/>
              <w:left w:val="single" w:sz="4" w:space="0" w:color="auto"/>
              <w:bottom w:val="nil"/>
              <w:right w:val="nil"/>
            </w:tcBorders>
            <w:vAlign w:val="center"/>
          </w:tcPr>
          <w:p w14:paraId="5BE7A406" w14:textId="77777777" w:rsidR="00025FEB" w:rsidRPr="00D85A4F" w:rsidRDefault="00025FEB" w:rsidP="00BB4DC3">
            <w:pPr>
              <w:pStyle w:val="TableText"/>
              <w:rPr>
                <w:rFonts w:cs="Arial"/>
              </w:rPr>
            </w:pPr>
          </w:p>
        </w:tc>
        <w:tc>
          <w:tcPr>
            <w:tcW w:w="4276" w:type="dxa"/>
            <w:gridSpan w:val="10"/>
            <w:tcBorders>
              <w:top w:val="nil"/>
              <w:left w:val="nil"/>
              <w:bottom w:val="nil"/>
              <w:right w:val="nil"/>
            </w:tcBorders>
            <w:vAlign w:val="center"/>
          </w:tcPr>
          <w:p w14:paraId="608C5238" w14:textId="77777777" w:rsidR="00025FEB" w:rsidRPr="00D85A4F" w:rsidRDefault="00025FEB" w:rsidP="00BB4DC3">
            <w:pPr>
              <w:pStyle w:val="TableText"/>
              <w:ind w:left="-57"/>
              <w:rPr>
                <w:rFonts w:cs="Arial"/>
              </w:rPr>
            </w:pPr>
          </w:p>
        </w:tc>
      </w:tr>
      <w:tr w:rsidR="00025FEB" w:rsidRPr="00D85A4F" w14:paraId="078642D6" w14:textId="77777777" w:rsidTr="00BB4DC3">
        <w:trPr>
          <w:cantSplit/>
        </w:trPr>
        <w:tc>
          <w:tcPr>
            <w:tcW w:w="10779" w:type="dxa"/>
            <w:gridSpan w:val="13"/>
            <w:tcBorders>
              <w:top w:val="nil"/>
              <w:left w:val="nil"/>
              <w:bottom w:val="nil"/>
              <w:right w:val="nil"/>
            </w:tcBorders>
            <w:vAlign w:val="center"/>
          </w:tcPr>
          <w:p w14:paraId="302B486D" w14:textId="77777777" w:rsidR="00025FEB" w:rsidRPr="00D85A4F" w:rsidRDefault="00025FEB" w:rsidP="00BB4DC3">
            <w:pPr>
              <w:pStyle w:val="TableText"/>
              <w:spacing w:before="120" w:after="30"/>
              <w:ind w:left="-57"/>
              <w:rPr>
                <w:rFonts w:cs="Arial"/>
              </w:rPr>
            </w:pPr>
            <w:r w:rsidRPr="00D85A4F">
              <w:rPr>
                <w:rFonts w:cs="Arial"/>
              </w:rPr>
              <w:t xml:space="preserve">People attending the </w:t>
            </w:r>
            <w:r>
              <w:rPr>
                <w:rFonts w:cs="Arial"/>
              </w:rPr>
              <w:t>p</w:t>
            </w:r>
            <w:r w:rsidRPr="00D85A4F">
              <w:rPr>
                <w:rFonts w:cs="Arial"/>
              </w:rPr>
              <w:t>anel:</w:t>
            </w:r>
          </w:p>
        </w:tc>
      </w:tr>
      <w:tr w:rsidR="00025FEB" w:rsidRPr="00D85A4F" w14:paraId="74E34575" w14:textId="77777777" w:rsidTr="00BB4DC3">
        <w:trPr>
          <w:cantSplit/>
        </w:trPr>
        <w:tc>
          <w:tcPr>
            <w:tcW w:w="4536" w:type="dxa"/>
            <w:tcBorders>
              <w:top w:val="nil"/>
              <w:left w:val="nil"/>
              <w:bottom w:val="nil"/>
              <w:right w:val="single" w:sz="4" w:space="0" w:color="auto"/>
            </w:tcBorders>
            <w:vAlign w:val="center"/>
          </w:tcPr>
          <w:p w14:paraId="44BECFED" w14:textId="77777777" w:rsidR="00025FEB" w:rsidRPr="00D85A4F" w:rsidRDefault="00025FEB" w:rsidP="00D25422">
            <w:pPr>
              <w:pStyle w:val="TableBullet"/>
            </w:pPr>
            <w:r w:rsidRPr="00D85A4F">
              <w:t>responsible clinician (note if not present)</w:t>
            </w:r>
          </w:p>
        </w:tc>
        <w:tc>
          <w:tcPr>
            <w:tcW w:w="6243" w:type="dxa"/>
            <w:gridSpan w:val="12"/>
            <w:tcBorders>
              <w:top w:val="single" w:sz="4" w:space="0" w:color="auto"/>
              <w:left w:val="single" w:sz="4" w:space="0" w:color="auto"/>
              <w:bottom w:val="single" w:sz="4" w:space="0" w:color="auto"/>
              <w:right w:val="single" w:sz="4" w:space="0" w:color="auto"/>
            </w:tcBorders>
            <w:vAlign w:val="center"/>
          </w:tcPr>
          <w:p w14:paraId="673B9C2D"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r w:rsidR="00025FEB" w:rsidRPr="00D85A4F" w14:paraId="578743DB" w14:textId="77777777" w:rsidTr="00BB4DC3">
        <w:trPr>
          <w:cantSplit/>
        </w:trPr>
        <w:tc>
          <w:tcPr>
            <w:tcW w:w="4536" w:type="dxa"/>
            <w:tcBorders>
              <w:top w:val="nil"/>
              <w:left w:val="nil"/>
              <w:bottom w:val="nil"/>
              <w:right w:val="single" w:sz="4" w:space="0" w:color="auto"/>
            </w:tcBorders>
            <w:vAlign w:val="center"/>
          </w:tcPr>
          <w:p w14:paraId="4DEC94E9" w14:textId="77777777" w:rsidR="00025FEB" w:rsidRPr="00D85A4F" w:rsidRDefault="00025FEB" w:rsidP="00D25422">
            <w:pPr>
              <w:pStyle w:val="TableBullet"/>
            </w:pPr>
            <w:r w:rsidRPr="00D85A4F">
              <w:t>clinical team members, including external reviewer</w:t>
            </w:r>
          </w:p>
        </w:tc>
        <w:tc>
          <w:tcPr>
            <w:tcW w:w="6243" w:type="dxa"/>
            <w:gridSpan w:val="12"/>
            <w:tcBorders>
              <w:top w:val="single" w:sz="4" w:space="0" w:color="auto"/>
              <w:left w:val="single" w:sz="4" w:space="0" w:color="auto"/>
              <w:bottom w:val="single" w:sz="4" w:space="0" w:color="auto"/>
              <w:right w:val="single" w:sz="4" w:space="0" w:color="auto"/>
            </w:tcBorders>
            <w:vAlign w:val="center"/>
          </w:tcPr>
          <w:p w14:paraId="08198EC8"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r w:rsidR="00025FEB" w:rsidRPr="00D85A4F" w14:paraId="1D5D4AEE" w14:textId="77777777" w:rsidTr="00BB4DC3">
        <w:trPr>
          <w:cantSplit/>
        </w:trPr>
        <w:tc>
          <w:tcPr>
            <w:tcW w:w="4536" w:type="dxa"/>
            <w:tcBorders>
              <w:top w:val="nil"/>
              <w:left w:val="nil"/>
              <w:bottom w:val="nil"/>
              <w:right w:val="single" w:sz="4" w:space="0" w:color="auto"/>
            </w:tcBorders>
            <w:vAlign w:val="center"/>
          </w:tcPr>
          <w:p w14:paraId="7B43010C" w14:textId="77777777" w:rsidR="00025FEB" w:rsidRPr="00D85A4F" w:rsidRDefault="00025FEB" w:rsidP="00D25422">
            <w:pPr>
              <w:pStyle w:val="TableBullet"/>
            </w:pPr>
            <w:r w:rsidRPr="00D85A4F">
              <w:t>patient</w:t>
            </w:r>
          </w:p>
        </w:tc>
        <w:tc>
          <w:tcPr>
            <w:tcW w:w="6243" w:type="dxa"/>
            <w:gridSpan w:val="12"/>
            <w:tcBorders>
              <w:top w:val="single" w:sz="4" w:space="0" w:color="auto"/>
              <w:left w:val="single" w:sz="4" w:space="0" w:color="auto"/>
              <w:bottom w:val="single" w:sz="4" w:space="0" w:color="auto"/>
              <w:right w:val="single" w:sz="4" w:space="0" w:color="auto"/>
            </w:tcBorders>
            <w:vAlign w:val="center"/>
          </w:tcPr>
          <w:p w14:paraId="548C170E"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r w:rsidR="00025FEB" w:rsidRPr="00D85A4F" w14:paraId="204B611F" w14:textId="77777777" w:rsidTr="00BB4DC3">
        <w:trPr>
          <w:cantSplit/>
        </w:trPr>
        <w:tc>
          <w:tcPr>
            <w:tcW w:w="4536" w:type="dxa"/>
            <w:tcBorders>
              <w:top w:val="nil"/>
              <w:left w:val="nil"/>
              <w:bottom w:val="nil"/>
              <w:right w:val="single" w:sz="4" w:space="0" w:color="auto"/>
            </w:tcBorders>
            <w:vAlign w:val="center"/>
          </w:tcPr>
          <w:p w14:paraId="1F1053F2" w14:textId="77777777" w:rsidR="00025FEB" w:rsidRPr="00D85A4F" w:rsidRDefault="00025FEB" w:rsidP="00D25422">
            <w:pPr>
              <w:pStyle w:val="TableBullet"/>
            </w:pPr>
            <w:r w:rsidRPr="00D85A4F">
              <w:t>cultural advisor</w:t>
            </w:r>
            <w:r>
              <w:t>(</w:t>
            </w:r>
            <w:r w:rsidRPr="00D85A4F">
              <w:t>s</w:t>
            </w:r>
            <w:r>
              <w:t>)</w:t>
            </w:r>
          </w:p>
        </w:tc>
        <w:tc>
          <w:tcPr>
            <w:tcW w:w="6243" w:type="dxa"/>
            <w:gridSpan w:val="12"/>
            <w:tcBorders>
              <w:top w:val="single" w:sz="4" w:space="0" w:color="auto"/>
              <w:left w:val="single" w:sz="4" w:space="0" w:color="auto"/>
              <w:bottom w:val="single" w:sz="4" w:space="0" w:color="auto"/>
              <w:right w:val="single" w:sz="4" w:space="0" w:color="auto"/>
            </w:tcBorders>
            <w:vAlign w:val="center"/>
          </w:tcPr>
          <w:p w14:paraId="50712954"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r w:rsidR="00025FEB" w:rsidRPr="00D85A4F" w14:paraId="76232E35" w14:textId="77777777" w:rsidTr="00BB4DC3">
        <w:trPr>
          <w:cantSplit/>
        </w:trPr>
        <w:tc>
          <w:tcPr>
            <w:tcW w:w="4536" w:type="dxa"/>
            <w:tcBorders>
              <w:top w:val="nil"/>
              <w:left w:val="nil"/>
              <w:bottom w:val="nil"/>
              <w:right w:val="single" w:sz="4" w:space="0" w:color="auto"/>
            </w:tcBorders>
            <w:vAlign w:val="center"/>
          </w:tcPr>
          <w:p w14:paraId="06D9A16E" w14:textId="77777777" w:rsidR="00025FEB" w:rsidRPr="00D85A4F" w:rsidRDefault="00025FEB" w:rsidP="00D25422">
            <w:pPr>
              <w:pStyle w:val="TableBullet"/>
            </w:pPr>
            <w:r w:rsidRPr="00D85A4F">
              <w:t>support person(s)</w:t>
            </w:r>
          </w:p>
        </w:tc>
        <w:tc>
          <w:tcPr>
            <w:tcW w:w="6243" w:type="dxa"/>
            <w:gridSpan w:val="12"/>
            <w:tcBorders>
              <w:top w:val="single" w:sz="4" w:space="0" w:color="auto"/>
              <w:left w:val="single" w:sz="4" w:space="0" w:color="auto"/>
              <w:bottom w:val="single" w:sz="4" w:space="0" w:color="auto"/>
              <w:right w:val="single" w:sz="4" w:space="0" w:color="auto"/>
            </w:tcBorders>
            <w:vAlign w:val="center"/>
          </w:tcPr>
          <w:p w14:paraId="6612B128"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bl>
    <w:p w14:paraId="3EB0AFEC" w14:textId="77777777" w:rsidR="00025FEB" w:rsidRPr="00D85A4F" w:rsidRDefault="00025FEB" w:rsidP="00025FEB"/>
    <w:tbl>
      <w:tblPr>
        <w:tblStyle w:val="TableGrid"/>
        <w:tblW w:w="10779" w:type="dxa"/>
        <w:tblInd w:w="57" w:type="dxa"/>
        <w:tblLayout w:type="fixed"/>
        <w:tblCellMar>
          <w:left w:w="57" w:type="dxa"/>
          <w:right w:w="57" w:type="dxa"/>
        </w:tblCellMar>
        <w:tblLook w:val="04A0" w:firstRow="1" w:lastRow="0" w:firstColumn="1" w:lastColumn="0" w:noHBand="0" w:noVBand="1"/>
      </w:tblPr>
      <w:tblGrid>
        <w:gridCol w:w="10779"/>
      </w:tblGrid>
      <w:tr w:rsidR="00025FEB" w:rsidRPr="00D85A4F" w14:paraId="60892661" w14:textId="77777777" w:rsidTr="00BB4DC3">
        <w:trPr>
          <w:cantSplit/>
        </w:trPr>
        <w:tc>
          <w:tcPr>
            <w:tcW w:w="10779" w:type="dxa"/>
            <w:tcBorders>
              <w:top w:val="nil"/>
              <w:left w:val="nil"/>
              <w:bottom w:val="nil"/>
              <w:right w:val="nil"/>
            </w:tcBorders>
            <w:shd w:val="clear" w:color="auto" w:fill="000000" w:themeFill="text1"/>
            <w:vAlign w:val="center"/>
          </w:tcPr>
          <w:p w14:paraId="1B59D691" w14:textId="77777777" w:rsidR="00025FEB" w:rsidRPr="00D85A4F" w:rsidRDefault="00025FEB" w:rsidP="00BB4DC3">
            <w:pPr>
              <w:pStyle w:val="TableText"/>
              <w:rPr>
                <w:rFonts w:cs="Arial"/>
              </w:rPr>
            </w:pPr>
            <w:r w:rsidRPr="00D85A4F">
              <w:rPr>
                <w:rFonts w:cs="Arial"/>
                <w:b/>
                <w:sz w:val="24"/>
                <w:szCs w:val="28"/>
              </w:rPr>
              <w:t>Discussion</w:t>
            </w:r>
          </w:p>
        </w:tc>
      </w:tr>
      <w:tr w:rsidR="00025FEB" w:rsidRPr="00D85A4F" w14:paraId="700C28E9" w14:textId="77777777" w:rsidTr="00BB4DC3">
        <w:trPr>
          <w:cantSplit/>
        </w:trPr>
        <w:tc>
          <w:tcPr>
            <w:tcW w:w="10779" w:type="dxa"/>
            <w:tcBorders>
              <w:top w:val="nil"/>
              <w:left w:val="nil"/>
              <w:bottom w:val="single" w:sz="4" w:space="0" w:color="auto"/>
              <w:right w:val="nil"/>
            </w:tcBorders>
            <w:vAlign w:val="center"/>
          </w:tcPr>
          <w:p w14:paraId="08924FCD" w14:textId="77777777" w:rsidR="00025FEB" w:rsidRPr="00D85A4F" w:rsidRDefault="00025FEB" w:rsidP="00BB4DC3">
            <w:pPr>
              <w:pStyle w:val="TableText"/>
              <w:spacing w:before="0" w:after="30"/>
              <w:ind w:left="-57"/>
              <w:rPr>
                <w:rFonts w:cs="Arial"/>
              </w:rPr>
            </w:pPr>
            <w:r w:rsidRPr="00D85A4F">
              <w:rPr>
                <w:rFonts w:cs="Arial"/>
              </w:rPr>
              <w:t xml:space="preserve">A summary of the </w:t>
            </w:r>
            <w:r>
              <w:rPr>
                <w:rFonts w:cs="Arial"/>
              </w:rPr>
              <w:t>p</w:t>
            </w:r>
            <w:r w:rsidRPr="00D85A4F">
              <w:rPr>
                <w:rFonts w:cs="Arial"/>
              </w:rPr>
              <w:t>anel’s discussion, including comments from the patient</w:t>
            </w:r>
          </w:p>
        </w:tc>
      </w:tr>
      <w:tr w:rsidR="00025FEB" w:rsidRPr="00D85A4F" w14:paraId="63144433" w14:textId="77777777" w:rsidTr="00BB4DC3">
        <w:trPr>
          <w:cantSplit/>
          <w:trHeight w:val="567"/>
        </w:trPr>
        <w:tc>
          <w:tcPr>
            <w:tcW w:w="10779" w:type="dxa"/>
            <w:tcBorders>
              <w:top w:val="single" w:sz="4" w:space="0" w:color="auto"/>
              <w:left w:val="single" w:sz="4" w:space="0" w:color="auto"/>
              <w:bottom w:val="single" w:sz="4" w:space="0" w:color="auto"/>
              <w:right w:val="single" w:sz="4" w:space="0" w:color="auto"/>
            </w:tcBorders>
          </w:tcPr>
          <w:p w14:paraId="1D8A70C0"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r w:rsidR="00025FEB" w:rsidRPr="00D85A4F" w14:paraId="26CF29E4" w14:textId="77777777" w:rsidTr="00BB4DC3">
        <w:trPr>
          <w:cantSplit/>
        </w:trPr>
        <w:tc>
          <w:tcPr>
            <w:tcW w:w="10779" w:type="dxa"/>
            <w:tcBorders>
              <w:top w:val="nil"/>
              <w:left w:val="nil"/>
              <w:bottom w:val="single" w:sz="4" w:space="0" w:color="auto"/>
              <w:right w:val="nil"/>
            </w:tcBorders>
            <w:vAlign w:val="center"/>
          </w:tcPr>
          <w:p w14:paraId="1B893930" w14:textId="77777777" w:rsidR="00025FEB" w:rsidRPr="00D85A4F" w:rsidRDefault="00025FEB" w:rsidP="00BB4DC3">
            <w:pPr>
              <w:pStyle w:val="TableText"/>
              <w:spacing w:before="0" w:after="30"/>
              <w:ind w:left="-57"/>
              <w:rPr>
                <w:rFonts w:cs="Arial"/>
              </w:rPr>
            </w:pPr>
            <w:r w:rsidRPr="00D85A4F">
              <w:rPr>
                <w:rFonts w:cs="Arial"/>
              </w:rPr>
              <w:t>Review panel recommendations, including:</w:t>
            </w:r>
          </w:p>
          <w:p w14:paraId="7A63A60C" w14:textId="77777777" w:rsidR="00025FEB" w:rsidRPr="00D85A4F" w:rsidRDefault="00025FEB" w:rsidP="00D25422">
            <w:pPr>
              <w:pStyle w:val="TableBullet"/>
            </w:pPr>
            <w:r w:rsidRPr="00D85A4F">
              <w:t xml:space="preserve">legal status: </w:t>
            </w:r>
            <w:r>
              <w:t xml:space="preserve">either the patient should </w:t>
            </w:r>
            <w:r w:rsidRPr="00D85A4F">
              <w:t xml:space="preserve">remain subject to </w:t>
            </w:r>
            <w:r>
              <w:t xml:space="preserve">their </w:t>
            </w:r>
            <w:r w:rsidRPr="00D85A4F">
              <w:t xml:space="preserve">current legal status or </w:t>
            </w:r>
            <w:r>
              <w:t xml:space="preserve">the patient’s </w:t>
            </w:r>
            <w:r w:rsidRPr="00D85A4F">
              <w:t xml:space="preserve">legal status </w:t>
            </w:r>
            <w:r>
              <w:t>should change</w:t>
            </w:r>
          </w:p>
          <w:p w14:paraId="5BE622BA" w14:textId="77777777" w:rsidR="00025FEB" w:rsidRPr="00D85A4F" w:rsidRDefault="00025FEB" w:rsidP="00D25422">
            <w:pPr>
              <w:pStyle w:val="TableBullet"/>
            </w:pPr>
            <w:r w:rsidRPr="00D85A4F">
              <w:t>leave status: note any proposed changes to the patient’s leave plan.</w:t>
            </w:r>
          </w:p>
        </w:tc>
      </w:tr>
      <w:tr w:rsidR="00025FEB" w:rsidRPr="00D85A4F" w14:paraId="729A6683" w14:textId="77777777" w:rsidTr="00BB4DC3">
        <w:trPr>
          <w:cantSplit/>
          <w:trHeight w:val="567"/>
        </w:trPr>
        <w:tc>
          <w:tcPr>
            <w:tcW w:w="10779" w:type="dxa"/>
            <w:tcBorders>
              <w:top w:val="single" w:sz="4" w:space="0" w:color="auto"/>
              <w:left w:val="single" w:sz="4" w:space="0" w:color="auto"/>
              <w:bottom w:val="single" w:sz="4" w:space="0" w:color="auto"/>
              <w:right w:val="single" w:sz="4" w:space="0" w:color="auto"/>
            </w:tcBorders>
          </w:tcPr>
          <w:p w14:paraId="7486CE04"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bl>
    <w:p w14:paraId="285BA18F" w14:textId="77777777" w:rsidR="00025FEB" w:rsidRPr="008F5176" w:rsidRDefault="00025FEB" w:rsidP="00025FEB">
      <w:pPr>
        <w:rPr>
          <w:sz w:val="18"/>
          <w:szCs w:val="16"/>
        </w:rPr>
      </w:pPr>
    </w:p>
    <w:tbl>
      <w:tblPr>
        <w:tblStyle w:val="TableGrid"/>
        <w:tblW w:w="10774" w:type="dxa"/>
        <w:tblInd w:w="57" w:type="dxa"/>
        <w:tblLayout w:type="fixed"/>
        <w:tblCellMar>
          <w:left w:w="57" w:type="dxa"/>
          <w:right w:w="57" w:type="dxa"/>
        </w:tblCellMar>
        <w:tblLook w:val="04A0" w:firstRow="1" w:lastRow="0" w:firstColumn="1" w:lastColumn="0" w:noHBand="0" w:noVBand="1"/>
      </w:tblPr>
      <w:tblGrid>
        <w:gridCol w:w="369"/>
        <w:gridCol w:w="10405"/>
      </w:tblGrid>
      <w:tr w:rsidR="00025FEB" w:rsidRPr="00D85A4F" w14:paraId="7DCFBAE7" w14:textId="77777777" w:rsidTr="00BB4DC3">
        <w:trPr>
          <w:cantSplit/>
        </w:trPr>
        <w:tc>
          <w:tcPr>
            <w:tcW w:w="10774" w:type="dxa"/>
            <w:gridSpan w:val="2"/>
            <w:tcBorders>
              <w:top w:val="nil"/>
              <w:left w:val="nil"/>
              <w:bottom w:val="nil"/>
              <w:right w:val="nil"/>
            </w:tcBorders>
            <w:shd w:val="clear" w:color="auto" w:fill="000000" w:themeFill="text1"/>
            <w:vAlign w:val="center"/>
          </w:tcPr>
          <w:p w14:paraId="5E51A910" w14:textId="77777777" w:rsidR="00025FEB" w:rsidRPr="00D85A4F" w:rsidRDefault="00025FEB" w:rsidP="00BB4DC3">
            <w:pPr>
              <w:pStyle w:val="TableText"/>
              <w:ind w:left="425" w:hanging="425"/>
              <w:rPr>
                <w:rFonts w:cs="Arial"/>
              </w:rPr>
            </w:pPr>
            <w:r w:rsidRPr="00D85A4F">
              <w:rPr>
                <w:rFonts w:cs="Arial"/>
                <w:b/>
                <w:sz w:val="24"/>
                <w:szCs w:val="28"/>
              </w:rPr>
              <w:t>Accompanying documentation</w:t>
            </w:r>
          </w:p>
        </w:tc>
      </w:tr>
      <w:tr w:rsidR="00025FEB" w:rsidRPr="00D85A4F" w14:paraId="75B5F898" w14:textId="77777777" w:rsidTr="00BB4DC3">
        <w:trPr>
          <w:cantSplit/>
        </w:trPr>
        <w:tc>
          <w:tcPr>
            <w:tcW w:w="10774" w:type="dxa"/>
            <w:gridSpan w:val="2"/>
            <w:tcBorders>
              <w:top w:val="nil"/>
              <w:left w:val="nil"/>
              <w:bottom w:val="nil"/>
              <w:right w:val="nil"/>
            </w:tcBorders>
            <w:vAlign w:val="center"/>
          </w:tcPr>
          <w:p w14:paraId="254225EF" w14:textId="77777777" w:rsidR="00025FEB" w:rsidRPr="00D85A4F" w:rsidRDefault="00025FEB" w:rsidP="00BB4DC3">
            <w:pPr>
              <w:pStyle w:val="TableText"/>
              <w:spacing w:before="0" w:after="30"/>
              <w:ind w:left="-57"/>
              <w:rPr>
                <w:rFonts w:cs="Arial"/>
              </w:rPr>
            </w:pPr>
            <w:r w:rsidRPr="00D85A4F">
              <w:rPr>
                <w:rFonts w:cs="Arial"/>
              </w:rPr>
              <w:t>Focusing on current status and progress since the last SPRP:</w:t>
            </w:r>
          </w:p>
        </w:tc>
      </w:tr>
      <w:tr w:rsidR="00025FEB" w:rsidRPr="00D85A4F" w14:paraId="25F9B6C5" w14:textId="77777777" w:rsidTr="00BB4DC3">
        <w:trPr>
          <w:cantSplit/>
        </w:trPr>
        <w:tc>
          <w:tcPr>
            <w:tcW w:w="369" w:type="dxa"/>
            <w:tcBorders>
              <w:top w:val="nil"/>
              <w:left w:val="nil"/>
              <w:bottom w:val="nil"/>
              <w:right w:val="nil"/>
            </w:tcBorders>
            <w:vAlign w:val="center"/>
          </w:tcPr>
          <w:p w14:paraId="610ED6F4" w14:textId="77777777" w:rsidR="00025FEB" w:rsidRPr="00D85A4F" w:rsidRDefault="00025FEB" w:rsidP="00BB4DC3">
            <w:pPr>
              <w:pStyle w:val="TableText"/>
              <w:spacing w:before="0" w:after="0"/>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05" w:type="dxa"/>
            <w:tcBorders>
              <w:top w:val="nil"/>
              <w:left w:val="nil"/>
              <w:bottom w:val="nil"/>
              <w:right w:val="nil"/>
            </w:tcBorders>
            <w:vAlign w:val="center"/>
          </w:tcPr>
          <w:p w14:paraId="115932AC" w14:textId="77777777" w:rsidR="00025FEB" w:rsidRPr="00D85A4F" w:rsidRDefault="00025FEB" w:rsidP="00BB4DC3">
            <w:pPr>
              <w:pStyle w:val="TableText"/>
              <w:spacing w:after="30"/>
              <w:rPr>
                <w:rFonts w:cs="Arial"/>
              </w:rPr>
            </w:pPr>
            <w:r w:rsidRPr="00D85A4F">
              <w:rPr>
                <w:rFonts w:cs="Arial"/>
              </w:rPr>
              <w:t>Reports from the clinical team, including risk assessment and risk management</w:t>
            </w:r>
          </w:p>
        </w:tc>
      </w:tr>
      <w:tr w:rsidR="00025FEB" w:rsidRPr="00D85A4F" w14:paraId="03BA424E" w14:textId="77777777" w:rsidTr="00BB4DC3">
        <w:trPr>
          <w:cantSplit/>
        </w:trPr>
        <w:tc>
          <w:tcPr>
            <w:tcW w:w="369" w:type="dxa"/>
            <w:tcBorders>
              <w:top w:val="nil"/>
              <w:left w:val="nil"/>
              <w:bottom w:val="nil"/>
              <w:right w:val="nil"/>
            </w:tcBorders>
            <w:vAlign w:val="center"/>
          </w:tcPr>
          <w:p w14:paraId="77E56593" w14:textId="77777777" w:rsidR="00025FEB" w:rsidRPr="00D85A4F" w:rsidRDefault="00025FEB" w:rsidP="00BB4DC3">
            <w:pPr>
              <w:pStyle w:val="TableText"/>
              <w:spacing w:before="0" w:after="0"/>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05" w:type="dxa"/>
            <w:tcBorders>
              <w:top w:val="nil"/>
              <w:left w:val="nil"/>
              <w:bottom w:val="nil"/>
              <w:right w:val="nil"/>
            </w:tcBorders>
            <w:vAlign w:val="center"/>
          </w:tcPr>
          <w:p w14:paraId="3676B994" w14:textId="77777777" w:rsidR="00025FEB" w:rsidRPr="00D85A4F" w:rsidRDefault="00025FEB" w:rsidP="00BB4DC3">
            <w:pPr>
              <w:pStyle w:val="TableText"/>
              <w:spacing w:after="30"/>
              <w:rPr>
                <w:rFonts w:cs="Arial"/>
              </w:rPr>
            </w:pPr>
            <w:r w:rsidRPr="00D85A4F">
              <w:rPr>
                <w:rFonts w:cs="Arial"/>
              </w:rPr>
              <w:t>Leave plan / pathway</w:t>
            </w:r>
          </w:p>
        </w:tc>
      </w:tr>
      <w:tr w:rsidR="00025FEB" w:rsidRPr="00D85A4F" w14:paraId="1A92520A" w14:textId="77777777" w:rsidTr="00BB4DC3">
        <w:trPr>
          <w:cantSplit/>
        </w:trPr>
        <w:tc>
          <w:tcPr>
            <w:tcW w:w="369" w:type="dxa"/>
            <w:tcBorders>
              <w:top w:val="nil"/>
              <w:left w:val="nil"/>
              <w:bottom w:val="nil"/>
              <w:right w:val="nil"/>
            </w:tcBorders>
            <w:vAlign w:val="center"/>
          </w:tcPr>
          <w:p w14:paraId="1B8E4E27" w14:textId="77777777" w:rsidR="00025FEB" w:rsidRPr="00D85A4F" w:rsidRDefault="00025FEB" w:rsidP="00BB4DC3">
            <w:pPr>
              <w:pStyle w:val="TableText"/>
              <w:spacing w:before="0" w:after="0"/>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05" w:type="dxa"/>
            <w:tcBorders>
              <w:top w:val="nil"/>
              <w:left w:val="nil"/>
              <w:bottom w:val="nil"/>
              <w:right w:val="nil"/>
            </w:tcBorders>
            <w:vAlign w:val="center"/>
          </w:tcPr>
          <w:p w14:paraId="3D590144" w14:textId="77777777" w:rsidR="00025FEB" w:rsidRPr="00D85A4F" w:rsidRDefault="00025FEB" w:rsidP="00BB4DC3">
            <w:pPr>
              <w:pStyle w:val="TableText"/>
              <w:spacing w:after="30"/>
              <w:rPr>
                <w:rFonts w:cs="Arial"/>
              </w:rPr>
            </w:pPr>
            <w:r w:rsidRPr="00D85A4F">
              <w:rPr>
                <w:rFonts w:cs="Arial"/>
              </w:rPr>
              <w:t>A certificate of clinical review if a recommendation is made for a change in legal status</w:t>
            </w:r>
          </w:p>
        </w:tc>
      </w:tr>
      <w:tr w:rsidR="00025FEB" w:rsidRPr="00D85A4F" w14:paraId="64F0EF45" w14:textId="77777777" w:rsidTr="00BB4DC3">
        <w:trPr>
          <w:cantSplit/>
        </w:trPr>
        <w:tc>
          <w:tcPr>
            <w:tcW w:w="369" w:type="dxa"/>
            <w:tcBorders>
              <w:top w:val="nil"/>
              <w:left w:val="nil"/>
              <w:bottom w:val="nil"/>
              <w:right w:val="nil"/>
            </w:tcBorders>
            <w:vAlign w:val="center"/>
          </w:tcPr>
          <w:p w14:paraId="7A621648" w14:textId="77777777" w:rsidR="00025FEB" w:rsidRPr="00D85A4F" w:rsidRDefault="00025FEB" w:rsidP="00BB4DC3">
            <w:pPr>
              <w:pStyle w:val="TableText"/>
              <w:spacing w:before="0" w:after="0"/>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05" w:type="dxa"/>
            <w:tcBorders>
              <w:top w:val="nil"/>
              <w:left w:val="nil"/>
              <w:bottom w:val="nil"/>
              <w:right w:val="nil"/>
            </w:tcBorders>
            <w:vAlign w:val="center"/>
          </w:tcPr>
          <w:p w14:paraId="1FFDC164" w14:textId="2E985E35" w:rsidR="00025FEB" w:rsidRPr="00D85A4F" w:rsidRDefault="00025FEB" w:rsidP="00BB4DC3">
            <w:pPr>
              <w:pStyle w:val="TableText"/>
              <w:spacing w:after="30"/>
              <w:rPr>
                <w:rFonts w:cs="Arial"/>
              </w:rPr>
            </w:pPr>
            <w:r w:rsidRPr="00D85A4F">
              <w:rPr>
                <w:rFonts w:cs="Arial"/>
              </w:rPr>
              <w:t>A medical certificate if leave is being sought under section 50</w:t>
            </w:r>
            <w:r w:rsidR="00E215A0">
              <w:rPr>
                <w:rFonts w:cs="Arial"/>
              </w:rPr>
              <w:t>A</w:t>
            </w:r>
            <w:r w:rsidRPr="00D85A4F">
              <w:rPr>
                <w:rFonts w:cs="Arial"/>
              </w:rPr>
              <w:t xml:space="preserve"> of the Mental Health </w:t>
            </w:r>
            <w:r w:rsidR="00CB3CAC">
              <w:rPr>
                <w:rFonts w:cs="Arial"/>
              </w:rPr>
              <w:t>(Compulsory Assessment and Treatment)</w:t>
            </w:r>
            <w:r w:rsidRPr="00D85A4F">
              <w:rPr>
                <w:rFonts w:cs="Arial"/>
              </w:rPr>
              <w:t xml:space="preserve"> Act</w:t>
            </w:r>
            <w:r w:rsidR="00CB3CAC">
              <w:rPr>
                <w:rFonts w:cs="Arial"/>
              </w:rPr>
              <w:t xml:space="preserve"> 1992</w:t>
            </w:r>
            <w:r w:rsidRPr="00D85A4F">
              <w:rPr>
                <w:rFonts w:cs="Arial"/>
              </w:rPr>
              <w:t>.</w:t>
            </w:r>
          </w:p>
        </w:tc>
      </w:tr>
      <w:tr w:rsidR="00025FEB" w:rsidRPr="00D85A4F" w14:paraId="5851B652" w14:textId="77777777" w:rsidTr="00BB4DC3">
        <w:trPr>
          <w:cantSplit/>
        </w:trPr>
        <w:tc>
          <w:tcPr>
            <w:tcW w:w="10774" w:type="dxa"/>
            <w:gridSpan w:val="2"/>
            <w:tcBorders>
              <w:top w:val="nil"/>
              <w:left w:val="nil"/>
              <w:bottom w:val="nil"/>
              <w:right w:val="nil"/>
            </w:tcBorders>
            <w:shd w:val="clear" w:color="auto" w:fill="000000" w:themeFill="text1"/>
            <w:vAlign w:val="center"/>
          </w:tcPr>
          <w:p w14:paraId="0A181106" w14:textId="77777777" w:rsidR="00025FEB" w:rsidRPr="00D85A4F" w:rsidRDefault="00025FEB" w:rsidP="00BB4DC3">
            <w:pPr>
              <w:pStyle w:val="TableText"/>
              <w:ind w:left="425" w:hanging="425"/>
              <w:rPr>
                <w:rFonts w:cs="Arial"/>
              </w:rPr>
            </w:pPr>
            <w:r w:rsidRPr="00D85A4F">
              <w:rPr>
                <w:rFonts w:cs="Arial"/>
                <w:b/>
                <w:sz w:val="24"/>
                <w:szCs w:val="28"/>
              </w:rPr>
              <w:t>Signature</w:t>
            </w:r>
          </w:p>
        </w:tc>
      </w:tr>
    </w:tbl>
    <w:p w14:paraId="51CC48E5" w14:textId="77777777" w:rsidR="00025FEB" w:rsidRPr="00D85A4F" w:rsidRDefault="00025FEB" w:rsidP="00025FEB">
      <w:pPr>
        <w:rPr>
          <w:sz w:val="10"/>
          <w:szCs w:val="10"/>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521"/>
        <w:gridCol w:w="1417"/>
        <w:gridCol w:w="354"/>
        <w:gridCol w:w="354"/>
        <w:gridCol w:w="355"/>
        <w:gridCol w:w="354"/>
        <w:gridCol w:w="354"/>
        <w:gridCol w:w="355"/>
        <w:gridCol w:w="354"/>
        <w:gridCol w:w="355"/>
      </w:tblGrid>
      <w:tr w:rsidR="00025FEB" w:rsidRPr="00D85A4F" w14:paraId="232F70A6" w14:textId="77777777" w:rsidTr="00BB4DC3">
        <w:trPr>
          <w:cantSplit/>
          <w:trHeight w:val="26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515629E" w14:textId="77777777" w:rsidR="00025FEB" w:rsidRPr="008F5176" w:rsidRDefault="00025FEB" w:rsidP="00BB4DC3"/>
        </w:tc>
        <w:tc>
          <w:tcPr>
            <w:tcW w:w="1417" w:type="dxa"/>
            <w:tcBorders>
              <w:top w:val="nil"/>
              <w:left w:val="single" w:sz="4" w:space="0" w:color="auto"/>
              <w:bottom w:val="nil"/>
              <w:right w:val="single" w:sz="4" w:space="0" w:color="auto"/>
            </w:tcBorders>
            <w:shd w:val="clear" w:color="auto" w:fill="auto"/>
            <w:vAlign w:val="center"/>
          </w:tcPr>
          <w:p w14:paraId="407510AE" w14:textId="77777777" w:rsidR="00025FEB" w:rsidRPr="00D85A4F" w:rsidRDefault="00025FEB" w:rsidP="00BB4DC3">
            <w:pPr>
              <w:pStyle w:val="TableText"/>
              <w:jc w:val="right"/>
              <w:rPr>
                <w:rFonts w:cs="Arial"/>
              </w:rPr>
            </w:pPr>
            <w:r w:rsidRPr="00D85A4F">
              <w:rPr>
                <w:rFonts w:cs="Arial"/>
              </w:rPr>
              <w:t>Date</w:t>
            </w:r>
          </w:p>
        </w:tc>
        <w:tc>
          <w:tcPr>
            <w:tcW w:w="354" w:type="dxa"/>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660DAF69"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60F44EF"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2D44CFC"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59A0FF4"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262C429"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20C0C12"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337EAB3"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7333BEE6"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r>
    </w:tbl>
    <w:p w14:paraId="6E0143C7" w14:textId="77777777" w:rsidR="00025FEB" w:rsidRPr="00D85A4F" w:rsidRDefault="00025FEB" w:rsidP="00025FEB">
      <w:pPr>
        <w:spacing w:before="30"/>
        <w:rPr>
          <w:rFonts w:ascii="Arial" w:hAnsi="Arial" w:cs="Arial"/>
          <w:sz w:val="18"/>
          <w:szCs w:val="18"/>
        </w:rPr>
      </w:pPr>
      <w:r w:rsidRPr="00D85A4F">
        <w:rPr>
          <w:rFonts w:ascii="Arial" w:hAnsi="Arial" w:cs="Arial"/>
          <w:sz w:val="18"/>
          <w:szCs w:val="18"/>
        </w:rPr>
        <w:t>Forensic DAMHS</w:t>
      </w:r>
    </w:p>
    <w:tbl>
      <w:tblPr>
        <w:tblStyle w:val="TableGrid"/>
        <w:tblW w:w="1077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16"/>
        <w:gridCol w:w="287"/>
        <w:gridCol w:w="1577"/>
        <w:gridCol w:w="336"/>
        <w:gridCol w:w="336"/>
        <w:gridCol w:w="336"/>
        <w:gridCol w:w="336"/>
        <w:gridCol w:w="336"/>
        <w:gridCol w:w="336"/>
        <w:gridCol w:w="336"/>
        <w:gridCol w:w="336"/>
        <w:gridCol w:w="11"/>
      </w:tblGrid>
      <w:tr w:rsidR="00025FEB" w:rsidRPr="00D85A4F" w14:paraId="37058E40" w14:textId="77777777" w:rsidTr="00BB4DC3">
        <w:trPr>
          <w:cantSplit/>
          <w:trHeight w:val="253"/>
        </w:trPr>
        <w:tc>
          <w:tcPr>
            <w:tcW w:w="8080" w:type="dxa"/>
            <w:gridSpan w:val="3"/>
            <w:vAlign w:val="center"/>
          </w:tcPr>
          <w:p w14:paraId="41922154" w14:textId="10F01846" w:rsidR="00025FEB" w:rsidRPr="00D85A4F" w:rsidRDefault="00025FEB" w:rsidP="00BB4DC3">
            <w:pPr>
              <w:ind w:left="-57"/>
              <w:rPr>
                <w:rFonts w:ascii="Arial" w:hAnsi="Arial" w:cs="Arial"/>
                <w:i/>
                <w:noProof/>
                <w:sz w:val="36"/>
                <w:szCs w:val="36"/>
                <w:lang w:eastAsia="en-NZ"/>
              </w:rPr>
            </w:pPr>
            <w:bookmarkStart w:id="304" w:name="_Hlk111736422"/>
            <w:bookmarkEnd w:id="303"/>
            <w:r w:rsidRPr="00D85A4F">
              <w:rPr>
                <w:rFonts w:ascii="Arial" w:hAnsi="Arial" w:cs="Arial"/>
                <w:b/>
                <w:sz w:val="36"/>
                <w:szCs w:val="36"/>
              </w:rPr>
              <w:t xml:space="preserve">Consent to voluntary admission and treatment while </w:t>
            </w:r>
            <w:r w:rsidR="005F7693">
              <w:rPr>
                <w:rFonts w:ascii="Arial" w:hAnsi="Arial" w:cs="Arial"/>
                <w:b/>
                <w:sz w:val="36"/>
                <w:szCs w:val="36"/>
              </w:rPr>
              <w:t xml:space="preserve">on </w:t>
            </w:r>
            <w:r w:rsidRPr="00D85A4F">
              <w:rPr>
                <w:rFonts w:ascii="Arial" w:hAnsi="Arial" w:cs="Arial"/>
                <w:b/>
                <w:sz w:val="36"/>
                <w:szCs w:val="36"/>
              </w:rPr>
              <w:t>leave under section 50</w:t>
            </w:r>
            <w:r w:rsidR="00CF45BC">
              <w:rPr>
                <w:rFonts w:ascii="Arial" w:hAnsi="Arial" w:cs="Arial"/>
                <w:b/>
                <w:sz w:val="36"/>
                <w:szCs w:val="36"/>
              </w:rPr>
              <w:t>A</w:t>
            </w:r>
            <w:r w:rsidRPr="00D85A4F">
              <w:rPr>
                <w:rFonts w:ascii="Arial" w:hAnsi="Arial" w:cs="Arial"/>
                <w:b/>
                <w:sz w:val="36"/>
                <w:szCs w:val="36"/>
              </w:rPr>
              <w:t xml:space="preserve"> </w:t>
            </w:r>
            <w:r>
              <w:rPr>
                <w:rFonts w:ascii="Arial" w:hAnsi="Arial" w:cs="Arial"/>
                <w:b/>
                <w:sz w:val="36"/>
                <w:szCs w:val="36"/>
              </w:rPr>
              <w:t xml:space="preserve">of the </w:t>
            </w:r>
            <w:r w:rsidRPr="00D85A4F">
              <w:rPr>
                <w:rFonts w:ascii="Arial" w:hAnsi="Arial" w:cs="Arial"/>
                <w:b/>
                <w:sz w:val="36"/>
                <w:szCs w:val="36"/>
              </w:rPr>
              <w:t>Mental Health (Compulsory Assessment and Treatment) Act 1992 (‘ministerial long leave’)</w:t>
            </w:r>
            <w:bookmarkEnd w:id="304"/>
          </w:p>
        </w:tc>
        <w:tc>
          <w:tcPr>
            <w:tcW w:w="2699" w:type="dxa"/>
            <w:gridSpan w:val="9"/>
          </w:tcPr>
          <w:p w14:paraId="1E156D0F" w14:textId="77777777" w:rsidR="00025FEB" w:rsidRPr="00D85A4F" w:rsidRDefault="00025FEB" w:rsidP="00BB4DC3">
            <w:pPr>
              <w:ind w:right="-57"/>
              <w:jc w:val="right"/>
              <w:rPr>
                <w:rFonts w:ascii="Arial" w:hAnsi="Arial" w:cs="Arial"/>
                <w:noProof/>
                <w:sz w:val="36"/>
                <w:szCs w:val="36"/>
                <w:lang w:eastAsia="en-NZ"/>
              </w:rPr>
            </w:pPr>
            <w:r>
              <w:rPr>
                <w:noProof/>
              </w:rPr>
              <w:drawing>
                <wp:anchor distT="0" distB="0" distL="114300" distR="114300" simplePos="0" relativeHeight="251658245" behindDoc="0" locked="0" layoutInCell="1" allowOverlap="1" wp14:anchorId="63D9F5B8" wp14:editId="14A2988A">
                  <wp:simplePos x="0" y="0"/>
                  <wp:positionH relativeFrom="column">
                    <wp:posOffset>1905</wp:posOffset>
                  </wp:positionH>
                  <wp:positionV relativeFrom="paragraph">
                    <wp:posOffset>2540</wp:posOffset>
                  </wp:positionV>
                  <wp:extent cx="1519555" cy="718185"/>
                  <wp:effectExtent l="0" t="0" r="4445" b="5715"/>
                  <wp:wrapNone/>
                  <wp:docPr id="12" name="Picture 1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inistry of Health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5FEB" w:rsidRPr="00D85A4F" w14:paraId="40C1FAA1"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16" w:type="dxa"/>
            <w:tcBorders>
              <w:top w:val="nil"/>
              <w:left w:val="nil"/>
              <w:bottom w:val="single" w:sz="4" w:space="0" w:color="auto"/>
              <w:right w:val="nil"/>
            </w:tcBorders>
            <w:vAlign w:val="center"/>
          </w:tcPr>
          <w:p w14:paraId="6B2EF0C2" w14:textId="77777777" w:rsidR="00025FEB" w:rsidRPr="00D85A4F" w:rsidRDefault="00025FEB" w:rsidP="00BB4DC3">
            <w:pPr>
              <w:pStyle w:val="TableText"/>
              <w:spacing w:before="360" w:after="30"/>
              <w:ind w:left="-57"/>
              <w:rPr>
                <w:rFonts w:cs="Arial"/>
              </w:rPr>
            </w:pPr>
            <w:r w:rsidRPr="00D85A4F">
              <w:rPr>
                <w:rFonts w:cs="Arial"/>
              </w:rPr>
              <w:t>Patient’s first name(s)</w:t>
            </w:r>
          </w:p>
        </w:tc>
        <w:tc>
          <w:tcPr>
            <w:tcW w:w="287" w:type="dxa"/>
            <w:tcBorders>
              <w:top w:val="nil"/>
              <w:left w:val="nil"/>
              <w:bottom w:val="nil"/>
              <w:right w:val="nil"/>
            </w:tcBorders>
            <w:vAlign w:val="center"/>
          </w:tcPr>
          <w:p w14:paraId="02D73592" w14:textId="77777777" w:rsidR="00025FEB" w:rsidRPr="00D85A4F" w:rsidRDefault="00025FEB" w:rsidP="00BB4DC3">
            <w:pPr>
              <w:pStyle w:val="TableText"/>
              <w:spacing w:before="360" w:after="30"/>
              <w:jc w:val="center"/>
              <w:rPr>
                <w:rFonts w:cs="Arial"/>
              </w:rPr>
            </w:pPr>
          </w:p>
        </w:tc>
        <w:tc>
          <w:tcPr>
            <w:tcW w:w="4276" w:type="dxa"/>
            <w:gridSpan w:val="10"/>
            <w:tcBorders>
              <w:top w:val="nil"/>
              <w:left w:val="nil"/>
              <w:bottom w:val="single" w:sz="4" w:space="0" w:color="auto"/>
              <w:right w:val="nil"/>
            </w:tcBorders>
            <w:vAlign w:val="center"/>
          </w:tcPr>
          <w:p w14:paraId="152ED585" w14:textId="77777777" w:rsidR="00025FEB" w:rsidRPr="00D85A4F" w:rsidRDefault="00025FEB" w:rsidP="00BB4DC3">
            <w:pPr>
              <w:pStyle w:val="TableText"/>
              <w:spacing w:before="360" w:after="30"/>
              <w:ind w:left="-57"/>
              <w:rPr>
                <w:rFonts w:cs="Arial"/>
              </w:rPr>
            </w:pPr>
            <w:r w:rsidRPr="00D85A4F">
              <w:rPr>
                <w:rFonts w:cs="Arial"/>
              </w:rPr>
              <w:t>Patient’s last name</w:t>
            </w:r>
          </w:p>
        </w:tc>
      </w:tr>
      <w:tr w:rsidR="00025FEB" w:rsidRPr="00D85A4F" w14:paraId="76C39E53"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16" w:type="dxa"/>
            <w:tcBorders>
              <w:top w:val="single" w:sz="4" w:space="0" w:color="auto"/>
              <w:left w:val="single" w:sz="4" w:space="0" w:color="auto"/>
              <w:bottom w:val="single" w:sz="4" w:space="0" w:color="auto"/>
              <w:right w:val="single" w:sz="4" w:space="0" w:color="auto"/>
            </w:tcBorders>
            <w:vAlign w:val="center"/>
          </w:tcPr>
          <w:p w14:paraId="6CB8BC84"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c>
          <w:tcPr>
            <w:tcW w:w="287" w:type="dxa"/>
            <w:tcBorders>
              <w:top w:val="nil"/>
              <w:left w:val="single" w:sz="4" w:space="0" w:color="auto"/>
              <w:bottom w:val="nil"/>
              <w:right w:val="single" w:sz="4" w:space="0" w:color="auto"/>
            </w:tcBorders>
            <w:vAlign w:val="center"/>
          </w:tcPr>
          <w:p w14:paraId="0624FF7B" w14:textId="77777777" w:rsidR="00025FEB" w:rsidRPr="00D85A4F" w:rsidRDefault="00025FEB" w:rsidP="00BB4DC3">
            <w:pPr>
              <w:pStyle w:val="TableText"/>
              <w:jc w:val="center"/>
              <w:rPr>
                <w:rFonts w:cs="Arial"/>
              </w:rPr>
            </w:pPr>
          </w:p>
        </w:tc>
        <w:tc>
          <w:tcPr>
            <w:tcW w:w="4276" w:type="dxa"/>
            <w:gridSpan w:val="10"/>
            <w:tcBorders>
              <w:top w:val="single" w:sz="4" w:space="0" w:color="auto"/>
              <w:left w:val="single" w:sz="4" w:space="0" w:color="auto"/>
              <w:bottom w:val="single" w:sz="4" w:space="0" w:color="auto"/>
              <w:right w:val="single" w:sz="4" w:space="0" w:color="auto"/>
            </w:tcBorders>
            <w:vAlign w:val="center"/>
          </w:tcPr>
          <w:p w14:paraId="5469B7F9"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r w:rsidR="00025FEB" w:rsidRPr="00D85A4F" w14:paraId="42E80252"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267"/>
        </w:trPr>
        <w:tc>
          <w:tcPr>
            <w:tcW w:w="6216" w:type="dxa"/>
            <w:tcBorders>
              <w:top w:val="nil"/>
              <w:left w:val="nil"/>
              <w:bottom w:val="single" w:sz="4" w:space="0" w:color="auto"/>
              <w:right w:val="nil"/>
            </w:tcBorders>
            <w:shd w:val="clear" w:color="auto" w:fill="auto"/>
            <w:vAlign w:val="center"/>
          </w:tcPr>
          <w:p w14:paraId="499DD24F" w14:textId="77777777" w:rsidR="00025FEB" w:rsidRPr="00D85A4F" w:rsidRDefault="00025FEB" w:rsidP="00BB4DC3">
            <w:pPr>
              <w:pStyle w:val="TableText"/>
              <w:spacing w:before="240"/>
              <w:ind w:left="-57"/>
              <w:rPr>
                <w:rFonts w:cs="Arial"/>
              </w:rPr>
            </w:pPr>
            <w:r w:rsidRPr="00D85A4F">
              <w:rPr>
                <w:rFonts w:cs="Arial"/>
              </w:rPr>
              <w:t>Address</w:t>
            </w:r>
          </w:p>
        </w:tc>
        <w:tc>
          <w:tcPr>
            <w:tcW w:w="1864" w:type="dxa"/>
            <w:gridSpan w:val="2"/>
            <w:tcBorders>
              <w:top w:val="nil"/>
              <w:left w:val="nil"/>
              <w:bottom w:val="nil"/>
              <w:right w:val="nil"/>
            </w:tcBorders>
            <w:shd w:val="clear" w:color="auto" w:fill="auto"/>
            <w:vAlign w:val="center"/>
          </w:tcPr>
          <w:p w14:paraId="4699F9CA" w14:textId="77777777" w:rsidR="00025FEB" w:rsidRPr="00D85A4F" w:rsidRDefault="00025FEB" w:rsidP="00BB4DC3">
            <w:pPr>
              <w:pStyle w:val="TableText"/>
              <w:spacing w:before="240"/>
              <w:jc w:val="right"/>
              <w:rPr>
                <w:rFonts w:cs="Arial"/>
              </w:rPr>
            </w:pPr>
          </w:p>
        </w:tc>
        <w:tc>
          <w:tcPr>
            <w:tcW w:w="2688" w:type="dxa"/>
            <w:gridSpan w:val="8"/>
            <w:tcBorders>
              <w:top w:val="nil"/>
              <w:left w:val="nil"/>
              <w:bottom w:val="single" w:sz="4" w:space="0" w:color="auto"/>
              <w:right w:val="nil"/>
            </w:tcBorders>
            <w:shd w:val="clear" w:color="auto" w:fill="auto"/>
            <w:vAlign w:val="center"/>
          </w:tcPr>
          <w:p w14:paraId="1C10931A" w14:textId="77777777" w:rsidR="00025FEB" w:rsidRPr="00D85A4F" w:rsidRDefault="00025FEB" w:rsidP="00BB4DC3">
            <w:pPr>
              <w:pStyle w:val="TableText"/>
              <w:spacing w:before="240"/>
              <w:ind w:left="-57"/>
              <w:rPr>
                <w:rFonts w:cs="Arial"/>
              </w:rPr>
            </w:pPr>
          </w:p>
        </w:tc>
      </w:tr>
      <w:tr w:rsidR="00025FEB" w:rsidRPr="00D85A4F" w14:paraId="0999446E"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267"/>
        </w:trPr>
        <w:tc>
          <w:tcPr>
            <w:tcW w:w="6216" w:type="dxa"/>
            <w:vMerge w:val="restart"/>
            <w:tcBorders>
              <w:top w:val="single" w:sz="4" w:space="0" w:color="auto"/>
              <w:left w:val="single" w:sz="4" w:space="0" w:color="auto"/>
              <w:right w:val="single" w:sz="4" w:space="0" w:color="auto"/>
            </w:tcBorders>
            <w:shd w:val="clear" w:color="auto" w:fill="auto"/>
          </w:tcPr>
          <w:p w14:paraId="59ADCE44"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c>
          <w:tcPr>
            <w:tcW w:w="1864" w:type="dxa"/>
            <w:gridSpan w:val="2"/>
            <w:tcBorders>
              <w:top w:val="nil"/>
              <w:left w:val="single" w:sz="4" w:space="0" w:color="auto"/>
              <w:bottom w:val="nil"/>
              <w:right w:val="single" w:sz="4" w:space="0" w:color="auto"/>
            </w:tcBorders>
            <w:shd w:val="clear" w:color="auto" w:fill="auto"/>
            <w:vAlign w:val="center"/>
          </w:tcPr>
          <w:p w14:paraId="7BCEF5AB" w14:textId="77777777" w:rsidR="00025FEB" w:rsidRPr="00D85A4F" w:rsidRDefault="00025FEB" w:rsidP="00BB4DC3">
            <w:pPr>
              <w:pStyle w:val="TableText"/>
              <w:jc w:val="right"/>
              <w:rPr>
                <w:rFonts w:cs="Arial"/>
              </w:rPr>
            </w:pPr>
            <w:r w:rsidRPr="00D85A4F">
              <w:rPr>
                <w:rFonts w:cs="Arial"/>
              </w:rPr>
              <w:t>Date of birth</w:t>
            </w:r>
          </w:p>
        </w:tc>
        <w:tc>
          <w:tcPr>
            <w:tcW w:w="336" w:type="dxa"/>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4DB3A1B3"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3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F4F1E2D"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3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9458F7F"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3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C9ECB63"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3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2ED5D0D"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3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7176529"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3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7909A88"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36" w:type="dxa"/>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21851592"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r>
      <w:tr w:rsidR="00025FEB" w:rsidRPr="00D85A4F" w14:paraId="147885E6"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267"/>
        </w:trPr>
        <w:tc>
          <w:tcPr>
            <w:tcW w:w="6216" w:type="dxa"/>
            <w:vMerge/>
            <w:tcBorders>
              <w:left w:val="single" w:sz="4" w:space="0" w:color="auto"/>
              <w:right w:val="single" w:sz="4" w:space="0" w:color="auto"/>
            </w:tcBorders>
            <w:shd w:val="clear" w:color="auto" w:fill="auto"/>
            <w:vAlign w:val="center"/>
          </w:tcPr>
          <w:p w14:paraId="57E2E0E3" w14:textId="77777777" w:rsidR="00025FEB" w:rsidRPr="00D85A4F" w:rsidRDefault="00025FEB" w:rsidP="00BB4DC3">
            <w:pPr>
              <w:pStyle w:val="TableText"/>
              <w:rPr>
                <w:rFonts w:cs="Arial"/>
              </w:rPr>
            </w:pPr>
          </w:p>
        </w:tc>
        <w:tc>
          <w:tcPr>
            <w:tcW w:w="1864" w:type="dxa"/>
            <w:gridSpan w:val="2"/>
            <w:tcBorders>
              <w:top w:val="nil"/>
              <w:left w:val="single" w:sz="4" w:space="0" w:color="auto"/>
              <w:bottom w:val="nil"/>
              <w:right w:val="nil"/>
            </w:tcBorders>
            <w:shd w:val="clear" w:color="auto" w:fill="auto"/>
            <w:vAlign w:val="center"/>
          </w:tcPr>
          <w:p w14:paraId="35DA55C2" w14:textId="77777777" w:rsidR="00025FEB" w:rsidRPr="00D85A4F" w:rsidRDefault="00025FEB" w:rsidP="00BB4DC3">
            <w:pPr>
              <w:pStyle w:val="TableText"/>
              <w:jc w:val="right"/>
              <w:rPr>
                <w:rFonts w:cs="Arial"/>
              </w:rPr>
            </w:pPr>
          </w:p>
        </w:tc>
        <w:tc>
          <w:tcPr>
            <w:tcW w:w="2688" w:type="dxa"/>
            <w:gridSpan w:val="8"/>
            <w:tcBorders>
              <w:top w:val="single" w:sz="4" w:space="0" w:color="auto"/>
              <w:left w:val="nil"/>
              <w:bottom w:val="nil"/>
              <w:right w:val="nil"/>
            </w:tcBorders>
            <w:shd w:val="clear" w:color="auto" w:fill="auto"/>
            <w:vAlign w:val="center"/>
          </w:tcPr>
          <w:p w14:paraId="1418BF88" w14:textId="77777777" w:rsidR="00025FEB" w:rsidRPr="00D85A4F" w:rsidRDefault="00025FEB" w:rsidP="00BB4DC3">
            <w:pPr>
              <w:pStyle w:val="TableText"/>
              <w:rPr>
                <w:rFonts w:cs="Arial"/>
              </w:rPr>
            </w:pPr>
          </w:p>
        </w:tc>
      </w:tr>
      <w:tr w:rsidR="00025FEB" w:rsidRPr="00D85A4F" w14:paraId="43A76E35"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267"/>
        </w:trPr>
        <w:tc>
          <w:tcPr>
            <w:tcW w:w="6216" w:type="dxa"/>
            <w:vMerge/>
            <w:tcBorders>
              <w:left w:val="single" w:sz="4" w:space="0" w:color="auto"/>
              <w:bottom w:val="single" w:sz="4" w:space="0" w:color="auto"/>
              <w:right w:val="single" w:sz="4" w:space="0" w:color="auto"/>
            </w:tcBorders>
            <w:shd w:val="clear" w:color="auto" w:fill="auto"/>
            <w:vAlign w:val="center"/>
          </w:tcPr>
          <w:p w14:paraId="6EB57296" w14:textId="77777777" w:rsidR="00025FEB" w:rsidRPr="00D85A4F" w:rsidRDefault="00025FEB" w:rsidP="00BB4DC3">
            <w:pPr>
              <w:pStyle w:val="TableText"/>
              <w:rPr>
                <w:rFonts w:cs="Arial"/>
              </w:rPr>
            </w:pPr>
          </w:p>
        </w:tc>
        <w:tc>
          <w:tcPr>
            <w:tcW w:w="1864" w:type="dxa"/>
            <w:gridSpan w:val="2"/>
            <w:tcBorders>
              <w:top w:val="nil"/>
              <w:left w:val="single" w:sz="4" w:space="0" w:color="auto"/>
              <w:bottom w:val="nil"/>
              <w:right w:val="nil"/>
            </w:tcBorders>
            <w:shd w:val="clear" w:color="auto" w:fill="auto"/>
            <w:vAlign w:val="center"/>
          </w:tcPr>
          <w:p w14:paraId="41F9E0E0" w14:textId="77777777" w:rsidR="00025FEB" w:rsidRPr="00D85A4F" w:rsidRDefault="00025FEB" w:rsidP="00BB4DC3">
            <w:pPr>
              <w:pStyle w:val="TableText"/>
              <w:jc w:val="right"/>
              <w:rPr>
                <w:rFonts w:cs="Arial"/>
              </w:rPr>
            </w:pPr>
          </w:p>
        </w:tc>
        <w:tc>
          <w:tcPr>
            <w:tcW w:w="2688" w:type="dxa"/>
            <w:gridSpan w:val="8"/>
            <w:tcBorders>
              <w:top w:val="nil"/>
              <w:left w:val="nil"/>
              <w:bottom w:val="nil"/>
              <w:right w:val="nil"/>
            </w:tcBorders>
            <w:shd w:val="clear" w:color="auto" w:fill="auto"/>
            <w:vAlign w:val="center"/>
          </w:tcPr>
          <w:p w14:paraId="2A34B8EF" w14:textId="77777777" w:rsidR="00025FEB" w:rsidRPr="00D85A4F" w:rsidRDefault="00025FEB" w:rsidP="00BB4DC3">
            <w:pPr>
              <w:pStyle w:val="TableText"/>
              <w:rPr>
                <w:rFonts w:cs="Arial"/>
              </w:rPr>
            </w:pPr>
          </w:p>
        </w:tc>
      </w:tr>
    </w:tbl>
    <w:p w14:paraId="093BC8BD" w14:textId="77777777" w:rsidR="00025FEB" w:rsidRPr="00D85A4F" w:rsidRDefault="00025FEB" w:rsidP="00025FEB">
      <w:pPr>
        <w:spacing w:before="120"/>
      </w:pPr>
    </w:p>
    <w:tbl>
      <w:tblPr>
        <w:tblStyle w:val="TableGrid"/>
        <w:tblW w:w="10774" w:type="dxa"/>
        <w:tblInd w:w="57" w:type="dxa"/>
        <w:tblLayout w:type="fixed"/>
        <w:tblCellMar>
          <w:left w:w="57" w:type="dxa"/>
          <w:right w:w="57" w:type="dxa"/>
        </w:tblCellMar>
        <w:tblLook w:val="04A0" w:firstRow="1" w:lastRow="0" w:firstColumn="1" w:lastColumn="0" w:noHBand="0" w:noVBand="1"/>
      </w:tblPr>
      <w:tblGrid>
        <w:gridCol w:w="284"/>
        <w:gridCol w:w="10490"/>
      </w:tblGrid>
      <w:tr w:rsidR="00025FEB" w:rsidRPr="00D85A4F" w14:paraId="2C441191" w14:textId="77777777" w:rsidTr="00BB4DC3">
        <w:trPr>
          <w:cantSplit/>
        </w:trPr>
        <w:tc>
          <w:tcPr>
            <w:tcW w:w="10774" w:type="dxa"/>
            <w:gridSpan w:val="2"/>
            <w:tcBorders>
              <w:top w:val="nil"/>
              <w:left w:val="nil"/>
              <w:bottom w:val="nil"/>
              <w:right w:val="nil"/>
            </w:tcBorders>
            <w:vAlign w:val="center"/>
          </w:tcPr>
          <w:p w14:paraId="5590BA33" w14:textId="77777777" w:rsidR="00025FEB" w:rsidRPr="00D85A4F" w:rsidRDefault="00025FEB" w:rsidP="00BB4DC3">
            <w:pPr>
              <w:pStyle w:val="TableText"/>
              <w:spacing w:before="120" w:after="30"/>
              <w:ind w:left="-57"/>
              <w:rPr>
                <w:rFonts w:cs="Arial"/>
              </w:rPr>
            </w:pPr>
            <w:r w:rsidRPr="00D85A4F">
              <w:rPr>
                <w:rFonts w:cs="Arial"/>
              </w:rPr>
              <w:t>I have: (delete one)</w:t>
            </w:r>
          </w:p>
        </w:tc>
      </w:tr>
      <w:tr w:rsidR="00025FEB" w:rsidRPr="00D85A4F" w14:paraId="7A8A00AD" w14:textId="77777777" w:rsidTr="00BB4DC3">
        <w:trPr>
          <w:cantSplit/>
        </w:trPr>
        <w:tc>
          <w:tcPr>
            <w:tcW w:w="284" w:type="dxa"/>
            <w:tcBorders>
              <w:top w:val="nil"/>
              <w:left w:val="nil"/>
              <w:bottom w:val="nil"/>
              <w:right w:val="nil"/>
            </w:tcBorders>
            <w:vAlign w:val="center"/>
          </w:tcPr>
          <w:p w14:paraId="4A62B5C0" w14:textId="77777777" w:rsidR="00025FEB" w:rsidRPr="00D85A4F" w:rsidRDefault="00025FEB" w:rsidP="00BB4DC3">
            <w:pPr>
              <w:pStyle w:val="TableText"/>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90" w:type="dxa"/>
            <w:tcBorders>
              <w:top w:val="nil"/>
              <w:left w:val="nil"/>
              <w:bottom w:val="nil"/>
              <w:right w:val="nil"/>
            </w:tcBorders>
            <w:vAlign w:val="center"/>
          </w:tcPr>
          <w:p w14:paraId="47E36AEE" w14:textId="77777777" w:rsidR="00025FEB" w:rsidRPr="00D85A4F" w:rsidRDefault="00025FEB" w:rsidP="00BB4DC3">
            <w:pPr>
              <w:pStyle w:val="TableText"/>
              <w:rPr>
                <w:rFonts w:cs="Arial"/>
              </w:rPr>
            </w:pPr>
            <w:r w:rsidRPr="00D85A4F">
              <w:rPr>
                <w:rFonts w:cs="Arial"/>
              </w:rPr>
              <w:t>requested or</w:t>
            </w:r>
          </w:p>
        </w:tc>
      </w:tr>
      <w:tr w:rsidR="00025FEB" w:rsidRPr="00D85A4F" w14:paraId="65E9E3C4" w14:textId="77777777" w:rsidTr="00BB4DC3">
        <w:trPr>
          <w:cantSplit/>
        </w:trPr>
        <w:tc>
          <w:tcPr>
            <w:tcW w:w="284" w:type="dxa"/>
            <w:tcBorders>
              <w:top w:val="nil"/>
              <w:left w:val="nil"/>
              <w:bottom w:val="nil"/>
              <w:right w:val="nil"/>
            </w:tcBorders>
            <w:vAlign w:val="center"/>
          </w:tcPr>
          <w:p w14:paraId="1B48F359" w14:textId="77777777" w:rsidR="00025FEB" w:rsidRPr="00D85A4F" w:rsidRDefault="00025FEB" w:rsidP="00BB4DC3">
            <w:pPr>
              <w:pStyle w:val="TableText"/>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90" w:type="dxa"/>
            <w:tcBorders>
              <w:top w:val="nil"/>
              <w:left w:val="nil"/>
              <w:bottom w:val="nil"/>
              <w:right w:val="nil"/>
            </w:tcBorders>
            <w:vAlign w:val="center"/>
          </w:tcPr>
          <w:p w14:paraId="58AC529B" w14:textId="77777777" w:rsidR="00025FEB" w:rsidRPr="00D85A4F" w:rsidRDefault="00025FEB" w:rsidP="00BB4DC3">
            <w:pPr>
              <w:pStyle w:val="TableText"/>
              <w:rPr>
                <w:rFonts w:cs="Arial"/>
              </w:rPr>
            </w:pPr>
            <w:r w:rsidRPr="00D85A4F">
              <w:rPr>
                <w:rFonts w:cs="Arial"/>
              </w:rPr>
              <w:t>agreed</w:t>
            </w:r>
            <w:r>
              <w:rPr>
                <w:rFonts w:cs="Arial"/>
              </w:rPr>
              <w:t xml:space="preserve"> to</w:t>
            </w:r>
          </w:p>
        </w:tc>
      </w:tr>
      <w:tr w:rsidR="00025FEB" w:rsidRPr="00D85A4F" w14:paraId="4E710C82" w14:textId="77777777" w:rsidTr="00BB4DC3">
        <w:trPr>
          <w:cantSplit/>
        </w:trPr>
        <w:tc>
          <w:tcPr>
            <w:tcW w:w="10774" w:type="dxa"/>
            <w:gridSpan w:val="2"/>
            <w:tcBorders>
              <w:top w:val="nil"/>
              <w:left w:val="nil"/>
              <w:bottom w:val="nil"/>
              <w:right w:val="nil"/>
            </w:tcBorders>
            <w:vAlign w:val="center"/>
          </w:tcPr>
          <w:p w14:paraId="58D3BFC7" w14:textId="77777777" w:rsidR="00025FEB" w:rsidRPr="00D85A4F" w:rsidRDefault="00025FEB" w:rsidP="00BB4DC3">
            <w:pPr>
              <w:pStyle w:val="TableText"/>
              <w:spacing w:after="30"/>
              <w:ind w:left="-57"/>
              <w:rPr>
                <w:rFonts w:cs="Arial"/>
              </w:rPr>
            </w:pPr>
            <w:r w:rsidRPr="00D85A4F">
              <w:rPr>
                <w:rFonts w:cs="Arial"/>
              </w:rPr>
              <w:t>voluntary inpatient admission and treatment. I understand that I may withdraw my consent at any time.</w:t>
            </w:r>
          </w:p>
        </w:tc>
      </w:tr>
    </w:tbl>
    <w:p w14:paraId="61F9C18C" w14:textId="77777777" w:rsidR="00025FEB" w:rsidRPr="00D85A4F" w:rsidRDefault="00025FEB" w:rsidP="00025FEB">
      <w:pPr>
        <w:spacing w:before="240"/>
      </w:pPr>
    </w:p>
    <w:tbl>
      <w:tblPr>
        <w:tblStyle w:val="TableGrid"/>
        <w:tblW w:w="10774" w:type="dxa"/>
        <w:tblInd w:w="57" w:type="dxa"/>
        <w:tblLayout w:type="fixed"/>
        <w:tblCellMar>
          <w:left w:w="57" w:type="dxa"/>
          <w:right w:w="57" w:type="dxa"/>
        </w:tblCellMar>
        <w:tblLook w:val="04A0" w:firstRow="1" w:lastRow="0" w:firstColumn="1" w:lastColumn="0" w:noHBand="0" w:noVBand="1"/>
      </w:tblPr>
      <w:tblGrid>
        <w:gridCol w:w="284"/>
        <w:gridCol w:w="10490"/>
      </w:tblGrid>
      <w:tr w:rsidR="00025FEB" w:rsidRPr="00D85A4F" w14:paraId="4FCC202B" w14:textId="77777777" w:rsidTr="00BB4DC3">
        <w:trPr>
          <w:cantSplit/>
        </w:trPr>
        <w:tc>
          <w:tcPr>
            <w:tcW w:w="10774" w:type="dxa"/>
            <w:gridSpan w:val="2"/>
            <w:tcBorders>
              <w:top w:val="nil"/>
              <w:left w:val="nil"/>
              <w:bottom w:val="nil"/>
              <w:right w:val="nil"/>
            </w:tcBorders>
            <w:vAlign w:val="center"/>
          </w:tcPr>
          <w:p w14:paraId="45830E65" w14:textId="77777777" w:rsidR="00025FEB" w:rsidRPr="00D85A4F" w:rsidRDefault="00025FEB" w:rsidP="00BB4DC3">
            <w:pPr>
              <w:pStyle w:val="TableText"/>
              <w:spacing w:before="120" w:after="30"/>
              <w:ind w:left="-57"/>
              <w:rPr>
                <w:rFonts w:cs="Arial"/>
              </w:rPr>
            </w:pPr>
            <w:r w:rsidRPr="00D85A4F">
              <w:rPr>
                <w:rFonts w:cs="Arial"/>
              </w:rPr>
              <w:t>The following people will be notified of this admission:</w:t>
            </w:r>
          </w:p>
        </w:tc>
      </w:tr>
      <w:tr w:rsidR="00025FEB" w:rsidRPr="00D85A4F" w14:paraId="51FCDD29" w14:textId="77777777" w:rsidTr="00BB4DC3">
        <w:trPr>
          <w:cantSplit/>
        </w:trPr>
        <w:tc>
          <w:tcPr>
            <w:tcW w:w="284" w:type="dxa"/>
            <w:tcBorders>
              <w:top w:val="nil"/>
              <w:left w:val="nil"/>
              <w:bottom w:val="nil"/>
              <w:right w:val="nil"/>
            </w:tcBorders>
            <w:vAlign w:val="center"/>
          </w:tcPr>
          <w:p w14:paraId="64FAE58A" w14:textId="77777777" w:rsidR="00025FEB" w:rsidRPr="00D85A4F" w:rsidRDefault="00025FEB" w:rsidP="00BB4DC3">
            <w:pPr>
              <w:pStyle w:val="TableText"/>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90" w:type="dxa"/>
            <w:tcBorders>
              <w:top w:val="nil"/>
              <w:left w:val="nil"/>
              <w:bottom w:val="nil"/>
              <w:right w:val="nil"/>
            </w:tcBorders>
            <w:vAlign w:val="center"/>
          </w:tcPr>
          <w:p w14:paraId="0844C9C2" w14:textId="77777777" w:rsidR="00025FEB" w:rsidRPr="00D85A4F" w:rsidRDefault="00025FEB" w:rsidP="00BB4DC3">
            <w:pPr>
              <w:pStyle w:val="TableText"/>
              <w:rPr>
                <w:rFonts w:cs="Arial"/>
              </w:rPr>
            </w:pPr>
            <w:r w:rsidRPr="00D85A4F">
              <w:rPr>
                <w:rFonts w:cs="Arial"/>
              </w:rPr>
              <w:t>Welfare guardian (if applicable)</w:t>
            </w:r>
          </w:p>
        </w:tc>
      </w:tr>
      <w:tr w:rsidR="00025FEB" w:rsidRPr="00D85A4F" w14:paraId="4737F3A3" w14:textId="77777777" w:rsidTr="00BB4DC3">
        <w:trPr>
          <w:cantSplit/>
        </w:trPr>
        <w:tc>
          <w:tcPr>
            <w:tcW w:w="284" w:type="dxa"/>
            <w:tcBorders>
              <w:top w:val="nil"/>
              <w:left w:val="nil"/>
              <w:bottom w:val="nil"/>
              <w:right w:val="nil"/>
            </w:tcBorders>
            <w:vAlign w:val="center"/>
          </w:tcPr>
          <w:p w14:paraId="6CBD44E2" w14:textId="77777777" w:rsidR="00025FEB" w:rsidRPr="00D85A4F" w:rsidRDefault="00025FEB" w:rsidP="00BB4DC3">
            <w:pPr>
              <w:pStyle w:val="TableText"/>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90" w:type="dxa"/>
            <w:tcBorders>
              <w:top w:val="nil"/>
              <w:left w:val="nil"/>
              <w:bottom w:val="nil"/>
              <w:right w:val="nil"/>
            </w:tcBorders>
            <w:vAlign w:val="center"/>
          </w:tcPr>
          <w:p w14:paraId="34088DE2" w14:textId="77777777" w:rsidR="00025FEB" w:rsidRPr="00D85A4F" w:rsidRDefault="00025FEB" w:rsidP="00BB4DC3">
            <w:pPr>
              <w:pStyle w:val="TableText"/>
              <w:rPr>
                <w:rFonts w:cs="Arial"/>
              </w:rPr>
            </w:pPr>
            <w:r w:rsidRPr="00D85A4F">
              <w:rPr>
                <w:rFonts w:cs="Arial"/>
              </w:rPr>
              <w:t>District inspectors</w:t>
            </w:r>
          </w:p>
        </w:tc>
      </w:tr>
      <w:tr w:rsidR="00025FEB" w:rsidRPr="00D85A4F" w14:paraId="47DF7F9B" w14:textId="77777777" w:rsidTr="00BB4DC3">
        <w:trPr>
          <w:cantSplit/>
        </w:trPr>
        <w:tc>
          <w:tcPr>
            <w:tcW w:w="284" w:type="dxa"/>
            <w:tcBorders>
              <w:top w:val="nil"/>
              <w:left w:val="nil"/>
              <w:bottom w:val="nil"/>
              <w:right w:val="nil"/>
            </w:tcBorders>
            <w:vAlign w:val="center"/>
          </w:tcPr>
          <w:p w14:paraId="488A9A91" w14:textId="77777777" w:rsidR="00025FEB" w:rsidRPr="00D85A4F" w:rsidRDefault="00025FEB" w:rsidP="00BB4DC3">
            <w:pPr>
              <w:pStyle w:val="TableText"/>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90" w:type="dxa"/>
            <w:tcBorders>
              <w:top w:val="nil"/>
              <w:left w:val="nil"/>
              <w:bottom w:val="nil"/>
              <w:right w:val="nil"/>
            </w:tcBorders>
            <w:vAlign w:val="center"/>
          </w:tcPr>
          <w:p w14:paraId="08588B2A" w14:textId="65DFFE8F" w:rsidR="00025FEB" w:rsidRPr="00D85A4F" w:rsidRDefault="00025FEB" w:rsidP="00BB4DC3">
            <w:pPr>
              <w:pStyle w:val="TableText"/>
              <w:rPr>
                <w:rFonts w:cs="Arial"/>
              </w:rPr>
            </w:pPr>
            <w:r w:rsidRPr="00D85A4F">
              <w:rPr>
                <w:rFonts w:cs="Arial"/>
              </w:rPr>
              <w:t xml:space="preserve">DAMHS </w:t>
            </w:r>
          </w:p>
        </w:tc>
      </w:tr>
      <w:tr w:rsidR="00025FEB" w:rsidRPr="00D85A4F" w14:paraId="1C2D6558" w14:textId="77777777" w:rsidTr="00BB4DC3">
        <w:trPr>
          <w:cantSplit/>
        </w:trPr>
        <w:tc>
          <w:tcPr>
            <w:tcW w:w="284" w:type="dxa"/>
            <w:tcBorders>
              <w:top w:val="nil"/>
              <w:left w:val="nil"/>
              <w:bottom w:val="nil"/>
              <w:right w:val="nil"/>
            </w:tcBorders>
            <w:vAlign w:val="center"/>
          </w:tcPr>
          <w:p w14:paraId="642F43BC" w14:textId="77777777" w:rsidR="00025FEB" w:rsidRPr="00D85A4F" w:rsidRDefault="00025FEB" w:rsidP="00BB4DC3">
            <w:pPr>
              <w:pStyle w:val="TableText"/>
              <w:ind w:left="-57"/>
            </w:pPr>
            <w:r w:rsidRPr="00D85A4F">
              <w:rPr>
                <w:rFonts w:cs="Arial"/>
                <w:sz w:val="24"/>
                <w:szCs w:val="24"/>
              </w:rPr>
              <w:fldChar w:fldCharType="begin">
                <w:ffData>
                  <w:name w:val="Check2"/>
                  <w:enabled/>
                  <w:calcOnExit w:val="0"/>
                  <w:checkBox>
                    <w:sizeAuto/>
                    <w:default w:val="0"/>
                  </w:checkBox>
                </w:ffData>
              </w:fldChar>
            </w:r>
            <w:r w:rsidRPr="00D85A4F">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D85A4F">
              <w:rPr>
                <w:rFonts w:cs="Arial"/>
                <w:sz w:val="24"/>
                <w:szCs w:val="24"/>
              </w:rPr>
              <w:fldChar w:fldCharType="end"/>
            </w:r>
          </w:p>
        </w:tc>
        <w:tc>
          <w:tcPr>
            <w:tcW w:w="10490" w:type="dxa"/>
            <w:tcBorders>
              <w:top w:val="nil"/>
              <w:left w:val="nil"/>
              <w:bottom w:val="nil"/>
              <w:right w:val="nil"/>
            </w:tcBorders>
            <w:vAlign w:val="center"/>
          </w:tcPr>
          <w:p w14:paraId="044668C1" w14:textId="77777777" w:rsidR="00025FEB" w:rsidRPr="00D85A4F" w:rsidRDefault="00025FEB" w:rsidP="00BB4DC3">
            <w:pPr>
              <w:pStyle w:val="TableText"/>
              <w:rPr>
                <w:rFonts w:cs="Arial"/>
              </w:rPr>
            </w:pPr>
            <w:r w:rsidRPr="00D85A4F">
              <w:rPr>
                <w:rFonts w:cs="Arial"/>
              </w:rPr>
              <w:t>Director of Mental Health</w:t>
            </w:r>
          </w:p>
        </w:tc>
      </w:tr>
    </w:tbl>
    <w:p w14:paraId="1495A169" w14:textId="77777777" w:rsidR="00025FEB" w:rsidRPr="00D85A4F" w:rsidRDefault="00025FEB" w:rsidP="00025FEB">
      <w:pPr>
        <w:spacing w:before="240"/>
      </w:pPr>
    </w:p>
    <w:tbl>
      <w:tblPr>
        <w:tblStyle w:val="TableGrid"/>
        <w:tblW w:w="10774" w:type="dxa"/>
        <w:tblInd w:w="57" w:type="dxa"/>
        <w:tblLayout w:type="fixed"/>
        <w:tblCellMar>
          <w:left w:w="57" w:type="dxa"/>
          <w:right w:w="57" w:type="dxa"/>
        </w:tblCellMar>
        <w:tblLook w:val="04A0" w:firstRow="1" w:lastRow="0" w:firstColumn="1" w:lastColumn="0" w:noHBand="0" w:noVBand="1"/>
      </w:tblPr>
      <w:tblGrid>
        <w:gridCol w:w="10774"/>
      </w:tblGrid>
      <w:tr w:rsidR="00025FEB" w:rsidRPr="00D85A4F" w14:paraId="6E81D377" w14:textId="77777777" w:rsidTr="00BB4DC3">
        <w:trPr>
          <w:cantSplit/>
        </w:trPr>
        <w:tc>
          <w:tcPr>
            <w:tcW w:w="10774" w:type="dxa"/>
            <w:tcBorders>
              <w:top w:val="nil"/>
              <w:left w:val="nil"/>
              <w:bottom w:val="nil"/>
              <w:right w:val="nil"/>
            </w:tcBorders>
            <w:shd w:val="clear" w:color="auto" w:fill="000000" w:themeFill="text1"/>
            <w:vAlign w:val="center"/>
          </w:tcPr>
          <w:p w14:paraId="4B5DF4B6" w14:textId="77777777" w:rsidR="00025FEB" w:rsidRPr="00D85A4F" w:rsidRDefault="00025FEB" w:rsidP="00BB4DC3">
            <w:pPr>
              <w:pStyle w:val="TableText"/>
              <w:ind w:left="425" w:hanging="425"/>
              <w:rPr>
                <w:rFonts w:cs="Arial"/>
              </w:rPr>
            </w:pPr>
            <w:r w:rsidRPr="00D85A4F">
              <w:rPr>
                <w:rFonts w:cs="Arial"/>
                <w:b/>
                <w:sz w:val="24"/>
                <w:szCs w:val="28"/>
              </w:rPr>
              <w:t>Signature</w:t>
            </w:r>
          </w:p>
        </w:tc>
      </w:tr>
    </w:tbl>
    <w:p w14:paraId="059A64E9" w14:textId="77777777" w:rsidR="00025FEB" w:rsidRPr="00D85A4F" w:rsidRDefault="00025FEB" w:rsidP="00025FEB">
      <w:pPr>
        <w:rPr>
          <w:sz w:val="10"/>
          <w:szCs w:val="10"/>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134"/>
        <w:gridCol w:w="6096"/>
        <w:gridCol w:w="708"/>
        <w:gridCol w:w="354"/>
        <w:gridCol w:w="354"/>
        <w:gridCol w:w="355"/>
        <w:gridCol w:w="354"/>
        <w:gridCol w:w="354"/>
        <w:gridCol w:w="355"/>
        <w:gridCol w:w="354"/>
        <w:gridCol w:w="355"/>
      </w:tblGrid>
      <w:tr w:rsidR="00025FEB" w:rsidRPr="00D85A4F" w14:paraId="4AA0ABEA" w14:textId="77777777" w:rsidTr="00BB4DC3">
        <w:trPr>
          <w:cantSplit/>
          <w:trHeight w:val="267"/>
        </w:trPr>
        <w:tc>
          <w:tcPr>
            <w:tcW w:w="1134" w:type="dxa"/>
            <w:tcBorders>
              <w:top w:val="nil"/>
              <w:left w:val="nil"/>
              <w:bottom w:val="nil"/>
              <w:right w:val="single" w:sz="4" w:space="0" w:color="auto"/>
            </w:tcBorders>
            <w:shd w:val="clear" w:color="auto" w:fill="auto"/>
          </w:tcPr>
          <w:p w14:paraId="0F1DE8AF" w14:textId="77777777" w:rsidR="00025FEB" w:rsidRPr="00D85A4F" w:rsidRDefault="00025FEB" w:rsidP="00BB4DC3">
            <w:pPr>
              <w:pStyle w:val="TableText"/>
              <w:ind w:left="-57"/>
              <w:rPr>
                <w:rFonts w:cs="Arial"/>
              </w:rPr>
            </w:pPr>
            <w:r w:rsidRPr="00D85A4F">
              <w:rPr>
                <w:rFonts w:cs="Arial"/>
              </w:rPr>
              <w:t>Signed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974313B" w14:textId="77777777" w:rsidR="00025FEB" w:rsidRPr="00D85A4F" w:rsidRDefault="00025FEB" w:rsidP="00BB4DC3">
            <w:pPr>
              <w:pStyle w:val="TableText"/>
              <w:rPr>
                <w:rFonts w:cs="Arial"/>
                <w:i/>
              </w:rPr>
            </w:pPr>
          </w:p>
        </w:tc>
        <w:tc>
          <w:tcPr>
            <w:tcW w:w="708" w:type="dxa"/>
            <w:tcBorders>
              <w:top w:val="nil"/>
              <w:left w:val="single" w:sz="4" w:space="0" w:color="auto"/>
              <w:bottom w:val="nil"/>
              <w:right w:val="single" w:sz="4" w:space="0" w:color="auto"/>
            </w:tcBorders>
            <w:shd w:val="clear" w:color="auto" w:fill="auto"/>
            <w:vAlign w:val="center"/>
          </w:tcPr>
          <w:p w14:paraId="49916BFD" w14:textId="77777777" w:rsidR="00025FEB" w:rsidRPr="00D85A4F" w:rsidRDefault="00025FEB" w:rsidP="00BB4DC3">
            <w:pPr>
              <w:pStyle w:val="TableText"/>
              <w:jc w:val="right"/>
              <w:rPr>
                <w:rFonts w:cs="Arial"/>
              </w:rPr>
            </w:pPr>
            <w:r w:rsidRPr="00D85A4F">
              <w:rPr>
                <w:rFonts w:cs="Arial"/>
              </w:rPr>
              <w:t>Date</w:t>
            </w:r>
          </w:p>
        </w:tc>
        <w:tc>
          <w:tcPr>
            <w:tcW w:w="354" w:type="dxa"/>
            <w:tcBorders>
              <w:top w:val="single" w:sz="4" w:space="0" w:color="auto"/>
              <w:left w:val="single" w:sz="4" w:space="0" w:color="auto"/>
              <w:bottom w:val="single" w:sz="4" w:space="0" w:color="auto"/>
              <w:right w:val="single" w:sz="4" w:space="0" w:color="D9D9D9" w:themeColor="background1" w:themeShade="D9"/>
            </w:tcBorders>
            <w:shd w:val="clear" w:color="auto" w:fill="auto"/>
            <w:vAlign w:val="center"/>
          </w:tcPr>
          <w:p w14:paraId="6AE8B4A8"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C677282"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7A0F192"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46029C1"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82EC866"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5CAD17E"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0D3797C"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c>
          <w:tcPr>
            <w:tcW w:w="355" w:type="dxa"/>
            <w:tcBorders>
              <w:top w:val="single" w:sz="4" w:space="0" w:color="auto"/>
              <w:left w:val="single" w:sz="4" w:space="0" w:color="D9D9D9" w:themeColor="background1" w:themeShade="D9"/>
              <w:bottom w:val="single" w:sz="4" w:space="0" w:color="auto"/>
              <w:right w:val="single" w:sz="4" w:space="0" w:color="auto"/>
            </w:tcBorders>
            <w:shd w:val="clear" w:color="auto" w:fill="auto"/>
            <w:vAlign w:val="center"/>
          </w:tcPr>
          <w:p w14:paraId="6BE8520D" w14:textId="77777777" w:rsidR="00025FEB" w:rsidRPr="00D85A4F" w:rsidRDefault="00025FEB" w:rsidP="00BB4DC3">
            <w:pPr>
              <w:pStyle w:val="TableText"/>
              <w:jc w:val="center"/>
              <w:rPr>
                <w:rFonts w:cs="Arial"/>
              </w:rPr>
            </w:pPr>
            <w:r w:rsidRPr="00D85A4F">
              <w:rPr>
                <w:rFonts w:cs="Arial"/>
              </w:rPr>
              <w:fldChar w:fldCharType="begin">
                <w:ffData>
                  <w:name w:val=""/>
                  <w:enabled/>
                  <w:calcOnExit w:val="0"/>
                  <w:textInput>
                    <w:default w:val=" "/>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xml:space="preserve"> </w:t>
            </w:r>
            <w:r w:rsidRPr="00D85A4F">
              <w:rPr>
                <w:rFonts w:cs="Arial"/>
              </w:rPr>
              <w:fldChar w:fldCharType="end"/>
            </w:r>
          </w:p>
        </w:tc>
      </w:tr>
    </w:tbl>
    <w:p w14:paraId="10F01F21" w14:textId="77777777" w:rsidR="00025FEB" w:rsidRPr="00D85A4F" w:rsidRDefault="00025FEB" w:rsidP="00025FEB"/>
    <w:tbl>
      <w:tblPr>
        <w:tblStyle w:val="TableGrid"/>
        <w:tblW w:w="10779" w:type="dxa"/>
        <w:tblInd w:w="57" w:type="dxa"/>
        <w:tblLayout w:type="fixed"/>
        <w:tblCellMar>
          <w:left w:w="57" w:type="dxa"/>
          <w:right w:w="57" w:type="dxa"/>
        </w:tblCellMar>
        <w:tblLook w:val="04A0" w:firstRow="1" w:lastRow="0" w:firstColumn="1" w:lastColumn="0" w:noHBand="0" w:noVBand="1"/>
      </w:tblPr>
      <w:tblGrid>
        <w:gridCol w:w="1134"/>
        <w:gridCol w:w="9645"/>
      </w:tblGrid>
      <w:tr w:rsidR="00025FEB" w:rsidRPr="00D85A4F" w14:paraId="2512EE6D" w14:textId="77777777" w:rsidTr="00BB4DC3">
        <w:trPr>
          <w:cantSplit/>
        </w:trPr>
        <w:tc>
          <w:tcPr>
            <w:tcW w:w="1134" w:type="dxa"/>
            <w:tcBorders>
              <w:top w:val="nil"/>
              <w:left w:val="nil"/>
              <w:bottom w:val="nil"/>
              <w:right w:val="single" w:sz="4" w:space="0" w:color="auto"/>
            </w:tcBorders>
          </w:tcPr>
          <w:p w14:paraId="66E6F6C6" w14:textId="77777777" w:rsidR="00025FEB" w:rsidRPr="00D85A4F" w:rsidRDefault="00025FEB" w:rsidP="00BB4DC3">
            <w:pPr>
              <w:pStyle w:val="TableText"/>
              <w:ind w:left="-57"/>
              <w:rPr>
                <w:rFonts w:cs="Arial"/>
              </w:rPr>
            </w:pPr>
            <w:r w:rsidRPr="00D85A4F">
              <w:rPr>
                <w:rFonts w:cs="Arial"/>
              </w:rPr>
              <w:t>Witness</w:t>
            </w:r>
          </w:p>
        </w:tc>
        <w:tc>
          <w:tcPr>
            <w:tcW w:w="9645" w:type="dxa"/>
            <w:tcBorders>
              <w:top w:val="single" w:sz="4" w:space="0" w:color="auto"/>
              <w:left w:val="single" w:sz="4" w:space="0" w:color="auto"/>
              <w:bottom w:val="single" w:sz="4" w:space="0" w:color="auto"/>
              <w:right w:val="single" w:sz="4" w:space="0" w:color="auto"/>
            </w:tcBorders>
          </w:tcPr>
          <w:p w14:paraId="4595F633"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r w:rsidR="00025FEB" w:rsidRPr="00D85A4F" w14:paraId="70067A4D" w14:textId="77777777" w:rsidTr="00BB4DC3">
        <w:trPr>
          <w:cantSplit/>
        </w:trPr>
        <w:tc>
          <w:tcPr>
            <w:tcW w:w="1134" w:type="dxa"/>
            <w:tcBorders>
              <w:top w:val="nil"/>
              <w:left w:val="nil"/>
              <w:bottom w:val="nil"/>
              <w:right w:val="single" w:sz="4" w:space="0" w:color="auto"/>
            </w:tcBorders>
          </w:tcPr>
          <w:p w14:paraId="625194A7" w14:textId="77777777" w:rsidR="00025FEB" w:rsidRPr="00D85A4F" w:rsidRDefault="00025FEB" w:rsidP="00BB4DC3">
            <w:pPr>
              <w:pStyle w:val="TableText"/>
              <w:ind w:left="-57"/>
              <w:rPr>
                <w:rFonts w:cs="Arial"/>
              </w:rPr>
            </w:pPr>
            <w:r w:rsidRPr="00D85A4F">
              <w:rPr>
                <w:rFonts w:cs="Arial"/>
              </w:rPr>
              <w:t>Designation</w:t>
            </w:r>
          </w:p>
        </w:tc>
        <w:tc>
          <w:tcPr>
            <w:tcW w:w="9645" w:type="dxa"/>
            <w:tcBorders>
              <w:top w:val="single" w:sz="4" w:space="0" w:color="auto"/>
              <w:left w:val="single" w:sz="4" w:space="0" w:color="auto"/>
              <w:bottom w:val="single" w:sz="4" w:space="0" w:color="auto"/>
              <w:right w:val="single" w:sz="4" w:space="0" w:color="auto"/>
            </w:tcBorders>
          </w:tcPr>
          <w:p w14:paraId="6EC0A853" w14:textId="77777777" w:rsidR="00025FEB" w:rsidRPr="00D85A4F" w:rsidRDefault="00025FEB" w:rsidP="00BB4DC3">
            <w:pPr>
              <w:pStyle w:val="TableText"/>
              <w:rPr>
                <w:rFonts w:cs="Arial"/>
              </w:rPr>
            </w:pPr>
            <w:r w:rsidRPr="00D85A4F">
              <w:rPr>
                <w:rFonts w:cs="Arial"/>
              </w:rPr>
              <w:fldChar w:fldCharType="begin">
                <w:ffData>
                  <w:name w:val="Text1"/>
                  <w:enabled/>
                  <w:calcOnExit w:val="0"/>
                  <w:textInput/>
                </w:ffData>
              </w:fldChar>
            </w:r>
            <w:r w:rsidRPr="00D85A4F">
              <w:rPr>
                <w:rFonts w:cs="Arial"/>
              </w:rPr>
              <w:instrText xml:space="preserve"> FORMTEXT </w:instrText>
            </w:r>
            <w:r w:rsidRPr="00D85A4F">
              <w:rPr>
                <w:rFonts w:cs="Arial"/>
              </w:rPr>
            </w:r>
            <w:r w:rsidRPr="00D85A4F">
              <w:rPr>
                <w:rFonts w:cs="Arial"/>
              </w:rPr>
              <w:fldChar w:fldCharType="separate"/>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noProof/>
              </w:rPr>
              <w:t> </w:t>
            </w:r>
            <w:r w:rsidRPr="00D85A4F">
              <w:rPr>
                <w:rFonts w:cs="Arial"/>
              </w:rPr>
              <w:fldChar w:fldCharType="end"/>
            </w:r>
          </w:p>
        </w:tc>
      </w:tr>
    </w:tbl>
    <w:p w14:paraId="438EC971" w14:textId="77777777" w:rsidR="00025FEB" w:rsidRPr="00D85A4F" w:rsidRDefault="00025FEB" w:rsidP="00025FEB"/>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709"/>
        <w:gridCol w:w="7371"/>
        <w:gridCol w:w="2132"/>
      </w:tblGrid>
      <w:tr w:rsidR="00025FEB" w:rsidRPr="00D85A4F" w14:paraId="0ED1C7AE" w14:textId="77777777" w:rsidTr="00BB4DC3">
        <w:trPr>
          <w:cantSplit/>
          <w:trHeight w:val="253"/>
        </w:trPr>
        <w:tc>
          <w:tcPr>
            <w:tcW w:w="8647" w:type="dxa"/>
            <w:gridSpan w:val="3"/>
            <w:vAlign w:val="center"/>
          </w:tcPr>
          <w:p w14:paraId="57D2DC6D" w14:textId="5D359894" w:rsidR="00025FEB" w:rsidRPr="00D85A4F" w:rsidRDefault="00025FEB" w:rsidP="00BB4DC3">
            <w:pPr>
              <w:pageBreakBefore/>
              <w:ind w:left="-57"/>
              <w:rPr>
                <w:rFonts w:ascii="Arial" w:hAnsi="Arial" w:cs="Arial"/>
                <w:i/>
                <w:noProof/>
                <w:sz w:val="36"/>
                <w:szCs w:val="36"/>
                <w:lang w:eastAsia="en-NZ"/>
              </w:rPr>
            </w:pPr>
            <w:r w:rsidRPr="00D85A4F">
              <w:rPr>
                <w:rFonts w:ascii="Arial" w:hAnsi="Arial" w:cs="Arial"/>
                <w:b/>
                <w:sz w:val="36"/>
                <w:szCs w:val="36"/>
              </w:rPr>
              <w:t>Checklist for</w:t>
            </w:r>
            <w:r w:rsidR="004975BE">
              <w:rPr>
                <w:rFonts w:ascii="Arial" w:hAnsi="Arial" w:cs="Arial"/>
                <w:b/>
                <w:sz w:val="36"/>
                <w:szCs w:val="36"/>
              </w:rPr>
              <w:t xml:space="preserve"> applications for</w:t>
            </w:r>
            <w:r w:rsidRPr="00D85A4F">
              <w:rPr>
                <w:rFonts w:ascii="Arial" w:hAnsi="Arial" w:cs="Arial"/>
                <w:b/>
                <w:sz w:val="36"/>
                <w:szCs w:val="36"/>
              </w:rPr>
              <w:t xml:space="preserve"> short leave</w:t>
            </w:r>
            <w:r w:rsidRPr="00D85A4F">
              <w:rPr>
                <w:rFonts w:ascii="Arial" w:hAnsi="Arial" w:cs="Arial"/>
                <w:b/>
                <w:sz w:val="36"/>
                <w:szCs w:val="36"/>
              </w:rPr>
              <w:br/>
            </w:r>
            <w:r w:rsidRPr="00D85A4F">
              <w:rPr>
                <w:rFonts w:ascii="Arial" w:hAnsi="Arial" w:cs="Arial"/>
                <w:sz w:val="28"/>
                <w:szCs w:val="28"/>
              </w:rPr>
              <w:t xml:space="preserve">Section 52 </w:t>
            </w:r>
            <w:r>
              <w:rPr>
                <w:rFonts w:ascii="Arial" w:hAnsi="Arial" w:cs="Arial"/>
                <w:sz w:val="28"/>
                <w:szCs w:val="28"/>
              </w:rPr>
              <w:t xml:space="preserve">of the </w:t>
            </w:r>
            <w:r w:rsidRPr="00D85A4F">
              <w:rPr>
                <w:rFonts w:ascii="Arial" w:hAnsi="Arial" w:cs="Arial"/>
                <w:sz w:val="28"/>
                <w:szCs w:val="28"/>
              </w:rPr>
              <w:t>Mental Health</w:t>
            </w:r>
            <w:r w:rsidR="00B06324">
              <w:rPr>
                <w:rFonts w:ascii="Arial" w:hAnsi="Arial" w:cs="Arial"/>
                <w:sz w:val="28"/>
                <w:szCs w:val="28"/>
              </w:rPr>
              <w:t xml:space="preserve"> </w:t>
            </w:r>
            <w:r w:rsidR="00B06324" w:rsidRPr="00D85A4F" w:rsidDel="00B06324">
              <w:rPr>
                <w:rFonts w:ascii="Arial" w:hAnsi="Arial" w:cs="Arial"/>
                <w:sz w:val="28"/>
                <w:szCs w:val="28"/>
              </w:rPr>
              <w:t xml:space="preserve"> </w:t>
            </w:r>
            <w:r w:rsidRPr="00D85A4F">
              <w:rPr>
                <w:rFonts w:ascii="Arial" w:hAnsi="Arial" w:cs="Arial"/>
                <w:sz w:val="28"/>
                <w:szCs w:val="28"/>
              </w:rPr>
              <w:t>(Compulsory Assessment and Treatment) Act 1992</w:t>
            </w:r>
          </w:p>
        </w:tc>
        <w:tc>
          <w:tcPr>
            <w:tcW w:w="2132" w:type="dxa"/>
          </w:tcPr>
          <w:p w14:paraId="4F5F1C69" w14:textId="77777777" w:rsidR="00025FEB" w:rsidRPr="00D85A4F" w:rsidRDefault="00025FEB" w:rsidP="00BB4DC3">
            <w:pPr>
              <w:ind w:right="-57"/>
              <w:jc w:val="right"/>
              <w:rPr>
                <w:rFonts w:ascii="Arial" w:hAnsi="Arial" w:cs="Arial"/>
                <w:noProof/>
                <w:sz w:val="36"/>
                <w:szCs w:val="36"/>
                <w:lang w:eastAsia="en-NZ"/>
              </w:rPr>
            </w:pPr>
            <w:r>
              <w:rPr>
                <w:noProof/>
              </w:rPr>
              <w:drawing>
                <wp:anchor distT="0" distB="0" distL="114300" distR="114300" simplePos="0" relativeHeight="251658244" behindDoc="0" locked="0" layoutInCell="1" allowOverlap="1" wp14:anchorId="196404C0" wp14:editId="53B2613B">
                  <wp:simplePos x="0" y="0"/>
                  <wp:positionH relativeFrom="column">
                    <wp:posOffset>-2540</wp:posOffset>
                  </wp:positionH>
                  <wp:positionV relativeFrom="paragraph">
                    <wp:posOffset>2540</wp:posOffset>
                  </wp:positionV>
                  <wp:extent cx="1519555" cy="718185"/>
                  <wp:effectExtent l="0" t="0" r="4445" b="5715"/>
                  <wp:wrapNone/>
                  <wp:docPr id="11" name="Picture 1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inistry of Health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5FEB" w:rsidRPr="00D85A4F" w14:paraId="38A8576D"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79" w:type="dxa"/>
            <w:gridSpan w:val="4"/>
            <w:tcBorders>
              <w:top w:val="nil"/>
              <w:left w:val="nil"/>
              <w:bottom w:val="nil"/>
              <w:right w:val="nil"/>
            </w:tcBorders>
            <w:vAlign w:val="center"/>
          </w:tcPr>
          <w:p w14:paraId="20E62864" w14:textId="77777777" w:rsidR="00025FEB" w:rsidRPr="00D85A4F" w:rsidRDefault="00025FEB" w:rsidP="00BB4DC3">
            <w:pPr>
              <w:pStyle w:val="TableText"/>
              <w:spacing w:before="600" w:after="30"/>
              <w:ind w:left="-57"/>
              <w:rPr>
                <w:rFonts w:cs="Arial"/>
                <w:sz w:val="22"/>
                <w:szCs w:val="22"/>
              </w:rPr>
            </w:pPr>
            <w:r w:rsidRPr="00D85A4F">
              <w:rPr>
                <w:rFonts w:cs="Arial"/>
                <w:sz w:val="22"/>
                <w:szCs w:val="22"/>
              </w:rPr>
              <w:t>This application must include:</w:t>
            </w:r>
          </w:p>
        </w:tc>
      </w:tr>
      <w:tr w:rsidR="00025FEB" w:rsidRPr="00D85A4F" w14:paraId="73A57830"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D2EB4EF"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73E00179" w14:textId="77777777" w:rsidR="00025FEB" w:rsidRPr="00D85A4F" w:rsidRDefault="00025FEB" w:rsidP="00BB4DC3">
            <w:pPr>
              <w:pStyle w:val="TableText"/>
              <w:spacing w:before="240"/>
              <w:rPr>
                <w:rFonts w:cs="Arial"/>
                <w:sz w:val="22"/>
                <w:szCs w:val="22"/>
              </w:rPr>
            </w:pPr>
            <w:r w:rsidRPr="00D85A4F">
              <w:rPr>
                <w:rFonts w:cs="Arial"/>
                <w:sz w:val="22"/>
                <w:szCs w:val="22"/>
              </w:rPr>
              <w:t>an up-to-date report from the responsible clinician, providing the following information:</w:t>
            </w:r>
          </w:p>
        </w:tc>
      </w:tr>
      <w:tr w:rsidR="00025FEB" w:rsidRPr="00D85A4F" w14:paraId="7EAB6B4C"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E00C5BF"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6EAEF10C"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48625032" w14:textId="77777777" w:rsidR="00025FEB" w:rsidRPr="00D85A4F" w:rsidRDefault="00025FEB" w:rsidP="00BB4DC3">
            <w:pPr>
              <w:pStyle w:val="TableText"/>
              <w:rPr>
                <w:rFonts w:cs="Arial"/>
                <w:sz w:val="22"/>
                <w:szCs w:val="22"/>
              </w:rPr>
            </w:pPr>
            <w:r w:rsidRPr="00D85A4F">
              <w:rPr>
                <w:rFonts w:cs="Arial"/>
                <w:sz w:val="22"/>
                <w:szCs w:val="22"/>
              </w:rPr>
              <w:t>the patient’s legal status</w:t>
            </w:r>
          </w:p>
        </w:tc>
      </w:tr>
      <w:tr w:rsidR="00025FEB" w:rsidRPr="00D85A4F" w14:paraId="19EE7689"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11403A59"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680B25FF"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0EBD9449" w14:textId="77777777" w:rsidR="00025FEB" w:rsidRPr="00D85A4F" w:rsidRDefault="00025FEB" w:rsidP="00BB4DC3">
            <w:pPr>
              <w:pStyle w:val="TableText"/>
              <w:rPr>
                <w:rFonts w:cs="Arial"/>
                <w:sz w:val="22"/>
                <w:szCs w:val="22"/>
              </w:rPr>
            </w:pPr>
            <w:r w:rsidRPr="00D85A4F">
              <w:rPr>
                <w:rFonts w:cs="Arial"/>
                <w:sz w:val="22"/>
                <w:szCs w:val="22"/>
              </w:rPr>
              <w:t>a current mental state assessment</w:t>
            </w:r>
          </w:p>
        </w:tc>
      </w:tr>
      <w:tr w:rsidR="00025FEB" w:rsidRPr="00D85A4F" w14:paraId="2514E457"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6C461A38"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5868B5E0"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441642FE" w14:textId="77777777" w:rsidR="00025FEB" w:rsidRPr="00D85A4F" w:rsidRDefault="00025FEB" w:rsidP="00BB4DC3">
            <w:pPr>
              <w:pStyle w:val="TableText"/>
              <w:rPr>
                <w:rFonts w:cs="Arial"/>
                <w:sz w:val="22"/>
                <w:szCs w:val="22"/>
              </w:rPr>
            </w:pPr>
            <w:r w:rsidRPr="00D85A4F">
              <w:rPr>
                <w:rFonts w:cs="Arial"/>
                <w:sz w:val="22"/>
                <w:szCs w:val="22"/>
              </w:rPr>
              <w:t>justification of the leave request</w:t>
            </w:r>
          </w:p>
        </w:tc>
      </w:tr>
      <w:tr w:rsidR="00025FEB" w:rsidRPr="00D85A4F" w14:paraId="2C2CBB8F"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D889DD2"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6D1B4E50"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4B9848C6" w14:textId="3C8E31E1" w:rsidR="00025FEB" w:rsidRPr="00D85A4F" w:rsidRDefault="00025FEB" w:rsidP="00BB4DC3">
            <w:pPr>
              <w:pStyle w:val="TableText"/>
              <w:rPr>
                <w:rFonts w:cs="Arial"/>
                <w:sz w:val="22"/>
                <w:szCs w:val="22"/>
              </w:rPr>
            </w:pPr>
            <w:r w:rsidRPr="00D85A4F">
              <w:rPr>
                <w:rFonts w:cs="Arial"/>
                <w:sz w:val="22"/>
                <w:szCs w:val="22"/>
              </w:rPr>
              <w:t xml:space="preserve">a risk assessment and management plan for the patient while </w:t>
            </w:r>
            <w:r w:rsidR="008B1ECA">
              <w:rPr>
                <w:rFonts w:cs="Arial"/>
                <w:sz w:val="22"/>
                <w:szCs w:val="22"/>
              </w:rPr>
              <w:t xml:space="preserve">they are </w:t>
            </w:r>
            <w:r w:rsidRPr="00D85A4F">
              <w:rPr>
                <w:rFonts w:cs="Arial"/>
                <w:sz w:val="22"/>
                <w:szCs w:val="22"/>
              </w:rPr>
              <w:t xml:space="preserve">on leave, including </w:t>
            </w:r>
            <w:r w:rsidR="008B1ECA">
              <w:rPr>
                <w:rFonts w:cs="Arial"/>
                <w:sz w:val="22"/>
                <w:szCs w:val="22"/>
              </w:rPr>
              <w:t xml:space="preserve">in regard to </w:t>
            </w:r>
            <w:r w:rsidRPr="00D85A4F">
              <w:rPr>
                <w:rFonts w:cs="Arial"/>
                <w:sz w:val="22"/>
                <w:szCs w:val="22"/>
              </w:rPr>
              <w:t>flight risk</w:t>
            </w:r>
          </w:p>
        </w:tc>
      </w:tr>
      <w:tr w:rsidR="00025FEB" w:rsidRPr="00D85A4F" w14:paraId="01733B6E"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4B241871"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42CA896F"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6F072DC1" w14:textId="77777777" w:rsidR="00025FEB" w:rsidRPr="00D85A4F" w:rsidRDefault="00025FEB" w:rsidP="00BB4DC3">
            <w:pPr>
              <w:pStyle w:val="TableText"/>
              <w:rPr>
                <w:rFonts w:cs="Arial"/>
                <w:sz w:val="22"/>
                <w:szCs w:val="22"/>
              </w:rPr>
            </w:pPr>
            <w:r w:rsidRPr="00D85A4F">
              <w:rPr>
                <w:rFonts w:cs="Arial"/>
                <w:sz w:val="22"/>
                <w:szCs w:val="22"/>
              </w:rPr>
              <w:t>the proposed conditions of leave</w:t>
            </w:r>
          </w:p>
        </w:tc>
      </w:tr>
      <w:tr w:rsidR="00025FEB" w:rsidRPr="00D85A4F" w14:paraId="35088C89"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3CBB973E"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03A60CC8"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1444F8C6" w14:textId="77777777" w:rsidR="00025FEB" w:rsidRPr="00D85A4F" w:rsidRDefault="00025FEB" w:rsidP="00BB4DC3">
            <w:pPr>
              <w:pStyle w:val="TableText"/>
              <w:rPr>
                <w:rFonts w:cs="Arial"/>
                <w:sz w:val="22"/>
                <w:szCs w:val="22"/>
              </w:rPr>
            </w:pPr>
            <w:r w:rsidRPr="00D85A4F">
              <w:rPr>
                <w:rFonts w:cs="Arial"/>
                <w:sz w:val="22"/>
                <w:szCs w:val="22"/>
              </w:rPr>
              <w:t>any matters concerning victims, including the likelihood of the patient being in contact with the victim during leave</w:t>
            </w:r>
          </w:p>
        </w:tc>
      </w:tr>
      <w:tr w:rsidR="00025FEB" w:rsidRPr="00D85A4F" w14:paraId="696929CF"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4043DFC"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51CABAB2" w14:textId="6C2B3D6E" w:rsidR="00025FEB" w:rsidRPr="00D85A4F" w:rsidRDefault="00025FEB" w:rsidP="00BB4DC3">
            <w:pPr>
              <w:pStyle w:val="TableText"/>
              <w:spacing w:before="240"/>
              <w:rPr>
                <w:rFonts w:cs="Arial"/>
                <w:sz w:val="22"/>
                <w:szCs w:val="22"/>
              </w:rPr>
            </w:pPr>
            <w:r w:rsidRPr="00D85A4F">
              <w:rPr>
                <w:rFonts w:cs="Arial"/>
                <w:sz w:val="22"/>
                <w:szCs w:val="22"/>
              </w:rPr>
              <w:t xml:space="preserve">reference to the most recent </w:t>
            </w:r>
            <w:r w:rsidR="00331D12">
              <w:rPr>
                <w:rFonts w:cs="Arial"/>
                <w:sz w:val="22"/>
                <w:szCs w:val="22"/>
              </w:rPr>
              <w:t xml:space="preserve">SPRP </w:t>
            </w:r>
            <w:r w:rsidRPr="00D85A4F">
              <w:rPr>
                <w:rFonts w:cs="Arial"/>
                <w:sz w:val="22"/>
                <w:szCs w:val="22"/>
              </w:rPr>
              <w:t>report, if available.</w:t>
            </w:r>
          </w:p>
        </w:tc>
      </w:tr>
    </w:tbl>
    <w:p w14:paraId="0275E0AA" w14:textId="77777777" w:rsidR="00025FEB" w:rsidRPr="00D85A4F" w:rsidRDefault="00025FEB" w:rsidP="00025FEB"/>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709"/>
        <w:gridCol w:w="7371"/>
        <w:gridCol w:w="2132"/>
      </w:tblGrid>
      <w:tr w:rsidR="00025FEB" w:rsidRPr="00D85A4F" w14:paraId="5BBFA441" w14:textId="77777777" w:rsidTr="00BB4DC3">
        <w:trPr>
          <w:cantSplit/>
          <w:trHeight w:val="253"/>
        </w:trPr>
        <w:tc>
          <w:tcPr>
            <w:tcW w:w="8647" w:type="dxa"/>
            <w:gridSpan w:val="3"/>
            <w:vAlign w:val="center"/>
          </w:tcPr>
          <w:p w14:paraId="7F3893E6" w14:textId="440AC715" w:rsidR="00025FEB" w:rsidRPr="00D85A4F" w:rsidRDefault="00025FEB" w:rsidP="00BB4DC3">
            <w:pPr>
              <w:pageBreakBefore/>
              <w:ind w:left="-57"/>
              <w:rPr>
                <w:rFonts w:ascii="Arial" w:hAnsi="Arial" w:cs="Arial"/>
                <w:i/>
                <w:noProof/>
                <w:sz w:val="36"/>
                <w:szCs w:val="36"/>
                <w:lang w:eastAsia="en-NZ"/>
              </w:rPr>
            </w:pPr>
            <w:r w:rsidRPr="00D85A4F">
              <w:rPr>
                <w:rFonts w:ascii="Arial" w:hAnsi="Arial" w:cs="Arial"/>
                <w:b/>
                <w:sz w:val="36"/>
                <w:szCs w:val="36"/>
              </w:rPr>
              <w:t xml:space="preserve">Checklist for </w:t>
            </w:r>
            <w:r w:rsidR="004975BE">
              <w:rPr>
                <w:rFonts w:ascii="Arial" w:hAnsi="Arial" w:cs="Arial"/>
                <w:b/>
                <w:sz w:val="36"/>
                <w:szCs w:val="36"/>
              </w:rPr>
              <w:t xml:space="preserve">applications for </w:t>
            </w:r>
            <w:r>
              <w:rPr>
                <w:rFonts w:ascii="Arial" w:hAnsi="Arial" w:cs="Arial"/>
                <w:b/>
                <w:sz w:val="36"/>
                <w:szCs w:val="36"/>
              </w:rPr>
              <w:t>m</w:t>
            </w:r>
            <w:r w:rsidRPr="00D85A4F">
              <w:rPr>
                <w:rFonts w:ascii="Arial" w:hAnsi="Arial" w:cs="Arial"/>
                <w:b/>
                <w:sz w:val="36"/>
                <w:szCs w:val="36"/>
              </w:rPr>
              <w:t>inisterial long leave</w:t>
            </w:r>
            <w:r w:rsidRPr="00D85A4F">
              <w:rPr>
                <w:rFonts w:ascii="Arial" w:hAnsi="Arial" w:cs="Arial"/>
                <w:b/>
                <w:sz w:val="36"/>
                <w:szCs w:val="36"/>
              </w:rPr>
              <w:br/>
            </w:r>
            <w:r w:rsidRPr="00D85A4F">
              <w:rPr>
                <w:rFonts w:ascii="Arial" w:hAnsi="Arial" w:cs="Arial"/>
                <w:sz w:val="28"/>
                <w:szCs w:val="28"/>
              </w:rPr>
              <w:t>Section 50</w:t>
            </w:r>
            <w:r w:rsidR="00CF45BC">
              <w:rPr>
                <w:rFonts w:ascii="Arial" w:hAnsi="Arial" w:cs="Arial"/>
                <w:sz w:val="28"/>
                <w:szCs w:val="28"/>
              </w:rPr>
              <w:t>A</w:t>
            </w:r>
            <w:r w:rsidRPr="00D85A4F">
              <w:rPr>
                <w:rFonts w:ascii="Arial" w:hAnsi="Arial" w:cs="Arial"/>
                <w:sz w:val="28"/>
                <w:szCs w:val="28"/>
              </w:rPr>
              <w:t xml:space="preserve"> </w:t>
            </w:r>
            <w:r>
              <w:rPr>
                <w:rFonts w:ascii="Arial" w:hAnsi="Arial" w:cs="Arial"/>
                <w:sz w:val="28"/>
                <w:szCs w:val="28"/>
              </w:rPr>
              <w:t xml:space="preserve">of the </w:t>
            </w:r>
            <w:r w:rsidRPr="00D85A4F">
              <w:rPr>
                <w:rFonts w:ascii="Arial" w:hAnsi="Arial" w:cs="Arial"/>
                <w:sz w:val="28"/>
                <w:szCs w:val="28"/>
              </w:rPr>
              <w:t>Mental Health</w:t>
            </w:r>
            <w:r w:rsidRPr="00D85A4F">
              <w:rPr>
                <w:rFonts w:ascii="Arial" w:hAnsi="Arial" w:cs="Arial"/>
                <w:sz w:val="28"/>
                <w:szCs w:val="28"/>
              </w:rPr>
              <w:br/>
              <w:t>(Compulsory Assessment and Treatment) Act 1992</w:t>
            </w:r>
          </w:p>
        </w:tc>
        <w:tc>
          <w:tcPr>
            <w:tcW w:w="2132" w:type="dxa"/>
          </w:tcPr>
          <w:p w14:paraId="388EDCF6" w14:textId="77777777" w:rsidR="00025FEB" w:rsidRPr="00D85A4F" w:rsidRDefault="00025FEB" w:rsidP="00BB4DC3">
            <w:pPr>
              <w:ind w:right="-57"/>
              <w:jc w:val="right"/>
              <w:rPr>
                <w:rFonts w:ascii="Arial" w:hAnsi="Arial" w:cs="Arial"/>
                <w:noProof/>
                <w:sz w:val="36"/>
                <w:szCs w:val="36"/>
                <w:lang w:eastAsia="en-NZ"/>
              </w:rPr>
            </w:pPr>
            <w:r>
              <w:rPr>
                <w:noProof/>
              </w:rPr>
              <w:drawing>
                <wp:anchor distT="0" distB="0" distL="114300" distR="114300" simplePos="0" relativeHeight="251658243" behindDoc="0" locked="0" layoutInCell="1" allowOverlap="1" wp14:anchorId="64FEEB93" wp14:editId="63EFE523">
                  <wp:simplePos x="0" y="0"/>
                  <wp:positionH relativeFrom="column">
                    <wp:posOffset>-2540</wp:posOffset>
                  </wp:positionH>
                  <wp:positionV relativeFrom="paragraph">
                    <wp:posOffset>2540</wp:posOffset>
                  </wp:positionV>
                  <wp:extent cx="1519555" cy="718185"/>
                  <wp:effectExtent l="0" t="0" r="4445" b="5715"/>
                  <wp:wrapNone/>
                  <wp:docPr id="10" name="Picture 10"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inistry of Health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5FEB" w:rsidRPr="00D85A4F" w14:paraId="302E9CF5"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79" w:type="dxa"/>
            <w:gridSpan w:val="4"/>
            <w:tcBorders>
              <w:top w:val="nil"/>
              <w:left w:val="nil"/>
              <w:bottom w:val="nil"/>
              <w:right w:val="nil"/>
            </w:tcBorders>
            <w:vAlign w:val="center"/>
          </w:tcPr>
          <w:p w14:paraId="620D381D" w14:textId="77777777" w:rsidR="00025FEB" w:rsidRPr="00D85A4F" w:rsidRDefault="00025FEB" w:rsidP="00BB4DC3">
            <w:pPr>
              <w:pStyle w:val="TableText"/>
              <w:spacing w:before="600" w:after="30"/>
              <w:ind w:left="-57"/>
              <w:rPr>
                <w:rFonts w:cs="Arial"/>
                <w:sz w:val="22"/>
                <w:szCs w:val="22"/>
              </w:rPr>
            </w:pPr>
            <w:r w:rsidRPr="00D85A4F">
              <w:rPr>
                <w:rFonts w:cs="Arial"/>
                <w:sz w:val="22"/>
                <w:szCs w:val="22"/>
              </w:rPr>
              <w:t>This application must include:</w:t>
            </w:r>
          </w:p>
        </w:tc>
      </w:tr>
      <w:tr w:rsidR="00025FEB" w:rsidRPr="00D85A4F" w14:paraId="623EA1C2"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0748367A"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785EA721" w14:textId="77777777" w:rsidR="00025FEB" w:rsidRPr="00D85A4F" w:rsidRDefault="00025FEB" w:rsidP="00BB4DC3">
            <w:pPr>
              <w:pStyle w:val="TableText"/>
              <w:spacing w:before="240"/>
              <w:rPr>
                <w:rFonts w:cs="Arial"/>
                <w:sz w:val="22"/>
                <w:szCs w:val="22"/>
              </w:rPr>
            </w:pPr>
            <w:r w:rsidRPr="00D85A4F">
              <w:rPr>
                <w:rFonts w:cs="Arial"/>
                <w:sz w:val="22"/>
                <w:szCs w:val="22"/>
              </w:rPr>
              <w:t>an up-to-date report from the responsible clinician, providing the following information:</w:t>
            </w:r>
          </w:p>
        </w:tc>
      </w:tr>
      <w:tr w:rsidR="00025FEB" w:rsidRPr="00D85A4F" w14:paraId="71A4AC35"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17D08A96"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366160AE"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50C6B1ED" w14:textId="77777777" w:rsidR="00025FEB" w:rsidRPr="00D85A4F" w:rsidRDefault="00025FEB" w:rsidP="00BB4DC3">
            <w:pPr>
              <w:pStyle w:val="TableText"/>
              <w:rPr>
                <w:rFonts w:cs="Arial"/>
                <w:sz w:val="22"/>
                <w:szCs w:val="22"/>
              </w:rPr>
            </w:pPr>
            <w:r w:rsidRPr="00D85A4F">
              <w:rPr>
                <w:rFonts w:cs="Arial"/>
                <w:sz w:val="22"/>
                <w:szCs w:val="22"/>
              </w:rPr>
              <w:t>the patient’s legal status</w:t>
            </w:r>
          </w:p>
        </w:tc>
      </w:tr>
      <w:tr w:rsidR="00025FEB" w:rsidRPr="00D85A4F" w14:paraId="5D7F23CC"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556F68A9"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2E0EFB87"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0FD4459C" w14:textId="77777777" w:rsidR="00025FEB" w:rsidRPr="00D85A4F" w:rsidRDefault="00025FEB" w:rsidP="00BB4DC3">
            <w:pPr>
              <w:pStyle w:val="TableText"/>
              <w:rPr>
                <w:rFonts w:cs="Arial"/>
                <w:sz w:val="22"/>
                <w:szCs w:val="22"/>
              </w:rPr>
            </w:pPr>
            <w:r w:rsidRPr="00D85A4F">
              <w:rPr>
                <w:rFonts w:cs="Arial"/>
                <w:sz w:val="22"/>
                <w:szCs w:val="22"/>
              </w:rPr>
              <w:t>a current mental state assessment</w:t>
            </w:r>
          </w:p>
        </w:tc>
      </w:tr>
      <w:tr w:rsidR="00025FEB" w:rsidRPr="00D85A4F" w14:paraId="6D87A7F3"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718D36CD"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517C53AD"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29A301C5" w14:textId="77777777" w:rsidR="00025FEB" w:rsidRPr="00D85A4F" w:rsidRDefault="00025FEB" w:rsidP="00BB4DC3">
            <w:pPr>
              <w:pStyle w:val="TableText"/>
              <w:rPr>
                <w:rFonts w:cs="Arial"/>
                <w:sz w:val="22"/>
                <w:szCs w:val="22"/>
              </w:rPr>
            </w:pPr>
            <w:r w:rsidRPr="00D85A4F">
              <w:rPr>
                <w:rFonts w:cs="Arial"/>
                <w:sz w:val="22"/>
                <w:szCs w:val="22"/>
              </w:rPr>
              <w:t>justification of the leave request</w:t>
            </w:r>
          </w:p>
        </w:tc>
      </w:tr>
      <w:tr w:rsidR="00025FEB" w:rsidRPr="00D85A4F" w14:paraId="06B3B5C3"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0842F6C3"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0C015675"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2A5E8226" w14:textId="32018B56" w:rsidR="00025FEB" w:rsidRPr="00D85A4F" w:rsidRDefault="00025FEB" w:rsidP="00BB4DC3">
            <w:pPr>
              <w:pStyle w:val="TableText"/>
              <w:rPr>
                <w:rFonts w:cs="Arial"/>
                <w:sz w:val="22"/>
                <w:szCs w:val="22"/>
              </w:rPr>
            </w:pPr>
            <w:r w:rsidRPr="00D85A4F">
              <w:rPr>
                <w:rFonts w:cs="Arial"/>
                <w:sz w:val="22"/>
                <w:szCs w:val="22"/>
              </w:rPr>
              <w:t>a risk assessment and management plan for the patient while</w:t>
            </w:r>
            <w:r w:rsidR="008B1ECA">
              <w:rPr>
                <w:rFonts w:cs="Arial"/>
                <w:sz w:val="22"/>
                <w:szCs w:val="22"/>
              </w:rPr>
              <w:t xml:space="preserve"> they are</w:t>
            </w:r>
            <w:r w:rsidRPr="00D85A4F">
              <w:rPr>
                <w:rFonts w:cs="Arial"/>
                <w:sz w:val="22"/>
                <w:szCs w:val="22"/>
              </w:rPr>
              <w:t xml:space="preserve"> on leave, including </w:t>
            </w:r>
            <w:r w:rsidR="008B1ECA">
              <w:rPr>
                <w:rFonts w:cs="Arial"/>
                <w:sz w:val="22"/>
                <w:szCs w:val="22"/>
              </w:rPr>
              <w:t xml:space="preserve">in regard to </w:t>
            </w:r>
            <w:r w:rsidRPr="00D85A4F">
              <w:rPr>
                <w:rFonts w:cs="Arial"/>
                <w:sz w:val="22"/>
                <w:szCs w:val="22"/>
              </w:rPr>
              <w:t>flight risk</w:t>
            </w:r>
          </w:p>
        </w:tc>
      </w:tr>
      <w:tr w:rsidR="00025FEB" w:rsidRPr="00D85A4F" w14:paraId="6F8BB32D"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3750B808"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2EB0DB9B"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51E594D6" w14:textId="77777777" w:rsidR="00025FEB" w:rsidRPr="00D85A4F" w:rsidRDefault="00025FEB" w:rsidP="00BB4DC3">
            <w:pPr>
              <w:pStyle w:val="TableText"/>
              <w:rPr>
                <w:rFonts w:cs="Arial"/>
                <w:sz w:val="22"/>
                <w:szCs w:val="22"/>
              </w:rPr>
            </w:pPr>
            <w:r w:rsidRPr="00D85A4F">
              <w:rPr>
                <w:rFonts w:cs="Arial"/>
                <w:sz w:val="22"/>
                <w:szCs w:val="22"/>
              </w:rPr>
              <w:t>the proposed conditions of leave</w:t>
            </w:r>
          </w:p>
        </w:tc>
      </w:tr>
      <w:tr w:rsidR="00025FEB" w:rsidRPr="00D85A4F" w14:paraId="34D8CFD6"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5D65B297"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218144C4"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7737DAFB" w14:textId="14622705" w:rsidR="00025FEB" w:rsidRPr="00D85A4F" w:rsidRDefault="00025FEB" w:rsidP="00BB4DC3">
            <w:pPr>
              <w:pStyle w:val="TableText"/>
              <w:rPr>
                <w:rFonts w:cs="Arial"/>
                <w:sz w:val="22"/>
                <w:szCs w:val="22"/>
              </w:rPr>
            </w:pPr>
            <w:r w:rsidRPr="00D85A4F">
              <w:rPr>
                <w:rFonts w:cs="Arial"/>
                <w:sz w:val="22"/>
                <w:szCs w:val="22"/>
              </w:rPr>
              <w:t>a certificate, signed by two medical practitioners, stating that the patient is fit to be allowed to be absent from hospital (section 50</w:t>
            </w:r>
            <w:r w:rsidR="00E215A0">
              <w:rPr>
                <w:rFonts w:cs="Arial"/>
                <w:sz w:val="22"/>
                <w:szCs w:val="22"/>
              </w:rPr>
              <w:t>A</w:t>
            </w:r>
            <w:r w:rsidRPr="00D85A4F">
              <w:rPr>
                <w:rFonts w:cs="Arial"/>
                <w:sz w:val="22"/>
                <w:szCs w:val="22"/>
              </w:rPr>
              <w:t>(1)</w:t>
            </w:r>
            <w:r w:rsidR="00E215A0">
              <w:rPr>
                <w:rFonts w:cs="Arial"/>
                <w:sz w:val="22"/>
                <w:szCs w:val="22"/>
              </w:rPr>
              <w:t>(a)</w:t>
            </w:r>
            <w:r w:rsidRPr="00D85A4F">
              <w:rPr>
                <w:rFonts w:cs="Arial"/>
                <w:sz w:val="22"/>
                <w:szCs w:val="22"/>
              </w:rPr>
              <w:t xml:space="preserve"> </w:t>
            </w:r>
            <w:r>
              <w:rPr>
                <w:rFonts w:cs="Arial"/>
                <w:sz w:val="22"/>
                <w:szCs w:val="22"/>
              </w:rPr>
              <w:t>of the Mental Health Act</w:t>
            </w:r>
            <w:r w:rsidRPr="00D85A4F">
              <w:rPr>
                <w:rFonts w:cs="Arial"/>
                <w:sz w:val="22"/>
                <w:szCs w:val="22"/>
              </w:rPr>
              <w:t>)</w:t>
            </w:r>
          </w:p>
        </w:tc>
      </w:tr>
      <w:tr w:rsidR="00025FEB" w:rsidRPr="00D85A4F" w14:paraId="11B7CFF1"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7CAA19EF" w14:textId="77777777" w:rsidR="00025FEB" w:rsidRPr="00D85A4F" w:rsidRDefault="00025FEB" w:rsidP="00BB4DC3">
            <w:pPr>
              <w:pStyle w:val="TableText"/>
              <w:ind w:left="-57"/>
            </w:pPr>
          </w:p>
        </w:tc>
        <w:tc>
          <w:tcPr>
            <w:tcW w:w="709" w:type="dxa"/>
            <w:tcBorders>
              <w:top w:val="nil"/>
              <w:left w:val="nil"/>
              <w:bottom w:val="nil"/>
              <w:right w:val="nil"/>
            </w:tcBorders>
            <w:vAlign w:val="center"/>
          </w:tcPr>
          <w:p w14:paraId="24B1D3D2"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5517EBA4" w14:textId="2F69EDD2" w:rsidR="00025FEB" w:rsidRPr="00D85A4F" w:rsidRDefault="00025FEB" w:rsidP="00BB4DC3">
            <w:pPr>
              <w:pStyle w:val="TableText"/>
              <w:rPr>
                <w:rFonts w:cs="Arial"/>
                <w:sz w:val="22"/>
                <w:szCs w:val="22"/>
              </w:rPr>
            </w:pPr>
            <w:r w:rsidRPr="00D85A4F">
              <w:rPr>
                <w:rFonts w:cs="Arial"/>
                <w:sz w:val="22"/>
                <w:szCs w:val="22"/>
              </w:rPr>
              <w:t>comment on issues concerning victims, where the views of victims are known (</w:t>
            </w:r>
            <w:r w:rsidR="00495C36">
              <w:rPr>
                <w:rFonts w:cs="Arial"/>
                <w:sz w:val="22"/>
                <w:szCs w:val="22"/>
              </w:rPr>
              <w:t>eg</w:t>
            </w:r>
            <w:r w:rsidRPr="00D85A4F">
              <w:rPr>
                <w:rFonts w:cs="Arial"/>
                <w:sz w:val="22"/>
                <w:szCs w:val="22"/>
              </w:rPr>
              <w:t xml:space="preserve">, anticipated opposition to leave), the likelihood of the patient being in contact with victims during leave and </w:t>
            </w:r>
            <w:r w:rsidR="00E36815">
              <w:rPr>
                <w:rFonts w:cs="Arial"/>
                <w:sz w:val="22"/>
                <w:szCs w:val="22"/>
              </w:rPr>
              <w:t xml:space="preserve">measures taken </w:t>
            </w:r>
            <w:r w:rsidRPr="00D85A4F">
              <w:rPr>
                <w:rFonts w:cs="Arial"/>
                <w:sz w:val="22"/>
                <w:szCs w:val="22"/>
              </w:rPr>
              <w:t>to manage this</w:t>
            </w:r>
          </w:p>
        </w:tc>
      </w:tr>
      <w:tr w:rsidR="00025FEB" w:rsidRPr="00D85A4F" w14:paraId="61AB8B38"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53B11077"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4AD17CBF" w14:textId="0DD55B9F" w:rsidR="00025FEB" w:rsidRPr="00D85A4F" w:rsidRDefault="00025FEB" w:rsidP="00BB4DC3">
            <w:pPr>
              <w:pStyle w:val="TableText"/>
              <w:spacing w:before="240"/>
              <w:rPr>
                <w:rFonts w:cs="Arial"/>
                <w:sz w:val="22"/>
                <w:szCs w:val="22"/>
              </w:rPr>
            </w:pPr>
            <w:r w:rsidRPr="00D85A4F">
              <w:rPr>
                <w:rFonts w:cs="Arial"/>
                <w:sz w:val="22"/>
                <w:szCs w:val="22"/>
              </w:rPr>
              <w:t xml:space="preserve">reference to the most recent </w:t>
            </w:r>
            <w:r w:rsidR="00FD74EA">
              <w:rPr>
                <w:rFonts w:cs="Arial"/>
                <w:sz w:val="22"/>
                <w:szCs w:val="22"/>
              </w:rPr>
              <w:t xml:space="preserve">SPRP </w:t>
            </w:r>
            <w:r w:rsidRPr="00D85A4F">
              <w:rPr>
                <w:rFonts w:cs="Arial"/>
                <w:sz w:val="22"/>
                <w:szCs w:val="22"/>
              </w:rPr>
              <w:t>report.</w:t>
            </w:r>
          </w:p>
        </w:tc>
      </w:tr>
    </w:tbl>
    <w:p w14:paraId="0D08C966" w14:textId="77777777" w:rsidR="00025FEB" w:rsidRPr="00D85A4F" w:rsidRDefault="00025FEB" w:rsidP="00025FEB"/>
    <w:tbl>
      <w:tblPr>
        <w:tblStyle w:val="TableGrid"/>
        <w:tblW w:w="1077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709"/>
        <w:gridCol w:w="7371"/>
        <w:gridCol w:w="2132"/>
      </w:tblGrid>
      <w:tr w:rsidR="00025FEB" w:rsidRPr="00D85A4F" w14:paraId="2679B692" w14:textId="77777777" w:rsidTr="00BB4DC3">
        <w:trPr>
          <w:cantSplit/>
          <w:trHeight w:val="253"/>
        </w:trPr>
        <w:tc>
          <w:tcPr>
            <w:tcW w:w="8647" w:type="dxa"/>
            <w:gridSpan w:val="3"/>
            <w:vAlign w:val="center"/>
          </w:tcPr>
          <w:p w14:paraId="252310AB" w14:textId="4D289D6E" w:rsidR="00025FEB" w:rsidRPr="00D85A4F" w:rsidRDefault="00025FEB" w:rsidP="00BB4DC3">
            <w:pPr>
              <w:pageBreakBefore/>
              <w:ind w:left="-57"/>
              <w:rPr>
                <w:rFonts w:ascii="Arial" w:hAnsi="Arial" w:cs="Arial"/>
                <w:i/>
                <w:noProof/>
                <w:sz w:val="36"/>
                <w:szCs w:val="36"/>
                <w:lang w:eastAsia="en-NZ"/>
              </w:rPr>
            </w:pPr>
            <w:r w:rsidRPr="00D85A4F">
              <w:rPr>
                <w:rFonts w:ascii="Arial" w:hAnsi="Arial" w:cs="Arial"/>
                <w:b/>
                <w:sz w:val="36"/>
                <w:szCs w:val="36"/>
              </w:rPr>
              <w:t xml:space="preserve">Checklist for </w:t>
            </w:r>
            <w:r w:rsidR="00502F3A">
              <w:rPr>
                <w:rFonts w:ascii="Arial" w:hAnsi="Arial" w:cs="Arial"/>
                <w:b/>
                <w:sz w:val="36"/>
                <w:szCs w:val="36"/>
              </w:rPr>
              <w:t xml:space="preserve">applications for </w:t>
            </w:r>
            <w:r w:rsidRPr="00D85A4F">
              <w:rPr>
                <w:rFonts w:ascii="Arial" w:hAnsi="Arial" w:cs="Arial"/>
                <w:b/>
                <w:sz w:val="36"/>
                <w:szCs w:val="36"/>
              </w:rPr>
              <w:t xml:space="preserve">change of status – patients acquitted on </w:t>
            </w:r>
            <w:r>
              <w:rPr>
                <w:rFonts w:ascii="Arial" w:hAnsi="Arial" w:cs="Arial"/>
                <w:b/>
                <w:sz w:val="36"/>
                <w:szCs w:val="36"/>
              </w:rPr>
              <w:t>account</w:t>
            </w:r>
            <w:r w:rsidRPr="00D85A4F">
              <w:rPr>
                <w:rFonts w:ascii="Arial" w:hAnsi="Arial" w:cs="Arial"/>
                <w:b/>
                <w:sz w:val="36"/>
                <w:szCs w:val="36"/>
              </w:rPr>
              <w:t xml:space="preserve"> of insanity</w:t>
            </w:r>
            <w:r w:rsidRPr="00D85A4F">
              <w:rPr>
                <w:rFonts w:ascii="Arial" w:hAnsi="Arial" w:cs="Arial"/>
                <w:b/>
                <w:sz w:val="36"/>
                <w:szCs w:val="36"/>
              </w:rPr>
              <w:br/>
            </w:r>
            <w:r w:rsidRPr="00D85A4F">
              <w:rPr>
                <w:rFonts w:ascii="Arial" w:hAnsi="Arial" w:cs="Arial"/>
                <w:sz w:val="28"/>
                <w:szCs w:val="28"/>
              </w:rPr>
              <w:t xml:space="preserve">Section 77 </w:t>
            </w:r>
            <w:r>
              <w:rPr>
                <w:rFonts w:ascii="Arial" w:hAnsi="Arial" w:cs="Arial"/>
                <w:sz w:val="28"/>
                <w:szCs w:val="28"/>
              </w:rPr>
              <w:t xml:space="preserve">of the </w:t>
            </w:r>
            <w:r w:rsidRPr="00D85A4F">
              <w:rPr>
                <w:rFonts w:ascii="Arial" w:hAnsi="Arial" w:cs="Arial"/>
                <w:sz w:val="28"/>
                <w:szCs w:val="28"/>
              </w:rPr>
              <w:t>Mental Health</w:t>
            </w:r>
            <w:r w:rsidRPr="00D85A4F">
              <w:rPr>
                <w:rFonts w:ascii="Arial" w:hAnsi="Arial" w:cs="Arial"/>
                <w:sz w:val="28"/>
                <w:szCs w:val="28"/>
              </w:rPr>
              <w:br/>
              <w:t>(Compulsory Assessment and Treatment) Act 1992</w:t>
            </w:r>
          </w:p>
        </w:tc>
        <w:tc>
          <w:tcPr>
            <w:tcW w:w="2132" w:type="dxa"/>
          </w:tcPr>
          <w:p w14:paraId="4D4335F4" w14:textId="77777777" w:rsidR="00025FEB" w:rsidRPr="00D85A4F" w:rsidRDefault="00025FEB" w:rsidP="00BB4DC3">
            <w:pPr>
              <w:ind w:right="-57"/>
              <w:jc w:val="right"/>
              <w:rPr>
                <w:rFonts w:ascii="Arial" w:hAnsi="Arial" w:cs="Arial"/>
                <w:noProof/>
                <w:sz w:val="36"/>
                <w:szCs w:val="36"/>
                <w:lang w:eastAsia="en-NZ"/>
              </w:rPr>
            </w:pPr>
            <w:r>
              <w:rPr>
                <w:noProof/>
              </w:rPr>
              <w:drawing>
                <wp:anchor distT="0" distB="0" distL="114300" distR="114300" simplePos="0" relativeHeight="251658242" behindDoc="0" locked="0" layoutInCell="1" allowOverlap="1" wp14:anchorId="7C065713" wp14:editId="1139C2EF">
                  <wp:simplePos x="0" y="0"/>
                  <wp:positionH relativeFrom="column">
                    <wp:posOffset>-2540</wp:posOffset>
                  </wp:positionH>
                  <wp:positionV relativeFrom="paragraph">
                    <wp:posOffset>2540</wp:posOffset>
                  </wp:positionV>
                  <wp:extent cx="1519555" cy="718185"/>
                  <wp:effectExtent l="0" t="0" r="4445" b="5715"/>
                  <wp:wrapNone/>
                  <wp:docPr id="9" name="Picture 9"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inistry of Health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5FEB" w:rsidRPr="00D85A4F" w14:paraId="77703743"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79" w:type="dxa"/>
            <w:gridSpan w:val="4"/>
            <w:tcBorders>
              <w:top w:val="nil"/>
              <w:left w:val="nil"/>
              <w:bottom w:val="nil"/>
              <w:right w:val="nil"/>
            </w:tcBorders>
            <w:vAlign w:val="center"/>
          </w:tcPr>
          <w:p w14:paraId="265DCC38" w14:textId="77777777" w:rsidR="00025FEB" w:rsidRPr="00D85A4F" w:rsidRDefault="00025FEB" w:rsidP="00BB4DC3">
            <w:pPr>
              <w:pStyle w:val="TableText"/>
              <w:spacing w:before="600" w:after="30"/>
              <w:ind w:left="-57"/>
              <w:rPr>
                <w:rFonts w:cs="Arial"/>
                <w:sz w:val="22"/>
                <w:szCs w:val="22"/>
              </w:rPr>
            </w:pPr>
            <w:r w:rsidRPr="00D85A4F">
              <w:rPr>
                <w:rFonts w:cs="Arial"/>
                <w:sz w:val="22"/>
                <w:szCs w:val="22"/>
              </w:rPr>
              <w:t>This application must include:</w:t>
            </w:r>
          </w:p>
        </w:tc>
      </w:tr>
      <w:tr w:rsidR="00025FEB" w:rsidRPr="00D85A4F" w14:paraId="79A6B807"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27050B04"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07844DBB" w14:textId="77777777" w:rsidR="00025FEB" w:rsidRPr="00D85A4F" w:rsidRDefault="00025FEB" w:rsidP="00BB4DC3">
            <w:pPr>
              <w:pStyle w:val="TableText"/>
              <w:spacing w:before="240"/>
              <w:rPr>
                <w:rFonts w:cs="Arial"/>
                <w:sz w:val="22"/>
                <w:szCs w:val="22"/>
              </w:rPr>
            </w:pPr>
            <w:r w:rsidRPr="00D85A4F">
              <w:rPr>
                <w:sz w:val="22"/>
                <w:szCs w:val="22"/>
              </w:rPr>
              <w:t>a certificate of clinical review signed by the responsible clinician, stating their opinion in respect of the special patient</w:t>
            </w:r>
          </w:p>
        </w:tc>
      </w:tr>
      <w:tr w:rsidR="00025FEB" w:rsidRPr="00D85A4F" w14:paraId="61BA1EBA"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0BEECE1F"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63662C30" w14:textId="04884147" w:rsidR="00025FEB" w:rsidRPr="00D85A4F" w:rsidRDefault="00025FEB" w:rsidP="00BB4DC3">
            <w:pPr>
              <w:pStyle w:val="TableText"/>
              <w:spacing w:before="240"/>
              <w:rPr>
                <w:rFonts w:cs="Arial"/>
                <w:sz w:val="22"/>
                <w:szCs w:val="22"/>
              </w:rPr>
            </w:pPr>
            <w:r w:rsidRPr="00D85A4F">
              <w:rPr>
                <w:sz w:val="22"/>
                <w:szCs w:val="22"/>
              </w:rPr>
              <w:t>a letter requesting a change of legal status from the responsible clinician</w:t>
            </w:r>
            <w:r w:rsidR="0049107A">
              <w:rPr>
                <w:sz w:val="22"/>
                <w:szCs w:val="22"/>
              </w:rPr>
              <w:t>,</w:t>
            </w:r>
            <w:r w:rsidRPr="00D85A4F">
              <w:rPr>
                <w:sz w:val="22"/>
                <w:szCs w:val="22"/>
              </w:rPr>
              <w:t xml:space="preserve"> endorsed by the DAMHS</w:t>
            </w:r>
          </w:p>
        </w:tc>
      </w:tr>
      <w:tr w:rsidR="00025FEB" w:rsidRPr="00D85A4F" w14:paraId="7051E773"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3C39B7FD"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0D542667" w14:textId="77777777" w:rsidR="00025FEB" w:rsidRPr="00D85A4F" w:rsidRDefault="00025FEB" w:rsidP="00BB4DC3">
            <w:pPr>
              <w:pStyle w:val="TableText"/>
              <w:spacing w:before="240"/>
              <w:rPr>
                <w:rFonts w:cs="Arial"/>
                <w:sz w:val="22"/>
                <w:szCs w:val="22"/>
              </w:rPr>
            </w:pPr>
            <w:r w:rsidRPr="00D85A4F">
              <w:rPr>
                <w:rFonts w:cs="Arial"/>
                <w:sz w:val="22"/>
                <w:szCs w:val="22"/>
              </w:rPr>
              <w:t>an up-to-date report from the responsible clinician, providing the following information:</w:t>
            </w:r>
          </w:p>
        </w:tc>
      </w:tr>
      <w:tr w:rsidR="00025FEB" w:rsidRPr="00D85A4F" w14:paraId="0F1C1C51"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11292329" w14:textId="77777777" w:rsidR="00025FEB" w:rsidRPr="00D85A4F" w:rsidRDefault="00025FEB" w:rsidP="00BB4DC3">
            <w:pPr>
              <w:pStyle w:val="TableText"/>
              <w:ind w:left="-57"/>
            </w:pPr>
          </w:p>
        </w:tc>
        <w:tc>
          <w:tcPr>
            <w:tcW w:w="709" w:type="dxa"/>
            <w:tcBorders>
              <w:top w:val="nil"/>
              <w:left w:val="nil"/>
              <w:bottom w:val="nil"/>
              <w:right w:val="nil"/>
            </w:tcBorders>
          </w:tcPr>
          <w:p w14:paraId="7236A373"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35295E86" w14:textId="77777777" w:rsidR="00025FEB" w:rsidRPr="00D85A4F" w:rsidRDefault="00025FEB" w:rsidP="00BB4DC3">
            <w:pPr>
              <w:pStyle w:val="TableText"/>
              <w:rPr>
                <w:rFonts w:cs="Arial"/>
                <w:sz w:val="22"/>
                <w:szCs w:val="22"/>
              </w:rPr>
            </w:pPr>
            <w:r w:rsidRPr="00D85A4F">
              <w:rPr>
                <w:rFonts w:cs="Arial"/>
                <w:sz w:val="22"/>
                <w:szCs w:val="22"/>
              </w:rPr>
              <w:t>a current mental state assessment</w:t>
            </w:r>
          </w:p>
        </w:tc>
      </w:tr>
      <w:tr w:rsidR="00025FEB" w:rsidRPr="00D85A4F" w14:paraId="3EFA10A8"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4476F68A" w14:textId="77777777" w:rsidR="00025FEB" w:rsidRPr="00D85A4F" w:rsidRDefault="00025FEB" w:rsidP="00BB4DC3">
            <w:pPr>
              <w:pStyle w:val="TableText"/>
              <w:ind w:left="-57"/>
            </w:pPr>
          </w:p>
        </w:tc>
        <w:tc>
          <w:tcPr>
            <w:tcW w:w="709" w:type="dxa"/>
            <w:tcBorders>
              <w:top w:val="nil"/>
              <w:left w:val="nil"/>
              <w:bottom w:val="nil"/>
              <w:right w:val="nil"/>
            </w:tcBorders>
          </w:tcPr>
          <w:p w14:paraId="22DCDEEE"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0E611F4A" w14:textId="77777777" w:rsidR="00025FEB" w:rsidRPr="00D85A4F" w:rsidRDefault="00025FEB" w:rsidP="00BB4DC3">
            <w:pPr>
              <w:pStyle w:val="TableText"/>
              <w:rPr>
                <w:rFonts w:cs="Arial"/>
                <w:sz w:val="22"/>
                <w:szCs w:val="22"/>
              </w:rPr>
            </w:pPr>
            <w:r w:rsidRPr="00D85A4F">
              <w:rPr>
                <w:rFonts w:cs="Arial"/>
                <w:sz w:val="22"/>
                <w:szCs w:val="22"/>
              </w:rPr>
              <w:t>a risk assessment and management plan</w:t>
            </w:r>
          </w:p>
        </w:tc>
      </w:tr>
      <w:tr w:rsidR="00025FEB" w:rsidRPr="00D85A4F" w14:paraId="42FE3F0B"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1A5DCE68" w14:textId="77777777" w:rsidR="00025FEB" w:rsidRPr="00D85A4F" w:rsidRDefault="00025FEB" w:rsidP="00BB4DC3">
            <w:pPr>
              <w:pStyle w:val="TableText"/>
              <w:ind w:left="-57"/>
            </w:pPr>
          </w:p>
        </w:tc>
        <w:tc>
          <w:tcPr>
            <w:tcW w:w="709" w:type="dxa"/>
            <w:tcBorders>
              <w:top w:val="nil"/>
              <w:left w:val="nil"/>
              <w:bottom w:val="nil"/>
              <w:right w:val="nil"/>
            </w:tcBorders>
          </w:tcPr>
          <w:p w14:paraId="1BC4294D"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4F712751" w14:textId="7A3CE641" w:rsidR="00025FEB" w:rsidRPr="00D85A4F" w:rsidRDefault="00025FEB" w:rsidP="00BB4DC3">
            <w:pPr>
              <w:pStyle w:val="TableText"/>
              <w:rPr>
                <w:rFonts w:cs="Arial"/>
                <w:sz w:val="22"/>
                <w:szCs w:val="22"/>
              </w:rPr>
            </w:pPr>
            <w:r w:rsidRPr="00D85A4F">
              <w:rPr>
                <w:sz w:val="22"/>
                <w:szCs w:val="22"/>
              </w:rPr>
              <w:t xml:space="preserve">how the factors leading to the index offence have been addressed and the </w:t>
            </w:r>
            <w:r w:rsidR="00B36E32">
              <w:rPr>
                <w:sz w:val="22"/>
                <w:szCs w:val="22"/>
              </w:rPr>
              <w:t xml:space="preserve">measures taken </w:t>
            </w:r>
            <w:r w:rsidRPr="00D85A4F">
              <w:rPr>
                <w:sz w:val="22"/>
                <w:szCs w:val="22"/>
              </w:rPr>
              <w:t>to reduce the chance of future offending</w:t>
            </w:r>
          </w:p>
        </w:tc>
      </w:tr>
      <w:tr w:rsidR="00025FEB" w:rsidRPr="00D85A4F" w14:paraId="7D864A62"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EC56310" w14:textId="77777777" w:rsidR="00025FEB" w:rsidRPr="00D85A4F" w:rsidRDefault="00025FEB" w:rsidP="00BB4DC3">
            <w:pPr>
              <w:pStyle w:val="TableText"/>
              <w:ind w:left="-57"/>
            </w:pPr>
          </w:p>
        </w:tc>
        <w:tc>
          <w:tcPr>
            <w:tcW w:w="709" w:type="dxa"/>
            <w:tcBorders>
              <w:top w:val="nil"/>
              <w:left w:val="nil"/>
              <w:bottom w:val="nil"/>
              <w:right w:val="nil"/>
            </w:tcBorders>
          </w:tcPr>
          <w:p w14:paraId="65761D06"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7F446291" w14:textId="77777777" w:rsidR="00025FEB" w:rsidRPr="00D85A4F" w:rsidRDefault="00025FEB" w:rsidP="00BB4DC3">
            <w:pPr>
              <w:pStyle w:val="TableText"/>
              <w:rPr>
                <w:rFonts w:cs="Arial"/>
                <w:sz w:val="22"/>
                <w:szCs w:val="22"/>
              </w:rPr>
            </w:pPr>
            <w:r w:rsidRPr="00D85A4F">
              <w:rPr>
                <w:sz w:val="22"/>
                <w:szCs w:val="22"/>
              </w:rPr>
              <w:t>specific comment on alcohol and drug use</w:t>
            </w:r>
          </w:p>
        </w:tc>
      </w:tr>
      <w:tr w:rsidR="00025FEB" w:rsidRPr="00D85A4F" w14:paraId="1D6313FA"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3E09F98" w14:textId="77777777" w:rsidR="00025FEB" w:rsidRPr="00D85A4F" w:rsidRDefault="00025FEB" w:rsidP="00BB4DC3">
            <w:pPr>
              <w:pStyle w:val="TableText"/>
              <w:ind w:left="-57"/>
            </w:pPr>
          </w:p>
        </w:tc>
        <w:tc>
          <w:tcPr>
            <w:tcW w:w="709" w:type="dxa"/>
            <w:tcBorders>
              <w:top w:val="nil"/>
              <w:left w:val="nil"/>
              <w:bottom w:val="nil"/>
              <w:right w:val="nil"/>
            </w:tcBorders>
          </w:tcPr>
          <w:p w14:paraId="7B5745C9"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5E1D195E" w14:textId="0D5A44ED" w:rsidR="00025FEB" w:rsidRPr="00D85A4F" w:rsidRDefault="00025FEB" w:rsidP="00BB4DC3">
            <w:pPr>
              <w:pStyle w:val="TableText"/>
              <w:rPr>
                <w:rFonts w:cs="Arial"/>
                <w:sz w:val="22"/>
                <w:szCs w:val="22"/>
              </w:rPr>
            </w:pPr>
            <w:r w:rsidRPr="00D85A4F">
              <w:rPr>
                <w:sz w:val="22"/>
                <w:szCs w:val="22"/>
              </w:rPr>
              <w:t xml:space="preserve">plans for the patient’s ongoing management by mental health services once </w:t>
            </w:r>
            <w:r w:rsidR="000777C1">
              <w:rPr>
                <w:sz w:val="22"/>
                <w:szCs w:val="22"/>
              </w:rPr>
              <w:t xml:space="preserve">the patient is </w:t>
            </w:r>
            <w:r w:rsidRPr="00D85A4F">
              <w:rPr>
                <w:sz w:val="22"/>
                <w:szCs w:val="22"/>
              </w:rPr>
              <w:t>no longer subject to special patient status, particularly if the patient may not continue to meet the criteria for compulsory treatment</w:t>
            </w:r>
          </w:p>
        </w:tc>
      </w:tr>
      <w:tr w:rsidR="00025FEB" w:rsidRPr="00D85A4F" w14:paraId="78F84DEA"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7D0215B7" w14:textId="77777777" w:rsidR="00025FEB" w:rsidRPr="00D85A4F" w:rsidRDefault="00025FEB" w:rsidP="00BB4DC3">
            <w:pPr>
              <w:pStyle w:val="TableText"/>
              <w:ind w:left="-57"/>
            </w:pPr>
          </w:p>
        </w:tc>
        <w:tc>
          <w:tcPr>
            <w:tcW w:w="709" w:type="dxa"/>
            <w:tcBorders>
              <w:top w:val="nil"/>
              <w:left w:val="nil"/>
              <w:bottom w:val="nil"/>
              <w:right w:val="nil"/>
            </w:tcBorders>
          </w:tcPr>
          <w:p w14:paraId="5407FAA6"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5127A52B" w14:textId="2C4895EB" w:rsidR="00025FEB" w:rsidRPr="00D85A4F" w:rsidRDefault="00025FEB" w:rsidP="00BB4DC3">
            <w:pPr>
              <w:pStyle w:val="TableText"/>
              <w:rPr>
                <w:rFonts w:cs="Arial"/>
                <w:sz w:val="22"/>
                <w:szCs w:val="22"/>
              </w:rPr>
            </w:pPr>
            <w:r w:rsidRPr="00D85A4F">
              <w:rPr>
                <w:sz w:val="22"/>
                <w:szCs w:val="22"/>
              </w:rPr>
              <w:t>comment on issues concerning victims, where the views of victims are known</w:t>
            </w:r>
            <w:r w:rsidR="000777C1">
              <w:rPr>
                <w:sz w:val="22"/>
                <w:szCs w:val="22"/>
              </w:rPr>
              <w:t xml:space="preserve"> </w:t>
            </w:r>
            <w:r w:rsidRPr="00D85A4F">
              <w:rPr>
                <w:sz w:val="22"/>
                <w:szCs w:val="22"/>
              </w:rPr>
              <w:t>(</w:t>
            </w:r>
            <w:r w:rsidR="0032138D">
              <w:rPr>
                <w:sz w:val="22"/>
                <w:szCs w:val="22"/>
              </w:rPr>
              <w:t>eg</w:t>
            </w:r>
            <w:r w:rsidRPr="00D85A4F">
              <w:rPr>
                <w:sz w:val="22"/>
                <w:szCs w:val="22"/>
              </w:rPr>
              <w:t xml:space="preserve">, anticipated opposition to change of legal status), the likelihood of the patient being in contact with victims and </w:t>
            </w:r>
            <w:r w:rsidR="000F2B7B">
              <w:rPr>
                <w:sz w:val="22"/>
                <w:szCs w:val="22"/>
              </w:rPr>
              <w:t xml:space="preserve">measures taken </w:t>
            </w:r>
            <w:r w:rsidRPr="00D85A4F">
              <w:rPr>
                <w:sz w:val="22"/>
                <w:szCs w:val="22"/>
              </w:rPr>
              <w:t>to manage this</w:t>
            </w:r>
          </w:p>
        </w:tc>
      </w:tr>
      <w:tr w:rsidR="00025FEB" w:rsidRPr="00D85A4F" w14:paraId="7FFC7904"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68D20E67"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5D7F841F" w14:textId="77AC3595" w:rsidR="00025FEB" w:rsidRPr="00D85A4F" w:rsidRDefault="00025FEB" w:rsidP="00BB4DC3">
            <w:pPr>
              <w:pStyle w:val="TableText"/>
              <w:spacing w:before="240"/>
              <w:rPr>
                <w:rFonts w:cs="Arial"/>
                <w:sz w:val="22"/>
                <w:szCs w:val="22"/>
              </w:rPr>
            </w:pPr>
            <w:r w:rsidRPr="00D85A4F">
              <w:rPr>
                <w:rFonts w:cs="Arial"/>
                <w:sz w:val="22"/>
                <w:szCs w:val="22"/>
              </w:rPr>
              <w:t xml:space="preserve">reference to the most recent </w:t>
            </w:r>
            <w:r w:rsidR="000F2B7B">
              <w:rPr>
                <w:rFonts w:cs="Arial"/>
                <w:sz w:val="22"/>
                <w:szCs w:val="22"/>
              </w:rPr>
              <w:t xml:space="preserve">SPRP </w:t>
            </w:r>
            <w:r w:rsidRPr="00D85A4F">
              <w:rPr>
                <w:rFonts w:cs="Arial"/>
                <w:sz w:val="22"/>
                <w:szCs w:val="22"/>
              </w:rPr>
              <w:t>report.</w:t>
            </w:r>
          </w:p>
        </w:tc>
      </w:tr>
    </w:tbl>
    <w:p w14:paraId="13BB93E7" w14:textId="77777777" w:rsidR="00025FEB" w:rsidRPr="00D85A4F" w:rsidRDefault="00025FEB" w:rsidP="00025FEB"/>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709"/>
        <w:gridCol w:w="7371"/>
        <w:gridCol w:w="2132"/>
      </w:tblGrid>
      <w:tr w:rsidR="00025FEB" w:rsidRPr="00D85A4F" w14:paraId="09E69CF8" w14:textId="77777777" w:rsidTr="00BB4DC3">
        <w:trPr>
          <w:cantSplit/>
          <w:trHeight w:val="253"/>
        </w:trPr>
        <w:tc>
          <w:tcPr>
            <w:tcW w:w="8647" w:type="dxa"/>
            <w:gridSpan w:val="3"/>
            <w:vAlign w:val="center"/>
          </w:tcPr>
          <w:p w14:paraId="1E25CBBA" w14:textId="24907BDC" w:rsidR="00025FEB" w:rsidRPr="00D85A4F" w:rsidRDefault="00025FEB" w:rsidP="00BB4DC3">
            <w:pPr>
              <w:pageBreakBefore/>
              <w:ind w:left="-57"/>
              <w:rPr>
                <w:rFonts w:ascii="Arial" w:hAnsi="Arial" w:cs="Arial"/>
                <w:i/>
                <w:noProof/>
                <w:sz w:val="36"/>
                <w:szCs w:val="36"/>
                <w:lang w:eastAsia="en-NZ"/>
              </w:rPr>
            </w:pPr>
            <w:r w:rsidRPr="00D85A4F">
              <w:rPr>
                <w:rFonts w:ascii="Arial" w:hAnsi="Arial" w:cs="Arial"/>
                <w:b/>
                <w:sz w:val="36"/>
                <w:szCs w:val="36"/>
              </w:rPr>
              <w:t xml:space="preserve">Checklist for </w:t>
            </w:r>
            <w:r w:rsidR="007D62C2">
              <w:rPr>
                <w:rFonts w:ascii="Arial" w:hAnsi="Arial" w:cs="Arial"/>
                <w:b/>
                <w:sz w:val="36"/>
                <w:szCs w:val="36"/>
              </w:rPr>
              <w:t xml:space="preserve">applications of </w:t>
            </w:r>
            <w:r w:rsidRPr="00D85A4F">
              <w:rPr>
                <w:rFonts w:ascii="Arial" w:hAnsi="Arial" w:cs="Arial"/>
                <w:b/>
                <w:sz w:val="36"/>
                <w:szCs w:val="36"/>
              </w:rPr>
              <w:t>change of status– patients found unfit to stand trial</w:t>
            </w:r>
            <w:r w:rsidRPr="00D85A4F">
              <w:rPr>
                <w:rFonts w:ascii="Arial" w:hAnsi="Arial" w:cs="Arial"/>
                <w:b/>
                <w:sz w:val="36"/>
                <w:szCs w:val="36"/>
              </w:rPr>
              <w:br/>
            </w:r>
            <w:r w:rsidRPr="00D85A4F">
              <w:rPr>
                <w:rFonts w:ascii="Arial" w:hAnsi="Arial" w:cs="Arial"/>
                <w:sz w:val="28"/>
                <w:szCs w:val="28"/>
              </w:rPr>
              <w:t xml:space="preserve">Section 77 </w:t>
            </w:r>
            <w:r>
              <w:rPr>
                <w:rFonts w:ascii="Arial" w:hAnsi="Arial" w:cs="Arial"/>
                <w:sz w:val="28"/>
                <w:szCs w:val="28"/>
              </w:rPr>
              <w:t xml:space="preserve">of the </w:t>
            </w:r>
            <w:r w:rsidRPr="00D85A4F">
              <w:rPr>
                <w:rFonts w:ascii="Arial" w:hAnsi="Arial" w:cs="Arial"/>
                <w:sz w:val="28"/>
                <w:szCs w:val="28"/>
              </w:rPr>
              <w:t>Mental Health</w:t>
            </w:r>
            <w:r w:rsidRPr="00D85A4F">
              <w:rPr>
                <w:rFonts w:ascii="Arial" w:hAnsi="Arial" w:cs="Arial"/>
                <w:sz w:val="28"/>
                <w:szCs w:val="28"/>
              </w:rPr>
              <w:br/>
              <w:t>(Compulsory Assessment and Treatment) Act 1992</w:t>
            </w:r>
          </w:p>
        </w:tc>
        <w:tc>
          <w:tcPr>
            <w:tcW w:w="2132" w:type="dxa"/>
          </w:tcPr>
          <w:p w14:paraId="2B056B00" w14:textId="77777777" w:rsidR="00025FEB" w:rsidRPr="00D85A4F" w:rsidRDefault="00025FEB" w:rsidP="00BB4DC3">
            <w:pPr>
              <w:ind w:right="-57"/>
              <w:jc w:val="right"/>
              <w:rPr>
                <w:rFonts w:ascii="Arial" w:hAnsi="Arial" w:cs="Arial"/>
                <w:noProof/>
                <w:sz w:val="36"/>
                <w:szCs w:val="36"/>
                <w:lang w:eastAsia="en-NZ"/>
              </w:rPr>
            </w:pPr>
            <w:r>
              <w:rPr>
                <w:noProof/>
              </w:rPr>
              <w:drawing>
                <wp:anchor distT="0" distB="0" distL="114300" distR="114300" simplePos="0" relativeHeight="251658241" behindDoc="0" locked="0" layoutInCell="1" allowOverlap="1" wp14:anchorId="4326D701" wp14:editId="1A46A599">
                  <wp:simplePos x="0" y="0"/>
                  <wp:positionH relativeFrom="column">
                    <wp:posOffset>-2540</wp:posOffset>
                  </wp:positionH>
                  <wp:positionV relativeFrom="paragraph">
                    <wp:posOffset>2540</wp:posOffset>
                  </wp:positionV>
                  <wp:extent cx="1519555" cy="718185"/>
                  <wp:effectExtent l="0" t="0" r="4445" b="5715"/>
                  <wp:wrapNone/>
                  <wp:docPr id="8" name="Picture 8"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inistry of Health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5FEB" w:rsidRPr="00D85A4F" w14:paraId="4F89895B"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79" w:type="dxa"/>
            <w:gridSpan w:val="4"/>
            <w:tcBorders>
              <w:top w:val="nil"/>
              <w:left w:val="nil"/>
              <w:bottom w:val="nil"/>
              <w:right w:val="nil"/>
            </w:tcBorders>
            <w:vAlign w:val="center"/>
          </w:tcPr>
          <w:p w14:paraId="6F2091E2" w14:textId="77777777" w:rsidR="00025FEB" w:rsidRPr="00D85A4F" w:rsidRDefault="00025FEB" w:rsidP="00BB4DC3">
            <w:pPr>
              <w:pStyle w:val="TableText"/>
              <w:spacing w:before="600" w:after="30"/>
              <w:ind w:left="-57"/>
              <w:rPr>
                <w:rFonts w:cs="Arial"/>
                <w:sz w:val="22"/>
                <w:szCs w:val="22"/>
              </w:rPr>
            </w:pPr>
            <w:r w:rsidRPr="00D85A4F">
              <w:rPr>
                <w:rFonts w:cs="Arial"/>
                <w:sz w:val="22"/>
                <w:szCs w:val="22"/>
              </w:rPr>
              <w:t>This application must include:</w:t>
            </w:r>
          </w:p>
        </w:tc>
      </w:tr>
      <w:tr w:rsidR="00025FEB" w:rsidRPr="00D85A4F" w14:paraId="6A8228BD"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6A674471"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16B9A1D5" w14:textId="55EC5B98" w:rsidR="00025FEB" w:rsidRPr="00D85A4F" w:rsidRDefault="00025FEB" w:rsidP="00BB4DC3">
            <w:pPr>
              <w:pStyle w:val="TableText"/>
              <w:spacing w:before="240"/>
              <w:rPr>
                <w:rFonts w:cs="Arial"/>
                <w:sz w:val="22"/>
                <w:szCs w:val="22"/>
              </w:rPr>
            </w:pPr>
            <w:r w:rsidRPr="00D85A4F">
              <w:rPr>
                <w:sz w:val="22"/>
                <w:szCs w:val="22"/>
              </w:rPr>
              <w:t>a certificate of clinical review signed by the responsible clinician, stating their opinion in respect of the special patient</w:t>
            </w:r>
          </w:p>
        </w:tc>
      </w:tr>
      <w:tr w:rsidR="00025FEB" w:rsidRPr="00D85A4F" w14:paraId="0141C1C2"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1E61DBFD"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2B414005" w14:textId="1FA57336" w:rsidR="00025FEB" w:rsidRPr="00D85A4F" w:rsidRDefault="00025FEB" w:rsidP="00BB4DC3">
            <w:pPr>
              <w:pStyle w:val="TableText"/>
              <w:spacing w:before="240"/>
              <w:rPr>
                <w:rFonts w:cs="Arial"/>
                <w:sz w:val="22"/>
                <w:szCs w:val="22"/>
              </w:rPr>
            </w:pPr>
            <w:r w:rsidRPr="00D85A4F">
              <w:rPr>
                <w:sz w:val="22"/>
                <w:szCs w:val="22"/>
              </w:rPr>
              <w:t>a letter requesting a change of legal status from the responsible clinician</w:t>
            </w:r>
            <w:r w:rsidR="0049107A">
              <w:rPr>
                <w:sz w:val="22"/>
                <w:szCs w:val="22"/>
              </w:rPr>
              <w:t>,</w:t>
            </w:r>
            <w:r w:rsidRPr="00D85A4F">
              <w:rPr>
                <w:sz w:val="22"/>
                <w:szCs w:val="22"/>
              </w:rPr>
              <w:t xml:space="preserve"> endorsed by the DAMHS</w:t>
            </w:r>
          </w:p>
        </w:tc>
      </w:tr>
      <w:tr w:rsidR="00025FEB" w:rsidRPr="00D85A4F" w14:paraId="77E1D6A9"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52B2DCF5"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32D386A9" w14:textId="77777777" w:rsidR="00025FEB" w:rsidRPr="00D85A4F" w:rsidRDefault="00025FEB" w:rsidP="00BB4DC3">
            <w:pPr>
              <w:pStyle w:val="TableText"/>
              <w:spacing w:before="240"/>
              <w:rPr>
                <w:rFonts w:cs="Arial"/>
                <w:sz w:val="22"/>
                <w:szCs w:val="22"/>
              </w:rPr>
            </w:pPr>
            <w:r w:rsidRPr="00D85A4F">
              <w:rPr>
                <w:sz w:val="22"/>
                <w:szCs w:val="22"/>
              </w:rPr>
              <w:t>an up-to-date report from the responsible clinician, providing the following information:</w:t>
            </w:r>
          </w:p>
        </w:tc>
      </w:tr>
      <w:tr w:rsidR="00025FEB" w:rsidRPr="00D85A4F" w14:paraId="5E608710"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DF5065C" w14:textId="77777777" w:rsidR="00025FEB" w:rsidRPr="00D85A4F" w:rsidRDefault="00025FEB" w:rsidP="00BB4DC3">
            <w:pPr>
              <w:pStyle w:val="TableText"/>
              <w:ind w:left="-57"/>
            </w:pPr>
          </w:p>
        </w:tc>
        <w:tc>
          <w:tcPr>
            <w:tcW w:w="709" w:type="dxa"/>
            <w:tcBorders>
              <w:top w:val="nil"/>
              <w:left w:val="nil"/>
              <w:bottom w:val="nil"/>
              <w:right w:val="nil"/>
            </w:tcBorders>
          </w:tcPr>
          <w:p w14:paraId="2C01BFBB"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5A252746" w14:textId="77777777" w:rsidR="00025FEB" w:rsidRPr="00D85A4F" w:rsidRDefault="00025FEB" w:rsidP="00BB4DC3">
            <w:pPr>
              <w:pStyle w:val="TableText"/>
              <w:rPr>
                <w:rFonts w:cs="Arial"/>
                <w:sz w:val="22"/>
                <w:szCs w:val="22"/>
              </w:rPr>
            </w:pPr>
            <w:r w:rsidRPr="00D85A4F">
              <w:rPr>
                <w:sz w:val="22"/>
                <w:szCs w:val="22"/>
              </w:rPr>
              <w:t>a current mental state assessment</w:t>
            </w:r>
          </w:p>
        </w:tc>
      </w:tr>
      <w:tr w:rsidR="00025FEB" w:rsidRPr="00D85A4F" w14:paraId="0CDE43A6"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382A5A76" w14:textId="77777777" w:rsidR="00025FEB" w:rsidRPr="00D85A4F" w:rsidRDefault="00025FEB" w:rsidP="00BB4DC3">
            <w:pPr>
              <w:pStyle w:val="TableText"/>
              <w:ind w:left="-57"/>
            </w:pPr>
          </w:p>
        </w:tc>
        <w:tc>
          <w:tcPr>
            <w:tcW w:w="709" w:type="dxa"/>
            <w:tcBorders>
              <w:top w:val="nil"/>
              <w:left w:val="nil"/>
              <w:bottom w:val="nil"/>
              <w:right w:val="nil"/>
            </w:tcBorders>
          </w:tcPr>
          <w:p w14:paraId="4BDD3F0D"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01C8BBEE" w14:textId="77777777" w:rsidR="00025FEB" w:rsidRPr="00D85A4F" w:rsidRDefault="00025FEB" w:rsidP="00BB4DC3">
            <w:pPr>
              <w:pStyle w:val="TableText"/>
              <w:rPr>
                <w:rFonts w:cs="Arial"/>
                <w:sz w:val="22"/>
                <w:szCs w:val="22"/>
              </w:rPr>
            </w:pPr>
            <w:r w:rsidRPr="00D85A4F">
              <w:rPr>
                <w:sz w:val="22"/>
                <w:szCs w:val="22"/>
              </w:rPr>
              <w:t>a risk assessment and management plan</w:t>
            </w:r>
          </w:p>
        </w:tc>
      </w:tr>
      <w:tr w:rsidR="00025FEB" w:rsidRPr="00D85A4F" w14:paraId="23847821"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45D5F4E6" w14:textId="77777777" w:rsidR="00025FEB" w:rsidRPr="00D85A4F" w:rsidRDefault="00025FEB" w:rsidP="00BB4DC3">
            <w:pPr>
              <w:pStyle w:val="TableText"/>
              <w:ind w:left="-57"/>
            </w:pPr>
          </w:p>
        </w:tc>
        <w:tc>
          <w:tcPr>
            <w:tcW w:w="709" w:type="dxa"/>
            <w:tcBorders>
              <w:top w:val="nil"/>
              <w:left w:val="nil"/>
              <w:bottom w:val="nil"/>
              <w:right w:val="nil"/>
            </w:tcBorders>
          </w:tcPr>
          <w:p w14:paraId="3C20F1DD"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56EB7F6E" w14:textId="2941B2D7" w:rsidR="00025FEB" w:rsidRPr="00D85A4F" w:rsidRDefault="00025FEB" w:rsidP="00BB4DC3">
            <w:pPr>
              <w:pStyle w:val="TableText"/>
              <w:rPr>
                <w:rFonts w:cs="Arial"/>
                <w:sz w:val="22"/>
                <w:szCs w:val="22"/>
              </w:rPr>
            </w:pPr>
            <w:r w:rsidRPr="00D85A4F">
              <w:rPr>
                <w:sz w:val="22"/>
                <w:szCs w:val="22"/>
              </w:rPr>
              <w:t xml:space="preserve">how the factors leading to the index offence have been addressed and the </w:t>
            </w:r>
            <w:r w:rsidR="002C7DC3">
              <w:rPr>
                <w:sz w:val="22"/>
                <w:szCs w:val="22"/>
              </w:rPr>
              <w:t xml:space="preserve">measures taken </w:t>
            </w:r>
            <w:r w:rsidRPr="00D85A4F">
              <w:rPr>
                <w:sz w:val="22"/>
                <w:szCs w:val="22"/>
              </w:rPr>
              <w:t>to reduce the chance of future offending</w:t>
            </w:r>
          </w:p>
        </w:tc>
      </w:tr>
      <w:tr w:rsidR="00025FEB" w:rsidRPr="00D85A4F" w14:paraId="688DD6BD"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C01434F" w14:textId="77777777" w:rsidR="00025FEB" w:rsidRPr="00D85A4F" w:rsidRDefault="00025FEB" w:rsidP="00BB4DC3">
            <w:pPr>
              <w:pStyle w:val="TableText"/>
              <w:ind w:left="-57"/>
            </w:pPr>
          </w:p>
        </w:tc>
        <w:tc>
          <w:tcPr>
            <w:tcW w:w="709" w:type="dxa"/>
            <w:tcBorders>
              <w:top w:val="nil"/>
              <w:left w:val="nil"/>
              <w:bottom w:val="nil"/>
              <w:right w:val="nil"/>
            </w:tcBorders>
          </w:tcPr>
          <w:p w14:paraId="478005D1"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156BEDC8" w14:textId="09A4BEAE" w:rsidR="00025FEB" w:rsidRPr="00D85A4F" w:rsidRDefault="00025FEB" w:rsidP="00BB4DC3">
            <w:pPr>
              <w:pStyle w:val="TableText"/>
              <w:rPr>
                <w:rFonts w:cs="Arial"/>
                <w:sz w:val="22"/>
                <w:szCs w:val="22"/>
              </w:rPr>
            </w:pPr>
            <w:r w:rsidRPr="00D85A4F">
              <w:rPr>
                <w:sz w:val="22"/>
                <w:szCs w:val="22"/>
              </w:rPr>
              <w:t>comment on issues concerning victims, where the views of victims are known (</w:t>
            </w:r>
            <w:r w:rsidR="0032138D">
              <w:rPr>
                <w:sz w:val="22"/>
                <w:szCs w:val="22"/>
              </w:rPr>
              <w:t>eg</w:t>
            </w:r>
            <w:r w:rsidRPr="00D85A4F">
              <w:rPr>
                <w:sz w:val="22"/>
                <w:szCs w:val="22"/>
              </w:rPr>
              <w:t xml:space="preserve">, anticipated opposition to change of legal status), the likelihood of the patient being in contact with victims and </w:t>
            </w:r>
            <w:r w:rsidR="003519BA">
              <w:rPr>
                <w:sz w:val="22"/>
                <w:szCs w:val="22"/>
              </w:rPr>
              <w:t xml:space="preserve">measures taken </w:t>
            </w:r>
            <w:r w:rsidRPr="00D85A4F">
              <w:rPr>
                <w:sz w:val="22"/>
                <w:szCs w:val="22"/>
              </w:rPr>
              <w:t>to manage this</w:t>
            </w:r>
          </w:p>
        </w:tc>
      </w:tr>
      <w:tr w:rsidR="00025FEB" w:rsidRPr="00D85A4F" w14:paraId="0148A12C"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2473FCA2" w14:textId="77777777" w:rsidR="00025FEB" w:rsidRPr="00D85A4F" w:rsidRDefault="00025FEB" w:rsidP="00BB4DC3">
            <w:pPr>
              <w:pStyle w:val="TableText"/>
              <w:ind w:left="-57"/>
            </w:pPr>
          </w:p>
        </w:tc>
        <w:tc>
          <w:tcPr>
            <w:tcW w:w="709" w:type="dxa"/>
            <w:tcBorders>
              <w:top w:val="nil"/>
              <w:left w:val="nil"/>
              <w:bottom w:val="nil"/>
              <w:right w:val="nil"/>
            </w:tcBorders>
          </w:tcPr>
          <w:p w14:paraId="10AFA2E1"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3D0844EA" w14:textId="77777777" w:rsidR="00025FEB" w:rsidRPr="00D85A4F" w:rsidRDefault="00025FEB" w:rsidP="00BB4DC3">
            <w:pPr>
              <w:pStyle w:val="TableText"/>
              <w:rPr>
                <w:rFonts w:cs="Arial"/>
                <w:sz w:val="22"/>
                <w:szCs w:val="22"/>
              </w:rPr>
            </w:pPr>
            <w:r w:rsidRPr="00D85A4F">
              <w:rPr>
                <w:sz w:val="22"/>
                <w:szCs w:val="22"/>
              </w:rPr>
              <w:t>specific comment on alcohol and drug use</w:t>
            </w:r>
          </w:p>
        </w:tc>
      </w:tr>
      <w:tr w:rsidR="00025FEB" w:rsidRPr="00D85A4F" w14:paraId="53592D82"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5A5BD87E" w14:textId="77777777" w:rsidR="00025FEB" w:rsidRPr="00D85A4F" w:rsidRDefault="00025FEB" w:rsidP="00BB4DC3">
            <w:pPr>
              <w:pStyle w:val="TableText"/>
              <w:ind w:left="-57"/>
            </w:pPr>
          </w:p>
        </w:tc>
        <w:tc>
          <w:tcPr>
            <w:tcW w:w="709" w:type="dxa"/>
            <w:tcBorders>
              <w:top w:val="nil"/>
              <w:left w:val="nil"/>
              <w:bottom w:val="nil"/>
              <w:right w:val="nil"/>
            </w:tcBorders>
          </w:tcPr>
          <w:p w14:paraId="108D4CDE"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17CA9F97" w14:textId="1033E08C" w:rsidR="00025FEB" w:rsidRPr="00D85A4F" w:rsidRDefault="00025FEB" w:rsidP="00BB4DC3">
            <w:pPr>
              <w:pStyle w:val="TableText"/>
              <w:rPr>
                <w:rFonts w:cs="Arial"/>
                <w:sz w:val="22"/>
                <w:szCs w:val="22"/>
              </w:rPr>
            </w:pPr>
            <w:r w:rsidRPr="00D85A4F">
              <w:rPr>
                <w:sz w:val="22"/>
                <w:szCs w:val="22"/>
              </w:rPr>
              <w:t xml:space="preserve">plans for the patient’s ongoing management by mental health services once </w:t>
            </w:r>
            <w:r w:rsidR="00370FB0">
              <w:rPr>
                <w:sz w:val="22"/>
                <w:szCs w:val="22"/>
              </w:rPr>
              <w:t xml:space="preserve">the patient is </w:t>
            </w:r>
            <w:r w:rsidRPr="00D85A4F">
              <w:rPr>
                <w:sz w:val="22"/>
                <w:szCs w:val="22"/>
              </w:rPr>
              <w:t>no longer subject to special patient status, particularly if the patient may not continue to meet the criteria for compulsory treatment</w:t>
            </w:r>
          </w:p>
        </w:tc>
      </w:tr>
      <w:tr w:rsidR="00025FEB" w:rsidRPr="00D85A4F" w14:paraId="3B8C9351"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1F33C346" w14:textId="77777777" w:rsidR="00025FEB" w:rsidRPr="00D85A4F" w:rsidRDefault="00025FEB" w:rsidP="00BB4DC3">
            <w:pPr>
              <w:pStyle w:val="TableText"/>
              <w:ind w:left="-57"/>
            </w:pPr>
          </w:p>
        </w:tc>
        <w:tc>
          <w:tcPr>
            <w:tcW w:w="709" w:type="dxa"/>
            <w:tcBorders>
              <w:top w:val="nil"/>
              <w:left w:val="nil"/>
              <w:bottom w:val="nil"/>
              <w:right w:val="nil"/>
            </w:tcBorders>
          </w:tcPr>
          <w:p w14:paraId="1FD70F40"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1870D448" w14:textId="77777777" w:rsidR="00025FEB" w:rsidRPr="00D85A4F" w:rsidRDefault="00025FEB" w:rsidP="00BB4DC3">
            <w:pPr>
              <w:pStyle w:val="TableText"/>
              <w:rPr>
                <w:rFonts w:cs="Arial"/>
                <w:sz w:val="22"/>
                <w:szCs w:val="22"/>
              </w:rPr>
            </w:pPr>
            <w:r w:rsidRPr="00D85A4F">
              <w:rPr>
                <w:sz w:val="22"/>
                <w:szCs w:val="22"/>
              </w:rPr>
              <w:t>if the patient is likely to return to court, advice on whether they may have an insanity defence</w:t>
            </w:r>
          </w:p>
        </w:tc>
      </w:tr>
      <w:tr w:rsidR="00025FEB" w:rsidRPr="00D85A4F" w14:paraId="4012439E"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1AFC5701"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5DA28D44" w14:textId="313A0B57" w:rsidR="00025FEB" w:rsidRPr="00D85A4F" w:rsidRDefault="00025FEB" w:rsidP="00BB4DC3">
            <w:pPr>
              <w:pStyle w:val="TableText"/>
              <w:spacing w:before="240"/>
              <w:rPr>
                <w:rFonts w:cs="Arial"/>
                <w:sz w:val="22"/>
                <w:szCs w:val="22"/>
              </w:rPr>
            </w:pPr>
            <w:r w:rsidRPr="00D85A4F">
              <w:rPr>
                <w:sz w:val="22"/>
                <w:szCs w:val="22"/>
              </w:rPr>
              <w:t xml:space="preserve">reference to the most recent </w:t>
            </w:r>
            <w:r w:rsidR="00E97DA6">
              <w:rPr>
                <w:sz w:val="22"/>
                <w:szCs w:val="22"/>
              </w:rPr>
              <w:t xml:space="preserve">SPRP </w:t>
            </w:r>
            <w:r w:rsidRPr="00D85A4F">
              <w:rPr>
                <w:sz w:val="22"/>
                <w:szCs w:val="22"/>
              </w:rPr>
              <w:t>report.</w:t>
            </w:r>
          </w:p>
        </w:tc>
      </w:tr>
    </w:tbl>
    <w:p w14:paraId="17B8DD0B" w14:textId="77777777" w:rsidR="00025FEB" w:rsidRPr="00D85A4F" w:rsidRDefault="00025FEB" w:rsidP="00025FEB"/>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709"/>
        <w:gridCol w:w="7371"/>
        <w:gridCol w:w="2132"/>
      </w:tblGrid>
      <w:tr w:rsidR="00025FEB" w:rsidRPr="00D85A4F" w14:paraId="0DEB378D" w14:textId="77777777" w:rsidTr="00BB4DC3">
        <w:trPr>
          <w:cantSplit/>
          <w:trHeight w:val="253"/>
        </w:trPr>
        <w:tc>
          <w:tcPr>
            <w:tcW w:w="8647" w:type="dxa"/>
            <w:gridSpan w:val="3"/>
            <w:vAlign w:val="center"/>
          </w:tcPr>
          <w:p w14:paraId="2A049DE7" w14:textId="1AD1D017" w:rsidR="00025FEB" w:rsidRPr="00D85A4F" w:rsidRDefault="00025FEB" w:rsidP="00BB4DC3">
            <w:pPr>
              <w:pageBreakBefore/>
              <w:ind w:left="-57"/>
              <w:rPr>
                <w:rFonts w:ascii="Arial" w:hAnsi="Arial" w:cs="Arial"/>
                <w:i/>
                <w:noProof/>
                <w:sz w:val="36"/>
                <w:szCs w:val="36"/>
                <w:lang w:eastAsia="en-NZ"/>
              </w:rPr>
            </w:pPr>
            <w:r w:rsidRPr="00D85A4F">
              <w:rPr>
                <w:rFonts w:ascii="Arial" w:hAnsi="Arial" w:cs="Arial"/>
                <w:b/>
                <w:sz w:val="36"/>
                <w:szCs w:val="36"/>
              </w:rPr>
              <w:t xml:space="preserve">Checklist for </w:t>
            </w:r>
            <w:r w:rsidR="00FD02E4">
              <w:rPr>
                <w:rFonts w:ascii="Arial" w:hAnsi="Arial" w:cs="Arial"/>
                <w:b/>
                <w:sz w:val="36"/>
                <w:szCs w:val="36"/>
              </w:rPr>
              <w:t xml:space="preserve">applications for </w:t>
            </w:r>
            <w:r w:rsidRPr="00D85A4F">
              <w:rPr>
                <w:rFonts w:ascii="Arial" w:hAnsi="Arial" w:cs="Arial"/>
                <w:b/>
                <w:sz w:val="36"/>
                <w:szCs w:val="36"/>
              </w:rPr>
              <w:t>change of status– restricted patients</w:t>
            </w:r>
            <w:r w:rsidRPr="00D85A4F">
              <w:rPr>
                <w:rFonts w:ascii="Arial" w:hAnsi="Arial" w:cs="Arial"/>
                <w:b/>
                <w:sz w:val="36"/>
                <w:szCs w:val="36"/>
              </w:rPr>
              <w:br/>
            </w:r>
            <w:r w:rsidRPr="00D85A4F">
              <w:rPr>
                <w:rFonts w:ascii="Arial" w:hAnsi="Arial" w:cs="Arial"/>
                <w:sz w:val="28"/>
                <w:szCs w:val="28"/>
              </w:rPr>
              <w:t xml:space="preserve">Section 78 </w:t>
            </w:r>
            <w:r>
              <w:rPr>
                <w:rFonts w:ascii="Arial" w:hAnsi="Arial" w:cs="Arial"/>
                <w:sz w:val="28"/>
                <w:szCs w:val="28"/>
              </w:rPr>
              <w:t xml:space="preserve">of the </w:t>
            </w:r>
            <w:r w:rsidRPr="00D85A4F">
              <w:rPr>
                <w:rFonts w:ascii="Arial" w:hAnsi="Arial" w:cs="Arial"/>
                <w:sz w:val="28"/>
                <w:szCs w:val="28"/>
              </w:rPr>
              <w:t>Mental Health</w:t>
            </w:r>
            <w:r w:rsidRPr="00D85A4F">
              <w:rPr>
                <w:rFonts w:ascii="Arial" w:hAnsi="Arial" w:cs="Arial"/>
                <w:sz w:val="28"/>
                <w:szCs w:val="28"/>
              </w:rPr>
              <w:br/>
              <w:t>(Compulsory Assessment and Treatment) Act 1992</w:t>
            </w:r>
          </w:p>
        </w:tc>
        <w:tc>
          <w:tcPr>
            <w:tcW w:w="2132" w:type="dxa"/>
          </w:tcPr>
          <w:p w14:paraId="0E2A7585" w14:textId="77777777" w:rsidR="00025FEB" w:rsidRPr="00D85A4F" w:rsidRDefault="00025FEB" w:rsidP="00BB4DC3">
            <w:pPr>
              <w:ind w:right="-57"/>
              <w:jc w:val="right"/>
              <w:rPr>
                <w:rFonts w:ascii="Arial" w:hAnsi="Arial" w:cs="Arial"/>
                <w:noProof/>
                <w:sz w:val="36"/>
                <w:szCs w:val="36"/>
                <w:lang w:eastAsia="en-NZ"/>
              </w:rPr>
            </w:pPr>
            <w:r>
              <w:rPr>
                <w:noProof/>
              </w:rPr>
              <w:drawing>
                <wp:anchor distT="0" distB="0" distL="114300" distR="114300" simplePos="0" relativeHeight="251658240" behindDoc="0" locked="0" layoutInCell="1" allowOverlap="1" wp14:anchorId="2DADF88E" wp14:editId="4C96B1D3">
                  <wp:simplePos x="0" y="0"/>
                  <wp:positionH relativeFrom="column">
                    <wp:posOffset>-2540</wp:posOffset>
                  </wp:positionH>
                  <wp:positionV relativeFrom="paragraph">
                    <wp:posOffset>2540</wp:posOffset>
                  </wp:positionV>
                  <wp:extent cx="1519555" cy="718185"/>
                  <wp:effectExtent l="0" t="0" r="4445" b="5715"/>
                  <wp:wrapNone/>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Health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5FEB" w:rsidRPr="00D85A4F" w14:paraId="1AC850FA"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79" w:type="dxa"/>
            <w:gridSpan w:val="4"/>
            <w:tcBorders>
              <w:top w:val="nil"/>
              <w:left w:val="nil"/>
              <w:bottom w:val="nil"/>
              <w:right w:val="nil"/>
            </w:tcBorders>
            <w:vAlign w:val="center"/>
          </w:tcPr>
          <w:p w14:paraId="13BED399" w14:textId="77777777" w:rsidR="00025FEB" w:rsidRPr="00D85A4F" w:rsidRDefault="00025FEB" w:rsidP="00BB4DC3">
            <w:pPr>
              <w:pStyle w:val="TableText"/>
              <w:spacing w:before="600" w:after="30"/>
              <w:ind w:left="-57"/>
              <w:rPr>
                <w:rFonts w:cs="Arial"/>
                <w:sz w:val="22"/>
                <w:szCs w:val="22"/>
              </w:rPr>
            </w:pPr>
            <w:r w:rsidRPr="00D85A4F">
              <w:rPr>
                <w:rFonts w:cs="Arial"/>
                <w:sz w:val="22"/>
                <w:szCs w:val="22"/>
              </w:rPr>
              <w:t>This application must include:</w:t>
            </w:r>
          </w:p>
        </w:tc>
      </w:tr>
      <w:tr w:rsidR="00025FEB" w:rsidRPr="00D85A4F" w14:paraId="7538A405"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11D749BC"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0B346CA5" w14:textId="7E28C0C4" w:rsidR="00025FEB" w:rsidRPr="00D85A4F" w:rsidRDefault="00025FEB" w:rsidP="00BB4DC3">
            <w:pPr>
              <w:pStyle w:val="TableText"/>
              <w:spacing w:before="240"/>
              <w:rPr>
                <w:rFonts w:cs="Arial"/>
                <w:sz w:val="22"/>
                <w:szCs w:val="22"/>
              </w:rPr>
            </w:pPr>
            <w:r w:rsidRPr="00D85A4F">
              <w:rPr>
                <w:sz w:val="22"/>
                <w:szCs w:val="22"/>
              </w:rPr>
              <w:t>a certificate of clinical review signed by the responsible clinician, stating their opinion in respect of the restricted patient</w:t>
            </w:r>
          </w:p>
        </w:tc>
      </w:tr>
      <w:tr w:rsidR="00025FEB" w:rsidRPr="00D85A4F" w14:paraId="1E6453D6"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18F948DB"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2E6CC8E9" w14:textId="291CF627" w:rsidR="00025FEB" w:rsidRPr="00D85A4F" w:rsidRDefault="00025FEB" w:rsidP="00BB4DC3">
            <w:pPr>
              <w:pStyle w:val="TableText"/>
              <w:spacing w:before="240"/>
              <w:rPr>
                <w:rFonts w:cs="Arial"/>
                <w:sz w:val="22"/>
                <w:szCs w:val="22"/>
              </w:rPr>
            </w:pPr>
            <w:r w:rsidRPr="00D85A4F">
              <w:rPr>
                <w:sz w:val="22"/>
                <w:szCs w:val="22"/>
              </w:rPr>
              <w:t>a letter requesting a change of legal status from the responsible clinician</w:t>
            </w:r>
            <w:r w:rsidR="0049107A">
              <w:rPr>
                <w:sz w:val="22"/>
                <w:szCs w:val="22"/>
              </w:rPr>
              <w:t xml:space="preserve">, </w:t>
            </w:r>
            <w:r w:rsidRPr="00D85A4F">
              <w:rPr>
                <w:sz w:val="22"/>
                <w:szCs w:val="22"/>
              </w:rPr>
              <w:t>endorsed by the DAMHS</w:t>
            </w:r>
          </w:p>
        </w:tc>
      </w:tr>
      <w:tr w:rsidR="00025FEB" w:rsidRPr="00D85A4F" w14:paraId="6005274F"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tcPr>
          <w:p w14:paraId="09F0ED45"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7ACB3034" w14:textId="77777777" w:rsidR="00025FEB" w:rsidRPr="00D85A4F" w:rsidRDefault="00025FEB" w:rsidP="00BB4DC3">
            <w:pPr>
              <w:pStyle w:val="TableText"/>
              <w:spacing w:before="240"/>
              <w:rPr>
                <w:rFonts w:cs="Arial"/>
                <w:sz w:val="22"/>
                <w:szCs w:val="22"/>
              </w:rPr>
            </w:pPr>
            <w:r w:rsidRPr="00D85A4F">
              <w:rPr>
                <w:sz w:val="22"/>
                <w:szCs w:val="22"/>
              </w:rPr>
              <w:t>an up-to-date report from the responsible clinician, providing the following information:</w:t>
            </w:r>
          </w:p>
        </w:tc>
      </w:tr>
      <w:tr w:rsidR="00025FEB" w:rsidRPr="00D85A4F" w14:paraId="7BCE6C27"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40C1FB9C" w14:textId="77777777" w:rsidR="00025FEB" w:rsidRPr="00D85A4F" w:rsidRDefault="00025FEB" w:rsidP="00BB4DC3">
            <w:pPr>
              <w:pStyle w:val="TableText"/>
              <w:ind w:left="-57"/>
            </w:pPr>
          </w:p>
        </w:tc>
        <w:tc>
          <w:tcPr>
            <w:tcW w:w="709" w:type="dxa"/>
            <w:tcBorders>
              <w:top w:val="nil"/>
              <w:left w:val="nil"/>
              <w:bottom w:val="nil"/>
              <w:right w:val="nil"/>
            </w:tcBorders>
          </w:tcPr>
          <w:p w14:paraId="6CDE5773"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28CDD76E" w14:textId="77777777" w:rsidR="00025FEB" w:rsidRPr="00D85A4F" w:rsidRDefault="00025FEB" w:rsidP="00BB4DC3">
            <w:pPr>
              <w:pStyle w:val="TableText"/>
              <w:rPr>
                <w:rFonts w:cs="Arial"/>
                <w:sz w:val="22"/>
                <w:szCs w:val="22"/>
              </w:rPr>
            </w:pPr>
            <w:r w:rsidRPr="00D85A4F">
              <w:rPr>
                <w:sz w:val="22"/>
                <w:szCs w:val="22"/>
              </w:rPr>
              <w:t>a current mental state assessment</w:t>
            </w:r>
          </w:p>
        </w:tc>
      </w:tr>
      <w:tr w:rsidR="00025FEB" w:rsidRPr="00D85A4F" w14:paraId="606CB82F"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3918022A" w14:textId="77777777" w:rsidR="00025FEB" w:rsidRPr="00D85A4F" w:rsidRDefault="00025FEB" w:rsidP="00BB4DC3">
            <w:pPr>
              <w:pStyle w:val="TableText"/>
              <w:ind w:left="-57"/>
            </w:pPr>
          </w:p>
        </w:tc>
        <w:tc>
          <w:tcPr>
            <w:tcW w:w="709" w:type="dxa"/>
            <w:tcBorders>
              <w:top w:val="nil"/>
              <w:left w:val="nil"/>
              <w:bottom w:val="nil"/>
              <w:right w:val="nil"/>
            </w:tcBorders>
          </w:tcPr>
          <w:p w14:paraId="6917D19C"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51D12B08" w14:textId="77777777" w:rsidR="00025FEB" w:rsidRPr="00D85A4F" w:rsidRDefault="00025FEB" w:rsidP="00BB4DC3">
            <w:pPr>
              <w:pStyle w:val="TableText"/>
              <w:rPr>
                <w:rFonts w:cs="Arial"/>
                <w:sz w:val="22"/>
                <w:szCs w:val="22"/>
              </w:rPr>
            </w:pPr>
            <w:r w:rsidRPr="00D85A4F">
              <w:rPr>
                <w:sz w:val="22"/>
                <w:szCs w:val="22"/>
              </w:rPr>
              <w:t>a risk assessment and management plan</w:t>
            </w:r>
          </w:p>
        </w:tc>
      </w:tr>
      <w:tr w:rsidR="00025FEB" w:rsidRPr="00D85A4F" w14:paraId="1DD205E3"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45E2BA97" w14:textId="77777777" w:rsidR="00025FEB" w:rsidRPr="00D85A4F" w:rsidRDefault="00025FEB" w:rsidP="00BB4DC3">
            <w:pPr>
              <w:pStyle w:val="TableText"/>
              <w:ind w:left="-57"/>
            </w:pPr>
          </w:p>
        </w:tc>
        <w:tc>
          <w:tcPr>
            <w:tcW w:w="709" w:type="dxa"/>
            <w:tcBorders>
              <w:top w:val="nil"/>
              <w:left w:val="nil"/>
              <w:bottom w:val="nil"/>
              <w:right w:val="nil"/>
            </w:tcBorders>
          </w:tcPr>
          <w:p w14:paraId="261D12B1"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4462CFFD" w14:textId="65972856" w:rsidR="00025FEB" w:rsidRPr="00D85A4F" w:rsidRDefault="00025FEB" w:rsidP="00BB4DC3">
            <w:pPr>
              <w:pStyle w:val="TableText"/>
              <w:rPr>
                <w:rFonts w:cs="Arial"/>
                <w:sz w:val="22"/>
                <w:szCs w:val="22"/>
              </w:rPr>
            </w:pPr>
            <w:r w:rsidRPr="00D85A4F">
              <w:rPr>
                <w:sz w:val="22"/>
                <w:szCs w:val="22"/>
              </w:rPr>
              <w:t xml:space="preserve">how the factors leading to restricted patient status have been addressed and the </w:t>
            </w:r>
            <w:r w:rsidR="00EB36F0">
              <w:rPr>
                <w:sz w:val="22"/>
                <w:szCs w:val="22"/>
              </w:rPr>
              <w:t xml:space="preserve">measures taken </w:t>
            </w:r>
            <w:r w:rsidRPr="00D85A4F">
              <w:rPr>
                <w:sz w:val="22"/>
                <w:szCs w:val="22"/>
              </w:rPr>
              <w:t>to reduce the danger presented by the patient</w:t>
            </w:r>
          </w:p>
        </w:tc>
      </w:tr>
      <w:tr w:rsidR="00025FEB" w:rsidRPr="00D85A4F" w14:paraId="65EFF1FC"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1D389B4D" w14:textId="77777777" w:rsidR="00025FEB" w:rsidRPr="00D85A4F" w:rsidRDefault="00025FEB" w:rsidP="00BB4DC3">
            <w:pPr>
              <w:pStyle w:val="TableText"/>
              <w:ind w:left="-57"/>
            </w:pPr>
          </w:p>
        </w:tc>
        <w:tc>
          <w:tcPr>
            <w:tcW w:w="709" w:type="dxa"/>
            <w:tcBorders>
              <w:top w:val="nil"/>
              <w:left w:val="nil"/>
              <w:bottom w:val="nil"/>
              <w:right w:val="nil"/>
            </w:tcBorders>
          </w:tcPr>
          <w:p w14:paraId="1FAA978A" w14:textId="77777777" w:rsidR="00025FEB" w:rsidRPr="00D85A4F" w:rsidRDefault="00025FEB" w:rsidP="00BB4DC3">
            <w:pPr>
              <w:pStyle w:val="TableText"/>
              <w:rPr>
                <w:rFonts w:cs="Arial"/>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9503" w:type="dxa"/>
            <w:gridSpan w:val="2"/>
            <w:tcBorders>
              <w:top w:val="nil"/>
              <w:left w:val="nil"/>
              <w:bottom w:val="nil"/>
              <w:right w:val="nil"/>
            </w:tcBorders>
            <w:vAlign w:val="center"/>
          </w:tcPr>
          <w:p w14:paraId="6E84564E" w14:textId="72F3496D" w:rsidR="00025FEB" w:rsidRPr="00D85A4F" w:rsidRDefault="00025FEB" w:rsidP="00BB4DC3">
            <w:pPr>
              <w:pStyle w:val="TableText"/>
              <w:rPr>
                <w:rFonts w:cs="Arial"/>
                <w:sz w:val="22"/>
                <w:szCs w:val="22"/>
              </w:rPr>
            </w:pPr>
            <w:r w:rsidRPr="00D85A4F">
              <w:rPr>
                <w:sz w:val="22"/>
                <w:szCs w:val="22"/>
              </w:rPr>
              <w:t xml:space="preserve">plans for the patient’s ongoing management by mental health services once </w:t>
            </w:r>
            <w:r w:rsidR="00C52A7D">
              <w:rPr>
                <w:sz w:val="22"/>
                <w:szCs w:val="22"/>
              </w:rPr>
              <w:t xml:space="preserve">the patient is </w:t>
            </w:r>
            <w:r w:rsidRPr="00D85A4F">
              <w:rPr>
                <w:sz w:val="22"/>
                <w:szCs w:val="22"/>
              </w:rPr>
              <w:t>no longer subject to restricted patient status, particularly if the patient may not continue to meet the criteria for compulsory treatment</w:t>
            </w:r>
          </w:p>
        </w:tc>
      </w:tr>
      <w:tr w:rsidR="00025FEB" w:rsidRPr="00D85A4F" w14:paraId="5FF38783" w14:textId="77777777" w:rsidTr="00BB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left w:val="nil"/>
              <w:bottom w:val="nil"/>
              <w:right w:val="nil"/>
            </w:tcBorders>
            <w:vAlign w:val="center"/>
          </w:tcPr>
          <w:p w14:paraId="41232FEE" w14:textId="77777777" w:rsidR="00025FEB" w:rsidRPr="00D85A4F" w:rsidRDefault="00025FEB" w:rsidP="00BB4DC3">
            <w:pPr>
              <w:pStyle w:val="TableText"/>
              <w:spacing w:before="240"/>
              <w:ind w:left="-57"/>
              <w:rPr>
                <w:sz w:val="28"/>
                <w:szCs w:val="28"/>
              </w:rPr>
            </w:pPr>
            <w:r w:rsidRPr="00D85A4F">
              <w:rPr>
                <w:rFonts w:cs="Arial"/>
                <w:sz w:val="28"/>
                <w:szCs w:val="28"/>
              </w:rPr>
              <w:fldChar w:fldCharType="begin">
                <w:ffData>
                  <w:name w:val="Check2"/>
                  <w:enabled/>
                  <w:calcOnExit w:val="0"/>
                  <w:checkBox>
                    <w:sizeAuto/>
                    <w:default w:val="0"/>
                  </w:checkBox>
                </w:ffData>
              </w:fldChar>
            </w:r>
            <w:r w:rsidRPr="00D85A4F">
              <w:rPr>
                <w:rFonts w:cs="Arial"/>
                <w:sz w:val="28"/>
                <w:szCs w:val="28"/>
              </w:rPr>
              <w:instrText xml:space="preserve"> FORMCHECKBOX </w:instrText>
            </w:r>
            <w:r w:rsidR="00000000">
              <w:rPr>
                <w:rFonts w:cs="Arial"/>
                <w:sz w:val="28"/>
                <w:szCs w:val="28"/>
              </w:rPr>
            </w:r>
            <w:r w:rsidR="00000000">
              <w:rPr>
                <w:rFonts w:cs="Arial"/>
                <w:sz w:val="28"/>
                <w:szCs w:val="28"/>
              </w:rPr>
              <w:fldChar w:fldCharType="separate"/>
            </w:r>
            <w:r w:rsidRPr="00D85A4F">
              <w:rPr>
                <w:rFonts w:cs="Arial"/>
                <w:sz w:val="28"/>
                <w:szCs w:val="28"/>
              </w:rPr>
              <w:fldChar w:fldCharType="end"/>
            </w:r>
          </w:p>
        </w:tc>
        <w:tc>
          <w:tcPr>
            <w:tcW w:w="10212" w:type="dxa"/>
            <w:gridSpan w:val="3"/>
            <w:tcBorders>
              <w:top w:val="nil"/>
              <w:left w:val="nil"/>
              <w:bottom w:val="nil"/>
              <w:right w:val="nil"/>
            </w:tcBorders>
            <w:vAlign w:val="center"/>
          </w:tcPr>
          <w:p w14:paraId="7DF2A010" w14:textId="7A54C0CC" w:rsidR="00025FEB" w:rsidRPr="00D85A4F" w:rsidRDefault="00025FEB" w:rsidP="00BB4DC3">
            <w:pPr>
              <w:pStyle w:val="TableText"/>
              <w:spacing w:before="240"/>
              <w:rPr>
                <w:rFonts w:cs="Arial"/>
                <w:sz w:val="22"/>
                <w:szCs w:val="22"/>
              </w:rPr>
            </w:pPr>
            <w:r w:rsidRPr="00D85A4F">
              <w:rPr>
                <w:sz w:val="22"/>
                <w:szCs w:val="22"/>
              </w:rPr>
              <w:t xml:space="preserve">reference to the most recent </w:t>
            </w:r>
            <w:r w:rsidR="0057584B">
              <w:rPr>
                <w:sz w:val="22"/>
                <w:szCs w:val="22"/>
              </w:rPr>
              <w:t xml:space="preserve">SPRP </w:t>
            </w:r>
            <w:r w:rsidRPr="00D85A4F">
              <w:rPr>
                <w:sz w:val="22"/>
                <w:szCs w:val="22"/>
              </w:rPr>
              <w:t>report.</w:t>
            </w:r>
          </w:p>
        </w:tc>
      </w:tr>
    </w:tbl>
    <w:p w14:paraId="1CA2969E" w14:textId="77777777" w:rsidR="00025FEB" w:rsidRDefault="00025FEB" w:rsidP="00025FEB"/>
    <w:p w14:paraId="2478DFB3" w14:textId="77777777" w:rsidR="00025FEB" w:rsidRPr="004F0043" w:rsidRDefault="00025FEB" w:rsidP="00025FEB"/>
    <w:p w14:paraId="4C2AA7A0" w14:textId="77777777" w:rsidR="00025FEB" w:rsidRPr="004F0043" w:rsidRDefault="00025FEB" w:rsidP="00025FEB"/>
    <w:p w14:paraId="1B6D778C" w14:textId="77777777" w:rsidR="00025FEB" w:rsidRPr="004F0043" w:rsidRDefault="00025FEB" w:rsidP="00025FEB"/>
    <w:p w14:paraId="51900834" w14:textId="77777777" w:rsidR="00025FEB" w:rsidRDefault="00025FEB" w:rsidP="00025FEB">
      <w:pPr>
        <w:tabs>
          <w:tab w:val="left" w:pos="1390"/>
        </w:tabs>
        <w:sectPr w:rsidR="00025FEB" w:rsidSect="00BB4DC3">
          <w:headerReference w:type="even" r:id="rId32"/>
          <w:headerReference w:type="default" r:id="rId33"/>
          <w:footerReference w:type="even" r:id="rId34"/>
          <w:footerReference w:type="default" r:id="rId35"/>
          <w:headerReference w:type="first" r:id="rId36"/>
          <w:pgSz w:w="11907" w:h="16834" w:code="9"/>
          <w:pgMar w:top="425" w:right="567" w:bottom="425" w:left="567" w:header="284" w:footer="454" w:gutter="0"/>
          <w:cols w:space="720"/>
          <w:docGrid w:linePitch="286"/>
        </w:sectPr>
      </w:pPr>
      <w:r>
        <w:tab/>
      </w:r>
    </w:p>
    <w:p w14:paraId="1D97A4A2" w14:textId="77777777" w:rsidR="00025FEB" w:rsidRDefault="00025FEB" w:rsidP="00025FEB">
      <w:pPr>
        <w:tabs>
          <w:tab w:val="left" w:pos="1390"/>
        </w:tabs>
      </w:pPr>
    </w:p>
    <w:p w14:paraId="5D93AA59" w14:textId="77777777" w:rsidR="00025FEB" w:rsidRPr="00D85A4F" w:rsidRDefault="00025FEB" w:rsidP="00025FEB">
      <w:pPr>
        <w:ind w:right="567"/>
        <w:jc w:val="right"/>
        <w:rPr>
          <w:rFonts w:ascii="Arial" w:hAnsi="Arial" w:cs="Arial"/>
          <w:b/>
          <w:smallCaps/>
          <w:sz w:val="36"/>
          <w:szCs w:val="36"/>
        </w:rPr>
      </w:pPr>
      <w:r>
        <w:rPr>
          <w:noProof/>
        </w:rPr>
        <w:drawing>
          <wp:anchor distT="0" distB="0" distL="114300" distR="114300" simplePos="0" relativeHeight="251658247" behindDoc="0" locked="0" layoutInCell="1" allowOverlap="1" wp14:anchorId="587B716C" wp14:editId="167C58CD">
            <wp:simplePos x="0" y="0"/>
            <wp:positionH relativeFrom="margin">
              <wp:align>left</wp:align>
            </wp:positionH>
            <wp:positionV relativeFrom="paragraph">
              <wp:posOffset>-97378</wp:posOffset>
            </wp:positionV>
            <wp:extent cx="2149680" cy="1016000"/>
            <wp:effectExtent l="0" t="0" r="3175" b="0"/>
            <wp:wrapNone/>
            <wp:docPr id="15" name="Picture 1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inistry of Health log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5431" cy="1018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A4F">
        <w:rPr>
          <w:rFonts w:ascii="Arial" w:hAnsi="Arial" w:cs="Arial"/>
        </w:rPr>
        <w:t xml:space="preserve">   </w:t>
      </w:r>
      <w:r w:rsidRPr="00D85A4F">
        <w:rPr>
          <w:rFonts w:ascii="Arial" w:hAnsi="Arial" w:cs="Arial"/>
          <w:b/>
          <w:smallCaps/>
          <w:sz w:val="36"/>
          <w:szCs w:val="36"/>
        </w:rPr>
        <w:t>Director of Mental Health</w:t>
      </w:r>
    </w:p>
    <w:p w14:paraId="04FB0DD3" w14:textId="77777777" w:rsidR="00025FEB" w:rsidRPr="00D85A4F" w:rsidRDefault="00025FEB" w:rsidP="00025FEB">
      <w:pPr>
        <w:ind w:right="567"/>
        <w:rPr>
          <w:rFonts w:ascii="Arial" w:hAnsi="Arial" w:cs="Arial"/>
          <w:sz w:val="20"/>
        </w:rPr>
      </w:pPr>
    </w:p>
    <w:p w14:paraId="2E4E03F0" w14:textId="542E7810" w:rsidR="00025FEB" w:rsidRPr="00D85A4F" w:rsidRDefault="00025FEB" w:rsidP="00025FEB">
      <w:pPr>
        <w:ind w:right="567"/>
        <w:jc w:val="right"/>
        <w:rPr>
          <w:rFonts w:ascii="Arial" w:hAnsi="Arial" w:cs="Arial"/>
          <w:b/>
        </w:rPr>
      </w:pPr>
      <w:r w:rsidRPr="00D85A4F">
        <w:rPr>
          <w:rFonts w:ascii="Arial" w:hAnsi="Arial" w:cs="Arial"/>
          <w:b/>
        </w:rPr>
        <w:t xml:space="preserve">Reportable </w:t>
      </w:r>
      <w:r>
        <w:rPr>
          <w:rFonts w:ascii="Arial" w:hAnsi="Arial" w:cs="Arial"/>
          <w:b/>
        </w:rPr>
        <w:t>e</w:t>
      </w:r>
      <w:r w:rsidRPr="00D85A4F">
        <w:rPr>
          <w:rFonts w:ascii="Arial" w:hAnsi="Arial" w:cs="Arial"/>
          <w:b/>
        </w:rPr>
        <w:t xml:space="preserve">vent </w:t>
      </w:r>
      <w:r>
        <w:rPr>
          <w:rFonts w:ascii="Arial" w:hAnsi="Arial" w:cs="Arial"/>
          <w:b/>
        </w:rPr>
        <w:t>n</w:t>
      </w:r>
      <w:r w:rsidRPr="00D85A4F">
        <w:rPr>
          <w:rFonts w:ascii="Arial" w:hAnsi="Arial" w:cs="Arial"/>
          <w:b/>
        </w:rPr>
        <w:t xml:space="preserve">otification </w:t>
      </w:r>
      <w:r>
        <w:rPr>
          <w:rFonts w:ascii="Arial" w:hAnsi="Arial" w:cs="Arial"/>
          <w:b/>
        </w:rPr>
        <w:t>f</w:t>
      </w:r>
      <w:r w:rsidRPr="00D85A4F">
        <w:rPr>
          <w:rFonts w:ascii="Arial" w:hAnsi="Arial" w:cs="Arial"/>
          <w:b/>
        </w:rPr>
        <w:t>orm</w:t>
      </w:r>
    </w:p>
    <w:p w14:paraId="01F9CF14" w14:textId="77777777" w:rsidR="00025FEB" w:rsidRPr="00D85A4F" w:rsidRDefault="00025FEB" w:rsidP="00025FEB">
      <w:pPr>
        <w:rPr>
          <w:rFonts w:ascii="Arial" w:hAnsi="Arial" w:cs="Arial"/>
          <w:sz w:val="20"/>
        </w:rPr>
      </w:pPr>
    </w:p>
    <w:p w14:paraId="6789F147" w14:textId="77777777" w:rsidR="00025FEB" w:rsidRPr="00D85A4F" w:rsidRDefault="00025FEB" w:rsidP="00025FEB">
      <w:pPr>
        <w:rPr>
          <w:rFonts w:ascii="Arial" w:hAnsi="Arial" w:cs="Arial"/>
          <w:sz w:val="20"/>
        </w:rPr>
      </w:pPr>
    </w:p>
    <w:tbl>
      <w:tblPr>
        <w:tblW w:w="10491" w:type="dxa"/>
        <w:tblCellSpacing w:w="28" w:type="dxa"/>
        <w:tblInd w:w="-262" w:type="dxa"/>
        <w:tblLayout w:type="fixed"/>
        <w:tblCellMar>
          <w:top w:w="57" w:type="dxa"/>
          <w:bottom w:w="57" w:type="dxa"/>
        </w:tblCellMar>
        <w:tblLook w:val="00A0" w:firstRow="1" w:lastRow="0" w:firstColumn="1" w:lastColumn="0" w:noHBand="0" w:noVBand="0"/>
      </w:tblPr>
      <w:tblGrid>
        <w:gridCol w:w="2127"/>
        <w:gridCol w:w="3159"/>
        <w:gridCol w:w="2520"/>
        <w:gridCol w:w="2685"/>
      </w:tblGrid>
      <w:tr w:rsidR="00025FEB" w:rsidRPr="00D85A4F" w14:paraId="63E99BBE" w14:textId="77777777" w:rsidTr="00155622">
        <w:trPr>
          <w:trHeight w:val="636"/>
          <w:tblCellSpacing w:w="28" w:type="dxa"/>
        </w:trPr>
        <w:tc>
          <w:tcPr>
            <w:tcW w:w="2043" w:type="dxa"/>
            <w:shd w:val="clear" w:color="auto" w:fill="auto"/>
          </w:tcPr>
          <w:p w14:paraId="31FA27C8" w14:textId="77777777" w:rsidR="00025FEB" w:rsidRPr="00D85A4F" w:rsidRDefault="00025FEB" w:rsidP="00BB4DC3">
            <w:pPr>
              <w:jc w:val="right"/>
              <w:rPr>
                <w:rFonts w:ascii="Arial" w:hAnsi="Arial" w:cs="Arial"/>
                <w:sz w:val="20"/>
              </w:rPr>
            </w:pPr>
            <w:r w:rsidRPr="00D85A4F">
              <w:rPr>
                <w:rFonts w:ascii="Arial" w:hAnsi="Arial" w:cs="Arial"/>
                <w:sz w:val="20"/>
              </w:rPr>
              <w:t xml:space="preserve">Reason for reporting this event*:                              </w:t>
            </w:r>
          </w:p>
        </w:tc>
        <w:tc>
          <w:tcPr>
            <w:tcW w:w="8280" w:type="dxa"/>
            <w:gridSpan w:val="3"/>
            <w:shd w:val="clear" w:color="auto" w:fill="auto"/>
          </w:tcPr>
          <w:p w14:paraId="64D4FF37" w14:textId="77777777" w:rsidR="00025FEB" w:rsidRDefault="00025FEB" w:rsidP="00BB4DC3">
            <w:pPr>
              <w:rPr>
                <w:rFonts w:ascii="Arial" w:hAnsi="Arial" w:cs="Arial"/>
                <w:sz w:val="20"/>
              </w:rPr>
            </w:pPr>
            <w:r w:rsidRPr="00D85A4F">
              <w:rPr>
                <w:rFonts w:ascii="Arial" w:hAnsi="Arial" w:cs="Arial"/>
                <w:sz w:val="20"/>
              </w:rPr>
              <w:fldChar w:fldCharType="begin">
                <w:ffData>
                  <w:name w:val="Check9"/>
                  <w:enabled/>
                  <w:calcOnExit w:val="0"/>
                  <w:checkBox>
                    <w:sizeAuto/>
                    <w:default w:val="0"/>
                    <w:checked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Pr>
                <w:rFonts w:ascii="Arial" w:hAnsi="Arial" w:cs="Arial"/>
                <w:sz w:val="20"/>
              </w:rPr>
              <w:t>Section</w:t>
            </w:r>
            <w:r w:rsidRPr="00D85A4F">
              <w:rPr>
                <w:rFonts w:ascii="Arial" w:hAnsi="Arial" w:cs="Arial"/>
                <w:sz w:val="20"/>
              </w:rPr>
              <w:t xml:space="preserve">132 </w:t>
            </w:r>
            <w:r>
              <w:rPr>
                <w:rFonts w:ascii="Arial" w:hAnsi="Arial" w:cs="Arial"/>
                <w:sz w:val="20"/>
              </w:rPr>
              <w:t>d</w:t>
            </w:r>
            <w:r w:rsidRPr="00D85A4F">
              <w:rPr>
                <w:rFonts w:ascii="Arial" w:hAnsi="Arial" w:cs="Arial"/>
                <w:sz w:val="20"/>
              </w:rPr>
              <w:t xml:space="preserve">eath     </w:t>
            </w:r>
            <w:r w:rsidRPr="00D85A4F">
              <w:rPr>
                <w:rFonts w:ascii="Arial" w:hAnsi="Arial" w:cs="Arial"/>
                <w:sz w:val="20"/>
              </w:rPr>
              <w:fldChar w:fldCharType="begin">
                <w:ffData>
                  <w:name w:val="Check11"/>
                  <w:enabled/>
                  <w:calcOnExit w:val="0"/>
                  <w:checkBox>
                    <w:sizeAuto/>
                    <w:default w:val="0"/>
                    <w:checked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Suspected </w:t>
            </w:r>
            <w:r>
              <w:rPr>
                <w:rFonts w:ascii="Arial" w:hAnsi="Arial" w:cs="Arial"/>
                <w:sz w:val="20"/>
              </w:rPr>
              <w:t>s</w:t>
            </w:r>
            <w:r w:rsidRPr="00D85A4F">
              <w:rPr>
                <w:rFonts w:ascii="Arial" w:hAnsi="Arial" w:cs="Arial"/>
                <w:sz w:val="20"/>
              </w:rPr>
              <w:t xml:space="preserve">uicide </w:t>
            </w:r>
            <w:r>
              <w:rPr>
                <w:rFonts w:ascii="Arial" w:hAnsi="Arial" w:cs="Arial"/>
                <w:sz w:val="20"/>
              </w:rPr>
              <w:t>of v</w:t>
            </w:r>
            <w:r w:rsidRPr="00C84E6C">
              <w:rPr>
                <w:rFonts w:ascii="Arial" w:hAnsi="Arial" w:cs="Arial"/>
                <w:sz w:val="20"/>
              </w:rPr>
              <w:t xml:space="preserve">oluntary </w:t>
            </w:r>
            <w:r>
              <w:rPr>
                <w:rFonts w:ascii="Arial" w:hAnsi="Arial" w:cs="Arial"/>
                <w:sz w:val="20"/>
              </w:rPr>
              <w:t>i</w:t>
            </w:r>
            <w:r w:rsidRPr="00C84E6C">
              <w:rPr>
                <w:rFonts w:ascii="Arial" w:hAnsi="Arial" w:cs="Arial"/>
                <w:sz w:val="20"/>
              </w:rPr>
              <w:t xml:space="preserve">npatient </w:t>
            </w:r>
          </w:p>
          <w:p w14:paraId="5A4FDFD5"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Check10"/>
                  <w:enabled/>
                  <w:calcOnExit w:val="0"/>
                  <w:checkBox>
                    <w:sizeAuto/>
                    <w:default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Special </w:t>
            </w:r>
            <w:r>
              <w:rPr>
                <w:rFonts w:ascii="Arial" w:hAnsi="Arial" w:cs="Arial"/>
                <w:sz w:val="20"/>
              </w:rPr>
              <w:t>p</w:t>
            </w:r>
            <w:r w:rsidRPr="00D85A4F">
              <w:rPr>
                <w:rFonts w:ascii="Arial" w:hAnsi="Arial" w:cs="Arial"/>
                <w:sz w:val="20"/>
              </w:rPr>
              <w:t xml:space="preserve">atient </w:t>
            </w:r>
            <w:r>
              <w:rPr>
                <w:rFonts w:ascii="Arial" w:hAnsi="Arial" w:cs="Arial"/>
                <w:sz w:val="20"/>
              </w:rPr>
              <w:t>e</w:t>
            </w:r>
            <w:r w:rsidRPr="00D85A4F">
              <w:rPr>
                <w:rFonts w:ascii="Arial" w:hAnsi="Arial" w:cs="Arial"/>
                <w:sz w:val="20"/>
              </w:rPr>
              <w:t xml:space="preserve">vent     </w:t>
            </w:r>
            <w:r w:rsidRPr="00D85A4F">
              <w:rPr>
                <w:rFonts w:ascii="Arial" w:hAnsi="Arial" w:cs="Arial"/>
                <w:sz w:val="20"/>
              </w:rPr>
              <w:fldChar w:fldCharType="begin">
                <w:ffData>
                  <w:name w:val="Check11"/>
                  <w:enabled/>
                  <w:calcOnExit w:val="0"/>
                  <w:checkBox>
                    <w:sizeAuto/>
                    <w:default w:val="0"/>
                    <w:checked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Media </w:t>
            </w:r>
            <w:r>
              <w:rPr>
                <w:rFonts w:ascii="Arial" w:hAnsi="Arial" w:cs="Arial"/>
                <w:sz w:val="20"/>
              </w:rPr>
              <w:t>a</w:t>
            </w:r>
            <w:r w:rsidRPr="00D85A4F">
              <w:rPr>
                <w:rFonts w:ascii="Arial" w:hAnsi="Arial" w:cs="Arial"/>
                <w:sz w:val="20"/>
              </w:rPr>
              <w:t xml:space="preserve">ttention                                                                                                                                                                   </w:t>
            </w:r>
          </w:p>
          <w:p w14:paraId="454ADC13" w14:textId="77777777" w:rsidR="00025FEB" w:rsidRPr="00D85A4F" w:rsidRDefault="00025FEB" w:rsidP="00BB4DC3">
            <w:pPr>
              <w:rPr>
                <w:rFonts w:ascii="Arial" w:hAnsi="Arial" w:cs="Arial"/>
                <w:sz w:val="20"/>
              </w:rPr>
            </w:pPr>
            <w:r w:rsidRPr="00D85A4F">
              <w:rPr>
                <w:rFonts w:ascii="Arial" w:hAnsi="Arial" w:cs="Arial"/>
                <w:sz w:val="20"/>
              </w:rPr>
              <w:t xml:space="preserve">                                  </w:t>
            </w:r>
          </w:p>
        </w:tc>
      </w:tr>
      <w:tr w:rsidR="00025FEB" w:rsidRPr="00D85A4F" w14:paraId="4060FEA5" w14:textId="77777777" w:rsidTr="00155622">
        <w:trPr>
          <w:tblCellSpacing w:w="28" w:type="dxa"/>
        </w:trPr>
        <w:tc>
          <w:tcPr>
            <w:tcW w:w="2043" w:type="dxa"/>
            <w:shd w:val="clear" w:color="auto" w:fill="auto"/>
          </w:tcPr>
          <w:p w14:paraId="1408B5DF" w14:textId="77777777" w:rsidR="00025FEB" w:rsidRPr="00D85A4F" w:rsidRDefault="00025FEB" w:rsidP="00BB4DC3">
            <w:pPr>
              <w:jc w:val="right"/>
              <w:rPr>
                <w:rFonts w:ascii="Arial" w:hAnsi="Arial" w:cs="Arial"/>
                <w:sz w:val="20"/>
              </w:rPr>
            </w:pPr>
            <w:r w:rsidRPr="00D85A4F">
              <w:rPr>
                <w:rFonts w:ascii="Arial" w:hAnsi="Arial" w:cs="Arial"/>
                <w:sz w:val="20"/>
              </w:rPr>
              <w:t>Event category:</w:t>
            </w:r>
          </w:p>
        </w:tc>
        <w:tc>
          <w:tcPr>
            <w:tcW w:w="8280" w:type="dxa"/>
            <w:gridSpan w:val="3"/>
            <w:shd w:val="clear" w:color="auto" w:fill="auto"/>
          </w:tcPr>
          <w:p w14:paraId="2D35EA6E" w14:textId="4039D694" w:rsidR="00025FEB" w:rsidRPr="00D85A4F" w:rsidRDefault="00025FEB" w:rsidP="00BB4DC3">
            <w:pPr>
              <w:tabs>
                <w:tab w:val="left" w:pos="1154"/>
              </w:tabs>
              <w:rPr>
                <w:rFonts w:ascii="Arial" w:hAnsi="Arial" w:cs="Arial"/>
                <w:sz w:val="20"/>
              </w:rPr>
            </w:pPr>
            <w:r w:rsidRPr="00D85A4F">
              <w:rPr>
                <w:rFonts w:ascii="Arial" w:hAnsi="Arial" w:cs="Arial"/>
                <w:sz w:val="20"/>
              </w:rPr>
              <w:fldChar w:fldCharType="begin">
                <w:ffData>
                  <w:name w:val="Check1"/>
                  <w:enabled/>
                  <w:calcOnExit w:val="0"/>
                  <w:checkBox>
                    <w:sizeAuto/>
                    <w:default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Death      </w:t>
            </w:r>
            <w:r w:rsidRPr="00D85A4F">
              <w:rPr>
                <w:rFonts w:ascii="Arial" w:hAnsi="Arial" w:cs="Arial"/>
                <w:sz w:val="20"/>
              </w:rPr>
              <w:fldChar w:fldCharType="begin">
                <w:ffData>
                  <w:name w:val="Check2"/>
                  <w:enabled/>
                  <w:calcOnExit w:val="0"/>
                  <w:checkBox>
                    <w:sizeAuto/>
                    <w:default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Suspected </w:t>
            </w:r>
            <w:r>
              <w:rPr>
                <w:rFonts w:ascii="Arial" w:hAnsi="Arial" w:cs="Arial"/>
                <w:sz w:val="20"/>
              </w:rPr>
              <w:t>s</w:t>
            </w:r>
            <w:r w:rsidRPr="00D85A4F">
              <w:rPr>
                <w:rFonts w:ascii="Arial" w:hAnsi="Arial" w:cs="Arial"/>
                <w:sz w:val="20"/>
              </w:rPr>
              <w:t xml:space="preserve">uicide    </w:t>
            </w:r>
            <w:r w:rsidRPr="00D85A4F">
              <w:rPr>
                <w:rFonts w:ascii="Arial" w:hAnsi="Arial" w:cs="Arial"/>
                <w:sz w:val="20"/>
              </w:rPr>
              <w:fldChar w:fldCharType="begin">
                <w:ffData>
                  <w:name w:val="Check3"/>
                  <w:enabled/>
                  <w:calcOnExit w:val="0"/>
                  <w:checkBox>
                    <w:sizeAuto/>
                    <w:default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Homicide                              </w:t>
            </w:r>
            <w:r w:rsidRPr="00D85A4F">
              <w:rPr>
                <w:rFonts w:ascii="Arial" w:hAnsi="Arial" w:cs="Arial"/>
                <w:sz w:val="20"/>
              </w:rPr>
              <w:fldChar w:fldCharType="begin">
                <w:ffData>
                  <w:name w:val="Check4"/>
                  <w:enabled/>
                  <w:calcOnExit w:val="0"/>
                  <w:checkBox>
                    <w:sizeAuto/>
                    <w:default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Attempted </w:t>
            </w:r>
            <w:r>
              <w:rPr>
                <w:rFonts w:ascii="Arial" w:hAnsi="Arial" w:cs="Arial"/>
                <w:sz w:val="20"/>
              </w:rPr>
              <w:t>s</w:t>
            </w:r>
            <w:r w:rsidRPr="00D85A4F">
              <w:rPr>
                <w:rFonts w:ascii="Arial" w:hAnsi="Arial" w:cs="Arial"/>
                <w:sz w:val="20"/>
              </w:rPr>
              <w:t>uicide</w:t>
            </w:r>
          </w:p>
          <w:p w14:paraId="086F3D34"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Check5"/>
                  <w:enabled/>
                  <w:calcOnExit w:val="0"/>
                  <w:checkBox>
                    <w:sizeAuto/>
                    <w:default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Assault    </w:t>
            </w:r>
            <w:r w:rsidRPr="00D85A4F">
              <w:rPr>
                <w:rFonts w:ascii="Arial" w:hAnsi="Arial" w:cs="Arial"/>
                <w:sz w:val="20"/>
              </w:rPr>
              <w:fldChar w:fldCharType="begin">
                <w:ffData>
                  <w:name w:val="Check6"/>
                  <w:enabled/>
                  <w:calcOnExit w:val="0"/>
                  <w:checkBox>
                    <w:sizeAuto/>
                    <w:default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AWOL                       </w:t>
            </w:r>
            <w:r w:rsidRPr="00D85A4F">
              <w:rPr>
                <w:rFonts w:ascii="Arial" w:hAnsi="Arial" w:cs="Arial"/>
                <w:sz w:val="20"/>
              </w:rPr>
              <w:fldChar w:fldCharType="begin">
                <w:ffData>
                  <w:name w:val="Check7"/>
                  <w:enabled/>
                  <w:calcOnExit w:val="0"/>
                  <w:checkBox>
                    <w:sizeAuto/>
                    <w:default w:val="0"/>
                    <w:checked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 xml:space="preserve">Breach of </w:t>
            </w:r>
            <w:r>
              <w:rPr>
                <w:rFonts w:ascii="Arial" w:hAnsi="Arial" w:cs="Arial"/>
                <w:sz w:val="20"/>
              </w:rPr>
              <w:t>l</w:t>
            </w:r>
            <w:r w:rsidRPr="00D85A4F">
              <w:rPr>
                <w:rFonts w:ascii="Arial" w:hAnsi="Arial" w:cs="Arial"/>
                <w:sz w:val="20"/>
              </w:rPr>
              <w:t xml:space="preserve">eave </w:t>
            </w:r>
            <w:r>
              <w:rPr>
                <w:rFonts w:ascii="Arial" w:hAnsi="Arial" w:cs="Arial"/>
                <w:sz w:val="20"/>
              </w:rPr>
              <w:t>c</w:t>
            </w:r>
            <w:r w:rsidRPr="00D85A4F">
              <w:rPr>
                <w:rFonts w:ascii="Arial" w:hAnsi="Arial" w:cs="Arial"/>
                <w:sz w:val="20"/>
              </w:rPr>
              <w:t xml:space="preserve">onditions  </w:t>
            </w:r>
            <w:r w:rsidRPr="00D85A4F">
              <w:rPr>
                <w:rFonts w:ascii="Arial" w:hAnsi="Arial" w:cs="Arial"/>
                <w:sz w:val="20"/>
              </w:rPr>
              <w:fldChar w:fldCharType="begin">
                <w:ffData>
                  <w:name w:val="Check8"/>
                  <w:enabled/>
                  <w:calcOnExit w:val="0"/>
                  <w:checkBox>
                    <w:sizeAuto/>
                    <w:default w:val="0"/>
                  </w:checkBox>
                </w:ffData>
              </w:fldChar>
            </w:r>
            <w:r w:rsidRPr="00D85A4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r w:rsidRPr="00D85A4F">
              <w:rPr>
                <w:rFonts w:ascii="Arial" w:hAnsi="Arial" w:cs="Arial"/>
                <w:sz w:val="20"/>
              </w:rPr>
              <w:t>Other</w:t>
            </w:r>
          </w:p>
          <w:p w14:paraId="2E8BB30E" w14:textId="77777777" w:rsidR="00025FEB" w:rsidRPr="00D85A4F" w:rsidRDefault="00025FEB" w:rsidP="00BB4DC3">
            <w:pPr>
              <w:rPr>
                <w:rFonts w:ascii="Arial" w:hAnsi="Arial" w:cs="Arial"/>
                <w:sz w:val="20"/>
              </w:rPr>
            </w:pPr>
          </w:p>
        </w:tc>
      </w:tr>
      <w:tr w:rsidR="00025FEB" w:rsidRPr="00D85A4F" w14:paraId="3E984A1F" w14:textId="77777777" w:rsidTr="00155622">
        <w:trPr>
          <w:tblCellSpacing w:w="28" w:type="dxa"/>
        </w:trPr>
        <w:tc>
          <w:tcPr>
            <w:tcW w:w="2043" w:type="dxa"/>
            <w:shd w:val="clear" w:color="auto" w:fill="auto"/>
          </w:tcPr>
          <w:p w14:paraId="6415E29F" w14:textId="77777777" w:rsidR="00025FEB" w:rsidRPr="00D85A4F" w:rsidRDefault="00025FEB" w:rsidP="00BB4DC3">
            <w:pPr>
              <w:jc w:val="right"/>
              <w:rPr>
                <w:rFonts w:ascii="Arial" w:hAnsi="Arial" w:cs="Arial"/>
                <w:sz w:val="20"/>
              </w:rPr>
            </w:pPr>
            <w:r w:rsidRPr="00FF0552">
              <w:rPr>
                <w:rFonts w:ascii="Arial" w:hAnsi="Arial" w:cs="Arial"/>
                <w:sz w:val="20"/>
              </w:rPr>
              <w:t>Te Whatu Ora health service</w:t>
            </w:r>
            <w:r>
              <w:rPr>
                <w:rFonts w:ascii="Arial" w:hAnsi="Arial" w:cs="Arial"/>
                <w:sz w:val="20"/>
              </w:rPr>
              <w:t xml:space="preserve"> </w:t>
            </w:r>
            <w:r w:rsidRPr="00D85A4F">
              <w:rPr>
                <w:rFonts w:ascii="Arial" w:hAnsi="Arial" w:cs="Arial"/>
                <w:sz w:val="20"/>
              </w:rPr>
              <w:t>responsible for care:</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36A3D012" w14:textId="1D42DABD" w:rsidR="00025FEB" w:rsidRPr="00D85A4F" w:rsidRDefault="00300B55"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45720201" w14:textId="77777777" w:rsidR="00025FEB" w:rsidRPr="00D85A4F" w:rsidRDefault="00025FEB" w:rsidP="00BB4DC3">
            <w:pPr>
              <w:jc w:val="right"/>
              <w:rPr>
                <w:rFonts w:ascii="Arial" w:hAnsi="Arial" w:cs="Arial"/>
                <w:sz w:val="20"/>
              </w:rPr>
            </w:pPr>
            <w:r w:rsidRPr="00D85A4F">
              <w:rPr>
                <w:rFonts w:ascii="Arial" w:hAnsi="Arial" w:cs="Arial"/>
                <w:sz w:val="20"/>
              </w:rPr>
              <w:t>Legal status</w:t>
            </w:r>
            <w:r>
              <w:rPr>
                <w:rFonts w:ascii="Arial" w:hAnsi="Arial" w:cs="Arial"/>
                <w:sz w:val="20"/>
              </w:rPr>
              <w:t xml:space="preserve"> – s</w:t>
            </w:r>
            <w:r w:rsidRPr="00D85A4F">
              <w:rPr>
                <w:rFonts w:ascii="Arial" w:hAnsi="Arial" w:cs="Arial"/>
                <w:sz w:val="20"/>
              </w:rPr>
              <w:t>tatute:</w:t>
            </w:r>
          </w:p>
          <w:p w14:paraId="41C3B46F" w14:textId="77777777" w:rsidR="00025FEB" w:rsidRPr="00D85A4F" w:rsidRDefault="00025FEB" w:rsidP="00BB4DC3">
            <w:pPr>
              <w:rPr>
                <w:rFonts w:ascii="Arial" w:hAnsi="Arial" w:cs="Arial"/>
                <w:sz w:val="16"/>
                <w:szCs w:val="16"/>
              </w:rPr>
            </w:pPr>
            <w:r w:rsidRPr="00D85A4F">
              <w:rPr>
                <w:rFonts w:ascii="Arial" w:hAnsi="Arial" w:cs="Arial"/>
                <w:sz w:val="16"/>
                <w:szCs w:val="16"/>
              </w:rPr>
              <w:t xml:space="preserve">Eg </w:t>
            </w:r>
            <w:r>
              <w:rPr>
                <w:rFonts w:ascii="Arial" w:hAnsi="Arial" w:cs="Arial"/>
                <w:sz w:val="16"/>
                <w:szCs w:val="16"/>
              </w:rPr>
              <w:t>Mental Health Act</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BEDD886"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Dropdown1"/>
                  <w:enabled/>
                  <w:calcOnExit w:val="0"/>
                  <w:ddList>
                    <w:result w:val="2"/>
                    <w:listEntry w:val="MH(CAT) Act 1992"/>
                    <w:listEntry w:val="CP(MIP) Act 2003"/>
                    <w:listEntry w:val="         "/>
                  </w:ddList>
                </w:ffData>
              </w:fldChar>
            </w:r>
            <w:r w:rsidRPr="00D85A4F">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D85A4F">
              <w:rPr>
                <w:rFonts w:ascii="Arial" w:hAnsi="Arial" w:cs="Arial"/>
                <w:sz w:val="20"/>
              </w:rPr>
              <w:fldChar w:fldCharType="end"/>
            </w:r>
          </w:p>
        </w:tc>
      </w:tr>
      <w:tr w:rsidR="00025FEB" w:rsidRPr="00D85A4F" w14:paraId="2A0000D8" w14:textId="77777777" w:rsidTr="00155622">
        <w:trPr>
          <w:tblCellSpacing w:w="28" w:type="dxa"/>
        </w:trPr>
        <w:tc>
          <w:tcPr>
            <w:tcW w:w="2043" w:type="dxa"/>
            <w:shd w:val="clear" w:color="auto" w:fill="auto"/>
          </w:tcPr>
          <w:p w14:paraId="73605F00" w14:textId="77777777" w:rsidR="00025FEB" w:rsidRPr="00D85A4F" w:rsidRDefault="00025FEB" w:rsidP="00BB4DC3">
            <w:pPr>
              <w:jc w:val="right"/>
              <w:rPr>
                <w:rFonts w:ascii="Arial" w:hAnsi="Arial" w:cs="Arial"/>
                <w:sz w:val="20"/>
              </w:rPr>
            </w:pPr>
            <w:r w:rsidRPr="00D85A4F">
              <w:rPr>
                <w:rFonts w:ascii="Arial" w:hAnsi="Arial" w:cs="Arial"/>
                <w:sz w:val="20"/>
              </w:rPr>
              <w:t>Overseeing DAMHS:</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532977BD" w14:textId="0DA501DA" w:rsidR="00025FEB" w:rsidRPr="00D85A4F" w:rsidRDefault="00300B55"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78E3677F" w14:textId="77777777" w:rsidR="00025FEB" w:rsidRPr="00D85A4F" w:rsidRDefault="00025FEB" w:rsidP="00BB4DC3">
            <w:pPr>
              <w:jc w:val="right"/>
              <w:rPr>
                <w:rFonts w:ascii="Arial" w:hAnsi="Arial" w:cs="Arial"/>
                <w:sz w:val="20"/>
              </w:rPr>
            </w:pPr>
            <w:r w:rsidRPr="00D85A4F">
              <w:rPr>
                <w:rFonts w:ascii="Arial" w:hAnsi="Arial" w:cs="Arial"/>
                <w:sz w:val="20"/>
              </w:rPr>
              <w:t xml:space="preserve">Legal status </w:t>
            </w:r>
            <w:r>
              <w:rPr>
                <w:rFonts w:ascii="Arial" w:hAnsi="Arial" w:cs="Arial"/>
                <w:sz w:val="20"/>
              </w:rPr>
              <w:t>– s</w:t>
            </w:r>
            <w:r w:rsidRPr="00D85A4F">
              <w:rPr>
                <w:rFonts w:ascii="Arial" w:hAnsi="Arial" w:cs="Arial"/>
                <w:sz w:val="20"/>
              </w:rPr>
              <w:t>ection:</w:t>
            </w:r>
          </w:p>
          <w:p w14:paraId="47066B2C" w14:textId="77777777" w:rsidR="00025FEB" w:rsidRPr="00D85A4F" w:rsidRDefault="00025FEB" w:rsidP="00BB4DC3">
            <w:pPr>
              <w:rPr>
                <w:rFonts w:ascii="Arial" w:hAnsi="Arial" w:cs="Arial"/>
                <w:sz w:val="16"/>
                <w:szCs w:val="16"/>
              </w:rPr>
            </w:pPr>
            <w:r w:rsidRPr="00D85A4F">
              <w:rPr>
                <w:rFonts w:ascii="Arial" w:hAnsi="Arial" w:cs="Arial"/>
                <w:sz w:val="16"/>
                <w:szCs w:val="16"/>
              </w:rPr>
              <w:t xml:space="preserve">Eg </w:t>
            </w:r>
            <w:r>
              <w:rPr>
                <w:rFonts w:ascii="Arial" w:hAnsi="Arial" w:cs="Arial"/>
                <w:sz w:val="16"/>
                <w:szCs w:val="16"/>
              </w:rPr>
              <w:t xml:space="preserve">section </w:t>
            </w:r>
            <w:r w:rsidRPr="00D85A4F">
              <w:rPr>
                <w:rFonts w:ascii="Arial" w:hAnsi="Arial" w:cs="Arial"/>
                <w:sz w:val="16"/>
                <w:szCs w:val="16"/>
              </w:rPr>
              <w:t>30</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5C4A5086"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19"/>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633B3805" w14:textId="77777777" w:rsidTr="00155622">
        <w:trPr>
          <w:tblCellSpacing w:w="28" w:type="dxa"/>
        </w:trPr>
        <w:tc>
          <w:tcPr>
            <w:tcW w:w="2043" w:type="dxa"/>
            <w:shd w:val="clear" w:color="auto" w:fill="auto"/>
          </w:tcPr>
          <w:p w14:paraId="5D2D21FA" w14:textId="77777777" w:rsidR="00025FEB" w:rsidRPr="00D85A4F" w:rsidRDefault="00025FEB" w:rsidP="00BB4DC3">
            <w:pPr>
              <w:jc w:val="right"/>
              <w:rPr>
                <w:rFonts w:ascii="Arial" w:hAnsi="Arial" w:cs="Arial"/>
                <w:sz w:val="20"/>
              </w:rPr>
            </w:pPr>
            <w:r w:rsidRPr="00D85A4F">
              <w:rPr>
                <w:rFonts w:ascii="Arial" w:hAnsi="Arial" w:cs="Arial"/>
                <w:sz w:val="20"/>
              </w:rPr>
              <w:t>Date event occurred:</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277D66E9" w14:textId="7DBE08B4" w:rsidR="00025FEB" w:rsidRPr="00D85A4F" w:rsidRDefault="00300B55"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10E1D27D" w14:textId="77777777" w:rsidR="00025FEB" w:rsidRPr="00D85A4F" w:rsidRDefault="00025FEB" w:rsidP="00BB4DC3">
            <w:pPr>
              <w:jc w:val="right"/>
              <w:rPr>
                <w:rFonts w:ascii="Arial" w:hAnsi="Arial" w:cs="Arial"/>
                <w:sz w:val="20"/>
              </w:rPr>
            </w:pPr>
            <w:r w:rsidRPr="00D85A4F">
              <w:rPr>
                <w:rFonts w:ascii="Arial" w:hAnsi="Arial" w:cs="Arial"/>
                <w:sz w:val="20"/>
              </w:rPr>
              <w:t xml:space="preserve">Legal status </w:t>
            </w:r>
            <w:r>
              <w:rPr>
                <w:rFonts w:ascii="Arial" w:hAnsi="Arial" w:cs="Arial"/>
                <w:sz w:val="20"/>
              </w:rPr>
              <w:t>– l</w:t>
            </w:r>
            <w:r w:rsidRPr="00D85A4F">
              <w:rPr>
                <w:rFonts w:ascii="Arial" w:hAnsi="Arial" w:cs="Arial"/>
                <w:sz w:val="20"/>
              </w:rPr>
              <w:t>eave:</w:t>
            </w:r>
          </w:p>
          <w:p w14:paraId="4254B0B8" w14:textId="77777777" w:rsidR="00025FEB" w:rsidRPr="00D85A4F" w:rsidRDefault="00025FEB" w:rsidP="00BB4DC3">
            <w:pPr>
              <w:rPr>
                <w:rFonts w:ascii="Arial" w:hAnsi="Arial" w:cs="Arial"/>
                <w:sz w:val="16"/>
                <w:szCs w:val="16"/>
              </w:rPr>
            </w:pPr>
            <w:r w:rsidRPr="00D85A4F">
              <w:rPr>
                <w:rFonts w:ascii="Arial" w:hAnsi="Arial" w:cs="Arial"/>
                <w:sz w:val="16"/>
                <w:szCs w:val="16"/>
              </w:rPr>
              <w:t>Eg s</w:t>
            </w:r>
            <w:r>
              <w:rPr>
                <w:rFonts w:ascii="Arial" w:hAnsi="Arial" w:cs="Arial"/>
                <w:sz w:val="16"/>
                <w:szCs w:val="16"/>
              </w:rPr>
              <w:t xml:space="preserve">ection </w:t>
            </w:r>
            <w:r w:rsidRPr="00D85A4F">
              <w:rPr>
                <w:rFonts w:ascii="Arial" w:hAnsi="Arial" w:cs="Arial"/>
                <w:sz w:val="16"/>
                <w:szCs w:val="16"/>
              </w:rPr>
              <w:t>52</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460C5C3C"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20"/>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23519858" w14:textId="77777777" w:rsidTr="00155622">
        <w:trPr>
          <w:tblCellSpacing w:w="28" w:type="dxa"/>
        </w:trPr>
        <w:tc>
          <w:tcPr>
            <w:tcW w:w="2043" w:type="dxa"/>
            <w:shd w:val="clear" w:color="auto" w:fill="auto"/>
          </w:tcPr>
          <w:p w14:paraId="71E109EE" w14:textId="77777777" w:rsidR="00025FEB" w:rsidRPr="00D85A4F" w:rsidRDefault="00025FEB" w:rsidP="00BB4DC3">
            <w:pPr>
              <w:jc w:val="right"/>
              <w:rPr>
                <w:rFonts w:ascii="Arial" w:hAnsi="Arial" w:cs="Arial"/>
                <w:sz w:val="20"/>
              </w:rPr>
            </w:pPr>
            <w:r w:rsidRPr="00D85A4F">
              <w:rPr>
                <w:rFonts w:ascii="Arial" w:hAnsi="Arial" w:cs="Arial"/>
                <w:sz w:val="20"/>
              </w:rPr>
              <w:t>Narrative description of event*:</w:t>
            </w:r>
          </w:p>
          <w:p w14:paraId="6146E1CD" w14:textId="77777777" w:rsidR="00025FEB" w:rsidRPr="00D85A4F" w:rsidRDefault="00025FEB" w:rsidP="00BB4DC3">
            <w:pPr>
              <w:jc w:val="right"/>
              <w:rPr>
                <w:rFonts w:ascii="Arial" w:hAnsi="Arial" w:cs="Arial"/>
                <w:sz w:val="20"/>
              </w:rPr>
            </w:pPr>
          </w:p>
          <w:p w14:paraId="77515680" w14:textId="77777777" w:rsidR="00025FEB" w:rsidRPr="00D85A4F" w:rsidRDefault="00025FEB" w:rsidP="00BB4DC3">
            <w:pPr>
              <w:rPr>
                <w:rFonts w:ascii="Arial" w:hAnsi="Arial" w:cs="Arial"/>
                <w:sz w:val="20"/>
              </w:rPr>
            </w:pPr>
          </w:p>
        </w:tc>
        <w:tc>
          <w:tcPr>
            <w:tcW w:w="8280" w:type="dxa"/>
            <w:gridSpan w:val="3"/>
            <w:tcBorders>
              <w:top w:val="single" w:sz="4" w:space="0" w:color="auto"/>
              <w:left w:val="single" w:sz="4" w:space="0" w:color="auto"/>
              <w:bottom w:val="single" w:sz="4" w:space="0" w:color="auto"/>
              <w:right w:val="single" w:sz="4" w:space="0" w:color="auto"/>
            </w:tcBorders>
            <w:shd w:val="clear" w:color="auto" w:fill="auto"/>
          </w:tcPr>
          <w:p w14:paraId="06707553" w14:textId="67538399" w:rsidR="00025FEB" w:rsidRPr="00D85A4F" w:rsidRDefault="00300B55"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632C001D" w14:textId="77777777" w:rsidTr="00155622">
        <w:trPr>
          <w:tblCellSpacing w:w="28" w:type="dxa"/>
        </w:trPr>
        <w:tc>
          <w:tcPr>
            <w:tcW w:w="2043" w:type="dxa"/>
            <w:shd w:val="clear" w:color="auto" w:fill="auto"/>
          </w:tcPr>
          <w:p w14:paraId="0C4E1B5F" w14:textId="20754906" w:rsidR="00025FEB" w:rsidRPr="00D85A4F" w:rsidRDefault="00891821" w:rsidP="00BB4DC3">
            <w:pPr>
              <w:jc w:val="right"/>
              <w:rPr>
                <w:rFonts w:ascii="Arial" w:hAnsi="Arial" w:cs="Arial"/>
                <w:sz w:val="20"/>
              </w:rPr>
            </w:pPr>
            <w:r>
              <w:rPr>
                <w:rFonts w:ascii="Arial" w:hAnsi="Arial" w:cs="Arial"/>
                <w:sz w:val="20"/>
              </w:rPr>
              <w:t>Patient’s f</w:t>
            </w:r>
            <w:r w:rsidR="00025FEB" w:rsidRPr="00D85A4F">
              <w:rPr>
                <w:rFonts w:ascii="Arial" w:hAnsi="Arial" w:cs="Arial"/>
                <w:sz w:val="20"/>
              </w:rPr>
              <w:t>irst name:</w:t>
            </w:r>
          </w:p>
          <w:p w14:paraId="2B7CD638" w14:textId="77777777" w:rsidR="00025FEB" w:rsidRPr="00D85A4F" w:rsidRDefault="00025FEB" w:rsidP="00BB4DC3">
            <w:pPr>
              <w:jc w:val="right"/>
              <w:rPr>
                <w:rFonts w:ascii="Arial" w:hAnsi="Arial" w:cs="Arial"/>
                <w:sz w:val="20"/>
              </w:rPr>
            </w:pP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6F32D97D"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5"/>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0CCE84A1" w14:textId="77777777" w:rsidR="00025FEB" w:rsidRPr="00D85A4F" w:rsidRDefault="00025FEB" w:rsidP="00BB4DC3">
            <w:pPr>
              <w:jc w:val="right"/>
              <w:rPr>
                <w:rFonts w:ascii="Arial" w:hAnsi="Arial" w:cs="Arial"/>
                <w:sz w:val="20"/>
              </w:rPr>
            </w:pPr>
            <w:r w:rsidRPr="00D85A4F">
              <w:rPr>
                <w:rFonts w:ascii="Arial" w:hAnsi="Arial" w:cs="Arial"/>
                <w:sz w:val="20"/>
              </w:rPr>
              <w:t>NHI number:</w:t>
            </w:r>
          </w:p>
          <w:p w14:paraId="69C2BD79" w14:textId="77777777" w:rsidR="00025FEB" w:rsidRPr="00D85A4F" w:rsidRDefault="00025FEB" w:rsidP="00BB4DC3">
            <w:pPr>
              <w:jc w:val="right"/>
              <w:rPr>
                <w:rFonts w:ascii="Arial" w:hAnsi="Arial" w:cs="Arial"/>
                <w:sz w:val="20"/>
              </w:rPr>
            </w:pP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EEBB281"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9"/>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67B28DE0" w14:textId="77777777" w:rsidTr="00155622">
        <w:trPr>
          <w:tblCellSpacing w:w="28" w:type="dxa"/>
        </w:trPr>
        <w:tc>
          <w:tcPr>
            <w:tcW w:w="2043" w:type="dxa"/>
            <w:shd w:val="clear" w:color="auto" w:fill="auto"/>
          </w:tcPr>
          <w:p w14:paraId="2A0D3F1D" w14:textId="77777777" w:rsidR="00025FEB" w:rsidRPr="00D85A4F" w:rsidRDefault="00025FEB" w:rsidP="00BB4DC3">
            <w:pPr>
              <w:jc w:val="right"/>
              <w:rPr>
                <w:rFonts w:ascii="Arial" w:hAnsi="Arial" w:cs="Arial"/>
                <w:sz w:val="20"/>
              </w:rPr>
            </w:pPr>
            <w:r w:rsidRPr="00D85A4F">
              <w:rPr>
                <w:rFonts w:ascii="Arial" w:hAnsi="Arial" w:cs="Arial"/>
                <w:sz w:val="20"/>
              </w:rPr>
              <w:t>Middle name(s):</w:t>
            </w:r>
          </w:p>
          <w:p w14:paraId="593B088F" w14:textId="77777777" w:rsidR="00025FEB" w:rsidRPr="00D85A4F" w:rsidRDefault="00025FEB" w:rsidP="00BB4DC3">
            <w:pPr>
              <w:jc w:val="right"/>
              <w:rPr>
                <w:rFonts w:ascii="Arial" w:hAnsi="Arial" w:cs="Arial"/>
                <w:sz w:val="20"/>
              </w:rPr>
            </w:pP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48C44BA9"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6"/>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2D9779F2" w14:textId="77777777" w:rsidR="00025FEB" w:rsidRPr="00D85A4F" w:rsidRDefault="00025FEB" w:rsidP="00BB4DC3">
            <w:pPr>
              <w:jc w:val="right"/>
              <w:rPr>
                <w:rFonts w:ascii="Arial" w:hAnsi="Arial" w:cs="Arial"/>
                <w:sz w:val="20"/>
              </w:rPr>
            </w:pPr>
            <w:r w:rsidRPr="00D85A4F">
              <w:rPr>
                <w:rFonts w:ascii="Arial" w:hAnsi="Arial" w:cs="Arial"/>
                <w:sz w:val="20"/>
              </w:rPr>
              <w:t>Date of birth:</w:t>
            </w:r>
          </w:p>
          <w:p w14:paraId="272E13CE" w14:textId="77777777" w:rsidR="00025FEB" w:rsidRPr="00D85A4F" w:rsidRDefault="00025FEB" w:rsidP="00BB4DC3">
            <w:pPr>
              <w:jc w:val="right"/>
              <w:rPr>
                <w:rFonts w:ascii="Arial" w:hAnsi="Arial" w:cs="Arial"/>
                <w:sz w:val="20"/>
              </w:rPr>
            </w:pP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DBA85FA"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78D04391" w14:textId="77777777" w:rsidTr="00155622">
        <w:trPr>
          <w:tblCellSpacing w:w="28" w:type="dxa"/>
        </w:trPr>
        <w:tc>
          <w:tcPr>
            <w:tcW w:w="2043" w:type="dxa"/>
            <w:shd w:val="clear" w:color="auto" w:fill="auto"/>
          </w:tcPr>
          <w:p w14:paraId="47F9C435" w14:textId="77777777" w:rsidR="00025FEB" w:rsidRPr="00D85A4F" w:rsidRDefault="00025FEB" w:rsidP="00BB4DC3">
            <w:pPr>
              <w:jc w:val="right"/>
              <w:rPr>
                <w:rFonts w:ascii="Arial" w:hAnsi="Arial" w:cs="Arial"/>
                <w:sz w:val="20"/>
              </w:rPr>
            </w:pPr>
            <w:r w:rsidRPr="00D85A4F">
              <w:rPr>
                <w:rFonts w:ascii="Arial" w:hAnsi="Arial" w:cs="Arial"/>
                <w:sz w:val="20"/>
              </w:rPr>
              <w:t>Last name:</w:t>
            </w:r>
          </w:p>
          <w:p w14:paraId="53E90C6E" w14:textId="77777777" w:rsidR="00025FEB" w:rsidRPr="00D85A4F" w:rsidRDefault="00025FEB" w:rsidP="00BB4DC3">
            <w:pPr>
              <w:jc w:val="right"/>
              <w:rPr>
                <w:rFonts w:ascii="Arial" w:hAnsi="Arial" w:cs="Arial"/>
                <w:sz w:val="20"/>
              </w:rPr>
            </w:pP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2E8EB65F"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7"/>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33F72F42" w14:textId="77777777" w:rsidR="00025FEB" w:rsidRPr="00D85A4F" w:rsidRDefault="00025FEB" w:rsidP="00BB4DC3">
            <w:pPr>
              <w:jc w:val="right"/>
              <w:rPr>
                <w:rFonts w:ascii="Arial" w:hAnsi="Arial" w:cs="Arial"/>
                <w:sz w:val="20"/>
              </w:rPr>
            </w:pPr>
            <w:r w:rsidRPr="00D85A4F">
              <w:rPr>
                <w:rFonts w:ascii="Arial" w:hAnsi="Arial" w:cs="Arial"/>
                <w:sz w:val="20"/>
              </w:rPr>
              <w:t>Gender:</w:t>
            </w:r>
          </w:p>
          <w:p w14:paraId="2CDCBB2A" w14:textId="77777777" w:rsidR="00025FEB" w:rsidRPr="00D85A4F" w:rsidRDefault="00025FEB" w:rsidP="00BB4DC3">
            <w:pPr>
              <w:jc w:val="right"/>
              <w:rPr>
                <w:rFonts w:ascii="Arial" w:hAnsi="Arial" w:cs="Arial"/>
                <w:sz w:val="20"/>
              </w:rPr>
            </w:pP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B04F8F9" w14:textId="48590908" w:rsidR="00025FEB" w:rsidRPr="00D85A4F" w:rsidRDefault="00300B55"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6284DBA9" w14:textId="77777777" w:rsidTr="00155622">
        <w:trPr>
          <w:tblCellSpacing w:w="28" w:type="dxa"/>
        </w:trPr>
        <w:tc>
          <w:tcPr>
            <w:tcW w:w="2043" w:type="dxa"/>
            <w:shd w:val="clear" w:color="auto" w:fill="auto"/>
          </w:tcPr>
          <w:p w14:paraId="68BD0D15" w14:textId="77777777" w:rsidR="00025FEB" w:rsidRPr="00D85A4F" w:rsidRDefault="00025FEB" w:rsidP="00BB4DC3">
            <w:pPr>
              <w:jc w:val="right"/>
              <w:rPr>
                <w:rFonts w:ascii="Arial" w:hAnsi="Arial" w:cs="Arial"/>
                <w:sz w:val="20"/>
              </w:rPr>
            </w:pPr>
            <w:r w:rsidRPr="00D85A4F">
              <w:rPr>
                <w:rFonts w:ascii="Arial" w:hAnsi="Arial" w:cs="Arial"/>
                <w:sz w:val="20"/>
              </w:rPr>
              <w:t>Also known as:</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37ABBEC3"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8"/>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52C21A67" w14:textId="77777777" w:rsidR="00025FEB" w:rsidRPr="00D85A4F" w:rsidRDefault="00025FEB" w:rsidP="00BB4DC3">
            <w:pPr>
              <w:jc w:val="right"/>
              <w:rPr>
                <w:rFonts w:ascii="Arial" w:hAnsi="Arial" w:cs="Arial"/>
                <w:sz w:val="20"/>
              </w:rPr>
            </w:pPr>
            <w:r w:rsidRPr="00D85A4F">
              <w:rPr>
                <w:rFonts w:ascii="Arial" w:hAnsi="Arial" w:cs="Arial"/>
                <w:sz w:val="20"/>
              </w:rPr>
              <w:t>Ethnicity:</w:t>
            </w:r>
          </w:p>
          <w:p w14:paraId="7B7BB9E8" w14:textId="77777777" w:rsidR="00025FEB" w:rsidRPr="00D85A4F" w:rsidRDefault="00025FEB" w:rsidP="00BB4DC3">
            <w:pPr>
              <w:jc w:val="right"/>
              <w:rPr>
                <w:rFonts w:ascii="Arial" w:hAnsi="Arial" w:cs="Arial"/>
                <w:sz w:val="20"/>
              </w:rPr>
            </w:pP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5497E6FA" w14:textId="51362A1F" w:rsidR="00025FEB" w:rsidRPr="00D85A4F" w:rsidRDefault="00300B55"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7E1814C9" w14:textId="77777777" w:rsidTr="00155622">
        <w:trPr>
          <w:tblCellSpacing w:w="28" w:type="dxa"/>
        </w:trPr>
        <w:tc>
          <w:tcPr>
            <w:tcW w:w="2043" w:type="dxa"/>
            <w:shd w:val="clear" w:color="auto" w:fill="auto"/>
          </w:tcPr>
          <w:p w14:paraId="1DEBD03E" w14:textId="77777777" w:rsidR="00025FEB" w:rsidRPr="00D85A4F" w:rsidRDefault="00025FEB" w:rsidP="00BB4DC3">
            <w:pPr>
              <w:jc w:val="right"/>
              <w:rPr>
                <w:rFonts w:ascii="Arial" w:hAnsi="Arial" w:cs="Arial"/>
                <w:sz w:val="20"/>
              </w:rPr>
            </w:pPr>
            <w:r w:rsidRPr="00D85A4F">
              <w:rPr>
                <w:rFonts w:ascii="Arial" w:hAnsi="Arial" w:cs="Arial"/>
                <w:sz w:val="20"/>
              </w:rPr>
              <w:t>Diagnoses at time of event:</w:t>
            </w:r>
          </w:p>
        </w:tc>
        <w:tc>
          <w:tcPr>
            <w:tcW w:w="8280" w:type="dxa"/>
            <w:gridSpan w:val="3"/>
            <w:tcBorders>
              <w:top w:val="single" w:sz="4" w:space="0" w:color="auto"/>
              <w:left w:val="single" w:sz="4" w:space="0" w:color="auto"/>
              <w:bottom w:val="single" w:sz="4" w:space="0" w:color="auto"/>
              <w:right w:val="single" w:sz="4" w:space="0" w:color="auto"/>
            </w:tcBorders>
            <w:shd w:val="clear" w:color="auto" w:fill="auto"/>
          </w:tcPr>
          <w:p w14:paraId="7AA098EF"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12"/>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024936E5" w14:textId="77777777" w:rsidTr="00155622">
        <w:trPr>
          <w:tblCellSpacing w:w="28" w:type="dxa"/>
        </w:trPr>
        <w:tc>
          <w:tcPr>
            <w:tcW w:w="2043" w:type="dxa"/>
            <w:shd w:val="clear" w:color="auto" w:fill="auto"/>
          </w:tcPr>
          <w:p w14:paraId="7CE26EE8" w14:textId="77777777" w:rsidR="00025FEB" w:rsidRPr="00D85A4F" w:rsidRDefault="00025FEB" w:rsidP="00BB4DC3">
            <w:pPr>
              <w:jc w:val="right"/>
              <w:rPr>
                <w:rFonts w:ascii="Arial" w:hAnsi="Arial" w:cs="Arial"/>
                <w:sz w:val="20"/>
              </w:rPr>
            </w:pPr>
            <w:r w:rsidRPr="00D85A4F">
              <w:rPr>
                <w:rFonts w:ascii="Arial" w:hAnsi="Arial" w:cs="Arial"/>
                <w:sz w:val="20"/>
              </w:rPr>
              <w:t>Provisional cause of death*:</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15C5BF48"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16"/>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5E47F084" w14:textId="77777777" w:rsidR="00025FEB" w:rsidRPr="00D85A4F" w:rsidRDefault="00025FEB" w:rsidP="00BB4DC3">
            <w:pPr>
              <w:jc w:val="right"/>
              <w:rPr>
                <w:rFonts w:ascii="Arial" w:hAnsi="Arial" w:cs="Arial"/>
                <w:sz w:val="20"/>
              </w:rPr>
            </w:pPr>
            <w:r w:rsidRPr="00D85A4F">
              <w:rPr>
                <w:rFonts w:ascii="Arial" w:hAnsi="Arial" w:cs="Arial"/>
                <w:sz w:val="20"/>
              </w:rPr>
              <w:t>Inpatient/</w:t>
            </w:r>
            <w:r>
              <w:rPr>
                <w:rFonts w:ascii="Arial" w:hAnsi="Arial" w:cs="Arial"/>
                <w:sz w:val="20"/>
              </w:rPr>
              <w:t>o</w:t>
            </w:r>
            <w:r w:rsidRPr="00D85A4F">
              <w:rPr>
                <w:rFonts w:ascii="Arial" w:hAnsi="Arial" w:cs="Arial"/>
                <w:sz w:val="20"/>
              </w:rPr>
              <w:t>utpatient:</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8E2DD1C" w14:textId="076AEF36" w:rsidR="00025FEB" w:rsidRPr="00D85A4F" w:rsidRDefault="00300B55"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6E93C8D3" w14:textId="77777777" w:rsidTr="00155622">
        <w:trPr>
          <w:tblCellSpacing w:w="28" w:type="dxa"/>
        </w:trPr>
        <w:tc>
          <w:tcPr>
            <w:tcW w:w="2043" w:type="dxa"/>
            <w:shd w:val="clear" w:color="auto" w:fill="auto"/>
          </w:tcPr>
          <w:p w14:paraId="4DCB99C0" w14:textId="77777777" w:rsidR="00025FEB" w:rsidRPr="00D85A4F" w:rsidRDefault="00025FEB" w:rsidP="00BB4DC3">
            <w:pPr>
              <w:jc w:val="right"/>
              <w:rPr>
                <w:rFonts w:ascii="Arial" w:hAnsi="Arial" w:cs="Arial"/>
                <w:sz w:val="20"/>
              </w:rPr>
            </w:pPr>
            <w:r w:rsidRPr="00D85A4F">
              <w:rPr>
                <w:rFonts w:ascii="Arial" w:hAnsi="Arial" w:cs="Arial"/>
                <w:sz w:val="20"/>
              </w:rPr>
              <w:t>Provisional mode of death*:</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16D63B30"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17"/>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33A96227" w14:textId="77777777" w:rsidR="00025FEB" w:rsidRPr="00D85A4F" w:rsidRDefault="00025FEB" w:rsidP="00BB4DC3">
            <w:pPr>
              <w:jc w:val="right"/>
              <w:rPr>
                <w:rFonts w:ascii="Arial" w:hAnsi="Arial" w:cs="Arial"/>
                <w:sz w:val="20"/>
              </w:rPr>
            </w:pPr>
            <w:r w:rsidRPr="00D85A4F">
              <w:rPr>
                <w:rFonts w:ascii="Arial" w:hAnsi="Arial" w:cs="Arial"/>
                <w:sz w:val="20"/>
              </w:rPr>
              <w:t>Date of last contact with mental health services*:</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427311D"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14"/>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02F43D66" w14:textId="77777777" w:rsidTr="00155622">
        <w:trPr>
          <w:tblCellSpacing w:w="28" w:type="dxa"/>
        </w:trPr>
        <w:tc>
          <w:tcPr>
            <w:tcW w:w="2043" w:type="dxa"/>
            <w:shd w:val="clear" w:color="auto" w:fill="auto"/>
          </w:tcPr>
          <w:p w14:paraId="368C35B2" w14:textId="77777777" w:rsidR="00025FEB" w:rsidRPr="00D85A4F" w:rsidRDefault="00025FEB" w:rsidP="00BB4DC3">
            <w:pPr>
              <w:jc w:val="right"/>
              <w:rPr>
                <w:rFonts w:ascii="Arial" w:hAnsi="Arial" w:cs="Arial"/>
                <w:sz w:val="20"/>
              </w:rPr>
            </w:pPr>
            <w:r w:rsidRPr="00D85A4F">
              <w:rPr>
                <w:rFonts w:ascii="Arial" w:hAnsi="Arial" w:cs="Arial"/>
                <w:sz w:val="20"/>
              </w:rPr>
              <w:t>Location where event occurred:</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3BF4CEFF" w14:textId="478747D0" w:rsidR="00025FEB" w:rsidRPr="00D85A4F" w:rsidRDefault="00300B55" w:rsidP="00BB4DC3">
            <w:pPr>
              <w:rPr>
                <w:rFonts w:ascii="Arial" w:hAnsi="Arial" w:cs="Arial"/>
                <w:sz w:val="20"/>
              </w:rPr>
            </w:pPr>
            <w:r w:rsidRPr="00D85A4F">
              <w:rPr>
                <w:rFonts w:ascii="Arial" w:hAnsi="Arial" w:cs="Arial"/>
                <w:sz w:val="20"/>
              </w:rPr>
              <w:fldChar w:fldCharType="begin">
                <w:ffData>
                  <w:name w:val="Text10"/>
                  <w:enabled/>
                  <w:calcOnExit w:val="0"/>
                  <w:textInput>
                    <w:type w:val="date"/>
                    <w:format w:val="d/MM/yyyy"/>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c>
          <w:tcPr>
            <w:tcW w:w="2464" w:type="dxa"/>
            <w:shd w:val="clear" w:color="auto" w:fill="auto"/>
          </w:tcPr>
          <w:p w14:paraId="39B5E49A" w14:textId="77777777" w:rsidR="00025FEB" w:rsidRPr="00D85A4F" w:rsidRDefault="00025FEB" w:rsidP="00BB4DC3">
            <w:pPr>
              <w:jc w:val="right"/>
              <w:rPr>
                <w:rFonts w:ascii="Arial" w:hAnsi="Arial" w:cs="Arial"/>
                <w:sz w:val="20"/>
              </w:rPr>
            </w:pPr>
            <w:r w:rsidRPr="00D85A4F">
              <w:rPr>
                <w:rFonts w:ascii="Arial" w:hAnsi="Arial" w:cs="Arial"/>
                <w:sz w:val="20"/>
              </w:rPr>
              <w:t>Mental health service responsible for care:</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120FCB3A"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15"/>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r w:rsidR="00025FEB" w:rsidRPr="00D85A4F" w14:paraId="0DAA3E78" w14:textId="77777777" w:rsidTr="00155622">
        <w:trPr>
          <w:tblCellSpacing w:w="28" w:type="dxa"/>
        </w:trPr>
        <w:tc>
          <w:tcPr>
            <w:tcW w:w="2043" w:type="dxa"/>
            <w:shd w:val="clear" w:color="auto" w:fill="auto"/>
          </w:tcPr>
          <w:p w14:paraId="6EE436E9" w14:textId="77777777" w:rsidR="00025FEB" w:rsidRPr="00D85A4F" w:rsidRDefault="00025FEB" w:rsidP="00BB4DC3">
            <w:pPr>
              <w:jc w:val="right"/>
              <w:rPr>
                <w:rFonts w:ascii="Arial" w:hAnsi="Arial" w:cs="Arial"/>
                <w:sz w:val="20"/>
              </w:rPr>
            </w:pPr>
            <w:r w:rsidRPr="00D85A4F">
              <w:rPr>
                <w:rFonts w:ascii="Arial" w:hAnsi="Arial" w:cs="Arial"/>
                <w:sz w:val="20"/>
              </w:rPr>
              <w:t>Other comments or notes:</w:t>
            </w:r>
          </w:p>
          <w:p w14:paraId="441B8614" w14:textId="77777777" w:rsidR="00025FEB" w:rsidRPr="00D85A4F" w:rsidRDefault="00025FEB" w:rsidP="00BB4DC3">
            <w:pPr>
              <w:jc w:val="right"/>
              <w:rPr>
                <w:rFonts w:ascii="Arial" w:hAnsi="Arial" w:cs="Arial"/>
                <w:sz w:val="20"/>
              </w:rPr>
            </w:pPr>
          </w:p>
        </w:tc>
        <w:tc>
          <w:tcPr>
            <w:tcW w:w="8280" w:type="dxa"/>
            <w:gridSpan w:val="3"/>
            <w:tcBorders>
              <w:top w:val="single" w:sz="4" w:space="0" w:color="auto"/>
              <w:left w:val="single" w:sz="4" w:space="0" w:color="auto"/>
              <w:bottom w:val="single" w:sz="4" w:space="0" w:color="auto"/>
              <w:right w:val="single" w:sz="4" w:space="0" w:color="auto"/>
            </w:tcBorders>
            <w:shd w:val="clear" w:color="auto" w:fill="auto"/>
          </w:tcPr>
          <w:p w14:paraId="6EF37A5D" w14:textId="77777777" w:rsidR="00025FEB" w:rsidRPr="00D85A4F" w:rsidRDefault="00025FEB" w:rsidP="00BB4DC3">
            <w:pPr>
              <w:rPr>
                <w:rFonts w:ascii="Arial" w:hAnsi="Arial" w:cs="Arial"/>
                <w:sz w:val="20"/>
              </w:rPr>
            </w:pPr>
            <w:r w:rsidRPr="00D85A4F">
              <w:rPr>
                <w:rFonts w:ascii="Arial" w:hAnsi="Arial" w:cs="Arial"/>
                <w:sz w:val="20"/>
              </w:rPr>
              <w:fldChar w:fldCharType="begin">
                <w:ffData>
                  <w:name w:val="Text18"/>
                  <w:enabled/>
                  <w:calcOnExit w:val="0"/>
                  <w:textInput/>
                </w:ffData>
              </w:fldChar>
            </w:r>
            <w:r w:rsidRPr="00D85A4F">
              <w:rPr>
                <w:rFonts w:ascii="Arial" w:hAnsi="Arial" w:cs="Arial"/>
                <w:sz w:val="20"/>
              </w:rPr>
              <w:instrText xml:space="preserve"> FORMTEXT </w:instrText>
            </w:r>
            <w:r w:rsidRPr="00D85A4F">
              <w:rPr>
                <w:rFonts w:ascii="Arial" w:hAnsi="Arial" w:cs="Arial"/>
                <w:sz w:val="20"/>
              </w:rPr>
            </w:r>
            <w:r w:rsidRPr="00D85A4F">
              <w:rPr>
                <w:rFonts w:ascii="Arial" w:hAnsi="Arial" w:cs="Arial"/>
                <w:sz w:val="20"/>
              </w:rPr>
              <w:fldChar w:fldCharType="separate"/>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noProof/>
                <w:sz w:val="20"/>
              </w:rPr>
              <w:t> </w:t>
            </w:r>
            <w:r w:rsidRPr="00D85A4F">
              <w:rPr>
                <w:rFonts w:ascii="Arial" w:hAnsi="Arial" w:cs="Arial"/>
                <w:sz w:val="20"/>
              </w:rPr>
              <w:fldChar w:fldCharType="end"/>
            </w:r>
          </w:p>
        </w:tc>
      </w:tr>
    </w:tbl>
    <w:p w14:paraId="572B3EA9" w14:textId="77777777" w:rsidR="00025FEB" w:rsidRPr="00D85A4F" w:rsidRDefault="00025FEB" w:rsidP="00025FEB">
      <w:pPr>
        <w:rPr>
          <w:rFonts w:ascii="Arial" w:hAnsi="Arial" w:cs="Arial"/>
          <w:sz w:val="20"/>
        </w:rPr>
      </w:pPr>
    </w:p>
    <w:p w14:paraId="310FB4A9" w14:textId="77777777" w:rsidR="00025FEB" w:rsidRPr="00D85A4F" w:rsidRDefault="00025FEB" w:rsidP="00025FEB">
      <w:pPr>
        <w:rPr>
          <w:rFonts w:ascii="Arial" w:hAnsi="Arial" w:cs="Arial"/>
          <w:sz w:val="20"/>
        </w:rPr>
      </w:pPr>
      <w:r w:rsidRPr="00D85A4F">
        <w:rPr>
          <w:rFonts w:ascii="Arial" w:hAnsi="Arial" w:cs="Arial"/>
          <w:sz w:val="20"/>
        </w:rPr>
        <w:t>* Further discussion of this item is on the next page.</w:t>
      </w:r>
    </w:p>
    <w:p w14:paraId="42927403" w14:textId="77777777" w:rsidR="00025FEB" w:rsidRDefault="00025FEB" w:rsidP="00025FEB">
      <w:pPr>
        <w:tabs>
          <w:tab w:val="left" w:pos="1390"/>
        </w:tabs>
      </w:pPr>
    </w:p>
    <w:p w14:paraId="07796EE9" w14:textId="77777777" w:rsidR="00025FEB" w:rsidRDefault="00025FEB" w:rsidP="00025FEB">
      <w:pPr>
        <w:tabs>
          <w:tab w:val="left" w:pos="1390"/>
        </w:tabs>
        <w:sectPr w:rsidR="00025FEB" w:rsidSect="00BB4DC3">
          <w:pgSz w:w="11907" w:h="16834" w:code="9"/>
          <w:pgMar w:top="425" w:right="567" w:bottom="425" w:left="567" w:header="284" w:footer="397" w:gutter="0"/>
          <w:cols w:space="720"/>
          <w:docGrid w:linePitch="286"/>
        </w:sectPr>
      </w:pPr>
      <w:r>
        <w:tab/>
      </w:r>
    </w:p>
    <w:p w14:paraId="22B2C2B2" w14:textId="261B3A40" w:rsidR="00025FEB" w:rsidRDefault="00025FEB" w:rsidP="007A6F61">
      <w:pPr>
        <w:tabs>
          <w:tab w:val="left" w:pos="1390"/>
        </w:tabs>
        <w:ind w:left="567"/>
      </w:pPr>
      <w:r>
        <w:rPr>
          <w:noProof/>
        </w:rPr>
        <w:drawing>
          <wp:anchor distT="0" distB="0" distL="114300" distR="114300" simplePos="0" relativeHeight="251658248" behindDoc="0" locked="0" layoutInCell="1" allowOverlap="1" wp14:anchorId="2F16BF65" wp14:editId="32DB0C5F">
            <wp:simplePos x="0" y="0"/>
            <wp:positionH relativeFrom="margin">
              <wp:posOffset>309880</wp:posOffset>
            </wp:positionH>
            <wp:positionV relativeFrom="paragraph">
              <wp:posOffset>7059</wp:posOffset>
            </wp:positionV>
            <wp:extent cx="2109374" cy="996950"/>
            <wp:effectExtent l="0" t="0" r="5715" b="0"/>
            <wp:wrapNone/>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09374"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3EAC6" w14:textId="77777777" w:rsidR="00025FEB" w:rsidRPr="00D85A4F" w:rsidRDefault="00025FEB" w:rsidP="00025FEB">
      <w:pPr>
        <w:ind w:left="567" w:right="1134"/>
        <w:jc w:val="right"/>
        <w:rPr>
          <w:rFonts w:ascii="Arial" w:hAnsi="Arial" w:cs="Arial"/>
          <w:b/>
          <w:smallCaps/>
          <w:sz w:val="36"/>
          <w:szCs w:val="36"/>
        </w:rPr>
      </w:pPr>
      <w:r w:rsidRPr="00D85A4F">
        <w:rPr>
          <w:rFonts w:ascii="Arial" w:hAnsi="Arial" w:cs="Arial"/>
        </w:rPr>
        <w:t xml:space="preserve">   </w:t>
      </w:r>
      <w:r w:rsidRPr="00D85A4F">
        <w:rPr>
          <w:rFonts w:ascii="Arial" w:hAnsi="Arial" w:cs="Arial"/>
          <w:b/>
          <w:smallCaps/>
          <w:sz w:val="36"/>
          <w:szCs w:val="36"/>
        </w:rPr>
        <w:t>Director of Mental Health</w:t>
      </w:r>
    </w:p>
    <w:p w14:paraId="48B28C0A" w14:textId="77777777" w:rsidR="00025FEB" w:rsidRPr="00D85A4F" w:rsidRDefault="00025FEB" w:rsidP="00025FEB">
      <w:pPr>
        <w:ind w:left="567" w:right="1134"/>
        <w:rPr>
          <w:rFonts w:ascii="Arial" w:hAnsi="Arial" w:cs="Arial"/>
          <w:sz w:val="20"/>
        </w:rPr>
      </w:pPr>
    </w:p>
    <w:p w14:paraId="04B33ADF" w14:textId="0E05E7EA" w:rsidR="00025FEB" w:rsidRPr="00D85A4F" w:rsidRDefault="00025FEB" w:rsidP="00025FEB">
      <w:pPr>
        <w:ind w:left="567" w:right="1134"/>
        <w:jc w:val="right"/>
        <w:rPr>
          <w:rFonts w:ascii="Arial" w:hAnsi="Arial" w:cs="Arial"/>
          <w:b/>
        </w:rPr>
      </w:pPr>
      <w:r w:rsidRPr="00D85A4F">
        <w:rPr>
          <w:rFonts w:ascii="Arial" w:hAnsi="Arial" w:cs="Arial"/>
          <w:b/>
        </w:rPr>
        <w:t xml:space="preserve">Reportable </w:t>
      </w:r>
      <w:r w:rsidR="00DD3022">
        <w:rPr>
          <w:rFonts w:ascii="Arial" w:hAnsi="Arial" w:cs="Arial"/>
          <w:b/>
        </w:rPr>
        <w:t>e</w:t>
      </w:r>
      <w:r w:rsidRPr="00D85A4F">
        <w:rPr>
          <w:rFonts w:ascii="Arial" w:hAnsi="Arial" w:cs="Arial"/>
          <w:b/>
        </w:rPr>
        <w:t xml:space="preserve">vent </w:t>
      </w:r>
      <w:r w:rsidR="00DD3022">
        <w:rPr>
          <w:rFonts w:ascii="Arial" w:hAnsi="Arial" w:cs="Arial"/>
          <w:b/>
        </w:rPr>
        <w:t>n</w:t>
      </w:r>
      <w:r w:rsidRPr="00D85A4F">
        <w:rPr>
          <w:rFonts w:ascii="Arial" w:hAnsi="Arial" w:cs="Arial"/>
          <w:b/>
        </w:rPr>
        <w:t xml:space="preserve">otification </w:t>
      </w:r>
      <w:r w:rsidR="00E30FEE">
        <w:rPr>
          <w:rFonts w:ascii="Arial" w:hAnsi="Arial" w:cs="Arial"/>
          <w:b/>
        </w:rPr>
        <w:t>f</w:t>
      </w:r>
      <w:r w:rsidRPr="00D85A4F">
        <w:rPr>
          <w:rFonts w:ascii="Arial" w:hAnsi="Arial" w:cs="Arial"/>
          <w:b/>
        </w:rPr>
        <w:t>orm</w:t>
      </w:r>
    </w:p>
    <w:p w14:paraId="6AE62B51" w14:textId="77777777" w:rsidR="00025FEB" w:rsidRPr="00D85A4F" w:rsidRDefault="00025FEB" w:rsidP="00025FEB">
      <w:pPr>
        <w:ind w:left="567" w:right="1134"/>
        <w:rPr>
          <w:rFonts w:ascii="Arial" w:hAnsi="Arial" w:cs="Arial"/>
          <w:sz w:val="20"/>
        </w:rPr>
      </w:pPr>
    </w:p>
    <w:p w14:paraId="1B18A602" w14:textId="77777777" w:rsidR="00025FEB" w:rsidRPr="00D85A4F" w:rsidRDefault="00025FEB" w:rsidP="00025FEB">
      <w:pPr>
        <w:ind w:left="567" w:right="1134"/>
        <w:rPr>
          <w:rFonts w:ascii="Arial" w:hAnsi="Arial" w:cs="Arial"/>
          <w:sz w:val="20"/>
        </w:rPr>
      </w:pPr>
    </w:p>
    <w:p w14:paraId="1BA55DA4" w14:textId="11DDDCDF" w:rsidR="00025FEB" w:rsidRPr="00D85A4F" w:rsidRDefault="00025FEB" w:rsidP="00025FEB">
      <w:pPr>
        <w:ind w:left="567" w:right="1134"/>
        <w:rPr>
          <w:rFonts w:ascii="Arial" w:hAnsi="Arial" w:cs="Arial"/>
          <w:sz w:val="20"/>
        </w:rPr>
      </w:pPr>
    </w:p>
    <w:p w14:paraId="320617EC" w14:textId="77777777" w:rsidR="00025FEB" w:rsidRDefault="00025FEB" w:rsidP="00025FEB">
      <w:pPr>
        <w:ind w:left="567" w:right="1134"/>
        <w:rPr>
          <w:rFonts w:ascii="Arial" w:hAnsi="Arial" w:cs="Arial"/>
          <w:sz w:val="20"/>
        </w:rPr>
      </w:pPr>
      <w:r w:rsidRPr="00D85A4F">
        <w:rPr>
          <w:rFonts w:ascii="Arial" w:hAnsi="Arial" w:cs="Arial"/>
          <w:sz w:val="20"/>
        </w:rPr>
        <w:t xml:space="preserve">This form is the first step of the event process overseen by the Director of Mental Health. It must be completed and sent to the Director within </w:t>
      </w:r>
      <w:r w:rsidRPr="0030355B">
        <w:rPr>
          <w:rFonts w:ascii="Arial" w:hAnsi="Arial" w:cs="Arial"/>
          <w:bCs/>
          <w:sz w:val="20"/>
        </w:rPr>
        <w:t>14 days</w:t>
      </w:r>
      <w:r w:rsidRPr="00D85A4F">
        <w:rPr>
          <w:rFonts w:ascii="Arial" w:hAnsi="Arial" w:cs="Arial"/>
          <w:sz w:val="20"/>
        </w:rPr>
        <w:t xml:space="preserve"> of an event occurring, for all events that meet the Director’s reporting criteria. Depending on the nature of the event, the Director may also require the following documents:</w:t>
      </w:r>
    </w:p>
    <w:p w14:paraId="2ED08D2E" w14:textId="77777777" w:rsidR="00025FEB" w:rsidRPr="00300B55" w:rsidRDefault="00025FEB" w:rsidP="00300B55">
      <w:pPr>
        <w:pStyle w:val="ListParagraph"/>
        <w:numPr>
          <w:ilvl w:val="0"/>
          <w:numId w:val="23"/>
        </w:numPr>
        <w:spacing w:before="90" w:after="90"/>
        <w:ind w:left="992" w:right="1134" w:hanging="425"/>
        <w:contextualSpacing w:val="0"/>
        <w:rPr>
          <w:rFonts w:ascii="Arial" w:hAnsi="Arial" w:cs="Arial"/>
          <w:sz w:val="20"/>
        </w:rPr>
      </w:pPr>
      <w:r w:rsidRPr="00300B55">
        <w:rPr>
          <w:rFonts w:ascii="Arial" w:hAnsi="Arial" w:cs="Arial"/>
          <w:sz w:val="20"/>
        </w:rPr>
        <w:t>notification and details of any media coverage and your response</w:t>
      </w:r>
    </w:p>
    <w:p w14:paraId="11C4EC64" w14:textId="77777777" w:rsidR="00025FEB" w:rsidRPr="00300B55" w:rsidRDefault="00025FEB" w:rsidP="00300B55">
      <w:pPr>
        <w:pStyle w:val="ListParagraph"/>
        <w:numPr>
          <w:ilvl w:val="0"/>
          <w:numId w:val="23"/>
        </w:numPr>
        <w:spacing w:before="90" w:after="90"/>
        <w:ind w:left="992" w:right="1134" w:hanging="425"/>
        <w:contextualSpacing w:val="0"/>
        <w:rPr>
          <w:rFonts w:ascii="Arial" w:hAnsi="Arial" w:cs="Arial"/>
          <w:sz w:val="20"/>
        </w:rPr>
      </w:pPr>
      <w:r w:rsidRPr="00300B55">
        <w:rPr>
          <w:rFonts w:ascii="Arial" w:hAnsi="Arial" w:cs="Arial"/>
          <w:sz w:val="20"/>
        </w:rPr>
        <w:t>internal adverse event review report</w:t>
      </w:r>
    </w:p>
    <w:p w14:paraId="4AAD612A" w14:textId="77777777" w:rsidR="00025FEB" w:rsidRPr="00300B55" w:rsidRDefault="00025FEB" w:rsidP="00300B55">
      <w:pPr>
        <w:pStyle w:val="ListParagraph"/>
        <w:numPr>
          <w:ilvl w:val="0"/>
          <w:numId w:val="23"/>
        </w:numPr>
        <w:spacing w:before="90" w:after="90"/>
        <w:ind w:left="992" w:right="1134" w:hanging="425"/>
        <w:contextualSpacing w:val="0"/>
        <w:rPr>
          <w:rFonts w:ascii="Arial" w:hAnsi="Arial" w:cs="Arial"/>
          <w:sz w:val="20"/>
        </w:rPr>
      </w:pPr>
      <w:r w:rsidRPr="00300B55">
        <w:rPr>
          <w:rFonts w:ascii="Arial" w:hAnsi="Arial" w:cs="Arial"/>
          <w:sz w:val="20"/>
        </w:rPr>
        <w:t>external adverse event review report</w:t>
      </w:r>
    </w:p>
    <w:p w14:paraId="787561DE" w14:textId="77777777" w:rsidR="00025FEB" w:rsidRPr="00300B55" w:rsidRDefault="00025FEB" w:rsidP="00300B55">
      <w:pPr>
        <w:pStyle w:val="ListParagraph"/>
        <w:numPr>
          <w:ilvl w:val="0"/>
          <w:numId w:val="23"/>
        </w:numPr>
        <w:spacing w:before="90" w:after="90"/>
        <w:ind w:left="992" w:right="1134" w:hanging="425"/>
        <w:contextualSpacing w:val="0"/>
        <w:rPr>
          <w:rFonts w:ascii="Arial" w:hAnsi="Arial" w:cs="Arial"/>
          <w:sz w:val="20"/>
        </w:rPr>
      </w:pPr>
      <w:r w:rsidRPr="00300B55">
        <w:rPr>
          <w:rFonts w:ascii="Arial" w:hAnsi="Arial" w:cs="Arial"/>
          <w:sz w:val="20"/>
        </w:rPr>
        <w:t>coroner’s report confirming cause of death</w:t>
      </w:r>
    </w:p>
    <w:p w14:paraId="4A388B24" w14:textId="1CAEC2D0" w:rsidR="00025FEB" w:rsidRPr="00300B55" w:rsidRDefault="00025FEB" w:rsidP="00300B55">
      <w:pPr>
        <w:pStyle w:val="ListParagraph"/>
        <w:numPr>
          <w:ilvl w:val="0"/>
          <w:numId w:val="23"/>
        </w:numPr>
        <w:spacing w:before="90" w:after="90"/>
        <w:ind w:left="992" w:right="1134" w:hanging="425"/>
        <w:contextualSpacing w:val="0"/>
        <w:rPr>
          <w:rFonts w:ascii="Arial" w:hAnsi="Arial" w:cs="Arial"/>
          <w:sz w:val="20"/>
        </w:rPr>
      </w:pPr>
      <w:r w:rsidRPr="00300B55">
        <w:rPr>
          <w:rFonts w:ascii="Arial" w:hAnsi="Arial" w:cs="Arial"/>
          <w:sz w:val="20"/>
        </w:rPr>
        <w:t>inquiry/investigation documents (</w:t>
      </w:r>
      <w:r w:rsidR="0032138D" w:rsidRPr="00300B55">
        <w:rPr>
          <w:rFonts w:ascii="Arial" w:hAnsi="Arial" w:cs="Arial"/>
          <w:sz w:val="20"/>
        </w:rPr>
        <w:t>eg</w:t>
      </w:r>
      <w:r w:rsidRPr="00300B55">
        <w:rPr>
          <w:rFonts w:ascii="Arial" w:hAnsi="Arial" w:cs="Arial"/>
          <w:sz w:val="20"/>
        </w:rPr>
        <w:t xml:space="preserve">, under section 75 or 95 </w:t>
      </w:r>
      <w:r w:rsidR="00CB3CAC" w:rsidRPr="00300B55">
        <w:rPr>
          <w:rFonts w:ascii="Arial" w:hAnsi="Arial" w:cs="Arial"/>
          <w:sz w:val="20"/>
        </w:rPr>
        <w:t xml:space="preserve">of the Mental Health Act </w:t>
      </w:r>
      <w:r w:rsidRPr="00300B55">
        <w:rPr>
          <w:rFonts w:ascii="Arial" w:hAnsi="Arial" w:cs="Arial"/>
          <w:sz w:val="20"/>
        </w:rPr>
        <w:t>or as required by the Health and Disability Commissioner or a coroner</w:t>
      </w:r>
    </w:p>
    <w:p w14:paraId="763EC9E7" w14:textId="49E737E8" w:rsidR="00025FEB" w:rsidRPr="00300B55" w:rsidRDefault="005C27DA" w:rsidP="00300B55">
      <w:pPr>
        <w:pStyle w:val="ListParagraph"/>
        <w:numPr>
          <w:ilvl w:val="0"/>
          <w:numId w:val="23"/>
        </w:numPr>
        <w:spacing w:before="90" w:after="90"/>
        <w:ind w:left="992" w:right="1134" w:hanging="425"/>
        <w:contextualSpacing w:val="0"/>
        <w:rPr>
          <w:rFonts w:ascii="Arial" w:hAnsi="Arial" w:cs="Arial"/>
          <w:sz w:val="20"/>
        </w:rPr>
      </w:pPr>
      <w:r w:rsidRPr="00300B55">
        <w:rPr>
          <w:rFonts w:ascii="Arial" w:hAnsi="Arial" w:cs="Arial"/>
          <w:sz w:val="20"/>
        </w:rPr>
        <w:t>a</w:t>
      </w:r>
      <w:r w:rsidR="00025FEB" w:rsidRPr="00300B55">
        <w:rPr>
          <w:rFonts w:ascii="Arial" w:hAnsi="Arial" w:cs="Arial"/>
          <w:sz w:val="20"/>
        </w:rPr>
        <w:t>udit documents detailing the implementation of recommendations from the above reports.</w:t>
      </w:r>
    </w:p>
    <w:p w14:paraId="61D49D59" w14:textId="77777777" w:rsidR="00025FEB" w:rsidRPr="00D85A4F" w:rsidRDefault="00025FEB" w:rsidP="00025FEB">
      <w:pPr>
        <w:ind w:left="567" w:right="1134"/>
        <w:rPr>
          <w:rFonts w:ascii="Arial" w:hAnsi="Arial" w:cs="Arial"/>
          <w:sz w:val="20"/>
        </w:rPr>
      </w:pPr>
    </w:p>
    <w:p w14:paraId="34A5580B" w14:textId="77777777" w:rsidR="00025FEB" w:rsidRPr="00D85A4F" w:rsidRDefault="00025FEB" w:rsidP="00025FEB">
      <w:pPr>
        <w:ind w:left="567" w:right="1134"/>
        <w:rPr>
          <w:rFonts w:ascii="Arial" w:hAnsi="Arial" w:cs="Arial"/>
          <w:b/>
          <w:sz w:val="20"/>
        </w:rPr>
      </w:pPr>
      <w:r w:rsidRPr="00D85A4F">
        <w:rPr>
          <w:rFonts w:ascii="Arial" w:hAnsi="Arial" w:cs="Arial"/>
          <w:b/>
          <w:sz w:val="20"/>
        </w:rPr>
        <w:t>Reason for reporting this event</w:t>
      </w:r>
    </w:p>
    <w:p w14:paraId="462F6960" w14:textId="77777777" w:rsidR="00025FEB" w:rsidRPr="00D85A4F" w:rsidRDefault="00025FEB" w:rsidP="00025FEB">
      <w:pPr>
        <w:ind w:left="567" w:right="1134"/>
        <w:rPr>
          <w:rFonts w:ascii="Arial" w:hAnsi="Arial" w:cs="Arial"/>
          <w:sz w:val="20"/>
        </w:rPr>
      </w:pPr>
      <w:r w:rsidRPr="00D85A4F">
        <w:rPr>
          <w:rFonts w:ascii="Arial" w:hAnsi="Arial" w:cs="Arial"/>
          <w:sz w:val="20"/>
        </w:rPr>
        <w:t>Since 2013, DAMHS</w:t>
      </w:r>
      <w:r>
        <w:rPr>
          <w:rFonts w:ascii="Arial" w:hAnsi="Arial" w:cs="Arial"/>
          <w:sz w:val="20"/>
        </w:rPr>
        <w:t>s</w:t>
      </w:r>
      <w:r w:rsidRPr="00D85A4F">
        <w:rPr>
          <w:rFonts w:ascii="Arial" w:hAnsi="Arial" w:cs="Arial"/>
          <w:sz w:val="20"/>
        </w:rPr>
        <w:t xml:space="preserve"> have been required to advise the Director of four types of events:</w:t>
      </w:r>
    </w:p>
    <w:p w14:paraId="23EA5760" w14:textId="4658ABB4" w:rsidR="00025FEB" w:rsidRPr="00D85A4F" w:rsidRDefault="00025FEB" w:rsidP="00025FEB">
      <w:pPr>
        <w:numPr>
          <w:ilvl w:val="0"/>
          <w:numId w:val="24"/>
        </w:numPr>
        <w:spacing w:before="90"/>
        <w:ind w:left="993" w:right="1134" w:hanging="426"/>
        <w:rPr>
          <w:rFonts w:ascii="Arial" w:hAnsi="Arial" w:cs="Arial"/>
          <w:sz w:val="20"/>
        </w:rPr>
      </w:pPr>
      <w:r>
        <w:rPr>
          <w:rFonts w:ascii="Arial" w:hAnsi="Arial" w:cs="Arial"/>
          <w:sz w:val="20"/>
        </w:rPr>
        <w:t>n</w:t>
      </w:r>
      <w:r w:rsidRPr="00D85A4F">
        <w:rPr>
          <w:rFonts w:ascii="Arial" w:hAnsi="Arial" w:cs="Arial"/>
          <w:sz w:val="20"/>
        </w:rPr>
        <w:t xml:space="preserve">otifications of patient deaths in accordance with </w:t>
      </w:r>
      <w:r w:rsidRPr="00C84E6C">
        <w:rPr>
          <w:rFonts w:ascii="Arial" w:hAnsi="Arial" w:cs="Arial"/>
          <w:bCs/>
          <w:sz w:val="20"/>
        </w:rPr>
        <w:t>section 132</w:t>
      </w:r>
      <w:r w:rsidRPr="00D85A4F">
        <w:rPr>
          <w:rFonts w:ascii="Arial" w:hAnsi="Arial" w:cs="Arial"/>
          <w:sz w:val="20"/>
        </w:rPr>
        <w:t xml:space="preserve"> </w:t>
      </w:r>
      <w:r>
        <w:rPr>
          <w:rFonts w:ascii="Arial" w:hAnsi="Arial" w:cs="Arial"/>
          <w:sz w:val="20"/>
        </w:rPr>
        <w:t>of the Mental Health Act</w:t>
      </w:r>
      <w:r w:rsidRPr="00D85A4F">
        <w:rPr>
          <w:rFonts w:ascii="Arial" w:hAnsi="Arial" w:cs="Arial"/>
          <w:sz w:val="20"/>
        </w:rPr>
        <w:t xml:space="preserve">. </w:t>
      </w:r>
      <w:r w:rsidR="00151A36">
        <w:rPr>
          <w:rFonts w:ascii="Arial" w:hAnsi="Arial" w:cs="Arial"/>
          <w:sz w:val="20"/>
        </w:rPr>
        <w:t>‘</w:t>
      </w:r>
      <w:r w:rsidRPr="00D85A4F">
        <w:rPr>
          <w:rFonts w:ascii="Arial" w:hAnsi="Arial" w:cs="Arial"/>
          <w:sz w:val="20"/>
        </w:rPr>
        <w:t>Patients</w:t>
      </w:r>
      <w:r w:rsidR="00151A36">
        <w:rPr>
          <w:rFonts w:ascii="Arial" w:hAnsi="Arial" w:cs="Arial"/>
          <w:sz w:val="20"/>
        </w:rPr>
        <w:t>’</w:t>
      </w:r>
      <w:r w:rsidRPr="00D85A4F">
        <w:rPr>
          <w:rFonts w:ascii="Arial" w:hAnsi="Arial" w:cs="Arial"/>
          <w:sz w:val="20"/>
        </w:rPr>
        <w:t xml:space="preserve"> are further defined as a person required to undergo assessment under s</w:t>
      </w:r>
      <w:r>
        <w:rPr>
          <w:rFonts w:ascii="Arial" w:hAnsi="Arial" w:cs="Arial"/>
          <w:sz w:val="20"/>
        </w:rPr>
        <w:t xml:space="preserve">ection </w:t>
      </w:r>
      <w:r w:rsidRPr="00D85A4F">
        <w:rPr>
          <w:rFonts w:ascii="Arial" w:hAnsi="Arial" w:cs="Arial"/>
          <w:sz w:val="20"/>
        </w:rPr>
        <w:t>11 or 13</w:t>
      </w:r>
      <w:r>
        <w:rPr>
          <w:rFonts w:ascii="Arial" w:hAnsi="Arial" w:cs="Arial"/>
          <w:sz w:val="20"/>
        </w:rPr>
        <w:t>,</w:t>
      </w:r>
      <w:r w:rsidRPr="00D85A4F">
        <w:rPr>
          <w:rFonts w:ascii="Arial" w:hAnsi="Arial" w:cs="Arial"/>
          <w:sz w:val="20"/>
        </w:rPr>
        <w:t xml:space="preserve"> a person subject to a compulsory treatment order or a special patient</w:t>
      </w:r>
    </w:p>
    <w:p w14:paraId="7026CCFF" w14:textId="77777777" w:rsidR="00025FEB" w:rsidRPr="00D85A4F" w:rsidRDefault="00025FEB" w:rsidP="00025FEB">
      <w:pPr>
        <w:numPr>
          <w:ilvl w:val="0"/>
          <w:numId w:val="24"/>
        </w:numPr>
        <w:spacing w:before="90"/>
        <w:ind w:left="993" w:right="1134" w:hanging="426"/>
        <w:rPr>
          <w:rFonts w:ascii="Arial" w:hAnsi="Arial" w:cs="Arial"/>
          <w:sz w:val="20"/>
        </w:rPr>
      </w:pPr>
      <w:r>
        <w:rPr>
          <w:rFonts w:ascii="Arial" w:hAnsi="Arial" w:cs="Arial"/>
          <w:sz w:val="20"/>
        </w:rPr>
        <w:t>t</w:t>
      </w:r>
      <w:r w:rsidRPr="00D85A4F">
        <w:rPr>
          <w:rFonts w:ascii="Arial" w:hAnsi="Arial" w:cs="Arial"/>
          <w:sz w:val="20"/>
        </w:rPr>
        <w:t xml:space="preserve">he death of a </w:t>
      </w:r>
      <w:r w:rsidRPr="00C84E6C">
        <w:rPr>
          <w:rFonts w:ascii="Arial" w:hAnsi="Arial" w:cs="Arial"/>
          <w:bCs/>
          <w:sz w:val="20"/>
        </w:rPr>
        <w:t>voluntary patient</w:t>
      </w:r>
      <w:r w:rsidRPr="00D85A4F">
        <w:rPr>
          <w:rFonts w:ascii="Arial" w:hAnsi="Arial" w:cs="Arial"/>
          <w:sz w:val="20"/>
        </w:rPr>
        <w:t xml:space="preserve"> in an inpatient unit by </w:t>
      </w:r>
      <w:r w:rsidRPr="00C84E6C">
        <w:rPr>
          <w:rFonts w:ascii="Arial" w:hAnsi="Arial" w:cs="Arial"/>
          <w:bCs/>
          <w:sz w:val="20"/>
        </w:rPr>
        <w:t>suspected suicide</w:t>
      </w:r>
    </w:p>
    <w:p w14:paraId="1B934BA6" w14:textId="52BFEBDC" w:rsidR="00025FEB" w:rsidRPr="00D85A4F" w:rsidRDefault="00025FEB" w:rsidP="00025FEB">
      <w:pPr>
        <w:numPr>
          <w:ilvl w:val="0"/>
          <w:numId w:val="24"/>
        </w:numPr>
        <w:spacing w:before="90"/>
        <w:ind w:left="993" w:right="1134" w:hanging="426"/>
        <w:rPr>
          <w:rFonts w:ascii="Arial" w:hAnsi="Arial" w:cs="Arial"/>
          <w:sz w:val="20"/>
        </w:rPr>
      </w:pPr>
      <w:r>
        <w:rPr>
          <w:rFonts w:ascii="Arial" w:hAnsi="Arial" w:cs="Arial"/>
          <w:sz w:val="20"/>
        </w:rPr>
        <w:t>a</w:t>
      </w:r>
      <w:r w:rsidRPr="00D85A4F">
        <w:rPr>
          <w:rFonts w:ascii="Arial" w:hAnsi="Arial" w:cs="Arial"/>
          <w:sz w:val="20"/>
        </w:rPr>
        <w:t xml:space="preserve">dverse events involving </w:t>
      </w:r>
      <w:r w:rsidRPr="00C84E6C">
        <w:rPr>
          <w:rFonts w:ascii="Arial" w:hAnsi="Arial" w:cs="Arial"/>
          <w:bCs/>
          <w:sz w:val="20"/>
        </w:rPr>
        <w:t>special patients</w:t>
      </w:r>
      <w:r>
        <w:rPr>
          <w:rFonts w:ascii="Arial" w:hAnsi="Arial" w:cs="Arial"/>
          <w:sz w:val="20"/>
        </w:rPr>
        <w:t xml:space="preserve">, including </w:t>
      </w:r>
      <w:r w:rsidRPr="00D85A4F">
        <w:rPr>
          <w:rFonts w:ascii="Arial" w:hAnsi="Arial" w:cs="Arial"/>
          <w:sz w:val="20"/>
        </w:rPr>
        <w:t xml:space="preserve">attempted suicide, </w:t>
      </w:r>
      <w:r>
        <w:rPr>
          <w:rFonts w:ascii="Arial" w:hAnsi="Arial" w:cs="Arial"/>
          <w:sz w:val="20"/>
        </w:rPr>
        <w:t>absence without leave</w:t>
      </w:r>
      <w:r w:rsidRPr="00D85A4F">
        <w:rPr>
          <w:rFonts w:ascii="Arial" w:hAnsi="Arial" w:cs="Arial"/>
          <w:sz w:val="20"/>
        </w:rPr>
        <w:t>, assault and breach of leave conditions (</w:t>
      </w:r>
      <w:r w:rsidR="0032138D">
        <w:rPr>
          <w:rFonts w:ascii="Arial" w:hAnsi="Arial" w:cs="Arial"/>
          <w:sz w:val="20"/>
        </w:rPr>
        <w:t>eg</w:t>
      </w:r>
      <w:r>
        <w:rPr>
          <w:rFonts w:ascii="Arial" w:hAnsi="Arial" w:cs="Arial"/>
          <w:sz w:val="20"/>
        </w:rPr>
        <w:t>, in terms of</w:t>
      </w:r>
      <w:r w:rsidRPr="00D85A4F">
        <w:rPr>
          <w:rFonts w:ascii="Arial" w:hAnsi="Arial" w:cs="Arial"/>
          <w:sz w:val="20"/>
        </w:rPr>
        <w:t xml:space="preserve"> alcohol use)</w:t>
      </w:r>
    </w:p>
    <w:p w14:paraId="7CC9E044" w14:textId="77777777" w:rsidR="00025FEB" w:rsidRPr="00D85A4F" w:rsidRDefault="00025FEB" w:rsidP="00025FEB">
      <w:pPr>
        <w:numPr>
          <w:ilvl w:val="0"/>
          <w:numId w:val="24"/>
        </w:numPr>
        <w:spacing w:before="90"/>
        <w:ind w:left="993" w:right="1134" w:hanging="426"/>
        <w:rPr>
          <w:rFonts w:ascii="Arial" w:hAnsi="Arial" w:cs="Arial"/>
          <w:sz w:val="20"/>
        </w:rPr>
      </w:pPr>
      <w:r>
        <w:rPr>
          <w:rFonts w:ascii="Arial" w:hAnsi="Arial" w:cs="Arial"/>
          <w:sz w:val="20"/>
        </w:rPr>
        <w:t>a</w:t>
      </w:r>
      <w:r w:rsidRPr="00D85A4F">
        <w:rPr>
          <w:rFonts w:ascii="Arial" w:hAnsi="Arial" w:cs="Arial"/>
          <w:sz w:val="20"/>
        </w:rPr>
        <w:t xml:space="preserve">dverse events likely to draw </w:t>
      </w:r>
      <w:r w:rsidRPr="00C84E6C">
        <w:rPr>
          <w:rFonts w:ascii="Arial" w:hAnsi="Arial" w:cs="Arial"/>
          <w:bCs/>
          <w:sz w:val="20"/>
        </w:rPr>
        <w:t>media attention</w:t>
      </w:r>
      <w:r w:rsidRPr="00D85A4F">
        <w:rPr>
          <w:rFonts w:ascii="Arial" w:hAnsi="Arial" w:cs="Arial"/>
          <w:sz w:val="20"/>
        </w:rPr>
        <w:t>.</w:t>
      </w:r>
    </w:p>
    <w:p w14:paraId="67AD7D0C" w14:textId="77777777" w:rsidR="00025FEB" w:rsidRPr="00D85A4F" w:rsidRDefault="00025FEB" w:rsidP="00025FEB">
      <w:pPr>
        <w:ind w:left="567" w:right="1134"/>
        <w:rPr>
          <w:rFonts w:ascii="Arial" w:hAnsi="Arial" w:cs="Arial"/>
          <w:sz w:val="20"/>
        </w:rPr>
      </w:pPr>
    </w:p>
    <w:p w14:paraId="05A32861" w14:textId="3B756D85" w:rsidR="00025FEB" w:rsidRPr="00D85A4F" w:rsidRDefault="005B3DAE" w:rsidP="00025FEB">
      <w:pPr>
        <w:ind w:left="567" w:right="1134"/>
        <w:rPr>
          <w:rFonts w:ascii="Arial" w:hAnsi="Arial" w:cs="Arial"/>
          <w:sz w:val="20"/>
        </w:rPr>
      </w:pPr>
      <w:r>
        <w:rPr>
          <w:rFonts w:ascii="Arial Mäori" w:hAnsi="Arial Mäori" w:cs="Arial Mäori"/>
          <w:color w:val="000000"/>
          <w:sz w:val="20"/>
          <w:lang w:eastAsia="en-NZ"/>
        </w:rPr>
        <w:t>N</w:t>
      </w:r>
      <w:r w:rsidR="00025FEB" w:rsidRPr="00D85A4F">
        <w:rPr>
          <w:rFonts w:ascii="Arial Mäori" w:hAnsi="Arial Mäori" w:cs="Arial Mäori"/>
          <w:color w:val="000000"/>
          <w:sz w:val="20"/>
          <w:lang w:eastAsia="en-NZ"/>
        </w:rPr>
        <w:t xml:space="preserve">ote that </w:t>
      </w:r>
      <w:r w:rsidR="00025FEB">
        <w:rPr>
          <w:rFonts w:ascii="Arial Mäori" w:hAnsi="Arial Mäori" w:cs="Arial Mäori"/>
          <w:color w:val="000000"/>
          <w:sz w:val="20"/>
          <w:lang w:eastAsia="en-NZ"/>
        </w:rPr>
        <w:t xml:space="preserve">there may be </w:t>
      </w:r>
      <w:r w:rsidR="00025FEB" w:rsidRPr="00D85A4F">
        <w:rPr>
          <w:rFonts w:ascii="Arial Mäori" w:hAnsi="Arial Mäori" w:cs="Arial Mäori"/>
          <w:color w:val="000000"/>
          <w:sz w:val="20"/>
          <w:lang w:eastAsia="en-NZ"/>
        </w:rPr>
        <w:t>other report</w:t>
      </w:r>
      <w:r w:rsidR="00025FEB">
        <w:rPr>
          <w:rFonts w:ascii="Arial Mäori" w:hAnsi="Arial Mäori" w:cs="Arial Mäori"/>
          <w:color w:val="000000"/>
          <w:sz w:val="20"/>
          <w:lang w:eastAsia="en-NZ"/>
        </w:rPr>
        <w:t>ing requirements</w:t>
      </w:r>
      <w:r w:rsidR="00025FEB" w:rsidRPr="00D85A4F">
        <w:rPr>
          <w:rFonts w:ascii="Arial Mäori" w:hAnsi="Arial Mäori" w:cs="Arial Mäori"/>
          <w:color w:val="000000"/>
          <w:sz w:val="20"/>
          <w:lang w:eastAsia="en-NZ"/>
        </w:rPr>
        <w:t xml:space="preserve"> (such as </w:t>
      </w:r>
      <w:r w:rsidR="00062859">
        <w:rPr>
          <w:rFonts w:ascii="Arial Mäori" w:hAnsi="Arial Mäori" w:cs="Arial Mäori"/>
          <w:color w:val="000000"/>
          <w:sz w:val="20"/>
          <w:lang w:eastAsia="en-NZ"/>
        </w:rPr>
        <w:t xml:space="preserve">reporting to </w:t>
      </w:r>
      <w:r w:rsidR="00025FEB" w:rsidRPr="00D85A4F">
        <w:rPr>
          <w:rFonts w:ascii="Arial Mäori" w:hAnsi="Arial Mäori" w:cs="Arial Mäori"/>
          <w:color w:val="000000"/>
          <w:sz w:val="20"/>
          <w:lang w:eastAsia="en-NZ"/>
        </w:rPr>
        <w:t xml:space="preserve">the Health Quality </w:t>
      </w:r>
      <w:r w:rsidR="00025FEB">
        <w:rPr>
          <w:rFonts w:ascii="Arial Mäori" w:hAnsi="Arial Mäori" w:cs="Arial Mäori"/>
          <w:color w:val="000000"/>
          <w:sz w:val="20"/>
          <w:lang w:eastAsia="en-NZ"/>
        </w:rPr>
        <w:t>&amp;</w:t>
      </w:r>
      <w:r w:rsidR="00025FEB" w:rsidRPr="00D85A4F">
        <w:rPr>
          <w:rFonts w:ascii="Arial Mäori" w:hAnsi="Arial Mäori" w:cs="Arial Mäori"/>
          <w:color w:val="000000"/>
          <w:sz w:val="20"/>
          <w:lang w:eastAsia="en-NZ"/>
        </w:rPr>
        <w:t xml:space="preserve"> Safety Commission) not connected to the Office of the Director.</w:t>
      </w:r>
    </w:p>
    <w:p w14:paraId="5F50BDBE" w14:textId="77777777" w:rsidR="00025FEB" w:rsidRPr="00D85A4F" w:rsidRDefault="00025FEB" w:rsidP="00025FEB">
      <w:pPr>
        <w:ind w:left="567" w:right="1134"/>
        <w:rPr>
          <w:rFonts w:ascii="Arial" w:hAnsi="Arial" w:cs="Arial"/>
          <w:sz w:val="20"/>
        </w:rPr>
      </w:pPr>
    </w:p>
    <w:p w14:paraId="378C1E2E" w14:textId="77777777" w:rsidR="00025FEB" w:rsidRPr="00D85A4F" w:rsidRDefault="00025FEB" w:rsidP="00025FEB">
      <w:pPr>
        <w:ind w:left="567" w:right="1134"/>
        <w:rPr>
          <w:rFonts w:ascii="Arial" w:hAnsi="Arial" w:cs="Arial"/>
          <w:b/>
          <w:sz w:val="20"/>
        </w:rPr>
      </w:pPr>
      <w:r w:rsidRPr="00D85A4F">
        <w:rPr>
          <w:rFonts w:ascii="Arial" w:hAnsi="Arial" w:cs="Arial"/>
          <w:b/>
          <w:sz w:val="20"/>
        </w:rPr>
        <w:t>Narrative description of the event</w:t>
      </w:r>
    </w:p>
    <w:p w14:paraId="156EA3BB" w14:textId="77777777" w:rsidR="00025FEB" w:rsidRPr="00D85A4F" w:rsidRDefault="00025FEB" w:rsidP="00025FEB">
      <w:pPr>
        <w:ind w:left="567" w:right="1134"/>
        <w:rPr>
          <w:rFonts w:ascii="Arial" w:hAnsi="Arial" w:cs="Arial"/>
          <w:sz w:val="20"/>
        </w:rPr>
      </w:pPr>
      <w:r w:rsidRPr="00D85A4F">
        <w:rPr>
          <w:rFonts w:ascii="Arial" w:hAnsi="Arial" w:cs="Arial"/>
          <w:sz w:val="20"/>
        </w:rPr>
        <w:t>This is a brief description only, outlining what has happened and including any significant points that may not be captured elsewhere in the form.</w:t>
      </w:r>
    </w:p>
    <w:p w14:paraId="508BE851" w14:textId="77777777" w:rsidR="00025FEB" w:rsidRPr="00D85A4F" w:rsidRDefault="00025FEB" w:rsidP="00025FEB">
      <w:pPr>
        <w:ind w:left="567" w:right="1134"/>
        <w:rPr>
          <w:rFonts w:ascii="Arial" w:hAnsi="Arial" w:cs="Arial"/>
          <w:sz w:val="20"/>
        </w:rPr>
      </w:pPr>
    </w:p>
    <w:p w14:paraId="225C4BC9" w14:textId="77777777" w:rsidR="00025FEB" w:rsidRPr="00D85A4F" w:rsidRDefault="00025FEB" w:rsidP="00025FEB">
      <w:pPr>
        <w:ind w:left="567" w:right="1134"/>
        <w:rPr>
          <w:rFonts w:ascii="Arial" w:hAnsi="Arial" w:cs="Arial"/>
          <w:b/>
          <w:sz w:val="20"/>
        </w:rPr>
      </w:pPr>
      <w:r w:rsidRPr="00D85A4F">
        <w:rPr>
          <w:rFonts w:ascii="Arial" w:hAnsi="Arial" w:cs="Arial"/>
          <w:b/>
          <w:sz w:val="20"/>
        </w:rPr>
        <w:t>Date of last contact with mental health services</w:t>
      </w:r>
    </w:p>
    <w:p w14:paraId="49D42820" w14:textId="4A0C9B67" w:rsidR="00025FEB" w:rsidRPr="00D85A4F" w:rsidRDefault="00025FEB" w:rsidP="00025FEB">
      <w:pPr>
        <w:ind w:left="567" w:right="1134"/>
        <w:rPr>
          <w:rFonts w:ascii="Arial" w:hAnsi="Arial" w:cs="Arial"/>
          <w:sz w:val="20"/>
        </w:rPr>
      </w:pPr>
      <w:r w:rsidRPr="00D85A4F">
        <w:rPr>
          <w:rFonts w:ascii="Arial" w:hAnsi="Arial" w:cs="Arial"/>
          <w:sz w:val="20"/>
        </w:rPr>
        <w:t xml:space="preserve">This contact may </w:t>
      </w:r>
      <w:r w:rsidR="00EF0781">
        <w:rPr>
          <w:rFonts w:ascii="Arial" w:hAnsi="Arial" w:cs="Arial"/>
          <w:sz w:val="20"/>
        </w:rPr>
        <w:t xml:space="preserve">have been </w:t>
      </w:r>
      <w:r w:rsidRPr="00D85A4F">
        <w:rPr>
          <w:rFonts w:ascii="Arial" w:hAnsi="Arial" w:cs="Arial"/>
          <w:sz w:val="20"/>
        </w:rPr>
        <w:t>be face to face or by telephone.</w:t>
      </w:r>
    </w:p>
    <w:p w14:paraId="6B141FC0" w14:textId="77777777" w:rsidR="00025FEB" w:rsidRPr="00D85A4F" w:rsidRDefault="00025FEB" w:rsidP="00025FEB">
      <w:pPr>
        <w:ind w:left="567" w:right="1134"/>
        <w:rPr>
          <w:rFonts w:ascii="Arial" w:hAnsi="Arial" w:cs="Arial"/>
          <w:sz w:val="20"/>
        </w:rPr>
      </w:pPr>
    </w:p>
    <w:p w14:paraId="7E12F791" w14:textId="77777777" w:rsidR="00025FEB" w:rsidRPr="00D85A4F" w:rsidRDefault="00025FEB" w:rsidP="00025FEB">
      <w:pPr>
        <w:ind w:left="567" w:right="1134"/>
        <w:rPr>
          <w:rFonts w:ascii="Arial" w:hAnsi="Arial" w:cs="Arial"/>
          <w:b/>
          <w:sz w:val="20"/>
        </w:rPr>
      </w:pPr>
      <w:r w:rsidRPr="00D85A4F">
        <w:rPr>
          <w:rFonts w:ascii="Arial" w:hAnsi="Arial" w:cs="Arial"/>
          <w:b/>
          <w:sz w:val="20"/>
        </w:rPr>
        <w:t xml:space="preserve">Cause and </w:t>
      </w:r>
      <w:r>
        <w:rPr>
          <w:rFonts w:ascii="Arial" w:hAnsi="Arial" w:cs="Arial"/>
          <w:b/>
          <w:sz w:val="20"/>
        </w:rPr>
        <w:t>m</w:t>
      </w:r>
      <w:r w:rsidRPr="00D85A4F">
        <w:rPr>
          <w:rFonts w:ascii="Arial" w:hAnsi="Arial" w:cs="Arial"/>
          <w:b/>
          <w:sz w:val="20"/>
        </w:rPr>
        <w:t xml:space="preserve">ode of </w:t>
      </w:r>
      <w:r>
        <w:rPr>
          <w:rFonts w:ascii="Arial" w:hAnsi="Arial" w:cs="Arial"/>
          <w:b/>
          <w:sz w:val="20"/>
        </w:rPr>
        <w:t>d</w:t>
      </w:r>
      <w:r w:rsidRPr="00D85A4F">
        <w:rPr>
          <w:rFonts w:ascii="Arial" w:hAnsi="Arial" w:cs="Arial"/>
          <w:b/>
          <w:sz w:val="20"/>
        </w:rPr>
        <w:t>eath</w:t>
      </w:r>
    </w:p>
    <w:p w14:paraId="38B06864" w14:textId="31CE96B7" w:rsidR="00025FEB" w:rsidRPr="00F464DD" w:rsidRDefault="000B0D23" w:rsidP="00025FEB">
      <w:pPr>
        <w:ind w:left="567" w:right="1134"/>
        <w:rPr>
          <w:rFonts w:ascii="Arial" w:hAnsi="Arial" w:cs="Arial"/>
          <w:sz w:val="20"/>
        </w:rPr>
      </w:pPr>
      <w:r>
        <w:rPr>
          <w:rFonts w:ascii="Arial" w:hAnsi="Arial" w:cs="Arial"/>
          <w:sz w:val="20"/>
        </w:rPr>
        <w:t xml:space="preserve">If the </w:t>
      </w:r>
      <w:r w:rsidR="00025FEB" w:rsidRPr="00D85A4F">
        <w:rPr>
          <w:rFonts w:ascii="Arial" w:hAnsi="Arial" w:cs="Arial"/>
          <w:sz w:val="20"/>
        </w:rPr>
        <w:t xml:space="preserve">cause and mode of death </w:t>
      </w:r>
      <w:r>
        <w:rPr>
          <w:rFonts w:ascii="Arial" w:hAnsi="Arial" w:cs="Arial"/>
          <w:sz w:val="20"/>
        </w:rPr>
        <w:t xml:space="preserve">recorded </w:t>
      </w:r>
      <w:r w:rsidR="00E7136A">
        <w:rPr>
          <w:rFonts w:ascii="Arial" w:hAnsi="Arial" w:cs="Arial"/>
          <w:sz w:val="20"/>
        </w:rPr>
        <w:t xml:space="preserve">on </w:t>
      </w:r>
      <w:r w:rsidR="00025FEB" w:rsidRPr="00D85A4F">
        <w:rPr>
          <w:rFonts w:ascii="Arial" w:hAnsi="Arial" w:cs="Arial"/>
          <w:sz w:val="20"/>
        </w:rPr>
        <w:t xml:space="preserve">this form </w:t>
      </w:r>
      <w:r>
        <w:rPr>
          <w:rFonts w:ascii="Arial" w:hAnsi="Arial" w:cs="Arial"/>
          <w:sz w:val="20"/>
        </w:rPr>
        <w:t xml:space="preserve">are provisional, that entry </w:t>
      </w:r>
      <w:r w:rsidR="00025FEB" w:rsidRPr="00D85A4F">
        <w:rPr>
          <w:rFonts w:ascii="Arial" w:hAnsi="Arial" w:cs="Arial"/>
          <w:sz w:val="20"/>
        </w:rPr>
        <w:t xml:space="preserve">must be followed up with a definitive cause of death </w:t>
      </w:r>
      <w:r>
        <w:rPr>
          <w:rFonts w:ascii="Arial" w:hAnsi="Arial" w:cs="Arial"/>
          <w:sz w:val="20"/>
        </w:rPr>
        <w:t xml:space="preserve">according to </w:t>
      </w:r>
      <w:r w:rsidR="00025FEB" w:rsidRPr="00D85A4F">
        <w:rPr>
          <w:rFonts w:ascii="Arial" w:hAnsi="Arial" w:cs="Arial"/>
          <w:sz w:val="20"/>
        </w:rPr>
        <w:t xml:space="preserve">a </w:t>
      </w:r>
      <w:r w:rsidR="00025FEB">
        <w:rPr>
          <w:rFonts w:ascii="Arial" w:hAnsi="Arial" w:cs="Arial"/>
          <w:sz w:val="20"/>
        </w:rPr>
        <w:t>c</w:t>
      </w:r>
      <w:r w:rsidR="00025FEB" w:rsidRPr="00D85A4F">
        <w:rPr>
          <w:rFonts w:ascii="Arial" w:hAnsi="Arial" w:cs="Arial"/>
          <w:sz w:val="20"/>
        </w:rPr>
        <w:t>oroner’s finding or medical certificate.</w:t>
      </w:r>
    </w:p>
    <w:p w14:paraId="62A1A1C3" w14:textId="77777777" w:rsidR="00025FEB" w:rsidRDefault="00025FEB" w:rsidP="00025FEB">
      <w:pPr>
        <w:ind w:left="567"/>
      </w:pPr>
    </w:p>
    <w:p w14:paraId="6DC7A315" w14:textId="77777777" w:rsidR="00025FEB" w:rsidRDefault="00025FEB" w:rsidP="00025FEB">
      <w:pPr>
        <w:ind w:left="567"/>
      </w:pPr>
    </w:p>
    <w:p w14:paraId="1EC85664" w14:textId="77777777" w:rsidR="00025FEB" w:rsidRDefault="00025FEB" w:rsidP="00025FEB">
      <w:pPr>
        <w:sectPr w:rsidR="00025FEB" w:rsidSect="00BB4DC3">
          <w:pgSz w:w="11907" w:h="16834" w:code="9"/>
          <w:pgMar w:top="1134" w:right="567" w:bottom="1134" w:left="567" w:header="284" w:footer="397" w:gutter="0"/>
          <w:cols w:space="720"/>
          <w:docGrid w:linePitch="286"/>
        </w:sectPr>
      </w:pPr>
    </w:p>
    <w:p w14:paraId="06A6F440" w14:textId="77777777" w:rsidR="00025FEB" w:rsidRDefault="00025FEB" w:rsidP="00025FEB"/>
    <w:p w14:paraId="4DF4FE63" w14:textId="1736D421" w:rsidR="00025FEB" w:rsidRPr="00D85A4F" w:rsidRDefault="00025FEB" w:rsidP="00025FEB">
      <w:pPr>
        <w:ind w:left="567"/>
        <w:rPr>
          <w:rFonts w:ascii="Arial" w:hAnsi="Arial" w:cs="Arial"/>
          <w:b/>
          <w:sz w:val="36"/>
          <w:szCs w:val="36"/>
        </w:rPr>
      </w:pPr>
      <w:r w:rsidRPr="00D85A4F">
        <w:rPr>
          <w:rFonts w:ascii="Arial" w:hAnsi="Arial" w:cs="Arial"/>
          <w:b/>
          <w:sz w:val="36"/>
          <w:szCs w:val="36"/>
        </w:rPr>
        <w:t xml:space="preserve">Emergency </w:t>
      </w:r>
      <w:r>
        <w:rPr>
          <w:rFonts w:ascii="Arial" w:hAnsi="Arial" w:cs="Arial"/>
          <w:b/>
          <w:sz w:val="36"/>
          <w:szCs w:val="36"/>
        </w:rPr>
        <w:t>b</w:t>
      </w:r>
      <w:r w:rsidRPr="00D85A4F">
        <w:rPr>
          <w:rFonts w:ascii="Arial" w:hAnsi="Arial" w:cs="Arial"/>
          <w:b/>
          <w:sz w:val="36"/>
          <w:szCs w:val="36"/>
        </w:rPr>
        <w:t xml:space="preserve">order </w:t>
      </w:r>
      <w:r>
        <w:rPr>
          <w:rFonts w:ascii="Arial" w:hAnsi="Arial" w:cs="Arial"/>
          <w:b/>
          <w:sz w:val="36"/>
          <w:szCs w:val="36"/>
        </w:rPr>
        <w:t>a</w:t>
      </w:r>
      <w:r w:rsidRPr="00D85A4F">
        <w:rPr>
          <w:rFonts w:ascii="Arial" w:hAnsi="Arial" w:cs="Arial"/>
          <w:b/>
          <w:sz w:val="36"/>
          <w:szCs w:val="36"/>
        </w:rPr>
        <w:t>lert</w:t>
      </w:r>
      <w:r w:rsidR="00021CD2">
        <w:rPr>
          <w:rFonts w:ascii="Arial" w:hAnsi="Arial" w:cs="Arial"/>
          <w:b/>
          <w:sz w:val="36"/>
          <w:szCs w:val="36"/>
        </w:rPr>
        <w:t xml:space="preserve"> form</w:t>
      </w:r>
      <w:r w:rsidR="00C21E94">
        <w:rPr>
          <w:rStyle w:val="FootnoteReference"/>
          <w:rFonts w:ascii="Arial" w:hAnsi="Arial" w:cs="Arial"/>
          <w:b/>
          <w:sz w:val="36"/>
          <w:szCs w:val="36"/>
        </w:rPr>
        <w:footnoteReference w:id="8"/>
      </w:r>
    </w:p>
    <w:p w14:paraId="4ACFEC36" w14:textId="77777777" w:rsidR="00025FEB" w:rsidRPr="00D85A4F" w:rsidRDefault="00025FEB" w:rsidP="00025FEB">
      <w:pPr>
        <w:ind w:left="-57"/>
        <w:rPr>
          <w:rFonts w:cs="Arial"/>
          <w:b/>
          <w:sz w:val="32"/>
          <w:szCs w:val="32"/>
        </w:rPr>
      </w:pPr>
    </w:p>
    <w:p w14:paraId="25A5C210" w14:textId="77777777" w:rsidR="00025FEB" w:rsidRPr="00D85A4F" w:rsidRDefault="00025FEB" w:rsidP="00025FEB">
      <w:pPr>
        <w:ind w:left="-57"/>
        <w:rPr>
          <w:rFonts w:cs="Arial"/>
          <w:b/>
          <w:sz w:val="32"/>
          <w:szCs w:val="3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990"/>
      </w:tblGrid>
      <w:tr w:rsidR="00025FEB" w:rsidRPr="00D85A4F" w14:paraId="00562EA6" w14:textId="77777777" w:rsidTr="00BB4DC3">
        <w:trPr>
          <w:cantSplit/>
        </w:trPr>
        <w:tc>
          <w:tcPr>
            <w:tcW w:w="9214" w:type="dxa"/>
            <w:gridSpan w:val="2"/>
            <w:shd w:val="clear" w:color="auto" w:fill="auto"/>
          </w:tcPr>
          <w:p w14:paraId="6312AF9C" w14:textId="77777777" w:rsidR="00025FEB" w:rsidRPr="00BE4B1B" w:rsidRDefault="00025FEB" w:rsidP="00BB4DC3">
            <w:pPr>
              <w:pStyle w:val="TableText"/>
              <w:rPr>
                <w:rFonts w:ascii="Arial" w:hAnsi="Arial" w:cs="Arial"/>
                <w:color w:val="162A70"/>
              </w:rPr>
            </w:pPr>
            <w:r w:rsidRPr="00BE4B1B">
              <w:rPr>
                <w:rFonts w:ascii="Arial" w:hAnsi="Arial" w:cs="Arial"/>
                <w:w w:val="105"/>
              </w:rPr>
              <w:t>To: Customs</w:t>
            </w:r>
            <w:r w:rsidRPr="00BE4B1B">
              <w:rPr>
                <w:rFonts w:ascii="Arial" w:hAnsi="Arial" w:cs="Arial"/>
                <w:spacing w:val="3"/>
                <w:w w:val="105"/>
              </w:rPr>
              <w:t xml:space="preserve"> </w:t>
            </w:r>
            <w:r w:rsidRPr="00BE4B1B">
              <w:rPr>
                <w:rFonts w:ascii="Arial" w:hAnsi="Arial" w:cs="Arial"/>
                <w:color w:val="010101"/>
                <w:spacing w:val="-19"/>
                <w:w w:val="105"/>
              </w:rPr>
              <w:t>I</w:t>
            </w:r>
            <w:r w:rsidRPr="00BE4B1B">
              <w:rPr>
                <w:rFonts w:ascii="Arial" w:hAnsi="Arial" w:cs="Arial"/>
                <w:w w:val="105"/>
              </w:rPr>
              <w:t>ntegrated</w:t>
            </w:r>
            <w:r w:rsidRPr="00BE4B1B">
              <w:rPr>
                <w:rFonts w:ascii="Arial" w:hAnsi="Arial" w:cs="Arial"/>
                <w:spacing w:val="-17"/>
                <w:w w:val="105"/>
              </w:rPr>
              <w:t xml:space="preserve"> </w:t>
            </w:r>
            <w:r w:rsidRPr="00BE4B1B">
              <w:rPr>
                <w:rFonts w:ascii="Arial" w:hAnsi="Arial" w:cs="Arial"/>
                <w:w w:val="105"/>
              </w:rPr>
              <w:t>Targeting</w:t>
            </w:r>
            <w:r w:rsidRPr="00BE4B1B">
              <w:rPr>
                <w:rFonts w:ascii="Arial" w:hAnsi="Arial" w:cs="Arial"/>
                <w:spacing w:val="1"/>
                <w:w w:val="105"/>
              </w:rPr>
              <w:t xml:space="preserve"> </w:t>
            </w:r>
            <w:r w:rsidRPr="00BE4B1B">
              <w:rPr>
                <w:rFonts w:ascii="Arial" w:hAnsi="Arial" w:cs="Arial"/>
                <w:w w:val="105"/>
              </w:rPr>
              <w:t>and</w:t>
            </w:r>
            <w:r w:rsidRPr="00BE4B1B">
              <w:rPr>
                <w:rFonts w:ascii="Arial" w:hAnsi="Arial" w:cs="Arial"/>
                <w:spacing w:val="-8"/>
                <w:w w:val="105"/>
              </w:rPr>
              <w:t xml:space="preserve"> </w:t>
            </w:r>
            <w:r w:rsidRPr="00BE4B1B">
              <w:rPr>
                <w:rFonts w:ascii="Arial" w:hAnsi="Arial" w:cs="Arial"/>
                <w:w w:val="105"/>
              </w:rPr>
              <w:t>Operations</w:t>
            </w:r>
            <w:r w:rsidRPr="00BE4B1B">
              <w:rPr>
                <w:rFonts w:ascii="Arial" w:hAnsi="Arial" w:cs="Arial"/>
                <w:spacing w:val="8"/>
                <w:w w:val="105"/>
              </w:rPr>
              <w:t xml:space="preserve"> </w:t>
            </w:r>
            <w:r w:rsidRPr="00BE4B1B">
              <w:rPr>
                <w:rFonts w:ascii="Arial" w:hAnsi="Arial" w:cs="Arial"/>
                <w:w w:val="105"/>
              </w:rPr>
              <w:t>Ce</w:t>
            </w:r>
            <w:r w:rsidRPr="00BE4B1B">
              <w:rPr>
                <w:rFonts w:ascii="Arial" w:hAnsi="Arial" w:cs="Arial"/>
                <w:spacing w:val="-13"/>
                <w:w w:val="105"/>
              </w:rPr>
              <w:t>n</w:t>
            </w:r>
            <w:r w:rsidRPr="00BE4B1B">
              <w:rPr>
                <w:rFonts w:ascii="Arial" w:hAnsi="Arial" w:cs="Arial"/>
                <w:color w:val="010101"/>
                <w:spacing w:val="10"/>
                <w:w w:val="105"/>
              </w:rPr>
              <w:t>t</w:t>
            </w:r>
            <w:r w:rsidRPr="00BE4B1B">
              <w:rPr>
                <w:rFonts w:ascii="Arial" w:hAnsi="Arial" w:cs="Arial"/>
                <w:w w:val="105"/>
              </w:rPr>
              <w:t>re</w:t>
            </w:r>
            <w:r w:rsidRPr="00BE4B1B">
              <w:rPr>
                <w:rFonts w:ascii="Arial" w:hAnsi="Arial" w:cs="Arial"/>
                <w:spacing w:val="-16"/>
                <w:w w:val="105"/>
              </w:rPr>
              <w:t xml:space="preserve"> </w:t>
            </w:r>
            <w:r w:rsidRPr="00BE4B1B">
              <w:rPr>
                <w:rFonts w:ascii="Arial" w:hAnsi="Arial" w:cs="Arial"/>
                <w:color w:val="242B28"/>
                <w:spacing w:val="-1"/>
                <w:w w:val="105"/>
              </w:rPr>
              <w:t>(</w:t>
            </w:r>
            <w:r w:rsidRPr="00BE4B1B">
              <w:rPr>
                <w:rFonts w:ascii="Arial" w:hAnsi="Arial" w:cs="Arial"/>
                <w:color w:val="010101"/>
                <w:spacing w:val="-12"/>
                <w:w w:val="105"/>
              </w:rPr>
              <w:t>I</w:t>
            </w:r>
            <w:r w:rsidRPr="00BE4B1B">
              <w:rPr>
                <w:rFonts w:ascii="Arial" w:hAnsi="Arial" w:cs="Arial"/>
                <w:w w:val="105"/>
              </w:rPr>
              <w:t>TOC)</w:t>
            </w:r>
            <w:r w:rsidRPr="00BE4B1B">
              <w:rPr>
                <w:rFonts w:ascii="Arial" w:hAnsi="Arial" w:cs="Arial"/>
                <w:w w:val="105"/>
              </w:rPr>
              <w:br/>
            </w:r>
            <w:r w:rsidRPr="00BE4B1B">
              <w:rPr>
                <w:rFonts w:ascii="Arial" w:hAnsi="Arial" w:cs="Arial"/>
              </w:rPr>
              <w:t>0508</w:t>
            </w:r>
            <w:r w:rsidRPr="00BE4B1B">
              <w:rPr>
                <w:rFonts w:ascii="Arial" w:hAnsi="Arial" w:cs="Arial"/>
                <w:spacing w:val="40"/>
              </w:rPr>
              <w:t xml:space="preserve"> </w:t>
            </w:r>
            <w:r w:rsidRPr="00BE4B1B">
              <w:rPr>
                <w:rFonts w:ascii="Arial" w:hAnsi="Arial" w:cs="Arial"/>
              </w:rPr>
              <w:t>ITOC</w:t>
            </w:r>
            <w:r w:rsidRPr="00BE4B1B">
              <w:rPr>
                <w:rFonts w:ascii="Arial" w:hAnsi="Arial" w:cs="Arial"/>
                <w:spacing w:val="14"/>
              </w:rPr>
              <w:t xml:space="preserve"> </w:t>
            </w:r>
            <w:r w:rsidRPr="00BE4B1B">
              <w:rPr>
                <w:rFonts w:ascii="Arial" w:hAnsi="Arial" w:cs="Arial"/>
              </w:rPr>
              <w:t>OPS</w:t>
            </w:r>
            <w:r w:rsidRPr="00BE4B1B">
              <w:rPr>
                <w:rFonts w:ascii="Arial" w:hAnsi="Arial" w:cs="Arial"/>
                <w:spacing w:val="24"/>
              </w:rPr>
              <w:t xml:space="preserve"> </w:t>
            </w:r>
            <w:r w:rsidRPr="00BE4B1B">
              <w:rPr>
                <w:rFonts w:ascii="Arial" w:hAnsi="Arial" w:cs="Arial"/>
                <w:color w:val="242B28"/>
              </w:rPr>
              <w:t>(0508</w:t>
            </w:r>
            <w:r w:rsidRPr="00BE4B1B">
              <w:rPr>
                <w:rFonts w:ascii="Arial" w:hAnsi="Arial" w:cs="Arial"/>
                <w:color w:val="242B28"/>
                <w:spacing w:val="18"/>
              </w:rPr>
              <w:t xml:space="preserve"> </w:t>
            </w:r>
            <w:r w:rsidRPr="00BE4B1B">
              <w:rPr>
                <w:rFonts w:ascii="Arial" w:hAnsi="Arial" w:cs="Arial"/>
                <w:color w:val="242B28"/>
              </w:rPr>
              <w:t>4862</w:t>
            </w:r>
            <w:r w:rsidRPr="00BE4B1B">
              <w:rPr>
                <w:rFonts w:ascii="Arial" w:hAnsi="Arial" w:cs="Arial"/>
                <w:color w:val="242B28"/>
                <w:spacing w:val="26"/>
              </w:rPr>
              <w:t xml:space="preserve"> </w:t>
            </w:r>
            <w:r w:rsidRPr="00BE4B1B">
              <w:rPr>
                <w:rFonts w:ascii="Arial" w:hAnsi="Arial" w:cs="Arial"/>
              </w:rPr>
              <w:t>677)</w:t>
            </w:r>
            <w:r w:rsidRPr="00BE4B1B">
              <w:rPr>
                <w:rFonts w:ascii="Arial" w:hAnsi="Arial" w:cs="Arial"/>
              </w:rPr>
              <w:br/>
            </w:r>
            <w:r w:rsidRPr="0030355B">
              <w:rPr>
                <w:rFonts w:ascii="Arial" w:hAnsi="Arial" w:cs="Arial"/>
              </w:rPr>
              <w:t>ITOCOperationsCentre@customs.govt.nz</w:t>
            </w:r>
          </w:p>
          <w:p w14:paraId="5EE7DEAB" w14:textId="77777777" w:rsidR="00025FEB" w:rsidRPr="00BE4B1B" w:rsidRDefault="00025FEB" w:rsidP="00BB4DC3">
            <w:pPr>
              <w:pStyle w:val="TableText"/>
              <w:rPr>
                <w:rFonts w:ascii="Arial" w:hAnsi="Arial" w:cs="Arial"/>
              </w:rPr>
            </w:pPr>
            <w:r w:rsidRPr="00BE4B1B">
              <w:rPr>
                <w:rFonts w:ascii="Arial" w:hAnsi="Arial" w:cs="Arial"/>
              </w:rPr>
              <w:t xml:space="preserve">Request to </w:t>
            </w:r>
            <w:r w:rsidRPr="00BE4B1B">
              <w:rPr>
                <w:rFonts w:ascii="Arial" w:hAnsi="Arial" w:cs="Arial"/>
                <w:b/>
                <w:w w:val="105"/>
              </w:rPr>
              <w:t>put</w:t>
            </w:r>
            <w:r w:rsidRPr="00BE4B1B">
              <w:rPr>
                <w:rFonts w:ascii="Arial" w:hAnsi="Arial" w:cs="Arial"/>
                <w:b/>
                <w:spacing w:val="-8"/>
                <w:w w:val="105"/>
              </w:rPr>
              <w:t xml:space="preserve"> </w:t>
            </w:r>
            <w:r w:rsidRPr="00BE4B1B">
              <w:rPr>
                <w:rFonts w:ascii="Arial" w:hAnsi="Arial" w:cs="Arial"/>
                <w:b/>
                <w:w w:val="105"/>
              </w:rPr>
              <w:t>an</w:t>
            </w:r>
            <w:r w:rsidRPr="00BE4B1B">
              <w:rPr>
                <w:rFonts w:ascii="Arial" w:hAnsi="Arial" w:cs="Arial"/>
                <w:b/>
                <w:spacing w:val="-12"/>
                <w:w w:val="105"/>
              </w:rPr>
              <w:t xml:space="preserve"> </w:t>
            </w:r>
            <w:r w:rsidRPr="00BE4B1B">
              <w:rPr>
                <w:rFonts w:ascii="Arial" w:hAnsi="Arial" w:cs="Arial"/>
                <w:b/>
                <w:w w:val="105"/>
              </w:rPr>
              <w:t>emergency</w:t>
            </w:r>
            <w:r w:rsidRPr="00BE4B1B">
              <w:rPr>
                <w:rFonts w:ascii="Arial" w:hAnsi="Arial" w:cs="Arial"/>
                <w:b/>
                <w:spacing w:val="16"/>
                <w:w w:val="105"/>
              </w:rPr>
              <w:t xml:space="preserve"> </w:t>
            </w:r>
            <w:r w:rsidRPr="00BE4B1B">
              <w:rPr>
                <w:rFonts w:ascii="Arial" w:hAnsi="Arial" w:cs="Arial"/>
                <w:b/>
                <w:w w:val="105"/>
              </w:rPr>
              <w:t>alert</w:t>
            </w:r>
            <w:r w:rsidRPr="00BE4B1B">
              <w:rPr>
                <w:rFonts w:ascii="Arial" w:hAnsi="Arial" w:cs="Arial"/>
                <w:b/>
                <w:spacing w:val="3"/>
                <w:w w:val="105"/>
              </w:rPr>
              <w:t xml:space="preserve"> in place</w:t>
            </w:r>
            <w:r w:rsidRPr="00BE4B1B">
              <w:rPr>
                <w:rFonts w:ascii="Arial" w:hAnsi="Arial" w:cs="Arial"/>
                <w:spacing w:val="3"/>
                <w:w w:val="105"/>
              </w:rPr>
              <w:t xml:space="preserve"> </w:t>
            </w:r>
            <w:r w:rsidRPr="00BE4B1B">
              <w:rPr>
                <w:rFonts w:ascii="Arial" w:hAnsi="Arial" w:cs="Arial"/>
                <w:w w:val="105"/>
              </w:rPr>
              <w:t>for</w:t>
            </w:r>
            <w:r w:rsidRPr="00BE4B1B">
              <w:rPr>
                <w:rFonts w:ascii="Arial" w:hAnsi="Arial" w:cs="Arial"/>
                <w:spacing w:val="-14"/>
                <w:w w:val="105"/>
              </w:rPr>
              <w:t xml:space="preserve"> </w:t>
            </w:r>
            <w:r w:rsidRPr="00BE4B1B">
              <w:rPr>
                <w:rFonts w:ascii="Arial" w:hAnsi="Arial" w:cs="Arial"/>
                <w:w w:val="105"/>
              </w:rPr>
              <w:t>this</w:t>
            </w:r>
            <w:r w:rsidRPr="00BE4B1B">
              <w:rPr>
                <w:rFonts w:ascii="Arial" w:hAnsi="Arial" w:cs="Arial"/>
                <w:spacing w:val="1"/>
                <w:w w:val="105"/>
              </w:rPr>
              <w:t xml:space="preserve"> </w:t>
            </w:r>
            <w:r w:rsidRPr="00BE4B1B">
              <w:rPr>
                <w:rFonts w:ascii="Arial" w:hAnsi="Arial" w:cs="Arial"/>
                <w:w w:val="105"/>
              </w:rPr>
              <w:t>special</w:t>
            </w:r>
            <w:r w:rsidRPr="00BE4B1B">
              <w:rPr>
                <w:rFonts w:ascii="Arial" w:hAnsi="Arial" w:cs="Arial"/>
                <w:spacing w:val="2"/>
                <w:w w:val="105"/>
              </w:rPr>
              <w:t xml:space="preserve"> </w:t>
            </w:r>
            <w:r w:rsidRPr="00BE4B1B">
              <w:rPr>
                <w:rFonts w:ascii="Arial" w:hAnsi="Arial" w:cs="Arial"/>
                <w:color w:val="242B28"/>
                <w:spacing w:val="-2"/>
                <w:w w:val="105"/>
              </w:rPr>
              <w:t xml:space="preserve">patient, or </w:t>
            </w:r>
            <w:r w:rsidRPr="00BE4B1B">
              <w:rPr>
                <w:rFonts w:ascii="Arial" w:hAnsi="Arial" w:cs="Arial"/>
                <w:b/>
                <w:w w:val="105"/>
              </w:rPr>
              <w:t>remove</w:t>
            </w:r>
            <w:r w:rsidRPr="00BE4B1B">
              <w:rPr>
                <w:rFonts w:ascii="Arial" w:hAnsi="Arial" w:cs="Arial"/>
                <w:b/>
                <w:spacing w:val="-15"/>
                <w:w w:val="105"/>
              </w:rPr>
              <w:t xml:space="preserve"> </w:t>
            </w:r>
            <w:r w:rsidRPr="00BE4B1B">
              <w:rPr>
                <w:rFonts w:ascii="Arial" w:hAnsi="Arial" w:cs="Arial"/>
                <w:b/>
                <w:w w:val="105"/>
              </w:rPr>
              <w:t>the</w:t>
            </w:r>
            <w:r w:rsidRPr="00BE4B1B">
              <w:rPr>
                <w:rFonts w:ascii="Arial" w:hAnsi="Arial" w:cs="Arial"/>
                <w:b/>
                <w:spacing w:val="-4"/>
                <w:w w:val="105"/>
              </w:rPr>
              <w:t xml:space="preserve"> </w:t>
            </w:r>
            <w:r w:rsidRPr="00BE4B1B">
              <w:rPr>
                <w:rFonts w:ascii="Arial" w:hAnsi="Arial" w:cs="Arial"/>
                <w:b/>
                <w:w w:val="105"/>
              </w:rPr>
              <w:t>emergency</w:t>
            </w:r>
            <w:r w:rsidRPr="00BE4B1B">
              <w:rPr>
                <w:rFonts w:ascii="Arial" w:hAnsi="Arial" w:cs="Arial"/>
                <w:b/>
                <w:spacing w:val="14"/>
                <w:w w:val="105"/>
              </w:rPr>
              <w:t xml:space="preserve"> </w:t>
            </w:r>
            <w:r w:rsidRPr="00BE4B1B">
              <w:rPr>
                <w:rFonts w:ascii="Arial" w:hAnsi="Arial" w:cs="Arial"/>
                <w:b/>
                <w:w w:val="105"/>
              </w:rPr>
              <w:t>border</w:t>
            </w:r>
            <w:r w:rsidRPr="00BE4B1B">
              <w:rPr>
                <w:rFonts w:ascii="Arial" w:hAnsi="Arial" w:cs="Arial"/>
                <w:b/>
                <w:spacing w:val="-2"/>
                <w:w w:val="105"/>
              </w:rPr>
              <w:t xml:space="preserve"> al</w:t>
            </w:r>
            <w:r w:rsidRPr="00BE4B1B">
              <w:rPr>
                <w:rFonts w:ascii="Arial" w:hAnsi="Arial" w:cs="Arial"/>
                <w:b/>
                <w:spacing w:val="-1"/>
                <w:w w:val="105"/>
              </w:rPr>
              <w:t>ert</w:t>
            </w:r>
            <w:r w:rsidRPr="00BE4B1B">
              <w:rPr>
                <w:rFonts w:ascii="Arial" w:hAnsi="Arial" w:cs="Arial"/>
                <w:spacing w:val="-19"/>
                <w:w w:val="105"/>
              </w:rPr>
              <w:t xml:space="preserve"> </w:t>
            </w:r>
            <w:r w:rsidRPr="00BE4B1B">
              <w:rPr>
                <w:rFonts w:ascii="Arial" w:hAnsi="Arial" w:cs="Arial"/>
                <w:w w:val="105"/>
              </w:rPr>
              <w:t>for</w:t>
            </w:r>
            <w:r w:rsidRPr="00BE4B1B">
              <w:rPr>
                <w:rFonts w:ascii="Arial" w:hAnsi="Arial" w:cs="Arial"/>
                <w:spacing w:val="-9"/>
                <w:w w:val="105"/>
              </w:rPr>
              <w:t xml:space="preserve"> </w:t>
            </w:r>
            <w:r w:rsidRPr="00BE4B1B">
              <w:rPr>
                <w:rFonts w:ascii="Arial" w:hAnsi="Arial" w:cs="Arial"/>
                <w:w w:val="105"/>
              </w:rPr>
              <w:t>this</w:t>
            </w:r>
            <w:r w:rsidRPr="00BE4B1B">
              <w:rPr>
                <w:rFonts w:ascii="Arial" w:hAnsi="Arial" w:cs="Arial"/>
                <w:spacing w:val="5"/>
                <w:w w:val="105"/>
              </w:rPr>
              <w:t xml:space="preserve"> </w:t>
            </w:r>
            <w:r w:rsidRPr="00BE4B1B">
              <w:rPr>
                <w:rFonts w:ascii="Arial" w:hAnsi="Arial" w:cs="Arial"/>
                <w:w w:val="105"/>
              </w:rPr>
              <w:t>special</w:t>
            </w:r>
            <w:r w:rsidRPr="00BE4B1B">
              <w:rPr>
                <w:rFonts w:ascii="Arial" w:hAnsi="Arial" w:cs="Arial"/>
                <w:spacing w:val="-9"/>
                <w:w w:val="105"/>
              </w:rPr>
              <w:t xml:space="preserve"> </w:t>
            </w:r>
            <w:r w:rsidRPr="00BE4B1B">
              <w:rPr>
                <w:rFonts w:ascii="Arial" w:hAnsi="Arial" w:cs="Arial"/>
                <w:spacing w:val="-2"/>
                <w:w w:val="105"/>
              </w:rPr>
              <w:t>pati</w:t>
            </w:r>
            <w:r w:rsidRPr="00BE4B1B">
              <w:rPr>
                <w:rFonts w:ascii="Arial" w:hAnsi="Arial" w:cs="Arial"/>
                <w:spacing w:val="-3"/>
                <w:w w:val="105"/>
              </w:rPr>
              <w:t>ent</w:t>
            </w:r>
            <w:r w:rsidRPr="00BE4B1B">
              <w:rPr>
                <w:rFonts w:ascii="Arial" w:hAnsi="Arial" w:cs="Arial"/>
                <w:spacing w:val="-7"/>
                <w:w w:val="105"/>
              </w:rPr>
              <w:t xml:space="preserve"> </w:t>
            </w:r>
            <w:r w:rsidRPr="00BE4B1B">
              <w:rPr>
                <w:rFonts w:ascii="Arial" w:hAnsi="Arial" w:cs="Arial"/>
                <w:w w:val="105"/>
              </w:rPr>
              <w:t>and</w:t>
            </w:r>
            <w:r w:rsidRPr="00BE4B1B">
              <w:rPr>
                <w:rFonts w:ascii="Arial" w:hAnsi="Arial" w:cs="Arial"/>
                <w:spacing w:val="-11"/>
                <w:w w:val="105"/>
              </w:rPr>
              <w:t xml:space="preserve"> </w:t>
            </w:r>
            <w:r w:rsidRPr="00BE4B1B">
              <w:rPr>
                <w:rFonts w:ascii="Arial" w:hAnsi="Arial" w:cs="Arial"/>
                <w:w w:val="105"/>
              </w:rPr>
              <w:t>destroy</w:t>
            </w:r>
            <w:r w:rsidRPr="00BE4B1B">
              <w:rPr>
                <w:rFonts w:ascii="Arial" w:hAnsi="Arial" w:cs="Arial"/>
                <w:spacing w:val="28"/>
                <w:w w:val="102"/>
              </w:rPr>
              <w:t xml:space="preserve"> </w:t>
            </w:r>
            <w:r w:rsidRPr="00BE4B1B">
              <w:rPr>
                <w:rFonts w:ascii="Arial" w:hAnsi="Arial" w:cs="Arial"/>
                <w:w w:val="105"/>
              </w:rPr>
              <w:t>any</w:t>
            </w:r>
            <w:r w:rsidRPr="00BE4B1B">
              <w:rPr>
                <w:rFonts w:ascii="Arial" w:hAnsi="Arial" w:cs="Arial"/>
                <w:spacing w:val="-3"/>
                <w:w w:val="105"/>
              </w:rPr>
              <w:t xml:space="preserve"> </w:t>
            </w:r>
            <w:r w:rsidRPr="00BE4B1B">
              <w:rPr>
                <w:rFonts w:ascii="Arial" w:hAnsi="Arial" w:cs="Arial"/>
                <w:color w:val="010101"/>
                <w:spacing w:val="-20"/>
                <w:w w:val="105"/>
              </w:rPr>
              <w:t>i</w:t>
            </w:r>
            <w:r w:rsidRPr="00BE4B1B">
              <w:rPr>
                <w:rFonts w:ascii="Arial" w:hAnsi="Arial" w:cs="Arial"/>
                <w:w w:val="105"/>
              </w:rPr>
              <w:t>den</w:t>
            </w:r>
            <w:r w:rsidRPr="00BE4B1B">
              <w:rPr>
                <w:rFonts w:ascii="Arial" w:hAnsi="Arial" w:cs="Arial"/>
                <w:spacing w:val="15"/>
                <w:w w:val="105"/>
              </w:rPr>
              <w:t>t</w:t>
            </w:r>
            <w:r w:rsidRPr="00BE4B1B">
              <w:rPr>
                <w:rFonts w:ascii="Arial" w:hAnsi="Arial" w:cs="Arial"/>
                <w:color w:val="010101"/>
                <w:spacing w:val="-20"/>
                <w:w w:val="105"/>
              </w:rPr>
              <w:t>i</w:t>
            </w:r>
            <w:r w:rsidRPr="00BE4B1B">
              <w:rPr>
                <w:rFonts w:ascii="Arial" w:hAnsi="Arial" w:cs="Arial"/>
                <w:color w:val="242B28"/>
                <w:w w:val="105"/>
              </w:rPr>
              <w:t>ty</w:t>
            </w:r>
            <w:r w:rsidRPr="00BE4B1B">
              <w:rPr>
                <w:rFonts w:ascii="Arial" w:hAnsi="Arial" w:cs="Arial"/>
                <w:color w:val="242B28"/>
                <w:spacing w:val="4"/>
                <w:w w:val="105"/>
              </w:rPr>
              <w:t xml:space="preserve"> </w:t>
            </w:r>
            <w:r w:rsidRPr="00BE4B1B">
              <w:rPr>
                <w:rFonts w:ascii="Arial" w:hAnsi="Arial" w:cs="Arial"/>
                <w:color w:val="010101"/>
                <w:spacing w:val="-11"/>
                <w:w w:val="105"/>
              </w:rPr>
              <w:t>i</w:t>
            </w:r>
            <w:r w:rsidRPr="00BE4B1B">
              <w:rPr>
                <w:rFonts w:ascii="Arial" w:hAnsi="Arial" w:cs="Arial"/>
                <w:w w:val="105"/>
              </w:rPr>
              <w:t>nformation</w:t>
            </w:r>
            <w:r w:rsidRPr="00BE4B1B">
              <w:rPr>
                <w:rFonts w:ascii="Arial" w:hAnsi="Arial" w:cs="Arial"/>
                <w:spacing w:val="1"/>
                <w:w w:val="105"/>
              </w:rPr>
              <w:t xml:space="preserve"> </w:t>
            </w:r>
            <w:r w:rsidRPr="00BE4B1B">
              <w:rPr>
                <w:rFonts w:ascii="Arial" w:hAnsi="Arial" w:cs="Arial"/>
                <w:color w:val="242B28"/>
                <w:w w:val="105"/>
              </w:rPr>
              <w:t>solely</w:t>
            </w:r>
            <w:r w:rsidRPr="00BE4B1B">
              <w:rPr>
                <w:rFonts w:ascii="Arial" w:hAnsi="Arial" w:cs="Arial"/>
                <w:color w:val="242B28"/>
                <w:spacing w:val="5"/>
                <w:w w:val="105"/>
              </w:rPr>
              <w:t xml:space="preserve"> </w:t>
            </w:r>
            <w:r w:rsidRPr="00BE4B1B">
              <w:rPr>
                <w:rFonts w:ascii="Arial" w:hAnsi="Arial" w:cs="Arial"/>
                <w:w w:val="105"/>
              </w:rPr>
              <w:t>re</w:t>
            </w:r>
            <w:r w:rsidRPr="00BE4B1B">
              <w:rPr>
                <w:rFonts w:ascii="Arial" w:hAnsi="Arial" w:cs="Arial"/>
                <w:spacing w:val="-13"/>
                <w:w w:val="105"/>
              </w:rPr>
              <w:t>l</w:t>
            </w:r>
            <w:r w:rsidRPr="00BE4B1B">
              <w:rPr>
                <w:rFonts w:ascii="Arial" w:hAnsi="Arial" w:cs="Arial"/>
                <w:w w:val="105"/>
              </w:rPr>
              <w:t>at</w:t>
            </w:r>
            <w:r w:rsidRPr="00BE4B1B">
              <w:rPr>
                <w:rFonts w:ascii="Arial" w:hAnsi="Arial" w:cs="Arial"/>
                <w:spacing w:val="2"/>
                <w:w w:val="105"/>
              </w:rPr>
              <w:t>i</w:t>
            </w:r>
            <w:r w:rsidRPr="00BE4B1B">
              <w:rPr>
                <w:rFonts w:ascii="Arial" w:hAnsi="Arial" w:cs="Arial"/>
                <w:w w:val="105"/>
              </w:rPr>
              <w:t>ng</w:t>
            </w:r>
            <w:r w:rsidRPr="00BE4B1B">
              <w:rPr>
                <w:rFonts w:ascii="Arial" w:hAnsi="Arial" w:cs="Arial"/>
                <w:spacing w:val="-23"/>
                <w:w w:val="105"/>
              </w:rPr>
              <w:t xml:space="preserve"> </w:t>
            </w:r>
            <w:r w:rsidRPr="00BE4B1B">
              <w:rPr>
                <w:rFonts w:ascii="Arial" w:hAnsi="Arial" w:cs="Arial"/>
                <w:w w:val="105"/>
              </w:rPr>
              <w:t>to</w:t>
            </w:r>
            <w:r w:rsidRPr="00BE4B1B">
              <w:rPr>
                <w:rFonts w:ascii="Arial" w:hAnsi="Arial" w:cs="Arial"/>
                <w:spacing w:val="-14"/>
                <w:w w:val="105"/>
              </w:rPr>
              <w:t xml:space="preserve"> </w:t>
            </w:r>
            <w:r w:rsidRPr="00BE4B1B">
              <w:rPr>
                <w:rFonts w:ascii="Arial" w:hAnsi="Arial" w:cs="Arial"/>
                <w:w w:val="105"/>
              </w:rPr>
              <w:t>the</w:t>
            </w:r>
            <w:r w:rsidRPr="00BE4B1B">
              <w:rPr>
                <w:rFonts w:ascii="Arial" w:hAnsi="Arial" w:cs="Arial"/>
                <w:spacing w:val="7"/>
                <w:w w:val="105"/>
              </w:rPr>
              <w:t xml:space="preserve"> </w:t>
            </w:r>
            <w:r w:rsidRPr="00BE4B1B">
              <w:rPr>
                <w:rFonts w:ascii="Arial" w:hAnsi="Arial" w:cs="Arial"/>
                <w:w w:val="105"/>
              </w:rPr>
              <w:t>planned border</w:t>
            </w:r>
            <w:r w:rsidRPr="00BE4B1B">
              <w:rPr>
                <w:rFonts w:ascii="Arial" w:hAnsi="Arial" w:cs="Arial"/>
                <w:spacing w:val="-5"/>
                <w:w w:val="105"/>
              </w:rPr>
              <w:t xml:space="preserve"> </w:t>
            </w:r>
            <w:r w:rsidRPr="00BE4B1B">
              <w:rPr>
                <w:rFonts w:ascii="Arial" w:hAnsi="Arial" w:cs="Arial"/>
                <w:w w:val="105"/>
              </w:rPr>
              <w:t>alert</w:t>
            </w:r>
            <w:r w:rsidRPr="00BE4B1B">
              <w:rPr>
                <w:rFonts w:ascii="Arial" w:hAnsi="Arial" w:cs="Arial"/>
                <w:spacing w:val="-9"/>
                <w:w w:val="105"/>
              </w:rPr>
              <w:t xml:space="preserve"> (i</w:t>
            </w:r>
            <w:r w:rsidRPr="00BE4B1B">
              <w:rPr>
                <w:rFonts w:ascii="Arial" w:hAnsi="Arial" w:cs="Arial"/>
                <w:w w:val="105"/>
              </w:rPr>
              <w:t>ncluding</w:t>
            </w:r>
            <w:r w:rsidRPr="00BE4B1B">
              <w:rPr>
                <w:rFonts w:ascii="Arial" w:hAnsi="Arial" w:cs="Arial"/>
                <w:spacing w:val="-20"/>
                <w:w w:val="105"/>
              </w:rPr>
              <w:t xml:space="preserve"> </w:t>
            </w:r>
            <w:r w:rsidRPr="00BE4B1B">
              <w:rPr>
                <w:rFonts w:ascii="Arial" w:hAnsi="Arial" w:cs="Arial"/>
                <w:w w:val="105"/>
              </w:rPr>
              <w:t>any</w:t>
            </w:r>
            <w:r w:rsidRPr="00BE4B1B">
              <w:rPr>
                <w:rFonts w:ascii="Arial" w:hAnsi="Arial" w:cs="Arial"/>
                <w:spacing w:val="-20"/>
                <w:w w:val="105"/>
              </w:rPr>
              <w:t xml:space="preserve"> </w:t>
            </w:r>
            <w:r w:rsidRPr="00BE4B1B">
              <w:rPr>
                <w:rFonts w:ascii="Arial" w:hAnsi="Arial" w:cs="Arial"/>
                <w:w w:val="105"/>
              </w:rPr>
              <w:t>photograph).</w:t>
            </w:r>
          </w:p>
        </w:tc>
      </w:tr>
      <w:tr w:rsidR="00025FEB" w:rsidRPr="00D85A4F" w14:paraId="07038186" w14:textId="77777777" w:rsidTr="00BB4DC3">
        <w:trPr>
          <w:cantSplit/>
        </w:trPr>
        <w:tc>
          <w:tcPr>
            <w:tcW w:w="4224" w:type="dxa"/>
            <w:shd w:val="clear" w:color="auto" w:fill="auto"/>
          </w:tcPr>
          <w:p w14:paraId="054858B2" w14:textId="77777777" w:rsidR="00025FEB" w:rsidRPr="00BE4B1B" w:rsidRDefault="00025FEB" w:rsidP="00BB4DC3">
            <w:pPr>
              <w:pStyle w:val="TableText"/>
              <w:rPr>
                <w:rFonts w:ascii="Arial" w:hAnsi="Arial" w:cs="Arial"/>
              </w:rPr>
            </w:pPr>
            <w:r w:rsidRPr="00BE4B1B">
              <w:rPr>
                <w:rFonts w:ascii="Arial" w:hAnsi="Arial" w:cs="Arial"/>
              </w:rPr>
              <w:t>Status</w:t>
            </w:r>
          </w:p>
        </w:tc>
        <w:tc>
          <w:tcPr>
            <w:tcW w:w="4990" w:type="dxa"/>
            <w:shd w:val="clear" w:color="auto" w:fill="auto"/>
          </w:tcPr>
          <w:p w14:paraId="437F5598" w14:textId="77777777" w:rsidR="00025FEB" w:rsidRPr="00BE4B1B" w:rsidRDefault="00025FEB" w:rsidP="00BB4DC3">
            <w:pPr>
              <w:pStyle w:val="TableText"/>
              <w:rPr>
                <w:rFonts w:ascii="Arial" w:eastAsia="Arial" w:hAnsi="Arial" w:cs="Arial"/>
                <w:color w:val="B8CCE4" w:themeColor="accent1" w:themeTint="66"/>
              </w:rPr>
            </w:pPr>
            <w:r w:rsidRPr="00BE4B1B">
              <w:rPr>
                <w:rFonts w:ascii="Arial" w:eastAsia="Arial" w:hAnsi="Arial" w:cs="Arial"/>
                <w:color w:val="B8CCE4" w:themeColor="accent1" w:themeTint="66"/>
              </w:rPr>
              <w:t>Mental health special patient</w:t>
            </w:r>
          </w:p>
        </w:tc>
      </w:tr>
      <w:tr w:rsidR="00025FEB" w:rsidRPr="00D85A4F" w14:paraId="7DC1CBC2" w14:textId="77777777" w:rsidTr="00BB4DC3">
        <w:trPr>
          <w:cantSplit/>
        </w:trPr>
        <w:tc>
          <w:tcPr>
            <w:tcW w:w="4224" w:type="dxa"/>
            <w:shd w:val="clear" w:color="auto" w:fill="auto"/>
          </w:tcPr>
          <w:p w14:paraId="2C8CA216" w14:textId="77777777" w:rsidR="00025FEB" w:rsidRPr="00BE4B1B" w:rsidRDefault="00025FEB" w:rsidP="00BB4DC3">
            <w:pPr>
              <w:pStyle w:val="TableText"/>
              <w:rPr>
                <w:rFonts w:ascii="Arial" w:hAnsi="Arial" w:cs="Arial"/>
              </w:rPr>
            </w:pPr>
            <w:r w:rsidRPr="00BE4B1B">
              <w:rPr>
                <w:rFonts w:ascii="Arial" w:hAnsi="Arial" w:cs="Arial"/>
              </w:rPr>
              <w:t>Action required</w:t>
            </w:r>
          </w:p>
        </w:tc>
        <w:tc>
          <w:tcPr>
            <w:tcW w:w="4990" w:type="dxa"/>
            <w:shd w:val="clear" w:color="auto" w:fill="auto"/>
          </w:tcPr>
          <w:p w14:paraId="2A32E682" w14:textId="77777777" w:rsidR="00025FEB" w:rsidRPr="00BE4B1B" w:rsidRDefault="00025FEB" w:rsidP="00BB4DC3">
            <w:pPr>
              <w:pStyle w:val="TableText"/>
              <w:rPr>
                <w:rFonts w:ascii="Arial" w:eastAsia="Arial" w:hAnsi="Arial" w:cs="Arial"/>
                <w:color w:val="B8CCE4" w:themeColor="accent1" w:themeTint="66"/>
              </w:rPr>
            </w:pPr>
            <w:r w:rsidRPr="00BE4B1B">
              <w:rPr>
                <w:rFonts w:ascii="Arial" w:eastAsia="Arial" w:hAnsi="Arial" w:cs="Arial"/>
                <w:color w:val="B8CCE4" w:themeColor="accent1" w:themeTint="66"/>
              </w:rPr>
              <w:t>Place/remove an emergency border alert</w:t>
            </w:r>
          </w:p>
        </w:tc>
      </w:tr>
      <w:tr w:rsidR="00025FEB" w:rsidRPr="00D85A4F" w14:paraId="317B4CDC" w14:textId="77777777" w:rsidTr="00BB4DC3">
        <w:trPr>
          <w:cantSplit/>
        </w:trPr>
        <w:tc>
          <w:tcPr>
            <w:tcW w:w="4224" w:type="dxa"/>
            <w:shd w:val="clear" w:color="auto" w:fill="auto"/>
          </w:tcPr>
          <w:p w14:paraId="0EB2DD12" w14:textId="77777777" w:rsidR="00025FEB" w:rsidRPr="00BE4B1B" w:rsidRDefault="00025FEB" w:rsidP="00BB4DC3">
            <w:pPr>
              <w:pStyle w:val="TableText"/>
              <w:rPr>
                <w:rFonts w:ascii="Arial" w:hAnsi="Arial" w:cs="Arial"/>
              </w:rPr>
            </w:pPr>
            <w:r w:rsidRPr="00BE4B1B">
              <w:rPr>
                <w:rFonts w:ascii="Arial" w:hAnsi="Arial" w:cs="Arial"/>
              </w:rPr>
              <w:t>Name and number of person who should be called if alert triggered</w:t>
            </w:r>
          </w:p>
        </w:tc>
        <w:tc>
          <w:tcPr>
            <w:tcW w:w="4990" w:type="dxa"/>
            <w:shd w:val="clear" w:color="auto" w:fill="auto"/>
          </w:tcPr>
          <w:p w14:paraId="7ED7BE4C" w14:textId="77777777" w:rsidR="00025FEB" w:rsidRPr="00BE4B1B" w:rsidRDefault="00025FEB" w:rsidP="00BB4DC3">
            <w:pPr>
              <w:pStyle w:val="TableText"/>
              <w:rPr>
                <w:rFonts w:ascii="Arial" w:eastAsia="Arial" w:hAnsi="Arial" w:cs="Arial"/>
                <w:color w:val="B8CCE4" w:themeColor="accent1" w:themeTint="66"/>
              </w:rPr>
            </w:pPr>
            <w:r w:rsidRPr="00BE4B1B">
              <w:rPr>
                <w:rFonts w:ascii="Arial" w:eastAsia="Arial" w:hAnsi="Arial" w:cs="Arial"/>
                <w:color w:val="B8CCE4" w:themeColor="accent1" w:themeTint="66"/>
              </w:rPr>
              <w:t>Director of Mental Health</w:t>
            </w:r>
          </w:p>
          <w:p w14:paraId="35AC63BE" w14:textId="77777777" w:rsidR="00025FEB" w:rsidRPr="00BE4B1B" w:rsidRDefault="00025FEB" w:rsidP="00BB4DC3">
            <w:pPr>
              <w:pStyle w:val="TableText"/>
              <w:rPr>
                <w:rFonts w:ascii="Arial" w:eastAsia="Arial" w:hAnsi="Arial" w:cs="Arial"/>
                <w:color w:val="B8CCE4" w:themeColor="accent1" w:themeTint="66"/>
              </w:rPr>
            </w:pPr>
            <w:r w:rsidRPr="00BE4B1B">
              <w:rPr>
                <w:rFonts w:ascii="Arial" w:eastAsia="Arial" w:hAnsi="Arial" w:cs="Arial"/>
                <w:color w:val="B8CCE4" w:themeColor="accent1" w:themeTint="66"/>
              </w:rPr>
              <w:t>Director of Area Mental Health Services</w:t>
            </w:r>
          </w:p>
        </w:tc>
      </w:tr>
      <w:tr w:rsidR="00025FEB" w:rsidRPr="00D85A4F" w14:paraId="605DDD07" w14:textId="77777777" w:rsidTr="00BB4DC3">
        <w:trPr>
          <w:cantSplit/>
        </w:trPr>
        <w:tc>
          <w:tcPr>
            <w:tcW w:w="4224" w:type="dxa"/>
            <w:shd w:val="clear" w:color="auto" w:fill="auto"/>
          </w:tcPr>
          <w:p w14:paraId="62406FC8" w14:textId="77777777" w:rsidR="00025FEB" w:rsidRPr="00BE4B1B" w:rsidRDefault="00025FEB" w:rsidP="00BB4DC3">
            <w:pPr>
              <w:pStyle w:val="TableText"/>
              <w:rPr>
                <w:rFonts w:ascii="Arial" w:hAnsi="Arial" w:cs="Arial"/>
              </w:rPr>
            </w:pPr>
            <w:r w:rsidRPr="00BE4B1B">
              <w:rPr>
                <w:rFonts w:ascii="Arial" w:hAnsi="Arial" w:cs="Arial"/>
              </w:rPr>
              <w:t>Patient’s name registered at birth or when on first entering the country</w:t>
            </w:r>
          </w:p>
        </w:tc>
        <w:tc>
          <w:tcPr>
            <w:tcW w:w="4990" w:type="dxa"/>
            <w:shd w:val="clear" w:color="auto" w:fill="auto"/>
          </w:tcPr>
          <w:p w14:paraId="5D0D4005" w14:textId="77777777" w:rsidR="00025FEB" w:rsidRPr="00BE4B1B" w:rsidRDefault="00025FEB" w:rsidP="00BB4DC3">
            <w:pPr>
              <w:pStyle w:val="TableText"/>
              <w:rPr>
                <w:rFonts w:ascii="Arial" w:eastAsia="Arial" w:hAnsi="Arial" w:cs="Arial"/>
              </w:rPr>
            </w:pPr>
          </w:p>
        </w:tc>
      </w:tr>
      <w:tr w:rsidR="00025FEB" w:rsidRPr="00D85A4F" w14:paraId="63EFD501" w14:textId="77777777" w:rsidTr="00BB4DC3">
        <w:trPr>
          <w:cantSplit/>
        </w:trPr>
        <w:tc>
          <w:tcPr>
            <w:tcW w:w="4224" w:type="dxa"/>
            <w:shd w:val="clear" w:color="auto" w:fill="auto"/>
          </w:tcPr>
          <w:p w14:paraId="0BF52DE3" w14:textId="77777777" w:rsidR="00025FEB" w:rsidRPr="00BE4B1B" w:rsidRDefault="00025FEB" w:rsidP="00BB4DC3">
            <w:pPr>
              <w:pStyle w:val="TableText"/>
              <w:rPr>
                <w:rFonts w:ascii="Arial" w:hAnsi="Arial" w:cs="Arial"/>
              </w:rPr>
            </w:pPr>
            <w:r w:rsidRPr="00BE4B1B">
              <w:rPr>
                <w:rFonts w:ascii="Arial" w:hAnsi="Arial" w:cs="Arial"/>
              </w:rPr>
              <w:t xml:space="preserve">Date of birth </w:t>
            </w:r>
          </w:p>
        </w:tc>
        <w:sdt>
          <w:sdtPr>
            <w:rPr>
              <w:rFonts w:ascii="Arial" w:eastAsia="Arial" w:hAnsi="Arial" w:cs="Arial"/>
            </w:rPr>
            <w:id w:val="650648250"/>
            <w:placeholder>
              <w:docPart w:val="2A5162B895084E64BF086D7A7D33E730"/>
            </w:placeholder>
            <w:showingPlcHdr/>
            <w:date>
              <w:dateFormat w:val="d/MM/yyyy"/>
              <w:lid w:val="en-NZ"/>
              <w:storeMappedDataAs w:val="dateTime"/>
              <w:calendar w:val="gregorian"/>
            </w:date>
          </w:sdtPr>
          <w:sdtContent>
            <w:tc>
              <w:tcPr>
                <w:tcW w:w="4990" w:type="dxa"/>
                <w:shd w:val="clear" w:color="auto" w:fill="auto"/>
              </w:tcPr>
              <w:p w14:paraId="57EE16DC" w14:textId="77777777" w:rsidR="00025FEB" w:rsidRPr="00BE4B1B" w:rsidRDefault="00025FEB" w:rsidP="00BB4DC3">
                <w:pPr>
                  <w:pStyle w:val="TableText"/>
                  <w:rPr>
                    <w:rFonts w:ascii="Arial" w:eastAsia="Arial" w:hAnsi="Arial" w:cs="Arial"/>
                  </w:rPr>
                </w:pPr>
                <w:r w:rsidRPr="00BE4B1B">
                  <w:rPr>
                    <w:rStyle w:val="PlaceholderText"/>
                    <w:rFonts w:ascii="Arial" w:hAnsi="Arial" w:cs="Arial"/>
                  </w:rPr>
                  <w:t>Click or tap to enter a date.</w:t>
                </w:r>
              </w:p>
            </w:tc>
          </w:sdtContent>
        </w:sdt>
      </w:tr>
      <w:tr w:rsidR="00025FEB" w:rsidRPr="00D85A4F" w14:paraId="6CC3909A" w14:textId="77777777" w:rsidTr="00BB4DC3">
        <w:trPr>
          <w:cantSplit/>
        </w:trPr>
        <w:tc>
          <w:tcPr>
            <w:tcW w:w="4224" w:type="dxa"/>
            <w:shd w:val="clear" w:color="auto" w:fill="auto"/>
          </w:tcPr>
          <w:p w14:paraId="02CB7477" w14:textId="77777777" w:rsidR="00025FEB" w:rsidRPr="00BE4B1B" w:rsidRDefault="00025FEB" w:rsidP="00BB4DC3">
            <w:pPr>
              <w:pStyle w:val="TableText"/>
              <w:rPr>
                <w:rFonts w:ascii="Arial" w:hAnsi="Arial" w:cs="Arial"/>
              </w:rPr>
            </w:pPr>
            <w:r w:rsidRPr="00BE4B1B">
              <w:rPr>
                <w:rFonts w:ascii="Arial" w:hAnsi="Arial" w:cs="Arial"/>
              </w:rPr>
              <w:t>Place of birth (if known)</w:t>
            </w:r>
          </w:p>
        </w:tc>
        <w:tc>
          <w:tcPr>
            <w:tcW w:w="4990" w:type="dxa"/>
            <w:shd w:val="clear" w:color="auto" w:fill="auto"/>
          </w:tcPr>
          <w:p w14:paraId="523F9853" w14:textId="77777777" w:rsidR="00025FEB" w:rsidRPr="00BE4B1B" w:rsidRDefault="00025FEB" w:rsidP="00BB4DC3">
            <w:pPr>
              <w:pStyle w:val="TableText"/>
              <w:rPr>
                <w:rFonts w:ascii="Arial" w:eastAsia="Arial" w:hAnsi="Arial" w:cs="Arial"/>
              </w:rPr>
            </w:pPr>
          </w:p>
        </w:tc>
      </w:tr>
      <w:tr w:rsidR="00025FEB" w:rsidRPr="00D85A4F" w14:paraId="0179498A" w14:textId="77777777" w:rsidTr="00BB4DC3">
        <w:trPr>
          <w:cantSplit/>
        </w:trPr>
        <w:tc>
          <w:tcPr>
            <w:tcW w:w="4224" w:type="dxa"/>
            <w:shd w:val="clear" w:color="auto" w:fill="auto"/>
          </w:tcPr>
          <w:p w14:paraId="258F5CBB" w14:textId="77777777" w:rsidR="00025FEB" w:rsidRPr="00BE4B1B" w:rsidRDefault="00025FEB" w:rsidP="00BB4DC3">
            <w:pPr>
              <w:pStyle w:val="TableText"/>
              <w:rPr>
                <w:rFonts w:ascii="Arial" w:hAnsi="Arial" w:cs="Arial"/>
              </w:rPr>
            </w:pPr>
            <w:r w:rsidRPr="00BE4B1B">
              <w:rPr>
                <w:rFonts w:ascii="Arial" w:hAnsi="Arial" w:cs="Arial"/>
              </w:rPr>
              <w:t>Surname</w:t>
            </w:r>
          </w:p>
        </w:tc>
        <w:tc>
          <w:tcPr>
            <w:tcW w:w="4990" w:type="dxa"/>
            <w:shd w:val="clear" w:color="auto" w:fill="auto"/>
          </w:tcPr>
          <w:p w14:paraId="07E54449" w14:textId="77777777" w:rsidR="00025FEB" w:rsidRPr="00BE4B1B" w:rsidRDefault="00025FEB" w:rsidP="00BB4DC3">
            <w:pPr>
              <w:pStyle w:val="TableText"/>
              <w:rPr>
                <w:rFonts w:ascii="Arial" w:eastAsia="Arial" w:hAnsi="Arial" w:cs="Arial"/>
              </w:rPr>
            </w:pPr>
          </w:p>
        </w:tc>
      </w:tr>
      <w:tr w:rsidR="00025FEB" w:rsidRPr="00D85A4F" w14:paraId="28EFBFF3" w14:textId="77777777" w:rsidTr="00BB4DC3">
        <w:trPr>
          <w:cantSplit/>
        </w:trPr>
        <w:tc>
          <w:tcPr>
            <w:tcW w:w="4224" w:type="dxa"/>
            <w:shd w:val="clear" w:color="auto" w:fill="auto"/>
          </w:tcPr>
          <w:p w14:paraId="2506DC45" w14:textId="77777777" w:rsidR="00025FEB" w:rsidRPr="00BE4B1B" w:rsidRDefault="00025FEB" w:rsidP="00BB4DC3">
            <w:pPr>
              <w:pStyle w:val="TableText"/>
              <w:rPr>
                <w:rFonts w:ascii="Arial" w:hAnsi="Arial" w:cs="Arial"/>
              </w:rPr>
            </w:pPr>
            <w:r w:rsidRPr="00BE4B1B">
              <w:rPr>
                <w:rFonts w:ascii="Arial" w:hAnsi="Arial" w:cs="Arial"/>
              </w:rPr>
              <w:t>First name</w:t>
            </w:r>
          </w:p>
        </w:tc>
        <w:tc>
          <w:tcPr>
            <w:tcW w:w="4990" w:type="dxa"/>
            <w:shd w:val="clear" w:color="auto" w:fill="auto"/>
          </w:tcPr>
          <w:p w14:paraId="133D1232" w14:textId="77777777" w:rsidR="00025FEB" w:rsidRPr="00BE4B1B" w:rsidRDefault="00025FEB" w:rsidP="00BB4DC3">
            <w:pPr>
              <w:pStyle w:val="TableText"/>
              <w:rPr>
                <w:rFonts w:ascii="Arial" w:eastAsia="Arial" w:hAnsi="Arial" w:cs="Arial"/>
              </w:rPr>
            </w:pPr>
          </w:p>
        </w:tc>
      </w:tr>
      <w:tr w:rsidR="00025FEB" w:rsidRPr="00D85A4F" w14:paraId="43440976" w14:textId="77777777" w:rsidTr="00BB4DC3">
        <w:trPr>
          <w:cantSplit/>
        </w:trPr>
        <w:tc>
          <w:tcPr>
            <w:tcW w:w="4224" w:type="dxa"/>
            <w:shd w:val="clear" w:color="auto" w:fill="auto"/>
          </w:tcPr>
          <w:p w14:paraId="10A39CD1" w14:textId="77777777" w:rsidR="00025FEB" w:rsidRPr="00BE4B1B" w:rsidRDefault="00025FEB" w:rsidP="00BB4DC3">
            <w:pPr>
              <w:pStyle w:val="TableText"/>
              <w:rPr>
                <w:rFonts w:ascii="Arial" w:hAnsi="Arial" w:cs="Arial"/>
              </w:rPr>
            </w:pPr>
            <w:r w:rsidRPr="00BE4B1B">
              <w:rPr>
                <w:rFonts w:ascii="Arial" w:hAnsi="Arial" w:cs="Arial"/>
              </w:rPr>
              <w:t>Middle name(s)</w:t>
            </w:r>
          </w:p>
        </w:tc>
        <w:tc>
          <w:tcPr>
            <w:tcW w:w="4990" w:type="dxa"/>
            <w:shd w:val="clear" w:color="auto" w:fill="auto"/>
          </w:tcPr>
          <w:p w14:paraId="6FC3BD5A" w14:textId="77777777" w:rsidR="00025FEB" w:rsidRPr="00BE4B1B" w:rsidRDefault="00025FEB" w:rsidP="00BB4DC3">
            <w:pPr>
              <w:pStyle w:val="TableText"/>
              <w:rPr>
                <w:rFonts w:ascii="Arial" w:eastAsia="Arial" w:hAnsi="Arial" w:cs="Arial"/>
              </w:rPr>
            </w:pPr>
          </w:p>
        </w:tc>
      </w:tr>
      <w:tr w:rsidR="00025FEB" w:rsidRPr="00D85A4F" w14:paraId="7C31F916" w14:textId="77777777" w:rsidTr="00BB4DC3">
        <w:trPr>
          <w:cantSplit/>
        </w:trPr>
        <w:tc>
          <w:tcPr>
            <w:tcW w:w="4224" w:type="dxa"/>
            <w:shd w:val="clear" w:color="auto" w:fill="auto"/>
          </w:tcPr>
          <w:p w14:paraId="242BDB58" w14:textId="77777777" w:rsidR="00025FEB" w:rsidRPr="00BE4B1B" w:rsidRDefault="00025FEB" w:rsidP="00BB4DC3">
            <w:pPr>
              <w:pStyle w:val="TableText"/>
              <w:rPr>
                <w:rFonts w:ascii="Arial" w:hAnsi="Arial" w:cs="Arial"/>
              </w:rPr>
            </w:pPr>
            <w:r w:rsidRPr="00BE4B1B">
              <w:rPr>
                <w:rFonts w:ascii="Arial" w:hAnsi="Arial" w:cs="Arial"/>
              </w:rPr>
              <w:t>Alias(es)</w:t>
            </w:r>
          </w:p>
        </w:tc>
        <w:tc>
          <w:tcPr>
            <w:tcW w:w="4990" w:type="dxa"/>
            <w:shd w:val="clear" w:color="auto" w:fill="auto"/>
          </w:tcPr>
          <w:p w14:paraId="418A92E3" w14:textId="77777777" w:rsidR="00025FEB" w:rsidRPr="00BE4B1B" w:rsidRDefault="00025FEB" w:rsidP="00BB4DC3">
            <w:pPr>
              <w:pStyle w:val="TableText"/>
              <w:rPr>
                <w:rFonts w:ascii="Arial" w:eastAsia="Arial" w:hAnsi="Arial" w:cs="Arial"/>
              </w:rPr>
            </w:pPr>
          </w:p>
        </w:tc>
      </w:tr>
      <w:tr w:rsidR="00025FEB" w:rsidRPr="00D85A4F" w14:paraId="43B9A249" w14:textId="77777777" w:rsidTr="00BB4DC3">
        <w:trPr>
          <w:cantSplit/>
        </w:trPr>
        <w:tc>
          <w:tcPr>
            <w:tcW w:w="4224" w:type="dxa"/>
            <w:shd w:val="clear" w:color="auto" w:fill="auto"/>
          </w:tcPr>
          <w:p w14:paraId="242DAD0A" w14:textId="77777777" w:rsidR="00025FEB" w:rsidRPr="00BE4B1B" w:rsidRDefault="00025FEB" w:rsidP="00BB4DC3">
            <w:pPr>
              <w:pStyle w:val="TableText"/>
              <w:rPr>
                <w:rFonts w:ascii="Arial" w:hAnsi="Arial" w:cs="Arial"/>
              </w:rPr>
            </w:pPr>
            <w:r w:rsidRPr="00BE4B1B">
              <w:rPr>
                <w:rFonts w:ascii="Arial" w:hAnsi="Arial" w:cs="Arial"/>
              </w:rPr>
              <w:t>Gender</w:t>
            </w:r>
          </w:p>
        </w:tc>
        <w:tc>
          <w:tcPr>
            <w:tcW w:w="4990" w:type="dxa"/>
            <w:shd w:val="clear" w:color="auto" w:fill="auto"/>
          </w:tcPr>
          <w:p w14:paraId="07542FC7" w14:textId="77777777" w:rsidR="00025FEB" w:rsidRPr="00BE4B1B" w:rsidRDefault="00025FEB" w:rsidP="00BB4DC3">
            <w:pPr>
              <w:pStyle w:val="TableText"/>
              <w:rPr>
                <w:rFonts w:ascii="Arial" w:eastAsia="Arial" w:hAnsi="Arial" w:cs="Arial"/>
              </w:rPr>
            </w:pPr>
          </w:p>
        </w:tc>
      </w:tr>
      <w:tr w:rsidR="00025FEB" w:rsidRPr="00D85A4F" w14:paraId="7161E932" w14:textId="77777777" w:rsidTr="00BB4DC3">
        <w:trPr>
          <w:cantSplit/>
        </w:trPr>
        <w:tc>
          <w:tcPr>
            <w:tcW w:w="4224" w:type="dxa"/>
            <w:shd w:val="clear" w:color="auto" w:fill="auto"/>
          </w:tcPr>
          <w:p w14:paraId="43939ED0" w14:textId="77777777" w:rsidR="00025FEB" w:rsidRPr="00BE4B1B" w:rsidRDefault="00025FEB" w:rsidP="00BB4DC3">
            <w:pPr>
              <w:pStyle w:val="TableText"/>
              <w:rPr>
                <w:rFonts w:ascii="Arial" w:hAnsi="Arial" w:cs="Arial"/>
              </w:rPr>
            </w:pPr>
            <w:r w:rsidRPr="00BE4B1B">
              <w:rPr>
                <w:rFonts w:ascii="Arial" w:hAnsi="Arial" w:cs="Arial"/>
              </w:rPr>
              <w:t>Last known address</w:t>
            </w:r>
          </w:p>
        </w:tc>
        <w:tc>
          <w:tcPr>
            <w:tcW w:w="4990" w:type="dxa"/>
            <w:shd w:val="clear" w:color="auto" w:fill="auto"/>
          </w:tcPr>
          <w:p w14:paraId="114078AB" w14:textId="77777777" w:rsidR="00025FEB" w:rsidRPr="00BE4B1B" w:rsidRDefault="00025FEB" w:rsidP="00BB4DC3">
            <w:pPr>
              <w:pStyle w:val="TableText"/>
              <w:rPr>
                <w:rFonts w:ascii="Arial" w:eastAsia="Arial" w:hAnsi="Arial" w:cs="Arial"/>
              </w:rPr>
            </w:pPr>
          </w:p>
        </w:tc>
      </w:tr>
      <w:tr w:rsidR="00025FEB" w:rsidRPr="00D85A4F" w14:paraId="7EBD16D6" w14:textId="77777777" w:rsidTr="00BB4DC3">
        <w:trPr>
          <w:cantSplit/>
        </w:trPr>
        <w:tc>
          <w:tcPr>
            <w:tcW w:w="4224" w:type="dxa"/>
            <w:shd w:val="clear" w:color="auto" w:fill="auto"/>
          </w:tcPr>
          <w:p w14:paraId="543C2264" w14:textId="77777777" w:rsidR="00025FEB" w:rsidRPr="00BE4B1B" w:rsidRDefault="00025FEB" w:rsidP="00BB4DC3">
            <w:pPr>
              <w:pStyle w:val="TableText"/>
              <w:rPr>
                <w:rFonts w:ascii="Arial" w:hAnsi="Arial" w:cs="Arial"/>
              </w:rPr>
            </w:pPr>
            <w:r w:rsidRPr="00BE4B1B">
              <w:rPr>
                <w:rFonts w:ascii="Arial" w:hAnsi="Arial" w:cs="Arial"/>
              </w:rPr>
              <w:t>Photograph attached</w:t>
            </w:r>
          </w:p>
        </w:tc>
        <w:tc>
          <w:tcPr>
            <w:tcW w:w="4990" w:type="dxa"/>
            <w:shd w:val="clear" w:color="auto" w:fill="auto"/>
          </w:tcPr>
          <w:p w14:paraId="220040A7" w14:textId="77777777" w:rsidR="00025FEB" w:rsidRPr="00BE4B1B" w:rsidRDefault="00025FEB" w:rsidP="00BB4DC3">
            <w:pPr>
              <w:pStyle w:val="TableText"/>
              <w:rPr>
                <w:rFonts w:ascii="Arial" w:eastAsia="Arial" w:hAnsi="Arial" w:cs="Arial"/>
              </w:rPr>
            </w:pPr>
          </w:p>
        </w:tc>
      </w:tr>
      <w:tr w:rsidR="00025FEB" w:rsidRPr="00D85A4F" w14:paraId="4AF8E3DA" w14:textId="77777777" w:rsidTr="00BB4DC3">
        <w:trPr>
          <w:cantSplit/>
        </w:trPr>
        <w:tc>
          <w:tcPr>
            <w:tcW w:w="4224" w:type="dxa"/>
            <w:shd w:val="clear" w:color="auto" w:fill="auto"/>
          </w:tcPr>
          <w:p w14:paraId="37221D95" w14:textId="77777777" w:rsidR="00025FEB" w:rsidRPr="00BE4B1B" w:rsidRDefault="00025FEB" w:rsidP="00BB4DC3">
            <w:pPr>
              <w:pStyle w:val="TableText"/>
              <w:rPr>
                <w:rFonts w:ascii="Arial" w:hAnsi="Arial" w:cs="Arial"/>
              </w:rPr>
            </w:pPr>
            <w:r w:rsidRPr="00BE4B1B">
              <w:rPr>
                <w:rFonts w:ascii="Arial" w:hAnsi="Arial" w:cs="Arial"/>
              </w:rPr>
              <w:t>Photograph taken on</w:t>
            </w:r>
          </w:p>
        </w:tc>
        <w:sdt>
          <w:sdtPr>
            <w:rPr>
              <w:rFonts w:ascii="Arial" w:eastAsia="Arial" w:hAnsi="Arial" w:cs="Arial"/>
            </w:rPr>
            <w:id w:val="869257132"/>
            <w:placeholder>
              <w:docPart w:val="2A5162B895084E64BF086D7A7D33E730"/>
            </w:placeholder>
            <w:showingPlcHdr/>
            <w:date>
              <w:dateFormat w:val="d/MM/yyyy"/>
              <w:lid w:val="en-NZ"/>
              <w:storeMappedDataAs w:val="dateTime"/>
              <w:calendar w:val="gregorian"/>
            </w:date>
          </w:sdtPr>
          <w:sdtContent>
            <w:tc>
              <w:tcPr>
                <w:tcW w:w="4990" w:type="dxa"/>
                <w:shd w:val="clear" w:color="auto" w:fill="auto"/>
              </w:tcPr>
              <w:p w14:paraId="32D5B120" w14:textId="77777777" w:rsidR="00025FEB" w:rsidRPr="00BE4B1B" w:rsidRDefault="00025FEB" w:rsidP="00BB4DC3">
                <w:pPr>
                  <w:pStyle w:val="TableText"/>
                  <w:rPr>
                    <w:rFonts w:ascii="Arial" w:eastAsia="Arial" w:hAnsi="Arial" w:cs="Arial"/>
                  </w:rPr>
                </w:pPr>
                <w:r w:rsidRPr="00BE4B1B">
                  <w:rPr>
                    <w:rStyle w:val="PlaceholderText"/>
                    <w:rFonts w:ascii="Arial" w:hAnsi="Arial" w:cs="Arial"/>
                  </w:rPr>
                  <w:t>Click or tap to enter a date.</w:t>
                </w:r>
              </w:p>
            </w:tc>
          </w:sdtContent>
        </w:sdt>
      </w:tr>
    </w:tbl>
    <w:p w14:paraId="494A0A1F" w14:textId="77777777" w:rsidR="00025FEB" w:rsidRPr="00D85A4F" w:rsidRDefault="00025FEB" w:rsidP="00025FEB">
      <w:pPr>
        <w:rPr>
          <w:rFonts w:eastAsia="Arial"/>
        </w:rPr>
      </w:pPr>
    </w:p>
    <w:p w14:paraId="38731EA1" w14:textId="77777777" w:rsidR="00025FEB" w:rsidRDefault="00025FEB" w:rsidP="00025FEB">
      <w:pPr>
        <w:tabs>
          <w:tab w:val="left" w:pos="1172"/>
        </w:tabs>
      </w:pPr>
    </w:p>
    <w:p w14:paraId="336AD863" w14:textId="77777777" w:rsidR="00025FEB" w:rsidRPr="00BE4B1B" w:rsidRDefault="00025FEB" w:rsidP="00025FEB">
      <w:pPr>
        <w:tabs>
          <w:tab w:val="left" w:pos="1172"/>
        </w:tabs>
        <w:sectPr w:rsidR="00025FEB" w:rsidRPr="00BE4B1B" w:rsidSect="00BB4DC3">
          <w:pgSz w:w="11907" w:h="16834" w:code="9"/>
          <w:pgMar w:top="1134" w:right="567" w:bottom="1134" w:left="567" w:header="284" w:footer="510" w:gutter="0"/>
          <w:cols w:space="720"/>
          <w:docGrid w:linePitch="286"/>
        </w:sectPr>
      </w:pPr>
      <w:r>
        <w:tab/>
      </w:r>
    </w:p>
    <w:p w14:paraId="24FC15E6" w14:textId="77777777" w:rsidR="00025FEB" w:rsidRPr="00025FEB" w:rsidRDefault="00025FEB" w:rsidP="00025FEB">
      <w:pPr>
        <w:pStyle w:val="Heading1-nonumbering"/>
        <w:rPr>
          <w:sz w:val="60"/>
          <w:szCs w:val="60"/>
        </w:rPr>
      </w:pPr>
      <w:bookmarkStart w:id="305" w:name="_Toc112862092"/>
      <w:bookmarkStart w:id="306" w:name="_Toc180497444"/>
      <w:r w:rsidRPr="00025FEB">
        <w:rPr>
          <w:sz w:val="60"/>
          <w:szCs w:val="60"/>
        </w:rPr>
        <w:t>Appendix 2: Special patient escaped or absent without leave: incident process</w:t>
      </w:r>
      <w:bookmarkEnd w:id="305"/>
      <w:bookmarkEnd w:id="306"/>
    </w:p>
    <w:tbl>
      <w:tblPr>
        <w:tblStyle w:val="TableGrid"/>
        <w:tblpPr w:leftFromText="180" w:rightFromText="180" w:vertAnchor="text" w:horzAnchor="margin" w:tblpXSpec="center" w:tblpY="1"/>
        <w:tblW w:w="9785" w:type="dxa"/>
        <w:tblInd w:w="0" w:type="dxa"/>
        <w:tblLayout w:type="fixed"/>
        <w:tblLook w:val="04A0" w:firstRow="1" w:lastRow="0" w:firstColumn="1" w:lastColumn="0" w:noHBand="0" w:noVBand="1"/>
      </w:tblPr>
      <w:tblGrid>
        <w:gridCol w:w="9785"/>
      </w:tblGrid>
      <w:tr w:rsidR="00025FEB" w:rsidRPr="00D85A4F" w14:paraId="4E2807BF" w14:textId="77777777" w:rsidTr="7CB9D73B">
        <w:trPr>
          <w:cantSplit/>
        </w:trPr>
        <w:tc>
          <w:tcPr>
            <w:tcW w:w="9785" w:type="dxa"/>
            <w:tcBorders>
              <w:bottom w:val="single" w:sz="4" w:space="0" w:color="auto"/>
            </w:tcBorders>
          </w:tcPr>
          <w:p w14:paraId="75E0DA6A" w14:textId="77777777" w:rsidR="00025FEB" w:rsidRPr="00D85A4F" w:rsidRDefault="00025FEB" w:rsidP="00BB4DC3">
            <w:pPr>
              <w:pStyle w:val="TableText"/>
              <w:jc w:val="center"/>
            </w:pPr>
            <w:r w:rsidRPr="00D85A4F">
              <w:t>A special patient escapes or is AWOL</w:t>
            </w:r>
          </w:p>
        </w:tc>
      </w:tr>
      <w:tr w:rsidR="00025FEB" w:rsidRPr="00D85A4F" w14:paraId="46D15E6E" w14:textId="77777777" w:rsidTr="7CB9D73B">
        <w:trPr>
          <w:cantSplit/>
        </w:trPr>
        <w:tc>
          <w:tcPr>
            <w:tcW w:w="9785" w:type="dxa"/>
            <w:tcBorders>
              <w:left w:val="nil"/>
              <w:right w:val="nil"/>
            </w:tcBorders>
          </w:tcPr>
          <w:p w14:paraId="70BE124F"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5CE6C05E" wp14:editId="71A0AC28">
                      <wp:extent cx="241069" cy="152400"/>
                      <wp:effectExtent l="38100" t="0" r="26035" b="38100"/>
                      <wp:docPr id="111" name="Arrow: Down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29F23262">
                    <v:shapetype id="_x0000_t67" coordsize="21600,21600" o:spt="67" adj="16200,5400" path="m0@0l@1@0@1,0@2,0@2@0,21600@0,10800,21600xe" w14:anchorId="46F8AD7D">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11"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v:path arrowok="t"/>
                      <w10:anchorlock/>
                    </v:shape>
                  </w:pict>
                </mc:Fallback>
              </mc:AlternateContent>
            </w:r>
          </w:p>
        </w:tc>
      </w:tr>
      <w:tr w:rsidR="00025FEB" w:rsidRPr="00D85A4F" w14:paraId="1D0F4699" w14:textId="77777777" w:rsidTr="7CB9D73B">
        <w:trPr>
          <w:cantSplit/>
        </w:trPr>
        <w:tc>
          <w:tcPr>
            <w:tcW w:w="9785" w:type="dxa"/>
            <w:tcBorders>
              <w:bottom w:val="single" w:sz="4" w:space="0" w:color="auto"/>
            </w:tcBorders>
          </w:tcPr>
          <w:p w14:paraId="69207401" w14:textId="5D78BF13" w:rsidR="00025FEB" w:rsidRPr="00D85A4F" w:rsidRDefault="00025FEB" w:rsidP="00BB4DC3">
            <w:pPr>
              <w:pStyle w:val="TableText"/>
              <w:jc w:val="center"/>
            </w:pPr>
            <w:r w:rsidRPr="00D85A4F">
              <w:t>A</w:t>
            </w:r>
            <w:r>
              <w:t>n a</w:t>
            </w:r>
            <w:r w:rsidRPr="00D85A4F">
              <w:t xml:space="preserve">ppropriate staff member assesses </w:t>
            </w:r>
            <w:r>
              <w:t xml:space="preserve">the safety </w:t>
            </w:r>
            <w:r w:rsidRPr="00D85A4F">
              <w:t xml:space="preserve">risk to </w:t>
            </w:r>
            <w:r>
              <w:t xml:space="preserve">the </w:t>
            </w:r>
            <w:r w:rsidRPr="00D85A4F">
              <w:t xml:space="preserve">special patient or </w:t>
            </w:r>
            <w:r>
              <w:t xml:space="preserve">the </w:t>
            </w:r>
            <w:r w:rsidRPr="00D85A4F">
              <w:t xml:space="preserve">public and calls </w:t>
            </w:r>
            <w:r>
              <w:t>p</w:t>
            </w:r>
            <w:r w:rsidRPr="00D85A4F">
              <w:t>olice on 111</w:t>
            </w:r>
            <w:r w:rsidR="003620B1">
              <w:t xml:space="preserve"> </w:t>
            </w:r>
            <w:r w:rsidR="003620B1" w:rsidRPr="00D85A4F" w:rsidDel="003620B1">
              <w:t xml:space="preserve"> </w:t>
            </w:r>
            <w:r w:rsidRPr="00D85A4F">
              <w:t>(the initial phone call)</w:t>
            </w:r>
          </w:p>
        </w:tc>
      </w:tr>
      <w:tr w:rsidR="00025FEB" w:rsidRPr="00D85A4F" w14:paraId="137E3985" w14:textId="77777777" w:rsidTr="7CB9D73B">
        <w:trPr>
          <w:cantSplit/>
        </w:trPr>
        <w:tc>
          <w:tcPr>
            <w:tcW w:w="9785" w:type="dxa"/>
            <w:tcBorders>
              <w:left w:val="nil"/>
              <w:right w:val="nil"/>
            </w:tcBorders>
          </w:tcPr>
          <w:p w14:paraId="6E141533"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010BE6F5" wp14:editId="3BF97809">
                      <wp:extent cx="241069" cy="152400"/>
                      <wp:effectExtent l="38100" t="0" r="26035" b="38100"/>
                      <wp:docPr id="124" name="Arrow: Down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20F7E88D">
                    <v:shape id="Arrow: Down 124"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30F352C3">
                      <v:path arrowok="t"/>
                      <w10:anchorlock/>
                    </v:shape>
                  </w:pict>
                </mc:Fallback>
              </mc:AlternateContent>
            </w:r>
          </w:p>
        </w:tc>
      </w:tr>
      <w:tr w:rsidR="00025FEB" w:rsidRPr="00D85A4F" w14:paraId="5423EF85" w14:textId="77777777" w:rsidTr="7CB9D73B">
        <w:trPr>
          <w:cantSplit/>
        </w:trPr>
        <w:tc>
          <w:tcPr>
            <w:tcW w:w="9785" w:type="dxa"/>
          </w:tcPr>
          <w:p w14:paraId="6C715DAF" w14:textId="4E8446E9" w:rsidR="00025FEB" w:rsidRPr="00D85A4F" w:rsidRDefault="00025FEB" w:rsidP="00BB4DC3">
            <w:pPr>
              <w:pStyle w:val="TableText"/>
              <w:jc w:val="center"/>
            </w:pPr>
            <w:r w:rsidRPr="00D85A4F">
              <w:t xml:space="preserve">In </w:t>
            </w:r>
            <w:r w:rsidR="003620B1">
              <w:t>the</w:t>
            </w:r>
            <w:r w:rsidR="003620B1" w:rsidRPr="00D85A4F">
              <w:t xml:space="preserve"> </w:t>
            </w:r>
            <w:r w:rsidRPr="00D85A4F">
              <w:t>initial phone call</w:t>
            </w:r>
            <w:r>
              <w:t>,</w:t>
            </w:r>
            <w:r w:rsidRPr="00D85A4F">
              <w:t xml:space="preserve"> </w:t>
            </w:r>
            <w:r>
              <w:t xml:space="preserve">the </w:t>
            </w:r>
            <w:r w:rsidRPr="00D85A4F">
              <w:t xml:space="preserve">staff member discusses with </w:t>
            </w:r>
            <w:r>
              <w:t>p</w:t>
            </w:r>
            <w:r w:rsidRPr="00D85A4F">
              <w:t>olice how to approach the patient</w:t>
            </w:r>
            <w:r>
              <w:t>,</w:t>
            </w:r>
            <w:r w:rsidR="003620B1">
              <w:t xml:space="preserve"> </w:t>
            </w:r>
            <w:r>
              <w:t xml:space="preserve">and gives relevant </w:t>
            </w:r>
            <w:r w:rsidRPr="00D85A4F">
              <w:t>comment</w:t>
            </w:r>
            <w:r>
              <w:t>ary</w:t>
            </w:r>
            <w:r w:rsidRPr="00D85A4F">
              <w:t xml:space="preserve"> on the safety of the patient, the public or particular </w:t>
            </w:r>
            <w:r>
              <w:t>people</w:t>
            </w:r>
          </w:p>
        </w:tc>
      </w:tr>
      <w:tr w:rsidR="00025FEB" w:rsidRPr="00D85A4F" w14:paraId="3CF617F6" w14:textId="77777777" w:rsidTr="7CB9D73B">
        <w:trPr>
          <w:cantSplit/>
        </w:trPr>
        <w:tc>
          <w:tcPr>
            <w:tcW w:w="9785" w:type="dxa"/>
            <w:tcBorders>
              <w:left w:val="nil"/>
              <w:right w:val="nil"/>
            </w:tcBorders>
          </w:tcPr>
          <w:p w14:paraId="01A89F5B"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04F1CF83" wp14:editId="6C7ED4B2">
                      <wp:extent cx="241069" cy="152400"/>
                      <wp:effectExtent l="38100" t="0" r="26035" b="38100"/>
                      <wp:docPr id="125" name="Arrow: Down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49099DB5">
                    <v:shape id="Arrow: Down 125"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588F4788">
                      <v:path arrowok="t"/>
                      <w10:anchorlock/>
                    </v:shape>
                  </w:pict>
                </mc:Fallback>
              </mc:AlternateContent>
            </w:r>
          </w:p>
        </w:tc>
      </w:tr>
      <w:tr w:rsidR="00025FEB" w:rsidRPr="00D85A4F" w14:paraId="12591A34" w14:textId="77777777" w:rsidTr="7CB9D73B">
        <w:trPr>
          <w:cantSplit/>
        </w:trPr>
        <w:tc>
          <w:tcPr>
            <w:tcW w:w="9785" w:type="dxa"/>
          </w:tcPr>
          <w:p w14:paraId="48021129" w14:textId="1A318FB0" w:rsidR="00025FEB" w:rsidRPr="00D85A4F" w:rsidRDefault="7CB9D73B" w:rsidP="00BB4DC3">
            <w:pPr>
              <w:pStyle w:val="TableText"/>
              <w:jc w:val="center"/>
            </w:pPr>
            <w:r>
              <w:t>The staff member provides police with information requested by them and gives the name, landline</w:t>
            </w:r>
            <w:r w:rsidR="00814945">
              <w:t xml:space="preserve"> </w:t>
            </w:r>
            <w:r>
              <w:t xml:space="preserve">and mobile number of the main contact person in a </w:t>
            </w:r>
            <w:r w:rsidR="00814945">
              <w:t xml:space="preserve">relevant </w:t>
            </w:r>
            <w:r>
              <w:t>health service provided by Te Whatu Ora. After the initial phone call, the staff member emails the police the details and an accompanying photograph</w:t>
            </w:r>
          </w:p>
        </w:tc>
      </w:tr>
      <w:tr w:rsidR="00025FEB" w:rsidRPr="00D85A4F" w14:paraId="1408E512" w14:textId="77777777" w:rsidTr="7CB9D73B">
        <w:trPr>
          <w:cantSplit/>
        </w:trPr>
        <w:tc>
          <w:tcPr>
            <w:tcW w:w="9785" w:type="dxa"/>
            <w:tcBorders>
              <w:left w:val="nil"/>
              <w:right w:val="nil"/>
            </w:tcBorders>
          </w:tcPr>
          <w:p w14:paraId="7F4EFB3A"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1851E5EC" wp14:editId="58B2B24A">
                      <wp:extent cx="241069" cy="152400"/>
                      <wp:effectExtent l="38100" t="0" r="26035" b="38100"/>
                      <wp:docPr id="126" name="Arrow: Down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4DC9B264">
                    <v:shape id="Arrow: Down 126"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1813872C">
                      <v:path arrowok="t"/>
                      <w10:anchorlock/>
                    </v:shape>
                  </w:pict>
                </mc:Fallback>
              </mc:AlternateContent>
            </w:r>
          </w:p>
        </w:tc>
      </w:tr>
      <w:tr w:rsidR="00025FEB" w:rsidRPr="00D85A4F" w14:paraId="6237AAB5" w14:textId="77777777" w:rsidTr="7CB9D73B">
        <w:trPr>
          <w:cantSplit/>
        </w:trPr>
        <w:tc>
          <w:tcPr>
            <w:tcW w:w="9785" w:type="dxa"/>
          </w:tcPr>
          <w:p w14:paraId="3448A6E7" w14:textId="1E5A99A6" w:rsidR="00025FEB" w:rsidRPr="00D85A4F" w:rsidRDefault="00025FEB" w:rsidP="00BB4DC3">
            <w:pPr>
              <w:pStyle w:val="TableText"/>
              <w:jc w:val="center"/>
            </w:pPr>
            <w:r>
              <w:t xml:space="preserve">The </w:t>
            </w:r>
            <w:r w:rsidRPr="00D85A4F">
              <w:t xml:space="preserve">staff member records the event number given by </w:t>
            </w:r>
            <w:r>
              <w:t>p</w:t>
            </w:r>
            <w:r w:rsidRPr="00D85A4F">
              <w:t>olice</w:t>
            </w:r>
            <w:r>
              <w:t>,</w:t>
            </w:r>
            <w:r w:rsidRPr="00D85A4F">
              <w:t xml:space="preserve"> </w:t>
            </w:r>
            <w:r w:rsidR="00814945">
              <w:t xml:space="preserve">which </w:t>
            </w:r>
            <w:r w:rsidRPr="00D85A4F">
              <w:t>will be used in further communication,</w:t>
            </w:r>
            <w:r w:rsidR="00814945">
              <w:t xml:space="preserve"> </w:t>
            </w:r>
            <w:r w:rsidRPr="00D85A4F">
              <w:rPr>
                <w:rFonts w:cs="Arial"/>
              </w:rPr>
              <w:t xml:space="preserve">and records who to liaise with in </w:t>
            </w:r>
            <w:r>
              <w:rPr>
                <w:rFonts w:cs="Arial"/>
              </w:rPr>
              <w:t>the p</w:t>
            </w:r>
            <w:r w:rsidRPr="00D85A4F">
              <w:rPr>
                <w:rFonts w:cs="Arial"/>
              </w:rPr>
              <w:t>olice after this point (which will vary in each area)</w:t>
            </w:r>
          </w:p>
        </w:tc>
      </w:tr>
      <w:tr w:rsidR="00025FEB" w:rsidRPr="00D85A4F" w14:paraId="7511B9A9" w14:textId="77777777" w:rsidTr="7CB9D73B">
        <w:trPr>
          <w:cantSplit/>
        </w:trPr>
        <w:tc>
          <w:tcPr>
            <w:tcW w:w="9785" w:type="dxa"/>
            <w:tcBorders>
              <w:left w:val="nil"/>
              <w:right w:val="nil"/>
            </w:tcBorders>
          </w:tcPr>
          <w:p w14:paraId="0C9CC3D7"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0B0C79A6" wp14:editId="5A6EA403">
                      <wp:extent cx="241069" cy="152400"/>
                      <wp:effectExtent l="38100" t="0" r="26035" b="38100"/>
                      <wp:docPr id="127" name="Arrow: Down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298D7222">
                    <v:shape id="Arrow: Down 127"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3AEC1FB3">
                      <v:path arrowok="t"/>
                      <w10:anchorlock/>
                    </v:shape>
                  </w:pict>
                </mc:Fallback>
              </mc:AlternateContent>
            </w:r>
          </w:p>
        </w:tc>
      </w:tr>
      <w:tr w:rsidR="00025FEB" w:rsidRPr="00D85A4F" w14:paraId="30DE1BF3" w14:textId="77777777" w:rsidTr="7CB9D73B">
        <w:trPr>
          <w:cantSplit/>
        </w:trPr>
        <w:tc>
          <w:tcPr>
            <w:tcW w:w="9785" w:type="dxa"/>
          </w:tcPr>
          <w:p w14:paraId="440C8F31" w14:textId="14C524E3" w:rsidR="00025FEB" w:rsidRPr="00D85A4F" w:rsidRDefault="00025FEB" w:rsidP="00BB4DC3">
            <w:pPr>
              <w:pStyle w:val="TableText"/>
              <w:jc w:val="center"/>
            </w:pPr>
            <w:r>
              <w:t xml:space="preserve">The </w:t>
            </w:r>
            <w:r w:rsidRPr="00D85A4F">
              <w:t xml:space="preserve">staff member immediately calls </w:t>
            </w:r>
            <w:r>
              <w:t xml:space="preserve">the </w:t>
            </w:r>
            <w:r w:rsidRPr="00D85A4F">
              <w:t>DAMHS</w:t>
            </w:r>
          </w:p>
        </w:tc>
      </w:tr>
      <w:tr w:rsidR="00025FEB" w:rsidRPr="00D85A4F" w14:paraId="47C06A53" w14:textId="77777777" w:rsidTr="7CB9D73B">
        <w:trPr>
          <w:cantSplit/>
        </w:trPr>
        <w:tc>
          <w:tcPr>
            <w:tcW w:w="9785" w:type="dxa"/>
            <w:tcBorders>
              <w:left w:val="nil"/>
              <w:right w:val="nil"/>
            </w:tcBorders>
          </w:tcPr>
          <w:p w14:paraId="53E30840"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370D97F2" wp14:editId="6196ECD7">
                      <wp:extent cx="241069" cy="152400"/>
                      <wp:effectExtent l="38100" t="0" r="26035" b="38100"/>
                      <wp:docPr id="128" name="Arrow: Down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26BCFD60">
                    <v:shape id="Arrow: Down 128"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18F0E490">
                      <v:path arrowok="t"/>
                      <w10:anchorlock/>
                    </v:shape>
                  </w:pict>
                </mc:Fallback>
              </mc:AlternateContent>
            </w:r>
          </w:p>
        </w:tc>
      </w:tr>
      <w:tr w:rsidR="00025FEB" w:rsidRPr="00D85A4F" w14:paraId="2C0C9DC9" w14:textId="77777777" w:rsidTr="7CB9D73B">
        <w:trPr>
          <w:cantSplit/>
        </w:trPr>
        <w:tc>
          <w:tcPr>
            <w:tcW w:w="9785" w:type="dxa"/>
          </w:tcPr>
          <w:p w14:paraId="3BBBBB48" w14:textId="6A24D90D" w:rsidR="00025FEB" w:rsidRPr="00D85A4F" w:rsidRDefault="00025FEB" w:rsidP="00BB4DC3">
            <w:pPr>
              <w:pStyle w:val="TableText"/>
              <w:jc w:val="center"/>
            </w:pPr>
            <w:r>
              <w:t xml:space="preserve">The </w:t>
            </w:r>
            <w:r w:rsidRPr="00D85A4F">
              <w:t xml:space="preserve">DAMHS checks to see whether there are any registered victims associated with </w:t>
            </w:r>
            <w:r>
              <w:t>the</w:t>
            </w:r>
            <w:r w:rsidRPr="00D85A4F">
              <w:t xml:space="preserve"> special patient</w:t>
            </w:r>
            <w:r>
              <w:t>,</w:t>
            </w:r>
            <w:r w:rsidR="00F25D9E">
              <w:t xml:space="preserve"> </w:t>
            </w:r>
            <w:r w:rsidRPr="00D85A4F">
              <w:t>notifies the victims appropriately and places a border alert (</w:t>
            </w:r>
            <w:r>
              <w:t xml:space="preserve">by calling </w:t>
            </w:r>
            <w:r w:rsidRPr="00D85A4F">
              <w:t>0508 ITOC OPS</w:t>
            </w:r>
            <w:r>
              <w:t xml:space="preserve"> </w:t>
            </w:r>
            <w:r w:rsidR="00F25D9E">
              <w:t>(</w:t>
            </w:r>
            <w:r w:rsidRPr="00036006">
              <w:t>0508 4862 677</w:t>
            </w:r>
            <w:r w:rsidR="00F25D9E">
              <w:t>)</w:t>
            </w:r>
            <w:r w:rsidRPr="00D85A4F">
              <w:t>)</w:t>
            </w:r>
          </w:p>
        </w:tc>
      </w:tr>
      <w:tr w:rsidR="00025FEB" w:rsidRPr="00D85A4F" w14:paraId="6316CA58" w14:textId="77777777" w:rsidTr="7CB9D73B">
        <w:trPr>
          <w:cantSplit/>
        </w:trPr>
        <w:tc>
          <w:tcPr>
            <w:tcW w:w="9785" w:type="dxa"/>
            <w:tcBorders>
              <w:left w:val="nil"/>
              <w:right w:val="nil"/>
            </w:tcBorders>
          </w:tcPr>
          <w:p w14:paraId="7B0DFFAF"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31E8D09D" wp14:editId="7608E791">
                      <wp:extent cx="241069" cy="152400"/>
                      <wp:effectExtent l="38100" t="0" r="26035" b="38100"/>
                      <wp:docPr id="129" name="Arrow: Down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0A4DC174">
                    <v:shape id="Arrow: Down 129"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0F4E574F">
                      <v:path arrowok="t"/>
                      <w10:anchorlock/>
                    </v:shape>
                  </w:pict>
                </mc:Fallback>
              </mc:AlternateContent>
            </w:r>
          </w:p>
        </w:tc>
      </w:tr>
      <w:tr w:rsidR="00025FEB" w:rsidRPr="00D85A4F" w14:paraId="2798EEE4" w14:textId="77777777" w:rsidTr="7CB9D73B">
        <w:trPr>
          <w:cantSplit/>
        </w:trPr>
        <w:tc>
          <w:tcPr>
            <w:tcW w:w="9785" w:type="dxa"/>
          </w:tcPr>
          <w:p w14:paraId="7C5D6FDA" w14:textId="4D0752CA" w:rsidR="00025FEB" w:rsidRPr="00D85A4F" w:rsidRDefault="00025FEB" w:rsidP="00BB4DC3">
            <w:pPr>
              <w:pStyle w:val="TableText"/>
              <w:jc w:val="center"/>
            </w:pPr>
            <w:r>
              <w:t xml:space="preserve">The </w:t>
            </w:r>
            <w:r w:rsidRPr="00D85A4F">
              <w:t xml:space="preserve">DAMHS makes </w:t>
            </w:r>
            <w:r>
              <w:t xml:space="preserve">an </w:t>
            </w:r>
            <w:r w:rsidRPr="00D85A4F">
              <w:t xml:space="preserve">immediate cell phone call to </w:t>
            </w:r>
            <w:r>
              <w:t xml:space="preserve">the </w:t>
            </w:r>
            <w:r w:rsidRPr="00D85A4F">
              <w:t>Director or Deputy Director of Mental Health and</w:t>
            </w:r>
            <w:r w:rsidR="004E3128">
              <w:t xml:space="preserve"> </w:t>
            </w:r>
            <w:r w:rsidRPr="00D85A4F">
              <w:t xml:space="preserve">provides them with information of the incident as given to </w:t>
            </w:r>
            <w:r>
              <w:t>p</w:t>
            </w:r>
            <w:r w:rsidRPr="00D85A4F">
              <w:t>olice, any flight risk assessment or information,</w:t>
            </w:r>
            <w:r w:rsidR="004E3128">
              <w:t xml:space="preserve"> </w:t>
            </w:r>
            <w:r w:rsidRPr="00D85A4F">
              <w:t xml:space="preserve">the </w:t>
            </w:r>
            <w:r>
              <w:t>p</w:t>
            </w:r>
            <w:r w:rsidRPr="00D85A4F">
              <w:t xml:space="preserve">olice event number, any registered victims notification process that has occurred </w:t>
            </w:r>
            <w:r>
              <w:t xml:space="preserve">and </w:t>
            </w:r>
            <w:r w:rsidRPr="00D85A4F">
              <w:t xml:space="preserve">any border alert that has been </w:t>
            </w:r>
            <w:r>
              <w:t>placed;</w:t>
            </w:r>
            <w:r w:rsidR="004E3128">
              <w:t xml:space="preserve"> </w:t>
            </w:r>
            <w:r>
              <w:t xml:space="preserve">the DAMHS </w:t>
            </w:r>
            <w:r w:rsidRPr="00D85A4F">
              <w:t>cross</w:t>
            </w:r>
            <w:r>
              <w:t>-</w:t>
            </w:r>
            <w:r w:rsidRPr="00D85A4F">
              <w:t xml:space="preserve">checks victims’ details with Office of the Director </w:t>
            </w:r>
          </w:p>
        </w:tc>
      </w:tr>
      <w:tr w:rsidR="00025FEB" w:rsidRPr="00D85A4F" w14:paraId="01EFF999" w14:textId="77777777" w:rsidTr="7CB9D73B">
        <w:trPr>
          <w:cantSplit/>
        </w:trPr>
        <w:tc>
          <w:tcPr>
            <w:tcW w:w="9785" w:type="dxa"/>
            <w:tcBorders>
              <w:left w:val="nil"/>
              <w:right w:val="nil"/>
            </w:tcBorders>
          </w:tcPr>
          <w:p w14:paraId="31115B80"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1D3A677C" wp14:editId="4EA8A25B">
                      <wp:extent cx="241069" cy="152400"/>
                      <wp:effectExtent l="38100" t="0" r="26035" b="38100"/>
                      <wp:docPr id="130" name="Arrow: Down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3BD63BCF">
                    <v:shape id="Arrow: Down 130"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3DFF7371">
                      <v:path arrowok="t"/>
                      <w10:anchorlock/>
                    </v:shape>
                  </w:pict>
                </mc:Fallback>
              </mc:AlternateContent>
            </w:r>
          </w:p>
        </w:tc>
      </w:tr>
      <w:tr w:rsidR="00025FEB" w:rsidRPr="00D85A4F" w14:paraId="3648E498" w14:textId="77777777" w:rsidTr="7CB9D73B">
        <w:trPr>
          <w:cantSplit/>
        </w:trPr>
        <w:tc>
          <w:tcPr>
            <w:tcW w:w="9785" w:type="dxa"/>
          </w:tcPr>
          <w:p w14:paraId="6E47099E" w14:textId="4B1B7CB8" w:rsidR="00025FEB" w:rsidRPr="00D85A4F" w:rsidRDefault="7CB9D73B" w:rsidP="00BB4DC3">
            <w:pPr>
              <w:pStyle w:val="TableText"/>
              <w:jc w:val="center"/>
            </w:pPr>
            <w:r>
              <w:t>The Office of the Director acknowledges the advice, informs the Director-General of Health and/or the Minister’s Office,</w:t>
            </w:r>
            <w:r w:rsidR="00BA004D">
              <w:t xml:space="preserve"> </w:t>
            </w:r>
            <w:r>
              <w:t>cross-checks victims’ details with the police, imposes emergency passport measures,</w:t>
            </w:r>
            <w:r w:rsidR="00BA004D">
              <w:t xml:space="preserve"> </w:t>
            </w:r>
            <w:r>
              <w:t>advises MFAT if the special patient is a foreign national, checks whether Te Whatu Ora health service has a media strategy,</w:t>
            </w:r>
            <w:r w:rsidR="00BA004D">
              <w:t xml:space="preserve"> </w:t>
            </w:r>
            <w:r>
              <w:t>advises Ministry of Health media staff as appropriate and confirms any actions immediately with the DAMHS and police</w:t>
            </w:r>
          </w:p>
        </w:tc>
      </w:tr>
      <w:tr w:rsidR="00025FEB" w:rsidRPr="00D85A4F" w14:paraId="4922B867" w14:textId="77777777" w:rsidTr="7CB9D73B">
        <w:trPr>
          <w:cantSplit/>
        </w:trPr>
        <w:tc>
          <w:tcPr>
            <w:tcW w:w="9785" w:type="dxa"/>
            <w:tcBorders>
              <w:left w:val="nil"/>
              <w:right w:val="nil"/>
            </w:tcBorders>
          </w:tcPr>
          <w:p w14:paraId="25765EE2"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03DA6FF1" wp14:editId="3669607D">
                      <wp:extent cx="241069" cy="152400"/>
                      <wp:effectExtent l="38100" t="0" r="26035" b="38100"/>
                      <wp:docPr id="131" name="Arrow: Down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3D20CDFA">
                    <v:shape id="Arrow: Down 131"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28420178">
                      <v:path arrowok="t"/>
                      <w10:anchorlock/>
                    </v:shape>
                  </w:pict>
                </mc:Fallback>
              </mc:AlternateContent>
            </w:r>
          </w:p>
        </w:tc>
      </w:tr>
      <w:tr w:rsidR="00025FEB" w:rsidRPr="00D85A4F" w14:paraId="4689E3B9" w14:textId="77777777" w:rsidTr="00BB4DC3">
        <w:trPr>
          <w:cantSplit/>
        </w:trPr>
        <w:tc>
          <w:tcPr>
            <w:tcW w:w="9785" w:type="dxa"/>
          </w:tcPr>
          <w:p w14:paraId="7C1180DF" w14:textId="143B5694" w:rsidR="00025FEB" w:rsidRPr="00D85A4F" w:rsidRDefault="00025FEB" w:rsidP="00BB4DC3">
            <w:pPr>
              <w:pStyle w:val="TableText"/>
              <w:jc w:val="center"/>
            </w:pPr>
            <w:r w:rsidRPr="00D85A4F">
              <w:t xml:space="preserve">Police (or </w:t>
            </w:r>
            <w:r>
              <w:t>an</w:t>
            </w:r>
            <w:r w:rsidRPr="00D85A4F">
              <w:t xml:space="preserve">other person as specified in </w:t>
            </w:r>
            <w:r>
              <w:t>s</w:t>
            </w:r>
            <w:r w:rsidRPr="00D85A4F">
              <w:t>ection 53</w:t>
            </w:r>
            <w:r w:rsidR="00C06276">
              <w:t xml:space="preserve"> of the Mental Health Act</w:t>
            </w:r>
            <w:r w:rsidRPr="00D85A4F">
              <w:t>) retake the patient to the facility</w:t>
            </w:r>
            <w:r w:rsidR="005817EA">
              <w:t xml:space="preserve"> </w:t>
            </w:r>
            <w:r w:rsidRPr="00D85A4F">
              <w:t xml:space="preserve">from which </w:t>
            </w:r>
            <w:r>
              <w:t xml:space="preserve">they </w:t>
            </w:r>
            <w:r w:rsidRPr="00D85A4F">
              <w:t xml:space="preserve">escaped or </w:t>
            </w:r>
            <w:r w:rsidR="00FA2398">
              <w:t xml:space="preserve">were </w:t>
            </w:r>
            <w:r w:rsidRPr="00D85A4F">
              <w:t>on leave from (prior to the leave being cancelled or expiring);</w:t>
            </w:r>
            <w:r w:rsidR="00FA2398">
              <w:t xml:space="preserve"> </w:t>
            </w:r>
            <w:r w:rsidRPr="00D85A4F">
              <w:t>if the place of return is unclear or not easily reached</w:t>
            </w:r>
            <w:r>
              <w:t>,</w:t>
            </w:r>
            <w:r w:rsidRPr="00D85A4F">
              <w:t xml:space="preserve"> </w:t>
            </w:r>
            <w:r>
              <w:t>p</w:t>
            </w:r>
            <w:r w:rsidRPr="00D85A4F">
              <w:t xml:space="preserve">olice (or </w:t>
            </w:r>
            <w:r>
              <w:t>an</w:t>
            </w:r>
            <w:r w:rsidRPr="00D85A4F">
              <w:t xml:space="preserve">other person) should call the main </w:t>
            </w:r>
            <w:r w:rsidRPr="00EC4D90">
              <w:t>Te Whatu Ora health service</w:t>
            </w:r>
            <w:r>
              <w:t xml:space="preserve"> </w:t>
            </w:r>
            <w:r w:rsidRPr="00D85A4F">
              <w:t>contact point,</w:t>
            </w:r>
            <w:r w:rsidR="007F34DD">
              <w:t xml:space="preserve"> </w:t>
            </w:r>
            <w:r w:rsidRPr="00D85A4F">
              <w:t xml:space="preserve">who will liaise with </w:t>
            </w:r>
            <w:r>
              <w:t xml:space="preserve">the </w:t>
            </w:r>
            <w:r w:rsidRPr="00D85A4F">
              <w:t xml:space="preserve">DAMHS regarding which facility to return the special patient to </w:t>
            </w:r>
          </w:p>
        </w:tc>
      </w:tr>
      <w:tr w:rsidR="00025FEB" w:rsidRPr="00D85A4F" w14:paraId="085058DE" w14:textId="77777777" w:rsidTr="00BB4DC3">
        <w:trPr>
          <w:cantSplit/>
        </w:trPr>
        <w:tc>
          <w:tcPr>
            <w:tcW w:w="9785" w:type="dxa"/>
            <w:tcBorders>
              <w:left w:val="nil"/>
              <w:right w:val="nil"/>
            </w:tcBorders>
          </w:tcPr>
          <w:p w14:paraId="32F1FBA9"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570D2929" wp14:editId="03A776AD">
                      <wp:extent cx="241069" cy="152400"/>
                      <wp:effectExtent l="38100" t="0" r="26035" b="38100"/>
                      <wp:docPr id="132" name="Arrow: Down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533401F9">
                    <v:shape id="Arrow: Down 132"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3E1C839B">
                      <v:path arrowok="t"/>
                      <w10:anchorlock/>
                    </v:shape>
                  </w:pict>
                </mc:Fallback>
              </mc:AlternateContent>
            </w:r>
          </w:p>
        </w:tc>
      </w:tr>
      <w:tr w:rsidR="00025FEB" w:rsidRPr="00D85A4F" w14:paraId="4B68A6E7" w14:textId="77777777" w:rsidTr="00BB4DC3">
        <w:trPr>
          <w:cantSplit/>
        </w:trPr>
        <w:tc>
          <w:tcPr>
            <w:tcW w:w="9785" w:type="dxa"/>
          </w:tcPr>
          <w:p w14:paraId="0D6DE14B" w14:textId="43752A55" w:rsidR="00025FEB" w:rsidRPr="00D85A4F" w:rsidRDefault="00025FEB" w:rsidP="00BB4DC3">
            <w:pPr>
              <w:pStyle w:val="TableText"/>
              <w:jc w:val="center"/>
            </w:pPr>
            <w:r>
              <w:t xml:space="preserve">The </w:t>
            </w:r>
            <w:r w:rsidRPr="00D85A4F">
              <w:t xml:space="preserve">DAMHS keeps the </w:t>
            </w:r>
            <w:r>
              <w:t xml:space="preserve">Office of the Director </w:t>
            </w:r>
            <w:r w:rsidRPr="00D85A4F">
              <w:t>informed of progress and places a phone call to the Director or Deputy Director</w:t>
            </w:r>
            <w:r w:rsidR="00AD0FFF">
              <w:t xml:space="preserve"> </w:t>
            </w:r>
            <w:r w:rsidRPr="00D85A4F">
              <w:t xml:space="preserve">as soon as the special patient is retaken, </w:t>
            </w:r>
            <w:r>
              <w:t>giving</w:t>
            </w:r>
            <w:r w:rsidRPr="00D85A4F">
              <w:t xml:space="preserve"> relevant information</w:t>
            </w:r>
            <w:r>
              <w:t>,</w:t>
            </w:r>
            <w:r w:rsidRPr="00D85A4F">
              <w:t xml:space="preserve"> including </w:t>
            </w:r>
            <w:r>
              <w:t xml:space="preserve">on </w:t>
            </w:r>
            <w:r w:rsidRPr="00D85A4F">
              <w:t>the special patient’s health and welfare</w:t>
            </w:r>
          </w:p>
        </w:tc>
      </w:tr>
      <w:tr w:rsidR="00025FEB" w:rsidRPr="00D85A4F" w14:paraId="5A45E413" w14:textId="77777777" w:rsidTr="00BB4DC3">
        <w:trPr>
          <w:cantSplit/>
        </w:trPr>
        <w:tc>
          <w:tcPr>
            <w:tcW w:w="9785" w:type="dxa"/>
            <w:tcBorders>
              <w:left w:val="nil"/>
              <w:right w:val="nil"/>
            </w:tcBorders>
          </w:tcPr>
          <w:p w14:paraId="08D7CFA7"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6D0F55EE" wp14:editId="4A808777">
                      <wp:extent cx="241069" cy="152400"/>
                      <wp:effectExtent l="38100" t="0" r="26035" b="38100"/>
                      <wp:docPr id="133" name="Arrow: Down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6F3F4CCF">
                    <v:shape id="Arrow: Down 133"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3B8A9FC3">
                      <v:path arrowok="t"/>
                      <w10:anchorlock/>
                    </v:shape>
                  </w:pict>
                </mc:Fallback>
              </mc:AlternateContent>
            </w:r>
          </w:p>
        </w:tc>
      </w:tr>
      <w:tr w:rsidR="00025FEB" w:rsidRPr="00D85A4F" w14:paraId="5F230327" w14:textId="77777777" w:rsidTr="00BB4DC3">
        <w:trPr>
          <w:cantSplit/>
        </w:trPr>
        <w:tc>
          <w:tcPr>
            <w:tcW w:w="9785" w:type="dxa"/>
          </w:tcPr>
          <w:p w14:paraId="464BA5C3" w14:textId="00E5CC0F" w:rsidR="00025FEB" w:rsidRPr="00D85A4F" w:rsidRDefault="00025FEB" w:rsidP="00BB4DC3">
            <w:pPr>
              <w:pStyle w:val="TableText"/>
              <w:jc w:val="center"/>
            </w:pPr>
            <w:r>
              <w:t xml:space="preserve">The </w:t>
            </w:r>
            <w:r w:rsidRPr="00D85A4F">
              <w:t xml:space="preserve">DAMHS or </w:t>
            </w:r>
            <w:r>
              <w:t xml:space="preserve">a </w:t>
            </w:r>
            <w:r w:rsidRPr="00D85A4F">
              <w:t xml:space="preserve">delegated staff member calls </w:t>
            </w:r>
            <w:r>
              <w:t>the p</w:t>
            </w:r>
            <w:r w:rsidRPr="00D85A4F">
              <w:t>olice and advises of the special patient’s return</w:t>
            </w:r>
            <w:r>
              <w:t>,</w:t>
            </w:r>
            <w:r w:rsidRPr="00D85A4F">
              <w:t xml:space="preserve"> and takes off the border alert</w:t>
            </w:r>
            <w:r w:rsidR="00AD0FFF">
              <w:t xml:space="preserve"> </w:t>
            </w:r>
            <w:r w:rsidRPr="00D85A4F">
              <w:t>(</w:t>
            </w:r>
            <w:r>
              <w:t xml:space="preserve">by calling </w:t>
            </w:r>
            <w:r w:rsidRPr="00D85A4F">
              <w:t>0508 ITOC OPS</w:t>
            </w:r>
            <w:r>
              <w:t xml:space="preserve"> </w:t>
            </w:r>
            <w:r w:rsidR="00AD0FFF">
              <w:t>(</w:t>
            </w:r>
            <w:r w:rsidRPr="005101DF">
              <w:t>0508 4862 677</w:t>
            </w:r>
            <w:r w:rsidR="00AD0FFF">
              <w:t>)</w:t>
            </w:r>
            <w:r w:rsidRPr="00D85A4F">
              <w:t>)</w:t>
            </w:r>
          </w:p>
        </w:tc>
      </w:tr>
      <w:tr w:rsidR="00025FEB" w:rsidRPr="00D85A4F" w14:paraId="02EF0143" w14:textId="77777777" w:rsidTr="00BB4DC3">
        <w:trPr>
          <w:cantSplit/>
        </w:trPr>
        <w:tc>
          <w:tcPr>
            <w:tcW w:w="9785" w:type="dxa"/>
            <w:tcBorders>
              <w:left w:val="nil"/>
              <w:right w:val="nil"/>
            </w:tcBorders>
          </w:tcPr>
          <w:p w14:paraId="5D3CDCC9"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0E4BBF04" wp14:editId="3FD9B80C">
                      <wp:extent cx="241069" cy="152400"/>
                      <wp:effectExtent l="38100" t="0" r="26035" b="38100"/>
                      <wp:docPr id="134" name="Arrow: Down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7A49A123">
                    <v:shape id="Arrow: Down 134"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02A9948F">
                      <v:path arrowok="t"/>
                      <w10:anchorlock/>
                    </v:shape>
                  </w:pict>
                </mc:Fallback>
              </mc:AlternateContent>
            </w:r>
          </w:p>
        </w:tc>
      </w:tr>
      <w:tr w:rsidR="00025FEB" w:rsidRPr="00D85A4F" w14:paraId="50BF6E2C" w14:textId="77777777" w:rsidTr="00BB4DC3">
        <w:trPr>
          <w:cantSplit/>
        </w:trPr>
        <w:tc>
          <w:tcPr>
            <w:tcW w:w="9785" w:type="dxa"/>
          </w:tcPr>
          <w:p w14:paraId="26100C95" w14:textId="0AD21260" w:rsidR="00025FEB" w:rsidRPr="00D85A4F" w:rsidRDefault="00025FEB" w:rsidP="00BB4DC3">
            <w:pPr>
              <w:pStyle w:val="TableText"/>
              <w:jc w:val="center"/>
            </w:pPr>
            <w:r>
              <w:t xml:space="preserve">The Office of the Director </w:t>
            </w:r>
            <w:r w:rsidRPr="00D85A4F">
              <w:t xml:space="preserve">advises </w:t>
            </w:r>
            <w:r>
              <w:t xml:space="preserve">the </w:t>
            </w:r>
            <w:r w:rsidRPr="00D85A4F">
              <w:t>Director-General of Health and Minister, removes passport measures</w:t>
            </w:r>
            <w:r w:rsidR="000332EB">
              <w:t xml:space="preserve"> </w:t>
            </w:r>
            <w:r w:rsidRPr="00D85A4F">
              <w:t>and advises MFAT of the special patient’s return</w:t>
            </w:r>
            <w:r w:rsidR="000332EB">
              <w:t>,</w:t>
            </w:r>
            <w:r w:rsidRPr="00D85A4F">
              <w:t xml:space="preserve"> if they are a foreign national</w:t>
            </w:r>
          </w:p>
        </w:tc>
      </w:tr>
      <w:tr w:rsidR="00025FEB" w:rsidRPr="00D85A4F" w14:paraId="2082FB75" w14:textId="77777777" w:rsidTr="00BB4DC3">
        <w:trPr>
          <w:cantSplit/>
        </w:trPr>
        <w:tc>
          <w:tcPr>
            <w:tcW w:w="9785" w:type="dxa"/>
            <w:tcBorders>
              <w:left w:val="nil"/>
              <w:right w:val="nil"/>
            </w:tcBorders>
          </w:tcPr>
          <w:p w14:paraId="5AF267BF" w14:textId="77777777" w:rsidR="00025FEB" w:rsidRPr="00D85A4F" w:rsidRDefault="00025FEB" w:rsidP="00BB4DC3">
            <w:pPr>
              <w:pStyle w:val="TableText"/>
              <w:jc w:val="center"/>
            </w:pPr>
            <w:r w:rsidRPr="00D85A4F">
              <w:rPr>
                <w:noProof/>
                <w:lang w:eastAsia="en-NZ"/>
              </w:rPr>
              <mc:AlternateContent>
                <mc:Choice Requires="wps">
                  <w:drawing>
                    <wp:inline distT="0" distB="0" distL="0" distR="0" wp14:anchorId="0D8A0BDC" wp14:editId="1E7679B4">
                      <wp:extent cx="241069" cy="152400"/>
                      <wp:effectExtent l="38100" t="0" r="26035" b="38100"/>
                      <wp:docPr id="135" name="Arrow: Down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69" cy="152400"/>
                              </a:xfrm>
                              <a:prstGeom prst="downArrow">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2647363D">
                    <v:shape id="Arrow: Down 135" style="width:19pt;height:12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d9d9d9" strokecolor="windowText"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" w14:anchorId="002BC054">
                      <v:path arrowok="t"/>
                      <w10:anchorlock/>
                    </v:shape>
                  </w:pict>
                </mc:Fallback>
              </mc:AlternateContent>
            </w:r>
          </w:p>
        </w:tc>
      </w:tr>
      <w:tr w:rsidR="00025FEB" w:rsidRPr="00D85A4F" w14:paraId="71A2CA84" w14:textId="77777777" w:rsidTr="00BB4DC3">
        <w:trPr>
          <w:cantSplit/>
        </w:trPr>
        <w:tc>
          <w:tcPr>
            <w:tcW w:w="9785" w:type="dxa"/>
          </w:tcPr>
          <w:p w14:paraId="5BF56EA6" w14:textId="77777777" w:rsidR="00025FEB" w:rsidRPr="00D85A4F" w:rsidRDefault="00025FEB" w:rsidP="00BB4DC3">
            <w:pPr>
              <w:pStyle w:val="TableText"/>
              <w:jc w:val="center"/>
            </w:pPr>
            <w:r>
              <w:t xml:space="preserve">The </w:t>
            </w:r>
            <w:r w:rsidRPr="00D85A4F">
              <w:t xml:space="preserve">DAMHS sends </w:t>
            </w:r>
            <w:r>
              <w:t xml:space="preserve">a </w:t>
            </w:r>
            <w:r w:rsidRPr="00D85A4F">
              <w:t xml:space="preserve">reportable events form to </w:t>
            </w:r>
            <w:r>
              <w:t xml:space="preserve">the Office of the Director </w:t>
            </w:r>
            <w:r w:rsidRPr="00D85A4F">
              <w:t xml:space="preserve">and completes </w:t>
            </w:r>
            <w:r>
              <w:t xml:space="preserve">an </w:t>
            </w:r>
            <w:r w:rsidRPr="00D85A4F">
              <w:t xml:space="preserve">internal review and </w:t>
            </w:r>
            <w:r>
              <w:t xml:space="preserve">an </w:t>
            </w:r>
            <w:r w:rsidRPr="00D85A4F">
              <w:t xml:space="preserve">external review </w:t>
            </w:r>
            <w:r>
              <w:t>(</w:t>
            </w:r>
            <w:r w:rsidRPr="00D85A4F">
              <w:t>where one is required</w:t>
            </w:r>
            <w:r>
              <w:t>)</w:t>
            </w:r>
          </w:p>
        </w:tc>
      </w:tr>
    </w:tbl>
    <w:p w14:paraId="0D401F98" w14:textId="77777777" w:rsidR="00025FEB" w:rsidRPr="003353F3" w:rsidRDefault="00025FEB" w:rsidP="00025FEB">
      <w:bookmarkStart w:id="307" w:name="_Toc10554001"/>
      <w:bookmarkEnd w:id="12"/>
    </w:p>
    <w:bookmarkEnd w:id="307"/>
    <w:p w14:paraId="7E87757B" w14:textId="77777777" w:rsidR="00C5711F" w:rsidRPr="00C5711F" w:rsidRDefault="00C5711F" w:rsidP="00025FEB"/>
    <w:sectPr w:rsidR="00C5711F" w:rsidRPr="00C5711F" w:rsidSect="00BB4DC3">
      <w:footerReference w:type="even" r:id="rId39"/>
      <w:footerReference w:type="default" r:id="rId40"/>
      <w:pgSz w:w="11907" w:h="16834" w:code="9"/>
      <w:pgMar w:top="1418" w:right="1558"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1836" w14:textId="77777777" w:rsidR="002C1EBF" w:rsidRDefault="002C1EBF">
      <w:r>
        <w:separator/>
      </w:r>
    </w:p>
    <w:p w14:paraId="2BF07A41" w14:textId="77777777" w:rsidR="002C1EBF" w:rsidRDefault="002C1EBF"/>
  </w:endnote>
  <w:endnote w:type="continuationSeparator" w:id="0">
    <w:p w14:paraId="58E7639E" w14:textId="77777777" w:rsidR="002C1EBF" w:rsidRDefault="002C1EBF">
      <w:r>
        <w:continuationSeparator/>
      </w:r>
    </w:p>
    <w:p w14:paraId="3FE59325" w14:textId="77777777" w:rsidR="002C1EBF" w:rsidRDefault="002C1EBF"/>
  </w:endnote>
  <w:endnote w:type="continuationNotice" w:id="1">
    <w:p w14:paraId="7E781B43" w14:textId="77777777" w:rsidR="002C1EBF" w:rsidRDefault="002C1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BF" w14:textId="6493071D" w:rsidR="00F0504F" w:rsidRPr="00581136" w:rsidRDefault="00F0504F" w:rsidP="005A79E5">
    <w:pPr>
      <w:pStyle w:val="Footer"/>
      <w:pBdr>
        <w:bottom w:val="single" w:sz="4" w:space="1" w:color="auto"/>
      </w:pBdr>
      <w:tabs>
        <w:tab w:val="right" w:pos="9639"/>
      </w:tabs>
      <w:rPr>
        <w:b/>
      </w:rPr>
    </w:pPr>
    <w:r w:rsidRPr="00581136">
      <w:rPr>
        <w:b/>
      </w:rPr>
      <w:t xml:space="preserve">Released </w:t>
    </w:r>
    <w:r>
      <w:rPr>
        <w:b/>
      </w:rPr>
      <w:t>2024</w:t>
    </w:r>
    <w:r w:rsidRPr="00581136">
      <w:rPr>
        <w:b/>
      </w:rPr>
      <w:tab/>
      <w:t>health.govt.nz</w:t>
    </w:r>
  </w:p>
  <w:p w14:paraId="7E878EC0" w14:textId="77777777" w:rsidR="00F0504F" w:rsidRPr="005A79E5" w:rsidRDefault="00F0504F">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5"/>
    </w:tblGrid>
    <w:tr w:rsidR="00F0504F" w14:paraId="1AC8DD8C" w14:textId="77777777" w:rsidTr="00155622">
      <w:trPr>
        <w:cantSplit/>
      </w:trPr>
      <w:tc>
        <w:tcPr>
          <w:tcW w:w="851" w:type="dxa"/>
          <w:vAlign w:val="center"/>
        </w:tcPr>
        <w:p w14:paraId="5AFBB2A5" w14:textId="77777777" w:rsidR="00F0504F" w:rsidRPr="00931466" w:rsidRDefault="00F0504F" w:rsidP="00BB4DC3">
          <w:pPr>
            <w:pStyle w:val="Footer"/>
            <w:ind w:left="185" w:hanging="185"/>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8505" w:type="dxa"/>
          <w:vAlign w:val="center"/>
        </w:tcPr>
        <w:p w14:paraId="050137DD" w14:textId="77777777" w:rsidR="00F0504F" w:rsidRDefault="00F0504F" w:rsidP="000D58DD">
          <w:pPr>
            <w:pStyle w:val="RectoFooter"/>
            <w:jc w:val="left"/>
          </w:pPr>
          <w:r w:rsidRPr="00EE6EE1">
            <w:t>SPECIAL PATIENTS AND RESTRICTED PATIENTS: GUIDELINES FOR REGIONAL FORENSIC MENTAL HEALTH SERVICES</w:t>
          </w:r>
        </w:p>
      </w:tc>
    </w:tr>
  </w:tbl>
  <w:p w14:paraId="26E8098B" w14:textId="77777777" w:rsidR="00F0504F" w:rsidRPr="00571223" w:rsidRDefault="00F0504F"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22"/>
      <w:gridCol w:w="709"/>
    </w:tblGrid>
    <w:tr w:rsidR="00F0504F" w14:paraId="28A54494" w14:textId="77777777" w:rsidTr="00BB4DC3">
      <w:trPr>
        <w:cantSplit/>
      </w:trPr>
      <w:tc>
        <w:tcPr>
          <w:tcW w:w="8222" w:type="dxa"/>
          <w:vAlign w:val="center"/>
        </w:tcPr>
        <w:p w14:paraId="0790C0D5" w14:textId="77777777" w:rsidR="00F0504F" w:rsidRDefault="00F0504F" w:rsidP="00BB4DC3">
          <w:pPr>
            <w:pStyle w:val="RectoFooter"/>
          </w:pPr>
          <w:r w:rsidRPr="00121607">
            <w:t>Special Patients and Restricted Patients: Guidelines for Regional Forensic Mental Health Services</w:t>
          </w:r>
        </w:p>
      </w:tc>
      <w:tc>
        <w:tcPr>
          <w:tcW w:w="709" w:type="dxa"/>
          <w:vAlign w:val="center"/>
        </w:tcPr>
        <w:p w14:paraId="5742618D" w14:textId="77777777" w:rsidR="00F0504F" w:rsidRPr="00931466" w:rsidRDefault="00F0504F" w:rsidP="00BB4DC3">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674499E3" w14:textId="77777777" w:rsidR="00F0504F" w:rsidRPr="00D861A1" w:rsidRDefault="00F0504F" w:rsidP="00BB4DC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1" w14:textId="77777777" w:rsidR="00F0504F" w:rsidRDefault="00F0504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2" w14:textId="77777777" w:rsidR="00F0504F" w:rsidRDefault="00F050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F0504F" w14:paraId="7E878EC7" w14:textId="77777777" w:rsidTr="00D662F8">
      <w:trPr>
        <w:cantSplit/>
      </w:trPr>
      <w:tc>
        <w:tcPr>
          <w:tcW w:w="709" w:type="dxa"/>
          <w:vAlign w:val="center"/>
        </w:tcPr>
        <w:p w14:paraId="7E878EC5" w14:textId="77777777" w:rsidR="00F0504F" w:rsidRPr="00931466" w:rsidRDefault="00F0504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7E878EC6" w14:textId="6CBA16C7" w:rsidR="00F0504F" w:rsidRDefault="00F0504F" w:rsidP="0069770E">
          <w:pPr>
            <w:pStyle w:val="RectoFooter"/>
            <w:jc w:val="left"/>
          </w:pPr>
          <w:r w:rsidRPr="00025FEB">
            <w:t>SPECIAL PATIENTS AND RESTRICTED PATIENTS: GUIDELINES FOR REGIONAL FORENSIC MENTAL HEALTH SERVICES</w:t>
          </w:r>
        </w:p>
      </w:tc>
    </w:tr>
  </w:tbl>
  <w:p w14:paraId="7E878EC8" w14:textId="77777777" w:rsidR="00F0504F" w:rsidRPr="00571223" w:rsidRDefault="00F0504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F0504F" w14:paraId="7E878ECB" w14:textId="77777777" w:rsidTr="006E2886">
      <w:trPr>
        <w:cantSplit/>
      </w:trPr>
      <w:tc>
        <w:tcPr>
          <w:tcW w:w="8080" w:type="dxa"/>
          <w:vAlign w:val="center"/>
        </w:tcPr>
        <w:p w14:paraId="7E878EC9" w14:textId="0D33683B" w:rsidR="00F0504F" w:rsidRDefault="00F0504F" w:rsidP="000C3DE6">
          <w:pPr>
            <w:pStyle w:val="RectoFooter"/>
          </w:pPr>
          <w:r w:rsidRPr="00025FEB">
            <w:t>SPECIAL PATIENTS AND RESTRICTED PATIENTS: GUIDELINES FOR REGIONAL FORENSIC MENTAL HEALTH SERVICES</w:t>
          </w:r>
        </w:p>
      </w:tc>
      <w:tc>
        <w:tcPr>
          <w:tcW w:w="709" w:type="dxa"/>
          <w:vAlign w:val="center"/>
        </w:tcPr>
        <w:p w14:paraId="7E878ECA" w14:textId="77777777" w:rsidR="00F0504F" w:rsidRPr="00931466" w:rsidRDefault="00F0504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E878ECC" w14:textId="77777777" w:rsidR="00F0504F" w:rsidRPr="00581EB8" w:rsidRDefault="00F0504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05"/>
    </w:tblGrid>
    <w:tr w:rsidR="00F0504F" w14:paraId="3E2A88E0" w14:textId="77777777" w:rsidTr="00155622">
      <w:trPr>
        <w:cantSplit/>
      </w:trPr>
      <w:tc>
        <w:tcPr>
          <w:tcW w:w="675" w:type="dxa"/>
          <w:vAlign w:val="center"/>
        </w:tcPr>
        <w:p w14:paraId="53F33354" w14:textId="77777777" w:rsidR="00F0504F" w:rsidRPr="00931466" w:rsidRDefault="00F0504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8505" w:type="dxa"/>
          <w:vAlign w:val="center"/>
        </w:tcPr>
        <w:p w14:paraId="3404FB54" w14:textId="77777777" w:rsidR="00F0504F" w:rsidRDefault="00F0504F" w:rsidP="000D58DD">
          <w:pPr>
            <w:pStyle w:val="RectoFooter"/>
            <w:jc w:val="left"/>
          </w:pPr>
          <w:r w:rsidRPr="00EE6EE1">
            <w:t>SPECIAL PATIENTS AND RESTRICTED PATIENTS: GUIDELINES FOR REGIONAL FORENSIC MENTAL HEALTH SERVICES</w:t>
          </w:r>
        </w:p>
      </w:tc>
    </w:tr>
  </w:tbl>
  <w:p w14:paraId="00D1DE88" w14:textId="77777777" w:rsidR="00F0504F" w:rsidRPr="00571223" w:rsidRDefault="00F0504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0504F" w14:paraId="4C952477" w14:textId="77777777" w:rsidTr="00D662F8">
      <w:trPr>
        <w:cantSplit/>
      </w:trPr>
      <w:tc>
        <w:tcPr>
          <w:tcW w:w="8080" w:type="dxa"/>
          <w:vAlign w:val="center"/>
        </w:tcPr>
        <w:p w14:paraId="1814738D" w14:textId="77777777" w:rsidR="00F0504F" w:rsidRDefault="00F0504F" w:rsidP="00931466">
          <w:pPr>
            <w:pStyle w:val="RectoFooter"/>
          </w:pPr>
          <w:r w:rsidRPr="00121607">
            <w:t>Special Patients and Restricted Patients: Guidelines for Regional Forensic Mental Health Services</w:t>
          </w:r>
        </w:p>
      </w:tc>
      <w:tc>
        <w:tcPr>
          <w:tcW w:w="709" w:type="dxa"/>
          <w:vAlign w:val="center"/>
        </w:tcPr>
        <w:p w14:paraId="63A1ADCB" w14:textId="77777777" w:rsidR="00F0504F" w:rsidRPr="00931466" w:rsidRDefault="00F0504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0A4D7FA" w14:textId="77777777" w:rsidR="00F0504F" w:rsidRPr="00581EB8" w:rsidRDefault="00F0504F"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5"/>
    </w:tblGrid>
    <w:tr w:rsidR="00F0504F" w14:paraId="76C11469" w14:textId="77777777" w:rsidTr="00BB4DC3">
      <w:trPr>
        <w:cantSplit/>
      </w:trPr>
      <w:tc>
        <w:tcPr>
          <w:tcW w:w="851" w:type="dxa"/>
          <w:vAlign w:val="center"/>
        </w:tcPr>
        <w:p w14:paraId="7E602018" w14:textId="77777777" w:rsidR="00F0504F" w:rsidRPr="00931466" w:rsidRDefault="00F0504F" w:rsidP="00BB4DC3">
          <w:pPr>
            <w:pStyle w:val="Footer"/>
            <w:ind w:left="185" w:hanging="185"/>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8505" w:type="dxa"/>
          <w:vAlign w:val="center"/>
        </w:tcPr>
        <w:p w14:paraId="48BC316E" w14:textId="77777777" w:rsidR="00F0504F" w:rsidRDefault="00F0504F" w:rsidP="000D58DD">
          <w:pPr>
            <w:pStyle w:val="RectoFooter"/>
            <w:jc w:val="left"/>
          </w:pPr>
          <w:r w:rsidRPr="00EE6EE1">
            <w:t>SPECIAL PATIENTS AND RESTRICTED PATIENTS: GUIDELINES FOR REGIONAL FORENSIC MENTAL HEALTH SERVICES</w:t>
          </w:r>
        </w:p>
      </w:tc>
    </w:tr>
  </w:tbl>
  <w:p w14:paraId="6838FCF9" w14:textId="77777777" w:rsidR="00F0504F" w:rsidRPr="00571223" w:rsidRDefault="00F0504F"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gridCol w:w="709"/>
    </w:tblGrid>
    <w:tr w:rsidR="00F0504F" w14:paraId="11F9EAE7" w14:textId="77777777" w:rsidTr="00BB4DC3">
      <w:trPr>
        <w:cantSplit/>
      </w:trPr>
      <w:tc>
        <w:tcPr>
          <w:tcW w:w="9639" w:type="dxa"/>
          <w:vAlign w:val="center"/>
        </w:tcPr>
        <w:p w14:paraId="5CE3AA6A" w14:textId="77777777" w:rsidR="00F0504F" w:rsidRDefault="00F0504F" w:rsidP="00BB4DC3">
          <w:pPr>
            <w:pStyle w:val="RectoFooter"/>
          </w:pPr>
          <w:r w:rsidRPr="00121607">
            <w:t>Special Patients and Restricted Patients: Guidelines for Regional Forensic Mental Health Services</w:t>
          </w:r>
        </w:p>
      </w:tc>
      <w:tc>
        <w:tcPr>
          <w:tcW w:w="709" w:type="dxa"/>
          <w:vAlign w:val="center"/>
        </w:tcPr>
        <w:p w14:paraId="250D8026" w14:textId="77777777" w:rsidR="00F0504F" w:rsidRPr="00931466" w:rsidRDefault="00F0504F" w:rsidP="00BB4DC3">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3BB56321" w14:textId="77777777" w:rsidR="00F0504F" w:rsidRPr="00D861A1" w:rsidRDefault="00F0504F" w:rsidP="00BB4DC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CC59" w14:textId="77777777" w:rsidR="002C1EBF" w:rsidRPr="00A26E6B" w:rsidRDefault="002C1EBF" w:rsidP="00A26E6B"/>
  </w:footnote>
  <w:footnote w:type="continuationSeparator" w:id="0">
    <w:p w14:paraId="2E674B25" w14:textId="77777777" w:rsidR="002C1EBF" w:rsidRDefault="002C1EBF">
      <w:r>
        <w:continuationSeparator/>
      </w:r>
    </w:p>
    <w:p w14:paraId="4BBAA302" w14:textId="77777777" w:rsidR="002C1EBF" w:rsidRDefault="002C1EBF"/>
  </w:footnote>
  <w:footnote w:type="continuationNotice" w:id="1">
    <w:p w14:paraId="3DB3A944" w14:textId="77777777" w:rsidR="002C1EBF" w:rsidRDefault="002C1EBF"/>
  </w:footnote>
  <w:footnote w:id="2">
    <w:p w14:paraId="7F732254" w14:textId="7E41506D" w:rsidR="00F0504F" w:rsidRPr="00121607" w:rsidRDefault="00F0504F" w:rsidP="00025FEB">
      <w:pPr>
        <w:pStyle w:val="FootnoteText"/>
        <w:rPr>
          <w:lang w:val="en-US"/>
        </w:rPr>
      </w:pPr>
      <w:r>
        <w:rPr>
          <w:rStyle w:val="FootnoteReference"/>
        </w:rPr>
        <w:footnoteRef/>
      </w:r>
      <w:r>
        <w:t xml:space="preserve"> </w:t>
      </w:r>
      <w:r w:rsidRPr="00121607">
        <w:t xml:space="preserve">Specific guidelines for </w:t>
      </w:r>
      <w:r>
        <w:t>d</w:t>
      </w:r>
      <w:r w:rsidRPr="00121607">
        <w:t xml:space="preserve">istrict </w:t>
      </w:r>
      <w:r>
        <w:t>i</w:t>
      </w:r>
      <w:r w:rsidRPr="00121607">
        <w:t>nspectors are available on the Ministry of Health website</w:t>
      </w:r>
      <w:r>
        <w:t>.</w:t>
      </w:r>
    </w:p>
  </w:footnote>
  <w:footnote w:id="3">
    <w:p w14:paraId="1BF362ED" w14:textId="41F5BB4C" w:rsidR="00F0504F" w:rsidRDefault="00F0504F" w:rsidP="00B37849">
      <w:pPr>
        <w:pStyle w:val="FootnoteText"/>
      </w:pPr>
      <w:r>
        <w:rPr>
          <w:rStyle w:val="FootnoteReference"/>
        </w:rPr>
        <w:footnoteRef/>
      </w:r>
      <w:r>
        <w:t xml:space="preserve"> </w:t>
      </w:r>
      <w:r w:rsidRPr="005474EA">
        <w:t>PRIMHD is the Ministry of Health’s national collection of service activity and outcomes data on mental health and addiction services</w:t>
      </w:r>
    </w:p>
  </w:footnote>
  <w:footnote w:id="4">
    <w:p w14:paraId="6326EABB" w14:textId="31144FC2" w:rsidR="00F0504F" w:rsidRPr="00176028" w:rsidRDefault="00F0504F" w:rsidP="00025FEB">
      <w:pPr>
        <w:pStyle w:val="FootnoteText"/>
      </w:pPr>
      <w:r w:rsidRPr="00F31792">
        <w:rPr>
          <w:rStyle w:val="FootnoteReference"/>
        </w:rPr>
        <w:footnoteRef/>
      </w:r>
      <w:r>
        <w:t xml:space="preserve"> </w:t>
      </w:r>
      <w:r w:rsidRPr="00531427">
        <w:t>Historical-</w:t>
      </w:r>
      <w:r w:rsidRPr="00444A00">
        <w:t>Clinical-Ris</w:t>
      </w:r>
      <w:r w:rsidRPr="00531427">
        <w:t>k Management-20. This is a set of structured professional judgement guidelines designed to assist comprehensive, management-oriented evaluations of violence risk.</w:t>
      </w:r>
    </w:p>
  </w:footnote>
  <w:footnote w:id="5">
    <w:p w14:paraId="6707F9A3" w14:textId="26E66309" w:rsidR="00F0504F" w:rsidRPr="0068471F" w:rsidRDefault="00F0504F" w:rsidP="00025FEB">
      <w:pPr>
        <w:pStyle w:val="FootnoteText"/>
      </w:pPr>
      <w:r w:rsidRPr="00F31792">
        <w:rPr>
          <w:rStyle w:val="FootnoteReference"/>
        </w:rPr>
        <w:footnoteRef/>
      </w:r>
      <w:r>
        <w:t xml:space="preserve"> </w:t>
      </w:r>
      <w:r w:rsidRPr="0068471F">
        <w:t>Short Term Assessment of Risk and Treatability</w:t>
      </w:r>
      <w:r>
        <w:t>. This is</w:t>
      </w:r>
      <w:r w:rsidRPr="0068471F">
        <w:t xml:space="preserve"> </w:t>
      </w:r>
      <w:r>
        <w:t>a</w:t>
      </w:r>
      <w:r w:rsidRPr="0068471F">
        <w:t xml:space="preserve"> 20-item clinical guide for </w:t>
      </w:r>
      <w:r>
        <w:t xml:space="preserve">the dynamic </w:t>
      </w:r>
      <w:r w:rsidRPr="0068471F">
        <w:t>assessment of seven risk domains (violence to others, suicide, self-harm, self-neglect, unauthori</w:t>
      </w:r>
      <w:r>
        <w:t>s</w:t>
      </w:r>
      <w:r w:rsidRPr="0068471F">
        <w:t>ed absence, substance use and victimi</w:t>
      </w:r>
      <w:r>
        <w:t>s</w:t>
      </w:r>
      <w:r w:rsidRPr="0068471F">
        <w:t>ation).</w:t>
      </w:r>
    </w:p>
  </w:footnote>
  <w:footnote w:id="6">
    <w:p w14:paraId="3800C160" w14:textId="07CC5C9C" w:rsidR="00F0504F" w:rsidRDefault="00F0504F" w:rsidP="00025FEB">
      <w:pPr>
        <w:pStyle w:val="FootnoteText"/>
      </w:pPr>
      <w:r w:rsidRPr="00F31792">
        <w:rPr>
          <w:rStyle w:val="FootnoteReference"/>
        </w:rPr>
        <w:footnoteRef/>
      </w:r>
      <w:r>
        <w:t xml:space="preserve"> Dangerousness, Understanding, Recovery and Urgency Manual. This is a set of structured professional judgement instruments for admission triage, urgency, treatment completion and recovery assessments.</w:t>
      </w:r>
    </w:p>
  </w:footnote>
  <w:footnote w:id="7">
    <w:p w14:paraId="10074D94" w14:textId="77FBAA2F" w:rsidR="00F0504F" w:rsidRPr="008750BF" w:rsidRDefault="00F0504F" w:rsidP="00025FEB">
      <w:pPr>
        <w:pStyle w:val="FootnoteText"/>
      </w:pPr>
      <w:r w:rsidRPr="0074176A">
        <w:rPr>
          <w:rStyle w:val="FootnoteReference"/>
        </w:rPr>
        <w:footnoteRef/>
      </w:r>
      <w:r>
        <w:t xml:space="preserve"> See </w:t>
      </w:r>
      <w:r w:rsidRPr="0074176A">
        <w:t xml:space="preserve">part </w:t>
      </w:r>
      <w:r>
        <w:t>6.4</w:t>
      </w:r>
      <w:r w:rsidRPr="0074176A">
        <w:t xml:space="preserve"> of the </w:t>
      </w:r>
      <w:r w:rsidRPr="006674B9">
        <w:rPr>
          <w:i/>
          <w:iCs/>
        </w:rPr>
        <w:t>Guidelines to the Mental Health (Compulsory Assessment and Treatment) Act 1992</w:t>
      </w:r>
      <w:r>
        <w:t xml:space="preserve"> </w:t>
      </w:r>
      <w:r>
        <w:rPr>
          <w:iCs/>
        </w:rPr>
        <w:t>(Ministry of Health 2022c)</w:t>
      </w:r>
      <w:r w:rsidRPr="0074176A">
        <w:t>.</w:t>
      </w:r>
    </w:p>
  </w:footnote>
  <w:footnote w:id="8">
    <w:p w14:paraId="2D74BF92" w14:textId="58706029" w:rsidR="00F0504F" w:rsidRDefault="00F0504F">
      <w:pPr>
        <w:pStyle w:val="FootnoteText"/>
      </w:pPr>
      <w:r>
        <w:rPr>
          <w:rStyle w:val="FootnoteReference"/>
        </w:rPr>
        <w:footnoteRef/>
      </w:r>
      <w:r>
        <w:t xml:space="preserve"> B</w:t>
      </w:r>
      <w:r w:rsidRPr="00C21E94">
        <w:t>lack text indicates text to be reproduced in each case, and blue text indicates a guideline for creating or using the form (final versions should not include this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F0504F" w14:paraId="07872C25" w14:textId="77777777" w:rsidTr="00BB4DC3">
      <w:trPr>
        <w:cantSplit/>
      </w:trPr>
      <w:tc>
        <w:tcPr>
          <w:tcW w:w="5210" w:type="dxa"/>
          <w:vAlign w:val="center"/>
        </w:tcPr>
        <w:p w14:paraId="4CDF9A95" w14:textId="77777777" w:rsidR="00F0504F" w:rsidRDefault="00F0504F" w:rsidP="00D3124A">
          <w:pPr>
            <w:pStyle w:val="Header"/>
          </w:pPr>
          <w:bookmarkStart w:id="0" w:name="_Hlk110933925"/>
          <w:r>
            <w:rPr>
              <w:noProof/>
              <w:lang w:eastAsia="en-NZ"/>
            </w:rPr>
            <w:drawing>
              <wp:inline distT="0" distB="0" distL="0" distR="0" wp14:anchorId="67B54ED9" wp14:editId="754A0BE5">
                <wp:extent cx="2294626" cy="542925"/>
                <wp:effectExtent l="0" t="0" r="0" b="0"/>
                <wp:docPr id="7" name="Picture 7"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93A2AC2" w14:textId="77777777" w:rsidR="00F0504F" w:rsidRDefault="00F0504F" w:rsidP="00D3124A">
          <w:pPr>
            <w:pStyle w:val="Header"/>
            <w:jc w:val="right"/>
          </w:pPr>
          <w:r>
            <w:rPr>
              <w:noProof/>
            </w:rPr>
            <w:drawing>
              <wp:anchor distT="0" distB="0" distL="114300" distR="114300" simplePos="0" relativeHeight="251658240" behindDoc="0" locked="0" layoutInCell="1" allowOverlap="1" wp14:anchorId="311E554E" wp14:editId="0123ED36">
                <wp:simplePos x="0" y="0"/>
                <wp:positionH relativeFrom="column">
                  <wp:posOffset>1363345</wp:posOffset>
                </wp:positionH>
                <wp:positionV relativeFrom="paragraph">
                  <wp:posOffset>-6350</wp:posOffset>
                </wp:positionV>
                <wp:extent cx="1518285" cy="71818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7E878EBE" w14:textId="77777777" w:rsidR="00F0504F" w:rsidRDefault="00F0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3" w14:textId="77777777" w:rsidR="00F0504F" w:rsidRDefault="00F0504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4" w14:textId="77777777" w:rsidR="00F0504F" w:rsidRDefault="00F0504F"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E81B" w14:textId="77777777" w:rsidR="00F0504F" w:rsidRDefault="00F050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6781" w14:textId="77777777" w:rsidR="00F0504F" w:rsidRDefault="00F050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8658" w14:textId="77777777" w:rsidR="00F0504F" w:rsidRDefault="00F050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7537" w14:textId="77777777" w:rsidR="00F0504F" w:rsidRDefault="00F0504F">
    <w:pPr>
      <w:pStyle w:val="Header"/>
    </w:pPr>
  </w:p>
</w:hdr>
</file>

<file path=word/intelligence2.xml><?xml version="1.0" encoding="utf-8"?>
<int2:intelligence xmlns:int2="http://schemas.microsoft.com/office/intelligence/2020/intelligence" xmlns:oel="http://schemas.microsoft.com/office/2019/extlst">
  <int2:observations>
    <int2:textHash int2:hashCode="RmgKZl0ISEoohg" int2:id="Usw7i2p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AA39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A1250"/>
    <w:multiLevelType w:val="multilevel"/>
    <w:tmpl w:val="B8F875CC"/>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D817C7"/>
    <w:multiLevelType w:val="multilevel"/>
    <w:tmpl w:val="BA8AC590"/>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2E1B55"/>
    <w:multiLevelType w:val="singleLevel"/>
    <w:tmpl w:val="A50E955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A7856CB"/>
    <w:multiLevelType w:val="hybridMultilevel"/>
    <w:tmpl w:val="E2F67C0E"/>
    <w:lvl w:ilvl="0" w:tplc="B8E47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1418A"/>
    <w:multiLevelType w:val="hybridMultilevel"/>
    <w:tmpl w:val="B3649E3A"/>
    <w:lvl w:ilvl="0" w:tplc="A9EE85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FE20DE"/>
    <w:multiLevelType w:val="hybridMultilevel"/>
    <w:tmpl w:val="363E3E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3DC7796"/>
    <w:multiLevelType w:val="multilevel"/>
    <w:tmpl w:val="38243F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7711B7"/>
    <w:multiLevelType w:val="multilevel"/>
    <w:tmpl w:val="E4A64D26"/>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92" w:hanging="432"/>
      </w:pPr>
      <w:rPr>
        <w:rFonts w:hint="default"/>
        <w:color w:val="0A6AB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EE4957"/>
    <w:multiLevelType w:val="hybridMultilevel"/>
    <w:tmpl w:val="90966ED4"/>
    <w:lvl w:ilvl="0" w:tplc="1B1EAD1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A872EF8"/>
    <w:multiLevelType w:val="multilevel"/>
    <w:tmpl w:val="1DE08D5E"/>
    <w:lvl w:ilvl="0">
      <w:start w:val="3"/>
      <w:numFmt w:val="decimal"/>
      <w:lvlText w:val="%1"/>
      <w:lvlJc w:val="left"/>
      <w:pPr>
        <w:ind w:left="744" w:hanging="744"/>
      </w:pPr>
      <w:rPr>
        <w:rFonts w:hint="default"/>
      </w:rPr>
    </w:lvl>
    <w:lvl w:ilvl="1">
      <w:start w:val="2"/>
      <w:numFmt w:val="decimal"/>
      <w:lvlText w:val="%1.%2"/>
      <w:lvlJc w:val="left"/>
      <w:pPr>
        <w:ind w:left="744" w:hanging="74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C7C40CE"/>
    <w:multiLevelType w:val="hybridMultilevel"/>
    <w:tmpl w:val="BAD89E40"/>
    <w:lvl w:ilvl="0" w:tplc="60E464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DFB25B4"/>
    <w:multiLevelType w:val="hybridMultilevel"/>
    <w:tmpl w:val="526685A6"/>
    <w:lvl w:ilvl="0" w:tplc="F39E8A4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8E7D47"/>
    <w:multiLevelType w:val="hybridMultilevel"/>
    <w:tmpl w:val="E76CD5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B10E85"/>
    <w:multiLevelType w:val="hybridMultilevel"/>
    <w:tmpl w:val="66822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8EA1C11"/>
    <w:multiLevelType w:val="multilevel"/>
    <w:tmpl w:val="A420CE14"/>
    <w:lvl w:ilvl="0">
      <w:start w:val="3"/>
      <w:numFmt w:val="decimal"/>
      <w:lvlText w:val="%1"/>
      <w:lvlJc w:val="left"/>
      <w:pPr>
        <w:ind w:left="744" w:hanging="744"/>
      </w:pPr>
      <w:rPr>
        <w:rFonts w:hint="default"/>
      </w:rPr>
    </w:lvl>
    <w:lvl w:ilvl="1">
      <w:start w:val="2"/>
      <w:numFmt w:val="decimal"/>
      <w:lvlText w:val="%1.%2"/>
      <w:lvlJc w:val="left"/>
      <w:pPr>
        <w:ind w:left="744" w:hanging="744"/>
      </w:pPr>
      <w:rPr>
        <w:rFonts w:hint="default"/>
      </w:rPr>
    </w:lvl>
    <w:lvl w:ilvl="2">
      <w:start w:val="1"/>
      <w:numFmt w:val="decimal"/>
      <w:pStyle w:val="Heading3Numbered"/>
      <w:lvlText w:val="%2.%1.1"/>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A201064"/>
    <w:multiLevelType w:val="hybridMultilevel"/>
    <w:tmpl w:val="14706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5A1A8E"/>
    <w:multiLevelType w:val="multilevel"/>
    <w:tmpl w:val="8AEE374E"/>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ind w:left="1134" w:hanging="1134"/>
      </w:pPr>
      <w:rPr>
        <w:rFonts w:hint="default"/>
        <w:b/>
        <w:bCs/>
      </w:rPr>
    </w:lvl>
    <w:lvl w:ilvl="2">
      <w:start w:val="1"/>
      <w:numFmt w:val="decimal"/>
      <w:pStyle w:val="Heading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A4A95"/>
    <w:multiLevelType w:val="hybridMultilevel"/>
    <w:tmpl w:val="0B1697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3B4EB4"/>
    <w:multiLevelType w:val="hybridMultilevel"/>
    <w:tmpl w:val="1352A4DA"/>
    <w:lvl w:ilvl="0" w:tplc="CE2E46B2">
      <w:start w:val="1"/>
      <w:numFmt w:val="bullet"/>
      <w:lvlText w:val=""/>
      <w:lvlJc w:val="left"/>
      <w:pPr>
        <w:ind w:left="720" w:hanging="360"/>
      </w:pPr>
      <w:rPr>
        <w:rFonts w:ascii="Symbol" w:hAnsi="Symbol" w:hint="default"/>
      </w:rPr>
    </w:lvl>
    <w:lvl w:ilvl="1" w:tplc="7996EEB2">
      <w:start w:val="1"/>
      <w:numFmt w:val="bullet"/>
      <w:lvlText w:val="o"/>
      <w:lvlJc w:val="left"/>
      <w:pPr>
        <w:ind w:left="1440" w:hanging="360"/>
      </w:pPr>
      <w:rPr>
        <w:rFonts w:ascii="Courier New" w:hAnsi="Courier New" w:hint="default"/>
      </w:rPr>
    </w:lvl>
    <w:lvl w:ilvl="2" w:tplc="E9F8584C">
      <w:start w:val="1"/>
      <w:numFmt w:val="bullet"/>
      <w:lvlText w:val=""/>
      <w:lvlJc w:val="left"/>
      <w:pPr>
        <w:ind w:left="2160" w:hanging="360"/>
      </w:pPr>
      <w:rPr>
        <w:rFonts w:ascii="Wingdings" w:hAnsi="Wingdings" w:hint="default"/>
      </w:rPr>
    </w:lvl>
    <w:lvl w:ilvl="3" w:tplc="AFFE279A">
      <w:start w:val="1"/>
      <w:numFmt w:val="bullet"/>
      <w:lvlText w:val=""/>
      <w:lvlJc w:val="left"/>
      <w:pPr>
        <w:ind w:left="2880" w:hanging="360"/>
      </w:pPr>
      <w:rPr>
        <w:rFonts w:ascii="Symbol" w:hAnsi="Symbol" w:hint="default"/>
      </w:rPr>
    </w:lvl>
    <w:lvl w:ilvl="4" w:tplc="B9B861D2">
      <w:start w:val="1"/>
      <w:numFmt w:val="bullet"/>
      <w:lvlText w:val="o"/>
      <w:lvlJc w:val="left"/>
      <w:pPr>
        <w:ind w:left="3600" w:hanging="360"/>
      </w:pPr>
      <w:rPr>
        <w:rFonts w:ascii="Courier New" w:hAnsi="Courier New" w:hint="default"/>
      </w:rPr>
    </w:lvl>
    <w:lvl w:ilvl="5" w:tplc="1ABE5E62">
      <w:start w:val="1"/>
      <w:numFmt w:val="bullet"/>
      <w:lvlText w:val=""/>
      <w:lvlJc w:val="left"/>
      <w:pPr>
        <w:ind w:left="4320" w:hanging="360"/>
      </w:pPr>
      <w:rPr>
        <w:rFonts w:ascii="Wingdings" w:hAnsi="Wingdings" w:hint="default"/>
      </w:rPr>
    </w:lvl>
    <w:lvl w:ilvl="6" w:tplc="3050C0B2">
      <w:start w:val="1"/>
      <w:numFmt w:val="bullet"/>
      <w:lvlText w:val=""/>
      <w:lvlJc w:val="left"/>
      <w:pPr>
        <w:ind w:left="5040" w:hanging="360"/>
      </w:pPr>
      <w:rPr>
        <w:rFonts w:ascii="Symbol" w:hAnsi="Symbol" w:hint="default"/>
      </w:rPr>
    </w:lvl>
    <w:lvl w:ilvl="7" w:tplc="FDA073DE">
      <w:start w:val="1"/>
      <w:numFmt w:val="bullet"/>
      <w:lvlText w:val="o"/>
      <w:lvlJc w:val="left"/>
      <w:pPr>
        <w:ind w:left="5760" w:hanging="360"/>
      </w:pPr>
      <w:rPr>
        <w:rFonts w:ascii="Courier New" w:hAnsi="Courier New" w:hint="default"/>
      </w:rPr>
    </w:lvl>
    <w:lvl w:ilvl="8" w:tplc="A18281B0">
      <w:start w:val="1"/>
      <w:numFmt w:val="bullet"/>
      <w:lvlText w:val=""/>
      <w:lvlJc w:val="left"/>
      <w:pPr>
        <w:ind w:left="6480" w:hanging="360"/>
      </w:pPr>
      <w:rPr>
        <w:rFonts w:ascii="Wingdings" w:hAnsi="Wingdings" w:hint="default"/>
      </w:rPr>
    </w:lvl>
  </w:abstractNum>
  <w:abstractNum w:abstractNumId="22" w15:restartNumberingAfterBreak="0">
    <w:nsid w:val="59BE0BB0"/>
    <w:multiLevelType w:val="hybridMultilevel"/>
    <w:tmpl w:val="1EBA46FA"/>
    <w:lvl w:ilvl="0" w:tplc="60E464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3700005"/>
    <w:multiLevelType w:val="hybridMultilevel"/>
    <w:tmpl w:val="D45458CE"/>
    <w:lvl w:ilvl="0" w:tplc="1B00569A">
      <w:start w:val="3"/>
      <w:numFmt w:val="bullet"/>
      <w:lvlText w:val="-"/>
      <w:lvlJc w:val="left"/>
      <w:pPr>
        <w:tabs>
          <w:tab w:val="num" w:pos="2880"/>
        </w:tabs>
        <w:ind w:left="2880" w:hanging="360"/>
      </w:pPr>
      <w:rPr>
        <w:rFonts w:ascii="Times New Roman" w:eastAsia="Times New Roman" w:hAnsi="Times New Roman" w:cs="Times New Roman" w:hint="default"/>
      </w:rPr>
    </w:lvl>
    <w:lvl w:ilvl="1" w:tplc="1B00569A">
      <w:start w:val="3"/>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8018DD"/>
    <w:multiLevelType w:val="hybridMultilevel"/>
    <w:tmpl w:val="1346CCD2"/>
    <w:lvl w:ilvl="0" w:tplc="0C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4461B6"/>
    <w:multiLevelType w:val="hybridMultilevel"/>
    <w:tmpl w:val="4BE4CCBE"/>
    <w:lvl w:ilvl="0" w:tplc="2B70E1D6">
      <w:start w:val="1"/>
      <w:numFmt w:val="lowerRoman"/>
      <w:lvlText w:val="(%1)"/>
      <w:lvlJc w:val="left"/>
      <w:pPr>
        <w:ind w:left="720" w:hanging="360"/>
      </w:pPr>
      <w:rPr>
        <w:rFonts w:ascii="Segoe UI" w:hAnsi="Segoe UI" w:cs="Segoe UI" w:hint="default"/>
        <w:sz w:val="21"/>
        <w:szCs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6CF34E5"/>
    <w:multiLevelType w:val="hybridMultilevel"/>
    <w:tmpl w:val="F9C0D3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C1218D3"/>
    <w:multiLevelType w:val="singleLevel"/>
    <w:tmpl w:val="5A189E0A"/>
    <w:lvl w:ilvl="0">
      <w:start w:val="1"/>
      <w:numFmt w:val="bullet"/>
      <w:pStyle w:val="Bullet"/>
      <w:lvlText w:val=""/>
      <w:lvlJc w:val="left"/>
      <w:pPr>
        <w:tabs>
          <w:tab w:val="num" w:pos="284"/>
        </w:tabs>
        <w:ind w:left="284" w:hanging="284"/>
      </w:pPr>
      <w:rPr>
        <w:rFonts w:ascii="Symbol" w:hAnsi="Symbol" w:hint="default"/>
        <w:sz w:val="18"/>
      </w:rPr>
    </w:lvl>
  </w:abstractNum>
  <w:abstractNum w:abstractNumId="28"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6536497">
    <w:abstractNumId w:val="27"/>
  </w:num>
  <w:num w:numId="2" w16cid:durableId="1206990269">
    <w:abstractNumId w:val="18"/>
  </w:num>
  <w:num w:numId="3" w16cid:durableId="1656182379">
    <w:abstractNumId w:val="19"/>
  </w:num>
  <w:num w:numId="4" w16cid:durableId="1394541219">
    <w:abstractNumId w:val="3"/>
  </w:num>
  <w:num w:numId="5" w16cid:durableId="1606039412">
    <w:abstractNumId w:val="2"/>
  </w:num>
  <w:num w:numId="6" w16cid:durableId="1105154610">
    <w:abstractNumId w:val="17"/>
  </w:num>
  <w:num w:numId="7" w16cid:durableId="960573978">
    <w:abstractNumId w:val="16"/>
  </w:num>
  <w:num w:numId="8" w16cid:durableId="1580670032">
    <w:abstractNumId w:val="20"/>
  </w:num>
  <w:num w:numId="9" w16cid:durableId="93791742">
    <w:abstractNumId w:val="14"/>
  </w:num>
  <w:num w:numId="10" w16cid:durableId="1506482802">
    <w:abstractNumId w:val="26"/>
  </w:num>
  <w:num w:numId="11" w16cid:durableId="2106921354">
    <w:abstractNumId w:val="27"/>
  </w:num>
  <w:num w:numId="12" w16cid:durableId="1072385285">
    <w:abstractNumId w:val="0"/>
  </w:num>
  <w:num w:numId="13" w16cid:durableId="1181159535">
    <w:abstractNumId w:val="6"/>
  </w:num>
  <w:num w:numId="14" w16cid:durableId="2005738050">
    <w:abstractNumId w:val="1"/>
  </w:num>
  <w:num w:numId="15" w16cid:durableId="1266812294">
    <w:abstractNumId w:val="28"/>
  </w:num>
  <w:num w:numId="16" w16cid:durableId="1327637129">
    <w:abstractNumId w:val="7"/>
  </w:num>
  <w:num w:numId="17" w16cid:durableId="1361855967">
    <w:abstractNumId w:val="8"/>
  </w:num>
  <w:num w:numId="18" w16cid:durableId="523595252">
    <w:abstractNumId w:val="15"/>
  </w:num>
  <w:num w:numId="19" w16cid:durableId="232204465">
    <w:abstractNumId w:val="10"/>
  </w:num>
  <w:num w:numId="20" w16cid:durableId="860053772">
    <w:abstractNumId w:val="25"/>
  </w:num>
  <w:num w:numId="21" w16cid:durableId="1421173949">
    <w:abstractNumId w:val="23"/>
  </w:num>
  <w:num w:numId="22" w16cid:durableId="1248886434">
    <w:abstractNumId w:val="4"/>
  </w:num>
  <w:num w:numId="23" w16cid:durableId="228076904">
    <w:abstractNumId w:val="9"/>
  </w:num>
  <w:num w:numId="24" w16cid:durableId="456797302">
    <w:abstractNumId w:val="24"/>
  </w:num>
  <w:num w:numId="25" w16cid:durableId="51124661">
    <w:abstractNumId w:val="17"/>
  </w:num>
  <w:num w:numId="26" w16cid:durableId="1410347337">
    <w:abstractNumId w:val="21"/>
  </w:num>
  <w:num w:numId="27" w16cid:durableId="1031418742">
    <w:abstractNumId w:val="17"/>
  </w:num>
  <w:num w:numId="28" w16cid:durableId="228464369">
    <w:abstractNumId w:val="13"/>
  </w:num>
  <w:num w:numId="29" w16cid:durableId="906306367">
    <w:abstractNumId w:val="17"/>
  </w:num>
  <w:num w:numId="30" w16cid:durableId="235286114">
    <w:abstractNumId w:val="3"/>
  </w:num>
  <w:num w:numId="31" w16cid:durableId="2067338269">
    <w:abstractNumId w:val="3"/>
  </w:num>
  <w:num w:numId="32" w16cid:durableId="1637487514">
    <w:abstractNumId w:val="3"/>
  </w:num>
  <w:num w:numId="33" w16cid:durableId="1119497509">
    <w:abstractNumId w:val="3"/>
  </w:num>
  <w:num w:numId="34" w16cid:durableId="1254047159">
    <w:abstractNumId w:val="3"/>
  </w:num>
  <w:num w:numId="35" w16cid:durableId="116216021">
    <w:abstractNumId w:val="11"/>
  </w:num>
  <w:num w:numId="36" w16cid:durableId="1059016787">
    <w:abstractNumId w:val="5"/>
  </w:num>
  <w:num w:numId="37" w16cid:durableId="2075271991">
    <w:abstractNumId w:val="22"/>
  </w:num>
  <w:num w:numId="38" w16cid:durableId="19759112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08BC"/>
    <w:rsid w:val="00000B7C"/>
    <w:rsid w:val="000025B8"/>
    <w:rsid w:val="00002D19"/>
    <w:rsid w:val="00002FE3"/>
    <w:rsid w:val="0000343B"/>
    <w:rsid w:val="00005BB5"/>
    <w:rsid w:val="00005BD7"/>
    <w:rsid w:val="0000640D"/>
    <w:rsid w:val="00006658"/>
    <w:rsid w:val="00006986"/>
    <w:rsid w:val="00006CF1"/>
    <w:rsid w:val="0000725B"/>
    <w:rsid w:val="00007EC9"/>
    <w:rsid w:val="00010DE8"/>
    <w:rsid w:val="000137DD"/>
    <w:rsid w:val="000144F5"/>
    <w:rsid w:val="00014ACB"/>
    <w:rsid w:val="00014CB9"/>
    <w:rsid w:val="00016502"/>
    <w:rsid w:val="00016BAB"/>
    <w:rsid w:val="00016E56"/>
    <w:rsid w:val="00021920"/>
    <w:rsid w:val="00021CD2"/>
    <w:rsid w:val="0002455C"/>
    <w:rsid w:val="00024B5E"/>
    <w:rsid w:val="000250B6"/>
    <w:rsid w:val="00025A6F"/>
    <w:rsid w:val="00025CF9"/>
    <w:rsid w:val="00025FEB"/>
    <w:rsid w:val="0002618D"/>
    <w:rsid w:val="00026999"/>
    <w:rsid w:val="00026F0F"/>
    <w:rsid w:val="0003017C"/>
    <w:rsid w:val="0003049B"/>
    <w:rsid w:val="00030B26"/>
    <w:rsid w:val="00030E84"/>
    <w:rsid w:val="00031BAD"/>
    <w:rsid w:val="00032C0A"/>
    <w:rsid w:val="000331C1"/>
    <w:rsid w:val="000332EB"/>
    <w:rsid w:val="00033F89"/>
    <w:rsid w:val="00034591"/>
    <w:rsid w:val="00035257"/>
    <w:rsid w:val="000352A0"/>
    <w:rsid w:val="000352ED"/>
    <w:rsid w:val="00035D68"/>
    <w:rsid w:val="00035D6C"/>
    <w:rsid w:val="00036027"/>
    <w:rsid w:val="0003632A"/>
    <w:rsid w:val="0003632D"/>
    <w:rsid w:val="00040D76"/>
    <w:rsid w:val="000419A9"/>
    <w:rsid w:val="00041AD4"/>
    <w:rsid w:val="00041E95"/>
    <w:rsid w:val="00045613"/>
    <w:rsid w:val="00046424"/>
    <w:rsid w:val="00047899"/>
    <w:rsid w:val="0005084B"/>
    <w:rsid w:val="00050EBF"/>
    <w:rsid w:val="00051F24"/>
    <w:rsid w:val="0005294F"/>
    <w:rsid w:val="00053435"/>
    <w:rsid w:val="00053921"/>
    <w:rsid w:val="00054B44"/>
    <w:rsid w:val="00054FBE"/>
    <w:rsid w:val="000573D8"/>
    <w:rsid w:val="000574C8"/>
    <w:rsid w:val="00057971"/>
    <w:rsid w:val="0006006B"/>
    <w:rsid w:val="0006171F"/>
    <w:rsid w:val="0006228D"/>
    <w:rsid w:val="00062859"/>
    <w:rsid w:val="00062C0E"/>
    <w:rsid w:val="0006501B"/>
    <w:rsid w:val="00065139"/>
    <w:rsid w:val="000659E3"/>
    <w:rsid w:val="00065E1C"/>
    <w:rsid w:val="00070348"/>
    <w:rsid w:val="000717E9"/>
    <w:rsid w:val="00071A4B"/>
    <w:rsid w:val="00072BD6"/>
    <w:rsid w:val="00073066"/>
    <w:rsid w:val="000733BA"/>
    <w:rsid w:val="00073B9A"/>
    <w:rsid w:val="00073F41"/>
    <w:rsid w:val="000741EC"/>
    <w:rsid w:val="00074485"/>
    <w:rsid w:val="00074F20"/>
    <w:rsid w:val="00074F8D"/>
    <w:rsid w:val="00075ACF"/>
    <w:rsid w:val="00075B22"/>
    <w:rsid w:val="00075B78"/>
    <w:rsid w:val="000763E9"/>
    <w:rsid w:val="00076910"/>
    <w:rsid w:val="000777C1"/>
    <w:rsid w:val="00077B3F"/>
    <w:rsid w:val="00080707"/>
    <w:rsid w:val="00082B11"/>
    <w:rsid w:val="00082CD6"/>
    <w:rsid w:val="00083426"/>
    <w:rsid w:val="00083817"/>
    <w:rsid w:val="000840E3"/>
    <w:rsid w:val="0008437D"/>
    <w:rsid w:val="00084D2E"/>
    <w:rsid w:val="00085AFE"/>
    <w:rsid w:val="00085B5E"/>
    <w:rsid w:val="0008647E"/>
    <w:rsid w:val="000874D0"/>
    <w:rsid w:val="00087DE2"/>
    <w:rsid w:val="00090293"/>
    <w:rsid w:val="00090732"/>
    <w:rsid w:val="00090BEE"/>
    <w:rsid w:val="00090F4D"/>
    <w:rsid w:val="00091ED2"/>
    <w:rsid w:val="00093AF4"/>
    <w:rsid w:val="00094800"/>
    <w:rsid w:val="00095230"/>
    <w:rsid w:val="00095DA2"/>
    <w:rsid w:val="00095FF5"/>
    <w:rsid w:val="00097388"/>
    <w:rsid w:val="0009754D"/>
    <w:rsid w:val="00097F43"/>
    <w:rsid w:val="000A0158"/>
    <w:rsid w:val="000A0249"/>
    <w:rsid w:val="000A038C"/>
    <w:rsid w:val="000A0955"/>
    <w:rsid w:val="000A3395"/>
    <w:rsid w:val="000A373D"/>
    <w:rsid w:val="000A41ED"/>
    <w:rsid w:val="000A52A7"/>
    <w:rsid w:val="000A55E6"/>
    <w:rsid w:val="000A62B8"/>
    <w:rsid w:val="000A6B86"/>
    <w:rsid w:val="000A7EEA"/>
    <w:rsid w:val="000B0730"/>
    <w:rsid w:val="000B0D23"/>
    <w:rsid w:val="000B174E"/>
    <w:rsid w:val="000B26F9"/>
    <w:rsid w:val="000B33BB"/>
    <w:rsid w:val="000B47C6"/>
    <w:rsid w:val="000B4F6A"/>
    <w:rsid w:val="000B6D57"/>
    <w:rsid w:val="000B7325"/>
    <w:rsid w:val="000C3DE6"/>
    <w:rsid w:val="000C4A70"/>
    <w:rsid w:val="000C5024"/>
    <w:rsid w:val="000D0584"/>
    <w:rsid w:val="000D064E"/>
    <w:rsid w:val="000D0B46"/>
    <w:rsid w:val="000D0D64"/>
    <w:rsid w:val="000D12E3"/>
    <w:rsid w:val="000D19F4"/>
    <w:rsid w:val="000D2E1E"/>
    <w:rsid w:val="000D380F"/>
    <w:rsid w:val="000D3C83"/>
    <w:rsid w:val="000D3D56"/>
    <w:rsid w:val="000D422D"/>
    <w:rsid w:val="000D58DD"/>
    <w:rsid w:val="000D6D3D"/>
    <w:rsid w:val="000D7915"/>
    <w:rsid w:val="000E2F44"/>
    <w:rsid w:val="000E34D1"/>
    <w:rsid w:val="000E4719"/>
    <w:rsid w:val="000E473A"/>
    <w:rsid w:val="000E5CEF"/>
    <w:rsid w:val="000E6929"/>
    <w:rsid w:val="000E74B9"/>
    <w:rsid w:val="000F18CA"/>
    <w:rsid w:val="000F1F42"/>
    <w:rsid w:val="000F2AE2"/>
    <w:rsid w:val="000F2B7B"/>
    <w:rsid w:val="000F2BFF"/>
    <w:rsid w:val="000F2C22"/>
    <w:rsid w:val="000F537E"/>
    <w:rsid w:val="000F69B3"/>
    <w:rsid w:val="000F73C5"/>
    <w:rsid w:val="000F7B54"/>
    <w:rsid w:val="0010099B"/>
    <w:rsid w:val="00101FAD"/>
    <w:rsid w:val="00102063"/>
    <w:rsid w:val="00102AD7"/>
    <w:rsid w:val="001053FC"/>
    <w:rsid w:val="0010541C"/>
    <w:rsid w:val="00105770"/>
    <w:rsid w:val="00105B7E"/>
    <w:rsid w:val="00105E3F"/>
    <w:rsid w:val="00106509"/>
    <w:rsid w:val="00106F93"/>
    <w:rsid w:val="00111D50"/>
    <w:rsid w:val="001120B0"/>
    <w:rsid w:val="001133BF"/>
    <w:rsid w:val="00113B8E"/>
    <w:rsid w:val="00117C48"/>
    <w:rsid w:val="00117E49"/>
    <w:rsid w:val="00117F59"/>
    <w:rsid w:val="0012053C"/>
    <w:rsid w:val="00121579"/>
    <w:rsid w:val="00122363"/>
    <w:rsid w:val="001239AA"/>
    <w:rsid w:val="001239D4"/>
    <w:rsid w:val="00124B35"/>
    <w:rsid w:val="00125D45"/>
    <w:rsid w:val="00126646"/>
    <w:rsid w:val="00127E42"/>
    <w:rsid w:val="00130D49"/>
    <w:rsid w:val="001313B3"/>
    <w:rsid w:val="00133E4B"/>
    <w:rsid w:val="0013418F"/>
    <w:rsid w:val="001342C7"/>
    <w:rsid w:val="00135695"/>
    <w:rsid w:val="0013585C"/>
    <w:rsid w:val="00135B08"/>
    <w:rsid w:val="00137696"/>
    <w:rsid w:val="00140223"/>
    <w:rsid w:val="00142261"/>
    <w:rsid w:val="00142954"/>
    <w:rsid w:val="00142A20"/>
    <w:rsid w:val="00142EF1"/>
    <w:rsid w:val="00142F2E"/>
    <w:rsid w:val="00143354"/>
    <w:rsid w:val="001460E0"/>
    <w:rsid w:val="00146AED"/>
    <w:rsid w:val="001472F0"/>
    <w:rsid w:val="00147EE2"/>
    <w:rsid w:val="00147F71"/>
    <w:rsid w:val="0015031A"/>
    <w:rsid w:val="00150A6E"/>
    <w:rsid w:val="00151A36"/>
    <w:rsid w:val="00151EB5"/>
    <w:rsid w:val="00154C8C"/>
    <w:rsid w:val="00155622"/>
    <w:rsid w:val="00160FAB"/>
    <w:rsid w:val="001623C2"/>
    <w:rsid w:val="00162788"/>
    <w:rsid w:val="0016304B"/>
    <w:rsid w:val="0016318F"/>
    <w:rsid w:val="00164193"/>
    <w:rsid w:val="0016468A"/>
    <w:rsid w:val="0016585F"/>
    <w:rsid w:val="00165EA1"/>
    <w:rsid w:val="00166033"/>
    <w:rsid w:val="001662B5"/>
    <w:rsid w:val="001676A9"/>
    <w:rsid w:val="0017070E"/>
    <w:rsid w:val="00170766"/>
    <w:rsid w:val="00171B0D"/>
    <w:rsid w:val="00172E37"/>
    <w:rsid w:val="00172F39"/>
    <w:rsid w:val="00173864"/>
    <w:rsid w:val="00174F02"/>
    <w:rsid w:val="001750E2"/>
    <w:rsid w:val="0017525F"/>
    <w:rsid w:val="00175397"/>
    <w:rsid w:val="0017677B"/>
    <w:rsid w:val="0017716A"/>
    <w:rsid w:val="001805AD"/>
    <w:rsid w:val="00182192"/>
    <w:rsid w:val="00182345"/>
    <w:rsid w:val="00182A4C"/>
    <w:rsid w:val="0018376C"/>
    <w:rsid w:val="001848BE"/>
    <w:rsid w:val="00184C63"/>
    <w:rsid w:val="00185BB9"/>
    <w:rsid w:val="0018662D"/>
    <w:rsid w:val="00190174"/>
    <w:rsid w:val="00190D3C"/>
    <w:rsid w:val="001918C2"/>
    <w:rsid w:val="00192B84"/>
    <w:rsid w:val="001941EC"/>
    <w:rsid w:val="00194739"/>
    <w:rsid w:val="00196227"/>
    <w:rsid w:val="0019735F"/>
    <w:rsid w:val="00197427"/>
    <w:rsid w:val="001A21B4"/>
    <w:rsid w:val="001A28DB"/>
    <w:rsid w:val="001A3E29"/>
    <w:rsid w:val="001A4996"/>
    <w:rsid w:val="001A4F19"/>
    <w:rsid w:val="001A5CF5"/>
    <w:rsid w:val="001A79D5"/>
    <w:rsid w:val="001B10A4"/>
    <w:rsid w:val="001B1B0C"/>
    <w:rsid w:val="001B24B2"/>
    <w:rsid w:val="001B2832"/>
    <w:rsid w:val="001B39D2"/>
    <w:rsid w:val="001B4BF8"/>
    <w:rsid w:val="001B7B14"/>
    <w:rsid w:val="001C059C"/>
    <w:rsid w:val="001C228A"/>
    <w:rsid w:val="001C25C2"/>
    <w:rsid w:val="001C2A0D"/>
    <w:rsid w:val="001C37B0"/>
    <w:rsid w:val="001C4326"/>
    <w:rsid w:val="001C48F1"/>
    <w:rsid w:val="001C4F98"/>
    <w:rsid w:val="001C5A86"/>
    <w:rsid w:val="001C5BFC"/>
    <w:rsid w:val="001C5FEA"/>
    <w:rsid w:val="001C665E"/>
    <w:rsid w:val="001C6E8F"/>
    <w:rsid w:val="001C7407"/>
    <w:rsid w:val="001D0C73"/>
    <w:rsid w:val="001D0FA6"/>
    <w:rsid w:val="001D129C"/>
    <w:rsid w:val="001D1A0D"/>
    <w:rsid w:val="001D2373"/>
    <w:rsid w:val="001D2A95"/>
    <w:rsid w:val="001D3541"/>
    <w:rsid w:val="001D3E4E"/>
    <w:rsid w:val="001D45B6"/>
    <w:rsid w:val="001D5937"/>
    <w:rsid w:val="001D6A97"/>
    <w:rsid w:val="001E05A3"/>
    <w:rsid w:val="001E0A46"/>
    <w:rsid w:val="001E18BF"/>
    <w:rsid w:val="001E1AB7"/>
    <w:rsid w:val="001E2012"/>
    <w:rsid w:val="001E254A"/>
    <w:rsid w:val="001E4339"/>
    <w:rsid w:val="001E4E54"/>
    <w:rsid w:val="001E4E57"/>
    <w:rsid w:val="001E5C8D"/>
    <w:rsid w:val="001E6004"/>
    <w:rsid w:val="001E63CA"/>
    <w:rsid w:val="001E7386"/>
    <w:rsid w:val="001E79FC"/>
    <w:rsid w:val="001F009E"/>
    <w:rsid w:val="001F2B19"/>
    <w:rsid w:val="001F45A7"/>
    <w:rsid w:val="001F50F5"/>
    <w:rsid w:val="001F5E27"/>
    <w:rsid w:val="001F6067"/>
    <w:rsid w:val="001F75E7"/>
    <w:rsid w:val="0020027C"/>
    <w:rsid w:val="00201A01"/>
    <w:rsid w:val="00201B11"/>
    <w:rsid w:val="0020271C"/>
    <w:rsid w:val="00202942"/>
    <w:rsid w:val="00205D71"/>
    <w:rsid w:val="002065D0"/>
    <w:rsid w:val="0020726B"/>
    <w:rsid w:val="0020754B"/>
    <w:rsid w:val="00207ACB"/>
    <w:rsid w:val="002104D3"/>
    <w:rsid w:val="00210E5F"/>
    <w:rsid w:val="002113A6"/>
    <w:rsid w:val="002121DA"/>
    <w:rsid w:val="00213A33"/>
    <w:rsid w:val="00215CA8"/>
    <w:rsid w:val="0021763B"/>
    <w:rsid w:val="00221C05"/>
    <w:rsid w:val="00221C3D"/>
    <w:rsid w:val="0022452B"/>
    <w:rsid w:val="00225986"/>
    <w:rsid w:val="002260E5"/>
    <w:rsid w:val="00226A16"/>
    <w:rsid w:val="00226C63"/>
    <w:rsid w:val="00230786"/>
    <w:rsid w:val="00231B42"/>
    <w:rsid w:val="00231B8F"/>
    <w:rsid w:val="00231D20"/>
    <w:rsid w:val="00232903"/>
    <w:rsid w:val="00232CBC"/>
    <w:rsid w:val="00232E9F"/>
    <w:rsid w:val="0023307A"/>
    <w:rsid w:val="00234BDC"/>
    <w:rsid w:val="00234C7D"/>
    <w:rsid w:val="00236CCC"/>
    <w:rsid w:val="00240C7A"/>
    <w:rsid w:val="002437F6"/>
    <w:rsid w:val="00245748"/>
    <w:rsid w:val="002457B1"/>
    <w:rsid w:val="00245F9E"/>
    <w:rsid w:val="00246DB1"/>
    <w:rsid w:val="00246EAB"/>
    <w:rsid w:val="00247207"/>
    <w:rsid w:val="002476B5"/>
    <w:rsid w:val="00250493"/>
    <w:rsid w:val="00250903"/>
    <w:rsid w:val="002520CC"/>
    <w:rsid w:val="00252227"/>
    <w:rsid w:val="002525A8"/>
    <w:rsid w:val="00253ECF"/>
    <w:rsid w:val="00254044"/>
    <w:rsid w:val="002546A1"/>
    <w:rsid w:val="00255801"/>
    <w:rsid w:val="00256400"/>
    <w:rsid w:val="002575E8"/>
    <w:rsid w:val="00257EF1"/>
    <w:rsid w:val="00260203"/>
    <w:rsid w:val="002603EA"/>
    <w:rsid w:val="00261C60"/>
    <w:rsid w:val="00261F6A"/>
    <w:rsid w:val="00262710"/>
    <w:rsid w:val="002628F4"/>
    <w:rsid w:val="00262B35"/>
    <w:rsid w:val="002653D8"/>
    <w:rsid w:val="00266402"/>
    <w:rsid w:val="00267B38"/>
    <w:rsid w:val="00270698"/>
    <w:rsid w:val="00271B66"/>
    <w:rsid w:val="00272C35"/>
    <w:rsid w:val="002735D4"/>
    <w:rsid w:val="002738C9"/>
    <w:rsid w:val="00274DD1"/>
    <w:rsid w:val="00275D08"/>
    <w:rsid w:val="00276922"/>
    <w:rsid w:val="002774A5"/>
    <w:rsid w:val="00280AC0"/>
    <w:rsid w:val="00280AFB"/>
    <w:rsid w:val="00281C33"/>
    <w:rsid w:val="00282B61"/>
    <w:rsid w:val="002839AF"/>
    <w:rsid w:val="002850C8"/>
    <w:rsid w:val="0028553D"/>
    <w:rsid w:val="002858E3"/>
    <w:rsid w:val="00287B05"/>
    <w:rsid w:val="002900DB"/>
    <w:rsid w:val="0029190A"/>
    <w:rsid w:val="00292C5A"/>
    <w:rsid w:val="0029343B"/>
    <w:rsid w:val="002935C2"/>
    <w:rsid w:val="00293669"/>
    <w:rsid w:val="00293953"/>
    <w:rsid w:val="002939E3"/>
    <w:rsid w:val="0029446D"/>
    <w:rsid w:val="002946D3"/>
    <w:rsid w:val="00295241"/>
    <w:rsid w:val="00295BE8"/>
    <w:rsid w:val="00295C54"/>
    <w:rsid w:val="00296057"/>
    <w:rsid w:val="002962DA"/>
    <w:rsid w:val="0029677C"/>
    <w:rsid w:val="00297C4F"/>
    <w:rsid w:val="002A0179"/>
    <w:rsid w:val="002A06BE"/>
    <w:rsid w:val="002A1B7C"/>
    <w:rsid w:val="002A3448"/>
    <w:rsid w:val="002A4650"/>
    <w:rsid w:val="002A4780"/>
    <w:rsid w:val="002A4D6A"/>
    <w:rsid w:val="002A4DFC"/>
    <w:rsid w:val="002A5B3C"/>
    <w:rsid w:val="002A68B7"/>
    <w:rsid w:val="002A7898"/>
    <w:rsid w:val="002A7943"/>
    <w:rsid w:val="002B047D"/>
    <w:rsid w:val="002B07F3"/>
    <w:rsid w:val="002B0976"/>
    <w:rsid w:val="002B1886"/>
    <w:rsid w:val="002B192D"/>
    <w:rsid w:val="002B48E9"/>
    <w:rsid w:val="002B5233"/>
    <w:rsid w:val="002B5583"/>
    <w:rsid w:val="002B5BE3"/>
    <w:rsid w:val="002B732B"/>
    <w:rsid w:val="002B76A7"/>
    <w:rsid w:val="002B7779"/>
    <w:rsid w:val="002B7B2F"/>
    <w:rsid w:val="002B7BEC"/>
    <w:rsid w:val="002C0E24"/>
    <w:rsid w:val="002C0E3E"/>
    <w:rsid w:val="002C11B5"/>
    <w:rsid w:val="002C1EBF"/>
    <w:rsid w:val="002C2219"/>
    <w:rsid w:val="002C2552"/>
    <w:rsid w:val="002C34E7"/>
    <w:rsid w:val="002C380A"/>
    <w:rsid w:val="002C3D8C"/>
    <w:rsid w:val="002C53C0"/>
    <w:rsid w:val="002C751B"/>
    <w:rsid w:val="002C7DC3"/>
    <w:rsid w:val="002D070F"/>
    <w:rsid w:val="002D0DF2"/>
    <w:rsid w:val="002D23BD"/>
    <w:rsid w:val="002D5A41"/>
    <w:rsid w:val="002D693A"/>
    <w:rsid w:val="002D7AC6"/>
    <w:rsid w:val="002E0B47"/>
    <w:rsid w:val="002E0FE0"/>
    <w:rsid w:val="002E1E94"/>
    <w:rsid w:val="002E29A0"/>
    <w:rsid w:val="002E3D48"/>
    <w:rsid w:val="002E4B20"/>
    <w:rsid w:val="002E58CA"/>
    <w:rsid w:val="002F0438"/>
    <w:rsid w:val="002F0894"/>
    <w:rsid w:val="002F2F0A"/>
    <w:rsid w:val="002F34AD"/>
    <w:rsid w:val="002F39A3"/>
    <w:rsid w:val="002F3A0D"/>
    <w:rsid w:val="002F3FD2"/>
    <w:rsid w:val="002F44FB"/>
    <w:rsid w:val="002F4685"/>
    <w:rsid w:val="002F5502"/>
    <w:rsid w:val="002F7213"/>
    <w:rsid w:val="002F7A8B"/>
    <w:rsid w:val="003001F7"/>
    <w:rsid w:val="00300B55"/>
    <w:rsid w:val="00301026"/>
    <w:rsid w:val="003015F4"/>
    <w:rsid w:val="00301EFE"/>
    <w:rsid w:val="00302715"/>
    <w:rsid w:val="0030355B"/>
    <w:rsid w:val="0030382F"/>
    <w:rsid w:val="0030408D"/>
    <w:rsid w:val="00305198"/>
    <w:rsid w:val="003060E4"/>
    <w:rsid w:val="003073AE"/>
    <w:rsid w:val="0030758F"/>
    <w:rsid w:val="00310A79"/>
    <w:rsid w:val="00311554"/>
    <w:rsid w:val="0031188E"/>
    <w:rsid w:val="0031222F"/>
    <w:rsid w:val="00313F73"/>
    <w:rsid w:val="0031402E"/>
    <w:rsid w:val="003145C0"/>
    <w:rsid w:val="003156D9"/>
    <w:rsid w:val="003160E7"/>
    <w:rsid w:val="0031739E"/>
    <w:rsid w:val="00317DA3"/>
    <w:rsid w:val="003212F4"/>
    <w:rsid w:val="00321381"/>
    <w:rsid w:val="0032138D"/>
    <w:rsid w:val="0032221D"/>
    <w:rsid w:val="0032341E"/>
    <w:rsid w:val="003235C6"/>
    <w:rsid w:val="00323995"/>
    <w:rsid w:val="0032582F"/>
    <w:rsid w:val="0032654A"/>
    <w:rsid w:val="0032732C"/>
    <w:rsid w:val="00327FE8"/>
    <w:rsid w:val="003309CA"/>
    <w:rsid w:val="00330ADC"/>
    <w:rsid w:val="00331D12"/>
    <w:rsid w:val="003325AB"/>
    <w:rsid w:val="003332D1"/>
    <w:rsid w:val="0033396A"/>
    <w:rsid w:val="0033412B"/>
    <w:rsid w:val="0033448B"/>
    <w:rsid w:val="0033493D"/>
    <w:rsid w:val="00335FA3"/>
    <w:rsid w:val="00336188"/>
    <w:rsid w:val="00341161"/>
    <w:rsid w:val="00341ADB"/>
    <w:rsid w:val="00343365"/>
    <w:rsid w:val="003436BD"/>
    <w:rsid w:val="00344097"/>
    <w:rsid w:val="003445F4"/>
    <w:rsid w:val="00344D9D"/>
    <w:rsid w:val="00345349"/>
    <w:rsid w:val="00345902"/>
    <w:rsid w:val="00346AD2"/>
    <w:rsid w:val="003519BA"/>
    <w:rsid w:val="00353501"/>
    <w:rsid w:val="00353734"/>
    <w:rsid w:val="003538D4"/>
    <w:rsid w:val="00356EB9"/>
    <w:rsid w:val="003606F8"/>
    <w:rsid w:val="00360BF0"/>
    <w:rsid w:val="0036142D"/>
    <w:rsid w:val="00361C17"/>
    <w:rsid w:val="003620B1"/>
    <w:rsid w:val="00362519"/>
    <w:rsid w:val="003641D0"/>
    <w:rsid w:val="0036455A"/>
    <w:rsid w:val="003648EF"/>
    <w:rsid w:val="003673E6"/>
    <w:rsid w:val="00367618"/>
    <w:rsid w:val="00367EFF"/>
    <w:rsid w:val="0037038F"/>
    <w:rsid w:val="00370463"/>
    <w:rsid w:val="00370FB0"/>
    <w:rsid w:val="0037275B"/>
    <w:rsid w:val="00373236"/>
    <w:rsid w:val="00374226"/>
    <w:rsid w:val="00374349"/>
    <w:rsid w:val="0037519E"/>
    <w:rsid w:val="00377264"/>
    <w:rsid w:val="003775A1"/>
    <w:rsid w:val="003779D2"/>
    <w:rsid w:val="00377FD1"/>
    <w:rsid w:val="00380094"/>
    <w:rsid w:val="003810D3"/>
    <w:rsid w:val="00381F3C"/>
    <w:rsid w:val="00382FD4"/>
    <w:rsid w:val="00384186"/>
    <w:rsid w:val="003846CB"/>
    <w:rsid w:val="00385DE2"/>
    <w:rsid w:val="00385E38"/>
    <w:rsid w:val="00390DB7"/>
    <w:rsid w:val="0039226D"/>
    <w:rsid w:val="003938F0"/>
    <w:rsid w:val="00394C71"/>
    <w:rsid w:val="00395DAC"/>
    <w:rsid w:val="00396985"/>
    <w:rsid w:val="003A1032"/>
    <w:rsid w:val="003A1155"/>
    <w:rsid w:val="003A26A5"/>
    <w:rsid w:val="003A2E4D"/>
    <w:rsid w:val="003A3024"/>
    <w:rsid w:val="003A3666"/>
    <w:rsid w:val="003A3761"/>
    <w:rsid w:val="003A512D"/>
    <w:rsid w:val="003A5FEA"/>
    <w:rsid w:val="003A710B"/>
    <w:rsid w:val="003B09AA"/>
    <w:rsid w:val="003B0DEF"/>
    <w:rsid w:val="003B1D10"/>
    <w:rsid w:val="003B1D67"/>
    <w:rsid w:val="003B22C7"/>
    <w:rsid w:val="003B31FA"/>
    <w:rsid w:val="003B4918"/>
    <w:rsid w:val="003B4A76"/>
    <w:rsid w:val="003B5A67"/>
    <w:rsid w:val="003B6589"/>
    <w:rsid w:val="003C0F47"/>
    <w:rsid w:val="003C310C"/>
    <w:rsid w:val="003C438E"/>
    <w:rsid w:val="003C4607"/>
    <w:rsid w:val="003C47EF"/>
    <w:rsid w:val="003C76D4"/>
    <w:rsid w:val="003D06E7"/>
    <w:rsid w:val="003D137D"/>
    <w:rsid w:val="003D298A"/>
    <w:rsid w:val="003D2CC5"/>
    <w:rsid w:val="003D3CC4"/>
    <w:rsid w:val="003D3E5C"/>
    <w:rsid w:val="003D4565"/>
    <w:rsid w:val="003D5350"/>
    <w:rsid w:val="003D65F7"/>
    <w:rsid w:val="003D72D0"/>
    <w:rsid w:val="003E01AC"/>
    <w:rsid w:val="003E04C1"/>
    <w:rsid w:val="003E0887"/>
    <w:rsid w:val="003E0FF6"/>
    <w:rsid w:val="003E1C46"/>
    <w:rsid w:val="003E278B"/>
    <w:rsid w:val="003E3F90"/>
    <w:rsid w:val="003E5DAD"/>
    <w:rsid w:val="003E7342"/>
    <w:rsid w:val="003E74C8"/>
    <w:rsid w:val="003E74E2"/>
    <w:rsid w:val="003E7C46"/>
    <w:rsid w:val="003F14F9"/>
    <w:rsid w:val="003F19CB"/>
    <w:rsid w:val="003F2106"/>
    <w:rsid w:val="003F2561"/>
    <w:rsid w:val="003F30D8"/>
    <w:rsid w:val="003F3A58"/>
    <w:rsid w:val="003F3B46"/>
    <w:rsid w:val="003F3BCA"/>
    <w:rsid w:val="003F52A7"/>
    <w:rsid w:val="003F5DD0"/>
    <w:rsid w:val="003F68A4"/>
    <w:rsid w:val="003F6D0C"/>
    <w:rsid w:val="003F7013"/>
    <w:rsid w:val="003F7483"/>
    <w:rsid w:val="003F7A5C"/>
    <w:rsid w:val="003F7D57"/>
    <w:rsid w:val="003F7F6A"/>
    <w:rsid w:val="0040021E"/>
    <w:rsid w:val="004008CA"/>
    <w:rsid w:val="00400A78"/>
    <w:rsid w:val="00400BA1"/>
    <w:rsid w:val="0040240C"/>
    <w:rsid w:val="00402D96"/>
    <w:rsid w:val="00404EF1"/>
    <w:rsid w:val="0040588C"/>
    <w:rsid w:val="00405F13"/>
    <w:rsid w:val="0040633B"/>
    <w:rsid w:val="00406414"/>
    <w:rsid w:val="0040784C"/>
    <w:rsid w:val="00407D08"/>
    <w:rsid w:val="00410B6F"/>
    <w:rsid w:val="00410F0B"/>
    <w:rsid w:val="00411DF3"/>
    <w:rsid w:val="00412E0D"/>
    <w:rsid w:val="00413021"/>
    <w:rsid w:val="004130C7"/>
    <w:rsid w:val="00414072"/>
    <w:rsid w:val="00414C35"/>
    <w:rsid w:val="004154E7"/>
    <w:rsid w:val="00415C49"/>
    <w:rsid w:val="00415C63"/>
    <w:rsid w:val="004171B7"/>
    <w:rsid w:val="0041726F"/>
    <w:rsid w:val="00417856"/>
    <w:rsid w:val="00417DFE"/>
    <w:rsid w:val="004208F5"/>
    <w:rsid w:val="00422854"/>
    <w:rsid w:val="00422977"/>
    <w:rsid w:val="00425713"/>
    <w:rsid w:val="00425D2E"/>
    <w:rsid w:val="004264C8"/>
    <w:rsid w:val="00426DF2"/>
    <w:rsid w:val="00426FE4"/>
    <w:rsid w:val="004300DD"/>
    <w:rsid w:val="004301C6"/>
    <w:rsid w:val="00430BDE"/>
    <w:rsid w:val="00432139"/>
    <w:rsid w:val="004330E7"/>
    <w:rsid w:val="004340FD"/>
    <w:rsid w:val="0043478F"/>
    <w:rsid w:val="0043602B"/>
    <w:rsid w:val="004367D2"/>
    <w:rsid w:val="004374A3"/>
    <w:rsid w:val="00437539"/>
    <w:rsid w:val="00440BE0"/>
    <w:rsid w:val="00441E80"/>
    <w:rsid w:val="00442459"/>
    <w:rsid w:val="00442A06"/>
    <w:rsid w:val="00442C1C"/>
    <w:rsid w:val="00442F9A"/>
    <w:rsid w:val="004431D9"/>
    <w:rsid w:val="0044404B"/>
    <w:rsid w:val="00444D02"/>
    <w:rsid w:val="0044584B"/>
    <w:rsid w:val="00446217"/>
    <w:rsid w:val="00447CB7"/>
    <w:rsid w:val="00450CB2"/>
    <w:rsid w:val="00450E99"/>
    <w:rsid w:val="004511A6"/>
    <w:rsid w:val="004533EE"/>
    <w:rsid w:val="00454942"/>
    <w:rsid w:val="00454BA9"/>
    <w:rsid w:val="00455CC9"/>
    <w:rsid w:val="00456DFF"/>
    <w:rsid w:val="00457A13"/>
    <w:rsid w:val="00460826"/>
    <w:rsid w:val="00460B1E"/>
    <w:rsid w:val="00460EA7"/>
    <w:rsid w:val="0046195B"/>
    <w:rsid w:val="004632D0"/>
    <w:rsid w:val="004632D4"/>
    <w:rsid w:val="0046362D"/>
    <w:rsid w:val="00465915"/>
    <w:rsid w:val="0046596D"/>
    <w:rsid w:val="004666AC"/>
    <w:rsid w:val="004705C6"/>
    <w:rsid w:val="00470C07"/>
    <w:rsid w:val="004712B6"/>
    <w:rsid w:val="004747D5"/>
    <w:rsid w:val="00475552"/>
    <w:rsid w:val="00475B23"/>
    <w:rsid w:val="00476278"/>
    <w:rsid w:val="00476B21"/>
    <w:rsid w:val="00476BBC"/>
    <w:rsid w:val="004772C6"/>
    <w:rsid w:val="004807D4"/>
    <w:rsid w:val="0048089C"/>
    <w:rsid w:val="0048152B"/>
    <w:rsid w:val="00481E07"/>
    <w:rsid w:val="004823DA"/>
    <w:rsid w:val="0048345C"/>
    <w:rsid w:val="00483FF5"/>
    <w:rsid w:val="00484AC6"/>
    <w:rsid w:val="00484E29"/>
    <w:rsid w:val="0048528C"/>
    <w:rsid w:val="004852AB"/>
    <w:rsid w:val="00486288"/>
    <w:rsid w:val="004862FA"/>
    <w:rsid w:val="00486356"/>
    <w:rsid w:val="00487617"/>
    <w:rsid w:val="00487C04"/>
    <w:rsid w:val="004902C3"/>
    <w:rsid w:val="004907E1"/>
    <w:rsid w:val="0049107A"/>
    <w:rsid w:val="00491CAD"/>
    <w:rsid w:val="00492394"/>
    <w:rsid w:val="004936CE"/>
    <w:rsid w:val="00494C8E"/>
    <w:rsid w:val="004959E6"/>
    <w:rsid w:val="00495C36"/>
    <w:rsid w:val="0049614E"/>
    <w:rsid w:val="004966E5"/>
    <w:rsid w:val="004975BE"/>
    <w:rsid w:val="004A035B"/>
    <w:rsid w:val="004A144E"/>
    <w:rsid w:val="004A2108"/>
    <w:rsid w:val="004A38D7"/>
    <w:rsid w:val="004A3F9B"/>
    <w:rsid w:val="004A778C"/>
    <w:rsid w:val="004A7CAA"/>
    <w:rsid w:val="004A7FBD"/>
    <w:rsid w:val="004B14DD"/>
    <w:rsid w:val="004B48C7"/>
    <w:rsid w:val="004B5068"/>
    <w:rsid w:val="004B51E0"/>
    <w:rsid w:val="004B55B1"/>
    <w:rsid w:val="004B58E4"/>
    <w:rsid w:val="004B6D2A"/>
    <w:rsid w:val="004C0C45"/>
    <w:rsid w:val="004C15F3"/>
    <w:rsid w:val="004C1940"/>
    <w:rsid w:val="004C2C33"/>
    <w:rsid w:val="004C2C34"/>
    <w:rsid w:val="004C2E6A"/>
    <w:rsid w:val="004C4884"/>
    <w:rsid w:val="004C5126"/>
    <w:rsid w:val="004C5513"/>
    <w:rsid w:val="004C64B8"/>
    <w:rsid w:val="004D045D"/>
    <w:rsid w:val="004D0EEA"/>
    <w:rsid w:val="004D19C6"/>
    <w:rsid w:val="004D2165"/>
    <w:rsid w:val="004D2A2D"/>
    <w:rsid w:val="004D38A9"/>
    <w:rsid w:val="004D479F"/>
    <w:rsid w:val="004D6689"/>
    <w:rsid w:val="004D68F5"/>
    <w:rsid w:val="004D6E02"/>
    <w:rsid w:val="004D7D4D"/>
    <w:rsid w:val="004D7FBB"/>
    <w:rsid w:val="004E0726"/>
    <w:rsid w:val="004E073E"/>
    <w:rsid w:val="004E0BF7"/>
    <w:rsid w:val="004E1D1D"/>
    <w:rsid w:val="004E2A69"/>
    <w:rsid w:val="004E3128"/>
    <w:rsid w:val="004E77D1"/>
    <w:rsid w:val="004E7905"/>
    <w:rsid w:val="004E7AC8"/>
    <w:rsid w:val="004F00FD"/>
    <w:rsid w:val="004F05F4"/>
    <w:rsid w:val="004F0BAC"/>
    <w:rsid w:val="004F0C94"/>
    <w:rsid w:val="004F1727"/>
    <w:rsid w:val="004F405D"/>
    <w:rsid w:val="004F4514"/>
    <w:rsid w:val="004F4E9A"/>
    <w:rsid w:val="004F59CB"/>
    <w:rsid w:val="004F710D"/>
    <w:rsid w:val="005019AE"/>
    <w:rsid w:val="0050211B"/>
    <w:rsid w:val="00502F3A"/>
    <w:rsid w:val="00503348"/>
    <w:rsid w:val="00503749"/>
    <w:rsid w:val="00503D59"/>
    <w:rsid w:val="005045F8"/>
    <w:rsid w:val="00504CF4"/>
    <w:rsid w:val="0050635B"/>
    <w:rsid w:val="005075B3"/>
    <w:rsid w:val="00510C65"/>
    <w:rsid w:val="00512760"/>
    <w:rsid w:val="005139A3"/>
    <w:rsid w:val="005151C2"/>
    <w:rsid w:val="005160D6"/>
    <w:rsid w:val="0051751C"/>
    <w:rsid w:val="00517E17"/>
    <w:rsid w:val="0052031C"/>
    <w:rsid w:val="00520819"/>
    <w:rsid w:val="005208EE"/>
    <w:rsid w:val="0052164B"/>
    <w:rsid w:val="00521873"/>
    <w:rsid w:val="00522C36"/>
    <w:rsid w:val="00525A9A"/>
    <w:rsid w:val="0052603E"/>
    <w:rsid w:val="0052666E"/>
    <w:rsid w:val="00526DA0"/>
    <w:rsid w:val="00526EB0"/>
    <w:rsid w:val="005275A0"/>
    <w:rsid w:val="005275E8"/>
    <w:rsid w:val="00527767"/>
    <w:rsid w:val="00527A99"/>
    <w:rsid w:val="005309FE"/>
    <w:rsid w:val="00531058"/>
    <w:rsid w:val="0053199F"/>
    <w:rsid w:val="00531E12"/>
    <w:rsid w:val="00532472"/>
    <w:rsid w:val="0053294C"/>
    <w:rsid w:val="00533B90"/>
    <w:rsid w:val="00534672"/>
    <w:rsid w:val="0053553A"/>
    <w:rsid w:val="005360B2"/>
    <w:rsid w:val="00537856"/>
    <w:rsid w:val="00540399"/>
    <w:rsid w:val="0054093E"/>
    <w:rsid w:val="005410F8"/>
    <w:rsid w:val="005422C5"/>
    <w:rsid w:val="0054267F"/>
    <w:rsid w:val="005445A1"/>
    <w:rsid w:val="005448EC"/>
    <w:rsid w:val="00545963"/>
    <w:rsid w:val="005459D5"/>
    <w:rsid w:val="005474EA"/>
    <w:rsid w:val="00550072"/>
    <w:rsid w:val="00550166"/>
    <w:rsid w:val="00550256"/>
    <w:rsid w:val="005504D0"/>
    <w:rsid w:val="00553165"/>
    <w:rsid w:val="00553958"/>
    <w:rsid w:val="0055681D"/>
    <w:rsid w:val="00556BB7"/>
    <w:rsid w:val="00556F2F"/>
    <w:rsid w:val="0055763D"/>
    <w:rsid w:val="00557FFA"/>
    <w:rsid w:val="0056052A"/>
    <w:rsid w:val="00561516"/>
    <w:rsid w:val="005621F2"/>
    <w:rsid w:val="00566055"/>
    <w:rsid w:val="00567B58"/>
    <w:rsid w:val="00567FEB"/>
    <w:rsid w:val="00570B7A"/>
    <w:rsid w:val="00571223"/>
    <w:rsid w:val="00572E7D"/>
    <w:rsid w:val="00572EC6"/>
    <w:rsid w:val="0057584B"/>
    <w:rsid w:val="00576006"/>
    <w:rsid w:val="005763E0"/>
    <w:rsid w:val="0057742F"/>
    <w:rsid w:val="00577AB1"/>
    <w:rsid w:val="00581136"/>
    <w:rsid w:val="005817EA"/>
    <w:rsid w:val="0058182F"/>
    <w:rsid w:val="00581ABC"/>
    <w:rsid w:val="00581EB8"/>
    <w:rsid w:val="005839E7"/>
    <w:rsid w:val="0058437F"/>
    <w:rsid w:val="00585023"/>
    <w:rsid w:val="00586AC3"/>
    <w:rsid w:val="00587214"/>
    <w:rsid w:val="00587F56"/>
    <w:rsid w:val="00590DFE"/>
    <w:rsid w:val="005911E3"/>
    <w:rsid w:val="005915D6"/>
    <w:rsid w:val="005923EE"/>
    <w:rsid w:val="00592411"/>
    <w:rsid w:val="0059392F"/>
    <w:rsid w:val="00594544"/>
    <w:rsid w:val="005954D9"/>
    <w:rsid w:val="005958FA"/>
    <w:rsid w:val="005967F4"/>
    <w:rsid w:val="005A050E"/>
    <w:rsid w:val="005A1EAF"/>
    <w:rsid w:val="005A27CA"/>
    <w:rsid w:val="005A2E8E"/>
    <w:rsid w:val="005A3C31"/>
    <w:rsid w:val="005A3E2D"/>
    <w:rsid w:val="005A43BD"/>
    <w:rsid w:val="005A44CE"/>
    <w:rsid w:val="005A5386"/>
    <w:rsid w:val="005A588B"/>
    <w:rsid w:val="005A659F"/>
    <w:rsid w:val="005A7322"/>
    <w:rsid w:val="005A79E5"/>
    <w:rsid w:val="005B1783"/>
    <w:rsid w:val="005B278B"/>
    <w:rsid w:val="005B2EF2"/>
    <w:rsid w:val="005B35AE"/>
    <w:rsid w:val="005B3DAE"/>
    <w:rsid w:val="005B4BA7"/>
    <w:rsid w:val="005B7423"/>
    <w:rsid w:val="005C0052"/>
    <w:rsid w:val="005C0565"/>
    <w:rsid w:val="005C07F8"/>
    <w:rsid w:val="005C0B9C"/>
    <w:rsid w:val="005C27DA"/>
    <w:rsid w:val="005C2889"/>
    <w:rsid w:val="005C3553"/>
    <w:rsid w:val="005C401A"/>
    <w:rsid w:val="005C41A7"/>
    <w:rsid w:val="005C5C43"/>
    <w:rsid w:val="005C5F99"/>
    <w:rsid w:val="005C678F"/>
    <w:rsid w:val="005C7DEF"/>
    <w:rsid w:val="005D034C"/>
    <w:rsid w:val="005D0C41"/>
    <w:rsid w:val="005D0F9B"/>
    <w:rsid w:val="005D1116"/>
    <w:rsid w:val="005D130E"/>
    <w:rsid w:val="005D253A"/>
    <w:rsid w:val="005D387B"/>
    <w:rsid w:val="005D46CA"/>
    <w:rsid w:val="005D6D74"/>
    <w:rsid w:val="005D78A5"/>
    <w:rsid w:val="005D7B01"/>
    <w:rsid w:val="005E0AF3"/>
    <w:rsid w:val="005E0C0E"/>
    <w:rsid w:val="005E1B00"/>
    <w:rsid w:val="005E2004"/>
    <w:rsid w:val="005E226E"/>
    <w:rsid w:val="005E2636"/>
    <w:rsid w:val="005E6C6F"/>
    <w:rsid w:val="005E6F0F"/>
    <w:rsid w:val="005F1253"/>
    <w:rsid w:val="005F17E7"/>
    <w:rsid w:val="005F1C75"/>
    <w:rsid w:val="005F4136"/>
    <w:rsid w:val="005F54D2"/>
    <w:rsid w:val="005F69EA"/>
    <w:rsid w:val="005F759A"/>
    <w:rsid w:val="005F7693"/>
    <w:rsid w:val="0060067A"/>
    <w:rsid w:val="00600A9C"/>
    <w:rsid w:val="00601315"/>
    <w:rsid w:val="006015D7"/>
    <w:rsid w:val="00601B21"/>
    <w:rsid w:val="006041F0"/>
    <w:rsid w:val="006046D8"/>
    <w:rsid w:val="006048E4"/>
    <w:rsid w:val="00605C6D"/>
    <w:rsid w:val="00606000"/>
    <w:rsid w:val="006075CD"/>
    <w:rsid w:val="00607BE1"/>
    <w:rsid w:val="00610FA0"/>
    <w:rsid w:val="006119F8"/>
    <w:rsid w:val="006120CA"/>
    <w:rsid w:val="00612602"/>
    <w:rsid w:val="0061319D"/>
    <w:rsid w:val="0061443A"/>
    <w:rsid w:val="00614896"/>
    <w:rsid w:val="00620577"/>
    <w:rsid w:val="00621174"/>
    <w:rsid w:val="006212EB"/>
    <w:rsid w:val="00624174"/>
    <w:rsid w:val="00624544"/>
    <w:rsid w:val="00624555"/>
    <w:rsid w:val="006255D0"/>
    <w:rsid w:val="00625832"/>
    <w:rsid w:val="00625CD3"/>
    <w:rsid w:val="00625E53"/>
    <w:rsid w:val="00626CF8"/>
    <w:rsid w:val="00626F73"/>
    <w:rsid w:val="006314AF"/>
    <w:rsid w:val="00631758"/>
    <w:rsid w:val="00631F8B"/>
    <w:rsid w:val="00632422"/>
    <w:rsid w:val="00632DB8"/>
    <w:rsid w:val="00633152"/>
    <w:rsid w:val="00633837"/>
    <w:rsid w:val="00634003"/>
    <w:rsid w:val="006344C6"/>
    <w:rsid w:val="00634DB0"/>
    <w:rsid w:val="00634ED8"/>
    <w:rsid w:val="006353C9"/>
    <w:rsid w:val="006355D9"/>
    <w:rsid w:val="006360E0"/>
    <w:rsid w:val="00636D7D"/>
    <w:rsid w:val="00637408"/>
    <w:rsid w:val="00637833"/>
    <w:rsid w:val="00640C23"/>
    <w:rsid w:val="00641133"/>
    <w:rsid w:val="00641C52"/>
    <w:rsid w:val="00642868"/>
    <w:rsid w:val="00642D77"/>
    <w:rsid w:val="00643260"/>
    <w:rsid w:val="00643274"/>
    <w:rsid w:val="00643A46"/>
    <w:rsid w:val="006450AB"/>
    <w:rsid w:val="00645552"/>
    <w:rsid w:val="006456E6"/>
    <w:rsid w:val="006457EC"/>
    <w:rsid w:val="006459DA"/>
    <w:rsid w:val="0064741B"/>
    <w:rsid w:val="00647AFE"/>
    <w:rsid w:val="006501B9"/>
    <w:rsid w:val="00650216"/>
    <w:rsid w:val="00650417"/>
    <w:rsid w:val="006509DF"/>
    <w:rsid w:val="00650F20"/>
    <w:rsid w:val="006512BC"/>
    <w:rsid w:val="006530CB"/>
    <w:rsid w:val="0065325A"/>
    <w:rsid w:val="00653A5A"/>
    <w:rsid w:val="006554AC"/>
    <w:rsid w:val="00656F28"/>
    <w:rsid w:val="006571A7"/>
    <w:rsid w:val="006575F4"/>
    <w:rsid w:val="006579E6"/>
    <w:rsid w:val="00660682"/>
    <w:rsid w:val="00660F74"/>
    <w:rsid w:val="006611E5"/>
    <w:rsid w:val="006616E4"/>
    <w:rsid w:val="00662971"/>
    <w:rsid w:val="00663D27"/>
    <w:rsid w:val="00663EDC"/>
    <w:rsid w:val="00663F18"/>
    <w:rsid w:val="006674B9"/>
    <w:rsid w:val="00671078"/>
    <w:rsid w:val="006712AF"/>
    <w:rsid w:val="0067158A"/>
    <w:rsid w:val="00671725"/>
    <w:rsid w:val="006723BF"/>
    <w:rsid w:val="00672A84"/>
    <w:rsid w:val="006737B5"/>
    <w:rsid w:val="006758CA"/>
    <w:rsid w:val="00675A96"/>
    <w:rsid w:val="006777B1"/>
    <w:rsid w:val="00680A04"/>
    <w:rsid w:val="00680C53"/>
    <w:rsid w:val="0068146A"/>
    <w:rsid w:val="006821C3"/>
    <w:rsid w:val="00684319"/>
    <w:rsid w:val="00686D80"/>
    <w:rsid w:val="00686E8F"/>
    <w:rsid w:val="00687B8E"/>
    <w:rsid w:val="00690926"/>
    <w:rsid w:val="0069113B"/>
    <w:rsid w:val="00691F61"/>
    <w:rsid w:val="00692008"/>
    <w:rsid w:val="006932D1"/>
    <w:rsid w:val="006937AD"/>
    <w:rsid w:val="0069404B"/>
    <w:rsid w:val="00694895"/>
    <w:rsid w:val="00695466"/>
    <w:rsid w:val="00695F69"/>
    <w:rsid w:val="006965D2"/>
    <w:rsid w:val="00697145"/>
    <w:rsid w:val="0069770E"/>
    <w:rsid w:val="00697E2E"/>
    <w:rsid w:val="006A0312"/>
    <w:rsid w:val="006A106B"/>
    <w:rsid w:val="006A21C3"/>
    <w:rsid w:val="006A25A2"/>
    <w:rsid w:val="006A386B"/>
    <w:rsid w:val="006A39B6"/>
    <w:rsid w:val="006A3B87"/>
    <w:rsid w:val="006A4377"/>
    <w:rsid w:val="006A46F5"/>
    <w:rsid w:val="006A4BAF"/>
    <w:rsid w:val="006A5984"/>
    <w:rsid w:val="006A6B8D"/>
    <w:rsid w:val="006A71E2"/>
    <w:rsid w:val="006A7E76"/>
    <w:rsid w:val="006A7E86"/>
    <w:rsid w:val="006B0A88"/>
    <w:rsid w:val="006B0E73"/>
    <w:rsid w:val="006B1B96"/>
    <w:rsid w:val="006B1E3D"/>
    <w:rsid w:val="006B2CCB"/>
    <w:rsid w:val="006B348D"/>
    <w:rsid w:val="006B4A4D"/>
    <w:rsid w:val="006B5695"/>
    <w:rsid w:val="006B62E6"/>
    <w:rsid w:val="006B7B2E"/>
    <w:rsid w:val="006C0AA0"/>
    <w:rsid w:val="006C1058"/>
    <w:rsid w:val="006C1523"/>
    <w:rsid w:val="006C1E8D"/>
    <w:rsid w:val="006C2C22"/>
    <w:rsid w:val="006C4E7A"/>
    <w:rsid w:val="006C5402"/>
    <w:rsid w:val="006C5832"/>
    <w:rsid w:val="006C609B"/>
    <w:rsid w:val="006C78EB"/>
    <w:rsid w:val="006C7EEC"/>
    <w:rsid w:val="006C7EF6"/>
    <w:rsid w:val="006D0F94"/>
    <w:rsid w:val="006D1660"/>
    <w:rsid w:val="006D16E3"/>
    <w:rsid w:val="006D3C55"/>
    <w:rsid w:val="006D439A"/>
    <w:rsid w:val="006D63E5"/>
    <w:rsid w:val="006D6F5F"/>
    <w:rsid w:val="006D71A9"/>
    <w:rsid w:val="006E04B2"/>
    <w:rsid w:val="006E07E9"/>
    <w:rsid w:val="006E1753"/>
    <w:rsid w:val="006E2886"/>
    <w:rsid w:val="006E3911"/>
    <w:rsid w:val="006E5F89"/>
    <w:rsid w:val="006E69F4"/>
    <w:rsid w:val="006F0A4C"/>
    <w:rsid w:val="006F128D"/>
    <w:rsid w:val="006F1B67"/>
    <w:rsid w:val="006F1CB7"/>
    <w:rsid w:val="006F33BA"/>
    <w:rsid w:val="006F4D9C"/>
    <w:rsid w:val="006F728E"/>
    <w:rsid w:val="0070091D"/>
    <w:rsid w:val="00701E0A"/>
    <w:rsid w:val="00701EBF"/>
    <w:rsid w:val="00702167"/>
    <w:rsid w:val="00702854"/>
    <w:rsid w:val="00702A3A"/>
    <w:rsid w:val="00702CCF"/>
    <w:rsid w:val="007041CB"/>
    <w:rsid w:val="007044A7"/>
    <w:rsid w:val="0070570C"/>
    <w:rsid w:val="007057E1"/>
    <w:rsid w:val="00705E8D"/>
    <w:rsid w:val="00705EA5"/>
    <w:rsid w:val="007064CD"/>
    <w:rsid w:val="00706966"/>
    <w:rsid w:val="00707972"/>
    <w:rsid w:val="00707D8C"/>
    <w:rsid w:val="00707E74"/>
    <w:rsid w:val="00714786"/>
    <w:rsid w:val="00715A89"/>
    <w:rsid w:val="0071741C"/>
    <w:rsid w:val="0072066A"/>
    <w:rsid w:val="00720A01"/>
    <w:rsid w:val="00722E7C"/>
    <w:rsid w:val="007307BD"/>
    <w:rsid w:val="0073111E"/>
    <w:rsid w:val="0073211D"/>
    <w:rsid w:val="00734A49"/>
    <w:rsid w:val="00742B90"/>
    <w:rsid w:val="00743DC5"/>
    <w:rsid w:val="0074434D"/>
    <w:rsid w:val="007443A2"/>
    <w:rsid w:val="00745994"/>
    <w:rsid w:val="00746F73"/>
    <w:rsid w:val="0075169A"/>
    <w:rsid w:val="007519DA"/>
    <w:rsid w:val="007527B3"/>
    <w:rsid w:val="00752E53"/>
    <w:rsid w:val="007533D5"/>
    <w:rsid w:val="00754B5C"/>
    <w:rsid w:val="007570C4"/>
    <w:rsid w:val="00757D94"/>
    <w:rsid w:val="007605B8"/>
    <w:rsid w:val="00760BAC"/>
    <w:rsid w:val="00761F99"/>
    <w:rsid w:val="007624BA"/>
    <w:rsid w:val="00765FD2"/>
    <w:rsid w:val="00770F4F"/>
    <w:rsid w:val="00771B1E"/>
    <w:rsid w:val="00773BDC"/>
    <w:rsid w:val="00773C95"/>
    <w:rsid w:val="00774021"/>
    <w:rsid w:val="00775E30"/>
    <w:rsid w:val="007772D0"/>
    <w:rsid w:val="00780352"/>
    <w:rsid w:val="007808F7"/>
    <w:rsid w:val="0078171E"/>
    <w:rsid w:val="007824C9"/>
    <w:rsid w:val="00784635"/>
    <w:rsid w:val="007856A6"/>
    <w:rsid w:val="0078658E"/>
    <w:rsid w:val="00786646"/>
    <w:rsid w:val="00787615"/>
    <w:rsid w:val="007920E2"/>
    <w:rsid w:val="0079222F"/>
    <w:rsid w:val="0079275B"/>
    <w:rsid w:val="00793A52"/>
    <w:rsid w:val="0079439A"/>
    <w:rsid w:val="00794831"/>
    <w:rsid w:val="00795493"/>
    <w:rsid w:val="0079566E"/>
    <w:rsid w:val="00795B34"/>
    <w:rsid w:val="007966AC"/>
    <w:rsid w:val="00796BBC"/>
    <w:rsid w:val="007A02AE"/>
    <w:rsid w:val="007A067F"/>
    <w:rsid w:val="007A0805"/>
    <w:rsid w:val="007A341B"/>
    <w:rsid w:val="007A3F14"/>
    <w:rsid w:val="007A4355"/>
    <w:rsid w:val="007A5C7D"/>
    <w:rsid w:val="007A6E1C"/>
    <w:rsid w:val="007A6F61"/>
    <w:rsid w:val="007A7457"/>
    <w:rsid w:val="007A7E5E"/>
    <w:rsid w:val="007B1770"/>
    <w:rsid w:val="007B1FC3"/>
    <w:rsid w:val="007B228A"/>
    <w:rsid w:val="007B32FD"/>
    <w:rsid w:val="007B4247"/>
    <w:rsid w:val="007B4D3E"/>
    <w:rsid w:val="007B587E"/>
    <w:rsid w:val="007B5D59"/>
    <w:rsid w:val="007B698C"/>
    <w:rsid w:val="007B7283"/>
    <w:rsid w:val="007B73AC"/>
    <w:rsid w:val="007B75D8"/>
    <w:rsid w:val="007B7A92"/>
    <w:rsid w:val="007B7C70"/>
    <w:rsid w:val="007B7DEB"/>
    <w:rsid w:val="007C0449"/>
    <w:rsid w:val="007C1A08"/>
    <w:rsid w:val="007C43B6"/>
    <w:rsid w:val="007C5263"/>
    <w:rsid w:val="007C5873"/>
    <w:rsid w:val="007C67C2"/>
    <w:rsid w:val="007C7EA7"/>
    <w:rsid w:val="007D197E"/>
    <w:rsid w:val="007D1B55"/>
    <w:rsid w:val="007D2151"/>
    <w:rsid w:val="007D2D18"/>
    <w:rsid w:val="007D3B90"/>
    <w:rsid w:val="007D42CC"/>
    <w:rsid w:val="007D5317"/>
    <w:rsid w:val="007D5DE4"/>
    <w:rsid w:val="007D62C2"/>
    <w:rsid w:val="007D7C3A"/>
    <w:rsid w:val="007E0544"/>
    <w:rsid w:val="007E0777"/>
    <w:rsid w:val="007E115B"/>
    <w:rsid w:val="007E1341"/>
    <w:rsid w:val="007E1550"/>
    <w:rsid w:val="007E1B41"/>
    <w:rsid w:val="007E1EC4"/>
    <w:rsid w:val="007E30B9"/>
    <w:rsid w:val="007E317D"/>
    <w:rsid w:val="007E3CF0"/>
    <w:rsid w:val="007E5135"/>
    <w:rsid w:val="007E568E"/>
    <w:rsid w:val="007E5D3F"/>
    <w:rsid w:val="007E74F1"/>
    <w:rsid w:val="007F0F0C"/>
    <w:rsid w:val="007F1288"/>
    <w:rsid w:val="007F1FC4"/>
    <w:rsid w:val="007F2A41"/>
    <w:rsid w:val="007F2C7C"/>
    <w:rsid w:val="007F338C"/>
    <w:rsid w:val="007F34DD"/>
    <w:rsid w:val="007F36AC"/>
    <w:rsid w:val="007F3E11"/>
    <w:rsid w:val="007F46EF"/>
    <w:rsid w:val="007F476E"/>
    <w:rsid w:val="007F484D"/>
    <w:rsid w:val="007F4D48"/>
    <w:rsid w:val="007F6213"/>
    <w:rsid w:val="007F695B"/>
    <w:rsid w:val="00800358"/>
    <w:rsid w:val="00800627"/>
    <w:rsid w:val="00800A8A"/>
    <w:rsid w:val="0080155C"/>
    <w:rsid w:val="008017B4"/>
    <w:rsid w:val="00801B8D"/>
    <w:rsid w:val="008052A9"/>
    <w:rsid w:val="008052E1"/>
    <w:rsid w:val="008054A3"/>
    <w:rsid w:val="00805DB5"/>
    <w:rsid w:val="00805EF2"/>
    <w:rsid w:val="0081042F"/>
    <w:rsid w:val="008108CA"/>
    <w:rsid w:val="0081105F"/>
    <w:rsid w:val="008116BD"/>
    <w:rsid w:val="00811789"/>
    <w:rsid w:val="008117C4"/>
    <w:rsid w:val="00811E8D"/>
    <w:rsid w:val="00811EEB"/>
    <w:rsid w:val="00812695"/>
    <w:rsid w:val="00813D0C"/>
    <w:rsid w:val="00814945"/>
    <w:rsid w:val="008150DF"/>
    <w:rsid w:val="008155BE"/>
    <w:rsid w:val="008158D6"/>
    <w:rsid w:val="00816A45"/>
    <w:rsid w:val="0082081A"/>
    <w:rsid w:val="00822F2C"/>
    <w:rsid w:val="00823DEE"/>
    <w:rsid w:val="0082423A"/>
    <w:rsid w:val="0082557F"/>
    <w:rsid w:val="008305E8"/>
    <w:rsid w:val="008306F0"/>
    <w:rsid w:val="00830B72"/>
    <w:rsid w:val="00831C81"/>
    <w:rsid w:val="00832401"/>
    <w:rsid w:val="00832DC1"/>
    <w:rsid w:val="0083333F"/>
    <w:rsid w:val="00835DFA"/>
    <w:rsid w:val="00836165"/>
    <w:rsid w:val="008365B2"/>
    <w:rsid w:val="0083664D"/>
    <w:rsid w:val="00836E60"/>
    <w:rsid w:val="0083794E"/>
    <w:rsid w:val="00840CFA"/>
    <w:rsid w:val="0084161C"/>
    <w:rsid w:val="008417A3"/>
    <w:rsid w:val="00841A1C"/>
    <w:rsid w:val="00844114"/>
    <w:rsid w:val="0084640C"/>
    <w:rsid w:val="00846CCC"/>
    <w:rsid w:val="00850955"/>
    <w:rsid w:val="00851189"/>
    <w:rsid w:val="00851D2B"/>
    <w:rsid w:val="00852675"/>
    <w:rsid w:val="008532F3"/>
    <w:rsid w:val="00853E2B"/>
    <w:rsid w:val="00854D52"/>
    <w:rsid w:val="00855084"/>
    <w:rsid w:val="00856088"/>
    <w:rsid w:val="008573F6"/>
    <w:rsid w:val="00857451"/>
    <w:rsid w:val="00860122"/>
    <w:rsid w:val="00860826"/>
    <w:rsid w:val="00860A92"/>
    <w:rsid w:val="00860D2C"/>
    <w:rsid w:val="00860E21"/>
    <w:rsid w:val="00860E53"/>
    <w:rsid w:val="00861A26"/>
    <w:rsid w:val="008621B5"/>
    <w:rsid w:val="0086304D"/>
    <w:rsid w:val="00863117"/>
    <w:rsid w:val="00863758"/>
    <w:rsid w:val="0086388B"/>
    <w:rsid w:val="008642E5"/>
    <w:rsid w:val="00864488"/>
    <w:rsid w:val="0086486E"/>
    <w:rsid w:val="0086558F"/>
    <w:rsid w:val="008659C1"/>
    <w:rsid w:val="00867CCD"/>
    <w:rsid w:val="00870A36"/>
    <w:rsid w:val="00870E39"/>
    <w:rsid w:val="0087119D"/>
    <w:rsid w:val="00871459"/>
    <w:rsid w:val="008726AB"/>
    <w:rsid w:val="00872D93"/>
    <w:rsid w:val="00872DAA"/>
    <w:rsid w:val="00874C3C"/>
    <w:rsid w:val="00874D0D"/>
    <w:rsid w:val="00874F6B"/>
    <w:rsid w:val="00875179"/>
    <w:rsid w:val="008767EA"/>
    <w:rsid w:val="00877172"/>
    <w:rsid w:val="00880470"/>
    <w:rsid w:val="00880D94"/>
    <w:rsid w:val="008814E8"/>
    <w:rsid w:val="00881FFD"/>
    <w:rsid w:val="008821BE"/>
    <w:rsid w:val="00883955"/>
    <w:rsid w:val="00885E1F"/>
    <w:rsid w:val="00886627"/>
    <w:rsid w:val="008869BC"/>
    <w:rsid w:val="00886F64"/>
    <w:rsid w:val="00887BAB"/>
    <w:rsid w:val="00891353"/>
    <w:rsid w:val="00891821"/>
    <w:rsid w:val="008924DE"/>
    <w:rsid w:val="008925C3"/>
    <w:rsid w:val="00892F01"/>
    <w:rsid w:val="00894D40"/>
    <w:rsid w:val="008950F5"/>
    <w:rsid w:val="00895746"/>
    <w:rsid w:val="008A00D5"/>
    <w:rsid w:val="008A0B8F"/>
    <w:rsid w:val="008A3755"/>
    <w:rsid w:val="008A4BAC"/>
    <w:rsid w:val="008A4CEF"/>
    <w:rsid w:val="008A5B6D"/>
    <w:rsid w:val="008A706B"/>
    <w:rsid w:val="008A7CA3"/>
    <w:rsid w:val="008B012D"/>
    <w:rsid w:val="008B0164"/>
    <w:rsid w:val="008B0D60"/>
    <w:rsid w:val="008B19B8"/>
    <w:rsid w:val="008B19DC"/>
    <w:rsid w:val="008B1C6F"/>
    <w:rsid w:val="008B1ECA"/>
    <w:rsid w:val="008B264F"/>
    <w:rsid w:val="008B3AA0"/>
    <w:rsid w:val="008B3E62"/>
    <w:rsid w:val="008B5591"/>
    <w:rsid w:val="008B5F77"/>
    <w:rsid w:val="008B64A9"/>
    <w:rsid w:val="008B6F83"/>
    <w:rsid w:val="008B7022"/>
    <w:rsid w:val="008B72D3"/>
    <w:rsid w:val="008B7FD8"/>
    <w:rsid w:val="008C08F4"/>
    <w:rsid w:val="008C0F1A"/>
    <w:rsid w:val="008C1065"/>
    <w:rsid w:val="008C231D"/>
    <w:rsid w:val="008C2973"/>
    <w:rsid w:val="008C45EC"/>
    <w:rsid w:val="008C590F"/>
    <w:rsid w:val="008C6324"/>
    <w:rsid w:val="008C645A"/>
    <w:rsid w:val="008C64C4"/>
    <w:rsid w:val="008C7682"/>
    <w:rsid w:val="008D1AF7"/>
    <w:rsid w:val="008D2CAE"/>
    <w:rsid w:val="008D2CDD"/>
    <w:rsid w:val="008D5C98"/>
    <w:rsid w:val="008D64A5"/>
    <w:rsid w:val="008D74D5"/>
    <w:rsid w:val="008D7C9F"/>
    <w:rsid w:val="008E046C"/>
    <w:rsid w:val="008E04BA"/>
    <w:rsid w:val="008E0C53"/>
    <w:rsid w:val="008E0ED1"/>
    <w:rsid w:val="008E1162"/>
    <w:rsid w:val="008E1DFD"/>
    <w:rsid w:val="008E2083"/>
    <w:rsid w:val="008E2BFB"/>
    <w:rsid w:val="008E2EB8"/>
    <w:rsid w:val="008E3319"/>
    <w:rsid w:val="008E3A07"/>
    <w:rsid w:val="008E3EA3"/>
    <w:rsid w:val="008E4A68"/>
    <w:rsid w:val="008E4E81"/>
    <w:rsid w:val="008E537B"/>
    <w:rsid w:val="008E757F"/>
    <w:rsid w:val="008E7C06"/>
    <w:rsid w:val="008F201A"/>
    <w:rsid w:val="008F29BE"/>
    <w:rsid w:val="008F3716"/>
    <w:rsid w:val="008F416B"/>
    <w:rsid w:val="008F428A"/>
    <w:rsid w:val="008F4481"/>
    <w:rsid w:val="008F4AE5"/>
    <w:rsid w:val="008F51EB"/>
    <w:rsid w:val="008F639C"/>
    <w:rsid w:val="008F652E"/>
    <w:rsid w:val="008F6AD6"/>
    <w:rsid w:val="008F6ECF"/>
    <w:rsid w:val="008F7346"/>
    <w:rsid w:val="00900197"/>
    <w:rsid w:val="009001F1"/>
    <w:rsid w:val="00901F25"/>
    <w:rsid w:val="00902F15"/>
    <w:rsid w:val="00902F55"/>
    <w:rsid w:val="0090336F"/>
    <w:rsid w:val="00904C24"/>
    <w:rsid w:val="00905418"/>
    <w:rsid w:val="0090582B"/>
    <w:rsid w:val="00905C1F"/>
    <w:rsid w:val="009060C0"/>
    <w:rsid w:val="00907A20"/>
    <w:rsid w:val="00907FBD"/>
    <w:rsid w:val="009133F5"/>
    <w:rsid w:val="0091399F"/>
    <w:rsid w:val="00913CE0"/>
    <w:rsid w:val="0091756F"/>
    <w:rsid w:val="009200A4"/>
    <w:rsid w:val="00920A27"/>
    <w:rsid w:val="00921216"/>
    <w:rsid w:val="009216CC"/>
    <w:rsid w:val="00922E41"/>
    <w:rsid w:val="0092398D"/>
    <w:rsid w:val="009239B3"/>
    <w:rsid w:val="009247C1"/>
    <w:rsid w:val="00924C3B"/>
    <w:rsid w:val="00925282"/>
    <w:rsid w:val="00925892"/>
    <w:rsid w:val="00926083"/>
    <w:rsid w:val="009268FE"/>
    <w:rsid w:val="00926D08"/>
    <w:rsid w:val="00927305"/>
    <w:rsid w:val="00930D08"/>
    <w:rsid w:val="00930F55"/>
    <w:rsid w:val="00931466"/>
    <w:rsid w:val="00932D69"/>
    <w:rsid w:val="00933415"/>
    <w:rsid w:val="00933D49"/>
    <w:rsid w:val="0093438D"/>
    <w:rsid w:val="009354FD"/>
    <w:rsid w:val="00935589"/>
    <w:rsid w:val="009355D3"/>
    <w:rsid w:val="00935B13"/>
    <w:rsid w:val="00936291"/>
    <w:rsid w:val="009371FC"/>
    <w:rsid w:val="00937408"/>
    <w:rsid w:val="00937958"/>
    <w:rsid w:val="00937FEB"/>
    <w:rsid w:val="009400A6"/>
    <w:rsid w:val="0094100E"/>
    <w:rsid w:val="0094114F"/>
    <w:rsid w:val="009414F5"/>
    <w:rsid w:val="009427FA"/>
    <w:rsid w:val="00944647"/>
    <w:rsid w:val="00944EB2"/>
    <w:rsid w:val="00944F53"/>
    <w:rsid w:val="009450E8"/>
    <w:rsid w:val="009455AC"/>
    <w:rsid w:val="009458E7"/>
    <w:rsid w:val="009469E2"/>
    <w:rsid w:val="00946B29"/>
    <w:rsid w:val="00950900"/>
    <w:rsid w:val="00951243"/>
    <w:rsid w:val="00951640"/>
    <w:rsid w:val="00951785"/>
    <w:rsid w:val="00954677"/>
    <w:rsid w:val="00954EA1"/>
    <w:rsid w:val="0095527F"/>
    <w:rsid w:val="0095537E"/>
    <w:rsid w:val="009553C8"/>
    <w:rsid w:val="0095565C"/>
    <w:rsid w:val="00957833"/>
    <w:rsid w:val="009579A9"/>
    <w:rsid w:val="009611AE"/>
    <w:rsid w:val="0096137D"/>
    <w:rsid w:val="00961704"/>
    <w:rsid w:val="00963CA3"/>
    <w:rsid w:val="00964AB6"/>
    <w:rsid w:val="00965955"/>
    <w:rsid w:val="009669E0"/>
    <w:rsid w:val="00966F9A"/>
    <w:rsid w:val="00970185"/>
    <w:rsid w:val="0097033F"/>
    <w:rsid w:val="009719AE"/>
    <w:rsid w:val="009719ED"/>
    <w:rsid w:val="0097421E"/>
    <w:rsid w:val="0097661D"/>
    <w:rsid w:val="00976BCE"/>
    <w:rsid w:val="009776FE"/>
    <w:rsid w:val="009778B0"/>
    <w:rsid w:val="00977B8A"/>
    <w:rsid w:val="009825A4"/>
    <w:rsid w:val="00982971"/>
    <w:rsid w:val="009836F8"/>
    <w:rsid w:val="009845AD"/>
    <w:rsid w:val="00984835"/>
    <w:rsid w:val="00985522"/>
    <w:rsid w:val="00986DA0"/>
    <w:rsid w:val="009933EF"/>
    <w:rsid w:val="00995A78"/>
    <w:rsid w:val="00995BA0"/>
    <w:rsid w:val="00996D0A"/>
    <w:rsid w:val="009A1A2D"/>
    <w:rsid w:val="009A418B"/>
    <w:rsid w:val="009A426F"/>
    <w:rsid w:val="009A42D5"/>
    <w:rsid w:val="009A4473"/>
    <w:rsid w:val="009A50E6"/>
    <w:rsid w:val="009A5E74"/>
    <w:rsid w:val="009A7227"/>
    <w:rsid w:val="009A78EE"/>
    <w:rsid w:val="009A7ADA"/>
    <w:rsid w:val="009B05C9"/>
    <w:rsid w:val="009B2347"/>
    <w:rsid w:val="009B286C"/>
    <w:rsid w:val="009B4762"/>
    <w:rsid w:val="009B49B0"/>
    <w:rsid w:val="009B4EDA"/>
    <w:rsid w:val="009B7EEB"/>
    <w:rsid w:val="009C0472"/>
    <w:rsid w:val="009C151C"/>
    <w:rsid w:val="009C1AEC"/>
    <w:rsid w:val="009C1CD5"/>
    <w:rsid w:val="009C1E88"/>
    <w:rsid w:val="009C26E7"/>
    <w:rsid w:val="009C3DC4"/>
    <w:rsid w:val="009C440A"/>
    <w:rsid w:val="009C4AFE"/>
    <w:rsid w:val="009C4EEA"/>
    <w:rsid w:val="009C6AFE"/>
    <w:rsid w:val="009C7DB2"/>
    <w:rsid w:val="009D00F4"/>
    <w:rsid w:val="009D0469"/>
    <w:rsid w:val="009D29D9"/>
    <w:rsid w:val="009D484D"/>
    <w:rsid w:val="009D5125"/>
    <w:rsid w:val="009D60B8"/>
    <w:rsid w:val="009D62FF"/>
    <w:rsid w:val="009D7D4B"/>
    <w:rsid w:val="009D7FC8"/>
    <w:rsid w:val="009E15A5"/>
    <w:rsid w:val="009E1BBD"/>
    <w:rsid w:val="009E1C58"/>
    <w:rsid w:val="009E1D2B"/>
    <w:rsid w:val="009E2824"/>
    <w:rsid w:val="009E36ED"/>
    <w:rsid w:val="009E3B12"/>
    <w:rsid w:val="009E3B47"/>
    <w:rsid w:val="009E3C8C"/>
    <w:rsid w:val="009E583C"/>
    <w:rsid w:val="009E6886"/>
    <w:rsid w:val="009E6B77"/>
    <w:rsid w:val="009F192F"/>
    <w:rsid w:val="009F37EE"/>
    <w:rsid w:val="009F4372"/>
    <w:rsid w:val="009F460A"/>
    <w:rsid w:val="009F5D65"/>
    <w:rsid w:val="009F5F96"/>
    <w:rsid w:val="009F61F9"/>
    <w:rsid w:val="00A012C9"/>
    <w:rsid w:val="00A01B68"/>
    <w:rsid w:val="00A043FB"/>
    <w:rsid w:val="00A047D4"/>
    <w:rsid w:val="00A04B03"/>
    <w:rsid w:val="00A0574B"/>
    <w:rsid w:val="00A0579E"/>
    <w:rsid w:val="00A06BE4"/>
    <w:rsid w:val="00A0729C"/>
    <w:rsid w:val="00A073CF"/>
    <w:rsid w:val="00A0754B"/>
    <w:rsid w:val="00A07779"/>
    <w:rsid w:val="00A1166A"/>
    <w:rsid w:val="00A11DA8"/>
    <w:rsid w:val="00A11EBC"/>
    <w:rsid w:val="00A1280F"/>
    <w:rsid w:val="00A128A0"/>
    <w:rsid w:val="00A12A8D"/>
    <w:rsid w:val="00A13540"/>
    <w:rsid w:val="00A1427A"/>
    <w:rsid w:val="00A1696A"/>
    <w:rsid w:val="00A20B2E"/>
    <w:rsid w:val="00A22534"/>
    <w:rsid w:val="00A24F33"/>
    <w:rsid w:val="00A25069"/>
    <w:rsid w:val="00A254F8"/>
    <w:rsid w:val="00A25547"/>
    <w:rsid w:val="00A26082"/>
    <w:rsid w:val="00A26E6B"/>
    <w:rsid w:val="00A275DF"/>
    <w:rsid w:val="00A27851"/>
    <w:rsid w:val="00A3068F"/>
    <w:rsid w:val="00A3145B"/>
    <w:rsid w:val="00A3347D"/>
    <w:rsid w:val="00A339D0"/>
    <w:rsid w:val="00A33A42"/>
    <w:rsid w:val="00A3415C"/>
    <w:rsid w:val="00A37411"/>
    <w:rsid w:val="00A40362"/>
    <w:rsid w:val="00A40D58"/>
    <w:rsid w:val="00A41002"/>
    <w:rsid w:val="00A4201A"/>
    <w:rsid w:val="00A42CFC"/>
    <w:rsid w:val="00A43508"/>
    <w:rsid w:val="00A43C9D"/>
    <w:rsid w:val="00A43FE6"/>
    <w:rsid w:val="00A443A7"/>
    <w:rsid w:val="00A44AD0"/>
    <w:rsid w:val="00A45036"/>
    <w:rsid w:val="00A45303"/>
    <w:rsid w:val="00A533E7"/>
    <w:rsid w:val="00A534E5"/>
    <w:rsid w:val="00A53BB8"/>
    <w:rsid w:val="00A5465D"/>
    <w:rsid w:val="00A54949"/>
    <w:rsid w:val="00A553CE"/>
    <w:rsid w:val="00A55E3B"/>
    <w:rsid w:val="00A5677A"/>
    <w:rsid w:val="00A56DCC"/>
    <w:rsid w:val="00A56FB7"/>
    <w:rsid w:val="00A5765A"/>
    <w:rsid w:val="00A57EAB"/>
    <w:rsid w:val="00A61274"/>
    <w:rsid w:val="00A61627"/>
    <w:rsid w:val="00A625E8"/>
    <w:rsid w:val="00A63DFF"/>
    <w:rsid w:val="00A64496"/>
    <w:rsid w:val="00A6490D"/>
    <w:rsid w:val="00A667AF"/>
    <w:rsid w:val="00A67033"/>
    <w:rsid w:val="00A71E8E"/>
    <w:rsid w:val="00A7415D"/>
    <w:rsid w:val="00A74CDC"/>
    <w:rsid w:val="00A772D3"/>
    <w:rsid w:val="00A80363"/>
    <w:rsid w:val="00A803DC"/>
    <w:rsid w:val="00A80939"/>
    <w:rsid w:val="00A82E7C"/>
    <w:rsid w:val="00A83E9D"/>
    <w:rsid w:val="00A86B08"/>
    <w:rsid w:val="00A87232"/>
    <w:rsid w:val="00A87C05"/>
    <w:rsid w:val="00A9169D"/>
    <w:rsid w:val="00A91D5F"/>
    <w:rsid w:val="00A93094"/>
    <w:rsid w:val="00A9325F"/>
    <w:rsid w:val="00A93598"/>
    <w:rsid w:val="00A94135"/>
    <w:rsid w:val="00A94140"/>
    <w:rsid w:val="00A94FE2"/>
    <w:rsid w:val="00A95F6D"/>
    <w:rsid w:val="00A97A3A"/>
    <w:rsid w:val="00A97E80"/>
    <w:rsid w:val="00AA0378"/>
    <w:rsid w:val="00AA14A3"/>
    <w:rsid w:val="00AA171B"/>
    <w:rsid w:val="00AA1FC7"/>
    <w:rsid w:val="00AA240C"/>
    <w:rsid w:val="00AA2A02"/>
    <w:rsid w:val="00AA2F84"/>
    <w:rsid w:val="00AA48C8"/>
    <w:rsid w:val="00AA4E90"/>
    <w:rsid w:val="00AA644E"/>
    <w:rsid w:val="00AA6CD2"/>
    <w:rsid w:val="00AB0332"/>
    <w:rsid w:val="00AB1A35"/>
    <w:rsid w:val="00AB1EE5"/>
    <w:rsid w:val="00AB7FE8"/>
    <w:rsid w:val="00AC0869"/>
    <w:rsid w:val="00AC101C"/>
    <w:rsid w:val="00AC1325"/>
    <w:rsid w:val="00AC2CDE"/>
    <w:rsid w:val="00AD0562"/>
    <w:rsid w:val="00AD0C7F"/>
    <w:rsid w:val="00AD0FFF"/>
    <w:rsid w:val="00AD2495"/>
    <w:rsid w:val="00AD398A"/>
    <w:rsid w:val="00AD4CF1"/>
    <w:rsid w:val="00AD5988"/>
    <w:rsid w:val="00AD6293"/>
    <w:rsid w:val="00AD7FDF"/>
    <w:rsid w:val="00AE0CE0"/>
    <w:rsid w:val="00AE1643"/>
    <w:rsid w:val="00AE16AF"/>
    <w:rsid w:val="00AE3C2F"/>
    <w:rsid w:val="00AE3F92"/>
    <w:rsid w:val="00AE6B0D"/>
    <w:rsid w:val="00AE7B6E"/>
    <w:rsid w:val="00AF06AA"/>
    <w:rsid w:val="00AF0CE1"/>
    <w:rsid w:val="00AF2FE0"/>
    <w:rsid w:val="00AF372E"/>
    <w:rsid w:val="00AF3A64"/>
    <w:rsid w:val="00AF40A0"/>
    <w:rsid w:val="00AF5230"/>
    <w:rsid w:val="00AF68AC"/>
    <w:rsid w:val="00AF6B74"/>
    <w:rsid w:val="00AF7800"/>
    <w:rsid w:val="00B00CF5"/>
    <w:rsid w:val="00B00E54"/>
    <w:rsid w:val="00B01617"/>
    <w:rsid w:val="00B04405"/>
    <w:rsid w:val="00B06324"/>
    <w:rsid w:val="00B066E2"/>
    <w:rsid w:val="00B069D5"/>
    <w:rsid w:val="00B072E0"/>
    <w:rsid w:val="00B1007E"/>
    <w:rsid w:val="00B13D41"/>
    <w:rsid w:val="00B15131"/>
    <w:rsid w:val="00B20D33"/>
    <w:rsid w:val="00B21AA0"/>
    <w:rsid w:val="00B2293B"/>
    <w:rsid w:val="00B2526D"/>
    <w:rsid w:val="00B253F6"/>
    <w:rsid w:val="00B26675"/>
    <w:rsid w:val="00B26A37"/>
    <w:rsid w:val="00B27403"/>
    <w:rsid w:val="00B27A3A"/>
    <w:rsid w:val="00B305DB"/>
    <w:rsid w:val="00B31EF8"/>
    <w:rsid w:val="00B332F8"/>
    <w:rsid w:val="00B33E9D"/>
    <w:rsid w:val="00B3492B"/>
    <w:rsid w:val="00B352E6"/>
    <w:rsid w:val="00B36621"/>
    <w:rsid w:val="00B36CCA"/>
    <w:rsid w:val="00B36E32"/>
    <w:rsid w:val="00B37849"/>
    <w:rsid w:val="00B4001A"/>
    <w:rsid w:val="00B40224"/>
    <w:rsid w:val="00B424D7"/>
    <w:rsid w:val="00B44235"/>
    <w:rsid w:val="00B4646F"/>
    <w:rsid w:val="00B47179"/>
    <w:rsid w:val="00B50286"/>
    <w:rsid w:val="00B5214A"/>
    <w:rsid w:val="00B528A7"/>
    <w:rsid w:val="00B53550"/>
    <w:rsid w:val="00B53CF4"/>
    <w:rsid w:val="00B55C7D"/>
    <w:rsid w:val="00B56733"/>
    <w:rsid w:val="00B567DE"/>
    <w:rsid w:val="00B6210B"/>
    <w:rsid w:val="00B6282E"/>
    <w:rsid w:val="00B629C4"/>
    <w:rsid w:val="00B62EC5"/>
    <w:rsid w:val="00B62FA0"/>
    <w:rsid w:val="00B63038"/>
    <w:rsid w:val="00B63709"/>
    <w:rsid w:val="00B6417C"/>
    <w:rsid w:val="00B641C8"/>
    <w:rsid w:val="00B64BD8"/>
    <w:rsid w:val="00B64C1A"/>
    <w:rsid w:val="00B6589F"/>
    <w:rsid w:val="00B701D1"/>
    <w:rsid w:val="00B70D0B"/>
    <w:rsid w:val="00B72A58"/>
    <w:rsid w:val="00B72FF5"/>
    <w:rsid w:val="00B731C9"/>
    <w:rsid w:val="00B734F4"/>
    <w:rsid w:val="00B73AF2"/>
    <w:rsid w:val="00B73D79"/>
    <w:rsid w:val="00B73FA4"/>
    <w:rsid w:val="00B749E1"/>
    <w:rsid w:val="00B7551A"/>
    <w:rsid w:val="00B76AC0"/>
    <w:rsid w:val="00B773F1"/>
    <w:rsid w:val="00B77790"/>
    <w:rsid w:val="00B77DDD"/>
    <w:rsid w:val="00B77FCE"/>
    <w:rsid w:val="00B829C6"/>
    <w:rsid w:val="00B82F8F"/>
    <w:rsid w:val="00B85193"/>
    <w:rsid w:val="00B86AB1"/>
    <w:rsid w:val="00B87297"/>
    <w:rsid w:val="00B87726"/>
    <w:rsid w:val="00B90484"/>
    <w:rsid w:val="00B9139D"/>
    <w:rsid w:val="00B91B22"/>
    <w:rsid w:val="00B94B37"/>
    <w:rsid w:val="00B9622C"/>
    <w:rsid w:val="00B9682F"/>
    <w:rsid w:val="00B9788C"/>
    <w:rsid w:val="00BA004D"/>
    <w:rsid w:val="00BA067A"/>
    <w:rsid w:val="00BA0842"/>
    <w:rsid w:val="00BA159F"/>
    <w:rsid w:val="00BA26B7"/>
    <w:rsid w:val="00BA27D1"/>
    <w:rsid w:val="00BA5466"/>
    <w:rsid w:val="00BA61AC"/>
    <w:rsid w:val="00BA73EA"/>
    <w:rsid w:val="00BA7B92"/>
    <w:rsid w:val="00BA7EBA"/>
    <w:rsid w:val="00BB03E1"/>
    <w:rsid w:val="00BB1189"/>
    <w:rsid w:val="00BB2A06"/>
    <w:rsid w:val="00BB2CBB"/>
    <w:rsid w:val="00BB4198"/>
    <w:rsid w:val="00BB4DC3"/>
    <w:rsid w:val="00BB563B"/>
    <w:rsid w:val="00BB63EC"/>
    <w:rsid w:val="00BB64AF"/>
    <w:rsid w:val="00BB6FB6"/>
    <w:rsid w:val="00BBB8B7"/>
    <w:rsid w:val="00BC01BF"/>
    <w:rsid w:val="00BC03EE"/>
    <w:rsid w:val="00BC0D69"/>
    <w:rsid w:val="00BC1144"/>
    <w:rsid w:val="00BC1971"/>
    <w:rsid w:val="00BC29CC"/>
    <w:rsid w:val="00BC3155"/>
    <w:rsid w:val="00BC59F1"/>
    <w:rsid w:val="00BC5A77"/>
    <w:rsid w:val="00BD15DB"/>
    <w:rsid w:val="00BD1CE2"/>
    <w:rsid w:val="00BD1E90"/>
    <w:rsid w:val="00BD221F"/>
    <w:rsid w:val="00BD3E29"/>
    <w:rsid w:val="00BD3FD7"/>
    <w:rsid w:val="00BD4203"/>
    <w:rsid w:val="00BD488E"/>
    <w:rsid w:val="00BD4FCA"/>
    <w:rsid w:val="00BD5A0F"/>
    <w:rsid w:val="00BE01CC"/>
    <w:rsid w:val="00BE0637"/>
    <w:rsid w:val="00BE13B4"/>
    <w:rsid w:val="00BE168D"/>
    <w:rsid w:val="00BE19CA"/>
    <w:rsid w:val="00BE3065"/>
    <w:rsid w:val="00BE3602"/>
    <w:rsid w:val="00BE386B"/>
    <w:rsid w:val="00BE408E"/>
    <w:rsid w:val="00BE40B6"/>
    <w:rsid w:val="00BE6128"/>
    <w:rsid w:val="00BE651B"/>
    <w:rsid w:val="00BE753C"/>
    <w:rsid w:val="00BE78BB"/>
    <w:rsid w:val="00BF04E7"/>
    <w:rsid w:val="00BF2862"/>
    <w:rsid w:val="00BF3DE1"/>
    <w:rsid w:val="00BF4386"/>
    <w:rsid w:val="00BF4843"/>
    <w:rsid w:val="00BF49D2"/>
    <w:rsid w:val="00BF5205"/>
    <w:rsid w:val="00BF724B"/>
    <w:rsid w:val="00C00952"/>
    <w:rsid w:val="00C02746"/>
    <w:rsid w:val="00C02D6A"/>
    <w:rsid w:val="00C02FBA"/>
    <w:rsid w:val="00C034D9"/>
    <w:rsid w:val="00C04A5C"/>
    <w:rsid w:val="00C05132"/>
    <w:rsid w:val="00C06276"/>
    <w:rsid w:val="00C118EB"/>
    <w:rsid w:val="00C11FCF"/>
    <w:rsid w:val="00C12508"/>
    <w:rsid w:val="00C16298"/>
    <w:rsid w:val="00C16FEC"/>
    <w:rsid w:val="00C17295"/>
    <w:rsid w:val="00C1775D"/>
    <w:rsid w:val="00C17CE1"/>
    <w:rsid w:val="00C21E94"/>
    <w:rsid w:val="00C21F83"/>
    <w:rsid w:val="00C223A2"/>
    <w:rsid w:val="00C22E91"/>
    <w:rsid w:val="00C23728"/>
    <w:rsid w:val="00C25F30"/>
    <w:rsid w:val="00C26E42"/>
    <w:rsid w:val="00C3022F"/>
    <w:rsid w:val="00C3026C"/>
    <w:rsid w:val="00C309A3"/>
    <w:rsid w:val="00C313A9"/>
    <w:rsid w:val="00C31ECB"/>
    <w:rsid w:val="00C323DC"/>
    <w:rsid w:val="00C3399A"/>
    <w:rsid w:val="00C33FF2"/>
    <w:rsid w:val="00C347C8"/>
    <w:rsid w:val="00C34A29"/>
    <w:rsid w:val="00C34EC5"/>
    <w:rsid w:val="00C358E4"/>
    <w:rsid w:val="00C35BD1"/>
    <w:rsid w:val="00C35EAA"/>
    <w:rsid w:val="00C37D63"/>
    <w:rsid w:val="00C40077"/>
    <w:rsid w:val="00C41229"/>
    <w:rsid w:val="00C41303"/>
    <w:rsid w:val="00C418EE"/>
    <w:rsid w:val="00C41D5D"/>
    <w:rsid w:val="00C41F46"/>
    <w:rsid w:val="00C4216F"/>
    <w:rsid w:val="00C421CD"/>
    <w:rsid w:val="00C42388"/>
    <w:rsid w:val="00C4307F"/>
    <w:rsid w:val="00C441CF"/>
    <w:rsid w:val="00C45777"/>
    <w:rsid w:val="00C45791"/>
    <w:rsid w:val="00C45AA2"/>
    <w:rsid w:val="00C45EB3"/>
    <w:rsid w:val="00C46E44"/>
    <w:rsid w:val="00C47222"/>
    <w:rsid w:val="00C4792C"/>
    <w:rsid w:val="00C47FD8"/>
    <w:rsid w:val="00C51C82"/>
    <w:rsid w:val="00C52A7D"/>
    <w:rsid w:val="00C53952"/>
    <w:rsid w:val="00C549F7"/>
    <w:rsid w:val="00C55726"/>
    <w:rsid w:val="00C55BEF"/>
    <w:rsid w:val="00C5711F"/>
    <w:rsid w:val="00C57C00"/>
    <w:rsid w:val="00C601AF"/>
    <w:rsid w:val="00C60BBB"/>
    <w:rsid w:val="00C6127B"/>
    <w:rsid w:val="00C6146D"/>
    <w:rsid w:val="00C61A63"/>
    <w:rsid w:val="00C63C44"/>
    <w:rsid w:val="00C63DCD"/>
    <w:rsid w:val="00C6492A"/>
    <w:rsid w:val="00C66296"/>
    <w:rsid w:val="00C6680E"/>
    <w:rsid w:val="00C6777E"/>
    <w:rsid w:val="00C67DEA"/>
    <w:rsid w:val="00C70A1C"/>
    <w:rsid w:val="00C712FD"/>
    <w:rsid w:val="00C7144B"/>
    <w:rsid w:val="00C71934"/>
    <w:rsid w:val="00C73251"/>
    <w:rsid w:val="00C7394D"/>
    <w:rsid w:val="00C73A37"/>
    <w:rsid w:val="00C74DBD"/>
    <w:rsid w:val="00C756B7"/>
    <w:rsid w:val="00C759AF"/>
    <w:rsid w:val="00C75FCB"/>
    <w:rsid w:val="00C763BE"/>
    <w:rsid w:val="00C77282"/>
    <w:rsid w:val="00C77CC2"/>
    <w:rsid w:val="00C82A3D"/>
    <w:rsid w:val="00C84DE5"/>
    <w:rsid w:val="00C853D4"/>
    <w:rsid w:val="00C8603D"/>
    <w:rsid w:val="00C86248"/>
    <w:rsid w:val="00C86AD7"/>
    <w:rsid w:val="00C90B31"/>
    <w:rsid w:val="00C91588"/>
    <w:rsid w:val="00C917A2"/>
    <w:rsid w:val="00C920CB"/>
    <w:rsid w:val="00C932F5"/>
    <w:rsid w:val="00CA0C20"/>
    <w:rsid w:val="00CA0D6F"/>
    <w:rsid w:val="00CA18D6"/>
    <w:rsid w:val="00CA1E37"/>
    <w:rsid w:val="00CA23C9"/>
    <w:rsid w:val="00CA34D8"/>
    <w:rsid w:val="00CA3662"/>
    <w:rsid w:val="00CA46B0"/>
    <w:rsid w:val="00CA4C33"/>
    <w:rsid w:val="00CA6774"/>
    <w:rsid w:val="00CA6F4A"/>
    <w:rsid w:val="00CB0940"/>
    <w:rsid w:val="00CB0970"/>
    <w:rsid w:val="00CB1092"/>
    <w:rsid w:val="00CB276A"/>
    <w:rsid w:val="00CB2FFE"/>
    <w:rsid w:val="00CB3483"/>
    <w:rsid w:val="00CB3C17"/>
    <w:rsid w:val="00CB3CAC"/>
    <w:rsid w:val="00CB3D55"/>
    <w:rsid w:val="00CB3E6F"/>
    <w:rsid w:val="00CB45F0"/>
    <w:rsid w:val="00CB5067"/>
    <w:rsid w:val="00CB6427"/>
    <w:rsid w:val="00CB7486"/>
    <w:rsid w:val="00CC0D99"/>
    <w:rsid w:val="00CC0FBE"/>
    <w:rsid w:val="00CC24A0"/>
    <w:rsid w:val="00CC4053"/>
    <w:rsid w:val="00CC6894"/>
    <w:rsid w:val="00CC6E1D"/>
    <w:rsid w:val="00CC6F3A"/>
    <w:rsid w:val="00CC778F"/>
    <w:rsid w:val="00CD077C"/>
    <w:rsid w:val="00CD2119"/>
    <w:rsid w:val="00CD237A"/>
    <w:rsid w:val="00CD36AC"/>
    <w:rsid w:val="00CD4C94"/>
    <w:rsid w:val="00CD626B"/>
    <w:rsid w:val="00CD73DA"/>
    <w:rsid w:val="00CE028D"/>
    <w:rsid w:val="00CE0881"/>
    <w:rsid w:val="00CE13A3"/>
    <w:rsid w:val="00CE36BC"/>
    <w:rsid w:val="00CE3BC0"/>
    <w:rsid w:val="00CE4E54"/>
    <w:rsid w:val="00CE7533"/>
    <w:rsid w:val="00CF0144"/>
    <w:rsid w:val="00CF0CB0"/>
    <w:rsid w:val="00CF1747"/>
    <w:rsid w:val="00CF2337"/>
    <w:rsid w:val="00CF3DCA"/>
    <w:rsid w:val="00CF40B7"/>
    <w:rsid w:val="00CF45BC"/>
    <w:rsid w:val="00CF4CE9"/>
    <w:rsid w:val="00CF4DC0"/>
    <w:rsid w:val="00CF507F"/>
    <w:rsid w:val="00CF60ED"/>
    <w:rsid w:val="00CF72DB"/>
    <w:rsid w:val="00CF7A48"/>
    <w:rsid w:val="00D004C3"/>
    <w:rsid w:val="00D01B87"/>
    <w:rsid w:val="00D029D5"/>
    <w:rsid w:val="00D0419F"/>
    <w:rsid w:val="00D0571E"/>
    <w:rsid w:val="00D057BF"/>
    <w:rsid w:val="00D05AC1"/>
    <w:rsid w:val="00D05D74"/>
    <w:rsid w:val="00D06EB5"/>
    <w:rsid w:val="00D135B6"/>
    <w:rsid w:val="00D13ACB"/>
    <w:rsid w:val="00D13B21"/>
    <w:rsid w:val="00D14559"/>
    <w:rsid w:val="00D17E68"/>
    <w:rsid w:val="00D20C59"/>
    <w:rsid w:val="00D21054"/>
    <w:rsid w:val="00D21C75"/>
    <w:rsid w:val="00D22DB6"/>
    <w:rsid w:val="00D23323"/>
    <w:rsid w:val="00D2392A"/>
    <w:rsid w:val="00D25422"/>
    <w:rsid w:val="00D25B9A"/>
    <w:rsid w:val="00D25D3C"/>
    <w:rsid w:val="00D25FFE"/>
    <w:rsid w:val="00D2612A"/>
    <w:rsid w:val="00D27347"/>
    <w:rsid w:val="00D27607"/>
    <w:rsid w:val="00D27922"/>
    <w:rsid w:val="00D27A64"/>
    <w:rsid w:val="00D3124A"/>
    <w:rsid w:val="00D3148E"/>
    <w:rsid w:val="00D31AFE"/>
    <w:rsid w:val="00D323BF"/>
    <w:rsid w:val="00D335A6"/>
    <w:rsid w:val="00D3570E"/>
    <w:rsid w:val="00D3582A"/>
    <w:rsid w:val="00D35C09"/>
    <w:rsid w:val="00D37D80"/>
    <w:rsid w:val="00D410F4"/>
    <w:rsid w:val="00D41134"/>
    <w:rsid w:val="00D41380"/>
    <w:rsid w:val="00D418D3"/>
    <w:rsid w:val="00D41E80"/>
    <w:rsid w:val="00D43E52"/>
    <w:rsid w:val="00D442F3"/>
    <w:rsid w:val="00D443FE"/>
    <w:rsid w:val="00D44483"/>
    <w:rsid w:val="00D4476F"/>
    <w:rsid w:val="00D44B47"/>
    <w:rsid w:val="00D44F1B"/>
    <w:rsid w:val="00D45F86"/>
    <w:rsid w:val="00D467F9"/>
    <w:rsid w:val="00D50573"/>
    <w:rsid w:val="00D54D50"/>
    <w:rsid w:val="00D55054"/>
    <w:rsid w:val="00D560B4"/>
    <w:rsid w:val="00D564D7"/>
    <w:rsid w:val="00D62771"/>
    <w:rsid w:val="00D6301E"/>
    <w:rsid w:val="00D635C1"/>
    <w:rsid w:val="00D64313"/>
    <w:rsid w:val="00D662F8"/>
    <w:rsid w:val="00D66477"/>
    <w:rsid w:val="00D664E0"/>
    <w:rsid w:val="00D66797"/>
    <w:rsid w:val="00D7087C"/>
    <w:rsid w:val="00D70C3C"/>
    <w:rsid w:val="00D71145"/>
    <w:rsid w:val="00D713CD"/>
    <w:rsid w:val="00D71DF7"/>
    <w:rsid w:val="00D7207E"/>
    <w:rsid w:val="00D7256B"/>
    <w:rsid w:val="00D72BE5"/>
    <w:rsid w:val="00D72D0F"/>
    <w:rsid w:val="00D75407"/>
    <w:rsid w:val="00D76414"/>
    <w:rsid w:val="00D77131"/>
    <w:rsid w:val="00D776DA"/>
    <w:rsid w:val="00D812FD"/>
    <w:rsid w:val="00D81462"/>
    <w:rsid w:val="00D81F8B"/>
    <w:rsid w:val="00D822F6"/>
    <w:rsid w:val="00D82431"/>
    <w:rsid w:val="00D82F26"/>
    <w:rsid w:val="00D8330E"/>
    <w:rsid w:val="00D83B16"/>
    <w:rsid w:val="00D83B2C"/>
    <w:rsid w:val="00D83CB0"/>
    <w:rsid w:val="00D863D0"/>
    <w:rsid w:val="00D86B00"/>
    <w:rsid w:val="00D86D22"/>
    <w:rsid w:val="00D86FB9"/>
    <w:rsid w:val="00D8740A"/>
    <w:rsid w:val="00D87C87"/>
    <w:rsid w:val="00D90184"/>
    <w:rsid w:val="00D904DB"/>
    <w:rsid w:val="00D90BB4"/>
    <w:rsid w:val="00D90E07"/>
    <w:rsid w:val="00D932C2"/>
    <w:rsid w:val="00D95162"/>
    <w:rsid w:val="00D958CE"/>
    <w:rsid w:val="00DA0232"/>
    <w:rsid w:val="00DA0A7E"/>
    <w:rsid w:val="00DA0DED"/>
    <w:rsid w:val="00DA35E6"/>
    <w:rsid w:val="00DA3618"/>
    <w:rsid w:val="00DA562E"/>
    <w:rsid w:val="00DA7F9E"/>
    <w:rsid w:val="00DB0BFA"/>
    <w:rsid w:val="00DB0F1A"/>
    <w:rsid w:val="00DB1173"/>
    <w:rsid w:val="00DB1196"/>
    <w:rsid w:val="00DB1468"/>
    <w:rsid w:val="00DB39CF"/>
    <w:rsid w:val="00DB49A4"/>
    <w:rsid w:val="00DB55E3"/>
    <w:rsid w:val="00DB5A6D"/>
    <w:rsid w:val="00DB7256"/>
    <w:rsid w:val="00DC0401"/>
    <w:rsid w:val="00DC0950"/>
    <w:rsid w:val="00DC16AA"/>
    <w:rsid w:val="00DC20BD"/>
    <w:rsid w:val="00DC2A6E"/>
    <w:rsid w:val="00DC322C"/>
    <w:rsid w:val="00DC6016"/>
    <w:rsid w:val="00DC70D2"/>
    <w:rsid w:val="00DD0A4E"/>
    <w:rsid w:val="00DD0AB1"/>
    <w:rsid w:val="00DD0BCD"/>
    <w:rsid w:val="00DD1006"/>
    <w:rsid w:val="00DD1955"/>
    <w:rsid w:val="00DD24B7"/>
    <w:rsid w:val="00DD2F94"/>
    <w:rsid w:val="00DD3022"/>
    <w:rsid w:val="00DD447A"/>
    <w:rsid w:val="00DD4653"/>
    <w:rsid w:val="00DD7B38"/>
    <w:rsid w:val="00DE0B76"/>
    <w:rsid w:val="00DE0ED0"/>
    <w:rsid w:val="00DE21A2"/>
    <w:rsid w:val="00DE33DB"/>
    <w:rsid w:val="00DE3B20"/>
    <w:rsid w:val="00DE44C4"/>
    <w:rsid w:val="00DE4931"/>
    <w:rsid w:val="00DE5A78"/>
    <w:rsid w:val="00DE6C94"/>
    <w:rsid w:val="00DE6FD7"/>
    <w:rsid w:val="00DE7E24"/>
    <w:rsid w:val="00DF0C7C"/>
    <w:rsid w:val="00DF1084"/>
    <w:rsid w:val="00DF22D1"/>
    <w:rsid w:val="00DF3137"/>
    <w:rsid w:val="00DF452D"/>
    <w:rsid w:val="00DF52E4"/>
    <w:rsid w:val="00DF56C0"/>
    <w:rsid w:val="00DF70ED"/>
    <w:rsid w:val="00DF7186"/>
    <w:rsid w:val="00E010E2"/>
    <w:rsid w:val="00E0112C"/>
    <w:rsid w:val="00E019F3"/>
    <w:rsid w:val="00E02522"/>
    <w:rsid w:val="00E02A3A"/>
    <w:rsid w:val="00E040DF"/>
    <w:rsid w:val="00E06FFE"/>
    <w:rsid w:val="00E079E3"/>
    <w:rsid w:val="00E07CE6"/>
    <w:rsid w:val="00E10B18"/>
    <w:rsid w:val="00E116AC"/>
    <w:rsid w:val="00E12330"/>
    <w:rsid w:val="00E13A9F"/>
    <w:rsid w:val="00E14A3D"/>
    <w:rsid w:val="00E14C7C"/>
    <w:rsid w:val="00E17CF3"/>
    <w:rsid w:val="00E17D1C"/>
    <w:rsid w:val="00E20FD6"/>
    <w:rsid w:val="00E21301"/>
    <w:rsid w:val="00E213F0"/>
    <w:rsid w:val="00E215A0"/>
    <w:rsid w:val="00E23271"/>
    <w:rsid w:val="00E249D1"/>
    <w:rsid w:val="00E24F80"/>
    <w:rsid w:val="00E253F2"/>
    <w:rsid w:val="00E259F3"/>
    <w:rsid w:val="00E2662C"/>
    <w:rsid w:val="00E26EFF"/>
    <w:rsid w:val="00E305E7"/>
    <w:rsid w:val="00E30730"/>
    <w:rsid w:val="00E30985"/>
    <w:rsid w:val="00E30A53"/>
    <w:rsid w:val="00E30FEE"/>
    <w:rsid w:val="00E311EE"/>
    <w:rsid w:val="00E3190C"/>
    <w:rsid w:val="00E31B8F"/>
    <w:rsid w:val="00E31F63"/>
    <w:rsid w:val="00E32E49"/>
    <w:rsid w:val="00E33238"/>
    <w:rsid w:val="00E33934"/>
    <w:rsid w:val="00E36815"/>
    <w:rsid w:val="00E36C3A"/>
    <w:rsid w:val="00E376B7"/>
    <w:rsid w:val="00E40F6B"/>
    <w:rsid w:val="00E41F7F"/>
    <w:rsid w:val="00E42352"/>
    <w:rsid w:val="00E42AA4"/>
    <w:rsid w:val="00E42F5D"/>
    <w:rsid w:val="00E4303A"/>
    <w:rsid w:val="00E43120"/>
    <w:rsid w:val="00E432E5"/>
    <w:rsid w:val="00E436A8"/>
    <w:rsid w:val="00E436AF"/>
    <w:rsid w:val="00E4486C"/>
    <w:rsid w:val="00E460B6"/>
    <w:rsid w:val="00E46115"/>
    <w:rsid w:val="00E470C3"/>
    <w:rsid w:val="00E501F0"/>
    <w:rsid w:val="00E50271"/>
    <w:rsid w:val="00E511D5"/>
    <w:rsid w:val="00E522F0"/>
    <w:rsid w:val="00E52D8D"/>
    <w:rsid w:val="00E53595"/>
    <w:rsid w:val="00E53A9F"/>
    <w:rsid w:val="00E5626A"/>
    <w:rsid w:val="00E56D71"/>
    <w:rsid w:val="00E57349"/>
    <w:rsid w:val="00E57652"/>
    <w:rsid w:val="00E57899"/>
    <w:rsid w:val="00E60249"/>
    <w:rsid w:val="00E61790"/>
    <w:rsid w:val="00E62238"/>
    <w:rsid w:val="00E62378"/>
    <w:rsid w:val="00E63034"/>
    <w:rsid w:val="00E65269"/>
    <w:rsid w:val="00E65E9C"/>
    <w:rsid w:val="00E67C61"/>
    <w:rsid w:val="00E70421"/>
    <w:rsid w:val="00E7136A"/>
    <w:rsid w:val="00E71A1E"/>
    <w:rsid w:val="00E71FA9"/>
    <w:rsid w:val="00E73136"/>
    <w:rsid w:val="00E76D66"/>
    <w:rsid w:val="00E77C6B"/>
    <w:rsid w:val="00E82C19"/>
    <w:rsid w:val="00E8418B"/>
    <w:rsid w:val="00E84548"/>
    <w:rsid w:val="00E845E9"/>
    <w:rsid w:val="00E85A02"/>
    <w:rsid w:val="00E85C1C"/>
    <w:rsid w:val="00E8622F"/>
    <w:rsid w:val="00E865FD"/>
    <w:rsid w:val="00E90EC9"/>
    <w:rsid w:val="00E93057"/>
    <w:rsid w:val="00E93901"/>
    <w:rsid w:val="00E94492"/>
    <w:rsid w:val="00E94733"/>
    <w:rsid w:val="00E94C16"/>
    <w:rsid w:val="00E95D48"/>
    <w:rsid w:val="00E9665E"/>
    <w:rsid w:val="00E9685D"/>
    <w:rsid w:val="00E97DA6"/>
    <w:rsid w:val="00EA126E"/>
    <w:rsid w:val="00EA1536"/>
    <w:rsid w:val="00EA1F09"/>
    <w:rsid w:val="00EA1F9D"/>
    <w:rsid w:val="00EA42D7"/>
    <w:rsid w:val="00EA796A"/>
    <w:rsid w:val="00EA7DB8"/>
    <w:rsid w:val="00EB032A"/>
    <w:rsid w:val="00EB1419"/>
    <w:rsid w:val="00EB1856"/>
    <w:rsid w:val="00EB220C"/>
    <w:rsid w:val="00EB36F0"/>
    <w:rsid w:val="00EB427E"/>
    <w:rsid w:val="00EB4E38"/>
    <w:rsid w:val="00EB539E"/>
    <w:rsid w:val="00EB7ABD"/>
    <w:rsid w:val="00EC0694"/>
    <w:rsid w:val="00EC13B9"/>
    <w:rsid w:val="00EC2DB5"/>
    <w:rsid w:val="00EC3285"/>
    <w:rsid w:val="00EC32CD"/>
    <w:rsid w:val="00EC3A6C"/>
    <w:rsid w:val="00EC3FD2"/>
    <w:rsid w:val="00EC47B1"/>
    <w:rsid w:val="00EC50B8"/>
    <w:rsid w:val="00EC50CE"/>
    <w:rsid w:val="00EC56E7"/>
    <w:rsid w:val="00EC5B34"/>
    <w:rsid w:val="00EC602E"/>
    <w:rsid w:val="00EC7C24"/>
    <w:rsid w:val="00ED021E"/>
    <w:rsid w:val="00ED095A"/>
    <w:rsid w:val="00ED22B2"/>
    <w:rsid w:val="00ED323C"/>
    <w:rsid w:val="00ED354A"/>
    <w:rsid w:val="00ED3C47"/>
    <w:rsid w:val="00ED4139"/>
    <w:rsid w:val="00ED4E46"/>
    <w:rsid w:val="00ED51E3"/>
    <w:rsid w:val="00ED5A7B"/>
    <w:rsid w:val="00ED6489"/>
    <w:rsid w:val="00ED6501"/>
    <w:rsid w:val="00ED7E13"/>
    <w:rsid w:val="00EE09F4"/>
    <w:rsid w:val="00EE2D5C"/>
    <w:rsid w:val="00EE39FF"/>
    <w:rsid w:val="00EE4ADE"/>
    <w:rsid w:val="00EE4DE8"/>
    <w:rsid w:val="00EE5CB7"/>
    <w:rsid w:val="00EE71A3"/>
    <w:rsid w:val="00EE73F6"/>
    <w:rsid w:val="00EE752B"/>
    <w:rsid w:val="00EF0781"/>
    <w:rsid w:val="00EF10FB"/>
    <w:rsid w:val="00EF2CC8"/>
    <w:rsid w:val="00EF37BA"/>
    <w:rsid w:val="00EF3BDB"/>
    <w:rsid w:val="00EF6A06"/>
    <w:rsid w:val="00EF6C43"/>
    <w:rsid w:val="00F000BF"/>
    <w:rsid w:val="00F00BA0"/>
    <w:rsid w:val="00F0125E"/>
    <w:rsid w:val="00F01B37"/>
    <w:rsid w:val="00F02276"/>
    <w:rsid w:val="00F024FE"/>
    <w:rsid w:val="00F044A6"/>
    <w:rsid w:val="00F0504F"/>
    <w:rsid w:val="00F0587E"/>
    <w:rsid w:val="00F05AD4"/>
    <w:rsid w:val="00F06CB5"/>
    <w:rsid w:val="00F06E43"/>
    <w:rsid w:val="00F06E85"/>
    <w:rsid w:val="00F103BE"/>
    <w:rsid w:val="00F10577"/>
    <w:rsid w:val="00F10C16"/>
    <w:rsid w:val="00F10EB6"/>
    <w:rsid w:val="00F11703"/>
    <w:rsid w:val="00F12227"/>
    <w:rsid w:val="00F13BA1"/>
    <w:rsid w:val="00F13D56"/>
    <w:rsid w:val="00F13F07"/>
    <w:rsid w:val="00F140B2"/>
    <w:rsid w:val="00F1468A"/>
    <w:rsid w:val="00F14E6A"/>
    <w:rsid w:val="00F16595"/>
    <w:rsid w:val="00F1782F"/>
    <w:rsid w:val="00F2080E"/>
    <w:rsid w:val="00F220E9"/>
    <w:rsid w:val="00F24A23"/>
    <w:rsid w:val="00F25175"/>
    <w:rsid w:val="00F25831"/>
    <w:rsid w:val="00F25970"/>
    <w:rsid w:val="00F25D9E"/>
    <w:rsid w:val="00F26A6A"/>
    <w:rsid w:val="00F27B36"/>
    <w:rsid w:val="00F27CDC"/>
    <w:rsid w:val="00F311A9"/>
    <w:rsid w:val="00F31343"/>
    <w:rsid w:val="00F31A62"/>
    <w:rsid w:val="00F36461"/>
    <w:rsid w:val="00F37381"/>
    <w:rsid w:val="00F4074A"/>
    <w:rsid w:val="00F41245"/>
    <w:rsid w:val="00F41583"/>
    <w:rsid w:val="00F4196F"/>
    <w:rsid w:val="00F42F10"/>
    <w:rsid w:val="00F465C2"/>
    <w:rsid w:val="00F5180D"/>
    <w:rsid w:val="00F5182F"/>
    <w:rsid w:val="00F52165"/>
    <w:rsid w:val="00F52C1F"/>
    <w:rsid w:val="00F52F94"/>
    <w:rsid w:val="00F53068"/>
    <w:rsid w:val="00F54E74"/>
    <w:rsid w:val="00F5603C"/>
    <w:rsid w:val="00F57E29"/>
    <w:rsid w:val="00F603E8"/>
    <w:rsid w:val="00F63781"/>
    <w:rsid w:val="00F641EC"/>
    <w:rsid w:val="00F64674"/>
    <w:rsid w:val="00F6538F"/>
    <w:rsid w:val="00F6690F"/>
    <w:rsid w:val="00F67496"/>
    <w:rsid w:val="00F67963"/>
    <w:rsid w:val="00F70980"/>
    <w:rsid w:val="00F72474"/>
    <w:rsid w:val="00F73D2A"/>
    <w:rsid w:val="00F7421E"/>
    <w:rsid w:val="00F76945"/>
    <w:rsid w:val="00F801BA"/>
    <w:rsid w:val="00F804DA"/>
    <w:rsid w:val="00F807AD"/>
    <w:rsid w:val="00F818CA"/>
    <w:rsid w:val="00F81BA6"/>
    <w:rsid w:val="00F8205A"/>
    <w:rsid w:val="00F826E3"/>
    <w:rsid w:val="00F85536"/>
    <w:rsid w:val="00F86FFD"/>
    <w:rsid w:val="00F87458"/>
    <w:rsid w:val="00F8794F"/>
    <w:rsid w:val="00F90592"/>
    <w:rsid w:val="00F92BD3"/>
    <w:rsid w:val="00F9366A"/>
    <w:rsid w:val="00F94172"/>
    <w:rsid w:val="00F946C9"/>
    <w:rsid w:val="00F974A0"/>
    <w:rsid w:val="00F97E57"/>
    <w:rsid w:val="00FA099F"/>
    <w:rsid w:val="00FA0EA5"/>
    <w:rsid w:val="00FA0F97"/>
    <w:rsid w:val="00FA2398"/>
    <w:rsid w:val="00FA2F45"/>
    <w:rsid w:val="00FA47BF"/>
    <w:rsid w:val="00FA59D0"/>
    <w:rsid w:val="00FA65AA"/>
    <w:rsid w:val="00FA68C7"/>
    <w:rsid w:val="00FA6985"/>
    <w:rsid w:val="00FA6D7C"/>
    <w:rsid w:val="00FA70F4"/>
    <w:rsid w:val="00FA74EE"/>
    <w:rsid w:val="00FB0A5B"/>
    <w:rsid w:val="00FB0EDC"/>
    <w:rsid w:val="00FB1B8E"/>
    <w:rsid w:val="00FB3F78"/>
    <w:rsid w:val="00FB71B2"/>
    <w:rsid w:val="00FB7270"/>
    <w:rsid w:val="00FC0D17"/>
    <w:rsid w:val="00FC277B"/>
    <w:rsid w:val="00FC3711"/>
    <w:rsid w:val="00FC46E7"/>
    <w:rsid w:val="00FC4A82"/>
    <w:rsid w:val="00FC4F8A"/>
    <w:rsid w:val="00FC5D25"/>
    <w:rsid w:val="00FC6B5A"/>
    <w:rsid w:val="00FC6F8F"/>
    <w:rsid w:val="00FC7421"/>
    <w:rsid w:val="00FC7C53"/>
    <w:rsid w:val="00FD02E4"/>
    <w:rsid w:val="00FD0D7E"/>
    <w:rsid w:val="00FD14C7"/>
    <w:rsid w:val="00FD16C4"/>
    <w:rsid w:val="00FD2CA0"/>
    <w:rsid w:val="00FD362F"/>
    <w:rsid w:val="00FD382B"/>
    <w:rsid w:val="00FD4507"/>
    <w:rsid w:val="00FD47FE"/>
    <w:rsid w:val="00FD4FFB"/>
    <w:rsid w:val="00FD5DE7"/>
    <w:rsid w:val="00FD6223"/>
    <w:rsid w:val="00FD74EA"/>
    <w:rsid w:val="00FE01CA"/>
    <w:rsid w:val="00FE022F"/>
    <w:rsid w:val="00FE051A"/>
    <w:rsid w:val="00FE0E33"/>
    <w:rsid w:val="00FE15DB"/>
    <w:rsid w:val="00FE46A7"/>
    <w:rsid w:val="00FE4CD0"/>
    <w:rsid w:val="00FE4E18"/>
    <w:rsid w:val="00FE670D"/>
    <w:rsid w:val="00FE6935"/>
    <w:rsid w:val="00FE6E13"/>
    <w:rsid w:val="00FE7629"/>
    <w:rsid w:val="00FE7D38"/>
    <w:rsid w:val="00FF021F"/>
    <w:rsid w:val="00FF14F9"/>
    <w:rsid w:val="00FF15F6"/>
    <w:rsid w:val="00FF366C"/>
    <w:rsid w:val="00FF527C"/>
    <w:rsid w:val="00FF60D1"/>
    <w:rsid w:val="00FF65CD"/>
    <w:rsid w:val="00FF759B"/>
    <w:rsid w:val="00FF7D5B"/>
    <w:rsid w:val="0286B8A5"/>
    <w:rsid w:val="05A99CE6"/>
    <w:rsid w:val="066EB9F8"/>
    <w:rsid w:val="069E3FA0"/>
    <w:rsid w:val="06C25599"/>
    <w:rsid w:val="0799D215"/>
    <w:rsid w:val="0974ABA8"/>
    <w:rsid w:val="0B32B41B"/>
    <w:rsid w:val="0BF6F0EF"/>
    <w:rsid w:val="0C18AB99"/>
    <w:rsid w:val="0CC3A4FD"/>
    <w:rsid w:val="0DA3F5AE"/>
    <w:rsid w:val="0EFEC268"/>
    <w:rsid w:val="10F5F072"/>
    <w:rsid w:val="140FE859"/>
    <w:rsid w:val="14B1A8C9"/>
    <w:rsid w:val="199210BA"/>
    <w:rsid w:val="19B6D0D5"/>
    <w:rsid w:val="1A22209F"/>
    <w:rsid w:val="1A99A8D5"/>
    <w:rsid w:val="1BDC5191"/>
    <w:rsid w:val="1DD20D60"/>
    <w:rsid w:val="1F5E839A"/>
    <w:rsid w:val="1FC0D0CB"/>
    <w:rsid w:val="1FFB5A70"/>
    <w:rsid w:val="204E771D"/>
    <w:rsid w:val="2079CEDF"/>
    <w:rsid w:val="24C3CF26"/>
    <w:rsid w:val="257E25CB"/>
    <w:rsid w:val="26E65174"/>
    <w:rsid w:val="2974F1D9"/>
    <w:rsid w:val="29791E5A"/>
    <w:rsid w:val="29B66116"/>
    <w:rsid w:val="29C830CA"/>
    <w:rsid w:val="2A2202A9"/>
    <w:rsid w:val="2A8761A9"/>
    <w:rsid w:val="2A896CAE"/>
    <w:rsid w:val="2B5A0E20"/>
    <w:rsid w:val="2CD43DE0"/>
    <w:rsid w:val="2CDC7DFF"/>
    <w:rsid w:val="2DC858BF"/>
    <w:rsid w:val="2F738635"/>
    <w:rsid w:val="2FD641D7"/>
    <w:rsid w:val="300B472A"/>
    <w:rsid w:val="30E31330"/>
    <w:rsid w:val="30FA4BC6"/>
    <w:rsid w:val="361D4627"/>
    <w:rsid w:val="373E96DC"/>
    <w:rsid w:val="392F85EB"/>
    <w:rsid w:val="39ED3922"/>
    <w:rsid w:val="39F57805"/>
    <w:rsid w:val="3A2F0165"/>
    <w:rsid w:val="3C907EC2"/>
    <w:rsid w:val="3D69630D"/>
    <w:rsid w:val="3D804597"/>
    <w:rsid w:val="400E486A"/>
    <w:rsid w:val="437F0FDB"/>
    <w:rsid w:val="4396F426"/>
    <w:rsid w:val="44EA2647"/>
    <w:rsid w:val="4502A927"/>
    <w:rsid w:val="45A6598F"/>
    <w:rsid w:val="45FDCB58"/>
    <w:rsid w:val="464FE48C"/>
    <w:rsid w:val="465ADB6B"/>
    <w:rsid w:val="4748F431"/>
    <w:rsid w:val="4AA2B229"/>
    <w:rsid w:val="4AFFF8EF"/>
    <w:rsid w:val="4E0F2E08"/>
    <w:rsid w:val="504E87EE"/>
    <w:rsid w:val="50EA224F"/>
    <w:rsid w:val="516EC1CE"/>
    <w:rsid w:val="5221EDD3"/>
    <w:rsid w:val="5519465B"/>
    <w:rsid w:val="55317299"/>
    <w:rsid w:val="5560D834"/>
    <w:rsid w:val="56EA01C4"/>
    <w:rsid w:val="56FF9868"/>
    <w:rsid w:val="5730FEB2"/>
    <w:rsid w:val="5784B61A"/>
    <w:rsid w:val="5B246554"/>
    <w:rsid w:val="5C06B4CE"/>
    <w:rsid w:val="5F48B5B9"/>
    <w:rsid w:val="61EEA9B5"/>
    <w:rsid w:val="62E1E97F"/>
    <w:rsid w:val="6354CFDF"/>
    <w:rsid w:val="63C9D47F"/>
    <w:rsid w:val="66CFA42B"/>
    <w:rsid w:val="675ECA8A"/>
    <w:rsid w:val="6AD78031"/>
    <w:rsid w:val="6B90A272"/>
    <w:rsid w:val="6EF17B12"/>
    <w:rsid w:val="6F1E9D59"/>
    <w:rsid w:val="70EC42D0"/>
    <w:rsid w:val="713642D7"/>
    <w:rsid w:val="713A5C41"/>
    <w:rsid w:val="72A91C33"/>
    <w:rsid w:val="735DC1D3"/>
    <w:rsid w:val="73C8A53D"/>
    <w:rsid w:val="7595638B"/>
    <w:rsid w:val="759F08DA"/>
    <w:rsid w:val="75C4B6C5"/>
    <w:rsid w:val="777841A3"/>
    <w:rsid w:val="78DA7989"/>
    <w:rsid w:val="79D12106"/>
    <w:rsid w:val="7A996B87"/>
    <w:rsid w:val="7B219444"/>
    <w:rsid w:val="7B9A6713"/>
    <w:rsid w:val="7C2B083F"/>
    <w:rsid w:val="7CB9D73B"/>
    <w:rsid w:val="7CFEBFF6"/>
    <w:rsid w:val="7E0E8F97"/>
    <w:rsid w:val="7FBF189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774C2"/>
  <w15:docId w15:val="{4602A313-437C-46E1-AE7F-48944678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65325A"/>
    <w:pPr>
      <w:pageBreakBefore/>
      <w:numPr>
        <w:numId w:val="6"/>
      </w:numPr>
      <w:spacing w:after="360" w:line="228" w:lineRule="auto"/>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325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69770E"/>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69770E"/>
    <w:pPr>
      <w:tabs>
        <w:tab w:val="right" w:pos="8080"/>
      </w:tabs>
      <w:spacing w:before="60"/>
      <w:ind w:left="1134" w:right="567" w:hanging="567"/>
    </w:pPr>
  </w:style>
  <w:style w:type="paragraph" w:styleId="TOC3">
    <w:name w:val="toc 3"/>
    <w:basedOn w:val="Normal"/>
    <w:next w:val="Normal"/>
    <w:uiPriority w:val="39"/>
    <w:qFormat/>
    <w:rsid w:val="00C41F46"/>
    <w:pPr>
      <w:tabs>
        <w:tab w:val="right" w:pos="8080"/>
      </w:tabs>
      <w:spacing w:before="120"/>
      <w:ind w:left="340" w:hanging="340"/>
    </w:pPr>
  </w:style>
  <w:style w:type="paragraph" w:customStyle="1" w:styleId="Bullet">
    <w:name w:val="Bullet"/>
    <w:basedOn w:val="Normal"/>
    <w:link w:val="BulletChar"/>
    <w:qFormat/>
    <w:rsid w:val="00D25422"/>
    <w:pPr>
      <w:numPr>
        <w:numId w:val="1"/>
      </w:numPr>
      <w:spacing w:before="90"/>
    </w:pPr>
  </w:style>
  <w:style w:type="character" w:customStyle="1" w:styleId="BulletChar">
    <w:name w:val="Bullet Char"/>
    <w:link w:val="Bullet"/>
    <w:locked/>
    <w:rsid w:val="00D25422"/>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uiPriority w:val="99"/>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300B55"/>
    <w:pPr>
      <w:spacing w:before="0"/>
    </w:pPr>
  </w:style>
  <w:style w:type="character" w:customStyle="1" w:styleId="TableChar">
    <w:name w:val="Table Char"/>
    <w:link w:val="Table"/>
    <w:locked/>
    <w:rsid w:val="00300B55"/>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D25422"/>
    <w:pPr>
      <w:numPr>
        <w:numId w:val="4"/>
      </w:numPr>
      <w:spacing w:before="0"/>
    </w:pPr>
  </w:style>
  <w:style w:type="paragraph" w:customStyle="1" w:styleId="Box">
    <w:name w:val="Box"/>
    <w:basedOn w:val="Normal"/>
    <w:link w:val="BoxChar"/>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2C0E3E"/>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65325A"/>
    <w:pPr>
      <w:spacing w:before="80"/>
      <w:ind w:left="284" w:hanging="284"/>
    </w:pPr>
    <w:rPr>
      <w:sz w:val="17"/>
    </w:rPr>
  </w:style>
  <w:style w:type="character" w:customStyle="1" w:styleId="NoteChar">
    <w:name w:val="Note Char"/>
    <w:link w:val="Note"/>
    <w:rsid w:val="0065325A"/>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A45036"/>
    <w:pPr>
      <w:keepNext/>
      <w:spacing w:after="200"/>
    </w:pPr>
    <w:rPr>
      <w:b/>
      <w:bCs/>
      <w:sz w:val="20"/>
    </w:rPr>
  </w:style>
  <w:style w:type="paragraph" w:customStyle="1" w:styleId="Heading3-nonumbering">
    <w:name w:val="Heading 3 - no numbering"/>
    <w:basedOn w:val="Heading3"/>
    <w:qFormat/>
    <w:rsid w:val="002C0E3E"/>
    <w:pPr>
      <w:numPr>
        <w:ilvl w:val="0"/>
        <w:numId w:val="0"/>
      </w:numPr>
    </w:pPr>
  </w:style>
  <w:style w:type="paragraph" w:customStyle="1" w:styleId="Heading1-nonumbering">
    <w:name w:val="Heading 1 - no numbering"/>
    <w:basedOn w:val="Heading1"/>
    <w:next w:val="Normal"/>
    <w:qFormat/>
    <w:rsid w:val="002C0E3E"/>
    <w:pPr>
      <w:numPr>
        <w:numId w:val="0"/>
      </w:numPr>
    </w:pPr>
  </w:style>
  <w:style w:type="paragraph" w:customStyle="1" w:styleId="Shadedboxheading">
    <w:name w:val="Shaded box heading"/>
    <w:basedOn w:val="BoxHeading"/>
    <w:next w:val="Shadedboxtext"/>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jc w:val="both"/>
    </w:pPr>
    <w:rPr>
      <w:rFonts w:eastAsia="Arial Unicode MS"/>
    </w:rPr>
  </w:style>
  <w:style w:type="paragraph" w:customStyle="1" w:styleId="Shadedboxtext">
    <w:name w:val="Shaded box text"/>
    <w:basedOn w:val="Normal"/>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jc w:val="both"/>
    </w:pPr>
    <w:rPr>
      <w:rFonts w:eastAsia="Arial Unicode MS"/>
    </w:rPr>
  </w:style>
  <w:style w:type="table" w:styleId="TableGrid">
    <w:name w:val="Table Grid"/>
    <w:basedOn w:val="TableNormal"/>
    <w:rsid w:val="008B72D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FFA"/>
    <w:rPr>
      <w:rFonts w:cs="Segoe UI"/>
      <w:sz w:val="18"/>
      <w:szCs w:val="18"/>
    </w:rPr>
  </w:style>
  <w:style w:type="character" w:customStyle="1" w:styleId="BalloonTextChar">
    <w:name w:val="Balloon Text Char"/>
    <w:basedOn w:val="DefaultParagraphFont"/>
    <w:link w:val="BalloonText"/>
    <w:uiPriority w:val="99"/>
    <w:semiHidden/>
    <w:rsid w:val="00557FFA"/>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064CD"/>
    <w:rPr>
      <w:sz w:val="16"/>
      <w:szCs w:val="16"/>
    </w:rPr>
  </w:style>
  <w:style w:type="paragraph" w:styleId="CommentText">
    <w:name w:val="annotation text"/>
    <w:basedOn w:val="Normal"/>
    <w:link w:val="CommentTextChar"/>
    <w:uiPriority w:val="99"/>
    <w:unhideWhenUsed/>
    <w:rsid w:val="007064CD"/>
    <w:rPr>
      <w:sz w:val="20"/>
    </w:rPr>
  </w:style>
  <w:style w:type="character" w:customStyle="1" w:styleId="CommentTextChar">
    <w:name w:val="Comment Text Char"/>
    <w:basedOn w:val="DefaultParagraphFont"/>
    <w:link w:val="CommentText"/>
    <w:uiPriority w:val="99"/>
    <w:rsid w:val="007064CD"/>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7064CD"/>
    <w:rPr>
      <w:b/>
      <w:bCs/>
    </w:rPr>
  </w:style>
  <w:style w:type="character" w:customStyle="1" w:styleId="CommentSubjectChar">
    <w:name w:val="Comment Subject Char"/>
    <w:basedOn w:val="CommentTextChar"/>
    <w:link w:val="CommentSubject"/>
    <w:uiPriority w:val="99"/>
    <w:semiHidden/>
    <w:rsid w:val="007064CD"/>
    <w:rPr>
      <w:rFonts w:ascii="Segoe UI" w:hAnsi="Segoe UI"/>
      <w:b/>
      <w:bCs/>
      <w:lang w:eastAsia="en-GB"/>
    </w:rPr>
  </w:style>
  <w:style w:type="character" w:customStyle="1" w:styleId="UnresolvedMention1">
    <w:name w:val="Unresolved Mention1"/>
    <w:basedOn w:val="DefaultParagraphFont"/>
    <w:uiPriority w:val="99"/>
    <w:semiHidden/>
    <w:unhideWhenUsed/>
    <w:rsid w:val="006360E0"/>
    <w:rPr>
      <w:color w:val="605E5C"/>
      <w:shd w:val="clear" w:color="auto" w:fill="E1DFDD"/>
    </w:rPr>
  </w:style>
  <w:style w:type="paragraph" w:styleId="TOCHeading">
    <w:name w:val="TOC Heading"/>
    <w:basedOn w:val="Heading1"/>
    <w:next w:val="Normal"/>
    <w:uiPriority w:val="39"/>
    <w:unhideWhenUsed/>
    <w:qFormat/>
    <w:rsid w:val="007E317D"/>
    <w:pPr>
      <w:keepNext/>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ableofFigures">
    <w:name w:val="table of figures"/>
    <w:basedOn w:val="Normal"/>
    <w:next w:val="Normal"/>
    <w:uiPriority w:val="99"/>
    <w:unhideWhenUsed/>
    <w:qFormat/>
    <w:rsid w:val="00A04B03"/>
    <w:pPr>
      <w:spacing w:before="120"/>
      <w:ind w:left="340" w:hanging="340"/>
    </w:pPr>
  </w:style>
  <w:style w:type="paragraph" w:styleId="ListParagraph">
    <w:name w:val="List Paragraph"/>
    <w:basedOn w:val="Normal"/>
    <w:uiPriority w:val="34"/>
    <w:qFormat/>
    <w:rsid w:val="001C5A86"/>
    <w:pPr>
      <w:ind w:left="720"/>
      <w:contextualSpacing/>
    </w:pPr>
  </w:style>
  <w:style w:type="character" w:styleId="FollowedHyperlink">
    <w:name w:val="FollowedHyperlink"/>
    <w:basedOn w:val="DefaultParagraphFont"/>
    <w:uiPriority w:val="99"/>
    <w:semiHidden/>
    <w:unhideWhenUsed/>
    <w:rsid w:val="009239B3"/>
    <w:rPr>
      <w:color w:val="800080" w:themeColor="followedHyperlink"/>
      <w:u w:val="single"/>
    </w:rPr>
  </w:style>
  <w:style w:type="paragraph" w:styleId="ListBullet">
    <w:name w:val="List Bullet"/>
    <w:basedOn w:val="Normal"/>
    <w:uiPriority w:val="99"/>
    <w:unhideWhenUsed/>
    <w:rsid w:val="0094100E"/>
    <w:pPr>
      <w:numPr>
        <w:numId w:val="12"/>
      </w:numPr>
      <w:contextualSpacing/>
    </w:pPr>
  </w:style>
  <w:style w:type="table" w:customStyle="1" w:styleId="TableGrid1">
    <w:name w:val="Table Grid1"/>
    <w:basedOn w:val="TableNormal"/>
    <w:next w:val="TableGrid"/>
    <w:uiPriority w:val="59"/>
    <w:rsid w:val="00D77131"/>
    <w:pPr>
      <w:tabs>
        <w:tab w:val="left" w:pos="1134"/>
        <w:tab w:val="left" w:pos="2268"/>
        <w:tab w:val="left" w:pos="3402"/>
        <w:tab w:val="left" w:pos="4536"/>
        <w:tab w:val="left" w:pos="5670"/>
        <w:tab w:val="left" w:pos="6804"/>
        <w:tab w:val="left" w:pos="7938"/>
        <w:tab w:val="right" w:pos="9639"/>
      </w:tabs>
      <w:spacing w:after="200" w:line="276" w:lineRule="auto"/>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 no numbering"/>
    <w:basedOn w:val="Heading2"/>
    <w:qFormat/>
    <w:rsid w:val="00D77131"/>
    <w:pPr>
      <w:numPr>
        <w:ilvl w:val="0"/>
        <w:numId w:val="0"/>
      </w:numPr>
    </w:pPr>
  </w:style>
  <w:style w:type="paragraph" w:customStyle="1" w:styleId="DistrictGroupStyle">
    <w:name w:val="DistrictGroupStyle"/>
    <w:rsid w:val="00D77131"/>
    <w:pPr>
      <w:spacing w:after="150" w:line="276" w:lineRule="auto"/>
    </w:pPr>
    <w:rPr>
      <w:rFonts w:asciiTheme="minorHAnsi" w:hAnsiTheme="minorHAnsi" w:cs="Calibri"/>
      <w:b/>
      <w:color w:val="000000"/>
      <w:sz w:val="30"/>
      <w:lang w:val="en-US" w:eastAsia="en-US"/>
    </w:rPr>
  </w:style>
  <w:style w:type="paragraph" w:customStyle="1" w:styleId="GroupStyle">
    <w:name w:val="GroupStyle"/>
    <w:rsid w:val="00D77131"/>
    <w:pPr>
      <w:spacing w:after="150" w:line="276" w:lineRule="auto"/>
    </w:pPr>
    <w:rPr>
      <w:rFonts w:asciiTheme="minorHAnsi" w:hAnsiTheme="minorHAnsi" w:cs="Calibri"/>
      <w:b/>
      <w:color w:val="000000"/>
      <w:sz w:val="22"/>
      <w:lang w:eastAsia="en-US"/>
    </w:rPr>
  </w:style>
  <w:style w:type="paragraph" w:customStyle="1" w:styleId="SectionStyle">
    <w:name w:val="SectionStyle"/>
    <w:rsid w:val="00D77131"/>
    <w:pPr>
      <w:spacing w:before="150" w:after="150" w:line="276" w:lineRule="auto"/>
    </w:pPr>
    <w:rPr>
      <w:rFonts w:asciiTheme="minorHAnsi" w:hAnsiTheme="minorHAnsi" w:cs="Calibri"/>
      <w:b/>
      <w:color w:val="000000"/>
      <w:sz w:val="22"/>
      <w:shd w:val="clear" w:color="auto" w:fill="EBF5F5"/>
      <w:lang w:eastAsia="en-US"/>
    </w:rPr>
  </w:style>
  <w:style w:type="paragraph" w:customStyle="1" w:styleId="Heading1Numbered">
    <w:name w:val="Heading 1 Numbered"/>
    <w:basedOn w:val="Heading1"/>
    <w:qFormat/>
    <w:rsid w:val="00025FEB"/>
    <w:pPr>
      <w:keepNext/>
      <w:pageBreakBefore w:val="0"/>
      <w:numPr>
        <w:numId w:val="17"/>
      </w:numPr>
      <w:spacing w:line="240" w:lineRule="auto"/>
      <w:ind w:left="1134" w:hanging="1134"/>
    </w:pPr>
  </w:style>
  <w:style w:type="paragraph" w:customStyle="1" w:styleId="Heading2Numbered">
    <w:name w:val="Heading 2 Numbered"/>
    <w:basedOn w:val="Heading1Numbered"/>
    <w:qFormat/>
    <w:rsid w:val="00025FEB"/>
    <w:pPr>
      <w:numPr>
        <w:ilvl w:val="1"/>
      </w:numPr>
      <w:spacing w:before="480" w:after="180"/>
      <w:ind w:left="1134" w:hanging="1134"/>
    </w:pPr>
    <w:rPr>
      <w:color w:val="0A6AB4"/>
      <w:sz w:val="48"/>
      <w:szCs w:val="48"/>
      <w:lang w:eastAsia="en-NZ"/>
    </w:rPr>
  </w:style>
  <w:style w:type="paragraph" w:customStyle="1" w:styleId="Heading3Numbered">
    <w:name w:val="Heading 3 Numbered"/>
    <w:basedOn w:val="Heading3"/>
    <w:qFormat/>
    <w:rsid w:val="00025FEB"/>
    <w:pPr>
      <w:numPr>
        <w:numId w:val="18"/>
      </w:numPr>
    </w:pPr>
  </w:style>
  <w:style w:type="paragraph" w:customStyle="1" w:styleId="text">
    <w:name w:val="text"/>
    <w:basedOn w:val="Normal"/>
    <w:rsid w:val="00025FEB"/>
    <w:pPr>
      <w:spacing w:before="100" w:beforeAutospacing="1" w:after="100" w:afterAutospacing="1"/>
    </w:pPr>
    <w:rPr>
      <w:rFonts w:ascii="Times New Roman" w:hAnsi="Times New Roman"/>
      <w:sz w:val="24"/>
      <w:szCs w:val="24"/>
      <w:lang w:eastAsia="en-NZ"/>
    </w:rPr>
  </w:style>
  <w:style w:type="character" w:styleId="UnresolvedMention">
    <w:name w:val="Unresolved Mention"/>
    <w:basedOn w:val="DefaultParagraphFont"/>
    <w:uiPriority w:val="99"/>
    <w:unhideWhenUsed/>
    <w:rsid w:val="00025FEB"/>
    <w:rPr>
      <w:color w:val="605E5C"/>
      <w:shd w:val="clear" w:color="auto" w:fill="E1DFDD"/>
    </w:rPr>
  </w:style>
  <w:style w:type="character" w:customStyle="1" w:styleId="label2">
    <w:name w:val="label2"/>
    <w:basedOn w:val="DefaultParagraphFont"/>
    <w:rsid w:val="00025FEB"/>
  </w:style>
  <w:style w:type="character" w:customStyle="1" w:styleId="label3">
    <w:name w:val="label3"/>
    <w:basedOn w:val="DefaultParagraphFont"/>
    <w:rsid w:val="00025FEB"/>
  </w:style>
  <w:style w:type="paragraph" w:customStyle="1" w:styleId="subprov1">
    <w:name w:val="subprov1"/>
    <w:basedOn w:val="Normal"/>
    <w:rsid w:val="00025FEB"/>
    <w:pPr>
      <w:spacing w:before="83" w:after="216" w:line="288" w:lineRule="atLeast"/>
    </w:pPr>
    <w:rPr>
      <w:rFonts w:ascii="Times New Roman" w:hAnsi="Times New Roman"/>
      <w:sz w:val="24"/>
      <w:szCs w:val="24"/>
      <w:lang w:eastAsia="en-NZ"/>
    </w:rPr>
  </w:style>
  <w:style w:type="character" w:customStyle="1" w:styleId="BoxChar">
    <w:name w:val="Box Char"/>
    <w:link w:val="Box"/>
    <w:rsid w:val="00025FEB"/>
    <w:rPr>
      <w:rFonts w:ascii="Segoe UI" w:hAnsi="Segoe UI"/>
      <w:sz w:val="21"/>
      <w:lang w:eastAsia="en-GB"/>
    </w:rPr>
  </w:style>
  <w:style w:type="paragraph" w:customStyle="1" w:styleId="Default">
    <w:name w:val="Default"/>
    <w:rsid w:val="00025FEB"/>
    <w:pPr>
      <w:autoSpaceDE w:val="0"/>
      <w:autoSpaceDN w:val="0"/>
      <w:adjustRightInd w:val="0"/>
    </w:pPr>
    <w:rPr>
      <w:color w:val="000000"/>
      <w:sz w:val="24"/>
      <w:szCs w:val="24"/>
    </w:rPr>
  </w:style>
  <w:style w:type="character" w:customStyle="1" w:styleId="insertwords">
    <w:name w:val="insertwords"/>
    <w:basedOn w:val="DefaultParagraphFont"/>
    <w:rsid w:val="00025FEB"/>
  </w:style>
  <w:style w:type="character" w:customStyle="1" w:styleId="label">
    <w:name w:val="label"/>
    <w:basedOn w:val="DefaultParagraphFont"/>
    <w:rsid w:val="00025FEB"/>
  </w:style>
  <w:style w:type="paragraph" w:customStyle="1" w:styleId="subprov">
    <w:name w:val="subprov"/>
    <w:basedOn w:val="Normal"/>
    <w:rsid w:val="00025FEB"/>
    <w:pPr>
      <w:spacing w:before="100" w:beforeAutospacing="1" w:after="100" w:afterAutospacing="1"/>
    </w:pPr>
    <w:rPr>
      <w:rFonts w:ascii="Times New Roman" w:hAnsi="Times New Roman"/>
      <w:sz w:val="24"/>
      <w:szCs w:val="24"/>
      <w:lang w:eastAsia="en-NZ"/>
    </w:rPr>
  </w:style>
  <w:style w:type="character" w:customStyle="1" w:styleId="label-para">
    <w:name w:val="label-para"/>
    <w:basedOn w:val="DefaultParagraphFont"/>
    <w:rsid w:val="00025FEB"/>
  </w:style>
  <w:style w:type="character" w:styleId="Emphasis">
    <w:name w:val="Emphasis"/>
    <w:basedOn w:val="DefaultParagraphFont"/>
    <w:uiPriority w:val="20"/>
    <w:qFormat/>
    <w:rsid w:val="00025FEB"/>
    <w:rPr>
      <w:i/>
      <w:iCs/>
    </w:rPr>
  </w:style>
  <w:style w:type="character" w:customStyle="1" w:styleId="amending-leg">
    <w:name w:val="amending-leg"/>
    <w:basedOn w:val="DefaultParagraphFont"/>
    <w:rsid w:val="00025FEB"/>
  </w:style>
  <w:style w:type="character" w:styleId="PlaceholderText">
    <w:name w:val="Placeholder Text"/>
    <w:basedOn w:val="DefaultParagraphFont"/>
    <w:uiPriority w:val="99"/>
    <w:semiHidden/>
    <w:rsid w:val="00025FEB"/>
    <w:rPr>
      <w:color w:val="808080"/>
    </w:rPr>
  </w:style>
  <w:style w:type="character" w:styleId="Mention">
    <w:name w:val="Mention"/>
    <w:basedOn w:val="DefaultParagraphFont"/>
    <w:uiPriority w:val="99"/>
    <w:unhideWhenUsed/>
    <w:rsid w:val="008C08F4"/>
    <w:rPr>
      <w:color w:val="2B579A"/>
      <w:shd w:val="clear" w:color="auto" w:fill="E1DFDD"/>
    </w:rPr>
  </w:style>
  <w:style w:type="character" w:customStyle="1" w:styleId="cf01">
    <w:name w:val="cf01"/>
    <w:basedOn w:val="DefaultParagraphFont"/>
    <w:rsid w:val="009F37EE"/>
    <w:rPr>
      <w:rFonts w:ascii="Segoe UI" w:hAnsi="Segoe UI" w:cs="Segoe UI" w:hint="default"/>
      <w:sz w:val="18"/>
      <w:szCs w:val="18"/>
    </w:rPr>
  </w:style>
  <w:style w:type="paragraph" w:customStyle="1" w:styleId="pf0">
    <w:name w:val="pf0"/>
    <w:basedOn w:val="Normal"/>
    <w:rsid w:val="005275A0"/>
    <w:pPr>
      <w:spacing w:before="100" w:beforeAutospacing="1" w:after="100" w:afterAutospacing="1"/>
    </w:pPr>
    <w:rPr>
      <w:rFonts w:ascii="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18036">
      <w:bodyDiv w:val="1"/>
      <w:marLeft w:val="0"/>
      <w:marRight w:val="0"/>
      <w:marTop w:val="0"/>
      <w:marBottom w:val="0"/>
      <w:divBdr>
        <w:top w:val="none" w:sz="0" w:space="0" w:color="auto"/>
        <w:left w:val="none" w:sz="0" w:space="0" w:color="auto"/>
        <w:bottom w:val="none" w:sz="0" w:space="0" w:color="auto"/>
        <w:right w:val="none" w:sz="0" w:space="0" w:color="auto"/>
      </w:divBdr>
    </w:div>
    <w:div w:id="9030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legislation.govt.nz/act/public/2003/0115/latest/link.aspx?id=DLM262175" TargetMode="Externa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assports.govt.nz/passport-photos/" TargetMode="External"/><Relationship Id="rId33" Type="http://schemas.openxmlformats.org/officeDocument/2006/relationships/header" Target="header6.xml"/><Relationship Id="rId38"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Admin@health.govt.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5.xml"/><Relationship Id="rId37" Type="http://schemas.openxmlformats.org/officeDocument/2006/relationships/image" Target="media/image6.jpeg"/><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hyperlink" Target="http://www.nzlii.org/nz/cases/NZMHRT/2011/40.html" TargetMode="Externa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jpeg"/><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yperlink" Target="https://www.legislation.govt.nz/act/public/2003/0115/latest/link.aspx?id=DLM224577" TargetMode="External"/><Relationship Id="rId30" Type="http://schemas.openxmlformats.org/officeDocument/2006/relationships/hyperlink" Target="https://www.health.govt.nz/our-work/mental-health-and-addiction/mental-health-legislation/mental-health-compulsory-assessment-and-treatment-act-1992/mental-health-act-guidelines-and-resources" TargetMode="External"/><Relationship Id="rId35" Type="http://schemas.openxmlformats.org/officeDocument/2006/relationships/footer" Target="footer9.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162B895084E64BF086D7A7D33E730"/>
        <w:category>
          <w:name w:val="General"/>
          <w:gallery w:val="placeholder"/>
        </w:category>
        <w:types>
          <w:type w:val="bbPlcHdr"/>
        </w:types>
        <w:behaviors>
          <w:behavior w:val="content"/>
        </w:behaviors>
        <w:guid w:val="{96CFA190-FD4B-422C-AD21-4E0D8113837A}"/>
      </w:docPartPr>
      <w:docPartBody>
        <w:p w:rsidR="00600FAC" w:rsidRDefault="00690926" w:rsidP="00690926">
          <w:pPr>
            <w:pStyle w:val="2A5162B895084E64BF086D7A7D33E730"/>
          </w:pPr>
          <w:r w:rsidRPr="0045572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26"/>
    <w:rsid w:val="00002314"/>
    <w:rsid w:val="00005BD7"/>
    <w:rsid w:val="000C72EC"/>
    <w:rsid w:val="000D3664"/>
    <w:rsid w:val="000E2F44"/>
    <w:rsid w:val="001038BE"/>
    <w:rsid w:val="0015241B"/>
    <w:rsid w:val="00154460"/>
    <w:rsid w:val="00162967"/>
    <w:rsid w:val="001D0B31"/>
    <w:rsid w:val="00214C6E"/>
    <w:rsid w:val="00216CA6"/>
    <w:rsid w:val="002651DE"/>
    <w:rsid w:val="002713DC"/>
    <w:rsid w:val="00286C70"/>
    <w:rsid w:val="003357CA"/>
    <w:rsid w:val="003A7912"/>
    <w:rsid w:val="003B2093"/>
    <w:rsid w:val="003D515F"/>
    <w:rsid w:val="003D5F42"/>
    <w:rsid w:val="003E4F81"/>
    <w:rsid w:val="003F0327"/>
    <w:rsid w:val="003F0432"/>
    <w:rsid w:val="004120B9"/>
    <w:rsid w:val="0042566F"/>
    <w:rsid w:val="00436574"/>
    <w:rsid w:val="00437539"/>
    <w:rsid w:val="00496DED"/>
    <w:rsid w:val="004A1906"/>
    <w:rsid w:val="004A7141"/>
    <w:rsid w:val="004B7E98"/>
    <w:rsid w:val="004C33D0"/>
    <w:rsid w:val="004D2394"/>
    <w:rsid w:val="0050570B"/>
    <w:rsid w:val="005271C8"/>
    <w:rsid w:val="0059392F"/>
    <w:rsid w:val="005B0B2E"/>
    <w:rsid w:val="005B394B"/>
    <w:rsid w:val="00600FAC"/>
    <w:rsid w:val="00690926"/>
    <w:rsid w:val="00692448"/>
    <w:rsid w:val="006F3692"/>
    <w:rsid w:val="007E46B1"/>
    <w:rsid w:val="007F31AC"/>
    <w:rsid w:val="00865780"/>
    <w:rsid w:val="008A6D7F"/>
    <w:rsid w:val="008C1DBB"/>
    <w:rsid w:val="008C62BF"/>
    <w:rsid w:val="008D2FCE"/>
    <w:rsid w:val="0090013D"/>
    <w:rsid w:val="00937792"/>
    <w:rsid w:val="00AB6333"/>
    <w:rsid w:val="00B32D76"/>
    <w:rsid w:val="00BA24BE"/>
    <w:rsid w:val="00BB6517"/>
    <w:rsid w:val="00BC5563"/>
    <w:rsid w:val="00BC55A5"/>
    <w:rsid w:val="00BC6C79"/>
    <w:rsid w:val="00C25FB9"/>
    <w:rsid w:val="00C2793A"/>
    <w:rsid w:val="00C4550E"/>
    <w:rsid w:val="00CC7FAB"/>
    <w:rsid w:val="00CE1614"/>
    <w:rsid w:val="00D47502"/>
    <w:rsid w:val="00DD5382"/>
    <w:rsid w:val="00E33342"/>
    <w:rsid w:val="00E43F71"/>
    <w:rsid w:val="00EB490C"/>
    <w:rsid w:val="00ED158C"/>
    <w:rsid w:val="00EF454E"/>
    <w:rsid w:val="00F53805"/>
    <w:rsid w:val="00FF0B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926"/>
    <w:rPr>
      <w:color w:val="808080"/>
    </w:rPr>
  </w:style>
  <w:style w:type="paragraph" w:customStyle="1" w:styleId="2A5162B895084E64BF086D7A7D33E730">
    <w:name w:val="2A5162B895084E64BF086D7A7D33E730"/>
    <w:rsid w:val="00690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Special patients</CategoryValue>
    <PRADate2 xmlns="4f9c820c-e7e2-444d-97ee-45f2b3485c1d" xsi:nil="true"/>
    <zLegacyJSON xmlns="184c05c4-c568-455d-94a4-7e009b164348" xsi:nil="true"/>
    <Case xmlns="4f9c820c-e7e2-444d-97ee-45f2b3485c1d">Mental Health, Addiction and Suicide Prevention</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Addiction and Suicide Prevention</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Del02M</SetLabel>
    <RelatedPeople xmlns="4f9c820c-e7e2-444d-97ee-45f2b3485c1d">
      <UserInfo>
        <DisplayName/>
        <AccountId xsi:nil="true"/>
        <AccountType/>
      </UserInfo>
    </RelatedPeople>
    <AggregationNarrative xmlns="725c79e5-42ce-4aa0-ac78-b6418001f0d2" xsi:nil="true"/>
    <Channel xmlns="c91a514c-9034-4fa3-897a-8352025b26ed">Office of the Director of Mental Health</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Guidelines</CategoryName>
    <PRADateTrigger xmlns="4f9c820c-e7e2-444d-97ee-45f2b3485c1d" xsi:nil="true"/>
    <PRAText2 xmlns="4f9c820c-e7e2-444d-97ee-45f2b3485c1d" xsi:nil="true"/>
    <zLegacyID xmlns="184c05c4-c568-455d-94a4-7e009b164348" xsi:nil="true"/>
    <TaxCatchAll xmlns="c5b47098-0215-444c-9096-523bda4ac5c6" xsi:nil="true"/>
    <lcf76f155ced4ddcb4097134ff3c332f xmlns="54904628-6268-4ac5-9416-97794f1d508d">
      <Terms xmlns="http://schemas.microsoft.com/office/infopath/2007/PartnerControls"/>
    </lcf76f155ced4ddcb4097134ff3c332f>
    <_dlc_DocId xmlns="c5b47098-0215-444c-9096-523bda4ac5c6">MOHECM-1473024171-23517</_dlc_DocId>
    <_dlc_DocIdUrl xmlns="c5b47098-0215-444c-9096-523bda4ac5c6">
      <Url>https://mohgovtnz.sharepoint.com/sites/moh-ecm-GrpMHA/_layouts/15/DocIdRedir.aspx?ID=MOHECM-1473024171-23517</Url>
      <Description>MOHECM-1473024171-23517</Description>
    </_dlc_DocIdUrl>
    <TeamAdministration xmlns="010488e4-b9d5-423b-986c-ca7bae9bcc03" xsi:nil="true"/>
    <SharedWithUsers xmlns="c5b47098-0215-444c-9096-523bda4ac5c6">
      <UserInfo>
        <DisplayName>John Crawshaw</DisplayName>
        <AccountId>38</AccountId>
        <AccountType/>
      </UserInfo>
    </SharedWithUsers>
    <_dlc_DocIdPersistId xmlns="c5b47098-0215-444c-9096-523bda4ac5c6">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91" ma:contentTypeDescription="Create a new document." ma:contentTypeScope="" ma:versionID="da64a56e48dbfb4584fdbb89bd43d71b">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54904628-6268-4ac5-9416-97794f1d508d" targetNamespace="http://schemas.microsoft.com/office/2006/metadata/properties" ma:root="true" ma:fieldsID="c66659142c3d8cb59fb7d2c730f8f3f5" ns2:_="" ns3:_="" ns4:_="" ns5:_="" ns6:_="" ns7:_="" ns8:_="" ns9:_="" ns10: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10:MediaServiceMetadata" minOccurs="0"/>
                <xsd:element ref="ns10:MediaServiceFastMetadata" minOccurs="0"/>
                <xsd:element ref="ns3:Case"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2:SharedWithUsers" minOccurs="0"/>
                <xsd:element ref="ns2:SharedWithDetails" minOccurs="0"/>
                <xsd:element ref="ns10:MediaServiceDateTaken" minOccurs="0"/>
                <xsd:element ref="ns10:MediaServiceObjectDetectorVersions" minOccurs="0"/>
                <xsd:element ref="ns10:MediaLengthInSeconds" minOccurs="0"/>
                <xsd:element ref="ns10:MediaServiceSearchProperties" minOccurs="0"/>
                <xsd:element ref="ns10: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6" nillable="true" ma:displayName="Taxonomy Catch All Column" ma:hidden="true" ma:list="{819a04ce-19f6-499f-abc2-68ba6183a913}"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3" nillable="true" ma:displayName="Case" ma:default="Mental Health, Addiction and Suicide Prevention"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Mental Health, Addiction and Suicide Prevention"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Del02M" ma:hidden="true" ma:indexed="true" ma:internalName="SetLabel">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2" nillable="true" ma:displayName="MediaServiceDateTaken" ma:internalName="MediaServiceDateTaken" ma:readOnly="true">
      <xsd:simpleType>
        <xsd:restriction base="dms:Text"/>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MediaLengthInSeconds" ma:index="64" nillable="true" ma:displayName="MediaLengthInSeconds" ma:hidden="true" ma:internalName="MediaLengthInSeconds" ma:readOnly="true">
      <xsd:simpleType>
        <xsd:restriction base="dms:Unknown"/>
      </xsd:simpleType>
    </xsd:element>
    <xsd:element name="MediaServiceSearchProperties" ma:index="65" nillable="true" ma:displayName="MediaServiceSearchProperties" ma:hidden="true" ma:internalName="MediaServiceSearchProperties" ma:readOnly="true">
      <xsd:simpleType>
        <xsd:restriction base="dms:Note"/>
      </xsd:simpleType>
    </xsd:element>
    <xsd:element name="MediaServiceLocation" ma:index="6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2C0C8-03E6-41A1-B364-E706EF957085}">
  <ds:schemaRefs>
    <ds:schemaRef ds:uri="http://schemas.openxmlformats.org/officeDocument/2006/bibliography"/>
  </ds:schemaRefs>
</ds:datastoreItem>
</file>

<file path=customXml/itemProps2.xml><?xml version="1.0" encoding="utf-8"?>
<ds:datastoreItem xmlns:ds="http://schemas.openxmlformats.org/officeDocument/2006/customXml" ds:itemID="{60485F9F-A771-4461-B0C3-7A3E06A6DCBB}">
  <ds:schemaRefs>
    <ds:schemaRef ds:uri="http://schemas.microsoft.com/sharepoint/events"/>
  </ds:schemaRefs>
</ds:datastoreItem>
</file>

<file path=customXml/itemProps3.xml><?xml version="1.0" encoding="utf-8"?>
<ds:datastoreItem xmlns:ds="http://schemas.openxmlformats.org/officeDocument/2006/customXml" ds:itemID="{A9C1917A-E620-475F-9F74-B6C21FF442A9}">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 ds:uri="54904628-6268-4ac5-9416-97794f1d508d"/>
    <ds:schemaRef ds:uri="010488e4-b9d5-423b-986c-ca7bae9bcc03"/>
  </ds:schemaRefs>
</ds:datastoreItem>
</file>

<file path=customXml/itemProps4.xml><?xml version="1.0" encoding="utf-8"?>
<ds:datastoreItem xmlns:ds="http://schemas.openxmlformats.org/officeDocument/2006/customXml" ds:itemID="{40C19A69-F11F-4822-B0F2-7F3712174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2183E1-02D9-4AE9-A79F-9FB0AFFC9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25</TotalTime>
  <Pages>5</Pages>
  <Words>24203</Words>
  <Characters>137962</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Special Patients and Restricted Patients: Guidelines for Regional Forensic Mental Health Services</vt:lpstr>
    </vt:vector>
  </TitlesOfParts>
  <Company>Microsoft</Company>
  <LinksUpToDate>false</LinksUpToDate>
  <CharactersWithSpaces>161842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Patients and Restricted Patients: Guidelines for Regional Forensic Mental Health Services</dc:title>
  <dc:subject/>
  <dc:creator>Ministry of Health</dc:creator>
  <cp:keywords/>
  <cp:lastModifiedBy>Ministry of Health</cp:lastModifiedBy>
  <cp:revision>12</cp:revision>
  <cp:lastPrinted>2024-10-23T21:30:00Z</cp:lastPrinted>
  <dcterms:created xsi:type="dcterms:W3CDTF">2024-10-22T01:36:00Z</dcterms:created>
  <dcterms:modified xsi:type="dcterms:W3CDTF">2024-10-23T21:30:00Z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ea71dc3b-7e2d-4648-a125-aa611b5147dd</vt:lpwstr>
  </property>
  <property fmtid="{D5CDD505-2E9C-101B-9397-08002B2CF9AE}" pid="4" name="MediaServiceImageTags">
    <vt:lpwstr/>
  </property>
  <property fmtid="{D5CDD505-2E9C-101B-9397-08002B2CF9AE}" pid="5" name="OriginalSubject">
    <vt:lpwstr/>
  </property>
  <property fmtid="{D5CDD505-2E9C-101B-9397-08002B2CF9AE}" pid="6" name="Subactivity">
    <vt:lpwstr>Mental Health Statutory Appointments</vt:lpwstr>
  </property>
  <property fmtid="{D5CDD505-2E9C-101B-9397-08002B2CF9AE}" pid="7" name="Activity">
    <vt:lpwstr>Mental Health</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xd_Signature">
    <vt:bool>false</vt:bool>
  </property>
  <property fmtid="{D5CDD505-2E9C-101B-9397-08002B2CF9AE}" pid="13" name="HarmonieUIHidden">
    <vt:lpwstr/>
  </property>
  <property fmtid="{D5CDD505-2E9C-101B-9397-08002B2CF9AE}" pid="14" name="CC">
    <vt:lpwstr/>
  </property>
  <property fmtid="{D5CDD505-2E9C-101B-9397-08002B2CF9AE}" pid="15" name="To">
    <vt:lpwstr/>
  </property>
  <property fmtid="{D5CDD505-2E9C-101B-9397-08002B2CF9AE}" pid="16" name="TriggerFlowInfo">
    <vt:lpwstr/>
  </property>
  <property fmtid="{D5CDD505-2E9C-101B-9397-08002B2CF9AE}" pid="17" name="MailPreviewData">
    <vt:lpwstr/>
  </property>
  <property fmtid="{D5CDD505-2E9C-101B-9397-08002B2CF9AE}" pid="18" name="ILFrom">
    <vt:lpwstr/>
  </property>
</Properties>
</file>