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CC9F" w14:textId="3B4B81A7" w:rsidR="00C05132" w:rsidRDefault="00D7554E" w:rsidP="00D7554E">
      <w:pPr>
        <w:pStyle w:val="Title"/>
      </w:pPr>
      <w:r w:rsidRPr="00D7554E">
        <w:t>General terms of reference for performance reviews of responsible authorities</w:t>
      </w:r>
    </w:p>
    <w:p w14:paraId="6C6D2AA3" w14:textId="77777777" w:rsidR="00142954" w:rsidRDefault="00142954" w:rsidP="00142954">
      <w:pPr>
        <w:rPr>
          <w:rFonts w:cs="Segoe UI"/>
          <w:sz w:val="20"/>
        </w:rPr>
      </w:pPr>
    </w:p>
    <w:p w14:paraId="147BFA8E" w14:textId="77777777" w:rsidR="00D7554E" w:rsidRPr="00D7554E" w:rsidRDefault="00D7554E" w:rsidP="00D7554E"/>
    <w:p w14:paraId="2411564E" w14:textId="77777777" w:rsidR="00D7554E" w:rsidRPr="00D7554E" w:rsidRDefault="00D7554E" w:rsidP="00D7554E"/>
    <w:p w14:paraId="5E9183A8" w14:textId="77777777" w:rsidR="00D7554E" w:rsidRPr="00D7554E" w:rsidRDefault="00D7554E" w:rsidP="00D7554E"/>
    <w:p w14:paraId="0B9F1A3C" w14:textId="77777777" w:rsidR="00D7554E" w:rsidRPr="00D7554E" w:rsidRDefault="00D7554E" w:rsidP="00D7554E"/>
    <w:p w14:paraId="25C0CD16" w14:textId="77777777" w:rsidR="00D7554E" w:rsidRPr="00D7554E" w:rsidRDefault="00D7554E" w:rsidP="00D7554E"/>
    <w:p w14:paraId="430BB105" w14:textId="77777777" w:rsidR="00D7554E" w:rsidRPr="00D7554E" w:rsidRDefault="00D7554E" w:rsidP="00D7554E"/>
    <w:p w14:paraId="4651A79A" w14:textId="77777777" w:rsidR="00D7554E" w:rsidRPr="00D7554E" w:rsidRDefault="00D7554E" w:rsidP="00D7554E"/>
    <w:p w14:paraId="65B5D2B4" w14:textId="77777777" w:rsidR="00D7554E" w:rsidRPr="00D7554E" w:rsidRDefault="00D7554E" w:rsidP="00D7554E"/>
    <w:p w14:paraId="2BD881FF" w14:textId="77777777" w:rsidR="00D7554E" w:rsidRPr="00D7554E" w:rsidRDefault="00D7554E" w:rsidP="00D7554E"/>
    <w:p w14:paraId="146E712F" w14:textId="77777777" w:rsidR="00D7554E" w:rsidRPr="00D7554E" w:rsidRDefault="00D7554E" w:rsidP="00D7554E"/>
    <w:p w14:paraId="456E91D2" w14:textId="77777777" w:rsidR="00D7554E" w:rsidRPr="00D7554E" w:rsidRDefault="00D7554E" w:rsidP="00D7554E"/>
    <w:p w14:paraId="6439CF61" w14:textId="77777777" w:rsidR="00D7554E" w:rsidRPr="00D7554E" w:rsidRDefault="00D7554E" w:rsidP="00D7554E"/>
    <w:p w14:paraId="58AB63BE" w14:textId="77777777" w:rsidR="00D7554E" w:rsidRPr="00D7554E" w:rsidRDefault="00D7554E" w:rsidP="00D7554E"/>
    <w:p w14:paraId="1FA56DB8" w14:textId="77777777" w:rsidR="00D7554E" w:rsidRDefault="00D7554E" w:rsidP="00D7554E">
      <w:pPr>
        <w:rPr>
          <w:rFonts w:cs="Segoe UI"/>
          <w:sz w:val="20"/>
        </w:rPr>
      </w:pPr>
    </w:p>
    <w:p w14:paraId="4051E046" w14:textId="77777777" w:rsidR="00D7554E" w:rsidRDefault="00D7554E" w:rsidP="00D7554E">
      <w:pPr>
        <w:ind w:firstLine="567"/>
        <w:rPr>
          <w:rFonts w:cs="Segoe UI"/>
          <w:sz w:val="20"/>
        </w:rPr>
      </w:pPr>
    </w:p>
    <w:p w14:paraId="57E2CB79" w14:textId="2015A3CA" w:rsidR="00D7554E" w:rsidRPr="00D7554E" w:rsidRDefault="00D7554E" w:rsidP="00D7554E">
      <w:pPr>
        <w:tabs>
          <w:tab w:val="left" w:pos="672"/>
        </w:tabs>
        <w:sectPr w:rsidR="00D7554E" w:rsidRPr="00D7554E" w:rsidSect="005A79E5">
          <w:headerReference w:type="default" r:id="rId11"/>
          <w:footerReference w:type="default" r:id="rId12"/>
          <w:pgSz w:w="11907" w:h="16834" w:code="9"/>
          <w:pgMar w:top="5670" w:right="1134" w:bottom="1134" w:left="1134" w:header="567" w:footer="851" w:gutter="0"/>
          <w:pgNumType w:start="1"/>
          <w:cols w:space="720"/>
        </w:sectPr>
      </w:pPr>
      <w:r>
        <w:tab/>
      </w:r>
    </w:p>
    <w:p w14:paraId="358CE3BA" w14:textId="068EA1A8"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Ministry of Health.</w:t>
      </w:r>
      <w:r w:rsidR="00D7554E">
        <w:rPr>
          <w:rFonts w:cs="Segoe UI"/>
        </w:rPr>
        <w:t xml:space="preserve"> </w:t>
      </w:r>
      <w:r w:rsidR="00D7554E" w:rsidRPr="00B90BDD">
        <w:rPr>
          <w:rFonts w:cs="Segoe UI"/>
        </w:rPr>
        <w:t>2024</w:t>
      </w:r>
      <w:r w:rsidR="00442C1C" w:rsidRPr="00C05132">
        <w:rPr>
          <w:rFonts w:cs="Segoe UI"/>
        </w:rPr>
        <w:t xml:space="preserve">. </w:t>
      </w:r>
      <w:r w:rsidR="00D7554E" w:rsidRPr="00D7554E">
        <w:rPr>
          <w:rFonts w:cs="Segoe UI"/>
          <w:i/>
        </w:rPr>
        <w:t>General terms of reference for performance reviews of responsible authorities</w:t>
      </w:r>
      <w:r w:rsidR="00442C1C" w:rsidRPr="00C05132">
        <w:rPr>
          <w:rFonts w:cs="Segoe UI"/>
        </w:rPr>
        <w:t>. Wellington: Ministry of Health.</w:t>
      </w:r>
    </w:p>
    <w:p w14:paraId="7909192E" w14:textId="0A578466" w:rsidR="00C86248" w:rsidRDefault="00C86248">
      <w:pPr>
        <w:pStyle w:val="Imprint"/>
      </w:pPr>
      <w:r>
        <w:t xml:space="preserve">Published in </w:t>
      </w:r>
      <w:r w:rsidR="00D04D84">
        <w:t>December</w:t>
      </w:r>
      <w:r w:rsidR="00D7554E" w:rsidRPr="00D04D84">
        <w:t xml:space="preserve"> 2024</w:t>
      </w:r>
      <w:r w:rsidR="00D7554E">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19FCF723" w14:textId="257BA62C" w:rsidR="00D7554E" w:rsidRPr="00434299" w:rsidRDefault="00D7554E" w:rsidP="00D7554E">
      <w:pPr>
        <w:pStyle w:val="Imprint"/>
        <w:rPr>
          <w:color w:val="000000" w:themeColor="text1"/>
        </w:rPr>
      </w:pPr>
      <w:r w:rsidRPr="004F5856">
        <w:rPr>
          <w:color w:val="000000" w:themeColor="text1"/>
        </w:rPr>
        <w:t xml:space="preserve">HP </w:t>
      </w:r>
      <w:r w:rsidR="004F5856">
        <w:rPr>
          <w:color w:val="000000" w:themeColor="text1"/>
        </w:rPr>
        <w:t>9103</w:t>
      </w:r>
    </w:p>
    <w:p w14:paraId="48DBDA36" w14:textId="77777777" w:rsidR="00C86248" w:rsidRDefault="008C64C4" w:rsidP="00A63DFF">
      <w:r>
        <w:rPr>
          <w:noProof/>
          <w:lang w:eastAsia="en-NZ"/>
        </w:rPr>
        <w:drawing>
          <wp:inline distT="0" distB="0" distL="0" distR="0" wp14:anchorId="6EF4539D" wp14:editId="08C7BCD6">
            <wp:extent cx="1216825" cy="493307"/>
            <wp:effectExtent l="0" t="0" r="2540" b="254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16825" cy="493307"/>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 xml:space="preserve">This document is available at </w:t>
      </w:r>
      <w:proofErr w:type="gramStart"/>
      <w:r>
        <w:t>health.govt.nz</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headerReference w:type="default" r:id="rId15"/>
          <w:footerReference w:type="even" r:id="rId16"/>
          <w:footerReference w:type="default" r:id="rId17"/>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1" w:name="_Toc405792991"/>
      <w:bookmarkStart w:id="2" w:name="_Toc405793224"/>
      <w:r>
        <w:t>Contents</w:t>
      </w:r>
      <w:bookmarkEnd w:id="1"/>
      <w:bookmarkEnd w:id="2"/>
    </w:p>
    <w:p w14:paraId="22A87397" w14:textId="4C4008CE" w:rsidR="00294275" w:rsidRDefault="00294275">
      <w:pPr>
        <w:pStyle w:val="TOC1"/>
        <w:rPr>
          <w:rFonts w:asciiTheme="minorHAnsi" w:eastAsiaTheme="minorEastAsia" w:hAnsiTheme="minorHAnsi" w:cstheme="minorBidi"/>
          <w:noProof/>
          <w:kern w:val="2"/>
          <w:sz w:val="22"/>
          <w:szCs w:val="22"/>
          <w:lang w:eastAsia="en-NZ"/>
          <w14:ligatures w14:val="standardContextual"/>
        </w:rPr>
      </w:pPr>
      <w:r>
        <w:rPr>
          <w:b/>
        </w:rPr>
        <w:fldChar w:fldCharType="begin"/>
      </w:r>
      <w:r>
        <w:rPr>
          <w:b/>
        </w:rPr>
        <w:instrText xml:space="preserve"> TOC \o "1-2" \h \z </w:instrText>
      </w:r>
      <w:r>
        <w:rPr>
          <w:b/>
        </w:rPr>
        <w:fldChar w:fldCharType="separate"/>
      </w:r>
      <w:hyperlink w:anchor="_Toc184029201" w:history="1">
        <w:r w:rsidRPr="00093EF5">
          <w:rPr>
            <w:rStyle w:val="Hyperlink"/>
            <w:noProof/>
          </w:rPr>
          <w:t>Preamble</w:t>
        </w:r>
        <w:r>
          <w:rPr>
            <w:noProof/>
            <w:webHidden/>
          </w:rPr>
          <w:tab/>
        </w:r>
        <w:r>
          <w:rPr>
            <w:noProof/>
            <w:webHidden/>
          </w:rPr>
          <w:fldChar w:fldCharType="begin"/>
        </w:r>
        <w:r>
          <w:rPr>
            <w:noProof/>
            <w:webHidden/>
          </w:rPr>
          <w:instrText xml:space="preserve"> PAGEREF _Toc184029201 \h </w:instrText>
        </w:r>
        <w:r>
          <w:rPr>
            <w:noProof/>
            <w:webHidden/>
          </w:rPr>
        </w:r>
        <w:r>
          <w:rPr>
            <w:noProof/>
            <w:webHidden/>
          </w:rPr>
          <w:fldChar w:fldCharType="separate"/>
        </w:r>
        <w:r w:rsidR="002E20FF">
          <w:rPr>
            <w:noProof/>
            <w:webHidden/>
          </w:rPr>
          <w:t>1</w:t>
        </w:r>
        <w:r>
          <w:rPr>
            <w:noProof/>
            <w:webHidden/>
          </w:rPr>
          <w:fldChar w:fldCharType="end"/>
        </w:r>
      </w:hyperlink>
    </w:p>
    <w:p w14:paraId="33672F43" w14:textId="286AF44F" w:rsidR="00294275" w:rsidRDefault="002E20FF">
      <w:pPr>
        <w:pStyle w:val="TOC1"/>
        <w:rPr>
          <w:rFonts w:asciiTheme="minorHAnsi" w:eastAsiaTheme="minorEastAsia" w:hAnsiTheme="minorHAnsi" w:cstheme="minorBidi"/>
          <w:noProof/>
          <w:kern w:val="2"/>
          <w:sz w:val="22"/>
          <w:szCs w:val="22"/>
          <w:lang w:eastAsia="en-NZ"/>
          <w14:ligatures w14:val="standardContextual"/>
        </w:rPr>
      </w:pPr>
      <w:hyperlink w:anchor="_Toc184029202" w:history="1">
        <w:r w:rsidR="00294275" w:rsidRPr="00093EF5">
          <w:rPr>
            <w:rStyle w:val="Hyperlink"/>
            <w:rFonts w:eastAsia="Calibri"/>
            <w:noProof/>
          </w:rPr>
          <w:t>Performance reviews</w:t>
        </w:r>
        <w:r w:rsidR="00294275">
          <w:rPr>
            <w:noProof/>
            <w:webHidden/>
          </w:rPr>
          <w:tab/>
        </w:r>
        <w:r w:rsidR="00294275">
          <w:rPr>
            <w:noProof/>
            <w:webHidden/>
          </w:rPr>
          <w:fldChar w:fldCharType="begin"/>
        </w:r>
        <w:r w:rsidR="00294275">
          <w:rPr>
            <w:noProof/>
            <w:webHidden/>
          </w:rPr>
          <w:instrText xml:space="preserve"> PAGEREF _Toc184029202 \h </w:instrText>
        </w:r>
        <w:r w:rsidR="00294275">
          <w:rPr>
            <w:noProof/>
            <w:webHidden/>
          </w:rPr>
        </w:r>
        <w:r w:rsidR="00294275">
          <w:rPr>
            <w:noProof/>
            <w:webHidden/>
          </w:rPr>
          <w:fldChar w:fldCharType="separate"/>
        </w:r>
        <w:r>
          <w:rPr>
            <w:noProof/>
            <w:webHidden/>
          </w:rPr>
          <w:t>2</w:t>
        </w:r>
        <w:r w:rsidR="00294275">
          <w:rPr>
            <w:noProof/>
            <w:webHidden/>
          </w:rPr>
          <w:fldChar w:fldCharType="end"/>
        </w:r>
      </w:hyperlink>
    </w:p>
    <w:p w14:paraId="188CFB27" w14:textId="577D102A" w:rsidR="00294275" w:rsidRDefault="002E20FF">
      <w:pPr>
        <w:pStyle w:val="TOC2"/>
        <w:rPr>
          <w:rFonts w:asciiTheme="minorHAnsi" w:eastAsiaTheme="minorEastAsia" w:hAnsiTheme="minorHAnsi" w:cstheme="minorBidi"/>
          <w:noProof/>
          <w:kern w:val="2"/>
          <w:szCs w:val="22"/>
          <w:lang w:eastAsia="en-NZ"/>
          <w14:ligatures w14:val="standardContextual"/>
        </w:rPr>
      </w:pPr>
      <w:hyperlink w:anchor="_Toc184029203" w:history="1">
        <w:r w:rsidR="00294275" w:rsidRPr="00093EF5">
          <w:rPr>
            <w:rStyle w:val="Hyperlink"/>
            <w:noProof/>
          </w:rPr>
          <w:t>Purpose of performance reviews</w:t>
        </w:r>
        <w:r w:rsidR="00294275">
          <w:rPr>
            <w:noProof/>
            <w:webHidden/>
          </w:rPr>
          <w:tab/>
        </w:r>
        <w:r w:rsidR="00294275">
          <w:rPr>
            <w:noProof/>
            <w:webHidden/>
          </w:rPr>
          <w:fldChar w:fldCharType="begin"/>
        </w:r>
        <w:r w:rsidR="00294275">
          <w:rPr>
            <w:noProof/>
            <w:webHidden/>
          </w:rPr>
          <w:instrText xml:space="preserve"> PAGEREF _Toc184029203 \h </w:instrText>
        </w:r>
        <w:r w:rsidR="00294275">
          <w:rPr>
            <w:noProof/>
            <w:webHidden/>
          </w:rPr>
        </w:r>
        <w:r w:rsidR="00294275">
          <w:rPr>
            <w:noProof/>
            <w:webHidden/>
          </w:rPr>
          <w:fldChar w:fldCharType="separate"/>
        </w:r>
        <w:r>
          <w:rPr>
            <w:noProof/>
            <w:webHidden/>
          </w:rPr>
          <w:t>2</w:t>
        </w:r>
        <w:r w:rsidR="00294275">
          <w:rPr>
            <w:noProof/>
            <w:webHidden/>
          </w:rPr>
          <w:fldChar w:fldCharType="end"/>
        </w:r>
      </w:hyperlink>
    </w:p>
    <w:p w14:paraId="738BCA87" w14:textId="3D903CBF" w:rsidR="00294275" w:rsidRDefault="002E20FF">
      <w:pPr>
        <w:pStyle w:val="TOC2"/>
        <w:rPr>
          <w:rFonts w:asciiTheme="minorHAnsi" w:eastAsiaTheme="minorEastAsia" w:hAnsiTheme="minorHAnsi" w:cstheme="minorBidi"/>
          <w:noProof/>
          <w:kern w:val="2"/>
          <w:szCs w:val="22"/>
          <w:lang w:eastAsia="en-NZ"/>
          <w14:ligatures w14:val="standardContextual"/>
        </w:rPr>
      </w:pPr>
      <w:hyperlink w:anchor="_Toc184029204" w:history="1">
        <w:r w:rsidR="00294275" w:rsidRPr="00093EF5">
          <w:rPr>
            <w:rStyle w:val="Hyperlink"/>
            <w:noProof/>
          </w:rPr>
          <w:t>Guiding principles</w:t>
        </w:r>
        <w:r w:rsidR="00294275">
          <w:rPr>
            <w:noProof/>
            <w:webHidden/>
          </w:rPr>
          <w:tab/>
        </w:r>
        <w:r w:rsidR="00294275">
          <w:rPr>
            <w:noProof/>
            <w:webHidden/>
          </w:rPr>
          <w:fldChar w:fldCharType="begin"/>
        </w:r>
        <w:r w:rsidR="00294275">
          <w:rPr>
            <w:noProof/>
            <w:webHidden/>
          </w:rPr>
          <w:instrText xml:space="preserve"> PAGEREF _Toc184029204 \h </w:instrText>
        </w:r>
        <w:r w:rsidR="00294275">
          <w:rPr>
            <w:noProof/>
            <w:webHidden/>
          </w:rPr>
        </w:r>
        <w:r w:rsidR="00294275">
          <w:rPr>
            <w:noProof/>
            <w:webHidden/>
          </w:rPr>
          <w:fldChar w:fldCharType="separate"/>
        </w:r>
        <w:r>
          <w:rPr>
            <w:noProof/>
            <w:webHidden/>
          </w:rPr>
          <w:t>2</w:t>
        </w:r>
        <w:r w:rsidR="00294275">
          <w:rPr>
            <w:noProof/>
            <w:webHidden/>
          </w:rPr>
          <w:fldChar w:fldCharType="end"/>
        </w:r>
      </w:hyperlink>
    </w:p>
    <w:p w14:paraId="54E58232" w14:textId="3859CBBA" w:rsidR="00294275" w:rsidRDefault="002E20FF">
      <w:pPr>
        <w:pStyle w:val="TOC2"/>
        <w:rPr>
          <w:rFonts w:asciiTheme="minorHAnsi" w:eastAsiaTheme="minorEastAsia" w:hAnsiTheme="minorHAnsi" w:cstheme="minorBidi"/>
          <w:noProof/>
          <w:kern w:val="2"/>
          <w:szCs w:val="22"/>
          <w:lang w:eastAsia="en-NZ"/>
          <w14:ligatures w14:val="standardContextual"/>
        </w:rPr>
      </w:pPr>
      <w:hyperlink w:anchor="_Toc184029205" w:history="1">
        <w:r w:rsidR="00294275" w:rsidRPr="00093EF5">
          <w:rPr>
            <w:rStyle w:val="Hyperlink"/>
            <w:noProof/>
          </w:rPr>
          <w:t>Nature of review</w:t>
        </w:r>
        <w:r w:rsidR="00294275">
          <w:rPr>
            <w:noProof/>
            <w:webHidden/>
          </w:rPr>
          <w:tab/>
        </w:r>
        <w:r w:rsidR="00294275">
          <w:rPr>
            <w:noProof/>
            <w:webHidden/>
          </w:rPr>
          <w:fldChar w:fldCharType="begin"/>
        </w:r>
        <w:r w:rsidR="00294275">
          <w:rPr>
            <w:noProof/>
            <w:webHidden/>
          </w:rPr>
          <w:instrText xml:space="preserve"> PAGEREF _Toc184029205 \h </w:instrText>
        </w:r>
        <w:r w:rsidR="00294275">
          <w:rPr>
            <w:noProof/>
            <w:webHidden/>
          </w:rPr>
        </w:r>
        <w:r w:rsidR="00294275">
          <w:rPr>
            <w:noProof/>
            <w:webHidden/>
          </w:rPr>
          <w:fldChar w:fldCharType="separate"/>
        </w:r>
        <w:r>
          <w:rPr>
            <w:noProof/>
            <w:webHidden/>
          </w:rPr>
          <w:t>3</w:t>
        </w:r>
        <w:r w:rsidR="00294275">
          <w:rPr>
            <w:noProof/>
            <w:webHidden/>
          </w:rPr>
          <w:fldChar w:fldCharType="end"/>
        </w:r>
      </w:hyperlink>
    </w:p>
    <w:p w14:paraId="03C09A66" w14:textId="7EE0524D" w:rsidR="00294275" w:rsidRDefault="002E20FF">
      <w:pPr>
        <w:pStyle w:val="TOC2"/>
        <w:rPr>
          <w:rFonts w:asciiTheme="minorHAnsi" w:eastAsiaTheme="minorEastAsia" w:hAnsiTheme="minorHAnsi" w:cstheme="minorBidi"/>
          <w:noProof/>
          <w:kern w:val="2"/>
          <w:szCs w:val="22"/>
          <w:lang w:eastAsia="en-NZ"/>
          <w14:ligatures w14:val="standardContextual"/>
        </w:rPr>
      </w:pPr>
      <w:hyperlink w:anchor="_Toc184029206" w:history="1">
        <w:r w:rsidR="00294275" w:rsidRPr="00093EF5">
          <w:rPr>
            <w:rStyle w:val="Hyperlink"/>
            <w:noProof/>
          </w:rPr>
          <w:t>Scope of performance review and methodology</w:t>
        </w:r>
        <w:r w:rsidR="00294275">
          <w:rPr>
            <w:noProof/>
            <w:webHidden/>
          </w:rPr>
          <w:tab/>
        </w:r>
        <w:r w:rsidR="00294275">
          <w:rPr>
            <w:noProof/>
            <w:webHidden/>
          </w:rPr>
          <w:fldChar w:fldCharType="begin"/>
        </w:r>
        <w:r w:rsidR="00294275">
          <w:rPr>
            <w:noProof/>
            <w:webHidden/>
          </w:rPr>
          <w:instrText xml:space="preserve"> PAGEREF _Toc184029206 \h </w:instrText>
        </w:r>
        <w:r w:rsidR="00294275">
          <w:rPr>
            <w:noProof/>
            <w:webHidden/>
          </w:rPr>
        </w:r>
        <w:r w:rsidR="00294275">
          <w:rPr>
            <w:noProof/>
            <w:webHidden/>
          </w:rPr>
          <w:fldChar w:fldCharType="separate"/>
        </w:r>
        <w:r>
          <w:rPr>
            <w:noProof/>
            <w:webHidden/>
          </w:rPr>
          <w:t>3</w:t>
        </w:r>
        <w:r w:rsidR="00294275">
          <w:rPr>
            <w:noProof/>
            <w:webHidden/>
          </w:rPr>
          <w:fldChar w:fldCharType="end"/>
        </w:r>
      </w:hyperlink>
    </w:p>
    <w:p w14:paraId="0EEFF38E" w14:textId="7FCDD7F8" w:rsidR="00294275" w:rsidRDefault="002E20FF">
      <w:pPr>
        <w:pStyle w:val="TOC1"/>
        <w:rPr>
          <w:rFonts w:asciiTheme="minorHAnsi" w:eastAsiaTheme="minorEastAsia" w:hAnsiTheme="minorHAnsi" w:cstheme="minorBidi"/>
          <w:noProof/>
          <w:kern w:val="2"/>
          <w:sz w:val="22"/>
          <w:szCs w:val="22"/>
          <w:lang w:eastAsia="en-NZ"/>
          <w14:ligatures w14:val="standardContextual"/>
        </w:rPr>
      </w:pPr>
      <w:hyperlink w:anchor="_Toc184029207" w:history="1">
        <w:r w:rsidR="00294275" w:rsidRPr="00093EF5">
          <w:rPr>
            <w:rStyle w:val="Hyperlink"/>
            <w:noProof/>
          </w:rPr>
          <w:t>Roles and responsibilities</w:t>
        </w:r>
        <w:r w:rsidR="00294275">
          <w:rPr>
            <w:noProof/>
            <w:webHidden/>
          </w:rPr>
          <w:tab/>
        </w:r>
        <w:r w:rsidR="00294275">
          <w:rPr>
            <w:noProof/>
            <w:webHidden/>
          </w:rPr>
          <w:fldChar w:fldCharType="begin"/>
        </w:r>
        <w:r w:rsidR="00294275">
          <w:rPr>
            <w:noProof/>
            <w:webHidden/>
          </w:rPr>
          <w:instrText xml:space="preserve"> PAGEREF _Toc184029207 \h </w:instrText>
        </w:r>
        <w:r w:rsidR="00294275">
          <w:rPr>
            <w:noProof/>
            <w:webHidden/>
          </w:rPr>
        </w:r>
        <w:r w:rsidR="00294275">
          <w:rPr>
            <w:noProof/>
            <w:webHidden/>
          </w:rPr>
          <w:fldChar w:fldCharType="separate"/>
        </w:r>
        <w:r>
          <w:rPr>
            <w:noProof/>
            <w:webHidden/>
          </w:rPr>
          <w:t>4</w:t>
        </w:r>
        <w:r w:rsidR="00294275">
          <w:rPr>
            <w:noProof/>
            <w:webHidden/>
          </w:rPr>
          <w:fldChar w:fldCharType="end"/>
        </w:r>
      </w:hyperlink>
    </w:p>
    <w:p w14:paraId="265F406A" w14:textId="2A2AEC3C" w:rsidR="00294275" w:rsidRDefault="002E20FF">
      <w:pPr>
        <w:pStyle w:val="TOC1"/>
        <w:rPr>
          <w:rFonts w:asciiTheme="minorHAnsi" w:eastAsiaTheme="minorEastAsia" w:hAnsiTheme="minorHAnsi" w:cstheme="minorBidi"/>
          <w:noProof/>
          <w:kern w:val="2"/>
          <w:sz w:val="22"/>
          <w:szCs w:val="22"/>
          <w:lang w:eastAsia="en-NZ"/>
          <w14:ligatures w14:val="standardContextual"/>
        </w:rPr>
      </w:pPr>
      <w:hyperlink w:anchor="_Toc184029208" w:history="1">
        <w:r w:rsidR="00294275" w:rsidRPr="00093EF5">
          <w:rPr>
            <w:rStyle w:val="Hyperlink"/>
            <w:noProof/>
          </w:rPr>
          <w:t>Appendix 1: Core performance standards</w:t>
        </w:r>
        <w:r w:rsidR="00294275">
          <w:rPr>
            <w:noProof/>
            <w:webHidden/>
          </w:rPr>
          <w:tab/>
        </w:r>
        <w:r w:rsidR="00294275">
          <w:rPr>
            <w:noProof/>
            <w:webHidden/>
          </w:rPr>
          <w:fldChar w:fldCharType="begin"/>
        </w:r>
        <w:r w:rsidR="00294275">
          <w:rPr>
            <w:noProof/>
            <w:webHidden/>
          </w:rPr>
          <w:instrText xml:space="preserve"> PAGEREF _Toc184029208 \h </w:instrText>
        </w:r>
        <w:r w:rsidR="00294275">
          <w:rPr>
            <w:noProof/>
            <w:webHidden/>
          </w:rPr>
        </w:r>
        <w:r w:rsidR="00294275">
          <w:rPr>
            <w:noProof/>
            <w:webHidden/>
          </w:rPr>
          <w:fldChar w:fldCharType="separate"/>
        </w:r>
        <w:r>
          <w:rPr>
            <w:noProof/>
            <w:webHidden/>
          </w:rPr>
          <w:t>6</w:t>
        </w:r>
        <w:r w:rsidR="00294275">
          <w:rPr>
            <w:noProof/>
            <w:webHidden/>
          </w:rPr>
          <w:fldChar w:fldCharType="end"/>
        </w:r>
      </w:hyperlink>
    </w:p>
    <w:p w14:paraId="133A9219" w14:textId="2F36F455" w:rsidR="00C86248" w:rsidRDefault="00294275">
      <w:r>
        <w:rPr>
          <w:rFonts w:ascii="Segoe UI Semibold" w:hAnsi="Segoe UI Semibold"/>
          <w:b/>
          <w:sz w:val="24"/>
        </w:rPr>
        <w:fldChar w:fldCharType="end"/>
      </w:r>
    </w:p>
    <w:p w14:paraId="4A6797B1" w14:textId="678F96AB" w:rsidR="002B76A7" w:rsidRDefault="002B76A7" w:rsidP="003A5FEA"/>
    <w:p w14:paraId="03333094" w14:textId="77777777" w:rsidR="001D3E4E" w:rsidRDefault="001D3E4E" w:rsidP="003A5FEA">
      <w:pPr>
        <w:sectPr w:rsidR="001D3E4E" w:rsidSect="0078658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5DDB57FC" w14:textId="77777777" w:rsidR="001D3E4E" w:rsidRDefault="001D3E4E" w:rsidP="003A5FEA"/>
    <w:p w14:paraId="222567D1" w14:textId="77777777" w:rsidR="00D7554E" w:rsidRPr="00D7554E" w:rsidRDefault="00D7554E" w:rsidP="00D7554E">
      <w:pPr>
        <w:pStyle w:val="Heading1"/>
        <w:spacing w:before="0"/>
      </w:pPr>
      <w:bookmarkStart w:id="3" w:name="_Toc38276637"/>
      <w:bookmarkStart w:id="4" w:name="_Toc49230892"/>
      <w:bookmarkStart w:id="5" w:name="_Toc184029201"/>
      <w:r w:rsidRPr="00D7554E">
        <w:t>Preamble</w:t>
      </w:r>
      <w:bookmarkEnd w:id="3"/>
      <w:bookmarkEnd w:id="4"/>
      <w:bookmarkEnd w:id="5"/>
      <w:r w:rsidRPr="00D7554E">
        <w:t xml:space="preserve"> </w:t>
      </w:r>
    </w:p>
    <w:p w14:paraId="100C8AEE" w14:textId="4FDB21CB" w:rsidR="00D7554E" w:rsidRDefault="00D7554E" w:rsidP="00D7554E">
      <w:pPr>
        <w:rPr>
          <w:rFonts w:eastAsia="Calibri"/>
        </w:rPr>
      </w:pPr>
      <w:r w:rsidRPr="00EF7E1A">
        <w:rPr>
          <w:rFonts w:eastAsia="Calibri"/>
        </w:rPr>
        <w:t xml:space="preserve">These </w:t>
      </w:r>
      <w:r>
        <w:rPr>
          <w:rFonts w:eastAsia="Calibri"/>
        </w:rPr>
        <w:t>g</w:t>
      </w:r>
      <w:r w:rsidRPr="00EF7E1A">
        <w:rPr>
          <w:rFonts w:eastAsia="Calibri"/>
        </w:rPr>
        <w:t>eneral terms of reference set the high-level requirements for performance reviews conducted in accordance with s</w:t>
      </w:r>
      <w:r>
        <w:rPr>
          <w:rFonts w:eastAsia="Calibri"/>
        </w:rPr>
        <w:t>ection</w:t>
      </w:r>
      <w:r w:rsidRPr="00EF7E1A">
        <w:rPr>
          <w:rFonts w:eastAsia="Calibri"/>
        </w:rPr>
        <w:t xml:space="preserve"> 122A of the Health Practitioners Competence Assurance Act 2003</w:t>
      </w:r>
      <w:r>
        <w:rPr>
          <w:rFonts w:eastAsia="Calibri"/>
        </w:rPr>
        <w:t xml:space="preserve"> (HPCA Act)</w:t>
      </w:r>
      <w:r w:rsidRPr="00EF7E1A">
        <w:rPr>
          <w:rFonts w:eastAsia="Calibri"/>
        </w:rPr>
        <w:t>.</w:t>
      </w:r>
      <w:r w:rsidRPr="00A105F8">
        <w:rPr>
          <w:rFonts w:eastAsia="Calibri"/>
        </w:rPr>
        <w:t xml:space="preserve"> </w:t>
      </w:r>
      <w:r w:rsidR="00474B79">
        <w:rPr>
          <w:rFonts w:eastAsia="Calibri"/>
        </w:rPr>
        <w:t xml:space="preserve">The Ministry of Health - </w:t>
      </w:r>
      <w:r>
        <w:rPr>
          <w:rFonts w:eastAsia="Calibri"/>
        </w:rPr>
        <w:t>Manatū Hauora (the Ministry) will set m</w:t>
      </w:r>
      <w:r w:rsidRPr="00EF7E1A">
        <w:rPr>
          <w:rFonts w:eastAsia="Calibri"/>
        </w:rPr>
        <w:t>ore detailed</w:t>
      </w:r>
      <w:r w:rsidRPr="00055928">
        <w:rPr>
          <w:rFonts w:eastAsia="Calibri"/>
        </w:rPr>
        <w:t xml:space="preserve"> requirements</w:t>
      </w:r>
      <w:r>
        <w:rPr>
          <w:rFonts w:eastAsia="Calibri"/>
        </w:rPr>
        <w:t xml:space="preserve"> for each review in </w:t>
      </w:r>
      <w:r>
        <w:rPr>
          <w:rFonts w:eastAsia="Calibri"/>
        </w:rPr>
        <w:t>consultation with the responsible authority</w:t>
      </w:r>
      <w:r>
        <w:rPr>
          <w:rStyle w:val="FootnoteReference"/>
          <w:rFonts w:eastAsia="Calibri"/>
        </w:rPr>
        <w:footnoteReference w:id="1"/>
      </w:r>
      <w:r>
        <w:rPr>
          <w:rFonts w:eastAsia="Calibri"/>
        </w:rPr>
        <w:t xml:space="preserve"> being reviewed.</w:t>
      </w:r>
    </w:p>
    <w:p w14:paraId="2123E75C" w14:textId="796F7AB4" w:rsidR="00D7554E" w:rsidRDefault="00D7554E" w:rsidP="00D7554E">
      <w:pPr>
        <w:rPr>
          <w:rFonts w:eastAsia="Calibri"/>
        </w:rPr>
      </w:pPr>
    </w:p>
    <w:p w14:paraId="64ED75DB" w14:textId="77777777" w:rsidR="00D7554E" w:rsidRDefault="00D7554E" w:rsidP="00D7554E">
      <w:pPr>
        <w:rPr>
          <w:rFonts w:eastAsia="Calibri"/>
        </w:rPr>
        <w:sectPr w:rsidR="00D7554E" w:rsidSect="00D7554E">
          <w:footerReference w:type="even" r:id="rId22"/>
          <w:footerReference w:type="default" r:id="rId23"/>
          <w:pgSz w:w="11907" w:h="16840" w:code="9"/>
          <w:pgMar w:top="1418" w:right="1701" w:bottom="1134" w:left="1843" w:header="284" w:footer="425" w:gutter="284"/>
          <w:pgNumType w:start="1"/>
          <w:cols w:space="720"/>
        </w:sectPr>
      </w:pPr>
    </w:p>
    <w:p w14:paraId="7A31D72C" w14:textId="77777777" w:rsidR="00D7554E" w:rsidRPr="00055928" w:rsidRDefault="00D7554E" w:rsidP="00D7554E">
      <w:pPr>
        <w:pStyle w:val="Heading1"/>
        <w:spacing w:before="0"/>
        <w:rPr>
          <w:rFonts w:eastAsia="Calibri"/>
        </w:rPr>
      </w:pPr>
      <w:bookmarkStart w:id="6" w:name="_Toc49230893"/>
      <w:bookmarkStart w:id="7" w:name="_Toc184029202"/>
      <w:r>
        <w:rPr>
          <w:rFonts w:eastAsia="Calibri"/>
        </w:rPr>
        <w:t>Performance reviews</w:t>
      </w:r>
      <w:bookmarkEnd w:id="6"/>
      <w:bookmarkEnd w:id="7"/>
    </w:p>
    <w:p w14:paraId="65189F8E" w14:textId="77777777" w:rsidR="00D7554E" w:rsidRPr="006C69BF" w:rsidRDefault="00D7554E" w:rsidP="00D7554E">
      <w:pPr>
        <w:pStyle w:val="Heading2"/>
      </w:pPr>
      <w:bookmarkStart w:id="8" w:name="_Toc38276638"/>
      <w:bookmarkStart w:id="9" w:name="_Toc49230894"/>
      <w:bookmarkStart w:id="10" w:name="_Toc184029203"/>
      <w:r w:rsidRPr="006C69BF">
        <w:t>Purpose of performance reviews</w:t>
      </w:r>
      <w:bookmarkEnd w:id="8"/>
      <w:bookmarkEnd w:id="9"/>
      <w:bookmarkEnd w:id="10"/>
      <w:r w:rsidRPr="006C69BF">
        <w:t xml:space="preserve"> </w:t>
      </w:r>
    </w:p>
    <w:p w14:paraId="7CADEC10" w14:textId="77777777" w:rsidR="00D7554E" w:rsidRDefault="00D7554E" w:rsidP="00D7554E">
      <w:pPr>
        <w:rPr>
          <w:lang w:eastAsia="en-US"/>
        </w:rPr>
      </w:pPr>
      <w:r>
        <w:rPr>
          <w:rFonts w:eastAsia="Arial"/>
        </w:rPr>
        <w:t>Performance r</w:t>
      </w:r>
      <w:r w:rsidRPr="00253BBA">
        <w:rPr>
          <w:rFonts w:eastAsia="Calibri"/>
        </w:rPr>
        <w:t>eview</w:t>
      </w:r>
      <w:r>
        <w:rPr>
          <w:rFonts w:eastAsia="Calibri"/>
        </w:rPr>
        <w:t>s</w:t>
      </w:r>
      <w:r w:rsidRPr="00253BBA">
        <w:rPr>
          <w:rFonts w:eastAsia="Calibri"/>
        </w:rPr>
        <w:t xml:space="preserve"> provide assurance </w:t>
      </w:r>
      <w:r>
        <w:rPr>
          <w:rFonts w:eastAsia="Calibri"/>
        </w:rPr>
        <w:t xml:space="preserve">to </w:t>
      </w:r>
      <w:r w:rsidRPr="00253BBA">
        <w:rPr>
          <w:rFonts w:eastAsia="Calibri"/>
        </w:rPr>
        <w:t xml:space="preserve">the Crown and the public that </w:t>
      </w:r>
      <w:r>
        <w:rPr>
          <w:lang w:eastAsia="en-US"/>
        </w:rPr>
        <w:t>responsible authorities are performing their functions efficiently and effectively. This includes the assurance that:</w:t>
      </w:r>
    </w:p>
    <w:p w14:paraId="37462E14" w14:textId="77777777" w:rsidR="00D7554E" w:rsidRPr="00D7554E" w:rsidRDefault="00D7554E" w:rsidP="00D7554E">
      <w:pPr>
        <w:pStyle w:val="Bullet"/>
      </w:pPr>
      <w:r w:rsidRPr="00D7554E">
        <w:t xml:space="preserve">the responsible authorities are carrying out their required functions in the interests of public </w:t>
      </w:r>
      <w:proofErr w:type="gramStart"/>
      <w:r w:rsidRPr="00D7554E">
        <w:t>safety</w:t>
      </w:r>
      <w:proofErr w:type="gramEnd"/>
    </w:p>
    <w:p w14:paraId="1A62904E" w14:textId="77777777" w:rsidR="00D7554E" w:rsidRPr="00D7554E" w:rsidRDefault="00D7554E" w:rsidP="00D7554E">
      <w:pPr>
        <w:pStyle w:val="Bullet"/>
      </w:pPr>
      <w:r w:rsidRPr="00D7554E">
        <w:t xml:space="preserve">their activities focus on protecting the public without being compromised by professional </w:t>
      </w:r>
      <w:proofErr w:type="gramStart"/>
      <w:r w:rsidRPr="00D7554E">
        <w:t>self-interest</w:t>
      </w:r>
      <w:proofErr w:type="gramEnd"/>
    </w:p>
    <w:p w14:paraId="5246CE69" w14:textId="77777777" w:rsidR="00D7554E" w:rsidRPr="00D7554E" w:rsidRDefault="00D7554E" w:rsidP="00D7554E">
      <w:pPr>
        <w:pStyle w:val="Bullet"/>
      </w:pPr>
      <w:r w:rsidRPr="00D7554E">
        <w:t xml:space="preserve">their overall performance supports high public confidence in the regulatory </w:t>
      </w:r>
      <w:proofErr w:type="gramStart"/>
      <w:r w:rsidRPr="00D7554E">
        <w:t>system</w:t>
      </w:r>
      <w:proofErr w:type="gramEnd"/>
      <w:r w:rsidRPr="00D7554E">
        <w:t xml:space="preserve"> </w:t>
      </w:r>
    </w:p>
    <w:p w14:paraId="01697654" w14:textId="77777777" w:rsidR="00D7554E" w:rsidRPr="00D7554E" w:rsidRDefault="00D7554E" w:rsidP="00D7554E">
      <w:pPr>
        <w:pStyle w:val="Bullet"/>
      </w:pPr>
      <w:r w:rsidRPr="00D7554E">
        <w:t>the responsible authorities contribute to the overall functioning of the health system.</w:t>
      </w:r>
    </w:p>
    <w:p w14:paraId="45ED225F" w14:textId="77777777" w:rsidR="00D7554E" w:rsidRPr="009C5712" w:rsidRDefault="00D7554E" w:rsidP="00D7554E">
      <w:pPr>
        <w:rPr>
          <w:lang w:eastAsia="en-US"/>
        </w:rPr>
      </w:pPr>
    </w:p>
    <w:p w14:paraId="354C76A6" w14:textId="77777777" w:rsidR="00D7554E" w:rsidRPr="00253BBA" w:rsidRDefault="00D7554E" w:rsidP="00D7554E">
      <w:pPr>
        <w:rPr>
          <w:lang w:eastAsia="en-US"/>
        </w:rPr>
      </w:pPr>
      <w:r w:rsidRPr="009C5712">
        <w:rPr>
          <w:lang w:eastAsia="en-US"/>
        </w:rPr>
        <w:t>Performance reviews also support and facilitate responsible authorities to develop capability and quality improvement efforts.</w:t>
      </w:r>
      <w:r>
        <w:rPr>
          <w:lang w:eastAsia="en-US"/>
        </w:rPr>
        <w:t xml:space="preserve"> </w:t>
      </w:r>
    </w:p>
    <w:p w14:paraId="51707EF8" w14:textId="77777777" w:rsidR="00D7554E" w:rsidRPr="006C69BF" w:rsidRDefault="00D7554E" w:rsidP="00D7554E">
      <w:pPr>
        <w:pStyle w:val="Heading2"/>
      </w:pPr>
      <w:bookmarkStart w:id="11" w:name="_Toc38276639"/>
      <w:bookmarkStart w:id="12" w:name="_Toc49230895"/>
      <w:bookmarkStart w:id="13" w:name="_Toc184029204"/>
      <w:r w:rsidRPr="006C69BF">
        <w:t>Guiding principles</w:t>
      </w:r>
      <w:bookmarkEnd w:id="11"/>
      <w:bookmarkEnd w:id="12"/>
      <w:bookmarkEnd w:id="13"/>
    </w:p>
    <w:p w14:paraId="63C3C091" w14:textId="77777777" w:rsidR="00D7554E" w:rsidRDefault="00D7554E" w:rsidP="00D7554E">
      <w:pPr>
        <w:rPr>
          <w:rFonts w:eastAsia="Calibri"/>
        </w:rPr>
      </w:pPr>
      <w:r>
        <w:rPr>
          <w:rFonts w:eastAsia="Calibri"/>
        </w:rPr>
        <w:t>Performance r</w:t>
      </w:r>
      <w:r w:rsidRPr="00253BBA">
        <w:rPr>
          <w:rFonts w:eastAsia="Calibri"/>
        </w:rPr>
        <w:t>eview</w:t>
      </w:r>
      <w:r>
        <w:rPr>
          <w:rFonts w:eastAsia="Calibri"/>
        </w:rPr>
        <w:t>s</w:t>
      </w:r>
      <w:r w:rsidRPr="00253BBA">
        <w:rPr>
          <w:rFonts w:eastAsia="Calibri"/>
        </w:rPr>
        <w:t xml:space="preserve"> </w:t>
      </w:r>
      <w:r>
        <w:rPr>
          <w:rFonts w:eastAsia="Calibri"/>
        </w:rPr>
        <w:t>will:</w:t>
      </w:r>
    </w:p>
    <w:p w14:paraId="67BF57A9" w14:textId="77777777" w:rsidR="00D7554E" w:rsidRPr="00253BBA" w:rsidRDefault="00D7554E" w:rsidP="00D7554E">
      <w:pPr>
        <w:pStyle w:val="Bullet"/>
        <w:tabs>
          <w:tab w:val="num" w:pos="284"/>
        </w:tabs>
        <w:rPr>
          <w:rFonts w:eastAsia="Calibri"/>
        </w:rPr>
      </w:pPr>
      <w:r w:rsidRPr="00253BBA">
        <w:rPr>
          <w:rFonts w:eastAsia="Calibri"/>
        </w:rPr>
        <w:t xml:space="preserve">provide the </w:t>
      </w:r>
      <w:r>
        <w:rPr>
          <w:rFonts w:eastAsia="Calibri"/>
        </w:rPr>
        <w:t xml:space="preserve">Crown and the </w:t>
      </w:r>
      <w:r w:rsidRPr="00253BBA">
        <w:rPr>
          <w:rFonts w:eastAsia="Calibri"/>
        </w:rPr>
        <w:t xml:space="preserve">public </w:t>
      </w:r>
      <w:r>
        <w:rPr>
          <w:rFonts w:eastAsia="Calibri"/>
        </w:rPr>
        <w:t xml:space="preserve">with </w:t>
      </w:r>
      <w:r w:rsidRPr="00253BBA">
        <w:rPr>
          <w:rFonts w:eastAsia="Calibri"/>
        </w:rPr>
        <w:t>better visibility of how efficiently</w:t>
      </w:r>
      <w:r>
        <w:rPr>
          <w:rFonts w:eastAsia="Calibri"/>
        </w:rPr>
        <w:t xml:space="preserve"> and</w:t>
      </w:r>
      <w:r w:rsidRPr="00253BBA">
        <w:rPr>
          <w:rFonts w:eastAsia="Calibri"/>
        </w:rPr>
        <w:t xml:space="preserve"> effectively</w:t>
      </w:r>
      <w:r>
        <w:rPr>
          <w:rFonts w:eastAsia="Calibri"/>
        </w:rPr>
        <w:t xml:space="preserve"> responsible authorities are</w:t>
      </w:r>
      <w:r w:rsidRPr="00253BBA">
        <w:rPr>
          <w:rFonts w:eastAsia="Calibri"/>
        </w:rPr>
        <w:t xml:space="preserve"> performing </w:t>
      </w:r>
      <w:r>
        <w:rPr>
          <w:rFonts w:eastAsia="Calibri"/>
        </w:rPr>
        <w:t>their</w:t>
      </w:r>
      <w:r w:rsidRPr="00253BBA">
        <w:rPr>
          <w:rFonts w:eastAsia="Calibri"/>
        </w:rPr>
        <w:t xml:space="preserve"> functions under the </w:t>
      </w:r>
      <w:r>
        <w:rPr>
          <w:rFonts w:eastAsia="Calibri"/>
        </w:rPr>
        <w:t xml:space="preserve">HPCA </w:t>
      </w:r>
      <w:r w:rsidRPr="00253BBA">
        <w:rPr>
          <w:rFonts w:eastAsia="Calibri"/>
        </w:rPr>
        <w:t>Ac</w:t>
      </w:r>
      <w:r>
        <w:rPr>
          <w:rFonts w:eastAsia="Calibri"/>
        </w:rPr>
        <w:t>t</w:t>
      </w:r>
    </w:p>
    <w:p w14:paraId="3292D832" w14:textId="77777777" w:rsidR="00D7554E" w:rsidRPr="0007587F" w:rsidRDefault="00D7554E" w:rsidP="00D7554E">
      <w:pPr>
        <w:pStyle w:val="Bullet"/>
        <w:tabs>
          <w:tab w:val="num" w:pos="284"/>
        </w:tabs>
        <w:rPr>
          <w:rFonts w:eastAsia="Calibri"/>
        </w:rPr>
      </w:pPr>
      <w:r w:rsidRPr="00D92F48">
        <w:rPr>
          <w:rFonts w:eastAsia="Calibri"/>
        </w:rPr>
        <w:t xml:space="preserve">consider how well responsible authorities are performing their functions in relation to protecting the health and safety of members of the public, with specific reference </w:t>
      </w:r>
      <w:r w:rsidRPr="0007587F">
        <w:rPr>
          <w:rFonts w:eastAsia="Calibri"/>
        </w:rPr>
        <w:t xml:space="preserve">to and emphasis on protecting the health and safety of </w:t>
      </w:r>
      <w:r w:rsidRPr="6B6F6830">
        <w:rPr>
          <w:rFonts w:eastAsia="Calibri"/>
        </w:rPr>
        <w:t xml:space="preserve">those with the greatest </w:t>
      </w:r>
      <w:proofErr w:type="gramStart"/>
      <w:r w:rsidRPr="6B6F6830">
        <w:rPr>
          <w:rFonts w:eastAsia="Calibri"/>
        </w:rPr>
        <w:t>need</w:t>
      </w:r>
      <w:proofErr w:type="gramEnd"/>
    </w:p>
    <w:p w14:paraId="467CBBEC" w14:textId="26D2EF07" w:rsidR="00D7554E" w:rsidRDefault="00D7554E" w:rsidP="00D7554E">
      <w:pPr>
        <w:pStyle w:val="Bullet"/>
        <w:tabs>
          <w:tab w:val="num" w:pos="284"/>
        </w:tabs>
        <w:spacing w:line="259" w:lineRule="auto"/>
        <w:rPr>
          <w:rFonts w:eastAsia="Calibri"/>
        </w:rPr>
      </w:pPr>
      <w:r w:rsidRPr="0517D426">
        <w:rPr>
          <w:rFonts w:eastAsia="Calibri"/>
        </w:rPr>
        <w:t>consider how well the responsible authorities’ approach reflects the health sector principles under</w:t>
      </w:r>
      <w:r w:rsidR="002C3E05">
        <w:rPr>
          <w:rFonts w:eastAsia="Calibri"/>
        </w:rPr>
        <w:t xml:space="preserve"> the</w:t>
      </w:r>
      <w:r w:rsidRPr="0517D426">
        <w:rPr>
          <w:rFonts w:eastAsia="Calibri"/>
        </w:rPr>
        <w:t xml:space="preserve"> </w:t>
      </w:r>
      <w:hyperlink r:id="rId24">
        <w:proofErr w:type="spellStart"/>
        <w:r w:rsidR="002C3E05">
          <w:rPr>
            <w:rStyle w:val="Hyperlink"/>
            <w:rFonts w:eastAsia="Calibri"/>
          </w:rPr>
          <w:t>Pae</w:t>
        </w:r>
        <w:proofErr w:type="spellEnd"/>
        <w:r w:rsidR="002C3E05">
          <w:rPr>
            <w:rStyle w:val="Hyperlink"/>
            <w:rFonts w:eastAsia="Calibri"/>
          </w:rPr>
          <w:t xml:space="preserve"> Ora Act</w:t>
        </w:r>
      </w:hyperlink>
      <w:r w:rsidRPr="0517D426">
        <w:rPr>
          <w:rFonts w:eastAsia="Calibri"/>
        </w:rPr>
        <w:t xml:space="preserve"> </w:t>
      </w:r>
    </w:p>
    <w:p w14:paraId="3A422AB2" w14:textId="77777777" w:rsidR="00D7554E" w:rsidRPr="00D92F48" w:rsidRDefault="00D7554E" w:rsidP="00D7554E">
      <w:pPr>
        <w:pStyle w:val="Bullet"/>
        <w:tabs>
          <w:tab w:val="num" w:pos="284"/>
        </w:tabs>
        <w:rPr>
          <w:rFonts w:eastAsia="Calibri"/>
        </w:rPr>
      </w:pPr>
      <w:r w:rsidRPr="00D92F48">
        <w:rPr>
          <w:rFonts w:eastAsia="Calibri"/>
        </w:rPr>
        <w:t>consider how well the responsible authorities’ approach reflects the six principles of Right</w:t>
      </w:r>
      <w:r>
        <w:rPr>
          <w:rFonts w:eastAsia="Calibri"/>
        </w:rPr>
        <w:t>-t</w:t>
      </w:r>
      <w:r w:rsidRPr="00D92F48">
        <w:rPr>
          <w:rFonts w:eastAsia="Calibri"/>
        </w:rPr>
        <w:t xml:space="preserve">ouch regulation: </w:t>
      </w:r>
      <w:bookmarkStart w:id="14" w:name="_Hlk46738517"/>
      <w:r>
        <w:rPr>
          <w:rFonts w:eastAsia="Calibri"/>
        </w:rPr>
        <w:t>p</w:t>
      </w:r>
      <w:r w:rsidRPr="00D92F48">
        <w:rPr>
          <w:rFonts w:eastAsia="Calibri"/>
        </w:rPr>
        <w:t xml:space="preserve">roportionate, </w:t>
      </w:r>
      <w:r>
        <w:rPr>
          <w:rFonts w:eastAsia="Calibri"/>
        </w:rPr>
        <w:t>c</w:t>
      </w:r>
      <w:r w:rsidRPr="00D92F48">
        <w:rPr>
          <w:rFonts w:eastAsia="Calibri"/>
        </w:rPr>
        <w:t xml:space="preserve">onsistent, </w:t>
      </w:r>
      <w:r>
        <w:rPr>
          <w:rFonts w:eastAsia="Calibri"/>
        </w:rPr>
        <w:t>t</w:t>
      </w:r>
      <w:r w:rsidRPr="00D92F48">
        <w:rPr>
          <w:rFonts w:eastAsia="Calibri"/>
        </w:rPr>
        <w:t xml:space="preserve">argeted, </w:t>
      </w:r>
      <w:r>
        <w:rPr>
          <w:rFonts w:eastAsia="Calibri"/>
        </w:rPr>
        <w:t>t</w:t>
      </w:r>
      <w:r w:rsidRPr="00D92F48">
        <w:rPr>
          <w:rFonts w:eastAsia="Calibri"/>
        </w:rPr>
        <w:t xml:space="preserve">ransparent, </w:t>
      </w:r>
      <w:r>
        <w:rPr>
          <w:rFonts w:eastAsia="Calibri"/>
        </w:rPr>
        <w:t>a</w:t>
      </w:r>
      <w:r w:rsidRPr="00D92F48">
        <w:rPr>
          <w:rFonts w:eastAsia="Calibri"/>
        </w:rPr>
        <w:t>ccountable</w:t>
      </w:r>
      <w:r>
        <w:rPr>
          <w:rFonts w:eastAsia="Calibri"/>
        </w:rPr>
        <w:t>,</w:t>
      </w:r>
      <w:r w:rsidRPr="00D92F48">
        <w:rPr>
          <w:rFonts w:eastAsia="Calibri"/>
        </w:rPr>
        <w:t xml:space="preserve"> and </w:t>
      </w:r>
      <w:r>
        <w:rPr>
          <w:rFonts w:eastAsia="Calibri"/>
        </w:rPr>
        <w:t>a</w:t>
      </w:r>
      <w:r w:rsidRPr="00D92F48">
        <w:rPr>
          <w:rFonts w:eastAsia="Calibri"/>
        </w:rPr>
        <w:t>gile</w:t>
      </w:r>
      <w:bookmarkEnd w:id="14"/>
      <w:r>
        <w:rPr>
          <w:rStyle w:val="FootnoteReference"/>
          <w:rFonts w:eastAsia="Calibri"/>
        </w:rPr>
        <w:footnoteReference w:id="2"/>
      </w:r>
    </w:p>
    <w:p w14:paraId="176CBFF7" w14:textId="77777777" w:rsidR="00D7554E" w:rsidRPr="00D92F48" w:rsidRDefault="00D7554E" w:rsidP="00D7554E">
      <w:pPr>
        <w:pStyle w:val="Bullet"/>
        <w:tabs>
          <w:tab w:val="num" w:pos="284"/>
        </w:tabs>
        <w:rPr>
          <w:rFonts w:eastAsia="Calibri"/>
        </w:rPr>
      </w:pPr>
      <w:r w:rsidRPr="00D92F48">
        <w:rPr>
          <w:rFonts w:eastAsia="Calibri"/>
        </w:rPr>
        <w:t>focus on responsible authorit</w:t>
      </w:r>
      <w:r>
        <w:rPr>
          <w:rFonts w:eastAsia="Calibri"/>
        </w:rPr>
        <w:t>ie</w:t>
      </w:r>
      <w:r w:rsidRPr="00D92F48">
        <w:rPr>
          <w:rFonts w:eastAsia="Calibri"/>
        </w:rPr>
        <w:t>s’ ability to be forward</w:t>
      </w:r>
      <w:r>
        <w:rPr>
          <w:rFonts w:eastAsia="Calibri"/>
        </w:rPr>
        <w:t>-</w:t>
      </w:r>
      <w:r w:rsidRPr="00D92F48">
        <w:rPr>
          <w:rFonts w:eastAsia="Calibri"/>
        </w:rPr>
        <w:t xml:space="preserve">looking, proactive, and </w:t>
      </w:r>
      <w:proofErr w:type="gramStart"/>
      <w:r w:rsidRPr="00D92F48">
        <w:rPr>
          <w:rFonts w:eastAsia="Calibri"/>
        </w:rPr>
        <w:t>responsive</w:t>
      </w:r>
      <w:proofErr w:type="gramEnd"/>
    </w:p>
    <w:p w14:paraId="420D1D47" w14:textId="77777777" w:rsidR="00D7554E" w:rsidRPr="00D92F48" w:rsidRDefault="00D7554E" w:rsidP="00D7554E">
      <w:pPr>
        <w:pStyle w:val="Bullet"/>
        <w:tabs>
          <w:tab w:val="num" w:pos="284"/>
        </w:tabs>
        <w:rPr>
          <w:rFonts w:eastAsia="Calibri"/>
        </w:rPr>
      </w:pPr>
      <w:r w:rsidRPr="00D92F48">
        <w:rPr>
          <w:rFonts w:eastAsia="Calibri"/>
        </w:rPr>
        <w:t xml:space="preserve">be useful to responsible authorities and should facilitate their continued competence and </w:t>
      </w:r>
      <w:proofErr w:type="gramStart"/>
      <w:r w:rsidRPr="00D92F48">
        <w:rPr>
          <w:rFonts w:eastAsia="Calibri"/>
        </w:rPr>
        <w:t>improvement</w:t>
      </w:r>
      <w:proofErr w:type="gramEnd"/>
    </w:p>
    <w:p w14:paraId="0C290FA0" w14:textId="77777777" w:rsidR="00D7554E" w:rsidRPr="00D7554E" w:rsidRDefault="00D7554E" w:rsidP="00D7554E">
      <w:pPr>
        <w:pStyle w:val="Bullet"/>
        <w:rPr>
          <w:rFonts w:eastAsia="Calibri"/>
        </w:rPr>
      </w:pPr>
      <w:r w:rsidRPr="00D7554E">
        <w:rPr>
          <w:rFonts w:eastAsia="Calibri"/>
        </w:rPr>
        <w:t xml:space="preserve">be cost-effective and must be affordable, manageable, and sustainable for every responsible </w:t>
      </w:r>
      <w:proofErr w:type="gramStart"/>
      <w:r w:rsidRPr="00D7554E">
        <w:rPr>
          <w:rFonts w:eastAsia="Calibri"/>
        </w:rPr>
        <w:t>authority</w:t>
      </w:r>
      <w:proofErr w:type="gramEnd"/>
    </w:p>
    <w:p w14:paraId="1E493702" w14:textId="77777777" w:rsidR="00D7554E" w:rsidRPr="00D7554E" w:rsidRDefault="00D7554E" w:rsidP="00D7554E">
      <w:pPr>
        <w:pStyle w:val="Bullet"/>
        <w:rPr>
          <w:rFonts w:eastAsia="Calibri"/>
        </w:rPr>
      </w:pPr>
      <w:r w:rsidRPr="00D7554E">
        <w:rPr>
          <w:rFonts w:eastAsia="Calibri"/>
        </w:rPr>
        <w:t>be cognisant of stakeholder interests, including:</w:t>
      </w:r>
    </w:p>
    <w:p w14:paraId="79CFFEF2" w14:textId="77777777" w:rsidR="00D7554E" w:rsidRDefault="00D7554E" w:rsidP="00D7554E">
      <w:pPr>
        <w:pStyle w:val="Dash"/>
        <w:rPr>
          <w:rFonts w:eastAsia="Calibri"/>
        </w:rPr>
      </w:pPr>
      <w:r w:rsidRPr="00475509">
        <w:rPr>
          <w:rFonts w:eastAsia="Calibri"/>
        </w:rPr>
        <w:t>the public</w:t>
      </w:r>
    </w:p>
    <w:p w14:paraId="3B748519" w14:textId="77777777" w:rsidR="00D7554E" w:rsidRDefault="00D7554E" w:rsidP="00D7554E">
      <w:pPr>
        <w:pStyle w:val="Dash"/>
        <w:rPr>
          <w:rFonts w:eastAsia="Calibri"/>
        </w:rPr>
      </w:pPr>
      <w:r w:rsidRPr="0517D426">
        <w:rPr>
          <w:rFonts w:eastAsia="Calibri"/>
        </w:rPr>
        <w:t>tāngata</w:t>
      </w:r>
      <w:r w:rsidRPr="04411BB7">
        <w:rPr>
          <w:rFonts w:eastAsia="Calibri"/>
        </w:rPr>
        <w:t xml:space="preserve"> whenua</w:t>
      </w:r>
    </w:p>
    <w:p w14:paraId="0022DB3D" w14:textId="77777777" w:rsidR="00D7554E" w:rsidRDefault="00D7554E" w:rsidP="00D7554E">
      <w:pPr>
        <w:pStyle w:val="Dash"/>
        <w:rPr>
          <w:rFonts w:eastAsia="Calibri"/>
        </w:rPr>
      </w:pPr>
      <w:r w:rsidRPr="00475509">
        <w:rPr>
          <w:rFonts w:eastAsia="Calibri"/>
        </w:rPr>
        <w:t>health</w:t>
      </w:r>
      <w:r>
        <w:rPr>
          <w:rFonts w:eastAsia="Calibri"/>
        </w:rPr>
        <w:t xml:space="preserve"> </w:t>
      </w:r>
      <w:r w:rsidRPr="00475509">
        <w:rPr>
          <w:rFonts w:eastAsia="Calibri"/>
        </w:rPr>
        <w:t>practitioners</w:t>
      </w:r>
    </w:p>
    <w:p w14:paraId="54416DC1" w14:textId="77777777" w:rsidR="00D7554E" w:rsidRDefault="00D7554E" w:rsidP="00D7554E">
      <w:pPr>
        <w:pStyle w:val="Dash"/>
        <w:rPr>
          <w:rFonts w:eastAsia="Calibri"/>
        </w:rPr>
      </w:pPr>
      <w:r w:rsidRPr="00475509">
        <w:rPr>
          <w:rFonts w:eastAsia="Calibri"/>
        </w:rPr>
        <w:t>educators</w:t>
      </w:r>
    </w:p>
    <w:p w14:paraId="6D1C609A" w14:textId="77777777" w:rsidR="00D7554E" w:rsidRDefault="00D7554E" w:rsidP="00D7554E">
      <w:pPr>
        <w:pStyle w:val="Dash"/>
        <w:rPr>
          <w:rFonts w:eastAsia="Calibri"/>
        </w:rPr>
      </w:pPr>
      <w:r w:rsidRPr="00475509">
        <w:rPr>
          <w:rFonts w:eastAsia="Calibri"/>
        </w:rPr>
        <w:t>institutions (including employers).</w:t>
      </w:r>
    </w:p>
    <w:p w14:paraId="74B2D3DA" w14:textId="77777777" w:rsidR="00D7554E" w:rsidRDefault="00D7554E" w:rsidP="00D7554E">
      <w:pPr>
        <w:rPr>
          <w:rFonts w:eastAsia="Calibri"/>
        </w:rPr>
      </w:pPr>
    </w:p>
    <w:p w14:paraId="0B763F38" w14:textId="77777777" w:rsidR="00D7554E" w:rsidRDefault="00D7554E" w:rsidP="00D7554E">
      <w:pPr>
        <w:rPr>
          <w:rFonts w:eastAsia="Calibri"/>
        </w:rPr>
      </w:pPr>
      <w:r>
        <w:rPr>
          <w:rFonts w:eastAsia="Calibri"/>
        </w:rPr>
        <w:t>Prescribed performance s</w:t>
      </w:r>
      <w:r w:rsidRPr="00253BBA">
        <w:rPr>
          <w:rFonts w:eastAsia="Calibri"/>
        </w:rPr>
        <w:t xml:space="preserve">tandards </w:t>
      </w:r>
      <w:r>
        <w:rPr>
          <w:rFonts w:eastAsia="Calibri"/>
        </w:rPr>
        <w:t>will be:</w:t>
      </w:r>
    </w:p>
    <w:p w14:paraId="526405E8" w14:textId="77777777" w:rsidR="00D7554E" w:rsidRPr="00D7554E" w:rsidRDefault="00D7554E" w:rsidP="00D7554E">
      <w:pPr>
        <w:pStyle w:val="Bullet"/>
        <w:rPr>
          <w:rFonts w:eastAsia="Calibri"/>
        </w:rPr>
      </w:pPr>
      <w:r w:rsidRPr="00D7554E">
        <w:rPr>
          <w:rFonts w:eastAsia="Calibri"/>
        </w:rPr>
        <w:t>aligned to responsible authorities’ functions (see section 118 of the HPCA Act)</w:t>
      </w:r>
    </w:p>
    <w:p w14:paraId="624388D2" w14:textId="77777777" w:rsidR="00D7554E" w:rsidRPr="00D7554E" w:rsidRDefault="00D7554E" w:rsidP="00D7554E">
      <w:pPr>
        <w:pStyle w:val="Bullet"/>
        <w:rPr>
          <w:rFonts w:eastAsia="Calibri"/>
        </w:rPr>
      </w:pPr>
      <w:r w:rsidRPr="00D7554E">
        <w:rPr>
          <w:rFonts w:eastAsia="Calibri"/>
        </w:rPr>
        <w:t>based on outcomes and/or outputs, with an emphasis on qualitative over quantitative measures</w:t>
      </w:r>
    </w:p>
    <w:p w14:paraId="53E4BD93" w14:textId="77777777" w:rsidR="00D7554E" w:rsidRPr="00D7554E" w:rsidRDefault="00D7554E" w:rsidP="00D7554E">
      <w:pPr>
        <w:pStyle w:val="Bullet"/>
        <w:rPr>
          <w:rFonts w:eastAsia="Calibri"/>
        </w:rPr>
      </w:pPr>
      <w:r w:rsidRPr="00D7554E">
        <w:rPr>
          <w:rFonts w:eastAsia="Calibri"/>
        </w:rPr>
        <w:t>focused on outcomes and outputs that are within the responsible authority’s control.</w:t>
      </w:r>
    </w:p>
    <w:p w14:paraId="09498FB7" w14:textId="77777777" w:rsidR="00D7554E" w:rsidRPr="006C69BF" w:rsidRDefault="00D7554E" w:rsidP="00D7554E">
      <w:pPr>
        <w:pStyle w:val="Heading2"/>
      </w:pPr>
      <w:bookmarkStart w:id="15" w:name="_Toc38276640"/>
      <w:bookmarkStart w:id="16" w:name="_Toc49230896"/>
      <w:bookmarkStart w:id="17" w:name="_Toc184029205"/>
      <w:r w:rsidRPr="006C69BF">
        <w:t>Nature of review</w:t>
      </w:r>
      <w:bookmarkEnd w:id="15"/>
      <w:bookmarkEnd w:id="16"/>
      <w:bookmarkEnd w:id="17"/>
    </w:p>
    <w:p w14:paraId="661B14C1" w14:textId="77777777" w:rsidR="00D7554E" w:rsidRPr="00BB6902" w:rsidRDefault="00D7554E" w:rsidP="00D7554E">
      <w:pPr>
        <w:rPr>
          <w:rFonts w:eastAsia="Arial"/>
        </w:rPr>
      </w:pPr>
      <w:r>
        <w:rPr>
          <w:rFonts w:eastAsia="Arial"/>
        </w:rPr>
        <w:t xml:space="preserve">Periodic performance reviews are mandated under section 122A of the HPCA Act. They will involve an independent, systematic, objective, and </w:t>
      </w:r>
      <w:r w:rsidRPr="0029419A">
        <w:rPr>
          <w:rFonts w:eastAsia="Arial"/>
        </w:rPr>
        <w:t>documented review of</w:t>
      </w:r>
      <w:r>
        <w:rPr>
          <w:rFonts w:eastAsia="Arial"/>
        </w:rPr>
        <w:t xml:space="preserve"> a responsible authority’s performance and the extent to which that </w:t>
      </w:r>
      <w:r>
        <w:rPr>
          <w:rFonts w:eastAsia="Calibri"/>
        </w:rPr>
        <w:t>responsible authority</w:t>
      </w:r>
      <w:r>
        <w:rPr>
          <w:rFonts w:eastAsia="Arial"/>
        </w:rPr>
        <w:t xml:space="preserve"> meets the prescribed performance standards (see Appendix 1). </w:t>
      </w:r>
      <w:r w:rsidRPr="00BB6902">
        <w:rPr>
          <w:rFonts w:eastAsia="Arial"/>
        </w:rPr>
        <w:t>While formal and evaluative,</w:t>
      </w:r>
      <w:r>
        <w:rPr>
          <w:rFonts w:eastAsia="Arial"/>
        </w:rPr>
        <w:t xml:space="preserve"> performance reviews</w:t>
      </w:r>
      <w:r w:rsidRPr="00BB6902">
        <w:rPr>
          <w:rFonts w:eastAsia="Arial"/>
        </w:rPr>
        <w:t xml:space="preserve"> will be carried out in a collegial manner and </w:t>
      </w:r>
      <w:r>
        <w:rPr>
          <w:rFonts w:eastAsia="Arial"/>
        </w:rPr>
        <w:t xml:space="preserve">the reviewer may provide </w:t>
      </w:r>
      <w:r w:rsidRPr="00BB6902">
        <w:rPr>
          <w:rFonts w:eastAsia="Arial"/>
        </w:rPr>
        <w:t xml:space="preserve">both evaluative and formative feedback. </w:t>
      </w:r>
    </w:p>
    <w:p w14:paraId="37F80F93" w14:textId="77777777" w:rsidR="00D7554E" w:rsidRPr="006C69BF" w:rsidRDefault="00D7554E" w:rsidP="00D7554E">
      <w:pPr>
        <w:pStyle w:val="Heading2"/>
      </w:pPr>
      <w:bookmarkStart w:id="18" w:name="_Toc38276641"/>
      <w:bookmarkStart w:id="19" w:name="_Toc49230897"/>
      <w:bookmarkStart w:id="20" w:name="_Toc184029206"/>
      <w:r w:rsidRPr="006C69BF">
        <w:t>Scope of performance review and methodology</w:t>
      </w:r>
      <w:bookmarkEnd w:id="18"/>
      <w:bookmarkEnd w:id="19"/>
      <w:bookmarkEnd w:id="20"/>
    </w:p>
    <w:p w14:paraId="427A3D9D" w14:textId="77777777" w:rsidR="00D7554E" w:rsidRPr="0007587F" w:rsidRDefault="00D7554E" w:rsidP="00D7554E">
      <w:pPr>
        <w:rPr>
          <w:rFonts w:eastAsia="Arial"/>
        </w:rPr>
      </w:pPr>
      <w:r>
        <w:rPr>
          <w:rFonts w:eastAsia="Arial"/>
        </w:rPr>
        <w:t>Performance r</w:t>
      </w:r>
      <w:r w:rsidRPr="00EF6E0F">
        <w:rPr>
          <w:rFonts w:eastAsia="Arial"/>
        </w:rPr>
        <w:t xml:space="preserve">eviews will </w:t>
      </w:r>
      <w:r w:rsidRPr="009C5712">
        <w:rPr>
          <w:rFonts w:eastAsia="Arial"/>
        </w:rPr>
        <w:t xml:space="preserve">normally assess a </w:t>
      </w:r>
      <w:r w:rsidRPr="009C5712">
        <w:rPr>
          <w:rFonts w:eastAsia="Calibri"/>
        </w:rPr>
        <w:t xml:space="preserve">responsible authority’s </w:t>
      </w:r>
      <w:r w:rsidRPr="009C5712">
        <w:rPr>
          <w:rFonts w:eastAsia="Arial"/>
        </w:rPr>
        <w:t xml:space="preserve">performance against the full set of </w:t>
      </w:r>
      <w:r w:rsidRPr="009C5712">
        <w:rPr>
          <w:rFonts w:eastAsia="Arial"/>
          <w:i/>
        </w:rPr>
        <w:t>Core Performance Standards</w:t>
      </w:r>
      <w:r w:rsidRPr="009C5712">
        <w:rPr>
          <w:rFonts w:eastAsia="Arial"/>
          <w:iCs/>
        </w:rPr>
        <w:t>, and will also be informed by the findings of previous reviews</w:t>
      </w:r>
      <w:r w:rsidRPr="009C5712">
        <w:rPr>
          <w:rFonts w:eastAsia="Arial"/>
        </w:rPr>
        <w:t>. More circumscribed, tailored reviews may also be conducted where an earlier review has noted one or more significant concerns and has recommended additional review. The review m</w:t>
      </w:r>
      <w:r w:rsidRPr="0007587F">
        <w:rPr>
          <w:rFonts w:eastAsia="Arial"/>
        </w:rPr>
        <w:t xml:space="preserve">ethodology will be determined for each review but, in general, will involve a self-assessment process by the </w:t>
      </w:r>
      <w:r w:rsidRPr="0007587F">
        <w:rPr>
          <w:rFonts w:eastAsia="Calibri"/>
        </w:rPr>
        <w:t>responsible authority</w:t>
      </w:r>
      <w:r w:rsidRPr="003A283C">
        <w:rPr>
          <w:rFonts w:eastAsia="Arial"/>
        </w:rPr>
        <w:t>, followed by external review and validation (including consultation with key stakeholders).</w:t>
      </w:r>
    </w:p>
    <w:p w14:paraId="669A8740" w14:textId="77777777" w:rsidR="00D7554E" w:rsidRPr="006C69BF" w:rsidRDefault="00D7554E" w:rsidP="00D7554E">
      <w:pPr>
        <w:pStyle w:val="Heading1"/>
      </w:pPr>
      <w:bookmarkStart w:id="21" w:name="_Toc38276642"/>
      <w:bookmarkStart w:id="22" w:name="_Toc49230898"/>
      <w:bookmarkStart w:id="23" w:name="_Toc184029207"/>
      <w:r w:rsidRPr="006C69BF">
        <w:t>Roles and responsibilities</w:t>
      </w:r>
      <w:bookmarkEnd w:id="21"/>
      <w:bookmarkEnd w:id="22"/>
      <w:bookmarkEnd w:id="23"/>
    </w:p>
    <w:p w14:paraId="51438C93" w14:textId="24AC49A1" w:rsidR="00D7554E" w:rsidRPr="006C69BF" w:rsidRDefault="001C3CBB" w:rsidP="00D7554E">
      <w:pPr>
        <w:pStyle w:val="Heading3"/>
      </w:pPr>
      <w:r>
        <w:t>Ministry of Health</w:t>
      </w:r>
    </w:p>
    <w:p w14:paraId="2774B394" w14:textId="6802745E" w:rsidR="00D7554E" w:rsidRPr="00AC1A98" w:rsidRDefault="001C3CBB" w:rsidP="00D7554E">
      <w:r>
        <w:t>T</w:t>
      </w:r>
      <w:r w:rsidR="00D7554E">
        <w:t xml:space="preserve">he </w:t>
      </w:r>
      <w:r w:rsidR="00D7554E" w:rsidRPr="0007587F">
        <w:t>Ministry of Health</w:t>
      </w:r>
      <w:r w:rsidR="00D7554E">
        <w:t xml:space="preserve"> </w:t>
      </w:r>
      <w:r w:rsidR="00D7554E" w:rsidRPr="0007587F">
        <w:t xml:space="preserve">is responsible for ensuring that performance reviews are carried out in accordance with the HPCA Act. This includes establishing an initial schedule for reviews and, in consultation with the relevant responsible authority, appointing reviewers and setting the terms of reference for each review. The Ministry monitors responsible authorities’ compliance with their obligations under the HPCA Act, including </w:t>
      </w:r>
      <w:r w:rsidR="00D7554E">
        <w:t>sections</w:t>
      </w:r>
      <w:r w:rsidR="00D7554E" w:rsidRPr="0007587F">
        <w:t xml:space="preserve"> 122B and 134.</w:t>
      </w:r>
    </w:p>
    <w:p w14:paraId="4319F5E1" w14:textId="77777777" w:rsidR="00D7554E" w:rsidRPr="006C69BF" w:rsidRDefault="00D7554E" w:rsidP="00D7554E">
      <w:pPr>
        <w:pStyle w:val="Heading3"/>
      </w:pPr>
      <w:r w:rsidRPr="006C69BF">
        <w:t>Reviewer(s)</w:t>
      </w:r>
    </w:p>
    <w:p w14:paraId="55FA8CA8" w14:textId="77777777" w:rsidR="00D7554E" w:rsidRPr="009C5712" w:rsidRDefault="00D7554E" w:rsidP="00D7554E">
      <w:r>
        <w:t xml:space="preserve">Performance reviews will be conducted under the Ministry’s </w:t>
      </w:r>
      <w:proofErr w:type="spellStart"/>
      <w:r>
        <w:t>HealthCERT</w:t>
      </w:r>
      <w:proofErr w:type="spellEnd"/>
      <w:r>
        <w:t xml:space="preserve"> framework. Reviewers will be </w:t>
      </w:r>
      <w:r w:rsidRPr="009C5712">
        <w:t>appointed based on their expertise and experience in conducting reviews, knowledge and awareness of the regulation of health practitioners in New Zealand, cost-effectiveness and affordability, and capacity to manage the work required. Each review panel will normally comprise:</w:t>
      </w:r>
    </w:p>
    <w:p w14:paraId="07F2F3A8" w14:textId="77777777" w:rsidR="00D7554E" w:rsidRPr="00D7554E" w:rsidRDefault="00D7554E" w:rsidP="00D7554E">
      <w:pPr>
        <w:pStyle w:val="Bullet"/>
        <w:rPr>
          <w:rFonts w:eastAsia="Calibri"/>
        </w:rPr>
      </w:pPr>
      <w:r w:rsidRPr="00D7554E">
        <w:rPr>
          <w:rFonts w:eastAsia="Calibri"/>
        </w:rPr>
        <w:t xml:space="preserve">a Lead Assessor from one of the audit agencies (DAAs) designated by </w:t>
      </w:r>
      <w:proofErr w:type="spellStart"/>
      <w:proofErr w:type="gramStart"/>
      <w:r w:rsidRPr="00D7554E">
        <w:rPr>
          <w:rFonts w:eastAsia="Calibri"/>
        </w:rPr>
        <w:t>HealthCERT</w:t>
      </w:r>
      <w:proofErr w:type="spellEnd"/>
      <w:proofErr w:type="gramEnd"/>
    </w:p>
    <w:p w14:paraId="0E7A39B8" w14:textId="77777777" w:rsidR="00D7554E" w:rsidRPr="00D7554E" w:rsidRDefault="00D7554E" w:rsidP="00D7554E">
      <w:pPr>
        <w:pStyle w:val="Bullet"/>
        <w:rPr>
          <w:rFonts w:eastAsia="Calibri"/>
        </w:rPr>
      </w:pPr>
      <w:r w:rsidRPr="00D7554E">
        <w:rPr>
          <w:rFonts w:eastAsia="Calibri"/>
        </w:rPr>
        <w:t>a representative from another responsible authority (that is, other than the one being reviewed), and</w:t>
      </w:r>
    </w:p>
    <w:p w14:paraId="0204F87A" w14:textId="41372B97" w:rsidR="00D7554E" w:rsidRPr="00D7554E" w:rsidRDefault="00D7554E" w:rsidP="00D7554E">
      <w:pPr>
        <w:pStyle w:val="Bullet"/>
        <w:rPr>
          <w:rFonts w:eastAsia="Calibri"/>
        </w:rPr>
      </w:pPr>
      <w:r w:rsidRPr="00D7554E">
        <w:rPr>
          <w:rFonts w:eastAsia="Calibri"/>
        </w:rPr>
        <w:t>a Reviewer with knowledge of the Crown's</w:t>
      </w:r>
      <w:r w:rsidRPr="00D7554E">
        <w:rPr>
          <w:rFonts w:eastAsia="Segoe UI"/>
        </w:rPr>
        <w:t xml:space="preserve"> obligations under</w:t>
      </w:r>
      <w:r w:rsidRPr="00D7554E">
        <w:rPr>
          <w:rFonts w:eastAsia="Segoe UI"/>
        </w:rPr>
        <w:t xml:space="preserve"> </w:t>
      </w:r>
      <w:proofErr w:type="spellStart"/>
      <w:r w:rsidR="002622F6">
        <w:rPr>
          <w:rFonts w:eastAsia="Segoe UI"/>
        </w:rPr>
        <w:t>T</w:t>
      </w:r>
      <w:r w:rsidRPr="00D7554E">
        <w:rPr>
          <w:rFonts w:eastAsia="Segoe UI"/>
        </w:rPr>
        <w:t>e</w:t>
      </w:r>
      <w:proofErr w:type="spellEnd"/>
      <w:r w:rsidRPr="00D7554E">
        <w:rPr>
          <w:rFonts w:eastAsia="Segoe UI"/>
        </w:rPr>
        <w:t xml:space="preserve"> </w:t>
      </w:r>
      <w:proofErr w:type="spellStart"/>
      <w:r w:rsidRPr="00D7554E">
        <w:rPr>
          <w:rFonts w:eastAsia="Segoe UI"/>
        </w:rPr>
        <w:t>Tiriti</w:t>
      </w:r>
      <w:proofErr w:type="spellEnd"/>
      <w:r w:rsidRPr="00D7554E">
        <w:rPr>
          <w:rFonts w:eastAsia="Segoe UI"/>
        </w:rPr>
        <w:t xml:space="preserve"> </w:t>
      </w:r>
      <w:r w:rsidRPr="00D7554E">
        <w:rPr>
          <w:rFonts w:eastAsia="Segoe UI"/>
        </w:rPr>
        <w:t>o Waitangi</w:t>
      </w:r>
      <w:r w:rsidRPr="00D7554E">
        <w:rPr>
          <w:rFonts w:eastAsia="Calibri"/>
        </w:rPr>
        <w:t>.</w:t>
      </w:r>
    </w:p>
    <w:p w14:paraId="781FF173" w14:textId="77777777" w:rsidR="00D7554E" w:rsidRDefault="00D7554E" w:rsidP="00D7554E">
      <w:pPr>
        <w:rPr>
          <w:rFonts w:eastAsia="Calibri"/>
        </w:rPr>
      </w:pPr>
    </w:p>
    <w:p w14:paraId="13BD0F61" w14:textId="10ADD70E" w:rsidR="00D7554E" w:rsidRPr="009C5712" w:rsidRDefault="00D7554E" w:rsidP="00D7554E">
      <w:pPr>
        <w:rPr>
          <w:rFonts w:eastAsia="Calibri"/>
        </w:rPr>
      </w:pPr>
      <w:r w:rsidRPr="009C5712">
        <w:rPr>
          <w:rFonts w:eastAsia="Calibri"/>
        </w:rPr>
        <w:t xml:space="preserve">The Reviewers will ensure that the required </w:t>
      </w:r>
      <w:r w:rsidRPr="009C5712">
        <w:rPr>
          <w:rFonts w:eastAsia="Arial"/>
        </w:rPr>
        <w:t>external review and validation (including identification of and consultation with key stakeholders) is completed.</w:t>
      </w:r>
    </w:p>
    <w:p w14:paraId="5703B26A" w14:textId="77777777" w:rsidR="00D7554E" w:rsidRPr="009C5712" w:rsidRDefault="00D7554E" w:rsidP="00D7554E">
      <w:pPr>
        <w:pStyle w:val="Heading3"/>
      </w:pPr>
      <w:r w:rsidRPr="009C5712">
        <w:t>Responsible authorities</w:t>
      </w:r>
    </w:p>
    <w:p w14:paraId="43E06380" w14:textId="77777777" w:rsidR="00D7554E" w:rsidRPr="009C5712" w:rsidRDefault="00D7554E" w:rsidP="00D7554E">
      <w:r w:rsidRPr="009C5712">
        <w:t xml:space="preserve">The </w:t>
      </w:r>
      <w:r w:rsidRPr="009C5712">
        <w:rPr>
          <w:rFonts w:eastAsia="Calibri"/>
        </w:rPr>
        <w:t>responsible authority</w:t>
      </w:r>
      <w:r w:rsidRPr="009C5712">
        <w:t xml:space="preserve"> being reviewed will submit a self-assessment report before the scheduled site visit and will designate someone to serve as liaison between the </w:t>
      </w:r>
      <w:r w:rsidRPr="009C5712">
        <w:rPr>
          <w:rFonts w:eastAsia="Calibri"/>
        </w:rPr>
        <w:t>responsible authority</w:t>
      </w:r>
      <w:r w:rsidRPr="009C5712">
        <w:t xml:space="preserve"> and the reviewer. The </w:t>
      </w:r>
      <w:r w:rsidRPr="009C5712">
        <w:rPr>
          <w:rFonts w:eastAsia="Calibri"/>
        </w:rPr>
        <w:t>responsible authority</w:t>
      </w:r>
      <w:r w:rsidRPr="009C5712">
        <w:t xml:space="preserve"> will provide meeting space for the reviewer while the reviewer is on site and will assist the reviewer to identify key stakeholders for consultation. </w:t>
      </w:r>
    </w:p>
    <w:p w14:paraId="1255FAEC" w14:textId="77777777" w:rsidR="00D7554E" w:rsidRPr="006C69BF" w:rsidRDefault="00D7554E" w:rsidP="00D7554E">
      <w:pPr>
        <w:pStyle w:val="Heading3"/>
      </w:pPr>
      <w:r w:rsidRPr="009C5712">
        <w:t>Schedule for performance reviews</w:t>
      </w:r>
    </w:p>
    <w:p w14:paraId="0787E5E9" w14:textId="77777777" w:rsidR="00D7554E" w:rsidRPr="0043250B" w:rsidRDefault="00D7554E" w:rsidP="00D7554E">
      <w:r w:rsidRPr="00D7554E">
        <w:t>The Ministry, in consultation with the responsible authorities, will decide on the proposed schedule for the performance reviews. It may later alter that schedule where necessary (for example, to accommodate a reviewer’s availability or unforeseen disruptions) and following further consultation with the affected responsible authorities. It</w:t>
      </w:r>
      <w:r>
        <w:t xml:space="preserve"> will give a</w:t>
      </w:r>
      <w:r w:rsidRPr="00821F70">
        <w:t xml:space="preserve"> minimum of </w:t>
      </w:r>
      <w:r>
        <w:t>12 months’</w:t>
      </w:r>
      <w:r w:rsidRPr="00821F70">
        <w:t xml:space="preserve"> prior notice of a review whenever practicable.</w:t>
      </w:r>
    </w:p>
    <w:p w14:paraId="038BDBA3" w14:textId="77777777" w:rsidR="00D7554E" w:rsidRPr="006C69BF" w:rsidRDefault="00D7554E" w:rsidP="00D7554E">
      <w:pPr>
        <w:pStyle w:val="Heading3"/>
      </w:pPr>
      <w:r w:rsidRPr="006C69BF">
        <w:t>Reporting</w:t>
      </w:r>
    </w:p>
    <w:p w14:paraId="2775B457" w14:textId="77777777" w:rsidR="00D7554E" w:rsidRDefault="00D7554E" w:rsidP="00D7554E">
      <w:r>
        <w:t>The reviewer will</w:t>
      </w:r>
      <w:r w:rsidRPr="00CD616B">
        <w:t xml:space="preserve">, as soon as practicable after conducting a </w:t>
      </w:r>
      <w:r>
        <w:t xml:space="preserve">performance </w:t>
      </w:r>
      <w:r w:rsidRPr="00CD616B">
        <w:t>review</w:t>
      </w:r>
      <w:r>
        <w:t>, write a report on their conclusions, including any recommendations. They will provide a draft report to the responsible authority for comment on any factual errors, before they complete the final report. The reviewer will then submit the completed report to the Minister (via the Ministry) and the responsible authority. The report will clearly state whether each standard has been met, partially met, or not met.</w:t>
      </w:r>
    </w:p>
    <w:p w14:paraId="699422F4" w14:textId="77777777" w:rsidR="00D7554E" w:rsidRPr="00CD616B" w:rsidRDefault="00D7554E" w:rsidP="00D7554E"/>
    <w:p w14:paraId="730DD111" w14:textId="77777777" w:rsidR="00D7554E" w:rsidRPr="00CD616B" w:rsidRDefault="00D7554E" w:rsidP="00D7554E">
      <w:r>
        <w:t>The report should also highlight any a</w:t>
      </w:r>
      <w:r w:rsidRPr="00CD616B">
        <w:t>reas of learning</w:t>
      </w:r>
      <w:r>
        <w:t xml:space="preserve"> that may benefit all</w:t>
      </w:r>
      <w:r w:rsidRPr="00CD616B">
        <w:t xml:space="preserve"> </w:t>
      </w:r>
      <w:r>
        <w:t>responsible authorities. It may make recommendations to other agencies.</w:t>
      </w:r>
    </w:p>
    <w:p w14:paraId="741A5EA0" w14:textId="77777777" w:rsidR="00D7554E" w:rsidRPr="006C69BF" w:rsidRDefault="00D7554E" w:rsidP="00D7554E">
      <w:pPr>
        <w:pStyle w:val="Heading3"/>
      </w:pPr>
      <w:r w:rsidRPr="006C69BF">
        <w:t>Costs</w:t>
      </w:r>
    </w:p>
    <w:p w14:paraId="32AD1E3B" w14:textId="77777777" w:rsidR="00D7554E" w:rsidRDefault="00D7554E" w:rsidP="00D7554E">
      <w:r w:rsidRPr="00745D83">
        <w:rPr>
          <w:rFonts w:eastAsia="Arial"/>
        </w:rPr>
        <w:t xml:space="preserve">The </w:t>
      </w:r>
      <w:r>
        <w:t>responsible authority</w:t>
      </w:r>
      <w:r>
        <w:rPr>
          <w:rFonts w:eastAsia="Arial"/>
        </w:rPr>
        <w:t xml:space="preserve"> being reviewed shall meet the</w:t>
      </w:r>
      <w:r w:rsidRPr="00745D83">
        <w:rPr>
          <w:rFonts w:eastAsia="Arial"/>
        </w:rPr>
        <w:t xml:space="preserve"> costs of </w:t>
      </w:r>
      <w:r>
        <w:rPr>
          <w:rFonts w:eastAsia="Arial"/>
        </w:rPr>
        <w:t>the review</w:t>
      </w:r>
      <w:r w:rsidRPr="00745D83">
        <w:rPr>
          <w:rFonts w:eastAsia="Arial"/>
        </w:rPr>
        <w:t>.</w:t>
      </w:r>
    </w:p>
    <w:p w14:paraId="5A6E2FAE" w14:textId="77777777" w:rsidR="00D7554E" w:rsidRDefault="00D7554E" w:rsidP="00D7554E">
      <w:pPr>
        <w:rPr>
          <w:rFonts w:eastAsia="Calibri"/>
        </w:rPr>
        <w:sectPr w:rsidR="00D7554E" w:rsidSect="00D7554E">
          <w:pgSz w:w="11907" w:h="16840" w:code="9"/>
          <w:pgMar w:top="1418" w:right="1701" w:bottom="1134" w:left="1843" w:header="284" w:footer="425" w:gutter="284"/>
          <w:cols w:space="720"/>
        </w:sectPr>
      </w:pPr>
    </w:p>
    <w:p w14:paraId="79324D5B" w14:textId="5E139B70" w:rsidR="00D7554E" w:rsidRDefault="00D7554E" w:rsidP="00D7554E">
      <w:pPr>
        <w:pStyle w:val="Heading1"/>
        <w:spacing w:before="0"/>
      </w:pPr>
      <w:bookmarkStart w:id="24" w:name="_Toc459381945"/>
      <w:bookmarkStart w:id="25" w:name="_Toc460302918"/>
      <w:bookmarkStart w:id="26" w:name="_Toc528588027"/>
      <w:bookmarkStart w:id="27" w:name="_Toc49230899"/>
      <w:bookmarkStart w:id="28" w:name="_Toc184029208"/>
      <w:r w:rsidRPr="00EB06C1">
        <w:t>Appendix 1:</w:t>
      </w:r>
      <w:r>
        <w:t xml:space="preserve"> </w:t>
      </w:r>
      <w:bookmarkEnd w:id="24"/>
      <w:bookmarkEnd w:id="25"/>
      <w:bookmarkEnd w:id="26"/>
      <w:r w:rsidRPr="006C69BF">
        <w:t>Core performance standards</w:t>
      </w:r>
      <w:bookmarkEnd w:id="27"/>
      <w:bookmarkEnd w:id="28"/>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4825"/>
        <w:gridCol w:w="8041"/>
      </w:tblGrid>
      <w:tr w:rsidR="00615E7C" w:rsidRPr="00615E7C" w14:paraId="589F9066" w14:textId="77777777" w:rsidTr="00615E7C">
        <w:trPr>
          <w:tblHeader/>
        </w:trPr>
        <w:tc>
          <w:tcPr>
            <w:tcW w:w="562" w:type="dxa"/>
            <w:tcBorders>
              <w:top w:val="nil"/>
              <w:bottom w:val="nil"/>
              <w:right w:val="nil"/>
            </w:tcBorders>
            <w:shd w:val="clear" w:color="auto" w:fill="D9D9D9" w:themeFill="background1" w:themeFillShade="D9"/>
          </w:tcPr>
          <w:p w14:paraId="29B2E955" w14:textId="77777777" w:rsidR="00615E7C" w:rsidRPr="00615E7C" w:rsidRDefault="00615E7C" w:rsidP="00615E7C">
            <w:pPr>
              <w:spacing w:before="60" w:after="60" w:line="240" w:lineRule="auto"/>
              <w:rPr>
                <w:b/>
                <w:bCs/>
              </w:rPr>
            </w:pPr>
          </w:p>
        </w:tc>
        <w:tc>
          <w:tcPr>
            <w:tcW w:w="4825" w:type="dxa"/>
            <w:tcBorders>
              <w:top w:val="nil"/>
              <w:left w:val="nil"/>
              <w:bottom w:val="nil"/>
              <w:right w:val="nil"/>
            </w:tcBorders>
            <w:shd w:val="clear" w:color="auto" w:fill="D9D9D9" w:themeFill="background1" w:themeFillShade="D9"/>
          </w:tcPr>
          <w:p w14:paraId="77DDB4F0" w14:textId="025D05BC" w:rsidR="00615E7C" w:rsidRPr="00615E7C" w:rsidRDefault="00615E7C" w:rsidP="00615E7C">
            <w:pPr>
              <w:spacing w:before="60" w:after="60" w:line="240" w:lineRule="auto"/>
              <w:rPr>
                <w:b/>
                <w:bCs/>
              </w:rPr>
            </w:pPr>
            <w:r w:rsidRPr="00615E7C">
              <w:rPr>
                <w:b/>
                <w:bCs/>
              </w:rPr>
              <w:t>Functions under section 118 of the HPCA Act</w:t>
            </w:r>
          </w:p>
        </w:tc>
        <w:tc>
          <w:tcPr>
            <w:tcW w:w="8041" w:type="dxa"/>
            <w:tcBorders>
              <w:top w:val="nil"/>
              <w:left w:val="nil"/>
              <w:bottom w:val="nil"/>
            </w:tcBorders>
            <w:shd w:val="clear" w:color="auto" w:fill="D9D9D9" w:themeFill="background1" w:themeFillShade="D9"/>
          </w:tcPr>
          <w:p w14:paraId="0F7362BC" w14:textId="2A7436B4" w:rsidR="00615E7C" w:rsidRPr="00615E7C" w:rsidRDefault="00615E7C" w:rsidP="00615E7C">
            <w:pPr>
              <w:spacing w:before="60" w:after="60" w:line="240" w:lineRule="auto"/>
              <w:rPr>
                <w:b/>
                <w:bCs/>
              </w:rPr>
            </w:pPr>
            <w:r w:rsidRPr="00615E7C">
              <w:rPr>
                <w:b/>
                <w:bCs/>
              </w:rPr>
              <w:t>Related standards</w:t>
            </w:r>
          </w:p>
        </w:tc>
      </w:tr>
      <w:tr w:rsidR="00615E7C" w14:paraId="32A5E9C7" w14:textId="77777777" w:rsidTr="00615E7C">
        <w:tc>
          <w:tcPr>
            <w:tcW w:w="562" w:type="dxa"/>
            <w:tcBorders>
              <w:top w:val="nil"/>
            </w:tcBorders>
          </w:tcPr>
          <w:p w14:paraId="6710F7BA" w14:textId="3857F105" w:rsidR="00615E7C" w:rsidRDefault="00615E7C" w:rsidP="00615E7C">
            <w:pPr>
              <w:spacing w:before="60" w:after="60" w:line="240" w:lineRule="auto"/>
            </w:pPr>
            <w:r>
              <w:t>(</w:t>
            </w:r>
            <w:r w:rsidRPr="00880F0D">
              <w:t>a</w:t>
            </w:r>
            <w:r>
              <w:t>)</w:t>
            </w:r>
          </w:p>
        </w:tc>
        <w:tc>
          <w:tcPr>
            <w:tcW w:w="4825" w:type="dxa"/>
            <w:tcBorders>
              <w:top w:val="nil"/>
            </w:tcBorders>
          </w:tcPr>
          <w:p w14:paraId="7C738B8B" w14:textId="1CE13425" w:rsidR="00615E7C" w:rsidRDefault="00615E7C" w:rsidP="00615E7C">
            <w:pPr>
              <w:spacing w:before="60" w:after="60" w:line="240" w:lineRule="auto"/>
            </w:pPr>
            <w:r w:rsidRPr="00615E7C">
              <w:t>To prescribe the qualifications required for scopes of practice within the profession, and, for that purpose, to accredit and monitor educational institutions and degrees, courses of studies, or programmes.</w:t>
            </w:r>
          </w:p>
        </w:tc>
        <w:tc>
          <w:tcPr>
            <w:tcW w:w="8041" w:type="dxa"/>
            <w:tcBorders>
              <w:top w:val="nil"/>
            </w:tcBorders>
          </w:tcPr>
          <w:p w14:paraId="3168A3FE" w14:textId="77777777" w:rsidR="00615E7C" w:rsidRPr="009C5712" w:rsidRDefault="00615E7C" w:rsidP="00615E7C">
            <w:pPr>
              <w:spacing w:before="60" w:after="60" w:line="240" w:lineRule="auto"/>
            </w:pPr>
            <w:r w:rsidRPr="009C5712">
              <w:t xml:space="preserve">The responsible authority: </w:t>
            </w:r>
          </w:p>
          <w:p w14:paraId="16681667" w14:textId="77777777" w:rsidR="00615E7C" w:rsidRPr="009C5712" w:rsidRDefault="00615E7C" w:rsidP="00615E7C">
            <w:pPr>
              <w:pStyle w:val="ListParagraph"/>
              <w:numPr>
                <w:ilvl w:val="0"/>
                <w:numId w:val="34"/>
              </w:numPr>
              <w:spacing w:before="60" w:after="60" w:line="240" w:lineRule="auto"/>
              <w:contextualSpacing w:val="0"/>
            </w:pPr>
            <w:r w:rsidRPr="009C5712">
              <w:t xml:space="preserve">has defined clear and coherent competencies for each scope of </w:t>
            </w:r>
            <w:proofErr w:type="gramStart"/>
            <w:r w:rsidRPr="009C5712">
              <w:t>practice</w:t>
            </w:r>
            <w:proofErr w:type="gramEnd"/>
            <w:r w:rsidRPr="009C5712">
              <w:t xml:space="preserve"> </w:t>
            </w:r>
          </w:p>
          <w:p w14:paraId="323019B4" w14:textId="77777777" w:rsidR="00615E7C" w:rsidRPr="009C5712" w:rsidRDefault="00615E7C" w:rsidP="00615E7C">
            <w:pPr>
              <w:pStyle w:val="ListParagraph"/>
              <w:numPr>
                <w:ilvl w:val="0"/>
                <w:numId w:val="34"/>
              </w:numPr>
              <w:spacing w:before="60" w:after="60" w:line="240" w:lineRule="auto"/>
              <w:contextualSpacing w:val="0"/>
            </w:pPr>
            <w:r w:rsidRPr="009C5712">
              <w:t xml:space="preserve">has prescribed qualifications aligned to those competencies for each scope of </w:t>
            </w:r>
            <w:proofErr w:type="gramStart"/>
            <w:r w:rsidRPr="009C5712">
              <w:t>practice</w:t>
            </w:r>
            <w:proofErr w:type="gramEnd"/>
          </w:p>
          <w:p w14:paraId="7A56CF46" w14:textId="77777777" w:rsidR="00615E7C" w:rsidRPr="009C5712" w:rsidRDefault="00615E7C" w:rsidP="00615E7C">
            <w:pPr>
              <w:pStyle w:val="ListParagraph"/>
              <w:numPr>
                <w:ilvl w:val="0"/>
                <w:numId w:val="34"/>
              </w:numPr>
              <w:spacing w:before="60" w:after="60" w:line="240" w:lineRule="auto"/>
              <w:contextualSpacing w:val="0"/>
            </w:pPr>
            <w:r w:rsidRPr="009C5712">
              <w:t xml:space="preserve">has timely, proportionate, and transparent accreditation and monitoring mechanisms to assure itself that the education providers and programmes it accredits deliver graduates who are competent to practise the relevant </w:t>
            </w:r>
            <w:proofErr w:type="gramStart"/>
            <w:r w:rsidRPr="009C5712">
              <w:t>profession</w:t>
            </w:r>
            <w:proofErr w:type="gramEnd"/>
          </w:p>
          <w:p w14:paraId="6F5ABC2B" w14:textId="77777777" w:rsidR="00615E7C" w:rsidRPr="009C5712" w:rsidRDefault="00615E7C" w:rsidP="00615E7C">
            <w:pPr>
              <w:pStyle w:val="ListParagraph"/>
              <w:numPr>
                <w:ilvl w:val="0"/>
                <w:numId w:val="34"/>
              </w:numPr>
              <w:spacing w:before="60" w:after="60" w:line="240" w:lineRule="auto"/>
              <w:contextualSpacing w:val="0"/>
            </w:pPr>
            <w:r w:rsidRPr="009C5712">
              <w:t xml:space="preserve">takes appropriate actions where concerns are </w:t>
            </w:r>
            <w:proofErr w:type="gramStart"/>
            <w:r w:rsidRPr="009C5712">
              <w:t>identified</w:t>
            </w:r>
            <w:proofErr w:type="gramEnd"/>
          </w:p>
          <w:p w14:paraId="77BD4250" w14:textId="06F1B4B0" w:rsidR="00615E7C" w:rsidRDefault="00615E7C" w:rsidP="00615E7C">
            <w:pPr>
              <w:pStyle w:val="ListParagraph"/>
              <w:numPr>
                <w:ilvl w:val="0"/>
                <w:numId w:val="34"/>
              </w:numPr>
              <w:spacing w:before="60" w:after="60"/>
              <w:contextualSpacing w:val="0"/>
            </w:pPr>
            <w:r w:rsidRPr="009C5712">
              <w:t>considers, at least once every five years, whether a review of its prescribed qualifications and scopes of practice is required and, if it is, undertakes that review.</w:t>
            </w:r>
          </w:p>
        </w:tc>
      </w:tr>
      <w:tr w:rsidR="00615E7C" w14:paraId="16423553" w14:textId="77777777" w:rsidTr="00615E7C">
        <w:tc>
          <w:tcPr>
            <w:tcW w:w="562" w:type="dxa"/>
          </w:tcPr>
          <w:p w14:paraId="406C6D6B" w14:textId="20C61ECA" w:rsidR="00615E7C" w:rsidRDefault="00615E7C" w:rsidP="00615E7C">
            <w:pPr>
              <w:spacing w:before="60" w:after="60" w:line="240" w:lineRule="auto"/>
            </w:pPr>
            <w:r>
              <w:t>(</w:t>
            </w:r>
            <w:r w:rsidRPr="00880F0D">
              <w:t>b</w:t>
            </w:r>
            <w:r>
              <w:t>)</w:t>
            </w:r>
          </w:p>
        </w:tc>
        <w:tc>
          <w:tcPr>
            <w:tcW w:w="4825" w:type="dxa"/>
          </w:tcPr>
          <w:p w14:paraId="220654BB" w14:textId="1690A0EC" w:rsidR="00615E7C" w:rsidRDefault="00615E7C" w:rsidP="00615E7C">
            <w:pPr>
              <w:spacing w:before="60" w:after="60" w:line="240" w:lineRule="auto"/>
            </w:pPr>
            <w:r>
              <w:t>T</w:t>
            </w:r>
            <w:r w:rsidRPr="0025363E">
              <w:t>o authorise the registration of health practitioners under this Act, and to maintain registers</w:t>
            </w:r>
            <w:r>
              <w:t>.</w:t>
            </w:r>
          </w:p>
        </w:tc>
        <w:tc>
          <w:tcPr>
            <w:tcW w:w="8041" w:type="dxa"/>
            <w:vMerge w:val="restart"/>
          </w:tcPr>
          <w:p w14:paraId="63F96293" w14:textId="77777777" w:rsidR="00615E7C" w:rsidRPr="009C5712" w:rsidRDefault="00615E7C" w:rsidP="00615E7C">
            <w:pPr>
              <w:spacing w:before="60" w:after="60" w:line="240" w:lineRule="auto"/>
            </w:pPr>
            <w:r w:rsidRPr="009C5712">
              <w:t>The responsible authority maintains and publishes an accessible, accurate register of registrants (including, where permitted, any conditions on their practice).</w:t>
            </w:r>
          </w:p>
          <w:p w14:paraId="71477DDC" w14:textId="77777777" w:rsidR="00615E7C" w:rsidRPr="009C5712" w:rsidRDefault="00615E7C" w:rsidP="00615E7C">
            <w:pPr>
              <w:spacing w:before="60" w:after="60" w:line="240" w:lineRule="auto"/>
            </w:pPr>
            <w:r w:rsidRPr="009C5712">
              <w:t>The responsible authority has clear, transparent, and timely mechanisms to consider applications and to:</w:t>
            </w:r>
          </w:p>
          <w:p w14:paraId="5EB466AB" w14:textId="77777777" w:rsidR="00615E7C" w:rsidRPr="009C5712" w:rsidRDefault="00615E7C" w:rsidP="00615E7C">
            <w:pPr>
              <w:pStyle w:val="ListParagraph"/>
              <w:numPr>
                <w:ilvl w:val="0"/>
                <w:numId w:val="35"/>
              </w:numPr>
              <w:spacing w:before="60" w:after="60" w:line="240" w:lineRule="auto"/>
              <w:contextualSpacing w:val="0"/>
            </w:pPr>
            <w:r w:rsidRPr="009C5712">
              <w:t xml:space="preserve">register applicants who meet all statutory requirements for </w:t>
            </w:r>
            <w:proofErr w:type="gramStart"/>
            <w:r w:rsidRPr="009C5712">
              <w:t>registration</w:t>
            </w:r>
            <w:proofErr w:type="gramEnd"/>
          </w:p>
          <w:p w14:paraId="49D390CD" w14:textId="77777777" w:rsidR="00615E7C" w:rsidRPr="009C5712" w:rsidRDefault="00615E7C" w:rsidP="00615E7C">
            <w:pPr>
              <w:pStyle w:val="ListParagraph"/>
              <w:numPr>
                <w:ilvl w:val="0"/>
                <w:numId w:val="35"/>
              </w:numPr>
              <w:spacing w:before="60" w:after="60" w:line="240" w:lineRule="auto"/>
              <w:contextualSpacing w:val="0"/>
            </w:pPr>
            <w:r w:rsidRPr="009C5712">
              <w:t xml:space="preserve">issue practising certificates to applicants in a timely </w:t>
            </w:r>
            <w:proofErr w:type="gramStart"/>
            <w:r w:rsidRPr="009C5712">
              <w:t>manner</w:t>
            </w:r>
            <w:proofErr w:type="gramEnd"/>
          </w:p>
          <w:p w14:paraId="67ED50D0" w14:textId="5466EAC7" w:rsidR="00615E7C" w:rsidRDefault="00615E7C" w:rsidP="00615E7C">
            <w:pPr>
              <w:pStyle w:val="ListParagraph"/>
              <w:numPr>
                <w:ilvl w:val="0"/>
                <w:numId w:val="35"/>
              </w:numPr>
              <w:spacing w:before="60" w:after="60" w:line="240" w:lineRule="auto"/>
              <w:contextualSpacing w:val="0"/>
            </w:pPr>
            <w:r w:rsidRPr="009C5712">
              <w:t>manage any requests for reviews of decisions made under delegation.</w:t>
            </w:r>
          </w:p>
        </w:tc>
      </w:tr>
      <w:tr w:rsidR="00615E7C" w14:paraId="5B1294FD" w14:textId="77777777" w:rsidTr="00615E7C">
        <w:tc>
          <w:tcPr>
            <w:tcW w:w="562" w:type="dxa"/>
          </w:tcPr>
          <w:p w14:paraId="34BB308C" w14:textId="6B97FA48" w:rsidR="00615E7C" w:rsidRDefault="00615E7C" w:rsidP="00615E7C">
            <w:pPr>
              <w:spacing w:before="60" w:after="60" w:line="240" w:lineRule="auto"/>
            </w:pPr>
            <w:r>
              <w:t>(</w:t>
            </w:r>
            <w:r w:rsidRPr="00880F0D">
              <w:t>c</w:t>
            </w:r>
            <w:r>
              <w:t>)</w:t>
            </w:r>
          </w:p>
        </w:tc>
        <w:tc>
          <w:tcPr>
            <w:tcW w:w="4825" w:type="dxa"/>
          </w:tcPr>
          <w:p w14:paraId="05046B00" w14:textId="457A4062" w:rsidR="00615E7C" w:rsidRDefault="00615E7C" w:rsidP="00615E7C">
            <w:pPr>
              <w:spacing w:before="60" w:after="60" w:line="240" w:lineRule="auto"/>
            </w:pPr>
            <w:r>
              <w:t>T</w:t>
            </w:r>
            <w:r w:rsidRPr="0025363E">
              <w:t>o consider applications for annual practising certificates</w:t>
            </w:r>
            <w:r>
              <w:t>.</w:t>
            </w:r>
          </w:p>
        </w:tc>
        <w:tc>
          <w:tcPr>
            <w:tcW w:w="8041" w:type="dxa"/>
            <w:vMerge/>
          </w:tcPr>
          <w:p w14:paraId="15899B2C" w14:textId="77777777" w:rsidR="00615E7C" w:rsidRDefault="00615E7C" w:rsidP="00615E7C">
            <w:pPr>
              <w:spacing w:before="60" w:after="60" w:line="240" w:lineRule="auto"/>
            </w:pPr>
          </w:p>
        </w:tc>
      </w:tr>
      <w:tr w:rsidR="00615E7C" w14:paraId="0CB5911B" w14:textId="77777777" w:rsidTr="00615E7C">
        <w:tc>
          <w:tcPr>
            <w:tcW w:w="562" w:type="dxa"/>
          </w:tcPr>
          <w:p w14:paraId="6283B907" w14:textId="40698043" w:rsidR="00615E7C" w:rsidRDefault="00615E7C" w:rsidP="00615E7C">
            <w:pPr>
              <w:spacing w:before="60" w:after="60" w:line="240" w:lineRule="auto"/>
            </w:pPr>
            <w:r>
              <w:t>(</w:t>
            </w:r>
            <w:r w:rsidRPr="00880F0D">
              <w:t>d</w:t>
            </w:r>
            <w:r>
              <w:t>)</w:t>
            </w:r>
          </w:p>
        </w:tc>
        <w:tc>
          <w:tcPr>
            <w:tcW w:w="4825" w:type="dxa"/>
          </w:tcPr>
          <w:p w14:paraId="72EA9BFA" w14:textId="69F6B1A3" w:rsidR="00615E7C" w:rsidRDefault="00615E7C" w:rsidP="00615E7C">
            <w:pPr>
              <w:spacing w:before="60" w:after="60" w:line="240" w:lineRule="auto"/>
            </w:pPr>
            <w:r>
              <w:t>T</w:t>
            </w:r>
            <w:r w:rsidRPr="0025363E">
              <w:t>o review and promote the competence of health practitioners</w:t>
            </w:r>
            <w:r>
              <w:t>.</w:t>
            </w:r>
          </w:p>
        </w:tc>
        <w:tc>
          <w:tcPr>
            <w:tcW w:w="8041" w:type="dxa"/>
            <w:vMerge w:val="restart"/>
          </w:tcPr>
          <w:p w14:paraId="5B71BFFC" w14:textId="77777777" w:rsidR="00615E7C" w:rsidRPr="0025363E" w:rsidRDefault="00615E7C" w:rsidP="00615E7C">
            <w:pPr>
              <w:spacing w:before="60" w:after="60" w:line="240" w:lineRule="auto"/>
            </w:pPr>
            <w:r w:rsidRPr="0025363E">
              <w:t xml:space="preserve">The </w:t>
            </w:r>
            <w:r>
              <w:t>responsible authority</w:t>
            </w:r>
            <w:r w:rsidRPr="0025363E">
              <w:t xml:space="preserve"> has </w:t>
            </w:r>
            <w:proofErr w:type="gramStart"/>
            <w:r w:rsidRPr="0025363E">
              <w:t>proportionate</w:t>
            </w:r>
            <w:proofErr w:type="gramEnd"/>
            <w:r w:rsidRPr="0025363E">
              <w:t xml:space="preserve">, appropriate, </w:t>
            </w:r>
            <w:r>
              <w:t xml:space="preserve">transparent, and </w:t>
            </w:r>
            <w:r w:rsidRPr="0025363E">
              <w:t>standards</w:t>
            </w:r>
            <w:r>
              <w:t>-</w:t>
            </w:r>
            <w:r w:rsidRPr="0025363E">
              <w:t>based</w:t>
            </w:r>
            <w:r>
              <w:t xml:space="preserve"> </w:t>
            </w:r>
            <w:r w:rsidRPr="0025363E">
              <w:t>mechanisms to:</w:t>
            </w:r>
          </w:p>
          <w:p w14:paraId="35DF11EC" w14:textId="77777777" w:rsidR="00615E7C" w:rsidRPr="0025363E" w:rsidRDefault="00615E7C" w:rsidP="00615E7C">
            <w:pPr>
              <w:pStyle w:val="ListParagraph"/>
              <w:numPr>
                <w:ilvl w:val="0"/>
                <w:numId w:val="35"/>
              </w:numPr>
              <w:spacing w:before="60" w:after="60" w:line="240" w:lineRule="auto"/>
              <w:contextualSpacing w:val="0"/>
            </w:pPr>
            <w:r>
              <w:t>assure</w:t>
            </w:r>
            <w:r w:rsidRPr="0025363E">
              <w:t xml:space="preserve"> itself that applicants seeking registration or the issuing of a practising certificate meet, </w:t>
            </w:r>
            <w:r w:rsidRPr="007C4BA0">
              <w:t>and</w:t>
            </w:r>
            <w:r w:rsidRPr="0025363E">
              <w:t xml:space="preserve"> are actively maintaining</w:t>
            </w:r>
            <w:r>
              <w:t>,</w:t>
            </w:r>
            <w:r w:rsidRPr="0025363E">
              <w:t xml:space="preserve"> the required </w:t>
            </w:r>
            <w:proofErr w:type="gramStart"/>
            <w:r w:rsidRPr="0025363E">
              <w:t>standard</w:t>
            </w:r>
            <w:proofErr w:type="gramEnd"/>
          </w:p>
          <w:p w14:paraId="49BF4960" w14:textId="77777777" w:rsidR="00615E7C" w:rsidRPr="0025363E" w:rsidRDefault="00615E7C" w:rsidP="00615E7C">
            <w:pPr>
              <w:pStyle w:val="ListParagraph"/>
              <w:numPr>
                <w:ilvl w:val="0"/>
                <w:numId w:val="35"/>
              </w:numPr>
              <w:spacing w:before="60" w:after="60" w:line="240" w:lineRule="auto"/>
              <w:contextualSpacing w:val="0"/>
            </w:pPr>
            <w:r w:rsidRPr="0025363E">
              <w:t xml:space="preserve">review a health practitioner’s competence and practice against the required standard of </w:t>
            </w:r>
            <w:proofErr w:type="gramStart"/>
            <w:r w:rsidRPr="0025363E">
              <w:t>competence</w:t>
            </w:r>
            <w:proofErr w:type="gramEnd"/>
          </w:p>
          <w:p w14:paraId="4A6EBC05" w14:textId="77777777" w:rsidR="00615E7C" w:rsidRPr="0007587F" w:rsidRDefault="00615E7C" w:rsidP="00615E7C">
            <w:pPr>
              <w:pStyle w:val="ListParagraph"/>
              <w:numPr>
                <w:ilvl w:val="0"/>
                <w:numId w:val="35"/>
              </w:numPr>
              <w:spacing w:before="60" w:after="60" w:line="240" w:lineRule="auto"/>
              <w:contextualSpacing w:val="0"/>
            </w:pPr>
            <w:r w:rsidRPr="0025363E">
              <w:t xml:space="preserve">improve and remediate the competence of practitioners found to be below the </w:t>
            </w:r>
            <w:r w:rsidRPr="0007587F">
              <w:t xml:space="preserve">required </w:t>
            </w:r>
            <w:proofErr w:type="gramStart"/>
            <w:r w:rsidRPr="0007587F">
              <w:t>standard</w:t>
            </w:r>
            <w:proofErr w:type="gramEnd"/>
          </w:p>
          <w:p w14:paraId="2D6EBF81" w14:textId="152FE4FC" w:rsidR="00615E7C" w:rsidRDefault="00615E7C" w:rsidP="00615E7C">
            <w:pPr>
              <w:pStyle w:val="ListParagraph"/>
              <w:numPr>
                <w:ilvl w:val="0"/>
                <w:numId w:val="35"/>
              </w:numPr>
              <w:spacing w:before="60" w:after="60"/>
              <w:contextualSpacing w:val="0"/>
            </w:pPr>
            <w:r w:rsidRPr="0007587F">
              <w:t>promote the competence of health practitioners.</w:t>
            </w:r>
          </w:p>
        </w:tc>
      </w:tr>
      <w:tr w:rsidR="00615E7C" w14:paraId="5C87327E" w14:textId="77777777" w:rsidTr="00615E7C">
        <w:tc>
          <w:tcPr>
            <w:tcW w:w="562" w:type="dxa"/>
          </w:tcPr>
          <w:p w14:paraId="24271868" w14:textId="2A6A5798" w:rsidR="00615E7C" w:rsidRDefault="00615E7C" w:rsidP="00615E7C">
            <w:pPr>
              <w:spacing w:before="60" w:after="60" w:line="240" w:lineRule="auto"/>
            </w:pPr>
            <w:r>
              <w:t>(</w:t>
            </w:r>
            <w:r w:rsidRPr="00880F0D">
              <w:t>e</w:t>
            </w:r>
            <w:r>
              <w:t>)</w:t>
            </w:r>
          </w:p>
        </w:tc>
        <w:tc>
          <w:tcPr>
            <w:tcW w:w="4825" w:type="dxa"/>
          </w:tcPr>
          <w:p w14:paraId="2C8C7919" w14:textId="3809A0B8" w:rsidR="00615E7C" w:rsidRDefault="00615E7C" w:rsidP="00615E7C">
            <w:pPr>
              <w:spacing w:before="60" w:after="60" w:line="240" w:lineRule="auto"/>
            </w:pPr>
            <w:r>
              <w:t>T</w:t>
            </w:r>
            <w:r w:rsidRPr="0025363E">
              <w:t>o recognise, accredit, and set programmes to ensure the ongoing competence of health practitioners</w:t>
            </w:r>
            <w:r>
              <w:t>.</w:t>
            </w:r>
          </w:p>
        </w:tc>
        <w:tc>
          <w:tcPr>
            <w:tcW w:w="8041" w:type="dxa"/>
            <w:vMerge/>
          </w:tcPr>
          <w:p w14:paraId="240E8814" w14:textId="77777777" w:rsidR="00615E7C" w:rsidRDefault="00615E7C" w:rsidP="00615E7C">
            <w:pPr>
              <w:spacing w:before="60" w:after="60" w:line="240" w:lineRule="auto"/>
            </w:pPr>
          </w:p>
        </w:tc>
      </w:tr>
      <w:tr w:rsidR="00615E7C" w14:paraId="39CE8197" w14:textId="77777777" w:rsidTr="00615E7C">
        <w:tc>
          <w:tcPr>
            <w:tcW w:w="562" w:type="dxa"/>
          </w:tcPr>
          <w:p w14:paraId="51FB6BDA" w14:textId="4CAF201C" w:rsidR="00615E7C" w:rsidRDefault="00615E7C" w:rsidP="00615E7C">
            <w:pPr>
              <w:spacing w:before="60" w:after="60" w:line="240" w:lineRule="auto"/>
            </w:pPr>
            <w:r>
              <w:t>(</w:t>
            </w:r>
            <w:r w:rsidRPr="00880F0D">
              <w:t>k</w:t>
            </w:r>
            <w:r>
              <w:t>)</w:t>
            </w:r>
          </w:p>
        </w:tc>
        <w:tc>
          <w:tcPr>
            <w:tcW w:w="4825" w:type="dxa"/>
          </w:tcPr>
          <w:p w14:paraId="49A8F3B3" w14:textId="646778E6" w:rsidR="00615E7C" w:rsidRDefault="00615E7C" w:rsidP="00615E7C">
            <w:pPr>
              <w:spacing w:before="60" w:after="60" w:line="240" w:lineRule="auto"/>
            </w:pPr>
            <w:r>
              <w:t>T</w:t>
            </w:r>
            <w:r w:rsidRPr="0025363E">
              <w:t>o promote education and training in the profession</w:t>
            </w:r>
            <w:r>
              <w:t>.</w:t>
            </w:r>
          </w:p>
        </w:tc>
        <w:tc>
          <w:tcPr>
            <w:tcW w:w="8041" w:type="dxa"/>
            <w:vMerge/>
          </w:tcPr>
          <w:p w14:paraId="7199F164" w14:textId="77777777" w:rsidR="00615E7C" w:rsidRDefault="00615E7C" w:rsidP="00615E7C">
            <w:pPr>
              <w:spacing w:before="60" w:after="60" w:line="240" w:lineRule="auto"/>
            </w:pPr>
          </w:p>
        </w:tc>
      </w:tr>
      <w:tr w:rsidR="00615E7C" w14:paraId="1E6D5FA8" w14:textId="77777777" w:rsidTr="00615E7C">
        <w:tc>
          <w:tcPr>
            <w:tcW w:w="562" w:type="dxa"/>
          </w:tcPr>
          <w:p w14:paraId="0C5CCEB9" w14:textId="756FAD5B" w:rsidR="00615E7C" w:rsidRDefault="00615E7C" w:rsidP="00615E7C">
            <w:pPr>
              <w:spacing w:before="60" w:after="60" w:line="240" w:lineRule="auto"/>
            </w:pPr>
            <w:r>
              <w:t>(</w:t>
            </w:r>
            <w:r w:rsidRPr="00880F0D">
              <w:t>f</w:t>
            </w:r>
            <w:r>
              <w:t>)</w:t>
            </w:r>
          </w:p>
        </w:tc>
        <w:tc>
          <w:tcPr>
            <w:tcW w:w="4825" w:type="dxa"/>
          </w:tcPr>
          <w:p w14:paraId="424E45DD" w14:textId="70960963" w:rsidR="00615E7C" w:rsidRDefault="00615E7C" w:rsidP="00615E7C">
            <w:pPr>
              <w:spacing w:before="60" w:after="60" w:line="240" w:lineRule="auto"/>
            </w:pPr>
            <w:r>
              <w:t>T</w:t>
            </w:r>
            <w:r w:rsidRPr="0025363E">
              <w:t>o receive information from any person about the practice, conduct, or competence of health practitioners and, if it is appropriate to do so, act on that information</w:t>
            </w:r>
            <w:r>
              <w:t>.</w:t>
            </w:r>
          </w:p>
        </w:tc>
        <w:tc>
          <w:tcPr>
            <w:tcW w:w="8041" w:type="dxa"/>
            <w:vMerge w:val="restart"/>
          </w:tcPr>
          <w:p w14:paraId="664BE88C" w14:textId="77777777" w:rsidR="00615E7C" w:rsidRPr="0025363E" w:rsidRDefault="00615E7C" w:rsidP="00615E7C">
            <w:pPr>
              <w:spacing w:before="60" w:after="60" w:line="240" w:lineRule="auto"/>
            </w:pPr>
            <w:r w:rsidRPr="0025363E">
              <w:t xml:space="preserve">The </w:t>
            </w:r>
            <w:r>
              <w:t>responsible authority</w:t>
            </w:r>
            <w:r w:rsidRPr="0025363E">
              <w:t xml:space="preserve"> has appropriate,</w:t>
            </w:r>
            <w:r>
              <w:t xml:space="preserve"> timely,</w:t>
            </w:r>
            <w:r w:rsidRPr="0025363E">
              <w:t xml:space="preserve"> transparent, fair</w:t>
            </w:r>
            <w:r>
              <w:t>,</w:t>
            </w:r>
            <w:r w:rsidRPr="0025363E">
              <w:t xml:space="preserve"> and proportionate mechanisms for:</w:t>
            </w:r>
          </w:p>
          <w:p w14:paraId="09253A4C" w14:textId="77777777" w:rsidR="00615E7C" w:rsidRPr="0025363E" w:rsidRDefault="00615E7C" w:rsidP="00615E7C">
            <w:pPr>
              <w:pStyle w:val="ListParagraph"/>
              <w:numPr>
                <w:ilvl w:val="0"/>
                <w:numId w:val="35"/>
              </w:numPr>
              <w:spacing w:before="60" w:after="60" w:line="240" w:lineRule="auto"/>
              <w:contextualSpacing w:val="0"/>
            </w:pPr>
            <w:r w:rsidRPr="0025363E">
              <w:t xml:space="preserve">providing clear, easily accessible public information about how to raise concerns or make a notification about a health </w:t>
            </w:r>
            <w:proofErr w:type="gramStart"/>
            <w:r w:rsidRPr="0025363E">
              <w:t>practitioner</w:t>
            </w:r>
            <w:proofErr w:type="gramEnd"/>
          </w:p>
          <w:p w14:paraId="743A3D9D" w14:textId="77777777" w:rsidR="00615E7C" w:rsidRPr="0025363E" w:rsidRDefault="00615E7C" w:rsidP="00615E7C">
            <w:pPr>
              <w:pStyle w:val="ListParagraph"/>
              <w:numPr>
                <w:ilvl w:val="0"/>
                <w:numId w:val="35"/>
              </w:numPr>
              <w:spacing w:before="60" w:after="60" w:line="240" w:lineRule="auto"/>
              <w:contextualSpacing w:val="0"/>
            </w:pPr>
            <w:r w:rsidRPr="0025363E">
              <w:t>identifying and responding in a timely way to any complaint or notification about a health practitioner</w:t>
            </w:r>
          </w:p>
          <w:p w14:paraId="795A9F3A" w14:textId="77777777" w:rsidR="00615E7C" w:rsidRPr="0025363E" w:rsidRDefault="00615E7C" w:rsidP="00615E7C">
            <w:pPr>
              <w:pStyle w:val="ListParagraph"/>
              <w:numPr>
                <w:ilvl w:val="0"/>
                <w:numId w:val="35"/>
              </w:numPr>
              <w:spacing w:before="60" w:after="60" w:line="240" w:lineRule="auto"/>
              <w:contextualSpacing w:val="0"/>
            </w:pPr>
            <w:r w:rsidRPr="0025363E">
              <w:t xml:space="preserve">considering information related to a health practitioner’s conduct or the safety of the practitioner’s </w:t>
            </w:r>
            <w:proofErr w:type="gramStart"/>
            <w:r w:rsidRPr="0025363E">
              <w:t>practice</w:t>
            </w:r>
            <w:proofErr w:type="gramEnd"/>
          </w:p>
          <w:p w14:paraId="249B6331" w14:textId="77777777" w:rsidR="00615E7C" w:rsidRPr="0025363E" w:rsidRDefault="00615E7C" w:rsidP="00615E7C">
            <w:pPr>
              <w:pStyle w:val="ListParagraph"/>
              <w:numPr>
                <w:ilvl w:val="0"/>
                <w:numId w:val="35"/>
              </w:numPr>
              <w:spacing w:before="60" w:after="60" w:line="240" w:lineRule="auto"/>
              <w:contextualSpacing w:val="0"/>
            </w:pPr>
            <w:r w:rsidRPr="0025363E">
              <w:t xml:space="preserve">ensuring all parties to a complaint are supported to fully inform </w:t>
            </w:r>
            <w:r w:rsidRPr="00505236">
              <w:t xml:space="preserve">the </w:t>
            </w:r>
            <w:r>
              <w:t>a</w:t>
            </w:r>
            <w:r w:rsidRPr="00505236">
              <w:t>uthority’s</w:t>
            </w:r>
            <w:r w:rsidRPr="0025363E">
              <w:t xml:space="preserve"> consideration </w:t>
            </w:r>
            <w:r>
              <w:t xml:space="preserve">process </w:t>
            </w:r>
            <w:r w:rsidRPr="0025363E">
              <w:t xml:space="preserve">and are able to participate effectively in </w:t>
            </w:r>
            <w:r>
              <w:t xml:space="preserve">that </w:t>
            </w:r>
            <w:proofErr w:type="gramStart"/>
            <w:r>
              <w:t>process</w:t>
            </w:r>
            <w:proofErr w:type="gramEnd"/>
          </w:p>
          <w:p w14:paraId="4FDAF81D" w14:textId="783910A9" w:rsidR="00615E7C" w:rsidRDefault="00615E7C" w:rsidP="00615E7C">
            <w:pPr>
              <w:pStyle w:val="ListParagraph"/>
              <w:numPr>
                <w:ilvl w:val="0"/>
                <w:numId w:val="35"/>
              </w:numPr>
              <w:spacing w:before="60" w:after="60"/>
              <w:contextualSpacing w:val="0"/>
            </w:pPr>
            <w:r w:rsidRPr="0025363E">
              <w:t>enabling action</w:t>
            </w:r>
            <w:r>
              <w:t>,</w:t>
            </w:r>
            <w:r w:rsidRPr="0025363E">
              <w:t xml:space="preserve"> </w:t>
            </w:r>
            <w:r>
              <w:t>such as</w:t>
            </w:r>
            <w:r w:rsidRPr="0025363E">
              <w:t xml:space="preserve"> informing appropriate parties (including those specified in section 118 (g)) that a practitioner may pose a risk of harm to the public.</w:t>
            </w:r>
          </w:p>
        </w:tc>
      </w:tr>
      <w:tr w:rsidR="00615E7C" w14:paraId="4D5565BB" w14:textId="77777777" w:rsidTr="00615E7C">
        <w:tc>
          <w:tcPr>
            <w:tcW w:w="562" w:type="dxa"/>
          </w:tcPr>
          <w:p w14:paraId="7953D2B3" w14:textId="585A7E6F" w:rsidR="00615E7C" w:rsidRDefault="00615E7C" w:rsidP="00615E7C">
            <w:pPr>
              <w:spacing w:before="60" w:after="60" w:line="240" w:lineRule="auto"/>
            </w:pPr>
            <w:r>
              <w:t>(</w:t>
            </w:r>
            <w:r w:rsidRPr="00880F0D">
              <w:t>g</w:t>
            </w:r>
            <w:r>
              <w:t>)</w:t>
            </w:r>
          </w:p>
        </w:tc>
        <w:tc>
          <w:tcPr>
            <w:tcW w:w="4825" w:type="dxa"/>
          </w:tcPr>
          <w:p w14:paraId="46F30224" w14:textId="77777777" w:rsidR="00615E7C" w:rsidRPr="0025363E" w:rsidRDefault="00615E7C" w:rsidP="00615E7C">
            <w:pPr>
              <w:spacing w:before="60" w:after="60" w:line="240" w:lineRule="auto"/>
            </w:pPr>
            <w:r>
              <w:t>T</w:t>
            </w:r>
            <w:r w:rsidRPr="0025363E">
              <w:t>o notify employers, the Accident Compensation Corporation, the Director-General of Health, and the Health and Disability Commissioner that the practice of a health practitioner may pose a risk of harm to the public</w:t>
            </w:r>
            <w:r>
              <w:t>.</w:t>
            </w:r>
          </w:p>
          <w:p w14:paraId="1FC72660" w14:textId="77777777" w:rsidR="00615E7C" w:rsidRDefault="00615E7C" w:rsidP="00615E7C">
            <w:pPr>
              <w:spacing w:before="60" w:after="60" w:line="240" w:lineRule="auto"/>
            </w:pPr>
          </w:p>
        </w:tc>
        <w:tc>
          <w:tcPr>
            <w:tcW w:w="8041" w:type="dxa"/>
            <w:vMerge/>
          </w:tcPr>
          <w:p w14:paraId="3617E267" w14:textId="77777777" w:rsidR="00615E7C" w:rsidRDefault="00615E7C" w:rsidP="00615E7C">
            <w:pPr>
              <w:spacing w:before="60" w:after="60" w:line="240" w:lineRule="auto"/>
            </w:pPr>
          </w:p>
        </w:tc>
      </w:tr>
      <w:tr w:rsidR="00615E7C" w14:paraId="7D209FC7" w14:textId="77777777" w:rsidTr="00615E7C">
        <w:tc>
          <w:tcPr>
            <w:tcW w:w="562" w:type="dxa"/>
          </w:tcPr>
          <w:p w14:paraId="1AE0A0AB" w14:textId="22B14443" w:rsidR="00615E7C" w:rsidRDefault="00615E7C" w:rsidP="00615E7C">
            <w:pPr>
              <w:spacing w:before="60" w:after="60" w:line="240" w:lineRule="auto"/>
            </w:pPr>
            <w:r>
              <w:t>(</w:t>
            </w:r>
            <w:r w:rsidRPr="00880F0D">
              <w:t>h</w:t>
            </w:r>
            <w:r>
              <w:t>)</w:t>
            </w:r>
          </w:p>
        </w:tc>
        <w:tc>
          <w:tcPr>
            <w:tcW w:w="4825" w:type="dxa"/>
          </w:tcPr>
          <w:p w14:paraId="36806EF4" w14:textId="73A5FD8F" w:rsidR="00615E7C" w:rsidRDefault="00615E7C" w:rsidP="00615E7C">
            <w:pPr>
              <w:spacing w:before="60" w:after="60" w:line="240" w:lineRule="auto"/>
            </w:pPr>
            <w:r>
              <w:t>T</w:t>
            </w:r>
            <w:r w:rsidRPr="0025363E">
              <w:t>o consider the cases of health practitioners who may be unable to perform the functions required for the practice of the profession</w:t>
            </w:r>
            <w:r>
              <w:t>.</w:t>
            </w:r>
          </w:p>
        </w:tc>
        <w:tc>
          <w:tcPr>
            <w:tcW w:w="8041" w:type="dxa"/>
          </w:tcPr>
          <w:p w14:paraId="4C806E11" w14:textId="77777777" w:rsidR="00615E7C" w:rsidRPr="0025363E" w:rsidRDefault="00615E7C" w:rsidP="00615E7C">
            <w:pPr>
              <w:spacing w:before="60" w:after="60" w:line="240" w:lineRule="auto"/>
            </w:pPr>
            <w:r w:rsidRPr="0025363E">
              <w:t xml:space="preserve">The </w:t>
            </w:r>
            <w:r>
              <w:t>responsible authority</w:t>
            </w:r>
            <w:r w:rsidRPr="0025363E">
              <w:t xml:space="preserve"> has clear</w:t>
            </w:r>
            <w:r>
              <w:t xml:space="preserve"> and</w:t>
            </w:r>
            <w:r w:rsidRPr="0025363E">
              <w:t xml:space="preserve"> transparent mechanisms to: </w:t>
            </w:r>
          </w:p>
          <w:p w14:paraId="760B67B3" w14:textId="77777777" w:rsidR="00615E7C" w:rsidRPr="0025363E" w:rsidRDefault="00615E7C" w:rsidP="00615E7C">
            <w:pPr>
              <w:pStyle w:val="ListParagraph"/>
              <w:numPr>
                <w:ilvl w:val="0"/>
                <w:numId w:val="36"/>
              </w:numPr>
              <w:spacing w:before="60" w:after="60" w:line="240" w:lineRule="auto"/>
              <w:contextualSpacing w:val="0"/>
            </w:pPr>
            <w:r w:rsidRPr="0025363E">
              <w:rPr>
                <w:color w:val="000000"/>
              </w:rPr>
              <w:t>receive, review</w:t>
            </w:r>
            <w:r>
              <w:rPr>
                <w:color w:val="000000"/>
              </w:rPr>
              <w:t>,</w:t>
            </w:r>
            <w:r w:rsidRPr="0025363E">
              <w:rPr>
                <w:color w:val="000000"/>
              </w:rPr>
              <w:t xml:space="preserve"> </w:t>
            </w:r>
            <w:r w:rsidRPr="007C4BA0">
              <w:rPr>
                <w:color w:val="000000"/>
              </w:rPr>
              <w:t xml:space="preserve">and make decisions regarding </w:t>
            </w:r>
            <w:r w:rsidRPr="007C4BA0">
              <w:t xml:space="preserve">notifications about health practitioners who may be unable to perform the functions required for the practice of the </w:t>
            </w:r>
            <w:proofErr w:type="gramStart"/>
            <w:r w:rsidRPr="007C4BA0">
              <w:t>profession</w:t>
            </w:r>
            <w:proofErr w:type="gramEnd"/>
          </w:p>
          <w:p w14:paraId="782D4E45" w14:textId="2E9642F4" w:rsidR="00615E7C" w:rsidRDefault="00615E7C" w:rsidP="00615E7C">
            <w:pPr>
              <w:pStyle w:val="ListParagraph"/>
              <w:numPr>
                <w:ilvl w:val="0"/>
                <w:numId w:val="36"/>
              </w:numPr>
              <w:spacing w:before="60" w:after="60"/>
              <w:contextualSpacing w:val="0"/>
            </w:pPr>
            <w:r w:rsidRPr="0025363E">
              <w:t>take appropriate, timely</w:t>
            </w:r>
            <w:r>
              <w:t>,</w:t>
            </w:r>
            <w:r w:rsidRPr="0025363E">
              <w:t xml:space="preserve"> and proportionate action </w:t>
            </w:r>
            <w:r w:rsidRPr="007C4BA0">
              <w:t>to minimise risk.</w:t>
            </w:r>
          </w:p>
        </w:tc>
      </w:tr>
      <w:tr w:rsidR="00615E7C" w14:paraId="696E2347" w14:textId="77777777" w:rsidTr="00615E7C">
        <w:tc>
          <w:tcPr>
            <w:tcW w:w="562" w:type="dxa"/>
          </w:tcPr>
          <w:p w14:paraId="6DFCDD42" w14:textId="05949350" w:rsidR="00615E7C" w:rsidRDefault="00615E7C" w:rsidP="00615E7C">
            <w:pPr>
              <w:spacing w:before="60" w:after="60" w:line="240" w:lineRule="auto"/>
            </w:pPr>
            <w:r>
              <w:t>(</w:t>
            </w:r>
            <w:proofErr w:type="spellStart"/>
            <w:r w:rsidRPr="00880F0D">
              <w:t>i</w:t>
            </w:r>
            <w:proofErr w:type="spellEnd"/>
            <w:r>
              <w:t>)</w:t>
            </w:r>
          </w:p>
        </w:tc>
        <w:tc>
          <w:tcPr>
            <w:tcW w:w="4825" w:type="dxa"/>
          </w:tcPr>
          <w:p w14:paraId="18C1319A" w14:textId="41FD5906" w:rsidR="00615E7C" w:rsidRDefault="00615E7C" w:rsidP="00615E7C">
            <w:pPr>
              <w:spacing w:before="60" w:after="60" w:line="240" w:lineRule="auto"/>
            </w:pPr>
            <w:r>
              <w:t>T</w:t>
            </w:r>
            <w:r w:rsidRPr="0025363E">
              <w:t>o set standards of clinical competence, cultural competence (including competencies that will enable effective and respectful interaction with Māori), and ethical conduct to be observed by health practitioners of the profession</w:t>
            </w:r>
            <w:r>
              <w:t>.</w:t>
            </w:r>
          </w:p>
        </w:tc>
        <w:tc>
          <w:tcPr>
            <w:tcW w:w="8041" w:type="dxa"/>
          </w:tcPr>
          <w:p w14:paraId="5593471B" w14:textId="77777777" w:rsidR="00615E7C" w:rsidRPr="0025363E" w:rsidRDefault="00615E7C" w:rsidP="00615E7C">
            <w:pPr>
              <w:spacing w:before="60" w:after="60" w:line="240" w:lineRule="auto"/>
            </w:pPr>
            <w:r w:rsidRPr="0025363E">
              <w:t xml:space="preserve">The </w:t>
            </w:r>
            <w:r>
              <w:t>responsible authority</w:t>
            </w:r>
            <w:r w:rsidRPr="0025363E">
              <w:t xml:space="preserve"> sets standards of clinical and cultural competence and ethical conduct that are:</w:t>
            </w:r>
          </w:p>
          <w:p w14:paraId="0E1BC70E" w14:textId="77777777" w:rsidR="00615E7C" w:rsidRPr="00BA210C" w:rsidRDefault="00615E7C" w:rsidP="00615E7C">
            <w:pPr>
              <w:pStyle w:val="ListParagraph"/>
              <w:numPr>
                <w:ilvl w:val="0"/>
                <w:numId w:val="37"/>
              </w:numPr>
              <w:spacing w:before="60" w:after="60" w:line="240" w:lineRule="auto"/>
              <w:contextualSpacing w:val="0"/>
            </w:pPr>
            <w:r w:rsidRPr="00BA210C">
              <w:t xml:space="preserve">informed by relevant </w:t>
            </w:r>
            <w:proofErr w:type="gramStart"/>
            <w:r w:rsidRPr="00BA210C">
              <w:t>evidence</w:t>
            </w:r>
            <w:proofErr w:type="gramEnd"/>
            <w:r w:rsidRPr="00BA210C">
              <w:t xml:space="preserve"> </w:t>
            </w:r>
          </w:p>
          <w:p w14:paraId="5AB01B4F" w14:textId="77777777" w:rsidR="00615E7C" w:rsidRPr="00BA210C" w:rsidRDefault="00615E7C" w:rsidP="00615E7C">
            <w:pPr>
              <w:pStyle w:val="ListParagraph"/>
              <w:numPr>
                <w:ilvl w:val="0"/>
                <w:numId w:val="37"/>
              </w:numPr>
              <w:spacing w:before="60" w:after="60" w:line="240" w:lineRule="auto"/>
              <w:contextualSpacing w:val="0"/>
            </w:pPr>
            <w:r w:rsidRPr="00BA210C">
              <w:t>clearly articulated and readily accessible</w:t>
            </w:r>
          </w:p>
          <w:p w14:paraId="31147A85" w14:textId="77777777" w:rsidR="00615E7C" w:rsidRPr="00BA210C" w:rsidRDefault="00615E7C" w:rsidP="00615E7C">
            <w:pPr>
              <w:pStyle w:val="ListParagraph"/>
              <w:numPr>
                <w:ilvl w:val="0"/>
                <w:numId w:val="37"/>
              </w:numPr>
              <w:spacing w:before="60" w:after="60" w:line="240" w:lineRule="auto"/>
              <w:contextualSpacing w:val="0"/>
            </w:pPr>
            <w:r w:rsidRPr="00BA210C">
              <w:t xml:space="preserve">developed in consultation with the profession and other </w:t>
            </w:r>
            <w:proofErr w:type="gramStart"/>
            <w:r w:rsidRPr="00BA210C">
              <w:t>stakeholders</w:t>
            </w:r>
            <w:proofErr w:type="gramEnd"/>
          </w:p>
          <w:p w14:paraId="4698A7E7" w14:textId="79AD0B77" w:rsidR="00615E7C" w:rsidRDefault="00615E7C" w:rsidP="00615E7C">
            <w:pPr>
              <w:pStyle w:val="ListParagraph"/>
              <w:numPr>
                <w:ilvl w:val="0"/>
                <w:numId w:val="36"/>
              </w:numPr>
              <w:spacing w:before="60" w:after="60"/>
              <w:contextualSpacing w:val="0"/>
            </w:pPr>
            <w:r w:rsidRPr="00BA210C">
              <w:t>inclusive of one or more competencies that enable practitioners to interact effectively and respectfully with Māori</w:t>
            </w:r>
            <w:r>
              <w:rPr>
                <w:iCs/>
              </w:rPr>
              <w:t>.</w:t>
            </w:r>
          </w:p>
        </w:tc>
      </w:tr>
      <w:tr w:rsidR="00615E7C" w14:paraId="588A6E41" w14:textId="77777777" w:rsidTr="00615E7C">
        <w:tc>
          <w:tcPr>
            <w:tcW w:w="562" w:type="dxa"/>
          </w:tcPr>
          <w:p w14:paraId="07BBB0C9" w14:textId="2FE416CA" w:rsidR="00615E7C" w:rsidRDefault="00615E7C" w:rsidP="00615E7C">
            <w:pPr>
              <w:spacing w:before="60" w:after="60" w:line="240" w:lineRule="auto"/>
            </w:pPr>
            <w:r>
              <w:t>(</w:t>
            </w:r>
            <w:r w:rsidRPr="00880F0D">
              <w:t>j</w:t>
            </w:r>
            <w:r>
              <w:t>)</w:t>
            </w:r>
          </w:p>
        </w:tc>
        <w:tc>
          <w:tcPr>
            <w:tcW w:w="4825" w:type="dxa"/>
          </w:tcPr>
          <w:p w14:paraId="4679D53A" w14:textId="2F4D219C" w:rsidR="00615E7C" w:rsidRDefault="00615E7C" w:rsidP="00615E7C">
            <w:pPr>
              <w:spacing w:before="60" w:after="60" w:line="240" w:lineRule="auto"/>
            </w:pPr>
            <w:r>
              <w:t>T</w:t>
            </w:r>
            <w:r w:rsidRPr="0025363E">
              <w:t>o liaise with other authorities appointed under this Act about matters of common interest.</w:t>
            </w:r>
          </w:p>
        </w:tc>
        <w:tc>
          <w:tcPr>
            <w:tcW w:w="8041" w:type="dxa"/>
          </w:tcPr>
          <w:p w14:paraId="4AF5F37A" w14:textId="196F64B7" w:rsidR="00615E7C" w:rsidRDefault="00615E7C" w:rsidP="00615E7C">
            <w:pPr>
              <w:spacing w:before="60" w:after="60" w:line="240" w:lineRule="auto"/>
            </w:pPr>
            <w:r w:rsidRPr="009C5712">
              <w:t xml:space="preserve">The responsible authority understands the </w:t>
            </w:r>
            <w:proofErr w:type="spellStart"/>
            <w:r w:rsidRPr="009C5712">
              <w:rPr>
                <w:lang w:val="mi-NZ"/>
              </w:rPr>
              <w:t>broader</w:t>
            </w:r>
            <w:proofErr w:type="spellEnd"/>
            <w:r w:rsidRPr="009C5712">
              <w:rPr>
                <w:lang w:val="mi-NZ"/>
              </w:rPr>
              <w:t xml:space="preserve"> </w:t>
            </w:r>
            <w:proofErr w:type="spellStart"/>
            <w:r w:rsidRPr="009C5712">
              <w:rPr>
                <w:lang w:val="mi-NZ"/>
              </w:rPr>
              <w:t>health</w:t>
            </w:r>
            <w:proofErr w:type="spellEnd"/>
            <w:r w:rsidRPr="009C5712">
              <w:rPr>
                <w:lang w:val="mi-NZ"/>
              </w:rPr>
              <w:t xml:space="preserve"> </w:t>
            </w:r>
            <w:proofErr w:type="spellStart"/>
            <w:r w:rsidRPr="009C5712">
              <w:rPr>
                <w:lang w:val="mi-NZ"/>
              </w:rPr>
              <w:t>system</w:t>
            </w:r>
            <w:proofErr w:type="spellEnd"/>
            <w:r w:rsidRPr="009C5712">
              <w:rPr>
                <w:lang w:val="mi-NZ"/>
              </w:rPr>
              <w:t xml:space="preserve">, </w:t>
            </w:r>
            <w:proofErr w:type="spellStart"/>
            <w:r w:rsidRPr="009C5712">
              <w:rPr>
                <w:lang w:val="mi-NZ"/>
              </w:rPr>
              <w:t>their</w:t>
            </w:r>
            <w:proofErr w:type="spellEnd"/>
            <w:r w:rsidRPr="009C5712">
              <w:rPr>
                <w:lang w:val="mi-NZ"/>
              </w:rPr>
              <w:t xml:space="preserve"> </w:t>
            </w:r>
            <w:proofErr w:type="spellStart"/>
            <w:r w:rsidRPr="009C5712">
              <w:rPr>
                <w:lang w:val="mi-NZ"/>
              </w:rPr>
              <w:t>role</w:t>
            </w:r>
            <w:proofErr w:type="spellEnd"/>
            <w:r w:rsidRPr="009C5712">
              <w:rPr>
                <w:lang w:val="mi-NZ"/>
              </w:rPr>
              <w:t xml:space="preserve"> </w:t>
            </w:r>
            <w:proofErr w:type="spellStart"/>
            <w:r w:rsidRPr="009C5712">
              <w:rPr>
                <w:lang w:val="mi-NZ"/>
              </w:rPr>
              <w:t>within</w:t>
            </w:r>
            <w:proofErr w:type="spellEnd"/>
            <w:r w:rsidRPr="009C5712">
              <w:rPr>
                <w:lang w:val="mi-NZ"/>
              </w:rPr>
              <w:t xml:space="preserve"> the </w:t>
            </w:r>
            <w:proofErr w:type="spellStart"/>
            <w:r w:rsidRPr="009C5712">
              <w:rPr>
                <w:lang w:val="mi-NZ"/>
              </w:rPr>
              <w:t>health</w:t>
            </w:r>
            <w:proofErr w:type="spellEnd"/>
            <w:r w:rsidRPr="009C5712">
              <w:rPr>
                <w:lang w:val="mi-NZ"/>
              </w:rPr>
              <w:t xml:space="preserve"> </w:t>
            </w:r>
            <w:proofErr w:type="spellStart"/>
            <w:r w:rsidRPr="009C5712">
              <w:rPr>
                <w:lang w:val="mi-NZ"/>
              </w:rPr>
              <w:t>system</w:t>
            </w:r>
            <w:proofErr w:type="spellEnd"/>
            <w:r w:rsidRPr="009C5712">
              <w:rPr>
                <w:lang w:val="mi-NZ"/>
              </w:rPr>
              <w:t xml:space="preserve"> </w:t>
            </w:r>
            <w:r w:rsidRPr="009C5712">
              <w:t xml:space="preserve">and has effective and collaborative relationships with other authorities. </w:t>
            </w:r>
          </w:p>
        </w:tc>
      </w:tr>
      <w:tr w:rsidR="00615E7C" w14:paraId="1A6DBC81" w14:textId="77777777" w:rsidTr="00615E7C">
        <w:tc>
          <w:tcPr>
            <w:tcW w:w="562" w:type="dxa"/>
          </w:tcPr>
          <w:p w14:paraId="3E8C114C" w14:textId="5C4B1C19" w:rsidR="00615E7C" w:rsidRDefault="00615E7C" w:rsidP="00615E7C">
            <w:pPr>
              <w:spacing w:before="60" w:after="60" w:line="240" w:lineRule="auto"/>
            </w:pPr>
            <w:r>
              <w:t>(</w:t>
            </w:r>
            <w:proofErr w:type="spellStart"/>
            <w:r w:rsidRPr="00880F0D">
              <w:t>ja</w:t>
            </w:r>
            <w:proofErr w:type="spellEnd"/>
            <w:r>
              <w:t>)</w:t>
            </w:r>
          </w:p>
        </w:tc>
        <w:tc>
          <w:tcPr>
            <w:tcW w:w="4825" w:type="dxa"/>
          </w:tcPr>
          <w:p w14:paraId="1E8073D1" w14:textId="3D0F1CC3" w:rsidR="00615E7C" w:rsidRDefault="00615E7C" w:rsidP="00615E7C">
            <w:pPr>
              <w:spacing w:before="60" w:after="60" w:line="240" w:lineRule="auto"/>
            </w:pPr>
            <w:r w:rsidRPr="0025363E">
              <w:t>To promote and facilitate inter-disciplinary collaboration and cooperation in the delivery of health services</w:t>
            </w:r>
            <w:r>
              <w:t>.</w:t>
            </w:r>
          </w:p>
        </w:tc>
        <w:tc>
          <w:tcPr>
            <w:tcW w:w="8041" w:type="dxa"/>
          </w:tcPr>
          <w:p w14:paraId="40E7DF49" w14:textId="61777E72" w:rsidR="00615E7C" w:rsidRDefault="00615E7C" w:rsidP="00615E7C">
            <w:pPr>
              <w:spacing w:before="60" w:after="60" w:line="240" w:lineRule="auto"/>
            </w:pPr>
            <w:r w:rsidRPr="009C5712">
              <w:t>The responsible authority uses mechanisms within the HPCA Act such as scopes of practice, competence standards, accreditation standards, and communications to promote and facilitate inter-disciplinary collaboration and cooperation in the delivery of health services. The responsible authority contributes to the functioning of the health system by collaborating with other responsible authorities and health agencies.</w:t>
            </w:r>
          </w:p>
        </w:tc>
      </w:tr>
      <w:tr w:rsidR="00615E7C" w14:paraId="31A6AA72" w14:textId="77777777" w:rsidTr="00615E7C">
        <w:tc>
          <w:tcPr>
            <w:tcW w:w="562" w:type="dxa"/>
          </w:tcPr>
          <w:p w14:paraId="3A4D727E" w14:textId="4881C752" w:rsidR="00615E7C" w:rsidRDefault="00615E7C" w:rsidP="00615E7C">
            <w:pPr>
              <w:spacing w:before="60" w:after="60" w:line="240" w:lineRule="auto"/>
            </w:pPr>
            <w:r>
              <w:t>(</w:t>
            </w:r>
            <w:r w:rsidRPr="00880F0D">
              <w:t>l</w:t>
            </w:r>
            <w:r>
              <w:t>)</w:t>
            </w:r>
          </w:p>
        </w:tc>
        <w:tc>
          <w:tcPr>
            <w:tcW w:w="4825" w:type="dxa"/>
          </w:tcPr>
          <w:p w14:paraId="482E0CBC" w14:textId="07CF3C6F" w:rsidR="00615E7C" w:rsidRDefault="00615E7C" w:rsidP="00615E7C">
            <w:pPr>
              <w:spacing w:before="60" w:after="60" w:line="240" w:lineRule="auto"/>
            </w:pPr>
            <w:r>
              <w:t>T</w:t>
            </w:r>
            <w:r w:rsidRPr="0025363E">
              <w:t>o promote public awareness of the responsibilities of the authority</w:t>
            </w:r>
            <w:r>
              <w:t>.</w:t>
            </w:r>
          </w:p>
        </w:tc>
        <w:tc>
          <w:tcPr>
            <w:tcW w:w="8041" w:type="dxa"/>
          </w:tcPr>
          <w:p w14:paraId="70D53FCF" w14:textId="77777777" w:rsidR="00615E7C" w:rsidRPr="009C5712" w:rsidRDefault="00615E7C" w:rsidP="00615E7C">
            <w:pPr>
              <w:spacing w:before="60" w:after="60" w:line="240" w:lineRule="auto"/>
            </w:pPr>
            <w:r w:rsidRPr="009C5712">
              <w:t>The responsible authority:</w:t>
            </w:r>
          </w:p>
          <w:p w14:paraId="3FFDEC4C" w14:textId="77777777" w:rsidR="00615E7C" w:rsidRPr="009C5712" w:rsidRDefault="00615E7C" w:rsidP="00615E7C">
            <w:pPr>
              <w:pStyle w:val="ListParagraph"/>
              <w:numPr>
                <w:ilvl w:val="0"/>
                <w:numId w:val="37"/>
              </w:numPr>
              <w:spacing w:before="60" w:after="60" w:line="240" w:lineRule="auto"/>
              <w:contextualSpacing w:val="0"/>
            </w:pPr>
            <w:r w:rsidRPr="009C5712">
              <w:t xml:space="preserve">demonstrates its understanding that the principal purpose of the HPCA Act is to protect the health and safety of members of the public by providing for mechanisms to ensure that health practitioners are competent and fit to practise their </w:t>
            </w:r>
            <w:proofErr w:type="gramStart"/>
            <w:r w:rsidRPr="009C5712">
              <w:t>professions</w:t>
            </w:r>
            <w:proofErr w:type="gramEnd"/>
          </w:p>
          <w:p w14:paraId="0B5F0271" w14:textId="77777777" w:rsidR="00615E7C" w:rsidRPr="009C5712" w:rsidRDefault="00615E7C" w:rsidP="00615E7C">
            <w:pPr>
              <w:pStyle w:val="ListParagraph"/>
              <w:numPr>
                <w:ilvl w:val="0"/>
                <w:numId w:val="37"/>
              </w:numPr>
              <w:spacing w:before="60" w:after="60" w:line="240" w:lineRule="auto"/>
              <w:contextualSpacing w:val="0"/>
            </w:pPr>
            <w:r w:rsidRPr="009C5712">
              <w:t xml:space="preserve">provides clear, accurate, and publicly accessible information about its purpose, functions, and core regulatory </w:t>
            </w:r>
            <w:proofErr w:type="gramStart"/>
            <w:r w:rsidRPr="009C5712">
              <w:t>processes</w:t>
            </w:r>
            <w:proofErr w:type="gramEnd"/>
          </w:p>
          <w:p w14:paraId="29AB74A5" w14:textId="56ED72EE" w:rsidR="00615E7C" w:rsidRDefault="00615E7C" w:rsidP="00615E7C">
            <w:pPr>
              <w:pStyle w:val="ListParagraph"/>
              <w:numPr>
                <w:ilvl w:val="0"/>
                <w:numId w:val="37"/>
              </w:numPr>
              <w:spacing w:before="60" w:after="60"/>
              <w:contextualSpacing w:val="0"/>
            </w:pPr>
            <w:r w:rsidRPr="009C5712">
              <w:t>in promoting public awareness, recognises opportunities to also promote public confidence in the profession and in the responsible authority.</w:t>
            </w:r>
          </w:p>
        </w:tc>
      </w:tr>
      <w:tr w:rsidR="00615E7C" w14:paraId="3599A10B" w14:textId="77777777" w:rsidTr="00615E7C">
        <w:tc>
          <w:tcPr>
            <w:tcW w:w="562" w:type="dxa"/>
          </w:tcPr>
          <w:p w14:paraId="583748CD" w14:textId="35C85F45" w:rsidR="00615E7C" w:rsidRDefault="00615E7C" w:rsidP="00615E7C">
            <w:pPr>
              <w:spacing w:before="60" w:after="60" w:line="240" w:lineRule="auto"/>
            </w:pPr>
            <w:r>
              <w:t>(</w:t>
            </w:r>
            <w:r w:rsidRPr="00880F0D">
              <w:t>m</w:t>
            </w:r>
            <w:r>
              <w:t>)</w:t>
            </w:r>
          </w:p>
        </w:tc>
        <w:tc>
          <w:tcPr>
            <w:tcW w:w="4825" w:type="dxa"/>
          </w:tcPr>
          <w:p w14:paraId="5BF0B6A4" w14:textId="344E2EC3" w:rsidR="00615E7C" w:rsidRDefault="00615E7C" w:rsidP="00615E7C">
            <w:pPr>
              <w:spacing w:before="60" w:after="60" w:line="240" w:lineRule="auto"/>
            </w:pPr>
            <w:r>
              <w:t>T</w:t>
            </w:r>
            <w:r w:rsidRPr="0025363E">
              <w:t>o exercise and perform any other functions, powers, and duties that are conferred or imposed on it by or under this Act or any other enactment.</w:t>
            </w:r>
          </w:p>
        </w:tc>
        <w:tc>
          <w:tcPr>
            <w:tcW w:w="8041" w:type="dxa"/>
          </w:tcPr>
          <w:p w14:paraId="36C47291" w14:textId="77777777" w:rsidR="00615E7C" w:rsidRPr="0025363E" w:rsidRDefault="00615E7C" w:rsidP="00615E7C">
            <w:pPr>
              <w:spacing w:before="60" w:after="60" w:line="240" w:lineRule="auto"/>
            </w:pPr>
            <w:r w:rsidRPr="0025363E">
              <w:t xml:space="preserve">The </w:t>
            </w:r>
            <w:r>
              <w:t>responsible authority</w:t>
            </w:r>
            <w:r w:rsidRPr="0025363E">
              <w:t>:</w:t>
            </w:r>
          </w:p>
          <w:p w14:paraId="296C07A8" w14:textId="7C90254E" w:rsidR="00615E7C" w:rsidRPr="0007587F" w:rsidRDefault="00615E7C" w:rsidP="00615E7C">
            <w:pPr>
              <w:pStyle w:val="ListParagraph"/>
              <w:numPr>
                <w:ilvl w:val="0"/>
                <w:numId w:val="38"/>
              </w:numPr>
              <w:spacing w:before="60" w:after="60" w:line="240" w:lineRule="auto"/>
              <w:contextualSpacing w:val="0"/>
            </w:pPr>
            <w:r w:rsidRPr="00505236">
              <w:t>ensures that the principles</w:t>
            </w:r>
            <w:r>
              <w:t xml:space="preserve"> </w:t>
            </w:r>
            <w:r w:rsidRPr="0007587F">
              <w:t>of equity</w:t>
            </w:r>
            <w:r>
              <w:rPr>
                <w:rStyle w:val="FootnoteReference"/>
              </w:rPr>
              <w:footnoteReference w:id="3"/>
            </w:r>
            <w:r w:rsidRPr="0007587F">
              <w:t xml:space="preserve"> and of</w:t>
            </w:r>
            <w:r w:rsidRPr="0007587F">
              <w:t xml:space="preserve"> </w:t>
            </w:r>
            <w:proofErr w:type="spellStart"/>
            <w:r w:rsidR="0065432F">
              <w:t>T</w:t>
            </w:r>
            <w:r w:rsidRPr="0007587F">
              <w:t>e</w:t>
            </w:r>
            <w:proofErr w:type="spellEnd"/>
            <w:r w:rsidRPr="0007587F">
              <w:t xml:space="preserve"> </w:t>
            </w:r>
            <w:proofErr w:type="spellStart"/>
            <w:r w:rsidRPr="0007587F">
              <w:t>Tiriti</w:t>
            </w:r>
            <w:proofErr w:type="spellEnd"/>
            <w:r w:rsidRPr="0007587F">
              <w:t xml:space="preserve"> o Waitangi (as articulated in </w:t>
            </w:r>
            <w:proofErr w:type="spellStart"/>
            <w:r w:rsidRPr="500809A8">
              <w:rPr>
                <w:i/>
                <w:iCs/>
              </w:rPr>
              <w:t>Whakamaua</w:t>
            </w:r>
            <w:proofErr w:type="spellEnd"/>
            <w:r w:rsidRPr="500809A8">
              <w:rPr>
                <w:i/>
                <w:iCs/>
              </w:rPr>
              <w:t>: Māori Health Action Plan 2020–2025</w:t>
            </w:r>
            <w:r w:rsidRPr="0007587F">
              <w:t xml:space="preserve">) are followed in the implementation of all its </w:t>
            </w:r>
            <w:proofErr w:type="gramStart"/>
            <w:r w:rsidRPr="0007587F">
              <w:t>functions</w:t>
            </w:r>
            <w:proofErr w:type="gramEnd"/>
          </w:p>
          <w:p w14:paraId="306E8FD9" w14:textId="77777777" w:rsidR="00615E7C" w:rsidRPr="0007587F" w:rsidRDefault="00615E7C" w:rsidP="00615E7C">
            <w:pPr>
              <w:pStyle w:val="ListParagraph"/>
              <w:numPr>
                <w:ilvl w:val="0"/>
                <w:numId w:val="38"/>
              </w:numPr>
              <w:spacing w:before="60" w:after="60" w:line="240" w:lineRule="auto"/>
              <w:contextualSpacing w:val="0"/>
              <w:rPr>
                <w:color w:val="000000"/>
              </w:rPr>
            </w:pPr>
            <w:r w:rsidRPr="0007587F">
              <w:t>ensures that the principles of Right</w:t>
            </w:r>
            <w:r>
              <w:t>-t</w:t>
            </w:r>
            <w:r w:rsidRPr="0007587F">
              <w:t>ouch regulation</w:t>
            </w:r>
            <w:r w:rsidRPr="0007587F">
              <w:rPr>
                <w:rStyle w:val="FootnoteReference"/>
                <w:rFonts w:ascii="Arial" w:hAnsi="Arial" w:cs="Arial"/>
                <w:sz w:val="20"/>
              </w:rPr>
              <w:footnoteReference w:id="4"/>
            </w:r>
            <w:r w:rsidRPr="0007587F">
              <w:t xml:space="preserve"> are followed in the implementation of all its </w:t>
            </w:r>
            <w:proofErr w:type="gramStart"/>
            <w:r w:rsidRPr="0007587F">
              <w:t>functions</w:t>
            </w:r>
            <w:proofErr w:type="gramEnd"/>
          </w:p>
          <w:p w14:paraId="1C914D2E" w14:textId="77777777" w:rsidR="00615E7C" w:rsidRPr="0007587F" w:rsidRDefault="00615E7C" w:rsidP="00615E7C">
            <w:pPr>
              <w:pStyle w:val="ListParagraph"/>
              <w:numPr>
                <w:ilvl w:val="0"/>
                <w:numId w:val="38"/>
              </w:numPr>
              <w:spacing w:before="60" w:after="60" w:line="240" w:lineRule="auto"/>
              <w:contextualSpacing w:val="0"/>
            </w:pPr>
            <w:r w:rsidRPr="0007587F">
              <w:t xml:space="preserve">identifies and addresses emerging areas of risk and prioritises any areas of public safety </w:t>
            </w:r>
            <w:proofErr w:type="gramStart"/>
            <w:r w:rsidRPr="0007587F">
              <w:t>concern</w:t>
            </w:r>
            <w:proofErr w:type="gramEnd"/>
          </w:p>
          <w:p w14:paraId="0D4A8CEB" w14:textId="77777777" w:rsidR="00615E7C" w:rsidRPr="00505236" w:rsidRDefault="00615E7C" w:rsidP="00615E7C">
            <w:pPr>
              <w:pStyle w:val="ListParagraph"/>
              <w:numPr>
                <w:ilvl w:val="0"/>
                <w:numId w:val="38"/>
              </w:numPr>
              <w:spacing w:before="60" w:after="60" w:line="240" w:lineRule="auto"/>
              <w:contextualSpacing w:val="0"/>
            </w:pPr>
            <w:r w:rsidRPr="0007587F">
              <w:t>consults and works effectively with all</w:t>
            </w:r>
            <w:r w:rsidRPr="00505236">
              <w:t xml:space="preserve"> relevant stakeholders across all its functions to identify and manage risk to the public in respect of its </w:t>
            </w:r>
            <w:proofErr w:type="gramStart"/>
            <w:r w:rsidRPr="00505236">
              <w:t>practitioners</w:t>
            </w:r>
            <w:proofErr w:type="gramEnd"/>
          </w:p>
          <w:p w14:paraId="3C9B8712" w14:textId="000CD77C" w:rsidR="00615E7C" w:rsidRDefault="00615E7C" w:rsidP="00615E7C">
            <w:pPr>
              <w:pStyle w:val="ListParagraph"/>
              <w:numPr>
                <w:ilvl w:val="0"/>
                <w:numId w:val="38"/>
              </w:numPr>
              <w:spacing w:before="60" w:after="60"/>
              <w:contextualSpacing w:val="0"/>
            </w:pPr>
            <w:r w:rsidRPr="00505236">
              <w:t>consistently</w:t>
            </w:r>
            <w:r>
              <w:t xml:space="preserve"> fulfils all other duties that are imposed on it under the HPCA Act or any other enactment.</w:t>
            </w:r>
          </w:p>
        </w:tc>
      </w:tr>
    </w:tbl>
    <w:p w14:paraId="313EFE0A" w14:textId="77777777" w:rsidR="00615E7C" w:rsidRPr="00615E7C" w:rsidRDefault="00615E7C" w:rsidP="00615E7C"/>
    <w:p w14:paraId="528390DA" w14:textId="1C58DBA1" w:rsidR="00615E7C" w:rsidRDefault="00615E7C" w:rsidP="00615E7C"/>
    <w:p w14:paraId="17EE8090" w14:textId="3B365DC0" w:rsidR="00615E7C" w:rsidRDefault="00615E7C" w:rsidP="00615E7C"/>
    <w:p w14:paraId="2FB75DCD" w14:textId="3F43BE1C" w:rsidR="00615E7C" w:rsidRDefault="00615E7C" w:rsidP="00615E7C"/>
    <w:p w14:paraId="24E1074C" w14:textId="77777777" w:rsidR="00615E7C" w:rsidRPr="00615E7C" w:rsidRDefault="00615E7C" w:rsidP="00615E7C"/>
    <w:p w14:paraId="6C97CADA" w14:textId="77777777" w:rsidR="00D7554E" w:rsidRDefault="00D7554E" w:rsidP="00D7554E">
      <w:pPr>
        <w:rPr>
          <w:lang w:eastAsia="en-NZ"/>
        </w:rPr>
      </w:pPr>
    </w:p>
    <w:p w14:paraId="0EDA88D2" w14:textId="77777777" w:rsidR="00D662F8" w:rsidRPr="00E53A9F" w:rsidRDefault="00D662F8" w:rsidP="0043478F">
      <w:pPr>
        <w:rPr>
          <w:rStyle w:val="Hyperlink"/>
        </w:rPr>
      </w:pPr>
    </w:p>
    <w:sectPr w:rsidR="00D662F8" w:rsidRPr="00E53A9F" w:rsidSect="00D7554E">
      <w:headerReference w:type="default" r:id="rId25"/>
      <w:footerReference w:type="even" r:id="rId26"/>
      <w:footerReference w:type="default" r:id="rId27"/>
      <w:pgSz w:w="16840" w:h="11907" w:orient="landscape" w:code="9"/>
      <w:pgMar w:top="1134" w:right="1701" w:bottom="1134" w:left="1701"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7E61" w14:textId="77777777" w:rsidR="00E446AE" w:rsidRDefault="00E446AE">
      <w:r>
        <w:separator/>
      </w:r>
    </w:p>
    <w:p w14:paraId="6A0845FF" w14:textId="77777777" w:rsidR="00E446AE" w:rsidRDefault="00E446AE"/>
  </w:endnote>
  <w:endnote w:type="continuationSeparator" w:id="0">
    <w:p w14:paraId="6CAB1B3E" w14:textId="77777777" w:rsidR="00E446AE" w:rsidRDefault="00E446AE">
      <w:r>
        <w:continuationSeparator/>
      </w:r>
    </w:p>
    <w:p w14:paraId="7B410125" w14:textId="77777777" w:rsidR="00E446AE" w:rsidRDefault="00E44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318151A3" w:rsidR="005A79E5" w:rsidRPr="00581136" w:rsidRDefault="00D7554E" w:rsidP="005A79E5">
    <w:pPr>
      <w:pStyle w:val="Footer"/>
      <w:pBdr>
        <w:bottom w:val="single" w:sz="4" w:space="1" w:color="auto"/>
      </w:pBdr>
      <w:tabs>
        <w:tab w:val="right" w:pos="9639"/>
      </w:tabs>
      <w:rPr>
        <w:b/>
      </w:rPr>
    </w:pPr>
    <w:r w:rsidRPr="00D7554E">
      <w:rPr>
        <w:b/>
      </w:rPr>
      <w:t>Initially released 2020 – Revised 2024</w:t>
    </w:r>
    <w:r w:rsidR="005A79E5" w:rsidRPr="00581136">
      <w:rPr>
        <w:b/>
      </w:rPr>
      <w:tab/>
      <w:t>health.govt.nz</w:t>
    </w:r>
  </w:p>
  <w:p w14:paraId="524869F6" w14:textId="77777777" w:rsidR="005A79E5" w:rsidRPr="005A79E5" w:rsidRDefault="005A79E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926083" w:rsidRDefault="00926083"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926083" w:rsidRDefault="009260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662F8" w14:paraId="4C3A3BF7" w14:textId="77777777" w:rsidTr="00D662F8">
      <w:trPr>
        <w:cantSplit/>
      </w:trPr>
      <w:tc>
        <w:tcPr>
          <w:tcW w:w="709" w:type="dxa"/>
          <w:vAlign w:val="center"/>
        </w:tcPr>
        <w:p w14:paraId="28F87ED7"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05BB5">
            <w:rPr>
              <w:rStyle w:val="PageNumber"/>
              <w:noProof/>
            </w:rPr>
            <w:t>vi</w:t>
          </w:r>
          <w:r w:rsidRPr="00931466">
            <w:rPr>
              <w:rStyle w:val="PageNumber"/>
            </w:rPr>
            <w:fldChar w:fldCharType="end"/>
          </w:r>
        </w:p>
      </w:tc>
      <w:tc>
        <w:tcPr>
          <w:tcW w:w="8080" w:type="dxa"/>
          <w:vAlign w:val="center"/>
        </w:tcPr>
        <w:p w14:paraId="6026D159" w14:textId="77777777" w:rsidR="00D662F8" w:rsidRDefault="00D662F8" w:rsidP="00926083">
          <w:pPr>
            <w:pStyle w:val="RectoFooter"/>
            <w:jc w:val="left"/>
          </w:pPr>
          <w:r>
            <w:t>[INSERT TITLE]</w:t>
          </w:r>
        </w:p>
      </w:tc>
    </w:tr>
  </w:tbl>
  <w:p w14:paraId="711B5D80" w14:textId="77777777" w:rsidR="00926083" w:rsidRPr="00571223" w:rsidRDefault="00926083"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14:paraId="58AAB149" w14:textId="77777777" w:rsidTr="00D662F8">
      <w:trPr>
        <w:cantSplit/>
      </w:trPr>
      <w:tc>
        <w:tcPr>
          <w:tcW w:w="8080" w:type="dxa"/>
          <w:vAlign w:val="center"/>
        </w:tcPr>
        <w:p w14:paraId="20E2F0CC" w14:textId="043F81F8" w:rsidR="00D662F8" w:rsidRDefault="00D7554E" w:rsidP="00926083">
          <w:pPr>
            <w:pStyle w:val="RectoFooter"/>
          </w:pPr>
          <w:r w:rsidRPr="00D7554E">
            <w:t>General terms of reference for performance reviews of responsible authorities</w:t>
          </w:r>
        </w:p>
      </w:tc>
      <w:tc>
        <w:tcPr>
          <w:tcW w:w="709" w:type="dxa"/>
          <w:vAlign w:val="center"/>
        </w:tcPr>
        <w:p w14:paraId="3D3C9847"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v</w:t>
          </w:r>
          <w:r w:rsidRPr="00931466">
            <w:rPr>
              <w:rStyle w:val="PageNumber"/>
            </w:rPr>
            <w:fldChar w:fldCharType="end"/>
          </w:r>
        </w:p>
      </w:tc>
    </w:tr>
  </w:tbl>
  <w:p w14:paraId="27602107" w14:textId="77777777" w:rsidR="00D05D74" w:rsidRPr="00581EB8" w:rsidRDefault="00D05D74"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662F8" w14:paraId="7DB74E0B" w14:textId="77777777" w:rsidTr="00D662F8">
      <w:trPr>
        <w:cantSplit/>
      </w:trPr>
      <w:tc>
        <w:tcPr>
          <w:tcW w:w="709" w:type="dxa"/>
          <w:vAlign w:val="center"/>
        </w:tcPr>
        <w:p w14:paraId="7FB9EB7B"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viii</w:t>
          </w:r>
          <w:r w:rsidRPr="00931466">
            <w:rPr>
              <w:rStyle w:val="PageNumber"/>
            </w:rPr>
            <w:fldChar w:fldCharType="end"/>
          </w:r>
        </w:p>
      </w:tc>
      <w:tc>
        <w:tcPr>
          <w:tcW w:w="8080" w:type="dxa"/>
          <w:vAlign w:val="center"/>
        </w:tcPr>
        <w:p w14:paraId="1A8BBBFB" w14:textId="75C50E26" w:rsidR="00D662F8" w:rsidRDefault="00D7554E" w:rsidP="00926083">
          <w:pPr>
            <w:pStyle w:val="RectoFooter"/>
            <w:jc w:val="left"/>
          </w:pPr>
          <w:r w:rsidRPr="00D7554E">
            <w:t>General terms of reference for performance reviews of responsible authorities</w:t>
          </w:r>
        </w:p>
      </w:tc>
    </w:tr>
  </w:tbl>
  <w:p w14:paraId="7C39EF3C" w14:textId="77777777" w:rsidR="00926083" w:rsidRPr="00571223" w:rsidRDefault="00926083"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14:paraId="423138CB" w14:textId="77777777" w:rsidTr="00D662F8">
      <w:trPr>
        <w:cantSplit/>
      </w:trPr>
      <w:tc>
        <w:tcPr>
          <w:tcW w:w="8080" w:type="dxa"/>
          <w:vAlign w:val="center"/>
        </w:tcPr>
        <w:p w14:paraId="520A68A6" w14:textId="139316E0" w:rsidR="00D662F8" w:rsidRDefault="00D7554E" w:rsidP="00926083">
          <w:pPr>
            <w:pStyle w:val="RectoFooter"/>
          </w:pPr>
          <w:r w:rsidRPr="00D7554E">
            <w:t>General terms of reference for performance reviews of responsible authorities</w:t>
          </w:r>
        </w:p>
      </w:tc>
      <w:tc>
        <w:tcPr>
          <w:tcW w:w="709" w:type="dxa"/>
          <w:vAlign w:val="center"/>
        </w:tcPr>
        <w:p w14:paraId="745D812B"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vii</w:t>
          </w:r>
          <w:r w:rsidRPr="00931466">
            <w:rPr>
              <w:rStyle w:val="PageNumber"/>
            </w:rPr>
            <w:fldChar w:fldCharType="end"/>
          </w:r>
        </w:p>
      </w:tc>
    </w:tr>
  </w:tbl>
  <w:p w14:paraId="755CAC6B" w14:textId="77777777" w:rsidR="00D05D74" w:rsidRPr="00581EB8" w:rsidRDefault="00D05D74"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D662F8" w14:paraId="7E34FA6B" w14:textId="77777777" w:rsidTr="00D662F8">
      <w:trPr>
        <w:cantSplit/>
      </w:trPr>
      <w:tc>
        <w:tcPr>
          <w:tcW w:w="675" w:type="dxa"/>
          <w:vAlign w:val="center"/>
        </w:tcPr>
        <w:p w14:paraId="6281C317"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2</w:t>
          </w:r>
          <w:r w:rsidRPr="00931466">
            <w:rPr>
              <w:rStyle w:val="PageNumber"/>
            </w:rPr>
            <w:fldChar w:fldCharType="end"/>
          </w:r>
        </w:p>
      </w:tc>
      <w:tc>
        <w:tcPr>
          <w:tcW w:w="9072" w:type="dxa"/>
          <w:vAlign w:val="center"/>
        </w:tcPr>
        <w:p w14:paraId="27262A64" w14:textId="3D6516DE" w:rsidR="00D662F8" w:rsidRDefault="00D7554E" w:rsidP="000D58DD">
          <w:pPr>
            <w:pStyle w:val="RectoFooter"/>
            <w:jc w:val="left"/>
          </w:pPr>
          <w:r w:rsidRPr="00D7554E">
            <w:t>GENERAL TERMS OF REFERENCE FOR PERFORMANCE REVIEWS OF RESPONSIBLE AUTHORITIES</w:t>
          </w:r>
        </w:p>
      </w:tc>
    </w:tr>
  </w:tbl>
  <w:p w14:paraId="5177CEA2" w14:textId="77777777" w:rsidR="00926083" w:rsidRPr="00571223" w:rsidRDefault="00926083"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67"/>
      <w:gridCol w:w="709"/>
    </w:tblGrid>
    <w:tr w:rsidR="00D662F8" w14:paraId="47337729" w14:textId="77777777" w:rsidTr="00D7554E">
      <w:trPr>
        <w:cantSplit/>
      </w:trPr>
      <w:tc>
        <w:tcPr>
          <w:tcW w:w="13467" w:type="dxa"/>
          <w:vAlign w:val="center"/>
        </w:tcPr>
        <w:p w14:paraId="1A33CBD1" w14:textId="48C9876A" w:rsidR="00D662F8" w:rsidRDefault="00D7554E" w:rsidP="00931466">
          <w:pPr>
            <w:pStyle w:val="RectoFooter"/>
          </w:pPr>
          <w:r w:rsidRPr="00D7554E">
            <w:t>GENERAL TERMS OF REFERENCE FOR PERFORMANCE REVIEWS OF RESPONSIBLE AUTHORITIES</w:t>
          </w:r>
        </w:p>
      </w:tc>
      <w:tc>
        <w:tcPr>
          <w:tcW w:w="709" w:type="dxa"/>
          <w:vAlign w:val="center"/>
        </w:tcPr>
        <w:p w14:paraId="501EC334"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1</w:t>
          </w:r>
          <w:r w:rsidRPr="00931466">
            <w:rPr>
              <w:rStyle w:val="PageNumber"/>
            </w:rPr>
            <w:fldChar w:fldCharType="end"/>
          </w:r>
        </w:p>
      </w:tc>
    </w:tr>
  </w:tbl>
  <w:p w14:paraId="1C6F2E7F" w14:textId="77777777" w:rsidR="00926083" w:rsidRPr="00581EB8" w:rsidRDefault="00926083"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5D63" w14:textId="77777777" w:rsidR="00E446AE" w:rsidRPr="00A26E6B" w:rsidRDefault="00E446AE" w:rsidP="00A26E6B"/>
  </w:footnote>
  <w:footnote w:type="continuationSeparator" w:id="0">
    <w:p w14:paraId="0ADC90FE" w14:textId="77777777" w:rsidR="00E446AE" w:rsidRDefault="00E446AE">
      <w:r>
        <w:continuationSeparator/>
      </w:r>
    </w:p>
    <w:p w14:paraId="4AB304D7" w14:textId="77777777" w:rsidR="00E446AE" w:rsidRDefault="00E446AE"/>
  </w:footnote>
  <w:footnote w:id="1">
    <w:p w14:paraId="4C3A834F" w14:textId="78661A12" w:rsidR="00D7554E" w:rsidRPr="00665E87" w:rsidRDefault="00D7554E" w:rsidP="00D7554E">
      <w:pPr>
        <w:pStyle w:val="FootnoteText"/>
        <w:ind w:left="142" w:hanging="142"/>
        <w:rPr>
          <w:lang w:val="en-AU"/>
        </w:rPr>
      </w:pPr>
      <w:r>
        <w:rPr>
          <w:rStyle w:val="FootnoteReference"/>
        </w:rPr>
        <w:footnoteRef/>
      </w:r>
      <w:r>
        <w:t xml:space="preserve"> For a current list of responsible authorities, see: </w:t>
      </w:r>
      <w:hyperlink r:id="rId1" w:history="1">
        <w:r w:rsidR="00B90BDD">
          <w:rPr>
            <w:rStyle w:val="Hyperlink"/>
          </w:rPr>
          <w:t>health.govt.nz/our-work/regulation-health-and-disability-system/health-practitioners-competence-assurance-act/responsible-authorities-under-act</w:t>
        </w:r>
      </w:hyperlink>
    </w:p>
  </w:footnote>
  <w:footnote w:id="2">
    <w:p w14:paraId="366D8BE2" w14:textId="107C530B" w:rsidR="00D7554E" w:rsidRPr="00D43E33" w:rsidRDefault="00D7554E" w:rsidP="00D7554E">
      <w:pPr>
        <w:pStyle w:val="FootnoteText"/>
      </w:pPr>
      <w:r w:rsidRPr="00D43E33">
        <w:rPr>
          <w:rStyle w:val="FootnoteReference"/>
          <w:sz w:val="18"/>
          <w:szCs w:val="18"/>
        </w:rPr>
        <w:footnoteRef/>
      </w:r>
      <w:r w:rsidRPr="00D43E33">
        <w:t xml:space="preserve"> </w:t>
      </w:r>
      <w:r w:rsidRPr="00615E7C">
        <w:rPr>
          <w:szCs w:val="17"/>
        </w:rPr>
        <w:t xml:space="preserve">For details about Right-touch regulation, see: </w:t>
      </w:r>
      <w:hyperlink r:id="rId2" w:history="1">
        <w:r w:rsidR="005C204C">
          <w:rPr>
            <w:rStyle w:val="Hyperlink"/>
            <w:szCs w:val="17"/>
          </w:rPr>
          <w:t>professionalstandards.org.uk/what-we-do/improving-regulation/right-touch-regulation</w:t>
        </w:r>
      </w:hyperlink>
    </w:p>
  </w:footnote>
  <w:footnote w:id="3">
    <w:p w14:paraId="07B367CC" w14:textId="77777777" w:rsidR="00615E7C" w:rsidRDefault="00615E7C" w:rsidP="00615E7C">
      <w:pPr>
        <w:pStyle w:val="FootnoteText"/>
      </w:pPr>
      <w:r>
        <w:rPr>
          <w:rStyle w:val="FootnoteReference"/>
        </w:rPr>
        <w:footnoteRef/>
      </w:r>
      <w:r>
        <w:t xml:space="preserve"> The Ministry’s definition of equity is: ‘</w:t>
      </w:r>
      <w:r w:rsidRPr="009F08C0">
        <w:t>In Aotearoa New Zealand, people have differences in health that are not only avoidable but unfair and unjust. Equity recognises different people with different levels of advantage require different approaches and resources to get equitable health outcomes.</w:t>
      </w:r>
      <w:r>
        <w:t>’</w:t>
      </w:r>
    </w:p>
  </w:footnote>
  <w:footnote w:id="4">
    <w:p w14:paraId="08A1B5FC" w14:textId="228AD37A" w:rsidR="00615E7C" w:rsidRDefault="00615E7C" w:rsidP="00615E7C">
      <w:pPr>
        <w:pStyle w:val="FootnoteText"/>
      </w:pPr>
      <w:r>
        <w:rPr>
          <w:rStyle w:val="FootnoteReference"/>
        </w:rPr>
        <w:footnoteRef/>
      </w:r>
      <w:r>
        <w:t xml:space="preserve"> For details about Right-touch regulation, see: </w:t>
      </w:r>
      <w:hyperlink r:id="rId3" w:history="1">
        <w:r w:rsidR="00F35E50">
          <w:rPr>
            <w:rStyle w:val="Hyperlink"/>
          </w:rPr>
          <w:t>professionalstandards.org.uk/what-we-do/improving-regulation/right-touch-regulation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5A79E5" w14:paraId="11530A0D" w14:textId="77777777" w:rsidTr="008F2B72">
      <w:trPr>
        <w:cantSplit/>
      </w:trPr>
      <w:tc>
        <w:tcPr>
          <w:tcW w:w="5210" w:type="dxa"/>
          <w:vAlign w:val="center"/>
        </w:tcPr>
        <w:p w14:paraId="2BDE3162" w14:textId="4E67EED4" w:rsidR="005A79E5" w:rsidRDefault="00B26F0F" w:rsidP="00B26F0F">
          <w:pPr>
            <w:pStyle w:val="Header"/>
          </w:pPr>
          <w:bookmarkStart w:id="0" w:name="_Hlk110933925"/>
          <w:r>
            <w:rPr>
              <w:noProof/>
              <w:lang w:eastAsia="en-NZ"/>
            </w:rPr>
            <w:drawing>
              <wp:inline distT="0" distB="0" distL="0" distR="0" wp14:anchorId="04421456" wp14:editId="4C8199B5">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5A79E5" w:rsidRDefault="008F2B72" w:rsidP="00301815">
          <w:pPr>
            <w:pStyle w:val="Header"/>
            <w:jc w:val="right"/>
          </w:pPr>
          <w:r>
            <w:rPr>
              <w:noProof/>
            </w:rPr>
            <w:drawing>
              <wp:anchor distT="0" distB="0" distL="114300" distR="114300" simplePos="0" relativeHeight="251658240" behindDoc="0" locked="0" layoutInCell="1" allowOverlap="1" wp14:anchorId="1D75C094" wp14:editId="49DFB710">
                <wp:simplePos x="0" y="0"/>
                <wp:positionH relativeFrom="column">
                  <wp:posOffset>1365885</wp:posOffset>
                </wp:positionH>
                <wp:positionV relativeFrom="paragraph">
                  <wp:posOffset>-2540</wp:posOffset>
                </wp:positionV>
                <wp:extent cx="1518285" cy="718185"/>
                <wp:effectExtent l="0" t="0" r="0" b="0"/>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828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5665FD" w:rsidRDefault="00566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B4FB" w14:textId="77777777" w:rsidR="00D7554E" w:rsidRPr="00D7554E" w:rsidRDefault="00D7554E" w:rsidP="00D75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E42F5D" w:rsidRDefault="00E42F5D" w:rsidP="00533B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660F74" w:rsidRDefault="00660F74" w:rsidP="009001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926083" w:rsidRDefault="009260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4"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18"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19" w15:restartNumberingAfterBreak="0">
    <w:nsid w:val="52CC11D1"/>
    <w:multiLevelType w:val="hybridMultilevel"/>
    <w:tmpl w:val="63A414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AE71CF9"/>
    <w:multiLevelType w:val="hybridMultilevel"/>
    <w:tmpl w:val="C87857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3"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4" w15:restartNumberingAfterBreak="0">
    <w:nsid w:val="5EEF41E0"/>
    <w:multiLevelType w:val="hybridMultilevel"/>
    <w:tmpl w:val="F6CA3640"/>
    <w:lvl w:ilvl="0" w:tplc="5F6AF28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2A4F6F"/>
    <w:multiLevelType w:val="hybridMultilevel"/>
    <w:tmpl w:val="2492477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47F166D"/>
    <w:multiLevelType w:val="hybridMultilevel"/>
    <w:tmpl w:val="1870DCF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8"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9"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0"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1"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3"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5"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6"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D503581"/>
    <w:multiLevelType w:val="hybridMultilevel"/>
    <w:tmpl w:val="8508EB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702392808">
    <w:abstractNumId w:val="34"/>
  </w:num>
  <w:num w:numId="2" w16cid:durableId="2058696971">
    <w:abstractNumId w:val="27"/>
  </w:num>
  <w:num w:numId="3" w16cid:durableId="166287155">
    <w:abstractNumId w:val="15"/>
  </w:num>
  <w:num w:numId="4" w16cid:durableId="268203905">
    <w:abstractNumId w:val="16"/>
  </w:num>
  <w:num w:numId="5" w16cid:durableId="1419790638">
    <w:abstractNumId w:val="0"/>
  </w:num>
  <w:num w:numId="6" w16cid:durableId="287441660">
    <w:abstractNumId w:val="36"/>
  </w:num>
  <w:num w:numId="7" w16cid:durableId="502400368">
    <w:abstractNumId w:val="12"/>
  </w:num>
  <w:num w:numId="8" w16cid:durableId="776019131">
    <w:abstractNumId w:val="2"/>
  </w:num>
  <w:num w:numId="9" w16cid:durableId="1092702775">
    <w:abstractNumId w:val="33"/>
  </w:num>
  <w:num w:numId="10" w16cid:durableId="484589501">
    <w:abstractNumId w:val="1"/>
  </w:num>
  <w:num w:numId="11" w16cid:durableId="1648590795">
    <w:abstractNumId w:val="31"/>
  </w:num>
  <w:num w:numId="12" w16cid:durableId="1252355021">
    <w:abstractNumId w:val="3"/>
  </w:num>
  <w:num w:numId="13" w16cid:durableId="794063938">
    <w:abstractNumId w:val="7"/>
  </w:num>
  <w:num w:numId="14" w16cid:durableId="1408307656">
    <w:abstractNumId w:val="5"/>
  </w:num>
  <w:num w:numId="15" w16cid:durableId="283587260">
    <w:abstractNumId w:val="8"/>
  </w:num>
  <w:num w:numId="16" w16cid:durableId="396780634">
    <w:abstractNumId w:val="21"/>
  </w:num>
  <w:num w:numId="17" w16cid:durableId="665010693">
    <w:abstractNumId w:val="10"/>
  </w:num>
  <w:num w:numId="18" w16cid:durableId="2066641992">
    <w:abstractNumId w:val="29"/>
  </w:num>
  <w:num w:numId="19" w16cid:durableId="611784090">
    <w:abstractNumId w:val="11"/>
  </w:num>
  <w:num w:numId="20" w16cid:durableId="2060279186">
    <w:abstractNumId w:val="18"/>
  </w:num>
  <w:num w:numId="21" w16cid:durableId="479074713">
    <w:abstractNumId w:val="6"/>
  </w:num>
  <w:num w:numId="22" w16cid:durableId="2109884300">
    <w:abstractNumId w:val="4"/>
  </w:num>
  <w:num w:numId="23" w16cid:durableId="298069165">
    <w:abstractNumId w:val="23"/>
  </w:num>
  <w:num w:numId="24" w16cid:durableId="1169097228">
    <w:abstractNumId w:val="22"/>
  </w:num>
  <w:num w:numId="25" w16cid:durableId="677317601">
    <w:abstractNumId w:val="35"/>
  </w:num>
  <w:num w:numId="26" w16cid:durableId="738409108">
    <w:abstractNumId w:val="13"/>
  </w:num>
  <w:num w:numId="27" w16cid:durableId="839656287">
    <w:abstractNumId w:val="30"/>
  </w:num>
  <w:num w:numId="28" w16cid:durableId="1285117302">
    <w:abstractNumId w:val="28"/>
  </w:num>
  <w:num w:numId="29" w16cid:durableId="1642344545">
    <w:abstractNumId w:val="17"/>
  </w:num>
  <w:num w:numId="30" w16cid:durableId="809709046">
    <w:abstractNumId w:val="9"/>
  </w:num>
  <w:num w:numId="31" w16cid:durableId="1152136520">
    <w:abstractNumId w:val="32"/>
  </w:num>
  <w:num w:numId="32" w16cid:durableId="600799409">
    <w:abstractNumId w:val="14"/>
  </w:num>
  <w:num w:numId="33" w16cid:durableId="1036349138">
    <w:abstractNumId w:val="24"/>
  </w:num>
  <w:num w:numId="34" w16cid:durableId="1210146141">
    <w:abstractNumId w:val="20"/>
  </w:num>
  <w:num w:numId="35" w16cid:durableId="1392464040">
    <w:abstractNumId w:val="37"/>
  </w:num>
  <w:num w:numId="36" w16cid:durableId="141702657">
    <w:abstractNumId w:val="19"/>
  </w:num>
  <w:num w:numId="37" w16cid:durableId="1363242239">
    <w:abstractNumId w:val="25"/>
  </w:num>
  <w:num w:numId="38" w16cid:durableId="54607113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3ECD"/>
    <w:rsid w:val="00094800"/>
    <w:rsid w:val="000A41ED"/>
    <w:rsid w:val="000B0730"/>
    <w:rsid w:val="000C6C19"/>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3CBB"/>
    <w:rsid w:val="001C4326"/>
    <w:rsid w:val="001C665E"/>
    <w:rsid w:val="001D3541"/>
    <w:rsid w:val="001D3E4E"/>
    <w:rsid w:val="001E254A"/>
    <w:rsid w:val="001E7386"/>
    <w:rsid w:val="001F45A7"/>
    <w:rsid w:val="00201A01"/>
    <w:rsid w:val="0020754B"/>
    <w:rsid w:val="002104D3"/>
    <w:rsid w:val="00213A33"/>
    <w:rsid w:val="0021763B"/>
    <w:rsid w:val="00246DB1"/>
    <w:rsid w:val="002476B5"/>
    <w:rsid w:val="002520CC"/>
    <w:rsid w:val="00253ECF"/>
    <w:rsid w:val="002546A1"/>
    <w:rsid w:val="002622F6"/>
    <w:rsid w:val="002628F4"/>
    <w:rsid w:val="00275D08"/>
    <w:rsid w:val="002858E3"/>
    <w:rsid w:val="00286A2A"/>
    <w:rsid w:val="0029190A"/>
    <w:rsid w:val="00292C5A"/>
    <w:rsid w:val="00294275"/>
    <w:rsid w:val="00295241"/>
    <w:rsid w:val="002A4DFC"/>
    <w:rsid w:val="002B047D"/>
    <w:rsid w:val="002B732B"/>
    <w:rsid w:val="002B76A7"/>
    <w:rsid w:val="002C2219"/>
    <w:rsid w:val="002C2552"/>
    <w:rsid w:val="002C380A"/>
    <w:rsid w:val="002C3E05"/>
    <w:rsid w:val="002D0DF2"/>
    <w:rsid w:val="002D23BD"/>
    <w:rsid w:val="002E0B47"/>
    <w:rsid w:val="002E20FF"/>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5CC9"/>
    <w:rsid w:val="00460826"/>
    <w:rsid w:val="00460EA7"/>
    <w:rsid w:val="0046195B"/>
    <w:rsid w:val="0046362D"/>
    <w:rsid w:val="0046596D"/>
    <w:rsid w:val="00474B79"/>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4F5856"/>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A27CA"/>
    <w:rsid w:val="005A43BD"/>
    <w:rsid w:val="005A79E5"/>
    <w:rsid w:val="005C204C"/>
    <w:rsid w:val="005D034C"/>
    <w:rsid w:val="005E226E"/>
    <w:rsid w:val="005E2636"/>
    <w:rsid w:val="005F77FC"/>
    <w:rsid w:val="006015D7"/>
    <w:rsid w:val="00601B21"/>
    <w:rsid w:val="006041F0"/>
    <w:rsid w:val="00605C6D"/>
    <w:rsid w:val="006120CA"/>
    <w:rsid w:val="00615E7C"/>
    <w:rsid w:val="00624174"/>
    <w:rsid w:val="00626CF8"/>
    <w:rsid w:val="006314AF"/>
    <w:rsid w:val="00634ED8"/>
    <w:rsid w:val="00636D7D"/>
    <w:rsid w:val="00637408"/>
    <w:rsid w:val="00642868"/>
    <w:rsid w:val="00647AFE"/>
    <w:rsid w:val="006512BC"/>
    <w:rsid w:val="00651CC6"/>
    <w:rsid w:val="00653A5A"/>
    <w:rsid w:val="0065432F"/>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2E5F"/>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7F74B7"/>
    <w:rsid w:val="00800A8A"/>
    <w:rsid w:val="0080155C"/>
    <w:rsid w:val="008052E1"/>
    <w:rsid w:val="00822F2C"/>
    <w:rsid w:val="00823DEE"/>
    <w:rsid w:val="008305E8"/>
    <w:rsid w:val="00836165"/>
    <w:rsid w:val="008443F3"/>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3CD6"/>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6AB1"/>
    <w:rsid w:val="00B90BDD"/>
    <w:rsid w:val="00B97F07"/>
    <w:rsid w:val="00BA7EBA"/>
    <w:rsid w:val="00BB2A06"/>
    <w:rsid w:val="00BB2CBB"/>
    <w:rsid w:val="00BB4198"/>
    <w:rsid w:val="00BC03EE"/>
    <w:rsid w:val="00BC59F1"/>
    <w:rsid w:val="00BF3DE1"/>
    <w:rsid w:val="00BF4843"/>
    <w:rsid w:val="00BF5205"/>
    <w:rsid w:val="00C05132"/>
    <w:rsid w:val="00C12508"/>
    <w:rsid w:val="00C14A2B"/>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4D84"/>
    <w:rsid w:val="00D05D74"/>
    <w:rsid w:val="00D20C59"/>
    <w:rsid w:val="00D23323"/>
    <w:rsid w:val="00D2392A"/>
    <w:rsid w:val="00D25FFE"/>
    <w:rsid w:val="00D30BBE"/>
    <w:rsid w:val="00D37D80"/>
    <w:rsid w:val="00D409C6"/>
    <w:rsid w:val="00D4476F"/>
    <w:rsid w:val="00D50573"/>
    <w:rsid w:val="00D54D50"/>
    <w:rsid w:val="00D560B4"/>
    <w:rsid w:val="00D662F8"/>
    <w:rsid w:val="00D66797"/>
    <w:rsid w:val="00D7074B"/>
    <w:rsid w:val="00D7087C"/>
    <w:rsid w:val="00D70C3C"/>
    <w:rsid w:val="00D71DF7"/>
    <w:rsid w:val="00D72BE5"/>
    <w:rsid w:val="00D7554E"/>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6AE"/>
    <w:rsid w:val="00E4486C"/>
    <w:rsid w:val="00E460B6"/>
    <w:rsid w:val="00E511D5"/>
    <w:rsid w:val="00E53A9F"/>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35E50"/>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customStyle="1" w:styleId="BulletChar">
    <w:name w:val="Bullet Char"/>
    <w:link w:val="Bullet"/>
    <w:locked/>
    <w:rsid w:val="00D7554E"/>
    <w:rPr>
      <w:rFonts w:ascii="Segoe UI" w:hAnsi="Segoe UI"/>
      <w:sz w:val="21"/>
      <w:lang w:eastAsia="en-GB"/>
    </w:rPr>
  </w:style>
  <w:style w:type="paragraph" w:styleId="ListParagraph">
    <w:name w:val="List Paragraph"/>
    <w:basedOn w:val="Normal"/>
    <w:uiPriority w:val="34"/>
    <w:qFormat/>
    <w:rsid w:val="00D75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t.nz/about-us/new-zealands-health-system/overview-and-statutory-framework/pae-ora-healthy-futures-ac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6.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professionalstandards.org.uk/what-we-do/improving-regulation/right-touch-regulation" TargetMode="External"/><Relationship Id="rId2" Type="http://schemas.openxmlformats.org/officeDocument/2006/relationships/hyperlink" Target="https://www.professionalstandards.org.uk/what-we-do/improving-regulation/right-touch-regulation" TargetMode="External"/><Relationship Id="rId1" Type="http://schemas.openxmlformats.org/officeDocument/2006/relationships/hyperlink" Target="https://www.health.govt.nz/our-work/regulation-health-and-disability-system/health-practitioners-competence-assurance-act/responsible-authorities-under-a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FFB0-260E-4BEB-AB23-5A43F0263A5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72ee7631-8705-4e4e-a159-243698bf6794"/>
    <ds:schemaRef ds:uri="bceb9309-8f47-415f-aa59-4677cf6ce37d"/>
    <ds:schemaRef ds:uri="http://www.w3.org/XML/1998/namespace"/>
  </ds:schemaRefs>
</ds:datastoreItem>
</file>

<file path=customXml/itemProps2.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3.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19</TotalTime>
  <Pages>13</Pages>
  <Words>2048</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of reference for performance reviews of responsible authorities</dc:title>
  <dc:creator>Ministry of Health</dc:creator>
  <cp:lastModifiedBy>Ministry of Health</cp:lastModifiedBy>
  <cp:revision>20</cp:revision>
  <cp:lastPrinted>2024-12-01T22:03:00Z</cp:lastPrinted>
  <dcterms:created xsi:type="dcterms:W3CDTF">2024-10-30T00:40:00Z</dcterms:created>
  <dcterms:modified xsi:type="dcterms:W3CDTF">2024-12-01T22:04:00Z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