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00056756" w:rsidR="00C86248" w:rsidRPr="00926083" w:rsidRDefault="00835945" w:rsidP="002B32BD">
      <w:pPr>
        <w:pStyle w:val="Title"/>
        <w:ind w:right="2835"/>
      </w:pPr>
      <w:bookmarkStart w:id="0" w:name="_Hlk174998204"/>
      <w:bookmarkEnd w:id="0"/>
      <w:r w:rsidRPr="00835945">
        <w:t>Strategy to Prevent and Minimise Gambling Harm 2025/26 to 2027/28</w:t>
      </w:r>
    </w:p>
    <w:p w14:paraId="2B4FAC6A" w14:textId="2AC74F69" w:rsidR="00C05132" w:rsidRDefault="00A562D0" w:rsidP="00926083">
      <w:pPr>
        <w:pStyle w:val="Subhead"/>
      </w:pPr>
      <w:r>
        <w:t>Proposals</w:t>
      </w:r>
      <w:r w:rsidR="00835945" w:rsidRPr="00835945">
        <w:t xml:space="preserve"> document</w:t>
      </w:r>
    </w:p>
    <w:p w14:paraId="2A961E80" w14:textId="474FA817" w:rsidR="00531E12" w:rsidRPr="00531E12" w:rsidRDefault="00835945" w:rsidP="00531E12">
      <w:pPr>
        <w:pStyle w:val="Year"/>
      </w:pPr>
      <w:r>
        <w:t>2024</w:t>
      </w:r>
    </w:p>
    <w:p w14:paraId="5C1CCC9F" w14:textId="77777777" w:rsidR="00C05132" w:rsidRDefault="00C05132" w:rsidP="00A06BE4"/>
    <w:p w14:paraId="57E2CB79" w14:textId="77777777" w:rsidR="00142954" w:rsidRPr="00142954" w:rsidRDefault="00142954" w:rsidP="00142954">
      <w:pPr>
        <w:sectPr w:rsidR="00142954" w:rsidRPr="00142954" w:rsidSect="004825BB">
          <w:headerReference w:type="default" r:id="rId12"/>
          <w:footerReference w:type="default" r:id="rId13"/>
          <w:pgSz w:w="11907" w:h="16834" w:code="9"/>
          <w:pgMar w:top="5670" w:right="1134" w:bottom="1134" w:left="1134" w:header="567" w:footer="851" w:gutter="0"/>
          <w:pgNumType w:start="1"/>
          <w:cols w:space="720"/>
        </w:sectPr>
      </w:pPr>
    </w:p>
    <w:p w14:paraId="358CE3BA" w14:textId="6383F970"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835945">
        <w:rPr>
          <w:rFonts w:cs="Segoe UI"/>
        </w:rPr>
        <w:t>2024.</w:t>
      </w:r>
      <w:r w:rsidR="00442C1C" w:rsidRPr="00C05132">
        <w:rPr>
          <w:rFonts w:cs="Segoe UI"/>
        </w:rPr>
        <w:t xml:space="preserve"> </w:t>
      </w:r>
      <w:r w:rsidR="00835945" w:rsidRPr="00835945">
        <w:rPr>
          <w:rFonts w:cs="Segoe UI"/>
          <w:i/>
        </w:rPr>
        <w:t xml:space="preserve">Strategy to Prevent and Minimise Gambling Harm 2025/26 to 2027/28: </w:t>
      </w:r>
      <w:r w:rsidR="00517395">
        <w:rPr>
          <w:rFonts w:cs="Segoe UI"/>
          <w:i/>
        </w:rPr>
        <w:t>Proposals</w:t>
      </w:r>
      <w:r w:rsidR="00835945" w:rsidRPr="00835945">
        <w:rPr>
          <w:rFonts w:cs="Segoe UI"/>
          <w:i/>
        </w:rPr>
        <w:t xml:space="preserve"> document</w:t>
      </w:r>
      <w:r w:rsidR="00442C1C" w:rsidRPr="00C05132">
        <w:rPr>
          <w:rFonts w:cs="Segoe UI"/>
        </w:rPr>
        <w:t>. Wellington: Ministry of Health.</w:t>
      </w:r>
    </w:p>
    <w:p w14:paraId="7909192E" w14:textId="5C3F6C70" w:rsidR="00C86248" w:rsidRDefault="00C86248">
      <w:pPr>
        <w:pStyle w:val="Imprint"/>
      </w:pPr>
      <w:r>
        <w:t xml:space="preserve">Published in </w:t>
      </w:r>
      <w:r w:rsidR="006E468A">
        <w:t xml:space="preserve">December </w:t>
      </w:r>
      <w:r w:rsidR="00835945">
        <w:t>2024</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3BA984DB" w:rsidR="00082CD6" w:rsidRPr="00AB2BAA" w:rsidRDefault="009A42D5" w:rsidP="00082CD6">
      <w:pPr>
        <w:pStyle w:val="Imprint"/>
        <w:rPr>
          <w:color w:val="000000"/>
        </w:rPr>
      </w:pPr>
      <w:r w:rsidRPr="00855E0D">
        <w:t>ISBN</w:t>
      </w:r>
      <w:r w:rsidR="00B20765" w:rsidRPr="00855E0D">
        <w:t xml:space="preserve"> </w:t>
      </w:r>
      <w:r w:rsidR="001E3AFC" w:rsidRPr="001E3AFC">
        <w:rPr>
          <w:color w:val="000000"/>
        </w:rPr>
        <w:t>978-1-991324-17-7</w:t>
      </w:r>
      <w:r w:rsidR="001E3AFC">
        <w:rPr>
          <w:color w:val="000000"/>
        </w:rPr>
        <w:t xml:space="preserve"> (online)</w:t>
      </w:r>
      <w:r w:rsidR="001E3AFC">
        <w:rPr>
          <w:color w:val="000000"/>
        </w:rPr>
        <w:br/>
      </w:r>
      <w:r w:rsidR="002D178B">
        <w:rPr>
          <w:color w:val="000000"/>
        </w:rPr>
        <w:t xml:space="preserve">HP </w:t>
      </w:r>
      <w:r w:rsidR="00A950B3">
        <w:rPr>
          <w:color w:val="000000"/>
        </w:rPr>
        <w:t>9111</w:t>
      </w:r>
    </w:p>
    <w:p w14:paraId="48DBDA36" w14:textId="0F9B46E4" w:rsidR="00C86248" w:rsidRDefault="00517395" w:rsidP="00A63DFF">
      <w:r w:rsidRPr="003D7765">
        <w:rPr>
          <w:noProof/>
        </w:rPr>
        <w:drawing>
          <wp:inline distT="0" distB="0" distL="0" distR="0" wp14:anchorId="52FB6481" wp14:editId="114B943D">
            <wp:extent cx="1216800" cy="494305"/>
            <wp:effectExtent l="0" t="0" r="2540" b="1270"/>
            <wp:docPr id="1472750415" name="Picture 1472750415"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50415" name="Picture 1472750415" descr="A blue and white sign with white text&#10;&#10;Description automatically generated"/>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216800" cy="494305"/>
                    </a:xfrm>
                    <a:prstGeom prst="rect">
                      <a:avLst/>
                    </a:prstGeom>
                    <a:noFill/>
                    <a:ln>
                      <a:noFill/>
                    </a:ln>
                  </pic:spPr>
                </pic:pic>
              </a:graphicData>
            </a:graphic>
          </wp:inline>
        </w:drawing>
      </w:r>
    </w:p>
    <w:p w14:paraId="354F16DF" w14:textId="36744758" w:rsidR="00A63DFF" w:rsidRDefault="00A63DFF" w:rsidP="00A63DFF">
      <w:pPr>
        <w:pStyle w:val="Imprint"/>
        <w:spacing w:before="240" w:after="480"/>
      </w:pPr>
      <w:r>
        <w:t xml:space="preserve">This document is available at </w:t>
      </w:r>
      <w:proofErr w:type="gramStart"/>
      <w:r>
        <w:t>health.govt.nz</w:t>
      </w:r>
      <w:proofErr w:type="gramEnd"/>
      <w:r w:rsidR="00B2076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4825BB">
          <w:footerReference w:type="even" r:id="rId16"/>
          <w:footerReference w:type="default" r:id="rId17"/>
          <w:pgSz w:w="11907" w:h="16834" w:code="9"/>
          <w:pgMar w:top="1701" w:right="2268" w:bottom="1134" w:left="2268" w:header="0" w:footer="0" w:gutter="0"/>
          <w:cols w:space="720"/>
          <w:vAlign w:val="bottom"/>
        </w:sectPr>
      </w:pPr>
    </w:p>
    <w:p w14:paraId="648D4F84" w14:textId="4A32FE51" w:rsidR="00C86248" w:rsidRPr="00517395" w:rsidRDefault="00C86248" w:rsidP="00517395">
      <w:pPr>
        <w:pStyle w:val="IntroHead"/>
      </w:pPr>
      <w:bookmarkStart w:id="1" w:name="_Toc405792991"/>
      <w:bookmarkStart w:id="2" w:name="_Toc405793224"/>
      <w:r w:rsidRPr="00517395">
        <w:lastRenderedPageBreak/>
        <w:t>Contents</w:t>
      </w:r>
      <w:bookmarkEnd w:id="1"/>
      <w:bookmarkEnd w:id="2"/>
    </w:p>
    <w:p w14:paraId="00E5BC1E" w14:textId="6E77FB37" w:rsidR="00AB2BAA" w:rsidRDefault="00AB2BAA">
      <w:pPr>
        <w:pStyle w:val="TOC1"/>
        <w:rPr>
          <w:rFonts w:asciiTheme="minorHAnsi" w:eastAsiaTheme="minorEastAsia" w:hAnsiTheme="minorHAnsi" w:cstheme="minorBidi"/>
          <w:noProof/>
          <w:kern w:val="2"/>
          <w:sz w:val="22"/>
          <w:szCs w:val="22"/>
          <w:lang w:eastAsia="en-NZ"/>
          <w14:ligatures w14:val="standardContextual"/>
        </w:rPr>
      </w:pPr>
      <w:r>
        <w:rPr>
          <w:b/>
        </w:rPr>
        <w:fldChar w:fldCharType="begin"/>
      </w:r>
      <w:r>
        <w:rPr>
          <w:b/>
        </w:rPr>
        <w:instrText xml:space="preserve"> TOC \o "1-2" \h \z </w:instrText>
      </w:r>
      <w:r>
        <w:rPr>
          <w:b/>
        </w:rPr>
        <w:fldChar w:fldCharType="separate"/>
      </w:r>
      <w:hyperlink w:anchor="_Toc185338880" w:history="1">
        <w:r w:rsidRPr="00065A54">
          <w:rPr>
            <w:rStyle w:val="Hyperlink"/>
            <w:noProof/>
          </w:rPr>
          <w:t>Introduction</w:t>
        </w:r>
        <w:r>
          <w:rPr>
            <w:noProof/>
            <w:webHidden/>
          </w:rPr>
          <w:tab/>
        </w:r>
        <w:r>
          <w:rPr>
            <w:noProof/>
            <w:webHidden/>
          </w:rPr>
          <w:fldChar w:fldCharType="begin"/>
        </w:r>
        <w:r>
          <w:rPr>
            <w:noProof/>
            <w:webHidden/>
          </w:rPr>
          <w:instrText xml:space="preserve"> PAGEREF _Toc185338880 \h </w:instrText>
        </w:r>
        <w:r>
          <w:rPr>
            <w:noProof/>
            <w:webHidden/>
          </w:rPr>
        </w:r>
        <w:r>
          <w:rPr>
            <w:noProof/>
            <w:webHidden/>
          </w:rPr>
          <w:fldChar w:fldCharType="separate"/>
        </w:r>
        <w:r w:rsidR="0094542E">
          <w:rPr>
            <w:noProof/>
            <w:webHidden/>
          </w:rPr>
          <w:t>1</w:t>
        </w:r>
        <w:r>
          <w:rPr>
            <w:noProof/>
            <w:webHidden/>
          </w:rPr>
          <w:fldChar w:fldCharType="end"/>
        </w:r>
      </w:hyperlink>
    </w:p>
    <w:p w14:paraId="086E729D" w14:textId="41A9F0CF"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81" w:history="1">
        <w:r w:rsidRPr="00065A54">
          <w:rPr>
            <w:rStyle w:val="Hyperlink"/>
            <w:noProof/>
          </w:rPr>
          <w:t>Structure of this document</w:t>
        </w:r>
        <w:r>
          <w:rPr>
            <w:noProof/>
            <w:webHidden/>
          </w:rPr>
          <w:tab/>
        </w:r>
        <w:r>
          <w:rPr>
            <w:noProof/>
            <w:webHidden/>
          </w:rPr>
          <w:fldChar w:fldCharType="begin"/>
        </w:r>
        <w:r>
          <w:rPr>
            <w:noProof/>
            <w:webHidden/>
          </w:rPr>
          <w:instrText xml:space="preserve"> PAGEREF _Toc185338881 \h </w:instrText>
        </w:r>
        <w:r>
          <w:rPr>
            <w:noProof/>
            <w:webHidden/>
          </w:rPr>
        </w:r>
        <w:r>
          <w:rPr>
            <w:noProof/>
            <w:webHidden/>
          </w:rPr>
          <w:fldChar w:fldCharType="separate"/>
        </w:r>
        <w:r w:rsidR="0094542E">
          <w:rPr>
            <w:noProof/>
            <w:webHidden/>
          </w:rPr>
          <w:t>3</w:t>
        </w:r>
        <w:r>
          <w:rPr>
            <w:noProof/>
            <w:webHidden/>
          </w:rPr>
          <w:fldChar w:fldCharType="end"/>
        </w:r>
      </w:hyperlink>
    </w:p>
    <w:p w14:paraId="102FAEDB" w14:textId="132893A0"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82" w:history="1">
        <w:r w:rsidRPr="00065A54">
          <w:rPr>
            <w:rStyle w:val="Hyperlink"/>
            <w:noProof/>
          </w:rPr>
          <w:t>Next steps</w:t>
        </w:r>
        <w:r>
          <w:rPr>
            <w:noProof/>
            <w:webHidden/>
          </w:rPr>
          <w:tab/>
        </w:r>
        <w:r>
          <w:rPr>
            <w:noProof/>
            <w:webHidden/>
          </w:rPr>
          <w:fldChar w:fldCharType="begin"/>
        </w:r>
        <w:r>
          <w:rPr>
            <w:noProof/>
            <w:webHidden/>
          </w:rPr>
          <w:instrText xml:space="preserve"> PAGEREF _Toc185338882 \h </w:instrText>
        </w:r>
        <w:r>
          <w:rPr>
            <w:noProof/>
            <w:webHidden/>
          </w:rPr>
        </w:r>
        <w:r>
          <w:rPr>
            <w:noProof/>
            <w:webHidden/>
          </w:rPr>
          <w:fldChar w:fldCharType="separate"/>
        </w:r>
        <w:r w:rsidR="0094542E">
          <w:rPr>
            <w:noProof/>
            <w:webHidden/>
          </w:rPr>
          <w:t>4</w:t>
        </w:r>
        <w:r>
          <w:rPr>
            <w:noProof/>
            <w:webHidden/>
          </w:rPr>
          <w:fldChar w:fldCharType="end"/>
        </w:r>
      </w:hyperlink>
    </w:p>
    <w:p w14:paraId="1053C0EB" w14:textId="1647C0F5" w:rsidR="00AB2BAA" w:rsidRDefault="00AB2BAA">
      <w:pPr>
        <w:pStyle w:val="TOC1"/>
        <w:rPr>
          <w:rFonts w:asciiTheme="minorHAnsi" w:eastAsiaTheme="minorEastAsia" w:hAnsiTheme="minorHAnsi" w:cstheme="minorBidi"/>
          <w:noProof/>
          <w:kern w:val="2"/>
          <w:sz w:val="22"/>
          <w:szCs w:val="22"/>
          <w:lang w:eastAsia="en-NZ"/>
          <w14:ligatures w14:val="standardContextual"/>
        </w:rPr>
      </w:pPr>
      <w:hyperlink w:anchor="_Toc185338883" w:history="1">
        <w:r w:rsidRPr="00065A54">
          <w:rPr>
            <w:rStyle w:val="Hyperlink"/>
            <w:noProof/>
          </w:rPr>
          <w:t>A new Strategy to Prevent and Minimise Gambling Harm</w:t>
        </w:r>
        <w:r>
          <w:rPr>
            <w:noProof/>
            <w:webHidden/>
          </w:rPr>
          <w:tab/>
        </w:r>
        <w:r>
          <w:rPr>
            <w:noProof/>
            <w:webHidden/>
          </w:rPr>
          <w:fldChar w:fldCharType="begin"/>
        </w:r>
        <w:r>
          <w:rPr>
            <w:noProof/>
            <w:webHidden/>
          </w:rPr>
          <w:instrText xml:space="preserve"> PAGEREF _Toc185338883 \h </w:instrText>
        </w:r>
        <w:r>
          <w:rPr>
            <w:noProof/>
            <w:webHidden/>
          </w:rPr>
        </w:r>
        <w:r>
          <w:rPr>
            <w:noProof/>
            <w:webHidden/>
          </w:rPr>
          <w:fldChar w:fldCharType="separate"/>
        </w:r>
        <w:r w:rsidR="0094542E">
          <w:rPr>
            <w:noProof/>
            <w:webHidden/>
          </w:rPr>
          <w:t>5</w:t>
        </w:r>
        <w:r>
          <w:rPr>
            <w:noProof/>
            <w:webHidden/>
          </w:rPr>
          <w:fldChar w:fldCharType="end"/>
        </w:r>
      </w:hyperlink>
    </w:p>
    <w:p w14:paraId="781CBFC9" w14:textId="07B0F032" w:rsidR="00AB2BAA" w:rsidRDefault="00AB2BAA">
      <w:pPr>
        <w:pStyle w:val="TOC1"/>
        <w:rPr>
          <w:rFonts w:asciiTheme="minorHAnsi" w:eastAsiaTheme="minorEastAsia" w:hAnsiTheme="minorHAnsi" w:cstheme="minorBidi"/>
          <w:noProof/>
          <w:kern w:val="2"/>
          <w:sz w:val="22"/>
          <w:szCs w:val="22"/>
          <w:lang w:eastAsia="en-NZ"/>
          <w14:ligatures w14:val="standardContextual"/>
        </w:rPr>
      </w:pPr>
      <w:hyperlink w:anchor="_Toc185338884" w:history="1">
        <w:r w:rsidRPr="00065A54">
          <w:rPr>
            <w:rStyle w:val="Hyperlink"/>
            <w:noProof/>
          </w:rPr>
          <w:t>The gambling environment</w:t>
        </w:r>
        <w:r>
          <w:rPr>
            <w:noProof/>
            <w:webHidden/>
          </w:rPr>
          <w:tab/>
        </w:r>
        <w:r>
          <w:rPr>
            <w:noProof/>
            <w:webHidden/>
          </w:rPr>
          <w:fldChar w:fldCharType="begin"/>
        </w:r>
        <w:r>
          <w:rPr>
            <w:noProof/>
            <w:webHidden/>
          </w:rPr>
          <w:instrText xml:space="preserve"> PAGEREF _Toc185338884 \h </w:instrText>
        </w:r>
        <w:r>
          <w:rPr>
            <w:noProof/>
            <w:webHidden/>
          </w:rPr>
        </w:r>
        <w:r>
          <w:rPr>
            <w:noProof/>
            <w:webHidden/>
          </w:rPr>
          <w:fldChar w:fldCharType="separate"/>
        </w:r>
        <w:r w:rsidR="0094542E">
          <w:rPr>
            <w:noProof/>
            <w:webHidden/>
          </w:rPr>
          <w:t>7</w:t>
        </w:r>
        <w:r>
          <w:rPr>
            <w:noProof/>
            <w:webHidden/>
          </w:rPr>
          <w:fldChar w:fldCharType="end"/>
        </w:r>
      </w:hyperlink>
    </w:p>
    <w:p w14:paraId="01F6845D" w14:textId="2EA3A24F"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85" w:history="1">
        <w:r w:rsidRPr="00065A54">
          <w:rPr>
            <w:rStyle w:val="Hyperlink"/>
            <w:noProof/>
          </w:rPr>
          <w:t>Participation and expenditure</w:t>
        </w:r>
        <w:r>
          <w:rPr>
            <w:noProof/>
            <w:webHidden/>
          </w:rPr>
          <w:tab/>
        </w:r>
        <w:r>
          <w:rPr>
            <w:noProof/>
            <w:webHidden/>
          </w:rPr>
          <w:fldChar w:fldCharType="begin"/>
        </w:r>
        <w:r>
          <w:rPr>
            <w:noProof/>
            <w:webHidden/>
          </w:rPr>
          <w:instrText xml:space="preserve"> PAGEREF _Toc185338885 \h </w:instrText>
        </w:r>
        <w:r>
          <w:rPr>
            <w:noProof/>
            <w:webHidden/>
          </w:rPr>
        </w:r>
        <w:r>
          <w:rPr>
            <w:noProof/>
            <w:webHidden/>
          </w:rPr>
          <w:fldChar w:fldCharType="separate"/>
        </w:r>
        <w:r w:rsidR="0094542E">
          <w:rPr>
            <w:noProof/>
            <w:webHidden/>
          </w:rPr>
          <w:t>7</w:t>
        </w:r>
        <w:r>
          <w:rPr>
            <w:noProof/>
            <w:webHidden/>
          </w:rPr>
          <w:fldChar w:fldCharType="end"/>
        </w:r>
      </w:hyperlink>
    </w:p>
    <w:p w14:paraId="694082BA" w14:textId="652BA5E2"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86" w:history="1">
        <w:r w:rsidRPr="00065A54">
          <w:rPr>
            <w:rStyle w:val="Hyperlink"/>
            <w:noProof/>
          </w:rPr>
          <w:t>Gambling harm</w:t>
        </w:r>
        <w:r>
          <w:rPr>
            <w:noProof/>
            <w:webHidden/>
          </w:rPr>
          <w:tab/>
        </w:r>
        <w:r>
          <w:rPr>
            <w:noProof/>
            <w:webHidden/>
          </w:rPr>
          <w:fldChar w:fldCharType="begin"/>
        </w:r>
        <w:r>
          <w:rPr>
            <w:noProof/>
            <w:webHidden/>
          </w:rPr>
          <w:instrText xml:space="preserve"> PAGEREF _Toc185338886 \h </w:instrText>
        </w:r>
        <w:r>
          <w:rPr>
            <w:noProof/>
            <w:webHidden/>
          </w:rPr>
        </w:r>
        <w:r>
          <w:rPr>
            <w:noProof/>
            <w:webHidden/>
          </w:rPr>
          <w:fldChar w:fldCharType="separate"/>
        </w:r>
        <w:r w:rsidR="0094542E">
          <w:rPr>
            <w:noProof/>
            <w:webHidden/>
          </w:rPr>
          <w:t>8</w:t>
        </w:r>
        <w:r>
          <w:rPr>
            <w:noProof/>
            <w:webHidden/>
          </w:rPr>
          <w:fldChar w:fldCharType="end"/>
        </w:r>
      </w:hyperlink>
    </w:p>
    <w:p w14:paraId="6AE41A72" w14:textId="32EC57BA"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87" w:history="1">
        <w:r w:rsidRPr="00065A54">
          <w:rPr>
            <w:rStyle w:val="Hyperlink"/>
            <w:noProof/>
          </w:rPr>
          <w:t>Government’s current responses</w:t>
        </w:r>
        <w:r>
          <w:rPr>
            <w:noProof/>
            <w:webHidden/>
          </w:rPr>
          <w:tab/>
        </w:r>
        <w:r>
          <w:rPr>
            <w:noProof/>
            <w:webHidden/>
          </w:rPr>
          <w:fldChar w:fldCharType="begin"/>
        </w:r>
        <w:r>
          <w:rPr>
            <w:noProof/>
            <w:webHidden/>
          </w:rPr>
          <w:instrText xml:space="preserve"> PAGEREF _Toc185338887 \h </w:instrText>
        </w:r>
        <w:r>
          <w:rPr>
            <w:noProof/>
            <w:webHidden/>
          </w:rPr>
        </w:r>
        <w:r>
          <w:rPr>
            <w:noProof/>
            <w:webHidden/>
          </w:rPr>
          <w:fldChar w:fldCharType="separate"/>
        </w:r>
        <w:r w:rsidR="0094542E">
          <w:rPr>
            <w:noProof/>
            <w:webHidden/>
          </w:rPr>
          <w:t>9</w:t>
        </w:r>
        <w:r>
          <w:rPr>
            <w:noProof/>
            <w:webHidden/>
          </w:rPr>
          <w:fldChar w:fldCharType="end"/>
        </w:r>
      </w:hyperlink>
    </w:p>
    <w:p w14:paraId="4BD78871" w14:textId="60D0A3DD" w:rsidR="00AB2BAA" w:rsidRDefault="00AB2BAA">
      <w:pPr>
        <w:pStyle w:val="TOC1"/>
        <w:rPr>
          <w:rFonts w:asciiTheme="minorHAnsi" w:eastAsiaTheme="minorEastAsia" w:hAnsiTheme="minorHAnsi" w:cstheme="minorBidi"/>
          <w:noProof/>
          <w:kern w:val="2"/>
          <w:sz w:val="22"/>
          <w:szCs w:val="22"/>
          <w:lang w:eastAsia="en-NZ"/>
          <w14:ligatures w14:val="standardContextual"/>
        </w:rPr>
      </w:pPr>
      <w:hyperlink w:anchor="_Toc185338888" w:history="1">
        <w:r w:rsidRPr="00065A54">
          <w:rPr>
            <w:rStyle w:val="Hyperlink"/>
            <w:noProof/>
          </w:rPr>
          <w:t>Strategic plan</w:t>
        </w:r>
        <w:r>
          <w:rPr>
            <w:noProof/>
            <w:webHidden/>
          </w:rPr>
          <w:tab/>
        </w:r>
        <w:r>
          <w:rPr>
            <w:noProof/>
            <w:webHidden/>
          </w:rPr>
          <w:fldChar w:fldCharType="begin"/>
        </w:r>
        <w:r>
          <w:rPr>
            <w:noProof/>
            <w:webHidden/>
          </w:rPr>
          <w:instrText xml:space="preserve"> PAGEREF _Toc185338888 \h </w:instrText>
        </w:r>
        <w:r>
          <w:rPr>
            <w:noProof/>
            <w:webHidden/>
          </w:rPr>
        </w:r>
        <w:r>
          <w:rPr>
            <w:noProof/>
            <w:webHidden/>
          </w:rPr>
          <w:fldChar w:fldCharType="separate"/>
        </w:r>
        <w:r w:rsidR="0094542E">
          <w:rPr>
            <w:noProof/>
            <w:webHidden/>
          </w:rPr>
          <w:t>11</w:t>
        </w:r>
        <w:r>
          <w:rPr>
            <w:noProof/>
            <w:webHidden/>
          </w:rPr>
          <w:fldChar w:fldCharType="end"/>
        </w:r>
      </w:hyperlink>
    </w:p>
    <w:p w14:paraId="269A28CD" w14:textId="79F4AB2D"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89" w:history="1">
        <w:r w:rsidRPr="00065A54">
          <w:rPr>
            <w:rStyle w:val="Hyperlink"/>
            <w:noProof/>
          </w:rPr>
          <w:t>Priorities for the mental health and addiction sector</w:t>
        </w:r>
        <w:r>
          <w:rPr>
            <w:noProof/>
            <w:webHidden/>
          </w:rPr>
          <w:tab/>
        </w:r>
        <w:r>
          <w:rPr>
            <w:noProof/>
            <w:webHidden/>
          </w:rPr>
          <w:fldChar w:fldCharType="begin"/>
        </w:r>
        <w:r>
          <w:rPr>
            <w:noProof/>
            <w:webHidden/>
          </w:rPr>
          <w:instrText xml:space="preserve"> PAGEREF _Toc185338889 \h </w:instrText>
        </w:r>
        <w:r>
          <w:rPr>
            <w:noProof/>
            <w:webHidden/>
          </w:rPr>
        </w:r>
        <w:r>
          <w:rPr>
            <w:noProof/>
            <w:webHidden/>
          </w:rPr>
          <w:fldChar w:fldCharType="separate"/>
        </w:r>
        <w:r w:rsidR="0094542E">
          <w:rPr>
            <w:noProof/>
            <w:webHidden/>
          </w:rPr>
          <w:t>11</w:t>
        </w:r>
        <w:r>
          <w:rPr>
            <w:noProof/>
            <w:webHidden/>
          </w:rPr>
          <w:fldChar w:fldCharType="end"/>
        </w:r>
      </w:hyperlink>
    </w:p>
    <w:p w14:paraId="031BFA79" w14:textId="58C4116B"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90" w:history="1">
        <w:r w:rsidRPr="00065A54">
          <w:rPr>
            <w:rStyle w:val="Hyperlink"/>
            <w:noProof/>
          </w:rPr>
          <w:t>Strategic framework for preventing and minimising gambling harm</w:t>
        </w:r>
        <w:r>
          <w:rPr>
            <w:noProof/>
            <w:webHidden/>
          </w:rPr>
          <w:tab/>
        </w:r>
        <w:r>
          <w:rPr>
            <w:noProof/>
            <w:webHidden/>
          </w:rPr>
          <w:fldChar w:fldCharType="begin"/>
        </w:r>
        <w:r>
          <w:rPr>
            <w:noProof/>
            <w:webHidden/>
          </w:rPr>
          <w:instrText xml:space="preserve"> PAGEREF _Toc185338890 \h </w:instrText>
        </w:r>
        <w:r>
          <w:rPr>
            <w:noProof/>
            <w:webHidden/>
          </w:rPr>
        </w:r>
        <w:r>
          <w:rPr>
            <w:noProof/>
            <w:webHidden/>
          </w:rPr>
          <w:fldChar w:fldCharType="separate"/>
        </w:r>
        <w:r w:rsidR="0094542E">
          <w:rPr>
            <w:noProof/>
            <w:webHidden/>
          </w:rPr>
          <w:t>11</w:t>
        </w:r>
        <w:r>
          <w:rPr>
            <w:noProof/>
            <w:webHidden/>
          </w:rPr>
          <w:fldChar w:fldCharType="end"/>
        </w:r>
      </w:hyperlink>
    </w:p>
    <w:p w14:paraId="636497B2" w14:textId="615717C7"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91" w:history="1">
        <w:r w:rsidRPr="00065A54">
          <w:rPr>
            <w:rStyle w:val="Hyperlink"/>
            <w:noProof/>
          </w:rPr>
          <w:t>Links to other strategic documents</w:t>
        </w:r>
        <w:r>
          <w:rPr>
            <w:noProof/>
            <w:webHidden/>
          </w:rPr>
          <w:tab/>
        </w:r>
        <w:r>
          <w:rPr>
            <w:noProof/>
            <w:webHidden/>
          </w:rPr>
          <w:fldChar w:fldCharType="begin"/>
        </w:r>
        <w:r>
          <w:rPr>
            <w:noProof/>
            <w:webHidden/>
          </w:rPr>
          <w:instrText xml:space="preserve"> PAGEREF _Toc185338891 \h </w:instrText>
        </w:r>
        <w:r>
          <w:rPr>
            <w:noProof/>
            <w:webHidden/>
          </w:rPr>
        </w:r>
        <w:r>
          <w:rPr>
            <w:noProof/>
            <w:webHidden/>
          </w:rPr>
          <w:fldChar w:fldCharType="separate"/>
        </w:r>
        <w:r w:rsidR="0094542E">
          <w:rPr>
            <w:noProof/>
            <w:webHidden/>
          </w:rPr>
          <w:t>14</w:t>
        </w:r>
        <w:r>
          <w:rPr>
            <w:noProof/>
            <w:webHidden/>
          </w:rPr>
          <w:fldChar w:fldCharType="end"/>
        </w:r>
      </w:hyperlink>
    </w:p>
    <w:p w14:paraId="251C7A29" w14:textId="329BA7D5" w:rsidR="00AB2BAA" w:rsidRDefault="00AB2BAA">
      <w:pPr>
        <w:pStyle w:val="TOC1"/>
        <w:rPr>
          <w:rFonts w:asciiTheme="minorHAnsi" w:eastAsiaTheme="minorEastAsia" w:hAnsiTheme="minorHAnsi" w:cstheme="minorBidi"/>
          <w:noProof/>
          <w:kern w:val="2"/>
          <w:sz w:val="22"/>
          <w:szCs w:val="22"/>
          <w:lang w:eastAsia="en-NZ"/>
          <w14:ligatures w14:val="standardContextual"/>
        </w:rPr>
      </w:pPr>
      <w:hyperlink w:anchor="_Toc185338892" w:history="1">
        <w:r w:rsidRPr="00065A54">
          <w:rPr>
            <w:rStyle w:val="Hyperlink"/>
            <w:noProof/>
          </w:rPr>
          <w:t>Service plan</w:t>
        </w:r>
        <w:r>
          <w:rPr>
            <w:noProof/>
            <w:webHidden/>
          </w:rPr>
          <w:tab/>
        </w:r>
        <w:r>
          <w:rPr>
            <w:noProof/>
            <w:webHidden/>
          </w:rPr>
          <w:fldChar w:fldCharType="begin"/>
        </w:r>
        <w:r>
          <w:rPr>
            <w:noProof/>
            <w:webHidden/>
          </w:rPr>
          <w:instrText xml:space="preserve"> PAGEREF _Toc185338892 \h </w:instrText>
        </w:r>
        <w:r>
          <w:rPr>
            <w:noProof/>
            <w:webHidden/>
          </w:rPr>
        </w:r>
        <w:r>
          <w:rPr>
            <w:noProof/>
            <w:webHidden/>
          </w:rPr>
          <w:fldChar w:fldCharType="separate"/>
        </w:r>
        <w:r w:rsidR="0094542E">
          <w:rPr>
            <w:noProof/>
            <w:webHidden/>
          </w:rPr>
          <w:t>16</w:t>
        </w:r>
        <w:r>
          <w:rPr>
            <w:noProof/>
            <w:webHidden/>
          </w:rPr>
          <w:fldChar w:fldCharType="end"/>
        </w:r>
      </w:hyperlink>
    </w:p>
    <w:p w14:paraId="50872FFD" w14:textId="5F45E3F2"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93" w:history="1">
        <w:r w:rsidRPr="00065A54">
          <w:rPr>
            <w:rStyle w:val="Hyperlink"/>
            <w:noProof/>
          </w:rPr>
          <w:t>Indicative budget for 2025/26 to 2027/28</w:t>
        </w:r>
        <w:r>
          <w:rPr>
            <w:noProof/>
            <w:webHidden/>
          </w:rPr>
          <w:tab/>
        </w:r>
        <w:r>
          <w:rPr>
            <w:noProof/>
            <w:webHidden/>
          </w:rPr>
          <w:fldChar w:fldCharType="begin"/>
        </w:r>
        <w:r>
          <w:rPr>
            <w:noProof/>
            <w:webHidden/>
          </w:rPr>
          <w:instrText xml:space="preserve"> PAGEREF _Toc185338893 \h </w:instrText>
        </w:r>
        <w:r>
          <w:rPr>
            <w:noProof/>
            <w:webHidden/>
          </w:rPr>
        </w:r>
        <w:r>
          <w:rPr>
            <w:noProof/>
            <w:webHidden/>
          </w:rPr>
          <w:fldChar w:fldCharType="separate"/>
        </w:r>
        <w:r w:rsidR="0094542E">
          <w:rPr>
            <w:noProof/>
            <w:webHidden/>
          </w:rPr>
          <w:t>18</w:t>
        </w:r>
        <w:r>
          <w:rPr>
            <w:noProof/>
            <w:webHidden/>
          </w:rPr>
          <w:fldChar w:fldCharType="end"/>
        </w:r>
      </w:hyperlink>
    </w:p>
    <w:p w14:paraId="6D48E67B" w14:textId="0B522FF1"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94" w:history="1">
        <w:r w:rsidRPr="00065A54">
          <w:rPr>
            <w:rStyle w:val="Hyperlink"/>
            <w:noProof/>
          </w:rPr>
          <w:t>Service plan for 2025/26 to 2027/28</w:t>
        </w:r>
        <w:r>
          <w:rPr>
            <w:noProof/>
            <w:webHidden/>
          </w:rPr>
          <w:tab/>
        </w:r>
        <w:r>
          <w:rPr>
            <w:noProof/>
            <w:webHidden/>
          </w:rPr>
          <w:fldChar w:fldCharType="begin"/>
        </w:r>
        <w:r>
          <w:rPr>
            <w:noProof/>
            <w:webHidden/>
          </w:rPr>
          <w:instrText xml:space="preserve"> PAGEREF _Toc185338894 \h </w:instrText>
        </w:r>
        <w:r>
          <w:rPr>
            <w:noProof/>
            <w:webHidden/>
          </w:rPr>
        </w:r>
        <w:r>
          <w:rPr>
            <w:noProof/>
            <w:webHidden/>
          </w:rPr>
          <w:fldChar w:fldCharType="separate"/>
        </w:r>
        <w:r w:rsidR="0094542E">
          <w:rPr>
            <w:noProof/>
            <w:webHidden/>
          </w:rPr>
          <w:t>19</w:t>
        </w:r>
        <w:r>
          <w:rPr>
            <w:noProof/>
            <w:webHidden/>
          </w:rPr>
          <w:fldChar w:fldCharType="end"/>
        </w:r>
      </w:hyperlink>
    </w:p>
    <w:p w14:paraId="20BEFA44" w14:textId="5CFB275A"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95" w:history="1">
        <w:r w:rsidRPr="00065A54">
          <w:rPr>
            <w:rStyle w:val="Hyperlink"/>
            <w:noProof/>
          </w:rPr>
          <w:t>Research and evaluation</w:t>
        </w:r>
        <w:r>
          <w:rPr>
            <w:noProof/>
            <w:webHidden/>
          </w:rPr>
          <w:tab/>
        </w:r>
        <w:r>
          <w:rPr>
            <w:noProof/>
            <w:webHidden/>
          </w:rPr>
          <w:fldChar w:fldCharType="begin"/>
        </w:r>
        <w:r>
          <w:rPr>
            <w:noProof/>
            <w:webHidden/>
          </w:rPr>
          <w:instrText xml:space="preserve"> PAGEREF _Toc185338895 \h </w:instrText>
        </w:r>
        <w:r>
          <w:rPr>
            <w:noProof/>
            <w:webHidden/>
          </w:rPr>
        </w:r>
        <w:r>
          <w:rPr>
            <w:noProof/>
            <w:webHidden/>
          </w:rPr>
          <w:fldChar w:fldCharType="separate"/>
        </w:r>
        <w:r w:rsidR="0094542E">
          <w:rPr>
            <w:noProof/>
            <w:webHidden/>
          </w:rPr>
          <w:t>22</w:t>
        </w:r>
        <w:r>
          <w:rPr>
            <w:noProof/>
            <w:webHidden/>
          </w:rPr>
          <w:fldChar w:fldCharType="end"/>
        </w:r>
      </w:hyperlink>
    </w:p>
    <w:p w14:paraId="5993C6A9" w14:textId="62453882"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96" w:history="1">
        <w:r w:rsidRPr="00065A54">
          <w:rPr>
            <w:rStyle w:val="Hyperlink"/>
            <w:noProof/>
          </w:rPr>
          <w:t>Agency operating costs</w:t>
        </w:r>
        <w:r>
          <w:rPr>
            <w:noProof/>
            <w:webHidden/>
          </w:rPr>
          <w:tab/>
        </w:r>
        <w:r>
          <w:rPr>
            <w:noProof/>
            <w:webHidden/>
          </w:rPr>
          <w:fldChar w:fldCharType="begin"/>
        </w:r>
        <w:r>
          <w:rPr>
            <w:noProof/>
            <w:webHidden/>
          </w:rPr>
          <w:instrText xml:space="preserve"> PAGEREF _Toc185338896 \h </w:instrText>
        </w:r>
        <w:r>
          <w:rPr>
            <w:noProof/>
            <w:webHidden/>
          </w:rPr>
        </w:r>
        <w:r>
          <w:rPr>
            <w:noProof/>
            <w:webHidden/>
          </w:rPr>
          <w:fldChar w:fldCharType="separate"/>
        </w:r>
        <w:r w:rsidR="0094542E">
          <w:rPr>
            <w:noProof/>
            <w:webHidden/>
          </w:rPr>
          <w:t>23</w:t>
        </w:r>
        <w:r>
          <w:rPr>
            <w:noProof/>
            <w:webHidden/>
          </w:rPr>
          <w:fldChar w:fldCharType="end"/>
        </w:r>
      </w:hyperlink>
    </w:p>
    <w:p w14:paraId="153937EF" w14:textId="512DC808" w:rsidR="00AB2BAA" w:rsidRDefault="00AB2BAA">
      <w:pPr>
        <w:pStyle w:val="TOC1"/>
        <w:rPr>
          <w:rFonts w:asciiTheme="minorHAnsi" w:eastAsiaTheme="minorEastAsia" w:hAnsiTheme="minorHAnsi" w:cstheme="minorBidi"/>
          <w:noProof/>
          <w:kern w:val="2"/>
          <w:sz w:val="22"/>
          <w:szCs w:val="22"/>
          <w:lang w:eastAsia="en-NZ"/>
          <w14:ligatures w14:val="standardContextual"/>
        </w:rPr>
      </w:pPr>
      <w:hyperlink w:anchor="_Toc185338897" w:history="1">
        <w:r w:rsidRPr="00065A54">
          <w:rPr>
            <w:rStyle w:val="Hyperlink"/>
            <w:noProof/>
          </w:rPr>
          <w:t>Problem gambling levy</w:t>
        </w:r>
        <w:r>
          <w:rPr>
            <w:noProof/>
            <w:webHidden/>
          </w:rPr>
          <w:tab/>
        </w:r>
        <w:r>
          <w:rPr>
            <w:noProof/>
            <w:webHidden/>
          </w:rPr>
          <w:fldChar w:fldCharType="begin"/>
        </w:r>
        <w:r>
          <w:rPr>
            <w:noProof/>
            <w:webHidden/>
          </w:rPr>
          <w:instrText xml:space="preserve"> PAGEREF _Toc185338897 \h </w:instrText>
        </w:r>
        <w:r>
          <w:rPr>
            <w:noProof/>
            <w:webHidden/>
          </w:rPr>
        </w:r>
        <w:r>
          <w:rPr>
            <w:noProof/>
            <w:webHidden/>
          </w:rPr>
          <w:fldChar w:fldCharType="separate"/>
        </w:r>
        <w:r w:rsidR="0094542E">
          <w:rPr>
            <w:noProof/>
            <w:webHidden/>
          </w:rPr>
          <w:t>24</w:t>
        </w:r>
        <w:r>
          <w:rPr>
            <w:noProof/>
            <w:webHidden/>
          </w:rPr>
          <w:fldChar w:fldCharType="end"/>
        </w:r>
      </w:hyperlink>
    </w:p>
    <w:p w14:paraId="4F238CF0" w14:textId="473B4E55"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98" w:history="1">
        <w:r w:rsidRPr="00065A54">
          <w:rPr>
            <w:rStyle w:val="Hyperlink"/>
            <w:noProof/>
          </w:rPr>
          <w:t>Setting the Problem Gambling Levy</w:t>
        </w:r>
        <w:r>
          <w:rPr>
            <w:noProof/>
            <w:webHidden/>
          </w:rPr>
          <w:tab/>
        </w:r>
        <w:r>
          <w:rPr>
            <w:noProof/>
            <w:webHidden/>
          </w:rPr>
          <w:fldChar w:fldCharType="begin"/>
        </w:r>
        <w:r>
          <w:rPr>
            <w:noProof/>
            <w:webHidden/>
          </w:rPr>
          <w:instrText xml:space="preserve"> PAGEREF _Toc185338898 \h </w:instrText>
        </w:r>
        <w:r>
          <w:rPr>
            <w:noProof/>
            <w:webHidden/>
          </w:rPr>
        </w:r>
        <w:r>
          <w:rPr>
            <w:noProof/>
            <w:webHidden/>
          </w:rPr>
          <w:fldChar w:fldCharType="separate"/>
        </w:r>
        <w:r w:rsidR="0094542E">
          <w:rPr>
            <w:noProof/>
            <w:webHidden/>
          </w:rPr>
          <w:t>24</w:t>
        </w:r>
        <w:r>
          <w:rPr>
            <w:noProof/>
            <w:webHidden/>
          </w:rPr>
          <w:fldChar w:fldCharType="end"/>
        </w:r>
      </w:hyperlink>
    </w:p>
    <w:p w14:paraId="21E2A71C" w14:textId="2A2E45E0"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899" w:history="1">
        <w:r w:rsidRPr="00065A54">
          <w:rPr>
            <w:rStyle w:val="Hyperlink"/>
            <w:noProof/>
          </w:rPr>
          <w:t>Process for setting the levy rates</w:t>
        </w:r>
        <w:r>
          <w:rPr>
            <w:noProof/>
            <w:webHidden/>
          </w:rPr>
          <w:tab/>
        </w:r>
        <w:r>
          <w:rPr>
            <w:noProof/>
            <w:webHidden/>
          </w:rPr>
          <w:fldChar w:fldCharType="begin"/>
        </w:r>
        <w:r>
          <w:rPr>
            <w:noProof/>
            <w:webHidden/>
          </w:rPr>
          <w:instrText xml:space="preserve"> PAGEREF _Toc185338899 \h </w:instrText>
        </w:r>
        <w:r>
          <w:rPr>
            <w:noProof/>
            <w:webHidden/>
          </w:rPr>
        </w:r>
        <w:r>
          <w:rPr>
            <w:noProof/>
            <w:webHidden/>
          </w:rPr>
          <w:fldChar w:fldCharType="separate"/>
        </w:r>
        <w:r w:rsidR="0094542E">
          <w:rPr>
            <w:noProof/>
            <w:webHidden/>
          </w:rPr>
          <w:t>25</w:t>
        </w:r>
        <w:r>
          <w:rPr>
            <w:noProof/>
            <w:webHidden/>
          </w:rPr>
          <w:fldChar w:fldCharType="end"/>
        </w:r>
      </w:hyperlink>
    </w:p>
    <w:p w14:paraId="0F31A16F" w14:textId="204A24F7"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900" w:history="1">
        <w:r w:rsidRPr="00065A54">
          <w:rPr>
            <w:rStyle w:val="Hyperlink"/>
            <w:noProof/>
          </w:rPr>
          <w:t>The levy formula</w:t>
        </w:r>
        <w:r>
          <w:rPr>
            <w:noProof/>
            <w:webHidden/>
          </w:rPr>
          <w:tab/>
        </w:r>
        <w:r>
          <w:rPr>
            <w:noProof/>
            <w:webHidden/>
          </w:rPr>
          <w:fldChar w:fldCharType="begin"/>
        </w:r>
        <w:r>
          <w:rPr>
            <w:noProof/>
            <w:webHidden/>
          </w:rPr>
          <w:instrText xml:space="preserve"> PAGEREF _Toc185338900 \h </w:instrText>
        </w:r>
        <w:r>
          <w:rPr>
            <w:noProof/>
            <w:webHidden/>
          </w:rPr>
        </w:r>
        <w:r>
          <w:rPr>
            <w:noProof/>
            <w:webHidden/>
          </w:rPr>
          <w:fldChar w:fldCharType="separate"/>
        </w:r>
        <w:r w:rsidR="0094542E">
          <w:rPr>
            <w:noProof/>
            <w:webHidden/>
          </w:rPr>
          <w:t>26</w:t>
        </w:r>
        <w:r>
          <w:rPr>
            <w:noProof/>
            <w:webHidden/>
          </w:rPr>
          <w:fldChar w:fldCharType="end"/>
        </w:r>
      </w:hyperlink>
    </w:p>
    <w:p w14:paraId="7E0AE501" w14:textId="54401213" w:rsidR="00AB2BAA" w:rsidRDefault="00AB2BAA">
      <w:pPr>
        <w:pStyle w:val="TOC2"/>
        <w:rPr>
          <w:rFonts w:asciiTheme="minorHAnsi" w:eastAsiaTheme="minorEastAsia" w:hAnsiTheme="minorHAnsi" w:cstheme="minorBidi"/>
          <w:noProof/>
          <w:kern w:val="2"/>
          <w:szCs w:val="22"/>
          <w:lang w:eastAsia="en-NZ"/>
          <w14:ligatures w14:val="standardContextual"/>
        </w:rPr>
      </w:pPr>
      <w:hyperlink w:anchor="_Toc185338901" w:history="1">
        <w:r w:rsidRPr="00065A54">
          <w:rPr>
            <w:rStyle w:val="Hyperlink"/>
            <w:noProof/>
          </w:rPr>
          <w:t>Weighting options and levy calculations</w:t>
        </w:r>
        <w:r>
          <w:rPr>
            <w:noProof/>
            <w:webHidden/>
          </w:rPr>
          <w:tab/>
        </w:r>
        <w:r>
          <w:rPr>
            <w:noProof/>
            <w:webHidden/>
          </w:rPr>
          <w:fldChar w:fldCharType="begin"/>
        </w:r>
        <w:r>
          <w:rPr>
            <w:noProof/>
            <w:webHidden/>
          </w:rPr>
          <w:instrText xml:space="preserve"> PAGEREF _Toc185338901 \h </w:instrText>
        </w:r>
        <w:r>
          <w:rPr>
            <w:noProof/>
            <w:webHidden/>
          </w:rPr>
        </w:r>
        <w:r>
          <w:rPr>
            <w:noProof/>
            <w:webHidden/>
          </w:rPr>
          <w:fldChar w:fldCharType="separate"/>
        </w:r>
        <w:r w:rsidR="0094542E">
          <w:rPr>
            <w:noProof/>
            <w:webHidden/>
          </w:rPr>
          <w:t>28</w:t>
        </w:r>
        <w:r>
          <w:rPr>
            <w:noProof/>
            <w:webHidden/>
          </w:rPr>
          <w:fldChar w:fldCharType="end"/>
        </w:r>
      </w:hyperlink>
    </w:p>
    <w:p w14:paraId="133A9219" w14:textId="030054B9" w:rsidR="00C86248" w:rsidRDefault="00AB2BAA">
      <w:r>
        <w:rPr>
          <w:rFonts w:ascii="Segoe UI Semibold" w:hAnsi="Segoe UI Semibold"/>
          <w:b/>
          <w:sz w:val="24"/>
        </w:rPr>
        <w:fldChar w:fldCharType="end"/>
      </w:r>
    </w:p>
    <w:p w14:paraId="49038387" w14:textId="77777777" w:rsidR="003A5FEA" w:rsidRDefault="003A5FEA" w:rsidP="001D3E4E">
      <w:pPr>
        <w:pStyle w:val="TOC1"/>
        <w:keepNext/>
      </w:pPr>
      <w:r>
        <w:t>List of Figures</w:t>
      </w:r>
    </w:p>
    <w:p w14:paraId="77E419E5" w14:textId="443DB474" w:rsidR="00AB2BAA" w:rsidRDefault="00AB2BAA">
      <w:pPr>
        <w:pStyle w:val="TOC3"/>
        <w:rPr>
          <w:rFonts w:asciiTheme="minorHAnsi" w:eastAsiaTheme="minorEastAsia" w:hAnsiTheme="minorHAnsi" w:cstheme="minorBidi"/>
          <w:noProof/>
          <w:kern w:val="2"/>
          <w:sz w:val="22"/>
          <w:szCs w:val="22"/>
          <w:lang w:eastAsia="en-NZ"/>
          <w14:ligatures w14:val="standardContextual"/>
        </w:rPr>
      </w:pPr>
      <w:r>
        <w:fldChar w:fldCharType="begin"/>
      </w:r>
      <w:r>
        <w:instrText xml:space="preserve"> TOC \h \z \t "Figure,3" </w:instrText>
      </w:r>
      <w:r>
        <w:fldChar w:fldCharType="separate"/>
      </w:r>
      <w:hyperlink w:anchor="_Toc185338912" w:history="1">
        <w:r w:rsidRPr="00752B76">
          <w:rPr>
            <w:rStyle w:val="Hyperlink"/>
            <w:noProof/>
          </w:rPr>
          <w:t xml:space="preserve">Figure 1: </w:t>
        </w:r>
        <w:r w:rsidRPr="00752B76">
          <w:rPr>
            <w:rStyle w:val="Hyperlink"/>
            <w:rFonts w:eastAsia="Lucida Sans Unicode"/>
            <w:noProof/>
          </w:rPr>
          <w:t>Gambling by type, 2020 (% of population aged 15+)</w:t>
        </w:r>
        <w:r>
          <w:rPr>
            <w:noProof/>
            <w:webHidden/>
          </w:rPr>
          <w:tab/>
        </w:r>
        <w:r>
          <w:rPr>
            <w:noProof/>
            <w:webHidden/>
          </w:rPr>
          <w:fldChar w:fldCharType="begin"/>
        </w:r>
        <w:r>
          <w:rPr>
            <w:noProof/>
            <w:webHidden/>
          </w:rPr>
          <w:instrText xml:space="preserve"> PAGEREF _Toc185338912 \h </w:instrText>
        </w:r>
        <w:r>
          <w:rPr>
            <w:noProof/>
            <w:webHidden/>
          </w:rPr>
        </w:r>
        <w:r>
          <w:rPr>
            <w:noProof/>
            <w:webHidden/>
          </w:rPr>
          <w:fldChar w:fldCharType="separate"/>
        </w:r>
        <w:r w:rsidR="0094542E">
          <w:rPr>
            <w:noProof/>
            <w:webHidden/>
          </w:rPr>
          <w:t>7</w:t>
        </w:r>
        <w:r>
          <w:rPr>
            <w:noProof/>
            <w:webHidden/>
          </w:rPr>
          <w:fldChar w:fldCharType="end"/>
        </w:r>
      </w:hyperlink>
    </w:p>
    <w:p w14:paraId="04C250D1" w14:textId="61B6214D" w:rsidR="00AB2BAA" w:rsidRDefault="00AB2BAA">
      <w:pPr>
        <w:pStyle w:val="TOC3"/>
        <w:rPr>
          <w:rFonts w:asciiTheme="minorHAnsi" w:eastAsiaTheme="minorEastAsia" w:hAnsiTheme="minorHAnsi" w:cstheme="minorBidi"/>
          <w:noProof/>
          <w:kern w:val="2"/>
          <w:sz w:val="22"/>
          <w:szCs w:val="22"/>
          <w:lang w:eastAsia="en-NZ"/>
          <w14:ligatures w14:val="standardContextual"/>
        </w:rPr>
      </w:pPr>
      <w:hyperlink w:anchor="_Toc185338913" w:history="1">
        <w:r w:rsidRPr="00752B76">
          <w:rPr>
            <w:rStyle w:val="Hyperlink"/>
            <w:noProof/>
          </w:rPr>
          <w:t>Figure 2: Strategic framework for preventing and minimising gambling harm in New Zealand</w:t>
        </w:r>
        <w:r>
          <w:rPr>
            <w:noProof/>
            <w:webHidden/>
          </w:rPr>
          <w:tab/>
        </w:r>
        <w:r>
          <w:rPr>
            <w:noProof/>
            <w:webHidden/>
          </w:rPr>
          <w:fldChar w:fldCharType="begin"/>
        </w:r>
        <w:r>
          <w:rPr>
            <w:noProof/>
            <w:webHidden/>
          </w:rPr>
          <w:instrText xml:space="preserve"> PAGEREF _Toc185338913 \h </w:instrText>
        </w:r>
        <w:r>
          <w:rPr>
            <w:noProof/>
            <w:webHidden/>
          </w:rPr>
        </w:r>
        <w:r>
          <w:rPr>
            <w:noProof/>
            <w:webHidden/>
          </w:rPr>
          <w:fldChar w:fldCharType="separate"/>
        </w:r>
        <w:r w:rsidR="0094542E">
          <w:rPr>
            <w:noProof/>
            <w:webHidden/>
          </w:rPr>
          <w:t>13</w:t>
        </w:r>
        <w:r>
          <w:rPr>
            <w:noProof/>
            <w:webHidden/>
          </w:rPr>
          <w:fldChar w:fldCharType="end"/>
        </w:r>
      </w:hyperlink>
    </w:p>
    <w:p w14:paraId="2DA327AF" w14:textId="60758D74" w:rsidR="00AB2BAA" w:rsidRDefault="00AB2BAA">
      <w:pPr>
        <w:pStyle w:val="TOC3"/>
        <w:rPr>
          <w:rFonts w:asciiTheme="minorHAnsi" w:eastAsiaTheme="minorEastAsia" w:hAnsiTheme="minorHAnsi" w:cstheme="minorBidi"/>
          <w:noProof/>
          <w:kern w:val="2"/>
          <w:sz w:val="22"/>
          <w:szCs w:val="22"/>
          <w:lang w:eastAsia="en-NZ"/>
          <w14:ligatures w14:val="standardContextual"/>
        </w:rPr>
      </w:pPr>
      <w:hyperlink w:anchor="_Toc185338914" w:history="1">
        <w:r w:rsidRPr="00752B76">
          <w:rPr>
            <w:rStyle w:val="Hyperlink"/>
            <w:noProof/>
          </w:rPr>
          <w:t xml:space="preserve">Figure 3: </w:t>
        </w:r>
        <w:r w:rsidRPr="00752B76">
          <w:rPr>
            <w:rStyle w:val="Hyperlink"/>
            <w:rFonts w:eastAsia="Segoe UI"/>
            <w:noProof/>
          </w:rPr>
          <w:t>Continuum of gambling behaviour and responses (based on Korn and Shaffer 1999)</w:t>
        </w:r>
        <w:r>
          <w:rPr>
            <w:noProof/>
            <w:webHidden/>
          </w:rPr>
          <w:tab/>
        </w:r>
        <w:r>
          <w:rPr>
            <w:noProof/>
            <w:webHidden/>
          </w:rPr>
          <w:fldChar w:fldCharType="begin"/>
        </w:r>
        <w:r>
          <w:rPr>
            <w:noProof/>
            <w:webHidden/>
          </w:rPr>
          <w:instrText xml:space="preserve"> PAGEREF _Toc185338914 \h </w:instrText>
        </w:r>
        <w:r>
          <w:rPr>
            <w:noProof/>
            <w:webHidden/>
          </w:rPr>
        </w:r>
        <w:r>
          <w:rPr>
            <w:noProof/>
            <w:webHidden/>
          </w:rPr>
          <w:fldChar w:fldCharType="separate"/>
        </w:r>
        <w:r w:rsidR="0094542E">
          <w:rPr>
            <w:noProof/>
            <w:webHidden/>
          </w:rPr>
          <w:t>18</w:t>
        </w:r>
        <w:r>
          <w:rPr>
            <w:noProof/>
            <w:webHidden/>
          </w:rPr>
          <w:fldChar w:fldCharType="end"/>
        </w:r>
      </w:hyperlink>
    </w:p>
    <w:p w14:paraId="05CC63FD" w14:textId="67364288" w:rsidR="003A5FEA" w:rsidRDefault="00AB2BAA" w:rsidP="003A5FEA">
      <w:r>
        <w:fldChar w:fldCharType="end"/>
      </w:r>
    </w:p>
    <w:p w14:paraId="0D248541" w14:textId="77777777" w:rsidR="002B76A7" w:rsidRDefault="002B76A7" w:rsidP="002B76A7">
      <w:pPr>
        <w:pStyle w:val="TOC1"/>
        <w:keepNext/>
      </w:pPr>
      <w:r>
        <w:lastRenderedPageBreak/>
        <w:t>List of Tables</w:t>
      </w:r>
    </w:p>
    <w:p w14:paraId="730AF88E" w14:textId="2F67D867" w:rsidR="00AB2BAA" w:rsidRDefault="00AB2BAA">
      <w:pPr>
        <w:pStyle w:val="TOC3"/>
        <w:rPr>
          <w:rFonts w:asciiTheme="minorHAnsi" w:eastAsiaTheme="minorEastAsia" w:hAnsiTheme="minorHAnsi" w:cstheme="minorBidi"/>
          <w:noProof/>
          <w:kern w:val="2"/>
          <w:sz w:val="22"/>
          <w:szCs w:val="22"/>
          <w:lang w:eastAsia="en-NZ"/>
          <w14:ligatures w14:val="standardContextual"/>
        </w:rPr>
      </w:pPr>
      <w:r>
        <w:rPr>
          <w:sz w:val="20"/>
        </w:rPr>
        <w:fldChar w:fldCharType="begin"/>
      </w:r>
      <w:r>
        <w:rPr>
          <w:sz w:val="20"/>
        </w:rPr>
        <w:instrText xml:space="preserve"> TOC \h \z \t "Table,3" </w:instrText>
      </w:r>
      <w:r>
        <w:rPr>
          <w:sz w:val="20"/>
        </w:rPr>
        <w:fldChar w:fldCharType="separate"/>
      </w:r>
      <w:hyperlink w:anchor="_Toc185338902" w:history="1">
        <w:r w:rsidRPr="0000456E">
          <w:rPr>
            <w:rStyle w:val="Hyperlink"/>
            <w:noProof/>
          </w:rPr>
          <w:t>Table 1: Summary of service plan and b</w:t>
        </w:r>
        <w:r w:rsidRPr="0000456E">
          <w:rPr>
            <w:rStyle w:val="Hyperlink"/>
            <w:rFonts w:eastAsia="Lucida Sans Unicode"/>
            <w:noProof/>
          </w:rPr>
          <w:t>udget to prevent and minimise gambling harm (in $ millions – GST exclusive), 2025/26 to 2027/28</w:t>
        </w:r>
        <w:r>
          <w:rPr>
            <w:noProof/>
            <w:webHidden/>
          </w:rPr>
          <w:tab/>
        </w:r>
        <w:r>
          <w:rPr>
            <w:noProof/>
            <w:webHidden/>
          </w:rPr>
          <w:fldChar w:fldCharType="begin"/>
        </w:r>
        <w:r>
          <w:rPr>
            <w:noProof/>
            <w:webHidden/>
          </w:rPr>
          <w:instrText xml:space="preserve"> PAGEREF _Toc185338902 \h </w:instrText>
        </w:r>
        <w:r>
          <w:rPr>
            <w:noProof/>
            <w:webHidden/>
          </w:rPr>
        </w:r>
        <w:r>
          <w:rPr>
            <w:noProof/>
            <w:webHidden/>
          </w:rPr>
          <w:fldChar w:fldCharType="separate"/>
        </w:r>
        <w:r w:rsidR="0094542E">
          <w:rPr>
            <w:noProof/>
            <w:webHidden/>
          </w:rPr>
          <w:t>21</w:t>
        </w:r>
        <w:r>
          <w:rPr>
            <w:noProof/>
            <w:webHidden/>
          </w:rPr>
          <w:fldChar w:fldCharType="end"/>
        </w:r>
      </w:hyperlink>
    </w:p>
    <w:p w14:paraId="06EE64E3" w14:textId="2EF23827" w:rsidR="00AB2BAA" w:rsidRDefault="00AB2BAA">
      <w:pPr>
        <w:pStyle w:val="TOC3"/>
        <w:rPr>
          <w:rFonts w:asciiTheme="minorHAnsi" w:eastAsiaTheme="minorEastAsia" w:hAnsiTheme="minorHAnsi" w:cstheme="minorBidi"/>
          <w:noProof/>
          <w:kern w:val="2"/>
          <w:sz w:val="22"/>
          <w:szCs w:val="22"/>
          <w:lang w:eastAsia="en-NZ"/>
          <w14:ligatures w14:val="standardContextual"/>
        </w:rPr>
      </w:pPr>
      <w:hyperlink w:anchor="_Toc185338903" w:history="1">
        <w:r w:rsidRPr="0000456E">
          <w:rPr>
            <w:rStyle w:val="Hyperlink"/>
            <w:noProof/>
          </w:rPr>
          <w:t xml:space="preserve">Table 2: </w:t>
        </w:r>
        <w:r w:rsidRPr="0000456E">
          <w:rPr>
            <w:rStyle w:val="Hyperlink"/>
            <w:rFonts w:eastAsia="Calibri"/>
            <w:noProof/>
          </w:rPr>
          <w:t>Gambling harm research and evaluation framework</w:t>
        </w:r>
        <w:r>
          <w:rPr>
            <w:noProof/>
            <w:webHidden/>
          </w:rPr>
          <w:tab/>
        </w:r>
        <w:r>
          <w:rPr>
            <w:noProof/>
            <w:webHidden/>
          </w:rPr>
          <w:fldChar w:fldCharType="begin"/>
        </w:r>
        <w:r>
          <w:rPr>
            <w:noProof/>
            <w:webHidden/>
          </w:rPr>
          <w:instrText xml:space="preserve"> PAGEREF _Toc185338903 \h </w:instrText>
        </w:r>
        <w:r>
          <w:rPr>
            <w:noProof/>
            <w:webHidden/>
          </w:rPr>
        </w:r>
        <w:r>
          <w:rPr>
            <w:noProof/>
            <w:webHidden/>
          </w:rPr>
          <w:fldChar w:fldCharType="separate"/>
        </w:r>
        <w:r w:rsidR="0094542E">
          <w:rPr>
            <w:noProof/>
            <w:webHidden/>
          </w:rPr>
          <w:t>22</w:t>
        </w:r>
        <w:r>
          <w:rPr>
            <w:noProof/>
            <w:webHidden/>
          </w:rPr>
          <w:fldChar w:fldCharType="end"/>
        </w:r>
      </w:hyperlink>
    </w:p>
    <w:p w14:paraId="02A11157" w14:textId="2F98B717" w:rsidR="00AB2BAA" w:rsidRDefault="00AB2BAA">
      <w:pPr>
        <w:pStyle w:val="TOC3"/>
        <w:rPr>
          <w:rFonts w:asciiTheme="minorHAnsi" w:eastAsiaTheme="minorEastAsia" w:hAnsiTheme="minorHAnsi" w:cstheme="minorBidi"/>
          <w:noProof/>
          <w:kern w:val="2"/>
          <w:sz w:val="22"/>
          <w:szCs w:val="22"/>
          <w:lang w:eastAsia="en-NZ"/>
          <w14:ligatures w14:val="standardContextual"/>
        </w:rPr>
      </w:pPr>
      <w:hyperlink w:anchor="_Toc185338904" w:history="1">
        <w:r w:rsidRPr="0000456E">
          <w:rPr>
            <w:rStyle w:val="Hyperlink"/>
            <w:noProof/>
          </w:rPr>
          <w:t xml:space="preserve">Table 3: </w:t>
        </w:r>
        <w:r w:rsidRPr="0000456E">
          <w:rPr>
            <w:rStyle w:val="Hyperlink"/>
            <w:rFonts w:eastAsia="Segoe UI"/>
            <w:noProof/>
          </w:rPr>
          <w:t>Research and evaluation budget in millions (GST-exclusive), 2025/26 to 2027/28</w:t>
        </w:r>
        <w:r>
          <w:rPr>
            <w:noProof/>
            <w:webHidden/>
          </w:rPr>
          <w:tab/>
        </w:r>
        <w:r>
          <w:rPr>
            <w:noProof/>
            <w:webHidden/>
          </w:rPr>
          <w:fldChar w:fldCharType="begin"/>
        </w:r>
        <w:r>
          <w:rPr>
            <w:noProof/>
            <w:webHidden/>
          </w:rPr>
          <w:instrText xml:space="preserve"> PAGEREF _Toc185338904 \h </w:instrText>
        </w:r>
        <w:r>
          <w:rPr>
            <w:noProof/>
            <w:webHidden/>
          </w:rPr>
        </w:r>
        <w:r>
          <w:rPr>
            <w:noProof/>
            <w:webHidden/>
          </w:rPr>
          <w:fldChar w:fldCharType="separate"/>
        </w:r>
        <w:r w:rsidR="0094542E">
          <w:rPr>
            <w:noProof/>
            <w:webHidden/>
          </w:rPr>
          <w:t>23</w:t>
        </w:r>
        <w:r>
          <w:rPr>
            <w:noProof/>
            <w:webHidden/>
          </w:rPr>
          <w:fldChar w:fldCharType="end"/>
        </w:r>
      </w:hyperlink>
    </w:p>
    <w:p w14:paraId="7822E4E8" w14:textId="7E008C3C" w:rsidR="00AB2BAA" w:rsidRDefault="00AB2BAA">
      <w:pPr>
        <w:pStyle w:val="TOC3"/>
        <w:rPr>
          <w:rFonts w:asciiTheme="minorHAnsi" w:eastAsiaTheme="minorEastAsia" w:hAnsiTheme="minorHAnsi" w:cstheme="minorBidi"/>
          <w:noProof/>
          <w:kern w:val="2"/>
          <w:sz w:val="22"/>
          <w:szCs w:val="22"/>
          <w:lang w:eastAsia="en-NZ"/>
          <w14:ligatures w14:val="standardContextual"/>
        </w:rPr>
      </w:pPr>
      <w:hyperlink w:anchor="_Toc185338905" w:history="1">
        <w:r w:rsidRPr="0000456E">
          <w:rPr>
            <w:rStyle w:val="Hyperlink"/>
            <w:noProof/>
          </w:rPr>
          <w:t xml:space="preserve">Table 4: </w:t>
        </w:r>
        <w:r w:rsidRPr="0000456E">
          <w:rPr>
            <w:rStyle w:val="Hyperlink"/>
            <w:rFonts w:eastAsia="Lucida Sans Unicode"/>
            <w:noProof/>
          </w:rPr>
          <w:t>Budget agency operating costs in $ millions (GST exclusive), 2025/26 to 2027/28</w:t>
        </w:r>
        <w:r>
          <w:rPr>
            <w:noProof/>
            <w:webHidden/>
          </w:rPr>
          <w:tab/>
        </w:r>
        <w:r>
          <w:rPr>
            <w:noProof/>
            <w:webHidden/>
          </w:rPr>
          <w:fldChar w:fldCharType="begin"/>
        </w:r>
        <w:r>
          <w:rPr>
            <w:noProof/>
            <w:webHidden/>
          </w:rPr>
          <w:instrText xml:space="preserve"> PAGEREF _Toc185338905 \h </w:instrText>
        </w:r>
        <w:r>
          <w:rPr>
            <w:noProof/>
            <w:webHidden/>
          </w:rPr>
        </w:r>
        <w:r>
          <w:rPr>
            <w:noProof/>
            <w:webHidden/>
          </w:rPr>
          <w:fldChar w:fldCharType="separate"/>
        </w:r>
        <w:r w:rsidR="0094542E">
          <w:rPr>
            <w:noProof/>
            <w:webHidden/>
          </w:rPr>
          <w:t>23</w:t>
        </w:r>
        <w:r>
          <w:rPr>
            <w:noProof/>
            <w:webHidden/>
          </w:rPr>
          <w:fldChar w:fldCharType="end"/>
        </w:r>
      </w:hyperlink>
    </w:p>
    <w:p w14:paraId="6DB4A239" w14:textId="7FAA8231" w:rsidR="00AB2BAA" w:rsidRDefault="00AB2BAA">
      <w:pPr>
        <w:pStyle w:val="TOC3"/>
        <w:rPr>
          <w:rFonts w:asciiTheme="minorHAnsi" w:eastAsiaTheme="minorEastAsia" w:hAnsiTheme="minorHAnsi" w:cstheme="minorBidi"/>
          <w:noProof/>
          <w:kern w:val="2"/>
          <w:sz w:val="22"/>
          <w:szCs w:val="22"/>
          <w:lang w:eastAsia="en-NZ"/>
          <w14:ligatures w14:val="standardContextual"/>
        </w:rPr>
      </w:pPr>
      <w:hyperlink w:anchor="_Toc185338906" w:history="1">
        <w:r w:rsidRPr="0000456E">
          <w:rPr>
            <w:rStyle w:val="Hyperlink"/>
            <w:noProof/>
          </w:rPr>
          <w:t xml:space="preserve">Table 5: </w:t>
        </w:r>
        <w:r w:rsidRPr="0000456E">
          <w:rPr>
            <w:rStyle w:val="Hyperlink"/>
            <w:rFonts w:eastAsia="Segoe UI"/>
            <w:noProof/>
          </w:rPr>
          <w:t>Share of expenditure (2023/24) and presentations (2023) by levy-paying sector</w:t>
        </w:r>
        <w:r>
          <w:rPr>
            <w:noProof/>
            <w:webHidden/>
          </w:rPr>
          <w:tab/>
        </w:r>
        <w:r>
          <w:rPr>
            <w:noProof/>
            <w:webHidden/>
          </w:rPr>
          <w:fldChar w:fldCharType="begin"/>
        </w:r>
        <w:r>
          <w:rPr>
            <w:noProof/>
            <w:webHidden/>
          </w:rPr>
          <w:instrText xml:space="preserve"> PAGEREF _Toc185338906 \h </w:instrText>
        </w:r>
        <w:r>
          <w:rPr>
            <w:noProof/>
            <w:webHidden/>
          </w:rPr>
        </w:r>
        <w:r>
          <w:rPr>
            <w:noProof/>
            <w:webHidden/>
          </w:rPr>
          <w:fldChar w:fldCharType="separate"/>
        </w:r>
        <w:r w:rsidR="0094542E">
          <w:rPr>
            <w:noProof/>
            <w:webHidden/>
          </w:rPr>
          <w:t>27</w:t>
        </w:r>
        <w:r>
          <w:rPr>
            <w:noProof/>
            <w:webHidden/>
          </w:rPr>
          <w:fldChar w:fldCharType="end"/>
        </w:r>
      </w:hyperlink>
    </w:p>
    <w:p w14:paraId="45C064E9" w14:textId="12AE89DF" w:rsidR="00AB2BAA" w:rsidRDefault="00AB2BAA">
      <w:pPr>
        <w:pStyle w:val="TOC3"/>
        <w:rPr>
          <w:rFonts w:asciiTheme="minorHAnsi" w:eastAsiaTheme="minorEastAsia" w:hAnsiTheme="minorHAnsi" w:cstheme="minorBidi"/>
          <w:noProof/>
          <w:kern w:val="2"/>
          <w:sz w:val="22"/>
          <w:szCs w:val="22"/>
          <w:lang w:eastAsia="en-NZ"/>
          <w14:ligatures w14:val="standardContextual"/>
        </w:rPr>
      </w:pPr>
      <w:hyperlink w:anchor="_Toc185338907" w:history="1">
        <w:r w:rsidRPr="0000456E">
          <w:rPr>
            <w:rStyle w:val="Hyperlink"/>
            <w:noProof/>
          </w:rPr>
          <w:t xml:space="preserve">Table 6: </w:t>
        </w:r>
        <w:r w:rsidRPr="0000456E">
          <w:rPr>
            <w:rStyle w:val="Hyperlink"/>
            <w:rFonts w:eastAsia="Segoe UI"/>
            <w:noProof/>
          </w:rPr>
          <w:t>Estimated levy rates and payments ($m) per sector, 5/95 weighting</w:t>
        </w:r>
        <w:r>
          <w:rPr>
            <w:noProof/>
            <w:webHidden/>
          </w:rPr>
          <w:tab/>
        </w:r>
        <w:r>
          <w:rPr>
            <w:noProof/>
            <w:webHidden/>
          </w:rPr>
          <w:fldChar w:fldCharType="begin"/>
        </w:r>
        <w:r>
          <w:rPr>
            <w:noProof/>
            <w:webHidden/>
          </w:rPr>
          <w:instrText xml:space="preserve"> PAGEREF _Toc185338907 \h </w:instrText>
        </w:r>
        <w:r>
          <w:rPr>
            <w:noProof/>
            <w:webHidden/>
          </w:rPr>
        </w:r>
        <w:r>
          <w:rPr>
            <w:noProof/>
            <w:webHidden/>
          </w:rPr>
          <w:fldChar w:fldCharType="separate"/>
        </w:r>
        <w:r w:rsidR="0094542E">
          <w:rPr>
            <w:noProof/>
            <w:webHidden/>
          </w:rPr>
          <w:t>29</w:t>
        </w:r>
        <w:r>
          <w:rPr>
            <w:noProof/>
            <w:webHidden/>
          </w:rPr>
          <w:fldChar w:fldCharType="end"/>
        </w:r>
      </w:hyperlink>
    </w:p>
    <w:p w14:paraId="00EC1065" w14:textId="140C7B59" w:rsidR="00AB2BAA" w:rsidRDefault="00AB2BAA">
      <w:pPr>
        <w:pStyle w:val="TOC3"/>
        <w:rPr>
          <w:rFonts w:asciiTheme="minorHAnsi" w:eastAsiaTheme="minorEastAsia" w:hAnsiTheme="minorHAnsi" w:cstheme="minorBidi"/>
          <w:noProof/>
          <w:kern w:val="2"/>
          <w:sz w:val="22"/>
          <w:szCs w:val="22"/>
          <w:lang w:eastAsia="en-NZ"/>
          <w14:ligatures w14:val="standardContextual"/>
        </w:rPr>
      </w:pPr>
      <w:hyperlink w:anchor="_Toc185338908" w:history="1">
        <w:r w:rsidRPr="0000456E">
          <w:rPr>
            <w:rStyle w:val="Hyperlink"/>
            <w:noProof/>
          </w:rPr>
          <w:t xml:space="preserve">Table 7: </w:t>
        </w:r>
        <w:r w:rsidRPr="0000456E">
          <w:rPr>
            <w:rStyle w:val="Hyperlink"/>
            <w:rFonts w:eastAsia="Segoe UI"/>
            <w:noProof/>
          </w:rPr>
          <w:t>Estimated levy rates and payments ($m) per sector, 10/90 weighting</w:t>
        </w:r>
        <w:r>
          <w:rPr>
            <w:noProof/>
            <w:webHidden/>
          </w:rPr>
          <w:tab/>
        </w:r>
        <w:r>
          <w:rPr>
            <w:noProof/>
            <w:webHidden/>
          </w:rPr>
          <w:fldChar w:fldCharType="begin"/>
        </w:r>
        <w:r>
          <w:rPr>
            <w:noProof/>
            <w:webHidden/>
          </w:rPr>
          <w:instrText xml:space="preserve"> PAGEREF _Toc185338908 \h </w:instrText>
        </w:r>
        <w:r>
          <w:rPr>
            <w:noProof/>
            <w:webHidden/>
          </w:rPr>
        </w:r>
        <w:r>
          <w:rPr>
            <w:noProof/>
            <w:webHidden/>
          </w:rPr>
          <w:fldChar w:fldCharType="separate"/>
        </w:r>
        <w:r w:rsidR="0094542E">
          <w:rPr>
            <w:noProof/>
            <w:webHidden/>
          </w:rPr>
          <w:t>29</w:t>
        </w:r>
        <w:r>
          <w:rPr>
            <w:noProof/>
            <w:webHidden/>
          </w:rPr>
          <w:fldChar w:fldCharType="end"/>
        </w:r>
      </w:hyperlink>
    </w:p>
    <w:p w14:paraId="7B3DACAF" w14:textId="0B7004EB" w:rsidR="00AB2BAA" w:rsidRDefault="00AB2BAA">
      <w:pPr>
        <w:pStyle w:val="TOC3"/>
        <w:rPr>
          <w:rFonts w:asciiTheme="minorHAnsi" w:eastAsiaTheme="minorEastAsia" w:hAnsiTheme="minorHAnsi" w:cstheme="minorBidi"/>
          <w:noProof/>
          <w:kern w:val="2"/>
          <w:sz w:val="22"/>
          <w:szCs w:val="22"/>
          <w:lang w:eastAsia="en-NZ"/>
          <w14:ligatures w14:val="standardContextual"/>
        </w:rPr>
      </w:pPr>
      <w:hyperlink w:anchor="_Toc185338909" w:history="1">
        <w:r w:rsidRPr="0000456E">
          <w:rPr>
            <w:rStyle w:val="Hyperlink"/>
            <w:noProof/>
          </w:rPr>
          <w:t xml:space="preserve">Table 8: </w:t>
        </w:r>
        <w:r w:rsidRPr="0000456E">
          <w:rPr>
            <w:rStyle w:val="Hyperlink"/>
            <w:rFonts w:eastAsia="Segoe UI"/>
            <w:noProof/>
          </w:rPr>
          <w:t>Estimated levy rates and payments ($m) per sector, 20/80 weighting</w:t>
        </w:r>
        <w:r>
          <w:rPr>
            <w:noProof/>
            <w:webHidden/>
          </w:rPr>
          <w:tab/>
        </w:r>
        <w:r>
          <w:rPr>
            <w:noProof/>
            <w:webHidden/>
          </w:rPr>
          <w:fldChar w:fldCharType="begin"/>
        </w:r>
        <w:r>
          <w:rPr>
            <w:noProof/>
            <w:webHidden/>
          </w:rPr>
          <w:instrText xml:space="preserve"> PAGEREF _Toc185338909 \h </w:instrText>
        </w:r>
        <w:r>
          <w:rPr>
            <w:noProof/>
            <w:webHidden/>
          </w:rPr>
        </w:r>
        <w:r>
          <w:rPr>
            <w:noProof/>
            <w:webHidden/>
          </w:rPr>
          <w:fldChar w:fldCharType="separate"/>
        </w:r>
        <w:r w:rsidR="0094542E">
          <w:rPr>
            <w:noProof/>
            <w:webHidden/>
          </w:rPr>
          <w:t>29</w:t>
        </w:r>
        <w:r>
          <w:rPr>
            <w:noProof/>
            <w:webHidden/>
          </w:rPr>
          <w:fldChar w:fldCharType="end"/>
        </w:r>
      </w:hyperlink>
    </w:p>
    <w:p w14:paraId="0816A60C" w14:textId="4097AF42" w:rsidR="00AB2BAA" w:rsidRDefault="00AB2BAA">
      <w:pPr>
        <w:pStyle w:val="TOC3"/>
        <w:rPr>
          <w:rFonts w:asciiTheme="minorHAnsi" w:eastAsiaTheme="minorEastAsia" w:hAnsiTheme="minorHAnsi" w:cstheme="minorBidi"/>
          <w:noProof/>
          <w:kern w:val="2"/>
          <w:sz w:val="22"/>
          <w:szCs w:val="22"/>
          <w:lang w:eastAsia="en-NZ"/>
          <w14:ligatures w14:val="standardContextual"/>
        </w:rPr>
      </w:pPr>
      <w:hyperlink w:anchor="_Toc185338910" w:history="1">
        <w:r w:rsidRPr="0000456E">
          <w:rPr>
            <w:rStyle w:val="Hyperlink"/>
            <w:noProof/>
          </w:rPr>
          <w:t xml:space="preserve">Table 9: </w:t>
        </w:r>
        <w:r w:rsidRPr="0000456E">
          <w:rPr>
            <w:rStyle w:val="Hyperlink"/>
            <w:rFonts w:eastAsia="Segoe UI"/>
            <w:noProof/>
          </w:rPr>
          <w:t>Estimated levy rates and payments ($m) per sector, 30/70 weighting</w:t>
        </w:r>
        <w:r>
          <w:rPr>
            <w:noProof/>
            <w:webHidden/>
          </w:rPr>
          <w:tab/>
        </w:r>
        <w:r>
          <w:rPr>
            <w:noProof/>
            <w:webHidden/>
          </w:rPr>
          <w:fldChar w:fldCharType="begin"/>
        </w:r>
        <w:r>
          <w:rPr>
            <w:noProof/>
            <w:webHidden/>
          </w:rPr>
          <w:instrText xml:space="preserve"> PAGEREF _Toc185338910 \h </w:instrText>
        </w:r>
        <w:r>
          <w:rPr>
            <w:noProof/>
            <w:webHidden/>
          </w:rPr>
        </w:r>
        <w:r>
          <w:rPr>
            <w:noProof/>
            <w:webHidden/>
          </w:rPr>
          <w:fldChar w:fldCharType="separate"/>
        </w:r>
        <w:r w:rsidR="0094542E">
          <w:rPr>
            <w:noProof/>
            <w:webHidden/>
          </w:rPr>
          <w:t>29</w:t>
        </w:r>
        <w:r>
          <w:rPr>
            <w:noProof/>
            <w:webHidden/>
          </w:rPr>
          <w:fldChar w:fldCharType="end"/>
        </w:r>
      </w:hyperlink>
    </w:p>
    <w:p w14:paraId="67ECCBBC" w14:textId="14473071" w:rsidR="00AB2BAA" w:rsidRDefault="00AB2BAA">
      <w:pPr>
        <w:pStyle w:val="TOC3"/>
        <w:rPr>
          <w:rFonts w:asciiTheme="minorHAnsi" w:eastAsiaTheme="minorEastAsia" w:hAnsiTheme="minorHAnsi" w:cstheme="minorBidi"/>
          <w:noProof/>
          <w:kern w:val="2"/>
          <w:sz w:val="22"/>
          <w:szCs w:val="22"/>
          <w:lang w:eastAsia="en-NZ"/>
          <w14:ligatures w14:val="standardContextual"/>
        </w:rPr>
      </w:pPr>
      <w:hyperlink w:anchor="_Toc185338911" w:history="1">
        <w:r w:rsidRPr="0000456E">
          <w:rPr>
            <w:rStyle w:val="Hyperlink"/>
            <w:noProof/>
          </w:rPr>
          <w:t>Table 10: Estimated levy rates and payments ($m) per sector, 50/50 weighting</w:t>
        </w:r>
        <w:r>
          <w:rPr>
            <w:noProof/>
            <w:webHidden/>
          </w:rPr>
          <w:tab/>
        </w:r>
        <w:r>
          <w:rPr>
            <w:noProof/>
            <w:webHidden/>
          </w:rPr>
          <w:fldChar w:fldCharType="begin"/>
        </w:r>
        <w:r>
          <w:rPr>
            <w:noProof/>
            <w:webHidden/>
          </w:rPr>
          <w:instrText xml:space="preserve"> PAGEREF _Toc185338911 \h </w:instrText>
        </w:r>
        <w:r>
          <w:rPr>
            <w:noProof/>
            <w:webHidden/>
          </w:rPr>
        </w:r>
        <w:r>
          <w:rPr>
            <w:noProof/>
            <w:webHidden/>
          </w:rPr>
          <w:fldChar w:fldCharType="separate"/>
        </w:r>
        <w:r w:rsidR="0094542E">
          <w:rPr>
            <w:noProof/>
            <w:webHidden/>
          </w:rPr>
          <w:t>29</w:t>
        </w:r>
        <w:r>
          <w:rPr>
            <w:noProof/>
            <w:webHidden/>
          </w:rPr>
          <w:fldChar w:fldCharType="end"/>
        </w:r>
      </w:hyperlink>
    </w:p>
    <w:p w14:paraId="4A6797B1" w14:textId="0250E00A" w:rsidR="002B76A7" w:rsidRDefault="00AB2BAA" w:rsidP="003A5FEA">
      <w:r>
        <w:rPr>
          <w:sz w:val="20"/>
        </w:rPr>
        <w:fldChar w:fldCharType="end"/>
      </w:r>
    </w:p>
    <w:p w14:paraId="03333094" w14:textId="77777777" w:rsidR="001D3E4E" w:rsidRDefault="001D3E4E" w:rsidP="003A5FEA">
      <w:pPr>
        <w:sectPr w:rsidR="001D3E4E" w:rsidSect="004825BB">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00F673DF" w14:textId="77777777" w:rsidR="004A337E" w:rsidRPr="00517395" w:rsidRDefault="004A337E" w:rsidP="00517395">
      <w:pPr>
        <w:pStyle w:val="Heading1"/>
      </w:pPr>
      <w:bookmarkStart w:id="3" w:name="_Toc90885036"/>
      <w:bookmarkStart w:id="4" w:name="_Toc185338880"/>
      <w:r w:rsidRPr="00517395">
        <w:t>Introduction</w:t>
      </w:r>
      <w:bookmarkEnd w:id="3"/>
      <w:bookmarkEnd w:id="4"/>
    </w:p>
    <w:p w14:paraId="09C7E02C" w14:textId="7B2189EC" w:rsidR="004A337E" w:rsidRDefault="2BDDF9E7" w:rsidP="2F6A6A80">
      <w:pPr>
        <w:rPr>
          <w:rFonts w:eastAsiaTheme="minorEastAsia"/>
          <w:lang w:eastAsia="en-US"/>
        </w:rPr>
      </w:pPr>
      <w:r w:rsidRPr="2F6A6A80">
        <w:rPr>
          <w:rFonts w:eastAsiaTheme="minorEastAsia"/>
          <w:lang w:eastAsia="en-US"/>
        </w:rPr>
        <w:t xml:space="preserve">The Gambling Act 2003 </w:t>
      </w:r>
      <w:r w:rsidR="5FD597B6" w:rsidRPr="2F6A6A80">
        <w:rPr>
          <w:rFonts w:eastAsiaTheme="minorEastAsia"/>
          <w:lang w:eastAsia="en-US"/>
        </w:rPr>
        <w:t xml:space="preserve">(the Act) </w:t>
      </w:r>
      <w:r w:rsidRPr="2F6A6A80">
        <w:rPr>
          <w:rFonts w:eastAsiaTheme="minorEastAsia"/>
          <w:lang w:eastAsia="en-US"/>
        </w:rPr>
        <w:t>sets out requirements for an ‘integrated problem gambling strategy focused on public health’. The Ministry of Health</w:t>
      </w:r>
      <w:r w:rsidR="098F6296" w:rsidRPr="2F6A6A80">
        <w:rPr>
          <w:rFonts w:eastAsiaTheme="minorEastAsia"/>
          <w:lang w:eastAsia="en-US"/>
        </w:rPr>
        <w:t xml:space="preserve"> (the Ministry)</w:t>
      </w:r>
      <w:r w:rsidRPr="2F6A6A80">
        <w:rPr>
          <w:rFonts w:eastAsiaTheme="minorEastAsia"/>
          <w:lang w:eastAsia="en-US"/>
        </w:rPr>
        <w:t xml:space="preserve"> is responsible for developing and refreshing this strategy at three-yearly intervals, and for implementing it. The Act specifies a two-stage consultation process to develop the strategy and the </w:t>
      </w:r>
      <w:r w:rsidR="56A44100" w:rsidRPr="2F6A6A80">
        <w:rPr>
          <w:rFonts w:eastAsiaTheme="minorEastAsia"/>
          <w:lang w:eastAsia="en-US"/>
        </w:rPr>
        <w:t>rates of the problem gambling levy, which funds all activity under the strategy</w:t>
      </w:r>
      <w:r w:rsidRPr="2F6A6A80">
        <w:rPr>
          <w:rFonts w:eastAsiaTheme="minorEastAsia"/>
          <w:lang w:eastAsia="en-US"/>
        </w:rPr>
        <w:t>.</w:t>
      </w:r>
    </w:p>
    <w:p w14:paraId="53EFA744" w14:textId="77777777" w:rsidR="004A337E" w:rsidRDefault="004A337E" w:rsidP="004A337E">
      <w:pPr>
        <w:rPr>
          <w:rFonts w:eastAsiaTheme="minorHAnsi"/>
          <w:lang w:eastAsia="en-US"/>
        </w:rPr>
      </w:pPr>
    </w:p>
    <w:p w14:paraId="2BF0B249" w14:textId="0826082F" w:rsidR="004A337E" w:rsidRDefault="2BDDF9E7" w:rsidP="2F6A6A80">
      <w:pPr>
        <w:rPr>
          <w:rFonts w:eastAsiaTheme="minorEastAsia"/>
          <w:lang w:eastAsia="en-US"/>
        </w:rPr>
      </w:pPr>
      <w:r w:rsidRPr="2F6A6A80">
        <w:rPr>
          <w:rFonts w:eastAsiaTheme="minorEastAsia"/>
          <w:lang w:eastAsia="en-US"/>
        </w:rPr>
        <w:t xml:space="preserve">Earlier this year, the Ministry produced a draft </w:t>
      </w:r>
      <w:r w:rsidRPr="2F6A6A80">
        <w:rPr>
          <w:rFonts w:eastAsiaTheme="minorEastAsia"/>
          <w:i/>
          <w:iCs/>
          <w:lang w:eastAsia="en-US"/>
        </w:rPr>
        <w:t xml:space="preserve">Strategy to Prevent and Minimise Gambling Harm for 2025/26 to 2027/28 </w:t>
      </w:r>
      <w:r w:rsidR="169566C3" w:rsidRPr="2F6A6A80">
        <w:rPr>
          <w:rFonts w:eastAsiaTheme="minorEastAsia"/>
          <w:i/>
          <w:iCs/>
          <w:lang w:eastAsia="en-US"/>
        </w:rPr>
        <w:t>C</w:t>
      </w:r>
      <w:r w:rsidRPr="2F6A6A80">
        <w:rPr>
          <w:rFonts w:eastAsiaTheme="minorEastAsia"/>
          <w:i/>
          <w:iCs/>
          <w:lang w:eastAsia="en-US"/>
        </w:rPr>
        <w:t xml:space="preserve">onsultation </w:t>
      </w:r>
      <w:r w:rsidR="0394C210" w:rsidRPr="2F6A6A80">
        <w:rPr>
          <w:rFonts w:eastAsiaTheme="minorEastAsia"/>
          <w:i/>
          <w:iCs/>
          <w:lang w:eastAsia="en-US"/>
        </w:rPr>
        <w:t>D</w:t>
      </w:r>
      <w:r w:rsidRPr="2F6A6A80">
        <w:rPr>
          <w:rFonts w:eastAsiaTheme="minorEastAsia"/>
          <w:i/>
          <w:iCs/>
          <w:lang w:eastAsia="en-US"/>
        </w:rPr>
        <w:t>ocument</w:t>
      </w:r>
      <w:r w:rsidRPr="2F6A6A80">
        <w:rPr>
          <w:rFonts w:eastAsiaTheme="minorEastAsia"/>
          <w:lang w:eastAsia="en-US"/>
        </w:rPr>
        <w:t xml:space="preserve">, including </w:t>
      </w:r>
      <w:r w:rsidR="006A475B">
        <w:rPr>
          <w:rFonts w:eastAsiaTheme="minorEastAsia"/>
          <w:lang w:eastAsia="en-US"/>
        </w:rPr>
        <w:t xml:space="preserve">a draft service plan and </w:t>
      </w:r>
      <w:r w:rsidRPr="2F6A6A80">
        <w:rPr>
          <w:rFonts w:eastAsiaTheme="minorEastAsia"/>
          <w:lang w:eastAsia="en-US"/>
        </w:rPr>
        <w:t>draft levy rates</w:t>
      </w:r>
      <w:r w:rsidR="00A4394F">
        <w:rPr>
          <w:rFonts w:eastAsiaTheme="minorEastAsia"/>
          <w:lang w:eastAsia="en-US"/>
        </w:rPr>
        <w:t xml:space="preserve">. The Ministry undertook public consultation on the document, holding </w:t>
      </w:r>
      <w:r w:rsidRPr="2F6A6A80">
        <w:rPr>
          <w:rFonts w:eastAsiaTheme="minorEastAsia"/>
          <w:lang w:eastAsia="en-US"/>
        </w:rPr>
        <w:t>15 information and consultation meetings in person and online</w:t>
      </w:r>
      <w:r w:rsidR="3EC6CCA7" w:rsidRPr="2F6A6A80">
        <w:rPr>
          <w:rFonts w:eastAsiaTheme="minorEastAsia"/>
          <w:lang w:eastAsia="en-US"/>
        </w:rPr>
        <w:t>,</w:t>
      </w:r>
      <w:r w:rsidRPr="2F6A6A80">
        <w:rPr>
          <w:rFonts w:eastAsiaTheme="minorEastAsia"/>
          <w:lang w:eastAsia="en-US"/>
        </w:rPr>
        <w:t xml:space="preserve"> and </w:t>
      </w:r>
      <w:r w:rsidR="00A4394F" w:rsidRPr="2F6A6A80">
        <w:rPr>
          <w:rFonts w:eastAsiaTheme="minorEastAsia"/>
          <w:lang w:eastAsia="en-US"/>
        </w:rPr>
        <w:t>invit</w:t>
      </w:r>
      <w:r w:rsidR="00A4394F">
        <w:rPr>
          <w:rFonts w:eastAsiaTheme="minorEastAsia"/>
          <w:lang w:eastAsia="en-US"/>
        </w:rPr>
        <w:t>ing</w:t>
      </w:r>
      <w:r w:rsidR="00A4394F" w:rsidRPr="2F6A6A80">
        <w:rPr>
          <w:rFonts w:eastAsiaTheme="minorEastAsia"/>
          <w:lang w:eastAsia="en-US"/>
        </w:rPr>
        <w:t xml:space="preserve"> </w:t>
      </w:r>
      <w:r w:rsidRPr="2F6A6A80">
        <w:rPr>
          <w:rFonts w:eastAsiaTheme="minorEastAsia"/>
          <w:lang w:eastAsia="en-US"/>
        </w:rPr>
        <w:t xml:space="preserve">submissions. </w:t>
      </w:r>
      <w:r w:rsidR="1C9590EB" w:rsidRPr="2F6A6A80">
        <w:rPr>
          <w:rFonts w:eastAsiaTheme="minorEastAsia"/>
          <w:lang w:eastAsia="en-US"/>
        </w:rPr>
        <w:t xml:space="preserve">The Ministry </w:t>
      </w:r>
      <w:r w:rsidRPr="2F6A6A80">
        <w:rPr>
          <w:rFonts w:eastAsiaTheme="minorEastAsia"/>
          <w:lang w:eastAsia="en-US"/>
        </w:rPr>
        <w:t>engaged Allen + Clarke, an independent consultancy firm, to analyse written submissions and those made at consultation meetings</w:t>
      </w:r>
      <w:r w:rsidR="006A475B">
        <w:rPr>
          <w:rFonts w:eastAsiaTheme="minorEastAsia"/>
          <w:lang w:eastAsia="en-US"/>
        </w:rPr>
        <w:t>, who</w:t>
      </w:r>
      <w:r w:rsidRPr="2F6A6A80">
        <w:rPr>
          <w:rFonts w:eastAsiaTheme="minorEastAsia"/>
          <w:lang w:eastAsia="en-US"/>
        </w:rPr>
        <w:t xml:space="preserve"> provide</w:t>
      </w:r>
      <w:r w:rsidR="006A475B">
        <w:rPr>
          <w:rFonts w:eastAsiaTheme="minorEastAsia"/>
          <w:lang w:eastAsia="en-US"/>
        </w:rPr>
        <w:t>d</w:t>
      </w:r>
      <w:r w:rsidRPr="2F6A6A80">
        <w:rPr>
          <w:rFonts w:eastAsiaTheme="minorEastAsia"/>
          <w:lang w:eastAsia="en-US"/>
        </w:rPr>
        <w:t xml:space="preserve"> a report analysing these (the submissions analysis report).</w:t>
      </w:r>
    </w:p>
    <w:p w14:paraId="4BF45CC1" w14:textId="77777777" w:rsidR="004A337E" w:rsidRDefault="004A337E" w:rsidP="004A337E">
      <w:pPr>
        <w:rPr>
          <w:rFonts w:eastAsiaTheme="minorHAnsi"/>
          <w:lang w:eastAsia="en-US"/>
        </w:rPr>
      </w:pPr>
    </w:p>
    <w:p w14:paraId="789747D4" w14:textId="73D446FF" w:rsidR="004A337E" w:rsidRPr="00B50D48" w:rsidRDefault="2BDDF9E7" w:rsidP="2F6A6A80">
      <w:pPr>
        <w:rPr>
          <w:rFonts w:eastAsiaTheme="minorEastAsia"/>
          <w:lang w:eastAsia="en-US"/>
        </w:rPr>
      </w:pPr>
      <w:r w:rsidRPr="2F6A6A80">
        <w:rPr>
          <w:rFonts w:eastAsiaTheme="minorEastAsia"/>
          <w:lang w:eastAsia="en-US"/>
        </w:rPr>
        <w:t>This proposals document sets out the Ministry’s response</w:t>
      </w:r>
      <w:r w:rsidR="00F74869">
        <w:rPr>
          <w:rFonts w:eastAsiaTheme="minorEastAsia"/>
          <w:lang w:eastAsia="en-US"/>
        </w:rPr>
        <w:t xml:space="preserve"> to the initial consultation phase</w:t>
      </w:r>
      <w:r w:rsidRPr="2F6A6A80">
        <w:rPr>
          <w:rFonts w:eastAsiaTheme="minorEastAsia"/>
          <w:lang w:eastAsia="en-US"/>
        </w:rPr>
        <w:t xml:space="preserve">, developed in collaboration with Health New Zealand – </w:t>
      </w:r>
      <w:proofErr w:type="spellStart"/>
      <w:r w:rsidRPr="2F6A6A80">
        <w:rPr>
          <w:rFonts w:eastAsiaTheme="minorEastAsia"/>
          <w:lang w:eastAsia="en-US"/>
        </w:rPr>
        <w:t>Te</w:t>
      </w:r>
      <w:proofErr w:type="spellEnd"/>
      <w:r w:rsidRPr="2F6A6A80">
        <w:rPr>
          <w:rFonts w:eastAsiaTheme="minorEastAsia"/>
          <w:lang w:eastAsia="en-US"/>
        </w:rPr>
        <w:t xml:space="preserve"> </w:t>
      </w:r>
      <w:proofErr w:type="spellStart"/>
      <w:r w:rsidRPr="2F6A6A80">
        <w:rPr>
          <w:rFonts w:eastAsiaTheme="minorEastAsia"/>
          <w:lang w:eastAsia="en-US"/>
        </w:rPr>
        <w:t>Whatu</w:t>
      </w:r>
      <w:proofErr w:type="spellEnd"/>
      <w:r w:rsidRPr="2F6A6A80">
        <w:rPr>
          <w:rFonts w:eastAsiaTheme="minorEastAsia"/>
          <w:lang w:eastAsia="en-US"/>
        </w:rPr>
        <w:t xml:space="preserve"> Ora</w:t>
      </w:r>
      <w:r w:rsidR="00AB437B">
        <w:rPr>
          <w:rFonts w:eastAsiaTheme="minorEastAsia"/>
          <w:lang w:eastAsia="en-US"/>
        </w:rPr>
        <w:t xml:space="preserve"> (Health NZ)</w:t>
      </w:r>
      <w:r w:rsidRPr="2F6A6A80">
        <w:rPr>
          <w:rFonts w:eastAsiaTheme="minorEastAsia"/>
          <w:lang w:eastAsia="en-US"/>
        </w:rPr>
        <w:t>, wh</w:t>
      </w:r>
      <w:r w:rsidR="352A49F6" w:rsidRPr="2F6A6A80">
        <w:rPr>
          <w:rFonts w:eastAsiaTheme="minorEastAsia"/>
          <w:lang w:eastAsia="en-US"/>
        </w:rPr>
        <w:t>ich is</w:t>
      </w:r>
      <w:r w:rsidRPr="2F6A6A80">
        <w:rPr>
          <w:rFonts w:eastAsiaTheme="minorEastAsia"/>
          <w:lang w:eastAsia="en-US"/>
        </w:rPr>
        <w:t xml:space="preserve"> responsible for delivering the treatment and public health components of the </w:t>
      </w:r>
      <w:r w:rsidR="33C831E8" w:rsidRPr="2F6A6A80">
        <w:rPr>
          <w:rFonts w:eastAsiaTheme="minorEastAsia"/>
          <w:lang w:eastAsia="en-US"/>
        </w:rPr>
        <w:t>S</w:t>
      </w:r>
      <w:r w:rsidRPr="2F6A6A80">
        <w:rPr>
          <w:rFonts w:eastAsiaTheme="minorEastAsia"/>
          <w:lang w:eastAsia="en-US"/>
        </w:rPr>
        <w:t>trategy, having considered:</w:t>
      </w:r>
    </w:p>
    <w:p w14:paraId="5EAB898C" w14:textId="77777777" w:rsidR="004A337E" w:rsidRDefault="004A337E" w:rsidP="004A337E">
      <w:pPr>
        <w:pStyle w:val="Bullet"/>
        <w:rPr>
          <w:rFonts w:eastAsiaTheme="minorHAnsi"/>
        </w:rPr>
      </w:pPr>
      <w:r w:rsidRPr="00977918">
        <w:rPr>
          <w:rFonts w:eastAsiaTheme="minorHAnsi"/>
        </w:rPr>
        <w:t>the submissions on the consultation document</w:t>
      </w:r>
      <w:r>
        <w:rPr>
          <w:rFonts w:eastAsiaTheme="minorHAnsi"/>
        </w:rPr>
        <w:t xml:space="preserve">, including those received at consultation meetings in person and </w:t>
      </w:r>
      <w:proofErr w:type="gramStart"/>
      <w:r>
        <w:rPr>
          <w:rFonts w:eastAsiaTheme="minorHAnsi"/>
        </w:rPr>
        <w:t>online</w:t>
      </w:r>
      <w:proofErr w:type="gramEnd"/>
    </w:p>
    <w:p w14:paraId="75C8B1AC" w14:textId="77777777" w:rsidR="004A337E" w:rsidRPr="00947137" w:rsidRDefault="2BDDF9E7" w:rsidP="2F6A6A80">
      <w:pPr>
        <w:pStyle w:val="Bullet"/>
        <w:rPr>
          <w:rFonts w:eastAsiaTheme="minorEastAsia"/>
        </w:rPr>
      </w:pPr>
      <w:r w:rsidRPr="2F6A6A80">
        <w:rPr>
          <w:rFonts w:eastAsiaTheme="minorEastAsia"/>
        </w:rPr>
        <w:t>the Allen + Clarke independent report analysing these submissions</w:t>
      </w:r>
      <w:r w:rsidR="004A337E" w:rsidRPr="2F6A6A80">
        <w:rPr>
          <w:rStyle w:val="FootnoteReference"/>
          <w:rFonts w:eastAsiaTheme="minorEastAsia"/>
        </w:rPr>
        <w:footnoteReference w:id="2"/>
      </w:r>
    </w:p>
    <w:p w14:paraId="2F551051" w14:textId="77777777" w:rsidR="004A337E" w:rsidRDefault="2BDDF9E7" w:rsidP="2F6A6A80">
      <w:pPr>
        <w:pStyle w:val="Bullet"/>
        <w:rPr>
          <w:rFonts w:eastAsiaTheme="minorEastAsia"/>
          <w:lang w:eastAsia="en-US"/>
        </w:rPr>
      </w:pPr>
      <w:r w:rsidRPr="2F6A6A80">
        <w:rPr>
          <w:rFonts w:eastAsiaTheme="minorEastAsia"/>
          <w:lang w:eastAsia="en-US"/>
        </w:rPr>
        <w:t xml:space="preserve">the 2024 </w:t>
      </w:r>
      <w:r w:rsidRPr="2F6A6A80">
        <w:rPr>
          <w:rFonts w:eastAsiaTheme="minorEastAsia"/>
          <w:i/>
          <w:iCs/>
          <w:lang w:eastAsia="en-US"/>
        </w:rPr>
        <w:t>Gambling Harm Needs Assessment</w:t>
      </w:r>
      <w:r w:rsidR="004A337E" w:rsidRPr="2F6A6A80">
        <w:rPr>
          <w:rStyle w:val="FootnoteReference"/>
          <w:rFonts w:eastAsiaTheme="minorEastAsia"/>
        </w:rPr>
        <w:footnoteReference w:id="3"/>
      </w:r>
      <w:r w:rsidRPr="2F6A6A80">
        <w:rPr>
          <w:rFonts w:eastAsiaTheme="minorEastAsia"/>
          <w:lang w:eastAsia="en-US"/>
        </w:rPr>
        <w:t xml:space="preserve"> and available research.</w:t>
      </w:r>
    </w:p>
    <w:p w14:paraId="6D5FBE94" w14:textId="77777777" w:rsidR="004A337E" w:rsidRDefault="004A337E" w:rsidP="004A337E">
      <w:pPr>
        <w:rPr>
          <w:rFonts w:eastAsiaTheme="minorHAnsi"/>
          <w:lang w:eastAsia="en-US"/>
        </w:rPr>
      </w:pPr>
    </w:p>
    <w:p w14:paraId="0D1F14BA" w14:textId="751C10B9" w:rsidR="004A337E" w:rsidRPr="00221E02" w:rsidRDefault="2BDDF9E7" w:rsidP="2F6A6A80">
      <w:pPr>
        <w:rPr>
          <w:rFonts w:eastAsiaTheme="minorEastAsia"/>
          <w:lang w:eastAsia="en-US"/>
        </w:rPr>
      </w:pPr>
      <w:r w:rsidRPr="2F6A6A80">
        <w:rPr>
          <w:rFonts w:eastAsiaTheme="minorEastAsia"/>
          <w:lang w:eastAsia="en-US"/>
        </w:rPr>
        <w:t xml:space="preserve">The Ministry recognises that the many stories reflected in the submissions received represent a range of differing points of view about gambling and gambling harm minimisation. The analysis revealed several common themes, varying according to the point of view of the submitter. </w:t>
      </w:r>
      <w:r w:rsidR="009A4F44">
        <w:rPr>
          <w:rFonts w:eastAsiaTheme="minorEastAsia"/>
          <w:lang w:eastAsia="en-US"/>
        </w:rPr>
        <w:t>Overall t</w:t>
      </w:r>
      <w:r w:rsidRPr="2F6A6A80">
        <w:rPr>
          <w:rFonts w:eastAsiaTheme="minorEastAsia"/>
          <w:lang w:eastAsia="en-US"/>
        </w:rPr>
        <w:t>hemes included the following</w:t>
      </w:r>
      <w:r w:rsidR="49C20709" w:rsidRPr="2F6A6A80">
        <w:rPr>
          <w:rFonts w:eastAsiaTheme="minorEastAsia"/>
          <w:lang w:eastAsia="en-US"/>
        </w:rPr>
        <w:t>:</w:t>
      </w:r>
    </w:p>
    <w:p w14:paraId="7C6AD8D7" w14:textId="516F5C1C" w:rsidR="004A337E" w:rsidRPr="00F132C5" w:rsidRDefault="2BDDF9E7" w:rsidP="2F6A6A80">
      <w:pPr>
        <w:pStyle w:val="Bullet"/>
        <w:rPr>
          <w:rFonts w:eastAsiaTheme="minorEastAsia"/>
        </w:rPr>
      </w:pPr>
      <w:r w:rsidRPr="2F6A6A80">
        <w:rPr>
          <w:rFonts w:eastAsiaTheme="minorEastAsia"/>
        </w:rPr>
        <w:t xml:space="preserve">Submissions across the board supported the overall </w:t>
      </w:r>
      <w:r w:rsidR="48F037CF" w:rsidRPr="2F6A6A80">
        <w:rPr>
          <w:rFonts w:eastAsiaTheme="minorEastAsia"/>
        </w:rPr>
        <w:t xml:space="preserve">direction of the </w:t>
      </w:r>
      <w:r w:rsidR="4DCEA588" w:rsidRPr="2F6A6A80">
        <w:rPr>
          <w:rFonts w:eastAsiaTheme="minorEastAsia"/>
        </w:rPr>
        <w:t>S</w:t>
      </w:r>
      <w:r w:rsidRPr="2F6A6A80">
        <w:rPr>
          <w:rFonts w:eastAsiaTheme="minorEastAsia"/>
        </w:rPr>
        <w:t xml:space="preserve">trategy and </w:t>
      </w:r>
      <w:r w:rsidR="78BE1156" w:rsidRPr="2F6A6A80">
        <w:rPr>
          <w:rFonts w:eastAsiaTheme="minorEastAsia"/>
        </w:rPr>
        <w:t xml:space="preserve">the </w:t>
      </w:r>
      <w:r w:rsidRPr="2F6A6A80">
        <w:rPr>
          <w:rFonts w:eastAsiaTheme="minorEastAsia"/>
        </w:rPr>
        <w:t>mental health and addiction priorities as applied to gambling harm</w:t>
      </w:r>
      <w:r w:rsidR="004E717B">
        <w:rPr>
          <w:rFonts w:eastAsiaTheme="minorEastAsia"/>
        </w:rPr>
        <w:t>,</w:t>
      </w:r>
      <w:r w:rsidRPr="2F6A6A80">
        <w:rPr>
          <w:rFonts w:eastAsiaTheme="minorEastAsia"/>
        </w:rPr>
        <w:t xml:space="preserve"> but expressed diverse views on the best way to achieve </w:t>
      </w:r>
      <w:proofErr w:type="gramStart"/>
      <w:r w:rsidRPr="2F6A6A80">
        <w:rPr>
          <w:rFonts w:eastAsiaTheme="minorEastAsia"/>
        </w:rPr>
        <w:t>this</w:t>
      </w:r>
      <w:proofErr w:type="gramEnd"/>
      <w:r w:rsidRPr="2F6A6A80">
        <w:rPr>
          <w:rFonts w:eastAsiaTheme="minorEastAsia"/>
        </w:rPr>
        <w:t xml:space="preserve"> </w:t>
      </w:r>
    </w:p>
    <w:p w14:paraId="2A0DB5EE" w14:textId="418E823A" w:rsidR="004A337E" w:rsidRPr="00F132C5" w:rsidRDefault="2BDDF9E7" w:rsidP="2F6A6A80">
      <w:pPr>
        <w:pStyle w:val="Bullet"/>
        <w:rPr>
          <w:rFonts w:eastAsiaTheme="minorEastAsia"/>
        </w:rPr>
      </w:pPr>
      <w:r w:rsidRPr="2F6A6A80">
        <w:rPr>
          <w:rFonts w:eastAsiaTheme="minorEastAsia"/>
        </w:rPr>
        <w:t xml:space="preserve">Submissions from individuals with personal lived experience of gambling harm focused on the need to reduce the potential for harm and to improve access to services and support, so people who gamble and affected others can access the right help and support as they need </w:t>
      </w:r>
      <w:proofErr w:type="gramStart"/>
      <w:r w:rsidRPr="2F6A6A80">
        <w:rPr>
          <w:rFonts w:eastAsiaTheme="minorEastAsia"/>
        </w:rPr>
        <w:t>it</w:t>
      </w:r>
      <w:proofErr w:type="gramEnd"/>
    </w:p>
    <w:p w14:paraId="6B092ED2" w14:textId="50BA71CE" w:rsidR="004A337E" w:rsidRPr="00F132C5" w:rsidRDefault="2BDDF9E7" w:rsidP="2F6A6A80">
      <w:pPr>
        <w:pStyle w:val="Bullet"/>
        <w:rPr>
          <w:rFonts w:eastAsiaTheme="minorEastAsia"/>
        </w:rPr>
      </w:pPr>
      <w:r w:rsidRPr="2F6A6A80">
        <w:rPr>
          <w:rFonts w:eastAsiaTheme="minorEastAsia"/>
        </w:rPr>
        <w:t xml:space="preserve">Submissions from the non-casino gaming machines (NCGM) sector and the gambling industry (other) sector presented </w:t>
      </w:r>
      <w:r w:rsidR="00E32DDB">
        <w:rPr>
          <w:rFonts w:eastAsiaTheme="minorEastAsia"/>
        </w:rPr>
        <w:t xml:space="preserve">a perspective from </w:t>
      </w:r>
      <w:r w:rsidRPr="2F6A6A80">
        <w:rPr>
          <w:rFonts w:eastAsiaTheme="minorEastAsia"/>
        </w:rPr>
        <w:t xml:space="preserve">the view of legitimate businesses operating in the entertainment </w:t>
      </w:r>
      <w:proofErr w:type="gramStart"/>
      <w:r w:rsidRPr="2F6A6A80">
        <w:rPr>
          <w:rFonts w:eastAsiaTheme="minorEastAsia"/>
        </w:rPr>
        <w:t>space</w:t>
      </w:r>
      <w:proofErr w:type="gramEnd"/>
    </w:p>
    <w:p w14:paraId="5A561371" w14:textId="77777777" w:rsidR="004A337E" w:rsidRPr="00F132C5" w:rsidRDefault="004A337E" w:rsidP="004A337E">
      <w:pPr>
        <w:pStyle w:val="Bullet"/>
        <w:rPr>
          <w:rFonts w:eastAsiaTheme="minorHAnsi"/>
        </w:rPr>
      </w:pPr>
      <w:r w:rsidRPr="00F132C5">
        <w:rPr>
          <w:rFonts w:eastAsiaTheme="minorHAnsi"/>
        </w:rPr>
        <w:t xml:space="preserve">Submissions from </w:t>
      </w:r>
      <w:r w:rsidRPr="004F0966">
        <w:rPr>
          <w:rFonts w:eastAsiaTheme="minorHAnsi"/>
        </w:rPr>
        <w:t>service providers and the health and local government sectors, and some individual submissions,</w:t>
      </w:r>
      <w:r w:rsidRPr="00F132C5">
        <w:rPr>
          <w:rFonts w:eastAsiaTheme="minorHAnsi"/>
        </w:rPr>
        <w:t xml:space="preserve"> reflected their views </w:t>
      </w:r>
      <w:r>
        <w:rPr>
          <w:rFonts w:eastAsiaTheme="minorHAnsi"/>
        </w:rPr>
        <w:t xml:space="preserve">about what is needed </w:t>
      </w:r>
      <w:r w:rsidRPr="00F132C5">
        <w:rPr>
          <w:rFonts w:eastAsiaTheme="minorHAnsi"/>
        </w:rPr>
        <w:t>to help people whose gambling is causing harm.</w:t>
      </w:r>
    </w:p>
    <w:p w14:paraId="3334B848" w14:textId="77777777" w:rsidR="004A337E" w:rsidRPr="00F132C5" w:rsidRDefault="004A337E" w:rsidP="004A337E">
      <w:pPr>
        <w:rPr>
          <w:rFonts w:eastAsiaTheme="minorHAnsi"/>
          <w:lang w:eastAsia="en-US"/>
        </w:rPr>
      </w:pPr>
    </w:p>
    <w:p w14:paraId="088E8105" w14:textId="1BACDB8E" w:rsidR="004A337E" w:rsidRPr="00F132C5" w:rsidRDefault="2BDDF9E7" w:rsidP="2F6A6A80">
      <w:pPr>
        <w:keepNext/>
        <w:keepLines/>
        <w:rPr>
          <w:rFonts w:eastAsiaTheme="minorEastAsia"/>
          <w:lang w:eastAsia="en-US"/>
        </w:rPr>
      </w:pPr>
      <w:r w:rsidRPr="2F6A6A80">
        <w:rPr>
          <w:rFonts w:eastAsiaTheme="minorEastAsia"/>
          <w:lang w:eastAsia="en-US"/>
        </w:rPr>
        <w:t xml:space="preserve">While at times some of these different points of view came close together or even intersected, they were often shaped by very different aims and objectives. For example, the view of a small business that hosts a gambling venue </w:t>
      </w:r>
      <w:r w:rsidR="00314319">
        <w:rPr>
          <w:rFonts w:eastAsiaTheme="minorEastAsia"/>
          <w:lang w:eastAsia="en-US"/>
        </w:rPr>
        <w:t xml:space="preserve">generally </w:t>
      </w:r>
      <w:r w:rsidRPr="2F6A6A80">
        <w:rPr>
          <w:rFonts w:eastAsiaTheme="minorEastAsia"/>
          <w:lang w:eastAsia="en-US"/>
        </w:rPr>
        <w:t>had relatively little in common with the perspective of someone whose gambling had resulted in them seeking help, or of an affected family member – although all of these submitters agreed on the need to reduce gambling harm.</w:t>
      </w:r>
    </w:p>
    <w:p w14:paraId="5DF84EA4" w14:textId="77777777" w:rsidR="004A337E" w:rsidRPr="00F132C5" w:rsidRDefault="004A337E" w:rsidP="004A337E">
      <w:pPr>
        <w:rPr>
          <w:rFonts w:eastAsiaTheme="minorHAnsi"/>
          <w:lang w:eastAsia="en-US"/>
        </w:rPr>
      </w:pPr>
    </w:p>
    <w:p w14:paraId="19EDE1C4" w14:textId="4D549C3D" w:rsidR="004A337E" w:rsidRPr="00F132C5" w:rsidRDefault="004A337E" w:rsidP="004A337E">
      <w:pPr>
        <w:rPr>
          <w:rFonts w:eastAsiaTheme="minorEastAsia"/>
          <w:lang w:eastAsia="en-US"/>
        </w:rPr>
      </w:pPr>
      <w:r w:rsidRPr="0AF1FAE6">
        <w:rPr>
          <w:rFonts w:eastAsiaTheme="minorEastAsia"/>
          <w:lang w:eastAsia="en-US"/>
        </w:rPr>
        <w:t xml:space="preserve">The Ministry acknowledges that all these perspectives are real and valid, and that the goals and outcomes of the </w:t>
      </w:r>
      <w:r w:rsidR="4AD77CCF" w:rsidRPr="0AF1FAE6">
        <w:rPr>
          <w:rFonts w:eastAsiaTheme="minorEastAsia"/>
          <w:lang w:eastAsia="en-US"/>
        </w:rPr>
        <w:t>S</w:t>
      </w:r>
      <w:r w:rsidRPr="0AF1FAE6">
        <w:rPr>
          <w:rFonts w:eastAsiaTheme="minorEastAsia"/>
          <w:lang w:eastAsia="en-US"/>
        </w:rPr>
        <w:t>trategy matter to all submitters. We have tried to ensure that this document reflects that acknowledgement. For example, the commentary on levy weightings for expenditure and presentations takes into consideration that there were opposing points of view which had different concepts of ‘fairness’.</w:t>
      </w:r>
    </w:p>
    <w:p w14:paraId="55FADD2A" w14:textId="77777777" w:rsidR="004A337E" w:rsidRPr="001C3B31" w:rsidRDefault="004A337E" w:rsidP="004A337E">
      <w:pPr>
        <w:rPr>
          <w:rFonts w:eastAsiaTheme="minorHAnsi"/>
          <w:highlight w:val="yellow"/>
          <w:lang w:eastAsia="en-US"/>
        </w:rPr>
      </w:pPr>
    </w:p>
    <w:p w14:paraId="1403809B" w14:textId="1D97A936" w:rsidR="004A337E" w:rsidRPr="00F132C5" w:rsidRDefault="2BDDF9E7" w:rsidP="2F6A6A80">
      <w:pPr>
        <w:rPr>
          <w:rFonts w:eastAsiaTheme="minorEastAsia"/>
          <w:lang w:eastAsia="en-US"/>
        </w:rPr>
      </w:pPr>
      <w:r w:rsidRPr="2F6A6A80">
        <w:rPr>
          <w:rFonts w:eastAsiaTheme="minorEastAsia"/>
          <w:lang w:eastAsia="en-US"/>
        </w:rPr>
        <w:t xml:space="preserve">Several submitters wanted to be more involved </w:t>
      </w:r>
      <w:proofErr w:type="gramStart"/>
      <w:r w:rsidRPr="2F6A6A80">
        <w:rPr>
          <w:rFonts w:eastAsiaTheme="minorEastAsia"/>
          <w:lang w:eastAsia="en-US"/>
        </w:rPr>
        <w:t>in service</w:t>
      </w:r>
      <w:proofErr w:type="gramEnd"/>
      <w:r w:rsidRPr="2F6A6A80">
        <w:rPr>
          <w:rFonts w:eastAsiaTheme="minorEastAsia"/>
          <w:lang w:eastAsia="en-US"/>
        </w:rPr>
        <w:t xml:space="preserve"> design and delivery for affected stakeholders, to address persistent differences in population health outcomes. Proposals ranged from requesting more joined up commissioning approaches to improve the range and quality of services, to ensuring that these services are age and culturally</w:t>
      </w:r>
      <w:r w:rsidR="548B7113" w:rsidRPr="2F6A6A80">
        <w:rPr>
          <w:rFonts w:eastAsiaTheme="minorEastAsia"/>
          <w:lang w:eastAsia="en-US"/>
        </w:rPr>
        <w:t xml:space="preserve"> </w:t>
      </w:r>
      <w:r w:rsidRPr="2F6A6A80">
        <w:rPr>
          <w:rFonts w:eastAsiaTheme="minorEastAsia"/>
          <w:lang w:eastAsia="en-US"/>
        </w:rPr>
        <w:t>appropriate and meet the varied needs of at-risk, vulnerable and priority populations.</w:t>
      </w:r>
    </w:p>
    <w:p w14:paraId="656986CF" w14:textId="77777777" w:rsidR="004A337E" w:rsidRPr="001C3B31" w:rsidRDefault="004A337E" w:rsidP="004A337E">
      <w:pPr>
        <w:rPr>
          <w:rFonts w:eastAsiaTheme="minorHAnsi"/>
          <w:highlight w:val="yellow"/>
          <w:lang w:eastAsia="en-US"/>
        </w:rPr>
      </w:pPr>
    </w:p>
    <w:p w14:paraId="1C659E80" w14:textId="77777777" w:rsidR="004A337E" w:rsidRPr="00F00FD1" w:rsidRDefault="004A337E" w:rsidP="004A337E">
      <w:pPr>
        <w:rPr>
          <w:rFonts w:eastAsiaTheme="minorHAnsi"/>
          <w:lang w:eastAsia="en-US"/>
        </w:rPr>
      </w:pPr>
      <w:r w:rsidRPr="00F00FD1">
        <w:rPr>
          <w:rFonts w:eastAsiaTheme="minorHAnsi"/>
          <w:lang w:eastAsia="en-US"/>
        </w:rPr>
        <w:t xml:space="preserve">We also observed that, as in previous consultations, several submitters sought changes to the broader legal and policy framework to address gambling </w:t>
      </w:r>
      <w:proofErr w:type="gramStart"/>
      <w:r w:rsidRPr="00F00FD1">
        <w:rPr>
          <w:rFonts w:eastAsiaTheme="minorHAnsi"/>
          <w:lang w:eastAsia="en-US"/>
        </w:rPr>
        <w:t>harm;</w:t>
      </w:r>
      <w:proofErr w:type="gramEnd"/>
      <w:r w:rsidRPr="00F00FD1">
        <w:rPr>
          <w:rFonts w:eastAsiaTheme="minorHAnsi"/>
          <w:lang w:eastAsia="en-US"/>
        </w:rPr>
        <w:t xml:space="preserve"> for example, in regard to the prevalence and location of electronic gaming machines (pokies), the advertising </w:t>
      </w:r>
      <w:r>
        <w:rPr>
          <w:rFonts w:eastAsiaTheme="minorHAnsi"/>
          <w:lang w:eastAsia="en-US"/>
        </w:rPr>
        <w:t xml:space="preserve">of </w:t>
      </w:r>
      <w:r w:rsidRPr="00F00FD1">
        <w:rPr>
          <w:rFonts w:eastAsiaTheme="minorHAnsi"/>
          <w:lang w:eastAsia="en-US"/>
        </w:rPr>
        <w:t>gambling products</w:t>
      </w:r>
      <w:r>
        <w:rPr>
          <w:rFonts w:eastAsiaTheme="minorHAnsi"/>
          <w:lang w:eastAsia="en-US"/>
        </w:rPr>
        <w:t xml:space="preserve"> and</w:t>
      </w:r>
      <w:r w:rsidRPr="00F00FD1">
        <w:rPr>
          <w:rFonts w:eastAsiaTheme="minorHAnsi"/>
          <w:lang w:eastAsia="en-US"/>
        </w:rPr>
        <w:t xml:space="preserve"> the regulation of online gambling</w:t>
      </w:r>
      <w:r>
        <w:rPr>
          <w:rFonts w:eastAsiaTheme="minorHAnsi"/>
          <w:lang w:eastAsia="en-US"/>
        </w:rPr>
        <w:t xml:space="preserve">. </w:t>
      </w:r>
    </w:p>
    <w:p w14:paraId="017E4C2D" w14:textId="77777777" w:rsidR="004A337E" w:rsidRPr="00F00FD1" w:rsidRDefault="004A337E" w:rsidP="004A337E">
      <w:pPr>
        <w:rPr>
          <w:rFonts w:eastAsiaTheme="minorHAnsi"/>
          <w:lang w:eastAsia="en-US"/>
        </w:rPr>
      </w:pPr>
    </w:p>
    <w:p w14:paraId="653D0C3F" w14:textId="516FA9C1" w:rsidR="004A337E" w:rsidRPr="00F00FD1" w:rsidRDefault="2BDDF9E7" w:rsidP="2F6A6A80">
      <w:pPr>
        <w:rPr>
          <w:rFonts w:eastAsiaTheme="minorEastAsia"/>
          <w:lang w:eastAsia="en-US"/>
        </w:rPr>
      </w:pPr>
      <w:r w:rsidRPr="2F6A6A80">
        <w:rPr>
          <w:rFonts w:eastAsiaTheme="minorEastAsia"/>
          <w:lang w:eastAsia="en-US"/>
        </w:rPr>
        <w:t>Online gambling continues to be a matter of significant concern to many of the di</w:t>
      </w:r>
      <w:r w:rsidR="2572257F" w:rsidRPr="2F6A6A80">
        <w:rPr>
          <w:rFonts w:eastAsiaTheme="minorEastAsia"/>
          <w:lang w:eastAsia="en-US"/>
        </w:rPr>
        <w:t>verse</w:t>
      </w:r>
      <w:r w:rsidRPr="2F6A6A80">
        <w:rPr>
          <w:rFonts w:eastAsiaTheme="minorEastAsia"/>
          <w:lang w:eastAsia="en-US"/>
        </w:rPr>
        <w:t xml:space="preserve"> groups of submitters, with participation and risks growing steadily over the past decade or so, as internet access and smart devices have become </w:t>
      </w:r>
      <w:r w:rsidR="05D56E29" w:rsidRPr="2F6A6A80">
        <w:rPr>
          <w:rFonts w:eastAsiaTheme="minorEastAsia"/>
          <w:lang w:eastAsia="en-US"/>
        </w:rPr>
        <w:t>u</w:t>
      </w:r>
      <w:r w:rsidR="3F4D3EC8" w:rsidRPr="2F6A6A80">
        <w:rPr>
          <w:rFonts w:eastAsiaTheme="minorEastAsia"/>
          <w:lang w:eastAsia="en-US"/>
        </w:rPr>
        <w:t>b</w:t>
      </w:r>
      <w:r w:rsidR="05D56E29" w:rsidRPr="2F6A6A80">
        <w:rPr>
          <w:rFonts w:eastAsiaTheme="minorEastAsia"/>
          <w:lang w:eastAsia="en-US"/>
        </w:rPr>
        <w:t>iquitous</w:t>
      </w:r>
      <w:r w:rsidRPr="2F6A6A80">
        <w:rPr>
          <w:rFonts w:eastAsiaTheme="minorEastAsia"/>
          <w:lang w:eastAsia="en-US"/>
        </w:rPr>
        <w:t xml:space="preserve">. Many submissions expressed concerns about the ease of access to online gambling, </w:t>
      </w:r>
      <w:r w:rsidR="001963E6">
        <w:rPr>
          <w:rFonts w:eastAsiaTheme="minorEastAsia"/>
          <w:lang w:eastAsia="en-US"/>
        </w:rPr>
        <w:t>and</w:t>
      </w:r>
      <w:r w:rsidR="001963E6" w:rsidRPr="2F6A6A80">
        <w:rPr>
          <w:rFonts w:eastAsiaTheme="minorEastAsia"/>
          <w:lang w:eastAsia="en-US"/>
        </w:rPr>
        <w:t xml:space="preserve"> </w:t>
      </w:r>
      <w:r w:rsidRPr="2F6A6A80">
        <w:rPr>
          <w:rFonts w:eastAsiaTheme="minorEastAsia"/>
          <w:lang w:eastAsia="en-US"/>
        </w:rPr>
        <w:t xml:space="preserve">the steady growth of gambling-like elements in videogames and online, including gambling through online offshore sites. Many submissions were concerned about the targeting of young people, and widespread exposure to gambling advertising through a range of media and a range of other harms in the digital environment that is blurring traditional boundaries between gambling and other types of harm that can be facilitated by the online environment. </w:t>
      </w:r>
    </w:p>
    <w:p w14:paraId="720BCC0A" w14:textId="77777777" w:rsidR="004A337E" w:rsidRPr="00790C83" w:rsidRDefault="004A337E" w:rsidP="004A337E">
      <w:pPr>
        <w:rPr>
          <w:rFonts w:eastAsiaTheme="minorHAnsi"/>
          <w:lang w:eastAsia="en-US"/>
        </w:rPr>
      </w:pPr>
    </w:p>
    <w:p w14:paraId="499F8A4D" w14:textId="31FED620" w:rsidR="004A337E" w:rsidRDefault="004A337E" w:rsidP="004A337E">
      <w:pPr>
        <w:shd w:val="clear" w:color="auto" w:fill="FFFFFF" w:themeFill="background1"/>
        <w:rPr>
          <w:rFonts w:eastAsiaTheme="minorEastAsia"/>
          <w:shd w:val="clear" w:color="auto" w:fill="FFFFFF" w:themeFill="background1"/>
          <w:lang w:eastAsia="en-US"/>
        </w:rPr>
      </w:pPr>
      <w:r w:rsidRPr="2F64F347">
        <w:rPr>
          <w:rFonts w:eastAsiaTheme="minorEastAsia"/>
          <w:lang w:eastAsia="en-US"/>
        </w:rPr>
        <w:t xml:space="preserve">We acknowledge these concerns but note the </w:t>
      </w:r>
      <w:r w:rsidR="1B8E8F5C" w:rsidRPr="2F64F347">
        <w:rPr>
          <w:rFonts w:eastAsiaTheme="minorEastAsia"/>
          <w:lang w:eastAsia="en-US"/>
        </w:rPr>
        <w:t>s</w:t>
      </w:r>
      <w:r w:rsidRPr="2F64F347">
        <w:rPr>
          <w:rFonts w:eastAsiaTheme="minorEastAsia"/>
          <w:lang w:eastAsia="en-US"/>
        </w:rPr>
        <w:t xml:space="preserve">trategy’s mandate is to address gambling harm. </w:t>
      </w:r>
      <w:r w:rsidR="00D100D4" w:rsidRPr="2F64F347">
        <w:rPr>
          <w:rFonts w:eastAsiaTheme="minorEastAsia"/>
          <w:lang w:eastAsia="en-US"/>
        </w:rPr>
        <w:t xml:space="preserve">The Department of Internal </w:t>
      </w:r>
      <w:r w:rsidR="000D58EA" w:rsidRPr="2F64F347">
        <w:rPr>
          <w:rFonts w:eastAsiaTheme="minorEastAsia"/>
          <w:lang w:eastAsia="en-US"/>
        </w:rPr>
        <w:t>A</w:t>
      </w:r>
      <w:r w:rsidR="00D100D4" w:rsidRPr="2F64F347">
        <w:rPr>
          <w:rFonts w:eastAsiaTheme="minorEastAsia"/>
          <w:lang w:eastAsia="en-US"/>
        </w:rPr>
        <w:t xml:space="preserve">ffairs </w:t>
      </w:r>
      <w:r w:rsidR="00B80011">
        <w:rPr>
          <w:rFonts w:eastAsiaTheme="minorEastAsia"/>
          <w:lang w:eastAsia="en-US"/>
        </w:rPr>
        <w:t xml:space="preserve">(DIA) </w:t>
      </w:r>
      <w:r w:rsidR="00D100D4" w:rsidRPr="2F64F347">
        <w:rPr>
          <w:rFonts w:eastAsiaTheme="minorEastAsia"/>
          <w:lang w:eastAsia="en-US"/>
        </w:rPr>
        <w:t>administers the Gambling Act</w:t>
      </w:r>
      <w:r w:rsidR="0072053D">
        <w:rPr>
          <w:rFonts w:eastAsiaTheme="minorEastAsia"/>
          <w:lang w:eastAsia="en-US"/>
        </w:rPr>
        <w:t xml:space="preserve"> </w:t>
      </w:r>
      <w:proofErr w:type="gramStart"/>
      <w:r w:rsidR="0072053D">
        <w:rPr>
          <w:rFonts w:eastAsiaTheme="minorEastAsia"/>
          <w:lang w:eastAsia="en-US"/>
        </w:rPr>
        <w:t>2003</w:t>
      </w:r>
      <w:proofErr w:type="gramEnd"/>
      <w:r w:rsidR="00C708E6">
        <w:rPr>
          <w:rFonts w:eastAsiaTheme="minorEastAsia"/>
          <w:lang w:eastAsia="en-US"/>
        </w:rPr>
        <w:t xml:space="preserve"> and t</w:t>
      </w:r>
      <w:r w:rsidRPr="2F64F347">
        <w:rPr>
          <w:rFonts w:eastAsiaTheme="minorEastAsia"/>
          <w:lang w:eastAsia="en-US"/>
        </w:rPr>
        <w:t xml:space="preserve">he </w:t>
      </w:r>
      <w:r w:rsidR="1403F2C5" w:rsidRPr="2F64F347">
        <w:rPr>
          <w:rFonts w:eastAsiaTheme="minorEastAsia"/>
          <w:lang w:eastAsia="en-US"/>
        </w:rPr>
        <w:t>s</w:t>
      </w:r>
      <w:r w:rsidRPr="2F64F347">
        <w:rPr>
          <w:rFonts w:eastAsiaTheme="minorEastAsia"/>
          <w:lang w:eastAsia="en-US"/>
        </w:rPr>
        <w:t>trategy recognises the Government is developing new legislation to regulate online offshore casinos from 2026</w:t>
      </w:r>
      <w:r w:rsidR="00C708E6">
        <w:rPr>
          <w:rFonts w:eastAsiaTheme="minorEastAsia"/>
          <w:lang w:eastAsia="en-US"/>
        </w:rPr>
        <w:t xml:space="preserve">, with </w:t>
      </w:r>
      <w:r w:rsidRPr="2F64F347">
        <w:rPr>
          <w:rFonts w:eastAsiaTheme="minorEastAsia"/>
          <w:lang w:eastAsia="en-US"/>
        </w:rPr>
        <w:t>the details of that regime</w:t>
      </w:r>
      <w:r w:rsidR="00C708E6">
        <w:rPr>
          <w:rFonts w:eastAsiaTheme="minorEastAsia"/>
          <w:lang w:eastAsia="en-US"/>
        </w:rPr>
        <w:t xml:space="preserve"> under development</w:t>
      </w:r>
      <w:r w:rsidRPr="2F64F347">
        <w:rPr>
          <w:rFonts w:eastAsiaTheme="minorEastAsia"/>
          <w:lang w:eastAsia="en-US"/>
        </w:rPr>
        <w:t xml:space="preserve">. </w:t>
      </w:r>
      <w:r w:rsidR="00C708E6">
        <w:rPr>
          <w:rFonts w:eastAsiaTheme="minorEastAsia"/>
          <w:lang w:eastAsia="en-US"/>
        </w:rPr>
        <w:t>The Strategy</w:t>
      </w:r>
      <w:r w:rsidRPr="2F64F347">
        <w:rPr>
          <w:rFonts w:eastAsiaTheme="minorEastAsia"/>
          <w:lang w:eastAsia="en-US"/>
        </w:rPr>
        <w:t xml:space="preserve"> include</w:t>
      </w:r>
      <w:r w:rsidR="00C708E6">
        <w:rPr>
          <w:rFonts w:eastAsiaTheme="minorEastAsia"/>
          <w:lang w:eastAsia="en-US"/>
        </w:rPr>
        <w:t>s</w:t>
      </w:r>
      <w:r w:rsidRPr="2F64F347">
        <w:rPr>
          <w:rFonts w:eastAsiaTheme="minorEastAsia"/>
          <w:lang w:eastAsia="en-US"/>
        </w:rPr>
        <w:t xml:space="preserve"> specific actions to help address harm from online gambling, for example with proposals to develop self-</w:t>
      </w:r>
      <w:r w:rsidRPr="2F64F347">
        <w:rPr>
          <w:rFonts w:eastAsiaTheme="minorEastAsia"/>
          <w:shd w:val="clear" w:color="auto" w:fill="FFFFFF" w:themeFill="background1"/>
          <w:lang w:eastAsia="en-US"/>
        </w:rPr>
        <w:t xml:space="preserve">exclusion and through broader public health measures to raise awareness of the harms that </w:t>
      </w:r>
      <w:r w:rsidR="007B59A4">
        <w:rPr>
          <w:rFonts w:eastAsiaTheme="minorEastAsia"/>
          <w:shd w:val="clear" w:color="auto" w:fill="FFFFFF" w:themeFill="background1"/>
          <w:lang w:eastAsia="en-US"/>
        </w:rPr>
        <w:t xml:space="preserve">may </w:t>
      </w:r>
      <w:r w:rsidRPr="2F64F347">
        <w:rPr>
          <w:rFonts w:eastAsiaTheme="minorEastAsia"/>
          <w:shd w:val="clear" w:color="auto" w:fill="FFFFFF" w:themeFill="background1"/>
          <w:lang w:eastAsia="en-US"/>
        </w:rPr>
        <w:t xml:space="preserve">occur and how to mitigate them. </w:t>
      </w:r>
    </w:p>
    <w:p w14:paraId="088990C1" w14:textId="77777777" w:rsidR="004A337E" w:rsidRDefault="004A337E" w:rsidP="004A337E">
      <w:pPr>
        <w:shd w:val="clear" w:color="auto" w:fill="FFFFFF" w:themeFill="background1"/>
        <w:rPr>
          <w:rFonts w:eastAsiaTheme="minorHAnsi"/>
          <w:shd w:val="clear" w:color="auto" w:fill="FFFFFF" w:themeFill="background1"/>
          <w:lang w:eastAsia="en-US"/>
        </w:rPr>
      </w:pPr>
    </w:p>
    <w:p w14:paraId="2082FB5B" w14:textId="6E6729EB" w:rsidR="004A337E" w:rsidRDefault="004A337E" w:rsidP="004A337E">
      <w:pPr>
        <w:shd w:val="clear" w:color="auto" w:fill="FFFFFF" w:themeFill="background1"/>
        <w:rPr>
          <w:shd w:val="clear" w:color="auto" w:fill="FFFFFF" w:themeFill="background1"/>
        </w:rPr>
      </w:pPr>
      <w:r w:rsidRPr="1F3919BA">
        <w:rPr>
          <w:rFonts w:eastAsiaTheme="minorEastAsia"/>
          <w:shd w:val="clear" w:color="auto" w:fill="FFFFFF" w:themeFill="background1"/>
          <w:lang w:eastAsia="en-US"/>
        </w:rPr>
        <w:t>In addition, some submissions argued the</w:t>
      </w:r>
      <w:r>
        <w:rPr>
          <w:shd w:val="clear" w:color="auto" w:fill="FFFFFF" w:themeFill="background1"/>
        </w:rPr>
        <w:t xml:space="preserve"> Act and </w:t>
      </w:r>
      <w:r w:rsidR="23D960FE">
        <w:rPr>
          <w:shd w:val="clear" w:color="auto" w:fill="FFFFFF" w:themeFill="background1"/>
        </w:rPr>
        <w:t xml:space="preserve">its </w:t>
      </w:r>
      <w:r>
        <w:rPr>
          <w:shd w:val="clear" w:color="auto" w:fill="FFFFFF" w:themeFill="background1"/>
        </w:rPr>
        <w:t xml:space="preserve">definition of gambling were no longer fit for purpose and needed to be reviewed to address the reality of gambling in the modern, often digital, environment. </w:t>
      </w:r>
    </w:p>
    <w:p w14:paraId="5BF19139" w14:textId="77777777" w:rsidR="004A337E" w:rsidRDefault="004A337E" w:rsidP="004A337E">
      <w:pPr>
        <w:shd w:val="clear" w:color="auto" w:fill="FFFFFF" w:themeFill="background1"/>
        <w:rPr>
          <w:rFonts w:eastAsiaTheme="minorHAnsi"/>
          <w:shd w:val="clear" w:color="auto" w:fill="FFFFFF" w:themeFill="background1"/>
          <w:lang w:eastAsia="en-US"/>
        </w:rPr>
      </w:pPr>
    </w:p>
    <w:p w14:paraId="5D5D1644" w14:textId="726FA8F5" w:rsidR="004A337E" w:rsidRPr="00221E02" w:rsidRDefault="004A337E" w:rsidP="1F3919BA">
      <w:pPr>
        <w:shd w:val="clear" w:color="auto" w:fill="FFFFFF" w:themeFill="background1"/>
        <w:rPr>
          <w:rFonts w:eastAsiaTheme="minorEastAsia"/>
          <w:lang w:eastAsia="en-US"/>
        </w:rPr>
      </w:pPr>
      <w:r w:rsidRPr="1F3919BA">
        <w:rPr>
          <w:rFonts w:eastAsiaTheme="minorEastAsia"/>
          <w:shd w:val="clear" w:color="auto" w:fill="FFFFFF" w:themeFill="background1"/>
          <w:lang w:eastAsia="en-US"/>
        </w:rPr>
        <w:t xml:space="preserve">The Ministry and Health </w:t>
      </w:r>
      <w:r w:rsidR="00AB437B">
        <w:rPr>
          <w:rFonts w:eastAsiaTheme="minorEastAsia"/>
          <w:shd w:val="clear" w:color="auto" w:fill="FFFFFF" w:themeFill="background1"/>
          <w:lang w:eastAsia="en-US"/>
        </w:rPr>
        <w:t>NZ</w:t>
      </w:r>
      <w:r w:rsidRPr="1F3919BA">
        <w:rPr>
          <w:rFonts w:eastAsiaTheme="minorEastAsia"/>
          <w:shd w:val="clear" w:color="auto" w:fill="FFFFFF" w:themeFill="background1"/>
          <w:lang w:eastAsia="en-US"/>
        </w:rPr>
        <w:t xml:space="preserve"> will continue to work with the Department of Internal Affairs to </w:t>
      </w:r>
      <w:r w:rsidRPr="00790C83">
        <w:rPr>
          <w:shd w:val="clear" w:color="auto" w:fill="FFFFFF" w:themeFill="background1"/>
        </w:rPr>
        <w:t xml:space="preserve">identify </w:t>
      </w:r>
      <w:r w:rsidR="00B80011">
        <w:rPr>
          <w:shd w:val="clear" w:color="auto" w:fill="FFFFFF" w:themeFill="background1"/>
        </w:rPr>
        <w:t>potential</w:t>
      </w:r>
      <w:r w:rsidRPr="00790C83">
        <w:rPr>
          <w:shd w:val="clear" w:color="auto" w:fill="FFFFFF" w:themeFill="background1"/>
        </w:rPr>
        <w:t xml:space="preserve"> improvements to the le</w:t>
      </w:r>
      <w:r>
        <w:rPr>
          <w:shd w:val="clear" w:color="auto" w:fill="FFFFFF" w:themeFill="background1"/>
        </w:rPr>
        <w:t xml:space="preserve">gal and </w:t>
      </w:r>
      <w:r w:rsidRPr="00790C83">
        <w:rPr>
          <w:shd w:val="clear" w:color="auto" w:fill="FFFFFF" w:themeFill="background1"/>
        </w:rPr>
        <w:t>regulatory framework to reduce gambling-related harm.</w:t>
      </w:r>
      <w:r>
        <w:rPr>
          <w:shd w:val="clear" w:color="auto" w:fill="FFFFFF" w:themeFill="background1"/>
        </w:rPr>
        <w:t xml:space="preserve"> We have referred the gambling </w:t>
      </w:r>
      <w:r w:rsidR="00AC52EC">
        <w:rPr>
          <w:shd w:val="clear" w:color="auto" w:fill="FFFFFF" w:themeFill="background1"/>
        </w:rPr>
        <w:t xml:space="preserve">legislative </w:t>
      </w:r>
      <w:r>
        <w:rPr>
          <w:shd w:val="clear" w:color="auto" w:fill="FFFFFF" w:themeFill="background1"/>
        </w:rPr>
        <w:t xml:space="preserve">related and other digital harm matters to </w:t>
      </w:r>
      <w:r w:rsidR="00B80011">
        <w:rPr>
          <w:shd w:val="clear" w:color="auto" w:fill="FFFFFF" w:themeFill="background1"/>
        </w:rPr>
        <w:t>DIA</w:t>
      </w:r>
      <w:r>
        <w:rPr>
          <w:shd w:val="clear" w:color="auto" w:fill="FFFFFF" w:themeFill="background1"/>
        </w:rPr>
        <w:t xml:space="preserve"> as the department responsible for regulating </w:t>
      </w:r>
      <w:r w:rsidR="00B5690A">
        <w:rPr>
          <w:shd w:val="clear" w:color="auto" w:fill="FFFFFF" w:themeFill="background1"/>
        </w:rPr>
        <w:t>the Act</w:t>
      </w:r>
      <w:r>
        <w:rPr>
          <w:shd w:val="clear" w:color="auto" w:fill="FFFFFF" w:themeFill="background1"/>
        </w:rPr>
        <w:t xml:space="preserve"> and associated harms, for example through the Film Videos and Publications Classifications Act 1993. </w:t>
      </w:r>
    </w:p>
    <w:p w14:paraId="572C1162" w14:textId="77777777" w:rsidR="004A337E" w:rsidRDefault="004A337E" w:rsidP="004A337E">
      <w:pPr>
        <w:rPr>
          <w:rFonts w:eastAsiaTheme="minorHAnsi"/>
          <w:lang w:eastAsia="en-US"/>
        </w:rPr>
      </w:pPr>
    </w:p>
    <w:p w14:paraId="50A3BEE8" w14:textId="1E1C5248" w:rsidR="004A337E" w:rsidRDefault="004A337E" w:rsidP="004A337E">
      <w:pPr>
        <w:rPr>
          <w:rFonts w:eastAsiaTheme="minorEastAsia"/>
          <w:lang w:eastAsia="en-US"/>
        </w:rPr>
      </w:pPr>
      <w:r w:rsidRPr="2F64F347">
        <w:rPr>
          <w:rFonts w:eastAsiaTheme="minorEastAsia"/>
          <w:lang w:eastAsia="en-US"/>
        </w:rPr>
        <w:t xml:space="preserve">In the meantime, the </w:t>
      </w:r>
      <w:r w:rsidR="31A04A5D" w:rsidRPr="2F64F347">
        <w:rPr>
          <w:rFonts w:eastAsiaTheme="minorEastAsia"/>
          <w:lang w:eastAsia="en-US"/>
        </w:rPr>
        <w:t>s</w:t>
      </w:r>
      <w:r w:rsidRPr="2F64F347">
        <w:rPr>
          <w:rFonts w:eastAsiaTheme="minorEastAsia"/>
          <w:lang w:eastAsia="en-US"/>
        </w:rPr>
        <w:t>trategy will continue to provide for services to respond to harm from any form of gambling, as well as research and evaluation to improve our understanding of gambling behaviour, the associated harms and the effectiveness of particular interventions.</w:t>
      </w:r>
    </w:p>
    <w:p w14:paraId="34DFB01C" w14:textId="77777777" w:rsidR="004A337E" w:rsidRDefault="004A337E" w:rsidP="004A337E">
      <w:pPr>
        <w:rPr>
          <w:rFonts w:eastAsiaTheme="minorHAnsi"/>
          <w:lang w:eastAsia="en-US"/>
        </w:rPr>
      </w:pPr>
    </w:p>
    <w:p w14:paraId="0473F63F" w14:textId="77777777" w:rsidR="004A337E" w:rsidRDefault="2BDDF9E7" w:rsidP="2F6A6A80">
      <w:pPr>
        <w:keepNext/>
        <w:keepLines/>
        <w:rPr>
          <w:rFonts w:eastAsiaTheme="minorEastAsia"/>
          <w:lang w:eastAsia="en-US"/>
        </w:rPr>
      </w:pPr>
      <w:r w:rsidRPr="2F6A6A80">
        <w:rPr>
          <w:rFonts w:eastAsiaTheme="minorEastAsia"/>
          <w:lang w:eastAsia="en-US"/>
        </w:rPr>
        <w:t>The Ministry is grateful for the passion and compassion evident in submissions from people who shared their personal experiences of gambling harm, using these experiences to constructively contribute to our consultation. While it is impossible for this proposals document to reflect every individual’s point of view, the Ministry hopes that submitters can see themselves in these proposed responses.</w:t>
      </w:r>
    </w:p>
    <w:p w14:paraId="6FBA7AB8" w14:textId="77777777" w:rsidR="004A337E" w:rsidRPr="00517395" w:rsidRDefault="004A337E" w:rsidP="00517395">
      <w:pPr>
        <w:pStyle w:val="Heading2"/>
      </w:pPr>
      <w:bookmarkStart w:id="5" w:name="_Toc89684381"/>
      <w:bookmarkStart w:id="6" w:name="_Toc90885037"/>
      <w:bookmarkStart w:id="7" w:name="_Toc185338881"/>
      <w:r w:rsidRPr="00517395">
        <w:t>Structure of this document</w:t>
      </w:r>
      <w:bookmarkEnd w:id="5"/>
      <w:bookmarkEnd w:id="6"/>
      <w:bookmarkEnd w:id="7"/>
    </w:p>
    <w:p w14:paraId="6002C8A6" w14:textId="3E026046" w:rsidR="004A337E" w:rsidRDefault="2BDDF9E7" w:rsidP="00517395">
      <w:r>
        <w:t xml:space="preserve">The structure of this proposals document is based on the structure of the </w:t>
      </w:r>
      <w:r w:rsidRPr="2F6A6A80">
        <w:rPr>
          <w:i/>
          <w:iCs/>
        </w:rPr>
        <w:t xml:space="preserve">Strategy to Prevent and Minimise Gambling Harm </w:t>
      </w:r>
      <w:r w:rsidRPr="2F6A6A80">
        <w:rPr>
          <w:rFonts w:eastAsiaTheme="minorEastAsia"/>
          <w:i/>
          <w:iCs/>
          <w:lang w:eastAsia="en-US"/>
        </w:rPr>
        <w:t>2025/26 to 2027/28</w:t>
      </w:r>
      <w:r w:rsidRPr="2F6A6A80">
        <w:rPr>
          <w:i/>
          <w:iCs/>
        </w:rPr>
        <w:t>: Consultation Document</w:t>
      </w:r>
      <w:r>
        <w:t>.</w:t>
      </w:r>
      <w:r w:rsidRPr="2F6A6A80">
        <w:rPr>
          <w:i/>
          <w:iCs/>
        </w:rPr>
        <w:t xml:space="preserve"> </w:t>
      </w:r>
      <w:r>
        <w:t xml:space="preserve">Changes have been made where the Ministry considers they </w:t>
      </w:r>
      <w:r w:rsidR="4BA18FA5">
        <w:t>we</w:t>
      </w:r>
      <w:r>
        <w:t>re warranted</w:t>
      </w:r>
      <w:r w:rsidR="0066799A">
        <w:t>, in consultation with Health NZ</w:t>
      </w:r>
      <w:r>
        <w:t xml:space="preserve">. The Ministry has published the submissions analysis report noted above on </w:t>
      </w:r>
      <w:r w:rsidR="7665D112">
        <w:t>our</w:t>
      </w:r>
      <w:r>
        <w:t xml:space="preserve"> website.</w:t>
      </w:r>
    </w:p>
    <w:p w14:paraId="65D8600B" w14:textId="77777777" w:rsidR="004A337E" w:rsidRPr="00A66E90" w:rsidRDefault="004A337E" w:rsidP="00517395"/>
    <w:p w14:paraId="38E97ABC" w14:textId="77777777" w:rsidR="004A337E" w:rsidRDefault="004A337E" w:rsidP="00517395">
      <w:r w:rsidRPr="00361FAC">
        <w:t xml:space="preserve">This </w:t>
      </w:r>
      <w:r w:rsidRPr="007334D3">
        <w:rPr>
          <w:i/>
        </w:rPr>
        <w:t xml:space="preserve">Strategy to Prevent and Minimise Gambling Harm </w:t>
      </w:r>
      <w:r w:rsidRPr="00977918">
        <w:rPr>
          <w:rFonts w:eastAsiaTheme="minorHAnsi"/>
          <w:i/>
          <w:lang w:eastAsia="en-US"/>
        </w:rPr>
        <w:t>20</w:t>
      </w:r>
      <w:r>
        <w:rPr>
          <w:rFonts w:eastAsiaTheme="minorHAnsi"/>
          <w:i/>
          <w:lang w:eastAsia="en-US"/>
        </w:rPr>
        <w:t>25/26</w:t>
      </w:r>
      <w:r w:rsidRPr="00977918">
        <w:rPr>
          <w:rFonts w:eastAsiaTheme="minorHAnsi"/>
          <w:i/>
          <w:lang w:eastAsia="en-US"/>
        </w:rPr>
        <w:t xml:space="preserve"> to 202</w:t>
      </w:r>
      <w:r>
        <w:rPr>
          <w:rFonts w:eastAsiaTheme="minorHAnsi"/>
          <w:i/>
          <w:lang w:eastAsia="en-US"/>
        </w:rPr>
        <w:t>7/28</w:t>
      </w:r>
      <w:r w:rsidRPr="00977918">
        <w:rPr>
          <w:rFonts w:eastAsiaTheme="minorHAnsi"/>
          <w:i/>
          <w:lang w:eastAsia="en-US"/>
        </w:rPr>
        <w:t xml:space="preserve"> </w:t>
      </w:r>
      <w:r w:rsidRPr="007334D3">
        <w:rPr>
          <w:i/>
        </w:rPr>
        <w:t>proposals document</w:t>
      </w:r>
      <w:r w:rsidRPr="00A66E90">
        <w:t xml:space="preserve"> </w:t>
      </w:r>
      <w:r>
        <w:t xml:space="preserve">(the proposals document) </w:t>
      </w:r>
      <w:r w:rsidRPr="00A66E90">
        <w:t xml:space="preserve">is divided into </w:t>
      </w:r>
      <w:r>
        <w:t>the following sections:</w:t>
      </w:r>
    </w:p>
    <w:p w14:paraId="701657FC" w14:textId="4D6F692D" w:rsidR="004A337E" w:rsidRPr="00517395" w:rsidRDefault="2BDDF9E7" w:rsidP="00517395">
      <w:pPr>
        <w:pStyle w:val="Bullet"/>
      </w:pPr>
      <w:r w:rsidRPr="00517395">
        <w:t>A strategic overview (</w:t>
      </w:r>
      <w:hyperlink w:anchor="_Strategic_overview">
        <w:r w:rsidRPr="00517395">
          <w:rPr>
            <w:rStyle w:val="Hyperlink"/>
            <w:b w:val="0"/>
            <w:color w:val="auto"/>
          </w:rPr>
          <w:t>Section 2</w:t>
        </w:r>
      </w:hyperlink>
      <w:r w:rsidRPr="00517395">
        <w:t>). including relevant background and context about the gambling environment, the nature of gambling in New Zealand, gambling related harms and the public health approach to gambling harm</w:t>
      </w:r>
    </w:p>
    <w:p w14:paraId="243A48A6" w14:textId="4622B671" w:rsidR="004A337E" w:rsidRPr="00517395" w:rsidRDefault="2BDDF9E7" w:rsidP="00517395">
      <w:pPr>
        <w:pStyle w:val="Bullet"/>
      </w:pPr>
      <w:r w:rsidRPr="00517395">
        <w:t xml:space="preserve">A strategic plan </w:t>
      </w:r>
      <w:r w:rsidRPr="00517395">
        <w:rPr>
          <w:rFonts w:eastAsiaTheme="minorEastAsia"/>
        </w:rPr>
        <w:t xml:space="preserve">2025/26 to 2027/28 </w:t>
      </w:r>
      <w:r w:rsidRPr="00517395">
        <w:t>(</w:t>
      </w:r>
      <w:hyperlink w:anchor="_The_strategic_plan">
        <w:r w:rsidRPr="00517395">
          <w:rPr>
            <w:rStyle w:val="Hyperlink"/>
            <w:b w:val="0"/>
            <w:color w:val="auto"/>
          </w:rPr>
          <w:t>Section 3</w:t>
        </w:r>
      </w:hyperlink>
      <w:r w:rsidRPr="00517395">
        <w:t xml:space="preserve">) including the strategic framework that sets out the goal, outcomes, priorities and actions for the </w:t>
      </w:r>
      <w:r w:rsidR="36FAC38E" w:rsidRPr="00517395">
        <w:t>s</w:t>
      </w:r>
      <w:r w:rsidRPr="00517395">
        <w:t>trategy</w:t>
      </w:r>
      <w:r w:rsidR="47D11623" w:rsidRPr="00517395">
        <w:t>.</w:t>
      </w:r>
      <w:r w:rsidRPr="00517395">
        <w:t xml:space="preserve"> This section outlines the strategic context for the proposed three-year service </w:t>
      </w:r>
      <w:proofErr w:type="gramStart"/>
      <w:r w:rsidRPr="00517395">
        <w:t>plan</w:t>
      </w:r>
      <w:proofErr w:type="gramEnd"/>
    </w:p>
    <w:p w14:paraId="6B01C392" w14:textId="5E643B4A" w:rsidR="004A337E" w:rsidRPr="00517395" w:rsidRDefault="2BDDF9E7" w:rsidP="00517395">
      <w:pPr>
        <w:pStyle w:val="Bullet"/>
      </w:pPr>
      <w:r w:rsidRPr="00517395">
        <w:t xml:space="preserve">A three-year service plan </w:t>
      </w:r>
      <w:r w:rsidRPr="00517395">
        <w:rPr>
          <w:rFonts w:eastAsiaTheme="minorEastAsia"/>
        </w:rPr>
        <w:t xml:space="preserve">2025/26 to 2027/28 </w:t>
      </w:r>
      <w:r w:rsidRPr="00517395">
        <w:t>(</w:t>
      </w:r>
      <w:hyperlink w:anchor="_Draft_service_plan">
        <w:r w:rsidRPr="00517395">
          <w:rPr>
            <w:rStyle w:val="Hyperlink"/>
            <w:b w:val="0"/>
            <w:color w:val="auto"/>
          </w:rPr>
          <w:t>Section 4</w:t>
        </w:r>
      </w:hyperlink>
      <w:r w:rsidRPr="00517395">
        <w:t xml:space="preserve">) including the amount of funding required for the Ministry and Health New Zealand to deliver the gambling harm prevention and minimisation activities described in the </w:t>
      </w:r>
      <w:r w:rsidR="7B4C3307" w:rsidRPr="00517395">
        <w:t>s</w:t>
      </w:r>
      <w:r w:rsidRPr="00517395">
        <w:t>trategy from 1 July 2025 to 30 June 2028</w:t>
      </w:r>
    </w:p>
    <w:p w14:paraId="3DB8ABE1" w14:textId="77777777" w:rsidR="004A337E" w:rsidRPr="00517395" w:rsidRDefault="004A337E" w:rsidP="00517395">
      <w:pPr>
        <w:pStyle w:val="Bullet"/>
      </w:pPr>
      <w:r w:rsidRPr="00517395">
        <w:t xml:space="preserve">Draft levy rates for </w:t>
      </w:r>
      <w:r w:rsidRPr="00517395">
        <w:rPr>
          <w:rFonts w:eastAsiaTheme="minorHAnsi"/>
        </w:rPr>
        <w:t xml:space="preserve">2025/26 to 2027/28 </w:t>
      </w:r>
      <w:r w:rsidRPr="00517395">
        <w:t>(</w:t>
      </w:r>
      <w:hyperlink w:anchor="_Draft_levy_rates" w:history="1">
        <w:r w:rsidRPr="00517395">
          <w:rPr>
            <w:rStyle w:val="Hyperlink"/>
            <w:b w:val="0"/>
            <w:color w:val="auto"/>
          </w:rPr>
          <w:t>Section 5</w:t>
        </w:r>
      </w:hyperlink>
      <w:r w:rsidRPr="00517395">
        <w:t xml:space="preserve">). This section describes the calculation of levy </w:t>
      </w:r>
      <w:proofErr w:type="gramStart"/>
      <w:r w:rsidRPr="00517395">
        <w:t>rates</w:t>
      </w:r>
      <w:proofErr w:type="gramEnd"/>
      <w:r w:rsidRPr="00517395">
        <w:t xml:space="preserve"> and the levy weighting options for the four gambling industry sectors: non-casino gaming machine (NCGM) operators, casinos. TAB New Zealand (TAB NZ) and New Zealand Lotteries Commission (Lotto New Zealand). It also describes the impact of each weighting option each levy paying sector.</w:t>
      </w:r>
    </w:p>
    <w:p w14:paraId="58893A77" w14:textId="77777777" w:rsidR="00517395" w:rsidRDefault="00517395" w:rsidP="00517395"/>
    <w:p w14:paraId="70A6A9AE" w14:textId="72203474" w:rsidR="004A337E" w:rsidRDefault="004A337E" w:rsidP="00517395">
      <w:r>
        <w:t xml:space="preserve">There is also additional supporting information in the Appendices. </w:t>
      </w:r>
    </w:p>
    <w:p w14:paraId="44C87B56" w14:textId="77777777" w:rsidR="004A337E" w:rsidRPr="007868FB" w:rsidRDefault="004A337E" w:rsidP="00517395">
      <w:pPr>
        <w:pStyle w:val="Heading2"/>
      </w:pPr>
      <w:bookmarkStart w:id="8" w:name="_Toc89684382"/>
      <w:bookmarkStart w:id="9" w:name="_Toc90885038"/>
      <w:bookmarkStart w:id="10" w:name="_Hlk178260539"/>
      <w:bookmarkStart w:id="11" w:name="_Toc185338882"/>
      <w:r w:rsidRPr="007868FB">
        <w:t>Next steps</w:t>
      </w:r>
      <w:bookmarkEnd w:id="8"/>
      <w:bookmarkEnd w:id="9"/>
      <w:bookmarkEnd w:id="11"/>
    </w:p>
    <w:p w14:paraId="5A306749" w14:textId="2E7D7C6B" w:rsidR="004A337E" w:rsidRDefault="2BDDF9E7" w:rsidP="00517395">
      <w:r>
        <w:t xml:space="preserve">The Ministry has submitted this document to the responsible Ministers (the Minister of Health and the Minister of Internal Affairs) and to the Gambling Commission, as required by Section 318(2) of the </w:t>
      </w:r>
      <w:r w:rsidR="2923D166">
        <w:t xml:space="preserve">Gambling </w:t>
      </w:r>
      <w:r>
        <w:t>Act</w:t>
      </w:r>
      <w:r w:rsidR="004B3A87">
        <w:t xml:space="preserve"> 2003</w:t>
      </w:r>
      <w:r>
        <w:t>.</w:t>
      </w:r>
    </w:p>
    <w:p w14:paraId="0DF73B95" w14:textId="77777777" w:rsidR="004A337E" w:rsidRDefault="004A337E" w:rsidP="00517395"/>
    <w:p w14:paraId="60B5715C" w14:textId="0E01CEE9" w:rsidR="004A337E" w:rsidRDefault="2BDDF9E7" w:rsidP="00517395">
      <w:r>
        <w:t xml:space="preserve">The Gambling Commission will undertake its own analysis of the proposed </w:t>
      </w:r>
      <w:r w:rsidR="274301B3">
        <w:t>S</w:t>
      </w:r>
      <w:r>
        <w:t xml:space="preserve">trategy and will convene a meeting to consult invited stakeholders on the </w:t>
      </w:r>
      <w:r w:rsidR="004473A9">
        <w:t>S</w:t>
      </w:r>
      <w:r>
        <w:t>trategy and levy rates. It will subsequently provide advice to the responsible Ministers.</w:t>
      </w:r>
    </w:p>
    <w:p w14:paraId="2BCAB309" w14:textId="77777777" w:rsidR="004A337E" w:rsidRDefault="004A337E" w:rsidP="00517395"/>
    <w:p w14:paraId="1A43273B" w14:textId="22FC929C" w:rsidR="004A337E" w:rsidRDefault="004A337E" w:rsidP="00517395">
      <w:r w:rsidRPr="00A66E90">
        <w:t>After considering the Gambling Commission</w:t>
      </w:r>
      <w:r>
        <w:t>’</w:t>
      </w:r>
      <w:r w:rsidRPr="00A66E90">
        <w:t xml:space="preserve">s advice, the responsible Ministers </w:t>
      </w:r>
      <w:r>
        <w:t xml:space="preserve">will </w:t>
      </w:r>
      <w:r w:rsidRPr="00A66E90">
        <w:t>take a paper to Cabinet seeking its endorsement of Ministers</w:t>
      </w:r>
      <w:r>
        <w:t>’</w:t>
      </w:r>
      <w:r w:rsidRPr="00A66E90">
        <w:t xml:space="preserve"> decisions on the </w:t>
      </w:r>
      <w:r w:rsidR="0066799A">
        <w:t xml:space="preserve">final </w:t>
      </w:r>
      <w:r w:rsidRPr="00A66E90">
        <w:t xml:space="preserve">shape of the </w:t>
      </w:r>
      <w:r w:rsidR="2E574C41">
        <w:t>S</w:t>
      </w:r>
      <w:r w:rsidRPr="00A66E90">
        <w:t xml:space="preserve">trategy and the levy. </w:t>
      </w:r>
      <w:r w:rsidR="00FD0D67">
        <w:t>T</w:t>
      </w:r>
      <w:r w:rsidRPr="00A66E90">
        <w:t xml:space="preserve">he </w:t>
      </w:r>
      <w:r>
        <w:t xml:space="preserve">Government will make the </w:t>
      </w:r>
      <w:r w:rsidRPr="00A66E90">
        <w:t xml:space="preserve">new </w:t>
      </w:r>
      <w:r w:rsidR="6E0B4337">
        <w:t>S</w:t>
      </w:r>
      <w:r w:rsidRPr="00A66E90">
        <w:t xml:space="preserve">trategy public </w:t>
      </w:r>
      <w:r w:rsidR="00FD0D67">
        <w:t xml:space="preserve">and </w:t>
      </w:r>
      <w:r>
        <w:t xml:space="preserve">promulgate the levy regulations </w:t>
      </w:r>
      <w:r w:rsidR="00AF7E6B">
        <w:t>as part of the</w:t>
      </w:r>
      <w:r w:rsidRPr="00A66E90">
        <w:t xml:space="preserve"> 20</w:t>
      </w:r>
      <w:r>
        <w:t>25</w:t>
      </w:r>
      <w:r w:rsidRPr="00A66E90">
        <w:t xml:space="preserve"> Budget </w:t>
      </w:r>
      <w:r w:rsidR="00AF7E6B">
        <w:t>process</w:t>
      </w:r>
      <w:r w:rsidRPr="00A66E90">
        <w:t>.</w:t>
      </w:r>
    </w:p>
    <w:p w14:paraId="1D44B670" w14:textId="77777777" w:rsidR="004A337E" w:rsidRDefault="004A337E" w:rsidP="00517395"/>
    <w:p w14:paraId="70179C69" w14:textId="4E912C4F" w:rsidR="004A337E" w:rsidRDefault="004A337E" w:rsidP="00517395">
      <w:r w:rsidRPr="00A66E90">
        <w:t>The new</w:t>
      </w:r>
      <w:r w:rsidR="541CCB24">
        <w:t xml:space="preserve"> S</w:t>
      </w:r>
      <w:r w:rsidRPr="00A66E90">
        <w:t xml:space="preserve">trategy and </w:t>
      </w:r>
      <w:r>
        <w:t xml:space="preserve">new </w:t>
      </w:r>
      <w:r w:rsidRPr="00A66E90">
        <w:t xml:space="preserve">problem gambling levy regulations </w:t>
      </w:r>
      <w:r w:rsidR="00AF7E6B">
        <w:t>will then</w:t>
      </w:r>
      <w:r w:rsidRPr="00A66E90">
        <w:t xml:space="preserve"> </w:t>
      </w:r>
      <w:proofErr w:type="gramStart"/>
      <w:r w:rsidRPr="00A66E90">
        <w:t>effect</w:t>
      </w:r>
      <w:proofErr w:type="gramEnd"/>
      <w:r w:rsidRPr="00A66E90">
        <w:t xml:space="preserve"> on 1 July 20</w:t>
      </w:r>
      <w:r>
        <w:t>25</w:t>
      </w:r>
      <w:r w:rsidR="0016194E">
        <w:t>, replacing the current levy regulations that expire on 30 June 2025</w:t>
      </w:r>
      <w:r w:rsidRPr="00A66E90">
        <w:t>.</w:t>
      </w:r>
    </w:p>
    <w:bookmarkEnd w:id="10"/>
    <w:p w14:paraId="54D84B0D" w14:textId="77777777" w:rsidR="004A337E" w:rsidRDefault="004A337E" w:rsidP="004A337E"/>
    <w:p w14:paraId="0FFF7DC7" w14:textId="77777777" w:rsidR="004A337E" w:rsidRDefault="004A337E" w:rsidP="004A337E">
      <w:pPr>
        <w:rPr>
          <w:lang w:val="en-GB"/>
        </w:rPr>
      </w:pPr>
    </w:p>
    <w:p w14:paraId="3D08B88C" w14:textId="77777777" w:rsidR="004A337E" w:rsidRDefault="004A337E" w:rsidP="004A337E">
      <w:pPr>
        <w:rPr>
          <w:lang w:val="en-GB"/>
        </w:rPr>
      </w:pPr>
    </w:p>
    <w:p w14:paraId="1E74EDE5" w14:textId="77777777" w:rsidR="004A337E" w:rsidRDefault="004A337E" w:rsidP="004A337E">
      <w:pPr>
        <w:rPr>
          <w:lang w:val="en-GB"/>
        </w:rPr>
      </w:pPr>
    </w:p>
    <w:p w14:paraId="05497E6B" w14:textId="77777777" w:rsidR="004A337E" w:rsidRDefault="004A337E" w:rsidP="004A337E">
      <w:pPr>
        <w:rPr>
          <w:lang w:val="en-GB"/>
        </w:rPr>
      </w:pPr>
    </w:p>
    <w:p w14:paraId="2326A244" w14:textId="77777777" w:rsidR="004A337E" w:rsidRDefault="004A337E" w:rsidP="004A337E">
      <w:pPr>
        <w:rPr>
          <w:lang w:val="en-GB"/>
        </w:rPr>
      </w:pPr>
    </w:p>
    <w:p w14:paraId="5656AEEF" w14:textId="77777777" w:rsidR="004A337E" w:rsidRDefault="004A337E" w:rsidP="004A337E">
      <w:pPr>
        <w:rPr>
          <w:lang w:val="en-GB"/>
        </w:rPr>
      </w:pPr>
    </w:p>
    <w:p w14:paraId="4E867796" w14:textId="77777777" w:rsidR="004A337E" w:rsidRDefault="004A337E" w:rsidP="004A337E">
      <w:pPr>
        <w:rPr>
          <w:lang w:val="en-GB"/>
        </w:rPr>
      </w:pPr>
    </w:p>
    <w:p w14:paraId="6C53FBDC" w14:textId="77777777" w:rsidR="004A337E" w:rsidRDefault="004A337E" w:rsidP="004A337E">
      <w:pPr>
        <w:rPr>
          <w:lang w:val="en-GB"/>
        </w:rPr>
      </w:pPr>
    </w:p>
    <w:p w14:paraId="1C953942" w14:textId="77777777" w:rsidR="004A337E" w:rsidRDefault="004A337E" w:rsidP="004A337E">
      <w:pPr>
        <w:rPr>
          <w:lang w:val="en-GB"/>
        </w:rPr>
      </w:pPr>
    </w:p>
    <w:p w14:paraId="7473DC57" w14:textId="77777777" w:rsidR="004A337E" w:rsidRDefault="004A337E" w:rsidP="004A337E">
      <w:pPr>
        <w:rPr>
          <w:lang w:val="en-GB"/>
        </w:rPr>
      </w:pPr>
    </w:p>
    <w:p w14:paraId="68F40AA4" w14:textId="77777777" w:rsidR="004A337E" w:rsidRDefault="004A337E" w:rsidP="004A337E">
      <w:pPr>
        <w:rPr>
          <w:lang w:val="en-GB"/>
        </w:rPr>
      </w:pPr>
    </w:p>
    <w:p w14:paraId="107C5B0D" w14:textId="77777777" w:rsidR="004A337E" w:rsidRDefault="004A337E" w:rsidP="004A337E">
      <w:pPr>
        <w:rPr>
          <w:lang w:val="en-GB"/>
        </w:rPr>
      </w:pPr>
    </w:p>
    <w:p w14:paraId="457ACD8E" w14:textId="77777777" w:rsidR="004A337E" w:rsidRDefault="004A337E" w:rsidP="004A337E">
      <w:pPr>
        <w:rPr>
          <w:lang w:val="en-GB"/>
        </w:rPr>
      </w:pPr>
    </w:p>
    <w:p w14:paraId="33777EE3" w14:textId="77777777" w:rsidR="004A337E" w:rsidRDefault="004A337E" w:rsidP="004A337E">
      <w:pPr>
        <w:rPr>
          <w:lang w:val="en-GB"/>
        </w:rPr>
      </w:pPr>
    </w:p>
    <w:p w14:paraId="13585119" w14:textId="77777777" w:rsidR="004A337E" w:rsidRDefault="004A337E" w:rsidP="004A337E">
      <w:pPr>
        <w:rPr>
          <w:lang w:val="en-GB"/>
        </w:rPr>
      </w:pPr>
    </w:p>
    <w:p w14:paraId="33A248D4" w14:textId="77777777" w:rsidR="004A337E" w:rsidRDefault="004A337E" w:rsidP="004A337E">
      <w:pPr>
        <w:rPr>
          <w:lang w:val="en-GB"/>
        </w:rPr>
      </w:pPr>
    </w:p>
    <w:p w14:paraId="2C3E47A9" w14:textId="77777777" w:rsidR="004A337E" w:rsidRDefault="004A337E" w:rsidP="004A337E">
      <w:pPr>
        <w:rPr>
          <w:lang w:val="en-GB"/>
        </w:rPr>
      </w:pPr>
    </w:p>
    <w:p w14:paraId="532C64E2" w14:textId="77777777" w:rsidR="004A337E" w:rsidRDefault="004A337E" w:rsidP="004A337E">
      <w:pPr>
        <w:rPr>
          <w:lang w:val="en-GB"/>
        </w:rPr>
      </w:pPr>
    </w:p>
    <w:p w14:paraId="191BF892" w14:textId="77777777" w:rsidR="004A337E" w:rsidRDefault="004A337E" w:rsidP="004A337E">
      <w:pPr>
        <w:rPr>
          <w:lang w:val="en-GB"/>
        </w:rPr>
      </w:pPr>
    </w:p>
    <w:p w14:paraId="010EAF17" w14:textId="77777777" w:rsidR="004A337E" w:rsidRDefault="004A337E" w:rsidP="004A337E">
      <w:pPr>
        <w:rPr>
          <w:lang w:val="en-GB"/>
        </w:rPr>
      </w:pPr>
    </w:p>
    <w:p w14:paraId="1220169B" w14:textId="77777777" w:rsidR="004A337E" w:rsidRDefault="004A337E" w:rsidP="004A337E">
      <w:pPr>
        <w:rPr>
          <w:lang w:val="en-GB"/>
        </w:rPr>
      </w:pPr>
    </w:p>
    <w:p w14:paraId="2526B97A" w14:textId="77777777" w:rsidR="004A337E" w:rsidRDefault="004A337E" w:rsidP="004A337E">
      <w:pPr>
        <w:rPr>
          <w:lang w:val="en-GB"/>
        </w:rPr>
      </w:pPr>
    </w:p>
    <w:p w14:paraId="5BF4E261" w14:textId="77777777" w:rsidR="004A337E" w:rsidRDefault="004A337E" w:rsidP="004A337E">
      <w:pPr>
        <w:rPr>
          <w:lang w:val="en-GB"/>
        </w:rPr>
      </w:pPr>
    </w:p>
    <w:p w14:paraId="208F3D0B" w14:textId="77777777" w:rsidR="004A337E" w:rsidRDefault="004A337E" w:rsidP="004A337E">
      <w:pPr>
        <w:rPr>
          <w:lang w:val="en-GB"/>
        </w:rPr>
      </w:pPr>
    </w:p>
    <w:p w14:paraId="674CC81F" w14:textId="77777777" w:rsidR="004A337E" w:rsidRDefault="004A337E" w:rsidP="004A337E">
      <w:pPr>
        <w:rPr>
          <w:lang w:val="en-GB"/>
        </w:rPr>
      </w:pPr>
    </w:p>
    <w:p w14:paraId="11052AC5" w14:textId="77777777" w:rsidR="004A337E" w:rsidRDefault="004A337E" w:rsidP="004A337E">
      <w:pPr>
        <w:rPr>
          <w:lang w:val="en-GB"/>
        </w:rPr>
      </w:pPr>
    </w:p>
    <w:p w14:paraId="40FC65E4" w14:textId="77777777" w:rsidR="004A337E" w:rsidRDefault="004A337E" w:rsidP="004A337E">
      <w:pPr>
        <w:rPr>
          <w:lang w:val="en-GB"/>
        </w:rPr>
      </w:pPr>
    </w:p>
    <w:p w14:paraId="2BE43C09" w14:textId="77777777" w:rsidR="00F522B9" w:rsidRPr="00517395" w:rsidRDefault="00F522B9" w:rsidP="00517395">
      <w:pPr>
        <w:pStyle w:val="Heading1"/>
      </w:pPr>
      <w:bookmarkStart w:id="12" w:name="_Toc185338883"/>
      <w:r w:rsidRPr="00517395">
        <w:t>A new Strategy to Prevent and Minimise Gambling Harm</w:t>
      </w:r>
      <w:bookmarkEnd w:id="12"/>
    </w:p>
    <w:p w14:paraId="6DDFE734" w14:textId="77777777" w:rsidR="00F522B9" w:rsidRDefault="00F522B9" w:rsidP="00517395">
      <w:r>
        <w:t>The Government has set a clear direction for mental health and addiction in New Zealand with a priority focus on:</w:t>
      </w:r>
    </w:p>
    <w:p w14:paraId="41B5B019" w14:textId="77777777" w:rsidR="00F522B9" w:rsidRPr="002B32BD" w:rsidRDefault="00F522B9" w:rsidP="00F522B9">
      <w:pPr>
        <w:pStyle w:val="Bullet"/>
        <w:tabs>
          <w:tab w:val="num" w:pos="284"/>
        </w:tabs>
      </w:pPr>
      <w:r w:rsidRPr="002B32BD">
        <w:t>increasing access to mental health and addiction support</w:t>
      </w:r>
    </w:p>
    <w:p w14:paraId="723192CF" w14:textId="77777777" w:rsidR="00F522B9" w:rsidRPr="002B32BD" w:rsidRDefault="00F522B9" w:rsidP="00F522B9">
      <w:pPr>
        <w:pStyle w:val="Bullet"/>
        <w:tabs>
          <w:tab w:val="num" w:pos="284"/>
        </w:tabs>
      </w:pPr>
      <w:r w:rsidRPr="002B32BD">
        <w:t>growing the mental health and addiction workforce</w:t>
      </w:r>
    </w:p>
    <w:p w14:paraId="72DA0655" w14:textId="77777777" w:rsidR="00F522B9" w:rsidRPr="002B32BD" w:rsidRDefault="00F522B9" w:rsidP="00F522B9">
      <w:pPr>
        <w:pStyle w:val="Bullet"/>
        <w:tabs>
          <w:tab w:val="num" w:pos="284"/>
        </w:tabs>
      </w:pPr>
      <w:r w:rsidRPr="002B32BD">
        <w:t xml:space="preserve">strengthening the focus on the prevention of and early intervention </w:t>
      </w:r>
    </w:p>
    <w:p w14:paraId="3131E3E4" w14:textId="77777777" w:rsidR="00F522B9" w:rsidRPr="002B32BD" w:rsidRDefault="00F522B9" w:rsidP="00F522B9">
      <w:pPr>
        <w:pStyle w:val="Bullet"/>
        <w:tabs>
          <w:tab w:val="num" w:pos="284"/>
        </w:tabs>
      </w:pPr>
      <w:r w:rsidRPr="002B32BD">
        <w:t>improving the effectiveness of mental health and addiction support.</w:t>
      </w:r>
    </w:p>
    <w:p w14:paraId="620062CA" w14:textId="77777777" w:rsidR="00F522B9" w:rsidRDefault="00F522B9" w:rsidP="00F522B9"/>
    <w:p w14:paraId="43DACBBB" w14:textId="77777777" w:rsidR="00F522B9" w:rsidRDefault="00F522B9" w:rsidP="00F522B9">
      <w:r>
        <w:t>This direction, supported by available data, research and evidence of what works, has driven the development of this new draft</w:t>
      </w:r>
      <w:r w:rsidRPr="00B74D5B">
        <w:rPr>
          <w:i/>
          <w:iCs/>
        </w:rPr>
        <w:t xml:space="preserve"> </w:t>
      </w:r>
      <w:r w:rsidRPr="00AC24BD">
        <w:rPr>
          <w:i/>
          <w:iCs/>
        </w:rPr>
        <w:t xml:space="preserve">Strategy to Prevent and Minimise Gambling Harm </w:t>
      </w:r>
      <w:r>
        <w:rPr>
          <w:i/>
          <w:iCs/>
        </w:rPr>
        <w:t>2025/26 to 2027/28</w:t>
      </w:r>
      <w:r w:rsidRPr="006A5956">
        <w:t xml:space="preserve"> (the </w:t>
      </w:r>
      <w:r>
        <w:t>S</w:t>
      </w:r>
      <w:r w:rsidRPr="006A5956">
        <w:t>trategy).</w:t>
      </w:r>
      <w:r>
        <w:t xml:space="preserve"> </w:t>
      </w:r>
    </w:p>
    <w:p w14:paraId="3BC69170" w14:textId="77777777" w:rsidR="00F522B9" w:rsidRDefault="00F522B9" w:rsidP="00F522B9"/>
    <w:p w14:paraId="4BC63A9F" w14:textId="77777777" w:rsidR="00F522B9" w:rsidRDefault="00F522B9" w:rsidP="00F522B9">
      <w:pPr>
        <w:pStyle w:val="Heading3"/>
        <w:spacing w:before="0"/>
      </w:pPr>
      <w:r>
        <w:t xml:space="preserve">Problem definition: </w:t>
      </w:r>
    </w:p>
    <w:p w14:paraId="0EC3C3CD" w14:textId="6DE2B3D0" w:rsidR="00F522B9" w:rsidRPr="00240FF9" w:rsidRDefault="00F522B9" w:rsidP="00F522B9">
      <w:pPr>
        <w:pStyle w:val="Heading3"/>
        <w:spacing w:before="0"/>
        <w:rPr>
          <w:sz w:val="28"/>
          <w:szCs w:val="28"/>
        </w:rPr>
      </w:pPr>
      <w:r w:rsidRPr="00240FF9">
        <w:rPr>
          <w:sz w:val="28"/>
          <w:szCs w:val="28"/>
        </w:rPr>
        <w:t>Gambling harm is wide-reaching</w:t>
      </w:r>
      <w:r w:rsidR="001010B0">
        <w:rPr>
          <w:sz w:val="28"/>
          <w:szCs w:val="28"/>
        </w:rPr>
        <w:t>,</w:t>
      </w:r>
      <w:r w:rsidRPr="00240FF9">
        <w:rPr>
          <w:sz w:val="28"/>
          <w:szCs w:val="28"/>
        </w:rPr>
        <w:t xml:space="preserve"> and services are under pressure to respond to a changing gambling </w:t>
      </w:r>
      <w:proofErr w:type="gramStart"/>
      <w:r w:rsidRPr="00240FF9">
        <w:rPr>
          <w:sz w:val="28"/>
          <w:szCs w:val="28"/>
        </w:rPr>
        <w:t>environment</w:t>
      </w:r>
      <w:proofErr w:type="gramEnd"/>
    </w:p>
    <w:p w14:paraId="073B4161" w14:textId="17F3D918" w:rsidR="00F522B9" w:rsidRDefault="485DD3D0" w:rsidP="00F522B9">
      <w:r>
        <w:t xml:space="preserve">About one in five people in New Zealand experience harm </w:t>
      </w:r>
      <w:r w:rsidR="75CDCBAB">
        <w:t>because of</w:t>
      </w:r>
      <w:r>
        <w:t xml:space="preserve"> their own or someone else’s gambling. Harm is not experienced evenly across our communities, and Māori, Pacific, Asian and young people are at greater risk. Department of Internal Affairs data show that in 2022/23, New Zealanders lost $2.76 billion gambling on the four regulated gambling sectors (Lotto New Zealand, TAB NZ, casinos and non-casino gambling machines or </w:t>
      </w:r>
      <w:r w:rsidR="5D01B407">
        <w:t>Class 4</w:t>
      </w:r>
      <w:r>
        <w:t xml:space="preserve"> gambling). </w:t>
      </w:r>
    </w:p>
    <w:p w14:paraId="0747D8AB" w14:textId="77777777" w:rsidR="00F522B9" w:rsidRPr="003E7731" w:rsidRDefault="00F522B9" w:rsidP="00F522B9"/>
    <w:p w14:paraId="6A4FD4F6" w14:textId="7773C8F0" w:rsidR="00F522B9" w:rsidRPr="001B36D5" w:rsidRDefault="485DD3D0" w:rsidP="001B36D5">
      <w:pPr>
        <w:spacing w:line="259" w:lineRule="auto"/>
        <w:rPr>
          <w:rFonts w:cstheme="minorBidi"/>
        </w:rPr>
      </w:pPr>
      <w:r w:rsidRPr="2F6A6A80">
        <w:rPr>
          <w:rFonts w:cstheme="minorBidi"/>
        </w:rPr>
        <w:t>Most money spent on gambling comes from the relatively small number of people (around 11% of adults in 2020) who play electronic gaming machines (“pokies”). For the first time in 2022/23, New Zeal</w:t>
      </w:r>
      <w:r w:rsidRPr="00C07C04">
        <w:rPr>
          <w:rFonts w:cstheme="minorBidi"/>
          <w:szCs w:val="21"/>
        </w:rPr>
        <w:t xml:space="preserve">anders lost over $1 billion on these machines, </w:t>
      </w:r>
      <w:r w:rsidR="79A0EE2E" w:rsidRPr="2F6A6A80">
        <w:rPr>
          <w:rFonts w:cstheme="minorBidi"/>
          <w:szCs w:val="21"/>
        </w:rPr>
        <w:t xml:space="preserve">these losses </w:t>
      </w:r>
      <w:r w:rsidR="04D952C6" w:rsidRPr="2F6A6A80">
        <w:rPr>
          <w:rFonts w:cstheme="minorBidi"/>
          <w:szCs w:val="21"/>
        </w:rPr>
        <w:t>were</w:t>
      </w:r>
      <w:r w:rsidRPr="001B36D5">
        <w:rPr>
          <w:rFonts w:cstheme="minorBidi"/>
          <w:szCs w:val="21"/>
        </w:rPr>
        <w:t xml:space="preserve"> disproportionately located in higher deprivation areas.</w:t>
      </w:r>
    </w:p>
    <w:p w14:paraId="13A9CE17" w14:textId="77777777" w:rsidR="00F522B9" w:rsidRPr="003E7731" w:rsidRDefault="00F522B9" w:rsidP="001B36D5">
      <w:pPr>
        <w:spacing w:line="259" w:lineRule="auto"/>
        <w:rPr>
          <w:rFonts w:cstheme="minorBidi"/>
        </w:rPr>
      </w:pPr>
    </w:p>
    <w:p w14:paraId="74541155" w14:textId="6914CB24" w:rsidR="00F522B9" w:rsidRDefault="00F522B9" w:rsidP="1F3919BA">
      <w:pPr>
        <w:rPr>
          <w:rFonts w:cstheme="minorBidi"/>
        </w:rPr>
      </w:pPr>
      <w:r w:rsidRPr="1F3919BA">
        <w:rPr>
          <w:rFonts w:cstheme="minorBidi"/>
        </w:rPr>
        <w:t xml:space="preserve">In addition, online gambling, which has the potential to cause significant harm, </w:t>
      </w:r>
      <w:r w:rsidR="5DDFD57E" w:rsidRPr="1F3919BA">
        <w:rPr>
          <w:rFonts w:cstheme="minorBidi"/>
        </w:rPr>
        <w:t xml:space="preserve">continued to </w:t>
      </w:r>
      <w:r w:rsidRPr="1F3919BA">
        <w:rPr>
          <w:rFonts w:cstheme="minorBidi"/>
        </w:rPr>
        <w:t xml:space="preserve">expand into New Zealand. The unregulated offshore online gambling market has grown significantly in recent years, with higher participation, higher spend, and greater harm being reported by New Zealanders. The Government has agreed to regulate online casinos through a licensing system, which will be designed to minimise harm, support tax collection, and provide consumer protections to New Zealanders. This regime is expected to come into effect in 2026. </w:t>
      </w:r>
    </w:p>
    <w:p w14:paraId="5829E6EF" w14:textId="77777777" w:rsidR="00F522B9" w:rsidRPr="003E7731" w:rsidRDefault="00F522B9" w:rsidP="00F522B9">
      <w:pPr>
        <w:rPr>
          <w:rFonts w:cstheme="minorHAnsi"/>
        </w:rPr>
      </w:pPr>
    </w:p>
    <w:p w14:paraId="5A8D3ECE" w14:textId="3D590E7D" w:rsidR="00F522B9" w:rsidDel="00A547FE" w:rsidRDefault="485DD3D0" w:rsidP="2F6A6A80">
      <w:pPr>
        <w:rPr>
          <w:rFonts w:eastAsiaTheme="minorEastAsia"/>
        </w:rPr>
      </w:pPr>
      <w:r w:rsidRPr="2F6A6A80">
        <w:rPr>
          <w:rFonts w:cstheme="minorBidi"/>
        </w:rPr>
        <w:t xml:space="preserve">Whether an individual experiences harm from their own or someone else’s gambling, and how this harm is experienced at a whānau and community level, results from many factors. This includes the wider determinants of health and wellbeing and the nature of the gambling environment. </w:t>
      </w:r>
      <w:r>
        <w:t xml:space="preserve">The </w:t>
      </w:r>
      <w:r w:rsidRPr="2F6A6A80">
        <w:rPr>
          <w:rFonts w:eastAsiaTheme="minorEastAsia"/>
        </w:rPr>
        <w:t xml:space="preserve"> Act and associated </w:t>
      </w:r>
      <w:r>
        <w:t>regulations</w:t>
      </w:r>
      <w:r w:rsidRPr="2F6A6A80">
        <w:rPr>
          <w:rFonts w:eastAsiaTheme="minorEastAsia"/>
        </w:rPr>
        <w:t>, as</w:t>
      </w:r>
      <w:r>
        <w:t xml:space="preserve"> administered by the </w:t>
      </w:r>
      <w:r w:rsidRPr="2F6A6A80">
        <w:rPr>
          <w:rFonts w:eastAsiaTheme="minorEastAsia"/>
        </w:rPr>
        <w:t>Department</w:t>
      </w:r>
      <w:r>
        <w:t xml:space="preserve"> of Internal Affairs</w:t>
      </w:r>
      <w:r w:rsidRPr="2F6A6A80">
        <w:rPr>
          <w:rFonts w:eastAsiaTheme="minorEastAsia"/>
        </w:rPr>
        <w:t>, set the framework for legal gambling in New Zealand.</w:t>
      </w:r>
    </w:p>
    <w:p w14:paraId="77AF58D2" w14:textId="77777777" w:rsidR="00F522B9" w:rsidRDefault="00F522B9" w:rsidP="00F522B9"/>
    <w:p w14:paraId="1CEF7763" w14:textId="1B087C73" w:rsidR="00F522B9" w:rsidRPr="003E7731" w:rsidRDefault="485DD3D0" w:rsidP="00F522B9">
      <w:r w:rsidRPr="0FD73C6D">
        <w:t xml:space="preserve">The Act requires a needs assessment be undertaken to inform each iteration of the Strategy. </w:t>
      </w:r>
      <w:r>
        <w:t>The 2024 needs assessment highlights a changing environment and gambling harm services under pressure</w:t>
      </w:r>
      <w:r w:rsidR="00513C81">
        <w:rPr>
          <w:rStyle w:val="FootnoteReference"/>
        </w:rPr>
        <w:footnoteReference w:id="4"/>
      </w:r>
      <w:r>
        <w:t>. Key findings include</w:t>
      </w:r>
      <w:r w:rsidRPr="0FD73C6D">
        <w:t xml:space="preserve">: </w:t>
      </w:r>
    </w:p>
    <w:p w14:paraId="29C3D7A0" w14:textId="37D9F2E7" w:rsidR="00F522B9" w:rsidRPr="00517395" w:rsidRDefault="485DD3D0" w:rsidP="00517395">
      <w:pPr>
        <w:pStyle w:val="Bullet"/>
      </w:pPr>
      <w:r w:rsidRPr="00517395">
        <w:t xml:space="preserve">Gambling activity has remained relatively constant in New Zealand, with data indicating that most adults engage in gambling at some stage in their </w:t>
      </w:r>
      <w:proofErr w:type="gramStart"/>
      <w:r w:rsidRPr="00517395">
        <w:t>lives</w:t>
      </w:r>
      <w:proofErr w:type="gramEnd"/>
    </w:p>
    <w:p w14:paraId="5933D39D" w14:textId="3F4866C8" w:rsidR="00F522B9" w:rsidRPr="00517395" w:rsidRDefault="485DD3D0" w:rsidP="00517395">
      <w:pPr>
        <w:pStyle w:val="Bullet"/>
      </w:pPr>
      <w:r w:rsidRPr="00517395">
        <w:t>While there has been a reduction in the number of pokies</w:t>
      </w:r>
      <w:r w:rsidR="104F01A1" w:rsidRPr="00517395">
        <w:t>,</w:t>
      </w:r>
      <w:r w:rsidRPr="00517395">
        <w:t xml:space="preserve"> </w:t>
      </w:r>
      <w:r w:rsidRPr="00517395">
        <w:rPr>
          <w:rStyle w:val="ui-provider"/>
        </w:rPr>
        <w:t xml:space="preserve">the distribution and availability of these machines remains disproportionately high in areas of </w:t>
      </w:r>
      <w:r w:rsidR="26F61E25" w:rsidRPr="00517395">
        <w:rPr>
          <w:rStyle w:val="ui-provider"/>
        </w:rPr>
        <w:t>high deprivation</w:t>
      </w:r>
      <w:r w:rsidRPr="00517395">
        <w:t xml:space="preserve">. Expenditure on pokies has continued to </w:t>
      </w:r>
      <w:proofErr w:type="gramStart"/>
      <w:r w:rsidRPr="00517395">
        <w:t>increase</w:t>
      </w:r>
      <w:proofErr w:type="gramEnd"/>
    </w:p>
    <w:p w14:paraId="344A1A9B" w14:textId="579BCF7C" w:rsidR="00F522B9" w:rsidRPr="00517395" w:rsidRDefault="485DD3D0" w:rsidP="00517395">
      <w:pPr>
        <w:pStyle w:val="Bullet"/>
      </w:pPr>
      <w:r w:rsidRPr="00517395">
        <w:t xml:space="preserve">Online gambling, particularly with unregulated providers based overseas, continues to grow. This is revealing inconsistencies with the current levy funding regime and service </w:t>
      </w:r>
      <w:proofErr w:type="gramStart"/>
      <w:r w:rsidRPr="00517395">
        <w:t>provisions</w:t>
      </w:r>
      <w:proofErr w:type="gramEnd"/>
    </w:p>
    <w:p w14:paraId="19EB8DB8" w14:textId="0F73B72B" w:rsidR="00F522B9" w:rsidRPr="00517395" w:rsidRDefault="485DD3D0" w:rsidP="00517395">
      <w:pPr>
        <w:pStyle w:val="Bullet"/>
      </w:pPr>
      <w:r w:rsidRPr="00517395">
        <w:t xml:space="preserve">The gambling harm minimisation sector is under pressure and has found the health reforms challenging. It seeks stronger government leadership and </w:t>
      </w:r>
      <w:proofErr w:type="gramStart"/>
      <w:r w:rsidRPr="00517395">
        <w:t>coordination</w:t>
      </w:r>
      <w:proofErr w:type="gramEnd"/>
    </w:p>
    <w:p w14:paraId="7CA88469" w14:textId="77777777" w:rsidR="00F522B9" w:rsidRPr="00517395" w:rsidRDefault="00F522B9" w:rsidP="00517395">
      <w:pPr>
        <w:pStyle w:val="Bullet"/>
      </w:pPr>
      <w:r w:rsidRPr="00517395">
        <w:t>There is a need to grow and support the gambling harm workforce – both clinical and peer.</w:t>
      </w:r>
    </w:p>
    <w:p w14:paraId="67ECB5AA" w14:textId="77777777" w:rsidR="00F522B9" w:rsidRPr="00240FF9" w:rsidRDefault="00F522B9" w:rsidP="2CF62E98">
      <w:pPr>
        <w:rPr>
          <w:b/>
          <w:bCs/>
          <w:strike/>
        </w:rPr>
      </w:pPr>
    </w:p>
    <w:p w14:paraId="7F022EF8" w14:textId="77777777" w:rsidR="00F522B9" w:rsidRPr="00E53A9F" w:rsidRDefault="00F522B9" w:rsidP="00F522B9">
      <w:pPr>
        <w:rPr>
          <w:rStyle w:val="Hyperlink"/>
        </w:rPr>
      </w:pPr>
    </w:p>
    <w:p w14:paraId="11D0D5BC" w14:textId="77777777" w:rsidR="00F522B9" w:rsidRDefault="00F522B9" w:rsidP="00517395">
      <w:pPr>
        <w:pStyle w:val="Heading1"/>
        <w:sectPr w:rsidR="00F522B9" w:rsidSect="004825BB">
          <w:pgSz w:w="11907" w:h="16840" w:code="9"/>
          <w:pgMar w:top="1418" w:right="1701" w:bottom="1134" w:left="1843" w:header="284" w:footer="425" w:gutter="284"/>
          <w:pgNumType w:start="1"/>
          <w:cols w:space="720"/>
        </w:sectPr>
      </w:pPr>
    </w:p>
    <w:p w14:paraId="13A447AB" w14:textId="77777777" w:rsidR="00F522B9" w:rsidRPr="00517395" w:rsidRDefault="00F522B9" w:rsidP="00517395">
      <w:pPr>
        <w:pStyle w:val="Heading1"/>
      </w:pPr>
      <w:bookmarkStart w:id="13" w:name="_Toc185338884"/>
      <w:r w:rsidRPr="00517395">
        <w:rPr>
          <w:rStyle w:val="Heading2Char"/>
          <w:b/>
          <w:color w:val="23305D"/>
          <w:spacing w:val="-10"/>
          <w:sz w:val="72"/>
          <w:szCs w:val="72"/>
        </w:rPr>
        <w:t>The gambling environment</w:t>
      </w:r>
      <w:bookmarkEnd w:id="13"/>
    </w:p>
    <w:p w14:paraId="205E31B5" w14:textId="77777777" w:rsidR="00F522B9" w:rsidRDefault="00F522B9" w:rsidP="00F522B9">
      <w:pPr>
        <w:spacing w:after="120"/>
      </w:pPr>
      <w:r>
        <w:t xml:space="preserve">This section briefly covers the current state of gambling in New Zealand, with further detail provided in </w:t>
      </w:r>
      <w:r w:rsidRPr="003A6F51">
        <w:rPr>
          <w:b/>
          <w:bCs/>
        </w:rPr>
        <w:t>Appendix One</w:t>
      </w:r>
      <w:r w:rsidRPr="001065FF">
        <w:t xml:space="preserve"> in the Appendices document</w:t>
      </w:r>
      <w:r>
        <w:rPr>
          <w:b/>
          <w:bCs/>
        </w:rPr>
        <w:t>.</w:t>
      </w:r>
    </w:p>
    <w:p w14:paraId="58A5A446" w14:textId="77777777" w:rsidR="00F522B9" w:rsidRPr="00517395" w:rsidRDefault="00F522B9" w:rsidP="00517395">
      <w:pPr>
        <w:pStyle w:val="Heading2"/>
      </w:pPr>
      <w:bookmarkStart w:id="14" w:name="_Toc185338885"/>
      <w:r w:rsidRPr="00517395">
        <w:t>Participation and expenditure</w:t>
      </w:r>
      <w:bookmarkEnd w:id="14"/>
    </w:p>
    <w:p w14:paraId="2D0A404C" w14:textId="58B352BE" w:rsidR="00F522B9" w:rsidRDefault="00F522B9" w:rsidP="00F522B9">
      <w:r>
        <w:t xml:space="preserve">Most New Zealanders gamble at least occasionally. </w:t>
      </w:r>
    </w:p>
    <w:p w14:paraId="35D149CB" w14:textId="5F3AF7B8" w:rsidR="00F522B9" w:rsidRDefault="00F522B9" w:rsidP="00517395">
      <w:pPr>
        <w:pStyle w:val="Bullet"/>
        <w:tabs>
          <w:tab w:val="num" w:pos="284"/>
        </w:tabs>
      </w:pPr>
      <w:r>
        <w:t>Estimates suggest that, in 2020 (most recent data available),</w:t>
      </w:r>
      <w:r w:rsidRPr="006249DF">
        <w:rPr>
          <w:rStyle w:val="FootnoteReference"/>
          <w:rFonts w:eastAsia="Lucida Sans Unicode"/>
        </w:rPr>
        <w:footnoteReference w:id="5"/>
      </w:r>
      <w:r>
        <w:t xml:space="preserve"> </w:t>
      </w:r>
      <w:r w:rsidRPr="00076D0D">
        <w:rPr>
          <w:b/>
          <w:bCs/>
          <w:color w:val="0070C0"/>
        </w:rPr>
        <w:t>69.3%</w:t>
      </w:r>
      <w:r>
        <w:t xml:space="preserve"> (about 2.8 million New Zealanders aged 15 years and older) had </w:t>
      </w:r>
      <w:r w:rsidRPr="00EB271D">
        <w:rPr>
          <w:b/>
          <w:bCs/>
        </w:rPr>
        <w:t>participated in at least one gambling activity in the previous 12 months</w:t>
      </w:r>
      <w:r w:rsidRPr="002B68B9">
        <w:t>.</w:t>
      </w:r>
      <w:r w:rsidRPr="00EB271D">
        <w:rPr>
          <w:b/>
          <w:bCs/>
        </w:rPr>
        <w:t xml:space="preserve"> </w:t>
      </w:r>
      <w:r>
        <w:t>Figure 1 shows the types of gambling people engaged in.</w:t>
      </w:r>
    </w:p>
    <w:p w14:paraId="1F3A0639" w14:textId="296D0CF0" w:rsidR="00F522B9" w:rsidRDefault="485DD3D0" w:rsidP="00517395">
      <w:pPr>
        <w:pStyle w:val="Bullet"/>
        <w:tabs>
          <w:tab w:val="num" w:pos="284"/>
        </w:tabs>
      </w:pPr>
      <w:r>
        <w:t xml:space="preserve">While there was no statistically significant increase in overall gambling participation between 2018 and 2020, </w:t>
      </w:r>
      <w:r w:rsidRPr="00EB271D">
        <w:rPr>
          <w:b/>
          <w:bCs/>
        </w:rPr>
        <w:t xml:space="preserve">participation in online gambling doubled to </w:t>
      </w:r>
      <w:r w:rsidRPr="00076D0D">
        <w:rPr>
          <w:b/>
          <w:bCs/>
          <w:color w:val="0070C0"/>
        </w:rPr>
        <w:t>27%</w:t>
      </w:r>
      <w:r w:rsidRPr="00EB271D">
        <w:rPr>
          <w:b/>
          <w:bCs/>
        </w:rPr>
        <w:t xml:space="preserve"> in 2020</w:t>
      </w:r>
      <w:r w:rsidR="00F522B9">
        <w:rPr>
          <w:rStyle w:val="FootnoteReference"/>
          <w:b/>
          <w:bCs/>
        </w:rPr>
        <w:footnoteReference w:id="6"/>
      </w:r>
      <w:r>
        <w:t>.</w:t>
      </w:r>
    </w:p>
    <w:p w14:paraId="100D6AFD" w14:textId="47426EE5" w:rsidR="00F522B9" w:rsidRDefault="00F522B9" w:rsidP="00F522B9">
      <w:pPr>
        <w:pStyle w:val="Bullet"/>
        <w:tabs>
          <w:tab w:val="num" w:pos="284"/>
        </w:tabs>
      </w:pPr>
      <w:r w:rsidRPr="00EB271D">
        <w:rPr>
          <w:b/>
          <w:bCs/>
        </w:rPr>
        <w:t>Total gambling expenditure (net player losses)</w:t>
      </w:r>
      <w:r w:rsidRPr="006249DF">
        <w:t xml:space="preserve"> in 2022/23 was </w:t>
      </w:r>
      <w:r w:rsidRPr="00076D0D">
        <w:rPr>
          <w:b/>
          <w:bCs/>
          <w:color w:val="0070C0"/>
        </w:rPr>
        <w:t>$2.76 billion</w:t>
      </w:r>
      <w:r w:rsidRPr="00076D0D">
        <w:rPr>
          <w:color w:val="0070C0"/>
        </w:rPr>
        <w:t xml:space="preserve"> </w:t>
      </w:r>
      <w:r w:rsidRPr="006249DF">
        <w:t xml:space="preserve">for the four regulated sectors (Lotto </w:t>
      </w:r>
      <w:r>
        <w:t>NZ</w:t>
      </w:r>
      <w:r w:rsidRPr="006249DF">
        <w:t>, TAB</w:t>
      </w:r>
      <w:r>
        <w:t xml:space="preserve"> NZ</w:t>
      </w:r>
      <w:r w:rsidRPr="006249DF">
        <w:t xml:space="preserve">, casinos and non-casino gambling machines or </w:t>
      </w:r>
      <w:r w:rsidR="00784A8B">
        <w:t>Class 4</w:t>
      </w:r>
      <w:r>
        <w:t xml:space="preserve"> gambling</w:t>
      </w:r>
      <w:r w:rsidRPr="006249DF">
        <w:t>) combined, an increase from $2.25 billion in 2021/22</w:t>
      </w:r>
      <w:r>
        <w:t>.</w:t>
      </w:r>
      <w:r w:rsidRPr="006249DF">
        <w:rPr>
          <w:rStyle w:val="FootnoteReference"/>
          <w:rFonts w:eastAsia="Lucida Sans Unicode"/>
        </w:rPr>
        <w:footnoteReference w:id="7"/>
      </w:r>
    </w:p>
    <w:p w14:paraId="6DCE1AD0" w14:textId="77777777" w:rsidR="00F522B9" w:rsidRDefault="00F522B9" w:rsidP="00F522B9"/>
    <w:p w14:paraId="16E79287" w14:textId="20C8FA5C" w:rsidR="00F522B9" w:rsidRPr="00391521" w:rsidRDefault="00F522B9" w:rsidP="00F522B9">
      <w:pPr>
        <w:pStyle w:val="Figure"/>
      </w:pPr>
      <w:bookmarkStart w:id="15" w:name="_Toc185338912"/>
      <w:r w:rsidRPr="00B657AF">
        <w:t xml:space="preserve">Figure </w:t>
      </w:r>
      <w:r w:rsidR="00347B76">
        <w:fldChar w:fldCharType="begin"/>
      </w:r>
      <w:r w:rsidR="00347B76">
        <w:instrText xml:space="preserve"> SEQ Figure \* ARABIC </w:instrText>
      </w:r>
      <w:r w:rsidR="00347B76">
        <w:fldChar w:fldCharType="separate"/>
      </w:r>
      <w:r w:rsidR="0094542E">
        <w:rPr>
          <w:noProof/>
        </w:rPr>
        <w:t>1</w:t>
      </w:r>
      <w:r w:rsidR="00347B76">
        <w:rPr>
          <w:noProof/>
        </w:rPr>
        <w:fldChar w:fldCharType="end"/>
      </w:r>
      <w:r w:rsidRPr="00B657AF">
        <w:t xml:space="preserve">: </w:t>
      </w:r>
      <w:r w:rsidRPr="00B657AF">
        <w:rPr>
          <w:rFonts w:eastAsia="Lucida Sans Unicode"/>
        </w:rPr>
        <w:t>Gambling by type, 2020 (% of population aged 15+)</w:t>
      </w:r>
      <w:bookmarkEnd w:id="15"/>
      <w:r w:rsidRPr="00B657AF">
        <w:t xml:space="preserve"> </w:t>
      </w:r>
    </w:p>
    <w:p w14:paraId="4CED0D59" w14:textId="77777777" w:rsidR="00F522B9" w:rsidRDefault="00F522B9" w:rsidP="00F522B9">
      <w:pPr>
        <w:sectPr w:rsidR="00F522B9" w:rsidSect="004825BB">
          <w:pgSz w:w="11907" w:h="16840" w:code="9"/>
          <w:pgMar w:top="1418" w:right="1701" w:bottom="1134" w:left="1843" w:header="284" w:footer="425" w:gutter="284"/>
          <w:cols w:space="720"/>
        </w:sectPr>
      </w:pPr>
      <w:r>
        <w:rPr>
          <w:noProof/>
        </w:rPr>
        <w:drawing>
          <wp:inline distT="0" distB="0" distL="0" distR="0" wp14:anchorId="32022875" wp14:editId="0F69C84B">
            <wp:extent cx="4382447" cy="2506980"/>
            <wp:effectExtent l="0" t="0" r="0" b="7620"/>
            <wp:docPr id="1428164874" name="Picture 1428164874" descr="59.1% Any Lotto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64874" name="Picture 1428164874" descr="59.1% Any Lotto produ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69477" cy="2556766"/>
                    </a:xfrm>
                    <a:prstGeom prst="rect">
                      <a:avLst/>
                    </a:prstGeom>
                    <a:noFill/>
                  </pic:spPr>
                </pic:pic>
              </a:graphicData>
            </a:graphic>
          </wp:inline>
        </w:drawing>
      </w:r>
    </w:p>
    <w:p w14:paraId="3D25F409" w14:textId="77777777" w:rsidR="00F522B9" w:rsidRPr="00517395" w:rsidRDefault="00F522B9" w:rsidP="00517395">
      <w:pPr>
        <w:pStyle w:val="Heading2"/>
        <w:spacing w:before="0"/>
      </w:pPr>
      <w:bookmarkStart w:id="16" w:name="_Toc185338886"/>
      <w:r w:rsidRPr="00517395">
        <w:t>Gambling harm</w:t>
      </w:r>
      <w:bookmarkEnd w:id="16"/>
    </w:p>
    <w:p w14:paraId="1F741692" w14:textId="495FB4FC" w:rsidR="00F522B9" w:rsidRPr="00517395" w:rsidRDefault="00F522B9" w:rsidP="00F522B9">
      <w:pPr>
        <w:pStyle w:val="Bullet"/>
        <w:tabs>
          <w:tab w:val="num" w:pos="284"/>
        </w:tabs>
      </w:pPr>
      <w:r w:rsidRPr="00BC0605">
        <w:rPr>
          <w:rFonts w:eastAsia="Lucida Sans Unicode"/>
        </w:rPr>
        <w:t xml:space="preserve">Research shows that </w:t>
      </w:r>
      <w:r w:rsidRPr="00076D0D">
        <w:rPr>
          <w:rFonts w:eastAsia="Lucida Sans Unicode"/>
          <w:b/>
          <w:bCs/>
          <w:color w:val="0070C0"/>
        </w:rPr>
        <w:t>one in five</w:t>
      </w:r>
      <w:r w:rsidRPr="00076D0D">
        <w:rPr>
          <w:rFonts w:eastAsia="Lucida Sans Unicode"/>
          <w:color w:val="0070C0"/>
        </w:rPr>
        <w:t xml:space="preserve"> </w:t>
      </w:r>
      <w:r w:rsidRPr="00BC0605">
        <w:rPr>
          <w:rFonts w:eastAsia="Lucida Sans Unicode"/>
        </w:rPr>
        <w:t xml:space="preserve">New Zealand adults (22%) are </w:t>
      </w:r>
      <w:r w:rsidRPr="00BC0605">
        <w:rPr>
          <w:rFonts w:eastAsia="Lucida Sans Unicode"/>
          <w:b/>
          <w:bCs/>
        </w:rPr>
        <w:t>affected at some time in their lives by their own or others’ gambling</w:t>
      </w:r>
      <w:r w:rsidRPr="00BC0605">
        <w:rPr>
          <w:rFonts w:eastAsia="Lucida Sans Unicode"/>
        </w:rPr>
        <w:t>.</w:t>
      </w:r>
      <w:r w:rsidRPr="006249DF">
        <w:rPr>
          <w:rStyle w:val="FootnoteReference"/>
          <w:rFonts w:eastAsia="Lucida Sans Unicode"/>
        </w:rPr>
        <w:footnoteReference w:id="8"/>
      </w:r>
      <w:r w:rsidRPr="00BC0605">
        <w:rPr>
          <w:rFonts w:eastAsia="Lucida Sans Unicode"/>
        </w:rPr>
        <w:t xml:space="preserve"> This includes financial harm; relationship disruption; conflict and breakdown; psychological distress; damage to health; cultural harm; reduced involvement at work or study; and criminal activity.</w:t>
      </w:r>
    </w:p>
    <w:p w14:paraId="69B81BDD" w14:textId="414EEBF6" w:rsidR="00F522B9" w:rsidRPr="00517395" w:rsidRDefault="00F522B9" w:rsidP="00F522B9">
      <w:pPr>
        <w:pStyle w:val="Bullet"/>
        <w:tabs>
          <w:tab w:val="num" w:pos="284"/>
        </w:tabs>
      </w:pPr>
      <w:r w:rsidRPr="00076D0D">
        <w:rPr>
          <w:rFonts w:eastAsia="Lucida Sans Unicode"/>
          <w:b/>
          <w:bCs/>
          <w:color w:val="0070C0"/>
        </w:rPr>
        <w:t>Nearly 50%</w:t>
      </w:r>
      <w:r w:rsidRPr="00076D0D">
        <w:rPr>
          <w:rFonts w:eastAsia="Lucida Sans Unicode"/>
          <w:color w:val="0070C0"/>
        </w:rPr>
        <w:t xml:space="preserve"> </w:t>
      </w:r>
      <w:r w:rsidRPr="00FD6A66">
        <w:rPr>
          <w:rFonts w:eastAsia="Lucida Sans Unicode"/>
        </w:rPr>
        <w:t xml:space="preserve">of all </w:t>
      </w:r>
      <w:r w:rsidRPr="00FD6A66">
        <w:rPr>
          <w:rFonts w:eastAsia="Lucida Sans Unicode"/>
          <w:b/>
          <w:bCs/>
        </w:rPr>
        <w:t>gambling harm is experienced by people who participate in low-risk gambling</w:t>
      </w:r>
      <w:r w:rsidRPr="00FD6A66">
        <w:rPr>
          <w:rFonts w:eastAsia="Lucida Sans Unicode"/>
        </w:rPr>
        <w:t xml:space="preserve"> (harms include damage to relationships, emotional distress, financial impacts and disruptions to work or study).</w:t>
      </w:r>
      <w:r w:rsidRPr="006249DF">
        <w:rPr>
          <w:rStyle w:val="FootnoteReference"/>
          <w:rFonts w:eastAsia="Lucida Sans Unicode"/>
        </w:rPr>
        <w:footnoteReference w:id="9"/>
      </w:r>
      <w:r w:rsidRPr="00FD6A66">
        <w:rPr>
          <w:rFonts w:eastAsia="Lucida Sans Unicode"/>
        </w:rPr>
        <w:t xml:space="preserve"> This suggests we need to focus on reducing gambling harm at the whole-of-population level.</w:t>
      </w:r>
    </w:p>
    <w:p w14:paraId="63300458" w14:textId="1C8DAC13" w:rsidR="00F522B9" w:rsidRPr="00FD6A66" w:rsidRDefault="485DD3D0" w:rsidP="00F522B9">
      <w:pPr>
        <w:pStyle w:val="Bullet"/>
        <w:tabs>
          <w:tab w:val="num" w:pos="284"/>
        </w:tabs>
      </w:pPr>
      <w:r w:rsidRPr="00076D0D">
        <w:rPr>
          <w:rFonts w:eastAsia="Lucida Sans Unicode"/>
          <w:b/>
          <w:bCs/>
          <w:color w:val="0070C0"/>
        </w:rPr>
        <w:t>183,000 adults</w:t>
      </w:r>
      <w:r w:rsidRPr="00076D0D">
        <w:rPr>
          <w:rFonts w:eastAsia="Lucida Sans Unicode"/>
          <w:color w:val="0070C0"/>
        </w:rPr>
        <w:t xml:space="preserve"> </w:t>
      </w:r>
      <w:r w:rsidRPr="00FD6A66">
        <w:rPr>
          <w:rFonts w:eastAsia="Lucida Sans Unicode"/>
        </w:rPr>
        <w:t xml:space="preserve">reported </w:t>
      </w:r>
      <w:r w:rsidRPr="00FD6A66">
        <w:rPr>
          <w:rFonts w:eastAsia="Lucida Sans Unicode"/>
          <w:b/>
          <w:bCs/>
        </w:rPr>
        <w:t>second-hand gambling harm</w:t>
      </w:r>
      <w:r w:rsidRPr="00FD6A66">
        <w:rPr>
          <w:rFonts w:eastAsia="Lucida Sans Unicode"/>
        </w:rPr>
        <w:t xml:space="preserve"> in their wider families or households in the past year, for example, arguments or ‘going without’ because of gambling</w:t>
      </w:r>
      <w:r w:rsidR="00F522B9" w:rsidRPr="006249DF">
        <w:rPr>
          <w:rStyle w:val="FootnoteReference"/>
          <w:rFonts w:eastAsia="Lucida Sans Unicode"/>
        </w:rPr>
        <w:footnoteReference w:id="10"/>
      </w:r>
      <w:r w:rsidRPr="00FD6A66">
        <w:rPr>
          <w:rFonts w:eastAsia="Lucida Sans Unicode"/>
          <w:vertAlign w:val="superscript"/>
        </w:rPr>
        <w:t xml:space="preserve">, </w:t>
      </w:r>
      <w:r w:rsidR="00F522B9">
        <w:rPr>
          <w:rStyle w:val="FootnoteReference"/>
          <w:rFonts w:eastAsia="Lucida Sans Unicode"/>
        </w:rPr>
        <w:footnoteReference w:id="11"/>
      </w:r>
      <w:r w:rsidR="7CB25129">
        <w:t>.</w:t>
      </w:r>
    </w:p>
    <w:p w14:paraId="4423829A" w14:textId="77777777" w:rsidR="00F522B9" w:rsidRDefault="00F522B9" w:rsidP="00517395"/>
    <w:p w14:paraId="21563799" w14:textId="77777777" w:rsidR="00F522B9" w:rsidRDefault="00F522B9" w:rsidP="00517395">
      <w:pPr>
        <w:rPr>
          <w:rFonts w:eastAsia="Lucida Sans Unicode"/>
        </w:rPr>
      </w:pPr>
      <w:r w:rsidRPr="00841142">
        <w:rPr>
          <w:rFonts w:eastAsia="Lucida Sans Unicode"/>
        </w:rPr>
        <w:t>Although the latest survey data available (Healthy Lifestyles Survey 2020</w:t>
      </w:r>
      <w:r>
        <w:rPr>
          <w:rFonts w:eastAsia="Lucida Sans Unicode"/>
        </w:rPr>
        <w:t xml:space="preserve"> - HLS</w:t>
      </w:r>
      <w:r w:rsidRPr="00841142">
        <w:rPr>
          <w:rFonts w:eastAsia="Lucida Sans Unicode"/>
        </w:rPr>
        <w:t xml:space="preserve">) shows that the proportion of New Zealanders at risk of harm in the past 12 months has remained relatively stable, with </w:t>
      </w:r>
      <w:r w:rsidRPr="00EB404B">
        <w:rPr>
          <w:rFonts w:eastAsia="Lucida Sans Unicode"/>
        </w:rPr>
        <w:t>4.2% at low risk of harm</w:t>
      </w:r>
      <w:r>
        <w:rPr>
          <w:rFonts w:eastAsia="Lucida Sans Unicode"/>
        </w:rPr>
        <w:t xml:space="preserve"> and </w:t>
      </w:r>
      <w:r w:rsidRPr="00EB404B">
        <w:rPr>
          <w:rFonts w:eastAsia="Lucida Sans Unicode"/>
        </w:rPr>
        <w:t>2.3%</w:t>
      </w:r>
      <w:r>
        <w:rPr>
          <w:rFonts w:eastAsia="Lucida Sans Unicode"/>
        </w:rPr>
        <w:t xml:space="preserve"> </w:t>
      </w:r>
      <w:r w:rsidRPr="00EB404B">
        <w:rPr>
          <w:rFonts w:eastAsia="Lucida Sans Unicode"/>
        </w:rPr>
        <w:t>at moderate or high risk of harm;</w:t>
      </w:r>
      <w:r>
        <w:rPr>
          <w:rFonts w:eastAsia="Lucida Sans Unicode"/>
        </w:rPr>
        <w:t xml:space="preserve"> the numbers of New Zealanders </w:t>
      </w:r>
      <w:r w:rsidRPr="000009DB">
        <w:rPr>
          <w:rFonts w:eastAsia="Lucida Sans Unicode"/>
        </w:rPr>
        <w:t xml:space="preserve">experiencing gambling-related harm has </w:t>
      </w:r>
      <w:r w:rsidRPr="006A7A1C">
        <w:rPr>
          <w:rFonts w:eastAsia="Lucida Sans Unicode"/>
        </w:rPr>
        <w:t>increased in line with population growth.</w:t>
      </w:r>
      <w:r>
        <w:rPr>
          <w:rFonts w:eastAsia="Lucida Sans Unicode"/>
        </w:rPr>
        <w:t xml:space="preserve"> </w:t>
      </w:r>
    </w:p>
    <w:p w14:paraId="039FA068" w14:textId="77777777" w:rsidR="00F522B9" w:rsidRDefault="00F522B9" w:rsidP="00517395">
      <w:pPr>
        <w:rPr>
          <w:rFonts w:eastAsia="Lucida Sans Unicode"/>
        </w:rPr>
      </w:pPr>
    </w:p>
    <w:p w14:paraId="1DD9759F" w14:textId="77777777" w:rsidR="00F522B9" w:rsidRDefault="00F522B9" w:rsidP="00517395">
      <w:pPr>
        <w:rPr>
          <w:rFonts w:eastAsia="Lucida Sans Unicode"/>
        </w:rPr>
      </w:pPr>
      <w:r>
        <w:rPr>
          <w:rFonts w:eastAsia="Lucida Sans Unicode"/>
        </w:rPr>
        <w:t>Some population groups are experiencing more gambling harm than others. For example, the HLS found</w:t>
      </w:r>
      <w:r w:rsidRPr="53E53BB2">
        <w:rPr>
          <w:rFonts w:eastAsia="Lucida Sans Unicode"/>
        </w:rPr>
        <w:t>, asking</w:t>
      </w:r>
      <w:r>
        <w:rPr>
          <w:rFonts w:eastAsia="Lucida Sans Unicode"/>
        </w:rPr>
        <w:t xml:space="preserve"> </w:t>
      </w:r>
      <w:r w:rsidRPr="57DB8D48">
        <w:rPr>
          <w:rFonts w:eastAsia="Lucida Sans Unicode"/>
        </w:rPr>
        <w:t xml:space="preserve">about the past 12 months, </w:t>
      </w:r>
      <w:r>
        <w:rPr>
          <w:rFonts w:eastAsia="Lucida Sans Unicode"/>
        </w:rPr>
        <w:t>that:</w:t>
      </w:r>
    </w:p>
    <w:p w14:paraId="3A82254F" w14:textId="77777777" w:rsidR="00F522B9" w:rsidRPr="002B68B9" w:rsidRDefault="00F522B9" w:rsidP="00F522B9">
      <w:pPr>
        <w:pStyle w:val="Bullet"/>
        <w:tabs>
          <w:tab w:val="num" w:pos="284"/>
        </w:tabs>
        <w:rPr>
          <w:rFonts w:eastAsia="Lucida Sans Unicode"/>
        </w:rPr>
      </w:pPr>
      <w:r w:rsidRPr="00830F66">
        <w:rPr>
          <w:rFonts w:eastAsia="Lucida Sans Unicode"/>
          <w:b/>
          <w:bCs/>
          <w:color w:val="0A6AB4"/>
        </w:rPr>
        <w:t xml:space="preserve">Māori </w:t>
      </w:r>
      <w:r w:rsidRPr="002B68B9">
        <w:rPr>
          <w:rFonts w:eastAsia="Lucida Sans Unicode"/>
        </w:rPr>
        <w:t xml:space="preserve">were 3.13 times more likely to be moderate-risk or problem gamblers than non-Māori and non-Pacific peoples. </w:t>
      </w:r>
    </w:p>
    <w:p w14:paraId="2DDE2BA8" w14:textId="77777777" w:rsidR="00F522B9" w:rsidRPr="002B68B9" w:rsidRDefault="00F522B9" w:rsidP="00F522B9">
      <w:pPr>
        <w:pStyle w:val="Bullet"/>
        <w:tabs>
          <w:tab w:val="num" w:pos="284"/>
        </w:tabs>
        <w:rPr>
          <w:rFonts w:eastAsia="Lucida Sans Unicode"/>
        </w:rPr>
      </w:pPr>
      <w:r w:rsidRPr="00830F66">
        <w:rPr>
          <w:rFonts w:eastAsia="Lucida Sans Unicode"/>
          <w:b/>
          <w:bCs/>
          <w:color w:val="0A6AB4"/>
        </w:rPr>
        <w:t>Pacific peoples</w:t>
      </w:r>
      <w:r w:rsidRPr="002B68B9">
        <w:rPr>
          <w:rFonts w:eastAsia="Lucida Sans Unicode"/>
        </w:rPr>
        <w:t xml:space="preserve"> were 2.56 times more likely to be moderate-risk or problem gamblers than non-Māori and non-Pacific peoples. </w:t>
      </w:r>
    </w:p>
    <w:p w14:paraId="3F3D8B59" w14:textId="79CBE8C9" w:rsidR="00F522B9" w:rsidRPr="002B68B9" w:rsidRDefault="00F522B9" w:rsidP="00F522B9">
      <w:pPr>
        <w:pStyle w:val="Bullet"/>
        <w:tabs>
          <w:tab w:val="num" w:pos="284"/>
        </w:tabs>
        <w:rPr>
          <w:rFonts w:eastAsia="Lucida Sans Unicode"/>
        </w:rPr>
      </w:pPr>
      <w:r w:rsidRPr="1F3919BA">
        <w:rPr>
          <w:rFonts w:eastAsia="Lucida Sans Unicode"/>
        </w:rPr>
        <w:t xml:space="preserve">While the proportion of </w:t>
      </w:r>
      <w:r w:rsidRPr="1F3919BA">
        <w:rPr>
          <w:rFonts w:eastAsia="Lucida Sans Unicode"/>
          <w:b/>
          <w:bCs/>
          <w:color w:val="0A6AB4"/>
        </w:rPr>
        <w:t>Asian peoples</w:t>
      </w:r>
      <w:r w:rsidRPr="1F3919BA">
        <w:rPr>
          <w:rFonts w:eastAsia="Lucida Sans Unicode"/>
          <w:b/>
          <w:bCs/>
        </w:rPr>
        <w:t xml:space="preserve"> </w:t>
      </w:r>
      <w:r w:rsidRPr="1F3919BA">
        <w:rPr>
          <w:rFonts w:eastAsia="Lucida Sans Unicode"/>
        </w:rPr>
        <w:t xml:space="preserve">who gamble is relatively low when compared other population groups, those who do gamble </w:t>
      </w:r>
      <w:r w:rsidR="6C34E105" w:rsidRPr="1F3919BA">
        <w:rPr>
          <w:rFonts w:eastAsia="Lucida Sans Unicode"/>
        </w:rPr>
        <w:t>have historically been</w:t>
      </w:r>
      <w:r w:rsidRPr="1F3919BA">
        <w:rPr>
          <w:rFonts w:eastAsia="Lucida Sans Unicode"/>
        </w:rPr>
        <w:t xml:space="preserve"> more likely to experience gambling harm compared with the European/Other population group.</w:t>
      </w:r>
    </w:p>
    <w:p w14:paraId="37179B77" w14:textId="77777777" w:rsidR="00F522B9" w:rsidRPr="002B68B9" w:rsidRDefault="00F522B9" w:rsidP="00F522B9">
      <w:pPr>
        <w:pStyle w:val="Bullet"/>
        <w:tabs>
          <w:tab w:val="num" w:pos="284"/>
        </w:tabs>
        <w:rPr>
          <w:rFonts w:eastAsia="Lucida Sans Unicode"/>
        </w:rPr>
      </w:pPr>
      <w:r w:rsidRPr="002B68B9">
        <w:rPr>
          <w:rFonts w:eastAsia="Lucida Sans Unicode"/>
        </w:rPr>
        <w:t xml:space="preserve">About 45.7% of </w:t>
      </w:r>
      <w:r w:rsidRPr="00830F66">
        <w:rPr>
          <w:rFonts w:eastAsia="Lucida Sans Unicode"/>
          <w:b/>
          <w:bCs/>
          <w:color w:val="0A6AB4"/>
        </w:rPr>
        <w:t>youth</w:t>
      </w:r>
      <w:r w:rsidRPr="002B68B9">
        <w:rPr>
          <w:rFonts w:eastAsia="Lucida Sans Unicode"/>
        </w:rPr>
        <w:t xml:space="preserve"> aged 16–24 had gambled in the past year. Young people make up approximately 14% (9,000 people) of moderate- and high-risk gamblers (1.6% of all adults or 65,000 people).</w:t>
      </w:r>
    </w:p>
    <w:p w14:paraId="1FB3FEAC" w14:textId="77777777" w:rsidR="00F522B9" w:rsidRDefault="00F522B9" w:rsidP="00F522B9">
      <w:pPr>
        <w:rPr>
          <w:rFonts w:eastAsia="Lucida Sans Unicode"/>
        </w:rPr>
      </w:pPr>
    </w:p>
    <w:p w14:paraId="573DC92D" w14:textId="77777777" w:rsidR="00F522B9" w:rsidRDefault="00F522B9" w:rsidP="00F522B9">
      <w:pPr>
        <w:rPr>
          <w:rFonts w:eastAsia="Lucida Sans Unicode"/>
        </w:rPr>
      </w:pPr>
      <w:r>
        <w:rPr>
          <w:rFonts w:eastAsia="Lucida Sans Unicode"/>
        </w:rPr>
        <w:t>Some forms of gambling are also higher risk than others, with e</w:t>
      </w:r>
      <w:r w:rsidRPr="00A67AC4">
        <w:rPr>
          <w:rFonts w:eastAsia="Lucida Sans Unicode"/>
        </w:rPr>
        <w:t>vidence show</w:t>
      </w:r>
      <w:r>
        <w:rPr>
          <w:rFonts w:eastAsia="Lucida Sans Unicode"/>
        </w:rPr>
        <w:t>ing</w:t>
      </w:r>
      <w:r w:rsidRPr="00A67AC4">
        <w:rPr>
          <w:rFonts w:eastAsia="Lucida Sans Unicode"/>
        </w:rPr>
        <w:t xml:space="preserve"> that harm is far more likely to be associated with continuous forms of gambling (those in which a gambler can immediately ‘reinvest’ their winnings in further gambling) than other modes of gambling. The common forms of continuous gambling are gaming machines </w:t>
      </w:r>
      <w:r>
        <w:rPr>
          <w:rFonts w:eastAsia="Lucida Sans Unicode"/>
        </w:rPr>
        <w:t xml:space="preserve">or ‘pokies’ </w:t>
      </w:r>
      <w:r w:rsidRPr="00A67AC4">
        <w:rPr>
          <w:rFonts w:eastAsia="Lucida Sans Unicode"/>
        </w:rPr>
        <w:t>(in or out of a casino), casino table games, scratchies (Instant Kiwi) and sports/race betting</w:t>
      </w:r>
      <w:r>
        <w:rPr>
          <w:rFonts w:eastAsia="Lucida Sans Unicode"/>
        </w:rPr>
        <w:t>.</w:t>
      </w:r>
    </w:p>
    <w:p w14:paraId="785BA221" w14:textId="77777777" w:rsidR="00F522B9" w:rsidRDefault="00F522B9" w:rsidP="00F522B9">
      <w:pPr>
        <w:rPr>
          <w:rFonts w:eastAsia="Lucida Sans Unicode"/>
        </w:rPr>
      </w:pPr>
    </w:p>
    <w:p w14:paraId="6E67C392" w14:textId="77777777" w:rsidR="00F522B9" w:rsidRDefault="00F522B9" w:rsidP="00F522B9">
      <w:pPr>
        <w:rPr>
          <w:rFonts w:eastAsia="Lucida Sans Unicode"/>
        </w:rPr>
      </w:pPr>
      <w:r w:rsidRPr="746121A3">
        <w:rPr>
          <w:rFonts w:eastAsia="Lucida Sans Unicode"/>
        </w:rPr>
        <w:t xml:space="preserve">A large amount of the money spent on gambling in New Zealand comes from the </w:t>
      </w:r>
      <w:r w:rsidRPr="006A7A1C">
        <w:rPr>
          <w:rFonts w:eastAsia="Lucida Sans Unicode"/>
        </w:rPr>
        <w:t>relatively small number of people</w:t>
      </w:r>
      <w:r w:rsidRPr="746121A3">
        <w:rPr>
          <w:rFonts w:eastAsia="Lucida Sans Unicode"/>
          <w:vertAlign w:val="superscript"/>
        </w:rPr>
        <w:t xml:space="preserve"> </w:t>
      </w:r>
      <w:r w:rsidRPr="746121A3">
        <w:rPr>
          <w:rFonts w:eastAsia="Lucida Sans Unicode"/>
        </w:rPr>
        <w:t>who play gaming machines. Most people accessing gambling-harm intervention services cite pub or club pokies as the primary problem gambling mode. The offshore online gambling market has grown significantly in recent years, with higher participation, higher spend, and greater harm being reported by New Zealanders.</w:t>
      </w:r>
    </w:p>
    <w:p w14:paraId="1DC6B459" w14:textId="77777777" w:rsidR="00F522B9" w:rsidRPr="002B68B9" w:rsidRDefault="00F522B9" w:rsidP="00517395">
      <w:pPr>
        <w:pStyle w:val="Heading2"/>
      </w:pPr>
      <w:bookmarkStart w:id="17" w:name="_Toc185338887"/>
      <w:r>
        <w:t>Government’s c</w:t>
      </w:r>
      <w:r w:rsidRPr="002B68B9">
        <w:t xml:space="preserve">urrent </w:t>
      </w:r>
      <w:r>
        <w:t>responses</w:t>
      </w:r>
      <w:bookmarkEnd w:id="17"/>
    </w:p>
    <w:p w14:paraId="6B017AFE" w14:textId="1EAE5C82" w:rsidR="00F522B9" w:rsidRDefault="00F522B9" w:rsidP="00F522B9">
      <w:r>
        <w:t xml:space="preserve">Refer to </w:t>
      </w:r>
      <w:r w:rsidRPr="003A6F51">
        <w:rPr>
          <w:b/>
          <w:bCs/>
        </w:rPr>
        <w:t>Appendix Three</w:t>
      </w:r>
      <w:r w:rsidRPr="00706C85">
        <w:t xml:space="preserve"> </w:t>
      </w:r>
      <w:r>
        <w:t>in</w:t>
      </w:r>
      <w:r w:rsidRPr="00706C85">
        <w:t xml:space="preserve"> the </w:t>
      </w:r>
      <w:r>
        <w:t>A</w:t>
      </w:r>
      <w:r w:rsidRPr="00706C85">
        <w:t>ppendices document</w:t>
      </w:r>
      <w:r>
        <w:rPr>
          <w:b/>
          <w:bCs/>
        </w:rPr>
        <w:t xml:space="preserve"> </w:t>
      </w:r>
      <w:r w:rsidRPr="00DB5117">
        <w:t>for m</w:t>
      </w:r>
      <w:r>
        <w:t>ore</w:t>
      </w:r>
      <w:r w:rsidRPr="0FD73C6D">
        <w:t xml:space="preserve"> information about </w:t>
      </w:r>
      <w:r>
        <w:t xml:space="preserve">current services and </w:t>
      </w:r>
      <w:r w:rsidRPr="0FD73C6D">
        <w:t>activity under</w:t>
      </w:r>
      <w:r w:rsidRPr="009E3069">
        <w:t xml:space="preserve"> the </w:t>
      </w:r>
      <w:r w:rsidRPr="0FD73C6D">
        <w:t xml:space="preserve">current </w:t>
      </w:r>
      <w:r w:rsidR="10C389A7">
        <w:t>s</w:t>
      </w:r>
      <w:r w:rsidRPr="0FD73C6D">
        <w:t>trategy</w:t>
      </w:r>
      <w:r w:rsidRPr="00377EEC">
        <w:t>.</w:t>
      </w:r>
      <w:r w:rsidRPr="00A2324C">
        <w:t xml:space="preserve"> </w:t>
      </w:r>
    </w:p>
    <w:p w14:paraId="32D8591C" w14:textId="77777777" w:rsidR="00F522B9" w:rsidRDefault="00F522B9" w:rsidP="00F522B9"/>
    <w:p w14:paraId="30DF644F" w14:textId="3ACD95B1" w:rsidR="00F522B9" w:rsidRDefault="485DD3D0" w:rsidP="00F522B9">
      <w:pPr>
        <w:rPr>
          <w:highlight w:val="yellow"/>
        </w:rPr>
      </w:pPr>
      <w:r>
        <w:t>Se</w:t>
      </w:r>
      <w:r w:rsidR="4D3FBE70">
        <w:t>v</w:t>
      </w:r>
      <w:r w:rsidR="4FD3FD3D">
        <w:t>e</w:t>
      </w:r>
      <w:r>
        <w:t xml:space="preserve">ral submissions called for a greater role and emphasis on public health and prevention. </w:t>
      </w:r>
      <w:r w:rsidR="00513C81">
        <w:t xml:space="preserve">These revised proposals include more information </w:t>
      </w:r>
      <w:r>
        <w:t>about the range of activities covered by the public health</w:t>
      </w:r>
      <w:r w:rsidR="41DD9752">
        <w:t xml:space="preserve"> </w:t>
      </w:r>
      <w:r w:rsidR="00617E3C">
        <w:t>approach,</w:t>
      </w:r>
      <w:r>
        <w:t xml:space="preserve"> noting th</w:t>
      </w:r>
      <w:r w:rsidR="00513C81">
        <w:t xml:space="preserve">ese </w:t>
      </w:r>
      <w:r>
        <w:t xml:space="preserve"> include regulatory activities, targeted community activities to address </w:t>
      </w:r>
      <w:r w:rsidR="1EEE28F5">
        <w:t xml:space="preserve">the full range of harms </w:t>
      </w:r>
      <w:r w:rsidR="40EC5939">
        <w:t>experienced by people who gamble</w:t>
      </w:r>
      <w:r w:rsidR="7E178F6C">
        <w:t>,</w:t>
      </w:r>
      <w:r w:rsidR="40EC5939">
        <w:t xml:space="preserve"> </w:t>
      </w:r>
      <w:r w:rsidR="7E178F6C">
        <w:t xml:space="preserve">including </w:t>
      </w:r>
      <w:r>
        <w:t>problem gamblers as well as low risk gamblers</w:t>
      </w:r>
      <w:r w:rsidR="7E178F6C">
        <w:t>,</w:t>
      </w:r>
      <w:r>
        <w:t xml:space="preserve"> and the general population. </w:t>
      </w:r>
    </w:p>
    <w:p w14:paraId="0517FC13" w14:textId="77777777" w:rsidR="00F522B9" w:rsidRDefault="00F522B9" w:rsidP="00F522B9">
      <w:pPr>
        <w:pStyle w:val="Heading3"/>
        <w:rPr>
          <w:rFonts w:eastAsia="Lucida Sans Unicode"/>
        </w:rPr>
      </w:pPr>
      <w:r>
        <w:rPr>
          <w:rFonts w:eastAsia="Lucida Sans Unicode"/>
        </w:rPr>
        <w:t xml:space="preserve">Public health approach to addressing gambling </w:t>
      </w:r>
      <w:proofErr w:type="gramStart"/>
      <w:r>
        <w:rPr>
          <w:rFonts w:eastAsia="Lucida Sans Unicode"/>
        </w:rPr>
        <w:t>harm</w:t>
      </w:r>
      <w:proofErr w:type="gramEnd"/>
    </w:p>
    <w:p w14:paraId="042E226C" w14:textId="4C1067CD" w:rsidR="00F522B9" w:rsidRDefault="00F522B9" w:rsidP="00517395">
      <w:r w:rsidRPr="44644BCA">
        <w:rPr>
          <w:rFonts w:eastAsia="Lucida Sans Unicode"/>
        </w:rPr>
        <w:t>T</w:t>
      </w:r>
      <w:r w:rsidRPr="55012244">
        <w:t xml:space="preserve">he Act (section 317) requires an integrated </w:t>
      </w:r>
      <w:r>
        <w:t xml:space="preserve">gambling </w:t>
      </w:r>
      <w:r w:rsidRPr="55012244">
        <w:t xml:space="preserve">harm prevention and minimisation strategy </w:t>
      </w:r>
      <w:r>
        <w:t>focussed on</w:t>
      </w:r>
      <w:r w:rsidRPr="55012244">
        <w:t xml:space="preserve"> public health</w:t>
      </w:r>
      <w:r w:rsidR="009E56F4">
        <w:t>.</w:t>
      </w:r>
      <w:r>
        <w:t xml:space="preserve"> It further specifies the strategy must contain measures to promote public health by preventing and minimising harm from gambling. </w:t>
      </w:r>
    </w:p>
    <w:p w14:paraId="78EB4194" w14:textId="77777777" w:rsidR="00F522B9" w:rsidRDefault="00F522B9" w:rsidP="00517395"/>
    <w:p w14:paraId="76743825" w14:textId="00063579" w:rsidR="00F522B9" w:rsidRDefault="00F522B9" w:rsidP="00517395">
      <w:pPr>
        <w:rPr>
          <w:rFonts w:eastAsia="Segoe UI" w:cs="Segoe UI"/>
          <w:color w:val="333333"/>
        </w:rPr>
      </w:pPr>
      <w:r>
        <w:t>Our public health approach consists of prevention at population and targeted levels, as well as health promotion and service delivery. The prevention work includes</w:t>
      </w:r>
      <w:r w:rsidR="009048F9">
        <w:t xml:space="preserve"> </w:t>
      </w:r>
      <w:r>
        <w:t>regulations</w:t>
      </w:r>
      <w:r w:rsidR="00ED6720">
        <w:t xml:space="preserve"> that specify the </w:t>
      </w:r>
      <w:r w:rsidR="00D12337">
        <w:t xml:space="preserve">gambling </w:t>
      </w:r>
      <w:r w:rsidR="00356386">
        <w:t xml:space="preserve">harm minimisation </w:t>
      </w:r>
      <w:r w:rsidR="0037333B">
        <w:t xml:space="preserve">requirements </w:t>
      </w:r>
      <w:r w:rsidR="00356386">
        <w:t>for operators and venues</w:t>
      </w:r>
      <w:r w:rsidR="0037333B">
        <w:t xml:space="preserve">. </w:t>
      </w:r>
      <w:r w:rsidR="007E59C1">
        <w:t>The</w:t>
      </w:r>
      <w:r w:rsidR="006A3733">
        <w:t>s</w:t>
      </w:r>
      <w:r w:rsidR="007E59C1">
        <w:t xml:space="preserve">e are implemented through </w:t>
      </w:r>
      <w:r w:rsidR="00455175">
        <w:t xml:space="preserve">regulations </w:t>
      </w:r>
      <w:r w:rsidR="005A7110">
        <w:t xml:space="preserve">administered </w:t>
      </w:r>
      <w:r w:rsidR="00455175">
        <w:t xml:space="preserve">by the Department of Internal Affairs </w:t>
      </w:r>
      <w:r>
        <w:t xml:space="preserve">and </w:t>
      </w:r>
      <w:r w:rsidR="0067436C">
        <w:t xml:space="preserve">supported </w:t>
      </w:r>
      <w:r>
        <w:t>by H</w:t>
      </w:r>
      <w:r w:rsidR="64902E19">
        <w:t>ealth New Zealand</w:t>
      </w:r>
      <w:r w:rsidR="2F25D28F">
        <w:t>-</w:t>
      </w:r>
      <w:r w:rsidR="0098748D">
        <w:t xml:space="preserve">funded </w:t>
      </w:r>
      <w:r>
        <w:t>public health services working with communities to encourage local authorities to adopt healthy gambling policies and to reduce gambling related harms. These activities increase community awareness and resilienc</w:t>
      </w:r>
      <w:r w:rsidR="43782DBC">
        <w:t>e</w:t>
      </w:r>
      <w:r>
        <w:t xml:space="preserve">. </w:t>
      </w:r>
    </w:p>
    <w:p w14:paraId="56192B7D" w14:textId="01D05508" w:rsidR="00F522B9" w:rsidRDefault="00F522B9" w:rsidP="00517395"/>
    <w:p w14:paraId="743FBB61" w14:textId="40CD3603" w:rsidR="00F522B9" w:rsidRPr="001B36D5" w:rsidRDefault="485DD3D0" w:rsidP="00517395">
      <w:r>
        <w:t>Public health</w:t>
      </w:r>
      <w:r w:rsidR="1737661D">
        <w:t xml:space="preserve"> </w:t>
      </w:r>
      <w:r w:rsidR="0340DAE6">
        <w:t>services</w:t>
      </w:r>
      <w:r>
        <w:t xml:space="preserve"> also </w:t>
      </w:r>
      <w:r w:rsidR="4A7339CC">
        <w:t>support</w:t>
      </w:r>
      <w:r>
        <w:t xml:space="preserve"> other preventative measures such as working with gambling venues to support gambling harm minimisation practices and providing a wide range of health promotion and awareness raising activities</w:t>
      </w:r>
      <w:r w:rsidR="1465931A">
        <w:t>. These may</w:t>
      </w:r>
      <w:r w:rsidR="28999EF9">
        <w:t xml:space="preserve"> for example </w:t>
      </w:r>
      <w:r w:rsidR="2F895779">
        <w:t xml:space="preserve">aim </w:t>
      </w:r>
      <w:r w:rsidR="28999EF9">
        <w:t>to raise awareness of general or s</w:t>
      </w:r>
      <w:r w:rsidR="28999EF9" w:rsidRPr="00C07C04">
        <w:rPr>
          <w:szCs w:val="21"/>
        </w:rPr>
        <w:t xml:space="preserve">pecific </w:t>
      </w:r>
      <w:r w:rsidR="28999EF9" w:rsidRPr="001B36D5">
        <w:rPr>
          <w:szCs w:val="21"/>
        </w:rPr>
        <w:t xml:space="preserve">risks of gambling harm, how to prevent or mitigate harm </w:t>
      </w:r>
      <w:r w:rsidR="1E97B194" w:rsidRPr="001B36D5">
        <w:rPr>
          <w:szCs w:val="21"/>
        </w:rPr>
        <w:t>or</w:t>
      </w:r>
      <w:r w:rsidR="28999EF9" w:rsidRPr="001B36D5">
        <w:rPr>
          <w:szCs w:val="21"/>
        </w:rPr>
        <w:t xml:space="preserve"> where to seek help and treatment.</w:t>
      </w:r>
      <w:r w:rsidRPr="00C07C04">
        <w:rPr>
          <w:szCs w:val="21"/>
        </w:rPr>
        <w:t xml:space="preserve"> This</w:t>
      </w:r>
      <w:r w:rsidRPr="001B36D5">
        <w:rPr>
          <w:szCs w:val="21"/>
        </w:rPr>
        <w:t xml:space="preserve"> work is complemented by national health promotion campaigns and resources that primarily target the general population and low-risk gamblers</w:t>
      </w:r>
      <w:r w:rsidR="65CA9FDE" w:rsidRPr="001B36D5">
        <w:rPr>
          <w:szCs w:val="21"/>
        </w:rPr>
        <w:t>.</w:t>
      </w:r>
      <w:r w:rsidR="28999EF9" w:rsidRPr="001B36D5">
        <w:rPr>
          <w:szCs w:val="21"/>
        </w:rPr>
        <w:t xml:space="preserve"> </w:t>
      </w:r>
    </w:p>
    <w:p w14:paraId="4C0478BD" w14:textId="77777777" w:rsidR="00F522B9" w:rsidRDefault="00F522B9" w:rsidP="00517395"/>
    <w:p w14:paraId="3CA9570D" w14:textId="1161FFA2" w:rsidR="00BB4F03" w:rsidRPr="001B36D5" w:rsidRDefault="6DF0985A" w:rsidP="00517395">
      <w:pPr>
        <w:rPr>
          <w:szCs w:val="21"/>
        </w:rPr>
      </w:pPr>
      <w:r w:rsidRPr="001B36D5">
        <w:rPr>
          <w:szCs w:val="21"/>
        </w:rPr>
        <w:t>Public health activity is also delivered by the Department of Internal Affairs. Its regulation of gambling in New Zealand is an important harm prevention approach, and harm prevention</w:t>
      </w:r>
      <w:r w:rsidRPr="2F6A6A80">
        <w:rPr>
          <w:rFonts w:eastAsia="Segoe UI" w:cs="Segoe UI"/>
          <w:color w:val="333333"/>
        </w:rPr>
        <w:t xml:space="preserve"> </w:t>
      </w:r>
      <w:r w:rsidRPr="001B36D5">
        <w:rPr>
          <w:szCs w:val="21"/>
        </w:rPr>
        <w:t>is a core purpose of the  Act  which guides all gambling activity in New Zealand.</w:t>
      </w:r>
    </w:p>
    <w:p w14:paraId="78DFC7A1" w14:textId="3386EE63" w:rsidR="00F522B9" w:rsidRPr="001B36D5" w:rsidRDefault="00F522B9" w:rsidP="001B36D5">
      <w:pPr>
        <w:spacing w:line="259" w:lineRule="auto"/>
        <w:rPr>
          <w:szCs w:val="21"/>
        </w:rPr>
      </w:pPr>
    </w:p>
    <w:p w14:paraId="3BFA549D" w14:textId="577D09E6" w:rsidR="00F522B9" w:rsidRPr="008C371C" w:rsidRDefault="485DD3D0" w:rsidP="00517395">
      <w:r w:rsidRPr="001B36D5">
        <w:t>More information about the public health approach is in</w:t>
      </w:r>
      <w:r w:rsidRPr="2F6A6A80">
        <w:rPr>
          <w:rFonts w:eastAsia="Segoe UI" w:cs="Segoe UI"/>
          <w:color w:val="333333"/>
        </w:rPr>
        <w:t xml:space="preserve"> </w:t>
      </w:r>
      <w:r w:rsidRPr="2F6A6A80">
        <w:rPr>
          <w:rFonts w:eastAsia="Segoe UI" w:cs="Segoe UI"/>
          <w:b/>
          <w:bCs/>
          <w:color w:val="333333"/>
        </w:rPr>
        <w:t xml:space="preserve">Appendix </w:t>
      </w:r>
      <w:r w:rsidR="079A4EBF" w:rsidRPr="2F6A6A80">
        <w:rPr>
          <w:rFonts w:eastAsia="Segoe UI" w:cs="Segoe UI"/>
          <w:b/>
          <w:bCs/>
          <w:color w:val="333333"/>
        </w:rPr>
        <w:t>3</w:t>
      </w:r>
      <w:r w:rsidRPr="2F6A6A80">
        <w:rPr>
          <w:rFonts w:eastAsia="Segoe UI" w:cs="Segoe UI"/>
          <w:b/>
          <w:bCs/>
          <w:color w:val="333333"/>
        </w:rPr>
        <w:t>.</w:t>
      </w:r>
    </w:p>
    <w:p w14:paraId="0D8CDEE2" w14:textId="77777777" w:rsidR="00F522B9" w:rsidRPr="00517395" w:rsidRDefault="00F522B9" w:rsidP="00517395">
      <w:pPr>
        <w:pStyle w:val="Heading3"/>
        <w:rPr>
          <w:rFonts w:eastAsia="Lucida Sans Unicode"/>
        </w:rPr>
      </w:pPr>
      <w:r w:rsidRPr="00517395">
        <w:rPr>
          <w:rFonts w:eastAsia="Lucida Sans Unicode"/>
        </w:rPr>
        <w:t>Intervention service delivery</w:t>
      </w:r>
    </w:p>
    <w:p w14:paraId="2B8C897F" w14:textId="34F5E55B" w:rsidR="00F522B9" w:rsidRDefault="485DD3D0" w:rsidP="00F522B9">
      <w:r>
        <w:t xml:space="preserve">The Act (section 317) also requires the </w:t>
      </w:r>
      <w:r w:rsidR="44C53792">
        <w:t>s</w:t>
      </w:r>
      <w:r w:rsidR="668C2F2D">
        <w:t>t</w:t>
      </w:r>
      <w:r w:rsidR="04360656">
        <w:t>rategy</w:t>
      </w:r>
      <w:r>
        <w:t xml:space="preserve"> to contain services to treat and assist gamblers and their families and wh</w:t>
      </w:r>
      <w:r>
        <w:rPr>
          <w:rFonts w:ascii="Calibri" w:hAnsi="Calibri" w:cs="Calibri"/>
        </w:rPr>
        <w:t>ā</w:t>
      </w:r>
      <w:r>
        <w:t>nau. Health New Zealand commissions a range of providers to deliver a variety of services. Current services are under pressure and needing to adapt to a changing gambling environment. Service access is also lower than expected based on known levels of gambling harm. T</w:t>
      </w:r>
      <w:r w:rsidRPr="002E6BFF">
        <w:t xml:space="preserve">he number of gamblers seeking treatment </w:t>
      </w:r>
      <w:r>
        <w:t>has remained static</w:t>
      </w:r>
      <w:r w:rsidR="00F522B9">
        <w:rPr>
          <w:rStyle w:val="FootnoteReference"/>
          <w:rFonts w:eastAsia="Lucida Sans Unicode"/>
        </w:rPr>
        <w:footnoteReference w:id="12"/>
      </w:r>
      <w:r w:rsidRPr="002E6BFF">
        <w:t xml:space="preserve">, despite the increase in real numbers of people experiencing gambling harm. </w:t>
      </w:r>
    </w:p>
    <w:p w14:paraId="5A30DBEC" w14:textId="28212710" w:rsidR="00F522B9" w:rsidRPr="00CA0F11" w:rsidRDefault="00F522B9" w:rsidP="00517395">
      <w:pPr>
        <w:pStyle w:val="Bullet"/>
      </w:pPr>
      <w:r w:rsidRPr="00076D0D">
        <w:rPr>
          <w:rFonts w:eastAsia="Lucida Sans Unicode"/>
        </w:rPr>
        <w:t>In the 2022</w:t>
      </w:r>
      <w:r w:rsidRPr="00CA0F11">
        <w:t xml:space="preserve">/23 year, </w:t>
      </w:r>
      <w:r w:rsidRPr="00517395">
        <w:rPr>
          <w:b/>
          <w:bCs/>
          <w:color w:val="0070C0"/>
        </w:rPr>
        <w:t>6,516</w:t>
      </w:r>
      <w:r w:rsidRPr="00076D0D">
        <w:rPr>
          <w:color w:val="0070C0"/>
        </w:rPr>
        <w:t xml:space="preserve"> </w:t>
      </w:r>
      <w:r w:rsidRPr="00517395">
        <w:rPr>
          <w:b/>
          <w:bCs/>
        </w:rPr>
        <w:t>‘gambler’ clients received gambling harm treatment services</w:t>
      </w:r>
      <w:r w:rsidRPr="00CA0F11">
        <w:t xml:space="preserve"> from a provider funded by the </w:t>
      </w:r>
      <w:r w:rsidR="3A94D8D4">
        <w:t>s</w:t>
      </w:r>
      <w:r w:rsidRPr="00CA0F11">
        <w:t>trategy.</w:t>
      </w:r>
    </w:p>
    <w:p w14:paraId="6DBBA5F7" w14:textId="4C43108A" w:rsidR="00F522B9" w:rsidRPr="00CA0F11" w:rsidRDefault="00F522B9" w:rsidP="00517395">
      <w:pPr>
        <w:pStyle w:val="Bullet"/>
      </w:pPr>
      <w:r w:rsidRPr="00CA0F11">
        <w:t xml:space="preserve">In the 2022/23 year, </w:t>
      </w:r>
      <w:r w:rsidRPr="00517395">
        <w:rPr>
          <w:b/>
          <w:bCs/>
          <w:color w:val="0070C0"/>
        </w:rPr>
        <w:t>3,870</w:t>
      </w:r>
      <w:r w:rsidRPr="00076D0D">
        <w:rPr>
          <w:color w:val="0070C0"/>
        </w:rPr>
        <w:t xml:space="preserve"> </w:t>
      </w:r>
      <w:r w:rsidRPr="00517395">
        <w:rPr>
          <w:b/>
          <w:bCs/>
        </w:rPr>
        <w:t>‘family / affected other’ clients received gambling harm treatment services</w:t>
      </w:r>
      <w:r w:rsidRPr="00CA0F11">
        <w:t xml:space="preserve"> from a provider funded by the </w:t>
      </w:r>
      <w:r w:rsidR="03393B81">
        <w:t>s</w:t>
      </w:r>
      <w:r w:rsidRPr="00CA0F11">
        <w:t xml:space="preserve">trategy. </w:t>
      </w:r>
    </w:p>
    <w:p w14:paraId="52DAE14D" w14:textId="77777777" w:rsidR="00F522B9" w:rsidRPr="00CA0F11" w:rsidRDefault="00F522B9" w:rsidP="00517395">
      <w:pPr>
        <w:pStyle w:val="Bullet"/>
      </w:pPr>
      <w:r>
        <w:t xml:space="preserve">In addition to the </w:t>
      </w:r>
      <w:r w:rsidRPr="00076D0D">
        <w:rPr>
          <w:b/>
          <w:bCs/>
          <w:color w:val="0070C0"/>
        </w:rPr>
        <w:t>6,516</w:t>
      </w:r>
      <w:r>
        <w:t xml:space="preserve"> people who sought help for their own gambling in 2022/23, the national Gambling Helpline reported a total of 2,706 people </w:t>
      </w:r>
      <w:r w:rsidRPr="00076D0D">
        <w:rPr>
          <w:b/>
          <w:bCs/>
        </w:rPr>
        <w:t xml:space="preserve">accessing support from the telehealth service </w:t>
      </w:r>
      <w:r w:rsidRPr="00024B71">
        <w:t xml:space="preserve">in the </w:t>
      </w:r>
      <w:r>
        <w:t xml:space="preserve">same year. </w:t>
      </w:r>
    </w:p>
    <w:p w14:paraId="2F891C08" w14:textId="77777777" w:rsidR="004A337E" w:rsidRDefault="004A337E" w:rsidP="004A337E">
      <w:pPr>
        <w:rPr>
          <w:lang w:val="en-GB"/>
        </w:rPr>
      </w:pPr>
    </w:p>
    <w:p w14:paraId="75D783A0" w14:textId="77777777" w:rsidR="004A337E" w:rsidRDefault="004A337E" w:rsidP="004A337E">
      <w:pPr>
        <w:rPr>
          <w:lang w:val="en-GB"/>
        </w:rPr>
      </w:pPr>
    </w:p>
    <w:p w14:paraId="508EB7EC" w14:textId="77777777" w:rsidR="004A337E" w:rsidRDefault="004A337E" w:rsidP="004A337E">
      <w:pPr>
        <w:rPr>
          <w:lang w:val="en-GB"/>
        </w:rPr>
      </w:pPr>
    </w:p>
    <w:p w14:paraId="49BD25CA" w14:textId="77777777" w:rsidR="004A337E" w:rsidRDefault="004A337E" w:rsidP="004A337E">
      <w:pPr>
        <w:rPr>
          <w:lang w:val="en-GB"/>
        </w:rPr>
      </w:pPr>
    </w:p>
    <w:p w14:paraId="0693FC38" w14:textId="35D3D3C3" w:rsidR="00F522B9" w:rsidRDefault="00F522B9">
      <w:pPr>
        <w:rPr>
          <w:lang w:val="en-GB"/>
        </w:rPr>
      </w:pPr>
      <w:r>
        <w:rPr>
          <w:lang w:val="en-GB"/>
        </w:rPr>
        <w:br w:type="page"/>
      </w:r>
    </w:p>
    <w:p w14:paraId="4BE1847F" w14:textId="77777777" w:rsidR="005C7B43" w:rsidRPr="00FD7201" w:rsidRDefault="005C7B43" w:rsidP="00FD7201">
      <w:pPr>
        <w:pStyle w:val="Heading1"/>
      </w:pPr>
      <w:bookmarkStart w:id="18" w:name="_Toc185338888"/>
      <w:r w:rsidRPr="00FD7201">
        <w:t>Strategic plan</w:t>
      </w:r>
      <w:bookmarkEnd w:id="18"/>
      <w:r w:rsidRPr="00FD7201">
        <w:t xml:space="preserve"> </w:t>
      </w:r>
    </w:p>
    <w:p w14:paraId="25A4CCE9" w14:textId="77777777" w:rsidR="005C7B43" w:rsidRPr="00EC1034" w:rsidRDefault="005C7B43" w:rsidP="00EC1034">
      <w:pPr>
        <w:rPr>
          <w:b/>
          <w:bCs/>
          <w:sz w:val="22"/>
          <w:szCs w:val="22"/>
          <w:lang w:val="en-GB"/>
        </w:rPr>
      </w:pPr>
      <w:r w:rsidRPr="00EC1034">
        <w:rPr>
          <w:b/>
          <w:bCs/>
          <w:sz w:val="22"/>
          <w:szCs w:val="22"/>
          <w:lang w:val="en-GB"/>
        </w:rPr>
        <w:t>A focus on access, workforce, prevention and early intervention, and effectiveness</w:t>
      </w:r>
    </w:p>
    <w:p w14:paraId="3E55D924" w14:textId="77777777" w:rsidR="005C7B43" w:rsidRPr="00830F66" w:rsidRDefault="005C7B43" w:rsidP="00517395">
      <w:pPr>
        <w:pStyle w:val="Heading2"/>
      </w:pPr>
      <w:bookmarkStart w:id="19" w:name="_Toc185338889"/>
      <w:r w:rsidRPr="00830F66">
        <w:t>Priorities for the mental health and addiction sector</w:t>
      </w:r>
      <w:bookmarkEnd w:id="19"/>
    </w:p>
    <w:p w14:paraId="7E781364" w14:textId="7E24DDF5" w:rsidR="005C7B43" w:rsidRDefault="36C8E486" w:rsidP="005C7B43">
      <w:r>
        <w:t>Over the next three years, we will work towards our</w:t>
      </w:r>
      <w:r w:rsidR="54FCFC31">
        <w:t xml:space="preserve"> target</w:t>
      </w:r>
      <w:r>
        <w:t xml:space="preserve"> outcomes </w:t>
      </w:r>
      <w:r w:rsidR="2A07C584">
        <w:t>by focussing</w:t>
      </w:r>
      <w:r>
        <w:t xml:space="preserve"> on the Government’s priorities for the mental health and addiction system: </w:t>
      </w:r>
    </w:p>
    <w:p w14:paraId="5F8CD0F2" w14:textId="77777777" w:rsidR="005C7B43" w:rsidRPr="00830F66" w:rsidRDefault="005C7B43" w:rsidP="005C7B43">
      <w:pPr>
        <w:pStyle w:val="Bullet"/>
        <w:tabs>
          <w:tab w:val="num" w:pos="284"/>
        </w:tabs>
      </w:pPr>
      <w:r w:rsidRPr="00830F66">
        <w:rPr>
          <w:rFonts w:eastAsia="Lucida Sans Unicode"/>
          <w:b/>
          <w:bCs/>
        </w:rPr>
        <w:t xml:space="preserve">Increasing </w:t>
      </w:r>
      <w:r w:rsidRPr="00830F66">
        <w:rPr>
          <w:rFonts w:eastAsia="Lucida Sans Unicode"/>
          <w:b/>
          <w:bCs/>
          <w:color w:val="0A6AB4"/>
        </w:rPr>
        <w:t>access to gambling harm support</w:t>
      </w:r>
      <w:r w:rsidRPr="00830F66">
        <w:rPr>
          <w:rFonts w:eastAsia="Lucida Sans Unicode"/>
        </w:rPr>
        <w:t xml:space="preserve">: </w:t>
      </w:r>
      <w:r w:rsidRPr="00830F66">
        <w:t xml:space="preserve">In New Zealand, </w:t>
      </w:r>
      <w:r w:rsidRPr="00CC0B1F">
        <w:t>as internationally,</w:t>
      </w:r>
      <w:r w:rsidRPr="00830F66">
        <w:t xml:space="preserve"> a relatively small proportion of people who are suffering from gambling harm seek formal help. Increasing access to gambling harm services will require multiple approaches including de-stigmatisation, digital tools, access to gambling harm support in primary care, and service promotion.</w:t>
      </w:r>
    </w:p>
    <w:p w14:paraId="3838CA3A" w14:textId="77777777" w:rsidR="005C7B43" w:rsidRPr="00830F66" w:rsidRDefault="005C7B43" w:rsidP="005C7B43">
      <w:pPr>
        <w:pStyle w:val="Bullet"/>
        <w:tabs>
          <w:tab w:val="num" w:pos="284"/>
        </w:tabs>
      </w:pPr>
      <w:r w:rsidRPr="00830F66">
        <w:rPr>
          <w:rFonts w:eastAsia="Lucida Sans Unicode"/>
          <w:b/>
          <w:bCs/>
        </w:rPr>
        <w:t>Growing</w:t>
      </w:r>
      <w:r w:rsidRPr="00830F66">
        <w:rPr>
          <w:rFonts w:eastAsia="Lucida Sans Unicode"/>
        </w:rPr>
        <w:t xml:space="preserve"> </w:t>
      </w:r>
      <w:r w:rsidRPr="00830F66">
        <w:rPr>
          <w:rFonts w:eastAsia="Lucida Sans Unicode"/>
          <w:b/>
          <w:bCs/>
          <w:color w:val="0A6AB4"/>
        </w:rPr>
        <w:t>the gambling harm workforce</w:t>
      </w:r>
      <w:r w:rsidRPr="00830F66">
        <w:rPr>
          <w:rFonts w:eastAsia="Lucida Sans Unicode"/>
        </w:rPr>
        <w:t xml:space="preserve">: There is a need to grow </w:t>
      </w:r>
      <w:r w:rsidRPr="00830F66">
        <w:t>both clinical and consumer, peer and lived experience workforces. Measures are needed both to train and recruit new workers and also to retain current workers</w:t>
      </w:r>
      <w:r>
        <w:t>, and to ensure the cultural competence of the workforce</w:t>
      </w:r>
      <w:r w:rsidRPr="00830F66">
        <w:t xml:space="preserve">. </w:t>
      </w:r>
    </w:p>
    <w:p w14:paraId="75B2E5A3" w14:textId="77777777" w:rsidR="005C7B43" w:rsidRPr="00830F66" w:rsidRDefault="005C7B43" w:rsidP="005C7B43">
      <w:pPr>
        <w:pStyle w:val="Bullet"/>
        <w:tabs>
          <w:tab w:val="num" w:pos="284"/>
        </w:tabs>
        <w:rPr>
          <w:rFonts w:eastAsia="Lucida Sans Unicode"/>
        </w:rPr>
      </w:pPr>
      <w:r w:rsidRPr="00830F66">
        <w:rPr>
          <w:rFonts w:eastAsia="Lucida Sans Unicode"/>
          <w:b/>
          <w:bCs/>
        </w:rPr>
        <w:t xml:space="preserve">Strengthening </w:t>
      </w:r>
      <w:r w:rsidRPr="00830F66">
        <w:rPr>
          <w:rFonts w:eastAsia="Lucida Sans Unicode"/>
          <w:b/>
          <w:bCs/>
          <w:color w:val="0A6AB4"/>
        </w:rPr>
        <w:t>the focus on the prevention of and early intervention in gambling harm</w:t>
      </w:r>
      <w:r w:rsidRPr="00830F66">
        <w:rPr>
          <w:rFonts w:eastAsia="Lucida Sans Unicode"/>
        </w:rPr>
        <w:t>: I</w:t>
      </w:r>
      <w:r w:rsidRPr="00830F66">
        <w:t xml:space="preserve">nvestment into health promotion, de-stigmatisation, awareness, and education activities are important to prevent harm at the population level and can also minimise harm by equipping people to support their own wellbeing and to seek help when needed. </w:t>
      </w:r>
    </w:p>
    <w:p w14:paraId="6B20A4DC" w14:textId="77777777" w:rsidR="005C7B43" w:rsidRPr="00830F66" w:rsidRDefault="005C7B43" w:rsidP="005C7B43">
      <w:pPr>
        <w:pStyle w:val="Bullet"/>
        <w:tabs>
          <w:tab w:val="num" w:pos="284"/>
        </w:tabs>
      </w:pPr>
      <w:r w:rsidRPr="00830F66">
        <w:rPr>
          <w:b/>
          <w:bCs/>
        </w:rPr>
        <w:t xml:space="preserve">Improving </w:t>
      </w:r>
      <w:r w:rsidRPr="00830F66">
        <w:rPr>
          <w:rFonts w:eastAsia="Lucida Sans Unicode"/>
          <w:b/>
          <w:bCs/>
          <w:color w:val="0A6AB4"/>
        </w:rPr>
        <w:t>the effectiveness of gambling harm support</w:t>
      </w:r>
      <w:r w:rsidRPr="00830F66">
        <w:t xml:space="preserve">: There will be a strong focus on research and evaluation to ensure we are taking an evidence-based and effective approach. </w:t>
      </w:r>
      <w:r>
        <w:t>Effectiveness also covers the tailoring of services for at-risk groups, such as M</w:t>
      </w:r>
      <w:r>
        <w:rPr>
          <w:rFonts w:ascii="Calibri" w:hAnsi="Calibri" w:cs="Calibri"/>
        </w:rPr>
        <w:t>ā</w:t>
      </w:r>
      <w:r>
        <w:t>ori, Pacific, Asian and young people, and supporting community leadership in service design and delivery, because we know that a one-size-fits all, top down, approach is ineffective.</w:t>
      </w:r>
    </w:p>
    <w:p w14:paraId="5E61757F" w14:textId="77777777" w:rsidR="005C7B43" w:rsidRPr="00830F66" w:rsidRDefault="005C7B43" w:rsidP="00517395">
      <w:pPr>
        <w:pStyle w:val="Heading2"/>
      </w:pPr>
      <w:bookmarkStart w:id="20" w:name="_Toc185338890"/>
      <w:r w:rsidRPr="00830F66">
        <w:t>Strategic framework for preventing and minimising gambling harm</w:t>
      </w:r>
      <w:bookmarkEnd w:id="20"/>
      <w:r w:rsidRPr="00830F66">
        <w:t xml:space="preserve"> </w:t>
      </w:r>
    </w:p>
    <w:p w14:paraId="5BE5606D" w14:textId="77777777" w:rsidR="005C7B43" w:rsidRDefault="005C7B43" w:rsidP="005C7B43">
      <w:r>
        <w:t xml:space="preserve">Figure 2 sets out the proposed strategic framework that will drive progress against these </w:t>
      </w:r>
      <w:r w:rsidRPr="00406548">
        <w:rPr>
          <w:b/>
          <w:color w:val="0A6AB4"/>
        </w:rPr>
        <w:t xml:space="preserve">four </w:t>
      </w:r>
      <w:r>
        <w:rPr>
          <w:b/>
          <w:color w:val="0A6AB4"/>
        </w:rPr>
        <w:t xml:space="preserve">system </w:t>
      </w:r>
      <w:r w:rsidRPr="00406548">
        <w:rPr>
          <w:b/>
          <w:color w:val="0A6AB4"/>
        </w:rPr>
        <w:t>priorities</w:t>
      </w:r>
      <w:r>
        <w:rPr>
          <w:b/>
          <w:color w:val="0A6AB4"/>
        </w:rPr>
        <w:t>.</w:t>
      </w:r>
      <w:r>
        <w:t xml:space="preserve"> </w:t>
      </w:r>
    </w:p>
    <w:p w14:paraId="09B126E5" w14:textId="77777777" w:rsidR="005C7B43" w:rsidRDefault="005C7B43" w:rsidP="005C7B43"/>
    <w:p w14:paraId="6C2DC4E1" w14:textId="77777777" w:rsidR="005C7B43" w:rsidRDefault="005C7B43" w:rsidP="005C7B43">
      <w:r>
        <w:t xml:space="preserve">The framework outlines </w:t>
      </w:r>
      <w:r w:rsidRPr="009806CB">
        <w:rPr>
          <w:b/>
          <w:color w:val="0A6AB4"/>
        </w:rPr>
        <w:t>12 action areas</w:t>
      </w:r>
      <w:r w:rsidRPr="009806CB">
        <w:rPr>
          <w:color w:val="0A6AB4"/>
        </w:rPr>
        <w:t xml:space="preserve"> </w:t>
      </w:r>
      <w:r w:rsidRPr="00205B8A">
        <w:t xml:space="preserve">across the </w:t>
      </w:r>
      <w:r>
        <w:t xml:space="preserve">system </w:t>
      </w:r>
      <w:r w:rsidRPr="00205B8A">
        <w:t>priorities</w:t>
      </w:r>
      <w:r>
        <w:rPr>
          <w:color w:val="0A6AB4"/>
        </w:rPr>
        <w:t xml:space="preserve"> </w:t>
      </w:r>
      <w:r w:rsidRPr="0D00788D">
        <w:t>–</w:t>
      </w:r>
      <w:r>
        <w:t xml:space="preserve"> </w:t>
      </w:r>
      <w:r w:rsidRPr="0D00788D">
        <w:t xml:space="preserve">taken together, these action areas describe a well-functioning gambling harm prevention and minimisation system. </w:t>
      </w:r>
    </w:p>
    <w:p w14:paraId="32E6D397" w14:textId="77777777" w:rsidR="005C7B43" w:rsidRDefault="005C7B43" w:rsidP="005C7B43"/>
    <w:p w14:paraId="5C501867" w14:textId="77777777" w:rsidR="005C7B43" w:rsidRDefault="005C7B43" w:rsidP="005C7B43">
      <w:r>
        <w:t xml:space="preserve">Delivery of the actions against the priorities will shift us closer to the </w:t>
      </w:r>
      <w:r w:rsidRPr="009806CB">
        <w:rPr>
          <w:b/>
          <w:color w:val="0A6AB4"/>
        </w:rPr>
        <w:t>four strategic outcomes</w:t>
      </w:r>
      <w:r>
        <w:t xml:space="preserve">: </w:t>
      </w:r>
    </w:p>
    <w:p w14:paraId="07C50B60" w14:textId="01BDF6E0" w:rsidR="005C7B43" w:rsidRPr="00830F66" w:rsidRDefault="005C7B43" w:rsidP="005C7B43">
      <w:pPr>
        <w:pStyle w:val="Bullet"/>
        <w:tabs>
          <w:tab w:val="num" w:pos="284"/>
        </w:tabs>
        <w:rPr>
          <w:rFonts w:eastAsia="Lucida Sans Unicode"/>
        </w:rPr>
      </w:pPr>
      <w:r w:rsidRPr="37A3DAAF">
        <w:rPr>
          <w:rFonts w:eastAsia="Lucida Sans Unicode"/>
        </w:rPr>
        <w:t xml:space="preserve">There is a full spectrum of </w:t>
      </w:r>
      <w:r w:rsidR="525D5699" w:rsidRPr="37A3DAAF">
        <w:rPr>
          <w:rFonts w:eastAsia="Lucida Sans Unicode"/>
        </w:rPr>
        <w:t xml:space="preserve">accessible </w:t>
      </w:r>
      <w:r w:rsidRPr="37A3DAAF">
        <w:rPr>
          <w:rFonts w:eastAsia="Lucida Sans Unicode"/>
        </w:rPr>
        <w:t>services and support to prevent and minimise gambling harm - from prevention to early intervention to specialist support.</w:t>
      </w:r>
    </w:p>
    <w:p w14:paraId="2D522131" w14:textId="251D0DE1" w:rsidR="005C7B43" w:rsidRPr="00830F66" w:rsidRDefault="00FD6E06" w:rsidP="005C7B43">
      <w:pPr>
        <w:pStyle w:val="Bullet"/>
        <w:tabs>
          <w:tab w:val="num" w:pos="284"/>
        </w:tabs>
        <w:rPr>
          <w:rFonts w:eastAsia="Lucida Sans Unicode"/>
        </w:rPr>
      </w:pPr>
      <w:r>
        <w:rPr>
          <w:rFonts w:eastAsia="Lucida Sans Unicode"/>
        </w:rPr>
        <w:t>Environments and s</w:t>
      </w:r>
      <w:r w:rsidR="005C7B43" w:rsidRPr="00830F66">
        <w:rPr>
          <w:rFonts w:eastAsia="Lucida Sans Unicode"/>
        </w:rPr>
        <w:t>ocial and cultural norms prevent and minimise harm from gambling.</w:t>
      </w:r>
    </w:p>
    <w:p w14:paraId="42D01AEF" w14:textId="19B5510B" w:rsidR="005C7B43" w:rsidRPr="00830F66" w:rsidRDefault="2572830E" w:rsidP="005C7B43">
      <w:pPr>
        <w:pStyle w:val="Bullet"/>
        <w:tabs>
          <w:tab w:val="num" w:pos="284"/>
        </w:tabs>
        <w:rPr>
          <w:rFonts w:eastAsia="Lucida Sans Unicode"/>
        </w:rPr>
      </w:pPr>
      <w:r w:rsidRPr="37A3DAAF">
        <w:rPr>
          <w:rFonts w:eastAsia="Lucida Sans Unicode"/>
        </w:rPr>
        <w:t>There is s</w:t>
      </w:r>
      <w:r w:rsidR="005C7B43" w:rsidRPr="37A3DAAF">
        <w:rPr>
          <w:rFonts w:eastAsia="Lucida Sans Unicode"/>
        </w:rPr>
        <w:t>trong leadership and accountability of the gambling harm prevention system, with decision-making as close to communities as possible.</w:t>
      </w:r>
    </w:p>
    <w:p w14:paraId="44A61D43" w14:textId="77777777" w:rsidR="005C7B43" w:rsidRPr="00830F66" w:rsidRDefault="005C7B43" w:rsidP="005C7B43">
      <w:pPr>
        <w:pStyle w:val="Bullet"/>
        <w:tabs>
          <w:tab w:val="num" w:pos="284"/>
        </w:tabs>
        <w:rPr>
          <w:rFonts w:eastAsia="Lucida Sans Unicode"/>
        </w:rPr>
      </w:pPr>
      <w:r w:rsidRPr="00830F66">
        <w:rPr>
          <w:rFonts w:eastAsia="Lucida Sans Unicode"/>
        </w:rPr>
        <w:t>There is a system focus on those who are most at risk of harm from gambling.</w:t>
      </w:r>
    </w:p>
    <w:p w14:paraId="33BD7665" w14:textId="77777777" w:rsidR="005C7B43" w:rsidRDefault="005C7B43" w:rsidP="005C7B43"/>
    <w:p w14:paraId="0673DF7B" w14:textId="391BCAA2" w:rsidR="005C7B43" w:rsidRDefault="36C8E486" w:rsidP="005C7B43">
      <w:r>
        <w:t xml:space="preserve">The framework sets a strong direction of travel towards a </w:t>
      </w:r>
      <w:r w:rsidRPr="2F6A6A80">
        <w:rPr>
          <w:b/>
          <w:bCs/>
          <w:color w:val="0A6AB4"/>
        </w:rPr>
        <w:t>goal</w:t>
      </w:r>
      <w:r w:rsidRPr="2F6A6A80">
        <w:rPr>
          <w:color w:val="0A6AB4"/>
        </w:rPr>
        <w:t xml:space="preserve"> </w:t>
      </w:r>
      <w:r>
        <w:t xml:space="preserve">where New Zealanders' quality of life and </w:t>
      </w:r>
      <w:r w:rsidR="17D03983">
        <w:t>life expectanc</w:t>
      </w:r>
      <w:r w:rsidR="33701E64">
        <w:t>y</w:t>
      </w:r>
      <w:r>
        <w:t xml:space="preserve"> are not affected by gambling harm.</w:t>
      </w:r>
    </w:p>
    <w:p w14:paraId="26511C8B" w14:textId="77777777" w:rsidR="005C7B43" w:rsidRDefault="005C7B43" w:rsidP="005C7B43"/>
    <w:p w14:paraId="10C0D671" w14:textId="16D6FEB6" w:rsidR="005C7B43" w:rsidRDefault="005C7B43" w:rsidP="005C7B43">
      <w:r w:rsidRPr="003A6F51">
        <w:rPr>
          <w:b/>
          <w:bCs/>
        </w:rPr>
        <w:t>Appendix Four</w:t>
      </w:r>
      <w:r w:rsidRPr="009F1E4A">
        <w:t xml:space="preserve"> </w:t>
      </w:r>
      <w:r>
        <w:t>in</w:t>
      </w:r>
      <w:r w:rsidRPr="009F1E4A">
        <w:t xml:space="preserve"> the </w:t>
      </w:r>
      <w:r>
        <w:t>A</w:t>
      </w:r>
      <w:r w:rsidRPr="009F1E4A">
        <w:t>ppendices document provides further details on the different components of the proposed strategic framework, which is shown</w:t>
      </w:r>
      <w:r>
        <w:t xml:space="preserve"> in</w:t>
      </w:r>
      <w:r w:rsidRPr="00A579FA">
        <w:t xml:space="preserve"> </w:t>
      </w:r>
      <w:r>
        <w:t xml:space="preserve">summary form at </w:t>
      </w:r>
      <w:r w:rsidRPr="009D7300">
        <w:rPr>
          <w:b/>
          <w:bCs/>
        </w:rPr>
        <w:t xml:space="preserve">figure </w:t>
      </w:r>
      <w:r>
        <w:rPr>
          <w:b/>
          <w:bCs/>
        </w:rPr>
        <w:t>2</w:t>
      </w:r>
      <w:r>
        <w:t xml:space="preserve">. </w:t>
      </w:r>
    </w:p>
    <w:p w14:paraId="50F63CBF" w14:textId="118540CF" w:rsidR="00FD7201" w:rsidRDefault="00FD7201" w:rsidP="005C7B43"/>
    <w:tbl>
      <w:tblPr>
        <w:tblStyle w:val="TableGrid"/>
        <w:tblW w:w="0" w:type="auto"/>
        <w:tblLook w:val="04A0" w:firstRow="1" w:lastRow="0" w:firstColumn="1" w:lastColumn="0" w:noHBand="0" w:noVBand="1"/>
      </w:tblPr>
      <w:tblGrid>
        <w:gridCol w:w="8494"/>
      </w:tblGrid>
      <w:tr w:rsidR="00FD7201" w14:paraId="02E3A428" w14:textId="77777777" w:rsidTr="00FD7201">
        <w:tc>
          <w:tcPr>
            <w:tcW w:w="8494" w:type="dxa"/>
          </w:tcPr>
          <w:p w14:paraId="68A451D1" w14:textId="17FF53DE" w:rsidR="00FD7201" w:rsidRDefault="00FD7201" w:rsidP="00FD7201">
            <w:pPr>
              <w:spacing w:before="120" w:after="120"/>
            </w:pPr>
            <w:r w:rsidRPr="00FD7201">
              <w:t xml:space="preserve">Note: While most of this framework is implemented by the Ministry and Health New Zealand, some of the actions sit with the Department of Internal Affairs in its regulatory role, for example the action the </w:t>
            </w:r>
            <w:r w:rsidRPr="00FD7201">
              <w:rPr>
                <w:i/>
                <w:iCs/>
              </w:rPr>
              <w:t>legislative and regulatory framework for preventing and minimising harm from gambling is strong and effective</w:t>
            </w:r>
            <w:r w:rsidRPr="00FD7201">
              <w:t>. The regulation of gambling is itself a harm prevention and minimisation act, as is the content of much of the regulation (for example, regulating how close ATMs can be to gaming machines).</w:t>
            </w:r>
          </w:p>
        </w:tc>
      </w:tr>
    </w:tbl>
    <w:p w14:paraId="12B369B9" w14:textId="77777777" w:rsidR="005C7B43" w:rsidRPr="009D7300" w:rsidRDefault="005C7B43" w:rsidP="00FD7201">
      <w:pPr>
        <w:pStyle w:val="Heading3"/>
      </w:pPr>
      <w:r w:rsidRPr="009D7300">
        <w:t>Priority populations</w:t>
      </w:r>
    </w:p>
    <w:p w14:paraId="7685329C" w14:textId="62C21AA7" w:rsidR="005C7B43" w:rsidRPr="00B82627" w:rsidRDefault="005C7B43" w:rsidP="005C7B43">
      <w:r w:rsidRPr="00B82627">
        <w:t xml:space="preserve">The </w:t>
      </w:r>
      <w:r w:rsidR="61206653">
        <w:t>s</w:t>
      </w:r>
      <w:r w:rsidRPr="00B82627">
        <w:t>trategy proposes a continued focus on supporting population groups who experience inequitable outcomes and gambling harm, in particular Māori, Pacific, Asian and young people. The harm and risk experienced by these groups has not reduced to the level where prioritisation is not required. The priority populations and activity geared towards them is embedded in all layers of the strategic document</w:t>
      </w:r>
      <w:r>
        <w:t>.</w:t>
      </w:r>
    </w:p>
    <w:p w14:paraId="6EF38075" w14:textId="77777777" w:rsidR="005C7B43" w:rsidRDefault="005C7B43" w:rsidP="005C7B43">
      <w:pPr>
        <w:pStyle w:val="Figure"/>
        <w:rPr>
          <w:b w:val="0"/>
          <w:sz w:val="21"/>
        </w:rPr>
      </w:pPr>
    </w:p>
    <w:p w14:paraId="0E93F707" w14:textId="77777777" w:rsidR="005C7B43" w:rsidRDefault="005C7B43" w:rsidP="005C7B43">
      <w:pPr>
        <w:pStyle w:val="Figure"/>
        <w:sectPr w:rsidR="005C7B43" w:rsidSect="004825BB">
          <w:pgSz w:w="11906" w:h="16838"/>
          <w:pgMar w:top="1418" w:right="1701" w:bottom="1134" w:left="1701" w:header="709" w:footer="425" w:gutter="0"/>
          <w:cols w:space="708"/>
          <w:docGrid w:linePitch="360"/>
        </w:sectPr>
      </w:pPr>
    </w:p>
    <w:p w14:paraId="28649FEB" w14:textId="77777777" w:rsidR="00FD7201" w:rsidRDefault="00FD7201" w:rsidP="00FD7201">
      <w:pPr>
        <w:pStyle w:val="Figure"/>
      </w:pPr>
    </w:p>
    <w:p w14:paraId="5D787805" w14:textId="497F14C0" w:rsidR="005C7B43" w:rsidRPr="00FD7201" w:rsidRDefault="005C7B43" w:rsidP="00FD7201">
      <w:pPr>
        <w:pStyle w:val="Figure"/>
      </w:pPr>
      <w:bookmarkStart w:id="21" w:name="_Toc185338913"/>
      <w:r w:rsidRPr="00FD7201">
        <w:t xml:space="preserve">Figure </w:t>
      </w:r>
      <w:r w:rsidR="00347B76">
        <w:fldChar w:fldCharType="begin"/>
      </w:r>
      <w:r w:rsidR="00347B76">
        <w:instrText xml:space="preserve"> SEQ Figure \* ARABIC </w:instrText>
      </w:r>
      <w:r w:rsidR="00347B76">
        <w:fldChar w:fldCharType="separate"/>
      </w:r>
      <w:r w:rsidR="0094542E">
        <w:rPr>
          <w:noProof/>
        </w:rPr>
        <w:t>2</w:t>
      </w:r>
      <w:r w:rsidR="00347B76">
        <w:rPr>
          <w:noProof/>
        </w:rPr>
        <w:fldChar w:fldCharType="end"/>
      </w:r>
      <w:r w:rsidRPr="00FD7201">
        <w:t>: Strategic framework for preventing and minimising gambling harm in New Zealand</w:t>
      </w:r>
      <w:bookmarkEnd w:id="21"/>
    </w:p>
    <w:p w14:paraId="71A145A9" w14:textId="77777777" w:rsidR="005C7B43" w:rsidRPr="008D5AF1" w:rsidRDefault="45E77026" w:rsidP="005C7B43">
      <w:pPr>
        <w:spacing w:before="360" w:after="120"/>
        <w:rPr>
          <w:b/>
          <w:bCs/>
          <w:sz w:val="24"/>
          <w:szCs w:val="24"/>
        </w:rPr>
      </w:pPr>
      <w:r w:rsidRPr="2CF62E98">
        <w:rPr>
          <w:b/>
          <w:bCs/>
          <w:sz w:val="24"/>
          <w:szCs w:val="24"/>
        </w:rPr>
        <w:t>GOAL: New Zealanders' quality of life and life expectancy are not affected by gambling harm</w:t>
      </w:r>
    </w:p>
    <w:tbl>
      <w:tblPr>
        <w:tblW w:w="13892" w:type="dxa"/>
        <w:tblBorders>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3123"/>
        <w:gridCol w:w="2552"/>
        <w:gridCol w:w="2976"/>
        <w:gridCol w:w="2552"/>
      </w:tblGrid>
      <w:tr w:rsidR="005C7B43" w:rsidRPr="008D5AF1" w14:paraId="3B30F9E4" w14:textId="77777777" w:rsidTr="2F6A6A80">
        <w:tc>
          <w:tcPr>
            <w:tcW w:w="2689" w:type="dxa"/>
            <w:shd w:val="clear" w:color="auto" w:fill="auto"/>
            <w:vAlign w:val="center"/>
            <w:hideMark/>
          </w:tcPr>
          <w:p w14:paraId="52FA492C" w14:textId="77777777" w:rsidR="005C7B43" w:rsidRPr="008D5AF1" w:rsidRDefault="005C7B43" w:rsidP="00860EAD">
            <w:pPr>
              <w:pStyle w:val="TableText"/>
            </w:pPr>
          </w:p>
        </w:tc>
        <w:tc>
          <w:tcPr>
            <w:tcW w:w="11203" w:type="dxa"/>
            <w:gridSpan w:val="4"/>
            <w:shd w:val="clear" w:color="auto" w:fill="595959" w:themeFill="text1" w:themeFillTint="A6"/>
            <w:vAlign w:val="center"/>
            <w:hideMark/>
          </w:tcPr>
          <w:p w14:paraId="66D602A9" w14:textId="77777777" w:rsidR="005C7B43" w:rsidRPr="008D5AF1" w:rsidRDefault="005C7B43" w:rsidP="00860EAD">
            <w:pPr>
              <w:pStyle w:val="TableText"/>
              <w:jc w:val="center"/>
              <w:rPr>
                <w:b/>
                <w:bCs/>
                <w:color w:val="FFFFFF" w:themeColor="background1"/>
              </w:rPr>
            </w:pPr>
            <w:r w:rsidRPr="008D5AF1">
              <w:rPr>
                <w:b/>
                <w:bCs/>
                <w:color w:val="FFFFFF" w:themeColor="background1"/>
              </w:rPr>
              <w:t>Strategic Outcomes</w:t>
            </w:r>
          </w:p>
        </w:tc>
      </w:tr>
      <w:tr w:rsidR="005C7B43" w:rsidRPr="008D5AF1" w14:paraId="58D54390" w14:textId="77777777" w:rsidTr="2F6A6A80">
        <w:tc>
          <w:tcPr>
            <w:tcW w:w="2689" w:type="dxa"/>
            <w:shd w:val="clear" w:color="auto" w:fill="23305D"/>
            <w:vAlign w:val="center"/>
            <w:hideMark/>
          </w:tcPr>
          <w:p w14:paraId="60EF7A44" w14:textId="77777777" w:rsidR="005C7B43" w:rsidRPr="008D5AF1" w:rsidRDefault="005C7B43" w:rsidP="00860EAD">
            <w:pPr>
              <w:pStyle w:val="TableText"/>
              <w:rPr>
                <w:b/>
                <w:bCs/>
              </w:rPr>
            </w:pPr>
            <w:r w:rsidRPr="008D5AF1">
              <w:rPr>
                <w:b/>
                <w:bCs/>
              </w:rPr>
              <w:t>Mental Health and Addiction System Priorities</w:t>
            </w:r>
          </w:p>
        </w:tc>
        <w:tc>
          <w:tcPr>
            <w:tcW w:w="3123" w:type="dxa"/>
            <w:shd w:val="clear" w:color="auto" w:fill="D9D9D9" w:themeFill="background1" w:themeFillShade="D9"/>
            <w:vAlign w:val="center"/>
            <w:hideMark/>
          </w:tcPr>
          <w:p w14:paraId="5E3265C2" w14:textId="77777777" w:rsidR="005C7B43" w:rsidRPr="008D5AF1" w:rsidRDefault="005C7B43" w:rsidP="00860EAD">
            <w:pPr>
              <w:pStyle w:val="TableText"/>
              <w:rPr>
                <w:b/>
                <w:bCs/>
              </w:rPr>
            </w:pPr>
            <w:r w:rsidRPr="572FAEC4">
              <w:rPr>
                <w:b/>
                <w:bCs/>
              </w:rPr>
              <w:t>There is a full spectrum of accessible services and support to prevent and minimise gambling harm - from prevention to early intervention to specialist support</w:t>
            </w:r>
          </w:p>
        </w:tc>
        <w:tc>
          <w:tcPr>
            <w:tcW w:w="2552" w:type="dxa"/>
            <w:shd w:val="clear" w:color="auto" w:fill="D9D9D9" w:themeFill="background1" w:themeFillShade="D9"/>
            <w:vAlign w:val="center"/>
            <w:hideMark/>
          </w:tcPr>
          <w:p w14:paraId="4E76A243" w14:textId="77777777" w:rsidR="005C7B43" w:rsidRPr="008D5AF1" w:rsidRDefault="005C7B43" w:rsidP="00860EAD">
            <w:pPr>
              <w:pStyle w:val="TableText"/>
              <w:rPr>
                <w:b/>
                <w:bCs/>
              </w:rPr>
            </w:pPr>
            <w:r w:rsidRPr="572FAEC4">
              <w:rPr>
                <w:b/>
                <w:bCs/>
              </w:rPr>
              <w:t>Environments and social and cultural norms prevent and minimise harm from gambling</w:t>
            </w:r>
          </w:p>
        </w:tc>
        <w:tc>
          <w:tcPr>
            <w:tcW w:w="2976" w:type="dxa"/>
            <w:shd w:val="clear" w:color="auto" w:fill="D9D9D9" w:themeFill="background1" w:themeFillShade="D9"/>
            <w:vAlign w:val="center"/>
            <w:hideMark/>
          </w:tcPr>
          <w:p w14:paraId="383BB590" w14:textId="77777777" w:rsidR="005C7B43" w:rsidRPr="008D5AF1" w:rsidRDefault="005C7B43" w:rsidP="00860EAD">
            <w:pPr>
              <w:pStyle w:val="TableText"/>
              <w:rPr>
                <w:b/>
                <w:bCs/>
              </w:rPr>
            </w:pPr>
            <w:r w:rsidRPr="008D5AF1">
              <w:rPr>
                <w:b/>
                <w:bCs/>
              </w:rPr>
              <w:t>There is strong leadership and accountability in the gambling harm prevention system, with decision-making as close to communities as possible</w:t>
            </w:r>
          </w:p>
        </w:tc>
        <w:tc>
          <w:tcPr>
            <w:tcW w:w="2552" w:type="dxa"/>
            <w:shd w:val="clear" w:color="auto" w:fill="D9D9D9" w:themeFill="background1" w:themeFillShade="D9"/>
            <w:vAlign w:val="center"/>
            <w:hideMark/>
          </w:tcPr>
          <w:p w14:paraId="65B12B41" w14:textId="77777777" w:rsidR="005C7B43" w:rsidRPr="008D5AF1" w:rsidRDefault="005C7B43" w:rsidP="00860EAD">
            <w:pPr>
              <w:pStyle w:val="TableText"/>
              <w:rPr>
                <w:b/>
                <w:bCs/>
              </w:rPr>
            </w:pPr>
            <w:r w:rsidRPr="008D5AF1">
              <w:rPr>
                <w:b/>
                <w:bCs/>
              </w:rPr>
              <w:t xml:space="preserve">There is a system focus on those who are most at risk of harm from gambling </w:t>
            </w:r>
          </w:p>
        </w:tc>
      </w:tr>
      <w:tr w:rsidR="005C7B43" w:rsidRPr="008D5AF1" w14:paraId="237C4B06" w14:textId="77777777" w:rsidTr="2F6A6A80">
        <w:tc>
          <w:tcPr>
            <w:tcW w:w="2689" w:type="dxa"/>
            <w:vMerge w:val="restart"/>
            <w:shd w:val="clear" w:color="auto" w:fill="DBE5F1" w:themeFill="accent1" w:themeFillTint="33"/>
            <w:vAlign w:val="center"/>
            <w:hideMark/>
          </w:tcPr>
          <w:p w14:paraId="088DDB2F" w14:textId="77777777" w:rsidR="005C7B43" w:rsidRPr="008D5AF1" w:rsidRDefault="005C7B43" w:rsidP="00860EAD">
            <w:pPr>
              <w:pStyle w:val="TableText"/>
              <w:rPr>
                <w:b/>
                <w:bCs/>
              </w:rPr>
            </w:pPr>
            <w:r w:rsidRPr="008D5AF1">
              <w:rPr>
                <w:b/>
                <w:bCs/>
              </w:rPr>
              <w:t>Increase access to gambling harm support</w:t>
            </w:r>
          </w:p>
        </w:tc>
        <w:tc>
          <w:tcPr>
            <w:tcW w:w="3123" w:type="dxa"/>
            <w:shd w:val="clear" w:color="auto" w:fill="auto"/>
            <w:vAlign w:val="center"/>
            <w:hideMark/>
          </w:tcPr>
          <w:p w14:paraId="451E54D1" w14:textId="4B85531B" w:rsidR="005C7B43" w:rsidRPr="008D5AF1" w:rsidRDefault="005C7B43" w:rsidP="00860EAD">
            <w:pPr>
              <w:pStyle w:val="TableText"/>
            </w:pPr>
            <w:r>
              <w:t>Action: Barriers to accessing services and supports are identified and addressed systematically</w:t>
            </w:r>
            <w:r w:rsidR="3223CB8A">
              <w:t xml:space="preserve"> </w:t>
            </w:r>
            <w:r w:rsidR="4CD588E0">
              <w:t>(</w:t>
            </w:r>
            <w:r w:rsidR="53535C2F">
              <w:t xml:space="preserve">NZ Health Strategy </w:t>
            </w:r>
            <w:r w:rsidR="4CD588E0">
              <w:t xml:space="preserve">shift </w:t>
            </w:r>
            <w:r w:rsidR="29552D85">
              <w:t>1)</w:t>
            </w:r>
            <w:r>
              <w:t xml:space="preserve"> (MOH, HNZ)</w:t>
            </w:r>
          </w:p>
        </w:tc>
        <w:tc>
          <w:tcPr>
            <w:tcW w:w="5528" w:type="dxa"/>
            <w:gridSpan w:val="2"/>
            <w:shd w:val="clear" w:color="auto" w:fill="auto"/>
            <w:vAlign w:val="center"/>
            <w:hideMark/>
          </w:tcPr>
          <w:p w14:paraId="37A8BF5A" w14:textId="54D215DD" w:rsidR="005C7B43" w:rsidRPr="008D5AF1" w:rsidRDefault="005C7B43" w:rsidP="00860EAD">
            <w:pPr>
              <w:pStyle w:val="TableText"/>
            </w:pPr>
            <w:r>
              <w:t>Action: Māori, Pacific peoples, Asian people, young people and people with lived experience are actively involved in harm prevention and minimisation efforts</w:t>
            </w:r>
            <w:r w:rsidR="0A061FFA">
              <w:t xml:space="preserve"> (</w:t>
            </w:r>
            <w:r w:rsidR="18F875C4">
              <w:t xml:space="preserve">shift </w:t>
            </w:r>
            <w:r w:rsidR="0A061FFA">
              <w:t>1)</w:t>
            </w:r>
            <w:r>
              <w:t xml:space="preserve"> (MOH, HNZ, DIA)</w:t>
            </w:r>
          </w:p>
        </w:tc>
        <w:tc>
          <w:tcPr>
            <w:tcW w:w="2552" w:type="dxa"/>
            <w:shd w:val="clear" w:color="auto" w:fill="auto"/>
            <w:vAlign w:val="center"/>
            <w:hideMark/>
          </w:tcPr>
          <w:p w14:paraId="5FC1A8F9" w14:textId="1A9D9E12" w:rsidR="005C7B43" w:rsidRPr="008D5AF1" w:rsidRDefault="005C7B43" w:rsidP="00860EAD">
            <w:pPr>
              <w:pStyle w:val="TableText"/>
            </w:pPr>
            <w:r>
              <w:t>Action: There are kaupapa Māori, Pacific, Asian and youth-centric services and supports available to those who want them</w:t>
            </w:r>
            <w:r w:rsidR="5CCEE632">
              <w:t xml:space="preserve"> (</w:t>
            </w:r>
            <w:r w:rsidR="7339BAC1">
              <w:t xml:space="preserve">shift </w:t>
            </w:r>
            <w:r w:rsidR="5CCEE632">
              <w:t>2)</w:t>
            </w:r>
            <w:r>
              <w:t xml:space="preserve"> (HNZ)</w:t>
            </w:r>
          </w:p>
        </w:tc>
      </w:tr>
      <w:tr w:rsidR="005C7B43" w:rsidRPr="008D5AF1" w14:paraId="53E8FA12" w14:textId="77777777" w:rsidTr="2F6A6A80">
        <w:tc>
          <w:tcPr>
            <w:tcW w:w="2689" w:type="dxa"/>
            <w:vMerge/>
            <w:vAlign w:val="center"/>
            <w:hideMark/>
          </w:tcPr>
          <w:p w14:paraId="7256F49A" w14:textId="77777777" w:rsidR="005C7B43" w:rsidRPr="008D5AF1" w:rsidRDefault="005C7B43" w:rsidP="00860EAD">
            <w:pPr>
              <w:pStyle w:val="TableText"/>
              <w:rPr>
                <w:b/>
                <w:bCs/>
              </w:rPr>
            </w:pPr>
          </w:p>
        </w:tc>
        <w:tc>
          <w:tcPr>
            <w:tcW w:w="11203" w:type="dxa"/>
            <w:gridSpan w:val="4"/>
            <w:shd w:val="clear" w:color="auto" w:fill="auto"/>
            <w:vAlign w:val="center"/>
            <w:hideMark/>
          </w:tcPr>
          <w:p w14:paraId="0CF2A678" w14:textId="2BC5E9C3" w:rsidR="005C7B43" w:rsidRPr="008D5AF1" w:rsidRDefault="005C7B43" w:rsidP="00860EAD">
            <w:pPr>
              <w:pStyle w:val="TableText"/>
            </w:pPr>
            <w:r>
              <w:t>Action: Quality, accessible and effective services are designed and delivered</w:t>
            </w:r>
            <w:r w:rsidR="1D61BD87">
              <w:t xml:space="preserve"> (</w:t>
            </w:r>
            <w:r w:rsidR="3A30FB68">
              <w:t xml:space="preserve">shift </w:t>
            </w:r>
            <w:r w:rsidR="1D61BD87">
              <w:t>2)</w:t>
            </w:r>
            <w:r>
              <w:t xml:space="preserve"> (HNZ)</w:t>
            </w:r>
          </w:p>
        </w:tc>
      </w:tr>
      <w:tr w:rsidR="005C7B43" w:rsidRPr="008D5AF1" w14:paraId="6959B4D7" w14:textId="77777777" w:rsidTr="2F6A6A80">
        <w:tc>
          <w:tcPr>
            <w:tcW w:w="2689" w:type="dxa"/>
            <w:vMerge/>
            <w:vAlign w:val="center"/>
            <w:hideMark/>
          </w:tcPr>
          <w:p w14:paraId="2BCE7263" w14:textId="77777777" w:rsidR="005C7B43" w:rsidRPr="008D5AF1" w:rsidRDefault="005C7B43" w:rsidP="00860EAD">
            <w:pPr>
              <w:pStyle w:val="TableText"/>
              <w:rPr>
                <w:b/>
                <w:bCs/>
              </w:rPr>
            </w:pPr>
          </w:p>
        </w:tc>
        <w:tc>
          <w:tcPr>
            <w:tcW w:w="11203" w:type="dxa"/>
            <w:gridSpan w:val="4"/>
            <w:shd w:val="clear" w:color="auto" w:fill="auto"/>
            <w:vAlign w:val="center"/>
            <w:hideMark/>
          </w:tcPr>
          <w:p w14:paraId="2A06FE62" w14:textId="61B2E09F" w:rsidR="005C7B43" w:rsidRPr="008D5AF1" w:rsidRDefault="36C8E486" w:rsidP="00860EAD">
            <w:pPr>
              <w:pStyle w:val="TableText"/>
            </w:pPr>
            <w:r>
              <w:t>Action: Gambling operators are supported to prevent and minimise harm</w:t>
            </w:r>
            <w:r w:rsidR="70358C88">
              <w:t xml:space="preserve"> </w:t>
            </w:r>
            <w:r w:rsidR="36FFB9E6">
              <w:t>(</w:t>
            </w:r>
            <w:r w:rsidR="1F8A3E4C">
              <w:t xml:space="preserve">shift </w:t>
            </w:r>
            <w:r w:rsidR="70358C88">
              <w:t>2)</w:t>
            </w:r>
            <w:r>
              <w:t xml:space="preserve"> (HNZ. DIA)</w:t>
            </w:r>
          </w:p>
        </w:tc>
      </w:tr>
      <w:tr w:rsidR="005C7B43" w:rsidRPr="008D5AF1" w14:paraId="424E58D3" w14:textId="77777777" w:rsidTr="2F6A6A80">
        <w:tc>
          <w:tcPr>
            <w:tcW w:w="2689" w:type="dxa"/>
            <w:shd w:val="clear" w:color="auto" w:fill="DBE5F1" w:themeFill="accent1" w:themeFillTint="33"/>
            <w:vAlign w:val="center"/>
            <w:hideMark/>
          </w:tcPr>
          <w:p w14:paraId="317B81A2" w14:textId="77777777" w:rsidR="005C7B43" w:rsidRPr="008D5AF1" w:rsidRDefault="005C7B43" w:rsidP="00860EAD">
            <w:pPr>
              <w:pStyle w:val="TableText"/>
              <w:rPr>
                <w:b/>
                <w:bCs/>
              </w:rPr>
            </w:pPr>
            <w:r w:rsidRPr="008D5AF1">
              <w:rPr>
                <w:b/>
                <w:bCs/>
              </w:rPr>
              <w:t>Grow the gambling harm workforce</w:t>
            </w:r>
          </w:p>
        </w:tc>
        <w:tc>
          <w:tcPr>
            <w:tcW w:w="11203" w:type="dxa"/>
            <w:gridSpan w:val="4"/>
            <w:shd w:val="clear" w:color="auto" w:fill="auto"/>
            <w:vAlign w:val="center"/>
            <w:hideMark/>
          </w:tcPr>
          <w:p w14:paraId="6A290269" w14:textId="50BA3E1F" w:rsidR="005C7B43" w:rsidRPr="008D5AF1" w:rsidRDefault="36C8E486" w:rsidP="00860EAD">
            <w:pPr>
              <w:pStyle w:val="TableText"/>
            </w:pPr>
            <w:r>
              <w:t>Action: There is a skilled gambling harm prevention and minimisation workforce that includes lived experience and clinical expertise</w:t>
            </w:r>
            <w:r w:rsidR="0DB4ED5D">
              <w:t xml:space="preserve"> </w:t>
            </w:r>
            <w:r w:rsidR="7D0EDFC5">
              <w:t>(</w:t>
            </w:r>
            <w:r w:rsidR="5BA214D4">
              <w:t>shift</w:t>
            </w:r>
            <w:r w:rsidR="6AB2C017">
              <w:t xml:space="preserve"> 3)</w:t>
            </w:r>
            <w:r>
              <w:t xml:space="preserve"> (HNZ)</w:t>
            </w:r>
          </w:p>
        </w:tc>
      </w:tr>
      <w:tr w:rsidR="005C7B43" w:rsidRPr="008D5AF1" w14:paraId="7B03E842" w14:textId="77777777" w:rsidTr="2F6A6A80">
        <w:tc>
          <w:tcPr>
            <w:tcW w:w="2689" w:type="dxa"/>
            <w:shd w:val="clear" w:color="auto" w:fill="DBE5F1" w:themeFill="accent1" w:themeFillTint="33"/>
            <w:vAlign w:val="center"/>
            <w:hideMark/>
          </w:tcPr>
          <w:p w14:paraId="52B278F5" w14:textId="77777777" w:rsidR="005C7B43" w:rsidRPr="008D5AF1" w:rsidRDefault="005C7B43" w:rsidP="00860EAD">
            <w:pPr>
              <w:pStyle w:val="TableText"/>
              <w:rPr>
                <w:b/>
                <w:bCs/>
              </w:rPr>
            </w:pPr>
            <w:r w:rsidRPr="008D5AF1">
              <w:rPr>
                <w:b/>
                <w:bCs/>
              </w:rPr>
              <w:t>Strengthen the focus on the prevention and early intervention of gambling harm</w:t>
            </w:r>
          </w:p>
        </w:tc>
        <w:tc>
          <w:tcPr>
            <w:tcW w:w="3123" w:type="dxa"/>
            <w:shd w:val="clear" w:color="auto" w:fill="auto"/>
            <w:vAlign w:val="center"/>
          </w:tcPr>
          <w:p w14:paraId="23D734D5" w14:textId="2D11B82E" w:rsidR="005C7B43" w:rsidRPr="008D5AF1" w:rsidRDefault="005C7B43" w:rsidP="00860EAD">
            <w:pPr>
              <w:pStyle w:val="TableText"/>
            </w:pPr>
            <w:r>
              <w:t>Action: People have the information and support to make healthy choices about gambling</w:t>
            </w:r>
            <w:r w:rsidR="02D5DEEC">
              <w:t xml:space="preserve"> (</w:t>
            </w:r>
            <w:r w:rsidR="52ECE5E7">
              <w:t xml:space="preserve">shift </w:t>
            </w:r>
            <w:r w:rsidR="02D5DEEC">
              <w:t>1)</w:t>
            </w:r>
            <w:r>
              <w:t xml:space="preserve"> (HNZ)</w:t>
            </w:r>
          </w:p>
        </w:tc>
        <w:tc>
          <w:tcPr>
            <w:tcW w:w="2552" w:type="dxa"/>
            <w:shd w:val="clear" w:color="auto" w:fill="auto"/>
            <w:vAlign w:val="center"/>
          </w:tcPr>
          <w:p w14:paraId="1212A374" w14:textId="1BD37775" w:rsidR="005C7B43" w:rsidRPr="008D5AF1" w:rsidRDefault="005C7B43" w:rsidP="00860EAD">
            <w:pPr>
              <w:pStyle w:val="TableText"/>
            </w:pPr>
            <w:r>
              <w:t>Action: Stigma about gambling harm is addressed</w:t>
            </w:r>
            <w:r w:rsidR="6EA5EA10">
              <w:t xml:space="preserve"> (</w:t>
            </w:r>
            <w:r w:rsidR="7FD004D4">
              <w:t xml:space="preserve">shift </w:t>
            </w:r>
            <w:r w:rsidR="6EA5EA10">
              <w:t>2)</w:t>
            </w:r>
            <w:r>
              <w:t xml:space="preserve"> (HNZ)</w:t>
            </w:r>
          </w:p>
        </w:tc>
        <w:tc>
          <w:tcPr>
            <w:tcW w:w="5528" w:type="dxa"/>
            <w:gridSpan w:val="2"/>
            <w:shd w:val="clear" w:color="auto" w:fill="auto"/>
            <w:vAlign w:val="center"/>
            <w:hideMark/>
          </w:tcPr>
          <w:p w14:paraId="701544F9" w14:textId="1A9A8691" w:rsidR="005C7B43" w:rsidRPr="008D5AF1" w:rsidRDefault="005C7B43" w:rsidP="00860EAD">
            <w:pPr>
              <w:pStyle w:val="TableText"/>
            </w:pPr>
            <w:r>
              <w:t xml:space="preserve">Action: There are policies at national, regional and local levels that prevent and minimise gambling harm </w:t>
            </w:r>
            <w:r w:rsidR="68C694ED">
              <w:t>(</w:t>
            </w:r>
            <w:r w:rsidR="2792DF1D">
              <w:t xml:space="preserve">shift </w:t>
            </w:r>
            <w:r w:rsidR="68C694ED">
              <w:t>6)</w:t>
            </w:r>
            <w:r>
              <w:t xml:space="preserve"> (HNZ,</w:t>
            </w:r>
            <w:r w:rsidR="7AF74ECE">
              <w:t xml:space="preserve"> </w:t>
            </w:r>
            <w:r>
              <w:t>DIA, Local authorities)</w:t>
            </w:r>
          </w:p>
        </w:tc>
      </w:tr>
      <w:tr w:rsidR="005C7B43" w:rsidRPr="008D5AF1" w14:paraId="42387DEC" w14:textId="77777777" w:rsidTr="2F6A6A80">
        <w:tc>
          <w:tcPr>
            <w:tcW w:w="2689" w:type="dxa"/>
            <w:vMerge w:val="restart"/>
            <w:shd w:val="clear" w:color="auto" w:fill="DBE5F1" w:themeFill="accent1" w:themeFillTint="33"/>
            <w:vAlign w:val="center"/>
            <w:hideMark/>
          </w:tcPr>
          <w:p w14:paraId="5FF22A14" w14:textId="77777777" w:rsidR="005C7B43" w:rsidRPr="008D5AF1" w:rsidRDefault="005C7B43" w:rsidP="00860EAD">
            <w:pPr>
              <w:pStyle w:val="TableText"/>
              <w:rPr>
                <w:b/>
                <w:bCs/>
              </w:rPr>
            </w:pPr>
            <w:r w:rsidRPr="008D5AF1">
              <w:rPr>
                <w:b/>
                <w:bCs/>
              </w:rPr>
              <w:t>Improve the effectiveness of gambling harm support</w:t>
            </w:r>
          </w:p>
        </w:tc>
        <w:tc>
          <w:tcPr>
            <w:tcW w:w="11203" w:type="dxa"/>
            <w:gridSpan w:val="4"/>
            <w:shd w:val="clear" w:color="auto" w:fill="auto"/>
            <w:vAlign w:val="center"/>
            <w:hideMark/>
          </w:tcPr>
          <w:p w14:paraId="68453614" w14:textId="352931F5" w:rsidR="005C7B43" w:rsidRPr="008D5AF1" w:rsidRDefault="005C7B43" w:rsidP="00860EAD">
            <w:pPr>
              <w:pStyle w:val="TableText"/>
            </w:pPr>
            <w:r>
              <w:t>Action: People are supported to participate in decisions about gambling in their communities</w:t>
            </w:r>
            <w:r w:rsidR="1A14FEFA">
              <w:t xml:space="preserve"> (</w:t>
            </w:r>
            <w:r w:rsidR="534E6D85">
              <w:t>shift 1</w:t>
            </w:r>
            <w:r w:rsidR="1A14FEFA">
              <w:t>)</w:t>
            </w:r>
            <w:r>
              <w:t xml:space="preserve"> (HNZ)</w:t>
            </w:r>
          </w:p>
        </w:tc>
      </w:tr>
      <w:tr w:rsidR="005C7B43" w:rsidRPr="008D5AF1" w14:paraId="59B62994" w14:textId="77777777" w:rsidTr="2F6A6A80">
        <w:tc>
          <w:tcPr>
            <w:tcW w:w="2689" w:type="dxa"/>
            <w:vMerge/>
            <w:vAlign w:val="center"/>
            <w:hideMark/>
          </w:tcPr>
          <w:p w14:paraId="0C43ACB7" w14:textId="77777777" w:rsidR="005C7B43" w:rsidRPr="008D5AF1" w:rsidRDefault="005C7B43" w:rsidP="00860EAD">
            <w:pPr>
              <w:pStyle w:val="TableText"/>
            </w:pPr>
          </w:p>
        </w:tc>
        <w:tc>
          <w:tcPr>
            <w:tcW w:w="11203" w:type="dxa"/>
            <w:gridSpan w:val="4"/>
            <w:shd w:val="clear" w:color="auto" w:fill="auto"/>
            <w:vAlign w:val="center"/>
            <w:hideMark/>
          </w:tcPr>
          <w:p w14:paraId="1B45A420" w14:textId="086E5036" w:rsidR="005C7B43" w:rsidRPr="008D5AF1" w:rsidRDefault="005C7B43" w:rsidP="00860EAD">
            <w:pPr>
              <w:pStyle w:val="TableText"/>
            </w:pPr>
            <w:r>
              <w:t>Action: The legislative and regulatory framework for preventing and minimising harm from gambling is strong and effective</w:t>
            </w:r>
            <w:r w:rsidR="104C964E">
              <w:t xml:space="preserve"> (</w:t>
            </w:r>
            <w:r w:rsidR="1285F7EF">
              <w:t xml:space="preserve">shift </w:t>
            </w:r>
            <w:r w:rsidR="104C964E">
              <w:t>6)</w:t>
            </w:r>
            <w:r>
              <w:t xml:space="preserve"> (DIA)</w:t>
            </w:r>
          </w:p>
        </w:tc>
      </w:tr>
      <w:tr w:rsidR="005C7B43" w:rsidRPr="008D5AF1" w14:paraId="2983E7F1" w14:textId="77777777" w:rsidTr="2F6A6A80">
        <w:tc>
          <w:tcPr>
            <w:tcW w:w="2689" w:type="dxa"/>
            <w:vMerge/>
            <w:vAlign w:val="center"/>
            <w:hideMark/>
          </w:tcPr>
          <w:p w14:paraId="3C65F752" w14:textId="77777777" w:rsidR="005C7B43" w:rsidRPr="008D5AF1" w:rsidRDefault="005C7B43" w:rsidP="00860EAD">
            <w:pPr>
              <w:pStyle w:val="TableText"/>
            </w:pPr>
          </w:p>
        </w:tc>
        <w:tc>
          <w:tcPr>
            <w:tcW w:w="11203" w:type="dxa"/>
            <w:gridSpan w:val="4"/>
            <w:shd w:val="clear" w:color="auto" w:fill="auto"/>
            <w:vAlign w:val="center"/>
            <w:hideMark/>
          </w:tcPr>
          <w:p w14:paraId="2ECDD57D" w14:textId="0B07D0AE" w:rsidR="005C7B43" w:rsidRPr="008D5AF1" w:rsidRDefault="005C7B43" w:rsidP="00860EAD">
            <w:pPr>
              <w:pStyle w:val="TableText"/>
            </w:pPr>
            <w:r>
              <w:t>Action: Technology, research and evidence inform policy and service design and delivery</w:t>
            </w:r>
            <w:r w:rsidR="6F97FBAE">
              <w:t xml:space="preserve"> </w:t>
            </w:r>
            <w:r w:rsidR="01D5CD19">
              <w:t xml:space="preserve">(shift </w:t>
            </w:r>
            <w:r w:rsidR="6F97FBAE">
              <w:t>4)</w:t>
            </w:r>
            <w:r>
              <w:t xml:space="preserve"> (MOH, HNZ)</w:t>
            </w:r>
          </w:p>
        </w:tc>
      </w:tr>
    </w:tbl>
    <w:p w14:paraId="4465BFA0" w14:textId="77777777" w:rsidR="005C7B43" w:rsidRDefault="005C7B43" w:rsidP="005C7B43">
      <w:pPr>
        <w:rPr>
          <w:b/>
          <w:bCs/>
        </w:rPr>
      </w:pPr>
    </w:p>
    <w:p w14:paraId="11860320" w14:textId="7CDF504F" w:rsidR="005C7B43" w:rsidRDefault="005C7B43" w:rsidP="2F6A6A80">
      <w:pPr>
        <w:sectPr w:rsidR="005C7B43" w:rsidSect="004825BB">
          <w:footerReference w:type="default" r:id="rId23"/>
          <w:pgSz w:w="16838" w:h="11906" w:orient="landscape"/>
          <w:pgMar w:top="851" w:right="1440" w:bottom="851" w:left="1440" w:header="709" w:footer="425" w:gutter="0"/>
          <w:cols w:space="708"/>
          <w:docGrid w:linePitch="360"/>
        </w:sectPr>
      </w:pPr>
    </w:p>
    <w:p w14:paraId="5D32A2E9" w14:textId="77777777" w:rsidR="005C7B43" w:rsidRPr="00FD7201" w:rsidRDefault="005C7B43" w:rsidP="00FD7201">
      <w:pPr>
        <w:pStyle w:val="Heading2"/>
        <w:spacing w:before="0"/>
      </w:pPr>
      <w:bookmarkStart w:id="22" w:name="_Toc185338891"/>
      <w:r w:rsidRPr="00FD7201">
        <w:t>Links to other strategic documents</w:t>
      </w:r>
      <w:bookmarkEnd w:id="22"/>
    </w:p>
    <w:p w14:paraId="637126DC" w14:textId="4F39B8AA" w:rsidR="00ED4F6D" w:rsidRPr="00060BBD" w:rsidRDefault="7A47CAA7" w:rsidP="00FD7201">
      <w:pPr>
        <w:rPr>
          <w:lang w:val="en-GB"/>
        </w:rPr>
      </w:pPr>
      <w:r w:rsidRPr="2F6A6A80">
        <w:rPr>
          <w:lang w:val="en-GB"/>
        </w:rPr>
        <w:t>Th</w:t>
      </w:r>
      <w:r w:rsidR="20234FC1" w:rsidRPr="2F6A6A80">
        <w:rPr>
          <w:lang w:val="en-GB"/>
        </w:rPr>
        <w:t>is</w:t>
      </w:r>
      <w:r w:rsidRPr="2F6A6A80">
        <w:rPr>
          <w:lang w:val="en-GB"/>
        </w:rPr>
        <w:t xml:space="preserve"> </w:t>
      </w:r>
      <w:r w:rsidR="67C404B7" w:rsidRPr="2F6A6A80">
        <w:rPr>
          <w:lang w:val="en-GB"/>
        </w:rPr>
        <w:t>s</w:t>
      </w:r>
      <w:r w:rsidRPr="2F6A6A80">
        <w:rPr>
          <w:lang w:val="en-GB"/>
        </w:rPr>
        <w:t xml:space="preserve">trategy does not work to prevent and minimisation harm from gambling alone. It is an element in a strategic network made up of a </w:t>
      </w:r>
      <w:r w:rsidR="001C6ABB">
        <w:rPr>
          <w:lang w:val="en-GB"/>
        </w:rPr>
        <w:t xml:space="preserve">number of </w:t>
      </w:r>
      <w:r w:rsidRPr="2F6A6A80">
        <w:rPr>
          <w:lang w:val="en-GB"/>
        </w:rPr>
        <w:t>strategies and other directional documents that all work towards Pae Ora – healthy future</w:t>
      </w:r>
      <w:r w:rsidR="784DE1F5" w:rsidRPr="2F6A6A80">
        <w:rPr>
          <w:lang w:val="en-GB"/>
        </w:rPr>
        <w:t>s</w:t>
      </w:r>
      <w:r w:rsidRPr="2F6A6A80">
        <w:rPr>
          <w:lang w:val="en-GB"/>
        </w:rPr>
        <w:t xml:space="preserve">. The main documents </w:t>
      </w:r>
      <w:r w:rsidR="6A4110B4" w:rsidRPr="2F6A6A80">
        <w:rPr>
          <w:lang w:val="en-GB"/>
        </w:rPr>
        <w:t>that</w:t>
      </w:r>
      <w:r w:rsidR="6BE35A32" w:rsidRPr="2F6A6A80">
        <w:rPr>
          <w:lang w:val="en-GB"/>
        </w:rPr>
        <w:t xml:space="preserve"> the</w:t>
      </w:r>
      <w:r w:rsidR="6A4110B4" w:rsidRPr="2F6A6A80">
        <w:rPr>
          <w:lang w:val="en-GB"/>
        </w:rPr>
        <w:t xml:space="preserve"> strategy</w:t>
      </w:r>
      <w:r w:rsidRPr="2F6A6A80">
        <w:rPr>
          <w:lang w:val="en-GB"/>
        </w:rPr>
        <w:t xml:space="preserve"> is linked to are the New Zealand Health Strategy, </w:t>
      </w:r>
      <w:proofErr w:type="spellStart"/>
      <w:r w:rsidRPr="2F6A6A80">
        <w:rPr>
          <w:lang w:val="en-GB"/>
        </w:rPr>
        <w:t>Pae</w:t>
      </w:r>
      <w:proofErr w:type="spellEnd"/>
      <w:r w:rsidRPr="2F6A6A80">
        <w:rPr>
          <w:lang w:val="en-GB"/>
        </w:rPr>
        <w:t xml:space="preserve"> </w:t>
      </w:r>
      <w:proofErr w:type="spellStart"/>
      <w:r w:rsidRPr="2F6A6A80">
        <w:rPr>
          <w:lang w:val="en-GB"/>
        </w:rPr>
        <w:t>T</w:t>
      </w:r>
      <w:r w:rsidRPr="2F6A6A80">
        <w:rPr>
          <w:rFonts w:cs="Segoe UI"/>
          <w:lang w:val="en-GB"/>
        </w:rPr>
        <w:t>ū</w:t>
      </w:r>
      <w:proofErr w:type="spellEnd"/>
      <w:r w:rsidRPr="2F6A6A80">
        <w:rPr>
          <w:lang w:val="en-GB"/>
        </w:rPr>
        <w:t xml:space="preserve">: Hauora </w:t>
      </w:r>
      <w:r w:rsidR="00EC1034" w:rsidRPr="2F6A6A80">
        <w:rPr>
          <w:lang w:val="en-GB"/>
        </w:rPr>
        <w:t>Māori</w:t>
      </w:r>
      <w:r w:rsidRPr="2F6A6A80">
        <w:rPr>
          <w:lang w:val="en-GB"/>
        </w:rPr>
        <w:t xml:space="preserve"> Strategy; and the </w:t>
      </w:r>
      <w:proofErr w:type="spellStart"/>
      <w:r w:rsidRPr="2F6A6A80">
        <w:rPr>
          <w:lang w:val="en-GB"/>
        </w:rPr>
        <w:t>Oranga</w:t>
      </w:r>
      <w:proofErr w:type="spellEnd"/>
      <w:r w:rsidRPr="2F6A6A80">
        <w:rPr>
          <w:lang w:val="en-GB"/>
        </w:rPr>
        <w:t xml:space="preserve"> </w:t>
      </w:r>
      <w:proofErr w:type="spellStart"/>
      <w:r w:rsidRPr="2F6A6A80">
        <w:rPr>
          <w:lang w:val="en-GB"/>
        </w:rPr>
        <w:t>Hinengaro</w:t>
      </w:r>
      <w:proofErr w:type="spellEnd"/>
      <w:r w:rsidRPr="2F6A6A80">
        <w:rPr>
          <w:lang w:val="en-GB"/>
        </w:rPr>
        <w:t xml:space="preserve"> Systems and Service Framework.</w:t>
      </w:r>
    </w:p>
    <w:p w14:paraId="03CC5498" w14:textId="77777777" w:rsidR="005C7B43" w:rsidRPr="00FD7201" w:rsidRDefault="005C7B43" w:rsidP="00FD7201">
      <w:pPr>
        <w:pStyle w:val="Heading3"/>
      </w:pPr>
      <w:r w:rsidRPr="00FD7201">
        <w:t>New Zealand Health Strategy</w:t>
      </w:r>
    </w:p>
    <w:p w14:paraId="50D60CC8" w14:textId="36C3AAA0" w:rsidR="005C7B43" w:rsidRDefault="005C7B43" w:rsidP="00FD7201">
      <w:r>
        <w:t xml:space="preserve">This </w:t>
      </w:r>
      <w:r w:rsidR="0AD4CB94">
        <w:t>s</w:t>
      </w:r>
      <w:r>
        <w:t xml:space="preserve">trategy is a contributor to the goals and vision of the New Zealand Health Strategy’s vision of </w:t>
      </w:r>
      <w:proofErr w:type="spellStart"/>
      <w:r>
        <w:t>pae</w:t>
      </w:r>
      <w:proofErr w:type="spellEnd"/>
      <w:r>
        <w:t xml:space="preserve"> </w:t>
      </w:r>
      <w:proofErr w:type="spellStart"/>
      <w:r>
        <w:t>ora</w:t>
      </w:r>
      <w:proofErr w:type="spellEnd"/>
      <w:r>
        <w:t xml:space="preserve">, which is made up of mauri </w:t>
      </w:r>
      <w:proofErr w:type="spellStart"/>
      <w:r>
        <w:t>ora</w:t>
      </w:r>
      <w:proofErr w:type="spellEnd"/>
      <w:r>
        <w:t xml:space="preserve"> (healthy individuals), wh</w:t>
      </w:r>
      <w:r>
        <w:rPr>
          <w:rFonts w:ascii="Calibri" w:hAnsi="Calibri" w:cs="Calibri"/>
        </w:rPr>
        <w:t>ā</w:t>
      </w:r>
      <w:r>
        <w:t xml:space="preserve">nau </w:t>
      </w:r>
      <w:proofErr w:type="spellStart"/>
      <w:r>
        <w:t>ora</w:t>
      </w:r>
      <w:proofErr w:type="spellEnd"/>
      <w:r>
        <w:t xml:space="preserve"> (healthy families</w:t>
      </w:r>
      <w:r w:rsidR="00850DF6">
        <w:t>)</w:t>
      </w:r>
      <w:r>
        <w:t xml:space="preserve"> and </w:t>
      </w:r>
      <w:proofErr w:type="spellStart"/>
      <w:r>
        <w:t>wai</w:t>
      </w:r>
      <w:proofErr w:type="spellEnd"/>
      <w:r>
        <w:t xml:space="preserve"> </w:t>
      </w:r>
      <w:proofErr w:type="spellStart"/>
      <w:r>
        <w:t>ora</w:t>
      </w:r>
      <w:proofErr w:type="spellEnd"/>
      <w:r>
        <w:t xml:space="preserve"> (healthy environments).</w:t>
      </w:r>
    </w:p>
    <w:p w14:paraId="0B7589E7" w14:textId="77777777" w:rsidR="00FD7201" w:rsidRDefault="00FD7201" w:rsidP="00FD7201"/>
    <w:p w14:paraId="3EB52C06" w14:textId="77777777" w:rsidR="005C7B43" w:rsidRDefault="005C7B43" w:rsidP="00FD7201">
      <w:r>
        <w:t>The Health Strategy presents six shifts that are required to move towards its goals and vision:</w:t>
      </w:r>
    </w:p>
    <w:p w14:paraId="4766B414" w14:textId="746DBCD9" w:rsidR="005C7B43" w:rsidRPr="00863602" w:rsidRDefault="36C8E486" w:rsidP="00FD7201">
      <w:pPr>
        <w:pStyle w:val="Number"/>
      </w:pPr>
      <w:r>
        <w:t>Voice at the heart of the system:</w:t>
      </w:r>
      <w:r w:rsidR="79DFDE6E">
        <w:t xml:space="preserve"> </w:t>
      </w:r>
      <w:r>
        <w:t>Giving people, whānau and communities greater control and influence over decisions about their health and the design of services, and embedding their voices in how the system plans, delivers and reports on care.</w:t>
      </w:r>
    </w:p>
    <w:p w14:paraId="4A172B32" w14:textId="77777777" w:rsidR="005C7B43" w:rsidRPr="00863602" w:rsidRDefault="005C7B43" w:rsidP="00FD7201">
      <w:pPr>
        <w:pStyle w:val="Number"/>
      </w:pPr>
      <w:r w:rsidRPr="00863602">
        <w:t>Flexible, appropriate care: Developing services that adapt to people’s health needs and expectations, that are focused on preventing ill health and delivered closer to our homes and communities, supporting access for all.</w:t>
      </w:r>
    </w:p>
    <w:p w14:paraId="75E10563" w14:textId="77777777" w:rsidR="005C7B43" w:rsidRPr="00863602" w:rsidRDefault="005C7B43" w:rsidP="00FD7201">
      <w:pPr>
        <w:pStyle w:val="Number"/>
      </w:pPr>
      <w:r w:rsidRPr="00863602">
        <w:t>Valuing our workforce: Recognising our health workforce as our most valuable asset and supporting the development of the sustainable, diverse, skilled and confident workers of the future.</w:t>
      </w:r>
    </w:p>
    <w:p w14:paraId="54989A34" w14:textId="77777777" w:rsidR="005C7B43" w:rsidRPr="00863602" w:rsidRDefault="005C7B43" w:rsidP="00FD7201">
      <w:pPr>
        <w:pStyle w:val="Number"/>
      </w:pPr>
      <w:r w:rsidRPr="00863602">
        <w:t>A learning culture: Creating a culture of continuous learning and quality improvement, supported by research, evaluation and innovation.</w:t>
      </w:r>
    </w:p>
    <w:p w14:paraId="7D60A4D0" w14:textId="77777777" w:rsidR="005C7B43" w:rsidRPr="00863602" w:rsidRDefault="005C7B43" w:rsidP="00FD7201">
      <w:pPr>
        <w:pStyle w:val="Number"/>
      </w:pPr>
      <w:r w:rsidRPr="00863602">
        <w:t>A resilient and sustainable system: Ensuring preparedness for future shocks and the best use of resources to manage demand and affordability over the long-term.</w:t>
      </w:r>
    </w:p>
    <w:p w14:paraId="7F9FBD4A" w14:textId="77777777" w:rsidR="005C7B43" w:rsidRPr="00863602" w:rsidRDefault="005C7B43" w:rsidP="00FD7201">
      <w:pPr>
        <w:pStyle w:val="Number"/>
      </w:pPr>
      <w:r w:rsidRPr="00863602">
        <w:t>Partnerships for health and wellbeing: Building cross-sector and cross-government relationships to drive collaborative action on health and wellbeing and the factors that determine health outcomes.</w:t>
      </w:r>
    </w:p>
    <w:p w14:paraId="2E2DB84B" w14:textId="77777777" w:rsidR="005C7B43" w:rsidRDefault="005C7B43" w:rsidP="00FD7201"/>
    <w:p w14:paraId="2B03EB31" w14:textId="0C970A5C" w:rsidR="005C7B43" w:rsidRDefault="005C7B43" w:rsidP="00FD7201">
      <w:r>
        <w:t xml:space="preserve">Each of these shifts is supported by the Strategic framework, and then one or more actions in the service plan, as is shown in figure 2 </w:t>
      </w:r>
      <w:r w:rsidR="00306E15">
        <w:t>above</w:t>
      </w:r>
      <w:r>
        <w:t>.</w:t>
      </w:r>
    </w:p>
    <w:p w14:paraId="50627763" w14:textId="77777777" w:rsidR="005C7B43" w:rsidRDefault="005C7B43" w:rsidP="005C7B43"/>
    <w:p w14:paraId="1F0F5B5C" w14:textId="77777777" w:rsidR="00665F04" w:rsidRDefault="00665F04">
      <w:pPr>
        <w:rPr>
          <w:color w:val="0A6AB4"/>
          <w:spacing w:val="-5"/>
          <w:sz w:val="28"/>
          <w:szCs w:val="28"/>
        </w:rPr>
      </w:pPr>
      <w:r>
        <w:rPr>
          <w:sz w:val="28"/>
          <w:szCs w:val="28"/>
        </w:rPr>
        <w:br w:type="page"/>
      </w:r>
    </w:p>
    <w:p w14:paraId="6C8B00D5" w14:textId="73EE7BC6" w:rsidR="005C7B43" w:rsidRPr="00FD7201" w:rsidRDefault="005C7B43" w:rsidP="00FD7201">
      <w:pPr>
        <w:pStyle w:val="Heading3"/>
      </w:pPr>
      <w:proofErr w:type="spellStart"/>
      <w:r w:rsidRPr="00FD7201">
        <w:t>Oranga</w:t>
      </w:r>
      <w:proofErr w:type="spellEnd"/>
      <w:r w:rsidRPr="00FD7201">
        <w:t xml:space="preserve"> </w:t>
      </w:r>
      <w:proofErr w:type="spellStart"/>
      <w:r w:rsidRPr="00FD7201">
        <w:t>Hinengaro</w:t>
      </w:r>
      <w:proofErr w:type="spellEnd"/>
      <w:r w:rsidRPr="00FD7201">
        <w:t xml:space="preserve"> System and Services Framework (SSF)</w:t>
      </w:r>
    </w:p>
    <w:p w14:paraId="2BABCC7D" w14:textId="77777777" w:rsidR="005C7B43" w:rsidRDefault="005C7B43" w:rsidP="00FD7201">
      <w:r w:rsidRPr="00863602">
        <w:t>The </w:t>
      </w:r>
      <w:proofErr w:type="spellStart"/>
      <w:r w:rsidRPr="00863602">
        <w:t>Oranga</w:t>
      </w:r>
      <w:proofErr w:type="spellEnd"/>
      <w:r w:rsidRPr="00863602">
        <w:t xml:space="preserve"> </w:t>
      </w:r>
      <w:proofErr w:type="spellStart"/>
      <w:r w:rsidRPr="00863602">
        <w:t>Hinengaro</w:t>
      </w:r>
      <w:proofErr w:type="spellEnd"/>
      <w:r w:rsidRPr="00863602">
        <w:t> System and Service Framework identifies the core components of a contemporary mental health and addiction system with a 10-year view. It provides guidance for those responsible for publicly funded health system policy, design, service commissioning, and delivery. It sets out:</w:t>
      </w:r>
    </w:p>
    <w:p w14:paraId="78D09A78" w14:textId="77777777" w:rsidR="005C7B43" w:rsidRPr="00863602" w:rsidRDefault="005C7B43" w:rsidP="00FD7201">
      <w:pPr>
        <w:pStyle w:val="Bullet"/>
      </w:pPr>
      <w:r w:rsidRPr="00863602">
        <w:t xml:space="preserve">core principles identified by Māori and people with lived experience that should underpin the system and </w:t>
      </w:r>
      <w:proofErr w:type="gramStart"/>
      <w:r w:rsidRPr="00863602">
        <w:t>services</w:t>
      </w:r>
      <w:proofErr w:type="gramEnd"/>
    </w:p>
    <w:p w14:paraId="75C2DD3C" w14:textId="77777777" w:rsidR="005C7B43" w:rsidRPr="00863602" w:rsidRDefault="005C7B43" w:rsidP="00FD7201">
      <w:pPr>
        <w:pStyle w:val="Bullet"/>
      </w:pPr>
      <w:r w:rsidRPr="00863602">
        <w:t>critical shifts required to move towards a future system that supports </w:t>
      </w:r>
      <w:proofErr w:type="spellStart"/>
      <w:r w:rsidRPr="00863602">
        <w:t>pae</w:t>
      </w:r>
      <w:proofErr w:type="spellEnd"/>
      <w:r w:rsidRPr="00863602">
        <w:t xml:space="preserve"> </w:t>
      </w:r>
      <w:proofErr w:type="spellStart"/>
      <w:r w:rsidRPr="00863602">
        <w:t>ora</w:t>
      </w:r>
      <w:proofErr w:type="spellEnd"/>
      <w:r w:rsidRPr="00863602">
        <w:t> (healthy futures)</w:t>
      </w:r>
    </w:p>
    <w:p w14:paraId="4FAE3983" w14:textId="77777777" w:rsidR="005C7B43" w:rsidRPr="00863602" w:rsidRDefault="005C7B43" w:rsidP="00FD7201">
      <w:pPr>
        <w:pStyle w:val="Bullet"/>
      </w:pPr>
      <w:r w:rsidRPr="00863602">
        <w:t>the types of services that should be accessible and available to individuals, whānau and communities.</w:t>
      </w:r>
    </w:p>
    <w:p w14:paraId="58BC1DD3" w14:textId="77777777" w:rsidR="00FD7201" w:rsidRDefault="00FD7201" w:rsidP="00FD7201"/>
    <w:p w14:paraId="2DAAA3FF" w14:textId="46918C31" w:rsidR="005C7B43" w:rsidRDefault="36C8E486" w:rsidP="00FD7201">
      <w:pPr>
        <w:rPr>
          <w:rFonts w:asciiTheme="majorHAnsi" w:eastAsiaTheme="majorEastAsia" w:hAnsiTheme="majorHAnsi" w:cstheme="majorBidi"/>
          <w:color w:val="243F60" w:themeColor="accent1" w:themeShade="7F"/>
          <w:sz w:val="24"/>
          <w:szCs w:val="24"/>
        </w:rPr>
      </w:pPr>
      <w:r>
        <w:t xml:space="preserve">The SSF sets out a range of critical shifts including </w:t>
      </w:r>
      <w:r w:rsidR="14AA3DFF">
        <w:t>lived experience</w:t>
      </w:r>
      <w:r>
        <w:t xml:space="preserve"> led transformation towards better locally networked services, with earlier intervention</w:t>
      </w:r>
      <w:r w:rsidR="2A5D2CC5">
        <w:t>.</w:t>
      </w:r>
      <w:r>
        <w:t xml:space="preserve"> Gambling harm minimisation intervention services are mental health and addiction services and thus fall under the SSF. </w:t>
      </w:r>
      <w:r w:rsidR="71B24A3D">
        <w:t>Accordingly</w:t>
      </w:r>
      <w:r w:rsidR="01D83D7C">
        <w:t>,</w:t>
      </w:r>
      <w:r w:rsidR="0C9D51F8">
        <w:t xml:space="preserve"> the c</w:t>
      </w:r>
      <w:r>
        <w:t>ommissioning of gambling harm services is part of a broader approach</w:t>
      </w:r>
      <w:r w:rsidR="05684A07">
        <w:t xml:space="preserve"> whereby </w:t>
      </w:r>
      <w:r>
        <w:t>gambling harm services</w:t>
      </w:r>
      <w:r w:rsidR="377748D0">
        <w:t xml:space="preserve"> will</w:t>
      </w:r>
      <w:r>
        <w:t xml:space="preserve"> become progressively more integrated into the </w:t>
      </w:r>
      <w:r w:rsidR="377748D0">
        <w:t xml:space="preserve">wider </w:t>
      </w:r>
      <w:r>
        <w:t>mental health and addiction system.</w:t>
      </w:r>
    </w:p>
    <w:p w14:paraId="0662278F" w14:textId="77777777" w:rsidR="005C7B43" w:rsidRPr="00FD7201" w:rsidRDefault="005C7B43" w:rsidP="00FD7201">
      <w:pPr>
        <w:pStyle w:val="Heading3"/>
      </w:pPr>
      <w:r w:rsidRPr="00FD7201">
        <w:t>Forthcoming Mental health and Wellbeing Strategy</w:t>
      </w:r>
    </w:p>
    <w:p w14:paraId="3F69F51A" w14:textId="43D10251" w:rsidR="005C7B43" w:rsidRDefault="36C8E486" w:rsidP="00FD7201">
      <w:r>
        <w:t>The Pae Ora (Healthy Futures) (Improving Mental Health Outcomes) Amendment Act received Royal Assent on 24 October 2024. The amendment requires the Minister for Mental Health to develop a Mental Health and Wellbeing (MH&amp;W) Strategy to sit alongside the other strategies required in that Act (</w:t>
      </w:r>
      <w:proofErr w:type="spellStart"/>
      <w:r>
        <w:t>ie</w:t>
      </w:r>
      <w:proofErr w:type="spellEnd"/>
      <w:r w:rsidR="32BE2D3F">
        <w:t>.</w:t>
      </w:r>
      <w:r>
        <w:t xml:space="preserve"> the New Zealand Health Strategy and five </w:t>
      </w:r>
      <w:proofErr w:type="gramStart"/>
      <w:r>
        <w:t>population-focused</w:t>
      </w:r>
      <w:proofErr w:type="gramEnd"/>
      <w:r>
        <w:t xml:space="preserve"> </w:t>
      </w:r>
      <w:r w:rsidR="00DB3D6A">
        <w:t xml:space="preserve">Pae Ora </w:t>
      </w:r>
      <w:r>
        <w:t xml:space="preserve">strategies). The purpose of the MH&amp;W Strategy is “to provide a framework to guide health entities for the long-term improvement of mental health and wellbeing outcomes, including minimising the harm from addiction”.  </w:t>
      </w:r>
    </w:p>
    <w:p w14:paraId="4452AF06" w14:textId="77777777" w:rsidR="00FD7201" w:rsidRDefault="00FD7201" w:rsidP="00FD7201"/>
    <w:p w14:paraId="1C9D883E" w14:textId="0D84EC4D" w:rsidR="005C7B43" w:rsidRPr="00675456" w:rsidRDefault="36C8E486" w:rsidP="00FD7201">
      <w:r w:rsidRPr="00675456">
        <w:t>As an overarching framework, we envisage the MH&amp;W Strategy sitting across all mental health and addiction matters in the health system, including referencing related strategies such as suicide prevention and gambling harm prevention and minimisation.</w:t>
      </w:r>
      <w:r w:rsidR="46428E5E" w:rsidRPr="00675456">
        <w:t xml:space="preserve"> The Pae Ora Act requires the Ministry of Health to publish this </w:t>
      </w:r>
      <w:r w:rsidR="13C34274" w:rsidRPr="00675456">
        <w:t>S</w:t>
      </w:r>
      <w:r w:rsidR="4A8EE531" w:rsidRPr="00675456">
        <w:t>trategy</w:t>
      </w:r>
      <w:r w:rsidR="46428E5E" w:rsidRPr="00675456">
        <w:t xml:space="preserve"> within the next 12 months.</w:t>
      </w:r>
    </w:p>
    <w:p w14:paraId="1A6FA0E1" w14:textId="77777777" w:rsidR="004A337E" w:rsidRDefault="004A337E" w:rsidP="004A337E">
      <w:pPr>
        <w:rPr>
          <w:lang w:val="en-GB"/>
        </w:rPr>
      </w:pPr>
    </w:p>
    <w:p w14:paraId="7FF89DED" w14:textId="77777777" w:rsidR="004A337E" w:rsidRDefault="004A337E" w:rsidP="004A337E">
      <w:pPr>
        <w:rPr>
          <w:lang w:val="en-GB"/>
        </w:rPr>
      </w:pPr>
    </w:p>
    <w:p w14:paraId="574374A1" w14:textId="77777777" w:rsidR="004A337E" w:rsidRDefault="004A337E" w:rsidP="004A337E">
      <w:pPr>
        <w:rPr>
          <w:lang w:val="en-GB"/>
        </w:rPr>
      </w:pPr>
    </w:p>
    <w:p w14:paraId="52E1FB4E" w14:textId="77777777" w:rsidR="004A337E" w:rsidRDefault="004A337E" w:rsidP="004A337E">
      <w:pPr>
        <w:rPr>
          <w:lang w:val="en-GB"/>
        </w:rPr>
      </w:pPr>
    </w:p>
    <w:p w14:paraId="47F730D8" w14:textId="77777777" w:rsidR="004A337E" w:rsidRDefault="004A337E" w:rsidP="004A337E">
      <w:pPr>
        <w:rPr>
          <w:lang w:val="en-GB"/>
        </w:rPr>
      </w:pPr>
    </w:p>
    <w:p w14:paraId="01ADE11D" w14:textId="77777777" w:rsidR="004A337E" w:rsidRDefault="004A337E" w:rsidP="004A337E">
      <w:pPr>
        <w:rPr>
          <w:lang w:val="en-GB"/>
        </w:rPr>
      </w:pPr>
    </w:p>
    <w:p w14:paraId="09753513" w14:textId="77777777" w:rsidR="004A337E" w:rsidRDefault="004A337E" w:rsidP="004A337E">
      <w:pPr>
        <w:rPr>
          <w:lang w:val="en-GB"/>
        </w:rPr>
      </w:pPr>
    </w:p>
    <w:p w14:paraId="432C2B80" w14:textId="77777777" w:rsidR="002C4495" w:rsidRDefault="002C4495">
      <w:pPr>
        <w:rPr>
          <w:b/>
          <w:color w:val="23305D"/>
          <w:spacing w:val="-10"/>
          <w:sz w:val="56"/>
          <w:szCs w:val="56"/>
          <w:lang w:val="en-GB"/>
        </w:rPr>
      </w:pPr>
      <w:r>
        <w:rPr>
          <w:sz w:val="56"/>
          <w:szCs w:val="56"/>
        </w:rPr>
        <w:br w:type="page"/>
      </w:r>
    </w:p>
    <w:p w14:paraId="16F76ADC" w14:textId="0EB251DE" w:rsidR="00B13AB1" w:rsidRPr="00FD7201" w:rsidRDefault="18F740E2" w:rsidP="00FD7201">
      <w:pPr>
        <w:pStyle w:val="Heading1"/>
      </w:pPr>
      <w:bookmarkStart w:id="23" w:name="_Toc185338892"/>
      <w:r w:rsidRPr="00FD7201">
        <w:t xml:space="preserve">Service </w:t>
      </w:r>
      <w:proofErr w:type="gramStart"/>
      <w:r w:rsidRPr="00FD7201">
        <w:t>plan</w:t>
      </w:r>
      <w:bookmarkEnd w:id="23"/>
      <w:proofErr w:type="gramEnd"/>
    </w:p>
    <w:p w14:paraId="2CCB2FB9" w14:textId="55C25994" w:rsidR="00B13AB1" w:rsidRPr="00EC1034" w:rsidRDefault="00B13AB1" w:rsidP="00EC1034">
      <w:pPr>
        <w:rPr>
          <w:b/>
          <w:bCs/>
          <w:lang w:val="en-GB"/>
        </w:rPr>
      </w:pPr>
      <w:r w:rsidRPr="00EC1034">
        <w:rPr>
          <w:b/>
          <w:bCs/>
          <w:lang w:val="en-GB"/>
        </w:rPr>
        <w:t xml:space="preserve">Delivering a continuum of public health and </w:t>
      </w:r>
      <w:r w:rsidR="467FA062" w:rsidRPr="00EC1034">
        <w:rPr>
          <w:b/>
          <w:bCs/>
          <w:lang w:val="en-GB"/>
        </w:rPr>
        <w:t>treatment</w:t>
      </w:r>
      <w:r w:rsidRPr="00EC1034">
        <w:rPr>
          <w:b/>
          <w:bCs/>
          <w:lang w:val="en-GB"/>
        </w:rPr>
        <w:t xml:space="preserve"> services supported by robust research and evaluation.</w:t>
      </w:r>
    </w:p>
    <w:p w14:paraId="09F28FB9" w14:textId="77777777" w:rsidR="00B13AB1" w:rsidRDefault="00B13AB1" w:rsidP="00FD7201">
      <w:pPr>
        <w:rPr>
          <w:rFonts w:eastAsia="Lucida Sans Unicode"/>
        </w:rPr>
      </w:pPr>
    </w:p>
    <w:p w14:paraId="39805292" w14:textId="77777777" w:rsidR="00B13AB1" w:rsidRDefault="00B13AB1" w:rsidP="00FD7201">
      <w:pPr>
        <w:rPr>
          <w:rFonts w:eastAsia="Lucida Sans Unicode"/>
        </w:rPr>
      </w:pPr>
      <w:r>
        <w:rPr>
          <w:rFonts w:eastAsia="Lucida Sans Unicode"/>
        </w:rPr>
        <w:t xml:space="preserve">This section sets out the proposed gambling harm prevention and minimisation </w:t>
      </w:r>
      <w:r w:rsidRPr="2F46C0E1">
        <w:rPr>
          <w:rFonts w:eastAsia="Lucida Sans Unicode"/>
        </w:rPr>
        <w:t xml:space="preserve">service </w:t>
      </w:r>
      <w:r>
        <w:rPr>
          <w:rFonts w:eastAsia="Lucida Sans Unicode"/>
        </w:rPr>
        <w:t xml:space="preserve">activities, </w:t>
      </w:r>
      <w:r w:rsidRPr="2F46C0E1">
        <w:rPr>
          <w:rFonts w:eastAsia="Lucida Sans Unicode"/>
        </w:rPr>
        <w:t xml:space="preserve">investment priorities and </w:t>
      </w:r>
      <w:r>
        <w:rPr>
          <w:rFonts w:eastAsia="Lucida Sans Unicode"/>
        </w:rPr>
        <w:t xml:space="preserve">related </w:t>
      </w:r>
      <w:r w:rsidRPr="2F46C0E1">
        <w:rPr>
          <w:rFonts w:eastAsia="Lucida Sans Unicode"/>
        </w:rPr>
        <w:t>budgets for the three years from 1 July 2025 to 30 June 2028</w:t>
      </w:r>
      <w:r>
        <w:rPr>
          <w:rFonts w:eastAsia="Lucida Sans Unicode"/>
        </w:rPr>
        <w:t>. They respond to the needs and pressures discussed throughout this document and received through feedback.</w:t>
      </w:r>
    </w:p>
    <w:p w14:paraId="0AEC84E2" w14:textId="77777777" w:rsidR="00B13AB1" w:rsidRDefault="00B13AB1" w:rsidP="00FD7201">
      <w:pPr>
        <w:rPr>
          <w:rFonts w:eastAsia="Lucida Sans Unicode"/>
        </w:rPr>
      </w:pPr>
    </w:p>
    <w:p w14:paraId="2EB27D69" w14:textId="63ED55BB" w:rsidR="00B13AB1" w:rsidRDefault="00B13AB1" w:rsidP="00FD7201">
      <w:r>
        <w:t>The</w:t>
      </w:r>
      <w:r w:rsidRPr="0FD73C6D">
        <w:t xml:space="preserve"> new three-year service plan </w:t>
      </w:r>
      <w:r w:rsidR="00315F2E">
        <w:t>proposed for t</w:t>
      </w:r>
      <w:r w:rsidRPr="047A3989">
        <w:t>he period to 30 June 2028</w:t>
      </w:r>
      <w:r>
        <w:t xml:space="preserve">, guided by the strategic plan, will see expanded provision of </w:t>
      </w:r>
      <w:r w:rsidRPr="0FD73C6D">
        <w:t xml:space="preserve">clinical and public health approaches to gambling harm minimisation and prevention, </w:t>
      </w:r>
      <w:r>
        <w:t xml:space="preserve">as well as a prioritised research programme. </w:t>
      </w:r>
      <w:r w:rsidRPr="0FD73C6D">
        <w:t>The plan will maintain investment in high quality public health and clinical services</w:t>
      </w:r>
      <w:r>
        <w:t xml:space="preserve"> to deliver on </w:t>
      </w:r>
      <w:r w:rsidRPr="0FD73C6D">
        <w:t xml:space="preserve">the Government’s priorities. </w:t>
      </w:r>
    </w:p>
    <w:p w14:paraId="1081FE8A" w14:textId="77777777" w:rsidR="00B13AB1" w:rsidRDefault="00B13AB1" w:rsidP="00FD7201">
      <w:pPr>
        <w:rPr>
          <w:rFonts w:eastAsia="Lucida Sans Unicode"/>
          <w:highlight w:val="yellow"/>
        </w:rPr>
      </w:pPr>
    </w:p>
    <w:p w14:paraId="660E9BFE" w14:textId="7CD5E4DB" w:rsidR="00B13AB1" w:rsidRDefault="18F740E2" w:rsidP="00FD7201">
      <w:pPr>
        <w:rPr>
          <w:rFonts w:eastAsia="Lucida Sans Unicode"/>
        </w:rPr>
      </w:pPr>
      <w:r w:rsidRPr="2F6A6A80">
        <w:rPr>
          <w:rFonts w:eastAsia="Lucida Sans Unicode"/>
        </w:rPr>
        <w:t xml:space="preserve">As a result of consultation feedback, we have made </w:t>
      </w:r>
      <w:r w:rsidR="71B24A3D" w:rsidRPr="2F6A6A80">
        <w:rPr>
          <w:rFonts w:eastAsia="Lucida Sans Unicode"/>
        </w:rPr>
        <w:t>several</w:t>
      </w:r>
      <w:r w:rsidRPr="2F6A6A80">
        <w:rPr>
          <w:rFonts w:eastAsia="Lucida Sans Unicode"/>
        </w:rPr>
        <w:t xml:space="preserve"> changes to the service plan</w:t>
      </w:r>
      <w:r w:rsidR="21B47A44" w:rsidRPr="2F6A6A80">
        <w:rPr>
          <w:rFonts w:eastAsia="Lucida Sans Unicode"/>
        </w:rPr>
        <w:t xml:space="preserve">. Changes </w:t>
      </w:r>
      <w:r w:rsidRPr="2F6A6A80">
        <w:rPr>
          <w:rFonts w:eastAsia="Lucida Sans Unicode"/>
        </w:rPr>
        <w:t>includ</w:t>
      </w:r>
      <w:r w:rsidR="4D8AFA51" w:rsidRPr="2F6A6A80">
        <w:rPr>
          <w:rFonts w:eastAsia="Lucida Sans Unicode"/>
        </w:rPr>
        <w:t>e</w:t>
      </w:r>
      <w:r w:rsidRPr="2F6A6A80">
        <w:rPr>
          <w:rFonts w:eastAsia="Lucida Sans Unicode"/>
        </w:rPr>
        <w:t xml:space="preserve"> expanding further on the new services proposed to fill geographical or other gaps, </w:t>
      </w:r>
      <w:r w:rsidR="26495E5C" w:rsidRPr="2F6A6A80">
        <w:rPr>
          <w:rFonts w:eastAsia="Lucida Sans Unicode"/>
        </w:rPr>
        <w:t>reinstating scholarships</w:t>
      </w:r>
      <w:r w:rsidRPr="2F6A6A80">
        <w:rPr>
          <w:rFonts w:eastAsia="Lucida Sans Unicode"/>
        </w:rPr>
        <w:t xml:space="preserve"> to support the workforce</w:t>
      </w:r>
      <w:r w:rsidR="1265AEE5" w:rsidRPr="2F6A6A80">
        <w:rPr>
          <w:rFonts w:eastAsia="Lucida Sans Unicode"/>
        </w:rPr>
        <w:t xml:space="preserve">, allocating some </w:t>
      </w:r>
      <w:r w:rsidRPr="2F6A6A80">
        <w:rPr>
          <w:rFonts w:eastAsia="Lucida Sans Unicode"/>
        </w:rPr>
        <w:t>research</w:t>
      </w:r>
      <w:r w:rsidR="1265AEE5" w:rsidRPr="2F6A6A80">
        <w:rPr>
          <w:rFonts w:eastAsia="Lucida Sans Unicode"/>
        </w:rPr>
        <w:t xml:space="preserve"> to innovation and scholarships</w:t>
      </w:r>
      <w:r w:rsidRPr="2F6A6A80">
        <w:rPr>
          <w:rFonts w:eastAsia="Lucida Sans Unicode"/>
        </w:rPr>
        <w:t xml:space="preserve"> </w:t>
      </w:r>
      <w:r w:rsidR="334F32B4" w:rsidRPr="2F6A6A80">
        <w:rPr>
          <w:rFonts w:eastAsia="Lucida Sans Unicode"/>
        </w:rPr>
        <w:t xml:space="preserve">and </w:t>
      </w:r>
      <w:r w:rsidR="6F0D4D24" w:rsidRPr="2F6A6A80">
        <w:rPr>
          <w:rFonts w:eastAsia="Lucida Sans Unicode"/>
        </w:rPr>
        <w:t xml:space="preserve">developing </w:t>
      </w:r>
      <w:r w:rsidR="7670A020" w:rsidRPr="2F6A6A80">
        <w:rPr>
          <w:rFonts w:eastAsia="Lucida Sans Unicode"/>
        </w:rPr>
        <w:t xml:space="preserve">a monitoring framework to monitor the overall impact of the </w:t>
      </w:r>
      <w:r w:rsidR="30C0E6B2" w:rsidRPr="2F6A6A80">
        <w:rPr>
          <w:rFonts w:eastAsia="Lucida Sans Unicode"/>
        </w:rPr>
        <w:t>S</w:t>
      </w:r>
      <w:r w:rsidR="7670A020" w:rsidRPr="2F6A6A80">
        <w:rPr>
          <w:rFonts w:eastAsia="Lucida Sans Unicode"/>
        </w:rPr>
        <w:t xml:space="preserve">trategy. We </w:t>
      </w:r>
      <w:r w:rsidR="574225DC" w:rsidRPr="2F6A6A80">
        <w:rPr>
          <w:rFonts w:eastAsia="Lucida Sans Unicode"/>
        </w:rPr>
        <w:t xml:space="preserve">have also </w:t>
      </w:r>
      <w:r w:rsidRPr="2F6A6A80">
        <w:rPr>
          <w:rFonts w:eastAsia="Lucida Sans Unicode"/>
        </w:rPr>
        <w:t>ensur</w:t>
      </w:r>
      <w:r w:rsidR="574225DC" w:rsidRPr="2F6A6A80">
        <w:rPr>
          <w:rFonts w:eastAsia="Lucida Sans Unicode"/>
        </w:rPr>
        <w:t>ed</w:t>
      </w:r>
      <w:r w:rsidRPr="2F6A6A80">
        <w:rPr>
          <w:rFonts w:eastAsia="Lucida Sans Unicode"/>
        </w:rPr>
        <w:t xml:space="preserve"> a stronger focus on public health is visible in all activities, including this document</w:t>
      </w:r>
      <w:r w:rsidR="334F32B4" w:rsidRPr="2F6A6A80">
        <w:rPr>
          <w:rFonts w:eastAsia="Lucida Sans Unicode"/>
        </w:rPr>
        <w:t>.</w:t>
      </w:r>
    </w:p>
    <w:p w14:paraId="59835163" w14:textId="77777777" w:rsidR="00B13AB1" w:rsidRDefault="00B13AB1" w:rsidP="00FD7201">
      <w:pPr>
        <w:rPr>
          <w:rFonts w:eastAsia="Lucida Sans Unicode"/>
        </w:rPr>
      </w:pPr>
    </w:p>
    <w:p w14:paraId="1DD6354F" w14:textId="34B9901C" w:rsidR="00B13AB1" w:rsidRDefault="00C76DCA" w:rsidP="00FD7201">
      <w:pPr>
        <w:rPr>
          <w:rFonts w:eastAsia="Lucida Sans Unicode"/>
        </w:rPr>
      </w:pPr>
      <w:r>
        <w:rPr>
          <w:rFonts w:eastAsia="Lucida Sans Unicode"/>
        </w:rPr>
        <w:t>The</w:t>
      </w:r>
      <w:r w:rsidR="00B13AB1">
        <w:rPr>
          <w:rFonts w:eastAsia="Lucida Sans Unicode"/>
        </w:rPr>
        <w:t xml:space="preserve"> service proposals are aligned to the priorities and activities of the strategic framework to provide a clear line of sight </w:t>
      </w:r>
      <w:r w:rsidR="00B13AB1" w:rsidRPr="41F03BAF">
        <w:rPr>
          <w:rFonts w:eastAsia="Lucida Sans Unicode"/>
        </w:rPr>
        <w:t>from</w:t>
      </w:r>
      <w:r w:rsidR="00B13AB1">
        <w:rPr>
          <w:rFonts w:eastAsia="Lucida Sans Unicode"/>
        </w:rPr>
        <w:t xml:space="preserve"> the strategic priorities to what we intend to do to achieve them.</w:t>
      </w:r>
      <w:r w:rsidR="00B13AB1" w:rsidRPr="007B48D3">
        <w:rPr>
          <w:rFonts w:eastAsia="Lucida Sans Unicode"/>
        </w:rPr>
        <w:t xml:space="preserve"> </w:t>
      </w:r>
      <w:r w:rsidR="00B13AB1">
        <w:rPr>
          <w:rFonts w:eastAsia="Lucida Sans Unicode"/>
        </w:rPr>
        <w:t>Together the proposals</w:t>
      </w:r>
      <w:r w:rsidR="00B13AB1" w:rsidRPr="2F46C0E1">
        <w:rPr>
          <w:rFonts w:eastAsia="Lucida Sans Unicode"/>
        </w:rPr>
        <w:t xml:space="preserve"> </w:t>
      </w:r>
      <w:r w:rsidR="00B13AB1">
        <w:rPr>
          <w:rFonts w:eastAsia="Lucida Sans Unicode"/>
        </w:rPr>
        <w:t xml:space="preserve">set out the specific activities and services to be provided to achieve the </w:t>
      </w:r>
      <w:r w:rsidR="00B13AB1" w:rsidRPr="2F46C0E1">
        <w:rPr>
          <w:rFonts w:eastAsia="Lucida Sans Unicode"/>
        </w:rPr>
        <w:t>strategic outcomes and priority actions</w:t>
      </w:r>
      <w:r w:rsidR="00B13AB1">
        <w:rPr>
          <w:rFonts w:eastAsia="Lucida Sans Unicode"/>
        </w:rPr>
        <w:t xml:space="preserve">, and to support the mental health and addiction system priorities </w:t>
      </w:r>
      <w:r w:rsidR="00B13AB1" w:rsidRPr="2F46C0E1">
        <w:rPr>
          <w:rFonts w:eastAsia="Lucida Sans Unicode"/>
        </w:rPr>
        <w:t xml:space="preserve">outlined </w:t>
      </w:r>
      <w:r w:rsidR="00B13AB1">
        <w:rPr>
          <w:rFonts w:eastAsia="Lucida Sans Unicode"/>
        </w:rPr>
        <w:t>in</w:t>
      </w:r>
      <w:r w:rsidR="00B13AB1" w:rsidRPr="2F46C0E1">
        <w:rPr>
          <w:rFonts w:eastAsia="Lucida Sans Unicode"/>
        </w:rPr>
        <w:t xml:space="preserve"> the strategic </w:t>
      </w:r>
      <w:r w:rsidR="00B13AB1">
        <w:rPr>
          <w:rFonts w:eastAsia="Lucida Sans Unicode"/>
        </w:rPr>
        <w:t xml:space="preserve">plan described above. </w:t>
      </w:r>
    </w:p>
    <w:p w14:paraId="3DC7D238" w14:textId="77777777" w:rsidR="00B13AB1" w:rsidRDefault="00B13AB1" w:rsidP="00FD7201">
      <w:pPr>
        <w:rPr>
          <w:rFonts w:eastAsia="Lucida Sans Unicode"/>
        </w:rPr>
      </w:pPr>
    </w:p>
    <w:p w14:paraId="35D882DD" w14:textId="77777777" w:rsidR="00B13AB1" w:rsidRDefault="00B13AB1" w:rsidP="00FD7201">
      <w:r w:rsidRPr="0FD73C6D">
        <w:t xml:space="preserve">The </w:t>
      </w:r>
      <w:r>
        <w:t>proposed service plan</w:t>
      </w:r>
      <w:r w:rsidRPr="0FD73C6D">
        <w:t xml:space="preserve"> includes proposals to:</w:t>
      </w:r>
    </w:p>
    <w:p w14:paraId="4E212DED" w14:textId="6453BF89" w:rsidR="00B13AB1" w:rsidRPr="002B32BD" w:rsidRDefault="00B13AB1" w:rsidP="00B13AB1">
      <w:pPr>
        <w:pStyle w:val="Bullet"/>
        <w:tabs>
          <w:tab w:val="num" w:pos="284"/>
        </w:tabs>
      </w:pPr>
      <w:r w:rsidRPr="002B32BD">
        <w:rPr>
          <w:b/>
          <w:bCs/>
        </w:rPr>
        <w:t>increase access</w:t>
      </w:r>
      <w:r w:rsidRPr="002B32BD">
        <w:t xml:space="preserve"> by expanding </w:t>
      </w:r>
      <w:r w:rsidR="1CF595FB">
        <w:t>treatment</w:t>
      </w:r>
      <w:r w:rsidRPr="002B32BD">
        <w:t xml:space="preserve"> service provision, both in terms of the type of service/population served (for example additional high-intensity support) and of location (filling some areas that do not currently have face-to-face services)</w:t>
      </w:r>
    </w:p>
    <w:p w14:paraId="69EBCE89" w14:textId="77777777" w:rsidR="00B13AB1" w:rsidRPr="002B32BD" w:rsidRDefault="00B13AB1" w:rsidP="00B13AB1">
      <w:pPr>
        <w:pStyle w:val="Bullet"/>
        <w:tabs>
          <w:tab w:val="num" w:pos="284"/>
        </w:tabs>
      </w:pPr>
      <w:r w:rsidRPr="002B32BD">
        <w:rPr>
          <w:b/>
          <w:bCs/>
        </w:rPr>
        <w:t>grow the workforce</w:t>
      </w:r>
      <w:r w:rsidRPr="002B32BD">
        <w:t xml:space="preserve"> by supporting new entrants to the workforce and retain existing workers (for both the peer and clinical workforces)</w:t>
      </w:r>
    </w:p>
    <w:p w14:paraId="165F5E20" w14:textId="77777777" w:rsidR="00B13AB1" w:rsidRPr="002B32BD" w:rsidRDefault="00B13AB1" w:rsidP="00B13AB1">
      <w:pPr>
        <w:pStyle w:val="Bullet"/>
        <w:tabs>
          <w:tab w:val="num" w:pos="284"/>
        </w:tabs>
      </w:pPr>
      <w:r w:rsidRPr="002B32BD">
        <w:rPr>
          <w:b/>
          <w:bCs/>
        </w:rPr>
        <w:t>prevent harm and intervene early</w:t>
      </w:r>
      <w:r w:rsidRPr="002B32BD">
        <w:t xml:space="preserve"> by delivering a range of </w:t>
      </w:r>
      <w:r>
        <w:t>population</w:t>
      </w:r>
      <w:r w:rsidRPr="002B32BD">
        <w:t xml:space="preserve">-focused </w:t>
      </w:r>
      <w:r>
        <w:t xml:space="preserve">public </w:t>
      </w:r>
      <w:r w:rsidRPr="002B32BD">
        <w:t xml:space="preserve">health activities to prevent gambling </w:t>
      </w:r>
      <w:proofErr w:type="gramStart"/>
      <w:r w:rsidRPr="002B32BD">
        <w:t>harm</w:t>
      </w:r>
      <w:proofErr w:type="gramEnd"/>
    </w:p>
    <w:p w14:paraId="63AAAADE" w14:textId="77777777" w:rsidR="00B13AB1" w:rsidRPr="002B32BD" w:rsidRDefault="00B13AB1" w:rsidP="00B13AB1">
      <w:pPr>
        <w:pStyle w:val="Bullet"/>
        <w:tabs>
          <w:tab w:val="num" w:pos="284"/>
        </w:tabs>
      </w:pPr>
      <w:r w:rsidRPr="002B32BD">
        <w:rPr>
          <w:b/>
          <w:bCs/>
        </w:rPr>
        <w:t>improve effectiveness</w:t>
      </w:r>
      <w:r w:rsidRPr="002B32BD">
        <w:t xml:space="preserve"> by commissioning of a suite of research and evaluation projects, including evaluation of all clinical services and an impact evaluation of the Strategy itself</w:t>
      </w:r>
      <w:r>
        <w:t xml:space="preserve"> and focussing on ensuring service design is community-centred and lived-experience led</w:t>
      </w:r>
      <w:r w:rsidRPr="002B32BD">
        <w:t>.</w:t>
      </w:r>
    </w:p>
    <w:p w14:paraId="2569FE29" w14:textId="77777777" w:rsidR="00B13AB1" w:rsidRDefault="00B13AB1" w:rsidP="00B13AB1"/>
    <w:p w14:paraId="0663E5DF" w14:textId="77777777" w:rsidR="0023407A" w:rsidRDefault="0023407A">
      <w:r>
        <w:br w:type="page"/>
      </w:r>
    </w:p>
    <w:p w14:paraId="6E4839DE" w14:textId="12744DDD" w:rsidR="00B13AB1" w:rsidRDefault="00B13AB1" w:rsidP="00FD7201">
      <w:r w:rsidRPr="187C96A3">
        <w:t xml:space="preserve">The </w:t>
      </w:r>
      <w:r w:rsidR="0023407A">
        <w:t xml:space="preserve">full </w:t>
      </w:r>
      <w:r w:rsidRPr="187C96A3">
        <w:t>package of investment has been costed at $</w:t>
      </w:r>
      <w:r>
        <w:t>91.805</w:t>
      </w:r>
      <w:r w:rsidRPr="187C96A3">
        <w:t xml:space="preserve"> million over the three years from 2025/26</w:t>
      </w:r>
      <w:r>
        <w:t xml:space="preserve"> to </w:t>
      </w:r>
      <w:r w:rsidRPr="187C96A3">
        <w:t>2027/28, an increase of $</w:t>
      </w:r>
      <w:r>
        <w:t>15</w:t>
      </w:r>
      <w:r w:rsidR="00944B59">
        <w:t>.</w:t>
      </w:r>
      <w:r w:rsidR="00C173A6">
        <w:t>682</w:t>
      </w:r>
      <w:r w:rsidRPr="187C96A3">
        <w:t xml:space="preserve"> million on the 2022/23</w:t>
      </w:r>
      <w:r>
        <w:t xml:space="preserve"> to </w:t>
      </w:r>
      <w:r w:rsidRPr="187C96A3">
        <w:t>2024/25 budget. The increase includes a proposed transfer of $</w:t>
      </w:r>
      <w:r>
        <w:t>5.260</w:t>
      </w:r>
      <w:r w:rsidRPr="187C96A3">
        <w:t xml:space="preserve"> million forecast cumulative underspend from the current levy period ending on 30 June 2025, </w:t>
      </w:r>
      <w:r w:rsidR="00BB0CEE" w:rsidRPr="2F6A6A80">
        <w:rPr>
          <w:rFonts w:cstheme="minorBidi"/>
        </w:rPr>
        <w:t>attributed to delays arising from health sector restructuring</w:t>
      </w:r>
      <w:r w:rsidR="00BB0CEE">
        <w:t xml:space="preserve">, </w:t>
      </w:r>
      <w:r w:rsidRPr="187C96A3">
        <w:t>so the proposed net additional funding is $</w:t>
      </w:r>
      <w:r>
        <w:t>10.422</w:t>
      </w:r>
      <w:r w:rsidRPr="187C96A3">
        <w:t xml:space="preserve"> million.</w:t>
      </w:r>
    </w:p>
    <w:p w14:paraId="63E0E4B8" w14:textId="77777777" w:rsidR="00B13AB1" w:rsidRPr="003E7731" w:rsidRDefault="00B13AB1" w:rsidP="00FD7201"/>
    <w:p w14:paraId="45B35669" w14:textId="77777777" w:rsidR="00B13AB1" w:rsidRDefault="00B13AB1" w:rsidP="00FD7201">
      <w:pPr>
        <w:rPr>
          <w:rFonts w:asciiTheme="majorHAnsi" w:eastAsiaTheme="majorEastAsia" w:hAnsiTheme="majorHAnsi" w:cstheme="majorBidi"/>
          <w:i/>
          <w:iCs/>
          <w:color w:val="365F91" w:themeColor="accent1" w:themeShade="BF"/>
        </w:rPr>
      </w:pPr>
      <w:r w:rsidRPr="003E7731">
        <w:t xml:space="preserve">Of this, approximately half is for new services and interventions required in response to changes in the gambling environment (such as service promotion, workforce development and an online gambling exclusion system) and half </w:t>
      </w:r>
      <w:r>
        <w:t xml:space="preserve">will be used </w:t>
      </w:r>
      <w:r w:rsidRPr="003E7731">
        <w:t>to address a range of cost and volume pressures (including service expansion and responses to wage pressures).</w:t>
      </w:r>
    </w:p>
    <w:p w14:paraId="7FA87D91" w14:textId="77777777" w:rsidR="00B13AB1" w:rsidRPr="00FD7201" w:rsidRDefault="00B13AB1" w:rsidP="00FD7201">
      <w:pPr>
        <w:pStyle w:val="Heading3"/>
      </w:pPr>
      <w:r w:rsidRPr="00FD7201">
        <w:t>The public health approach that underlies this Service Plan</w:t>
      </w:r>
    </w:p>
    <w:p w14:paraId="7DE611D1" w14:textId="6B99CC6A" w:rsidR="00B13AB1" w:rsidRDefault="00B13AB1" w:rsidP="00FD7201">
      <w:pPr>
        <w:rPr>
          <w:rFonts w:eastAsia="Segoe UI"/>
        </w:rPr>
      </w:pPr>
      <w:r w:rsidRPr="12A7F8CA">
        <w:rPr>
          <w:rFonts w:eastAsia="Segoe UI"/>
        </w:rPr>
        <w:t xml:space="preserve">The </w:t>
      </w:r>
      <w:r w:rsidR="0016194E">
        <w:rPr>
          <w:rFonts w:eastAsia="Segoe UI"/>
        </w:rPr>
        <w:t>S</w:t>
      </w:r>
      <w:r w:rsidR="0016194E" w:rsidRPr="12A7F8CA">
        <w:rPr>
          <w:rFonts w:eastAsia="Segoe UI"/>
        </w:rPr>
        <w:t xml:space="preserve">trategy </w:t>
      </w:r>
      <w:r w:rsidRPr="12A7F8CA">
        <w:rPr>
          <w:rFonts w:eastAsia="Segoe UI"/>
        </w:rPr>
        <w:t>takes a public health approach, with early and specialist interventions when needed</w:t>
      </w:r>
      <w:r w:rsidR="00E90CCC" w:rsidRPr="12A7F8CA">
        <w:rPr>
          <w:rStyle w:val="FootnoteReference"/>
          <w:rFonts w:eastAsia="Segoe UI" w:cs="Segoe UI"/>
          <w:color w:val="000000" w:themeColor="text1"/>
        </w:rPr>
        <w:footnoteReference w:id="13"/>
      </w:r>
      <w:r w:rsidRPr="12A7F8CA">
        <w:rPr>
          <w:rFonts w:eastAsia="Segoe UI"/>
        </w:rPr>
        <w:t xml:space="preserve">. Two key characteristics of the public health approach is that </w:t>
      </w:r>
      <w:r w:rsidR="588BA268" w:rsidRPr="12A7F8CA">
        <w:rPr>
          <w:rFonts w:eastAsia="Segoe UI"/>
        </w:rPr>
        <w:t xml:space="preserve">it </w:t>
      </w:r>
      <w:r w:rsidRPr="12A7F8CA">
        <w:rPr>
          <w:rFonts w:eastAsia="Segoe UI"/>
        </w:rPr>
        <w:t xml:space="preserve">aims to keep people well and focuses on groups of people rather than individuals. </w:t>
      </w:r>
    </w:p>
    <w:p w14:paraId="7E467FB9" w14:textId="77777777" w:rsidR="00B13AB1" w:rsidRDefault="00B13AB1" w:rsidP="00FD7201">
      <w:pPr>
        <w:rPr>
          <w:rFonts w:eastAsia="Segoe UI"/>
          <w:szCs w:val="21"/>
        </w:rPr>
      </w:pPr>
    </w:p>
    <w:p w14:paraId="719EE5B3" w14:textId="5FBB3D96" w:rsidR="00B13AB1" w:rsidRDefault="00B13AB1" w:rsidP="00FD7201">
      <w:pPr>
        <w:rPr>
          <w:rFonts w:eastAsia="Segoe UI"/>
          <w:szCs w:val="21"/>
        </w:rPr>
      </w:pPr>
      <w:r w:rsidRPr="74E688CF">
        <w:rPr>
          <w:rFonts w:eastAsia="Segoe UI"/>
          <w:szCs w:val="21"/>
        </w:rPr>
        <w:t xml:space="preserve">Core concepts integral to public health are a focus on whole population-health and the importance of including both promotion and prevention activities applied collectively. Gambling harm public health </w:t>
      </w:r>
      <w:r w:rsidR="006F3AE4" w:rsidRPr="74E688CF">
        <w:rPr>
          <w:rFonts w:eastAsia="Segoe UI"/>
          <w:szCs w:val="21"/>
        </w:rPr>
        <w:t>approaches emphasise</w:t>
      </w:r>
      <w:r w:rsidRPr="74E688CF">
        <w:rPr>
          <w:rFonts w:eastAsia="Segoe UI"/>
          <w:szCs w:val="21"/>
        </w:rPr>
        <w:t xml:space="preserve"> harm minimisation, harm prevention and early intervention and </w:t>
      </w:r>
      <w:r w:rsidR="000A679A">
        <w:rPr>
          <w:rFonts w:eastAsia="Segoe UI"/>
          <w:szCs w:val="21"/>
        </w:rPr>
        <w:t>seek to address</w:t>
      </w:r>
      <w:r w:rsidR="000A679A" w:rsidRPr="74E688CF">
        <w:rPr>
          <w:rFonts w:eastAsia="Segoe UI"/>
          <w:szCs w:val="21"/>
        </w:rPr>
        <w:t xml:space="preserve"> </w:t>
      </w:r>
      <w:r w:rsidRPr="74E688CF">
        <w:rPr>
          <w:rFonts w:eastAsia="Segoe UI"/>
          <w:szCs w:val="21"/>
        </w:rPr>
        <w:t xml:space="preserve">the role social, environmental and commercial determinants of health play in the development and impact of gambling harm. </w:t>
      </w:r>
    </w:p>
    <w:p w14:paraId="77DEE9DA" w14:textId="77777777" w:rsidR="00B13AB1" w:rsidRDefault="00B13AB1" w:rsidP="00FD7201">
      <w:pPr>
        <w:rPr>
          <w:rFonts w:eastAsia="Segoe UI"/>
          <w:szCs w:val="21"/>
        </w:rPr>
      </w:pPr>
    </w:p>
    <w:p w14:paraId="3DBE4AB4" w14:textId="77777777" w:rsidR="00B13AB1" w:rsidRPr="0016194E" w:rsidRDefault="00B13AB1" w:rsidP="12A7F8CA">
      <w:pPr>
        <w:rPr>
          <w:rFonts w:eastAsia="Segoe UI" w:cs="Segoe UI"/>
          <w:b/>
          <w:bCs/>
          <w:color w:val="000000" w:themeColor="text1"/>
          <w:sz w:val="20"/>
        </w:rPr>
      </w:pPr>
      <w:r w:rsidRPr="0016194E">
        <w:rPr>
          <w:rFonts w:eastAsia="Segoe UI" w:cs="Segoe UI"/>
          <w:b/>
          <w:bCs/>
          <w:color w:val="000000" w:themeColor="text1"/>
          <w:sz w:val="20"/>
        </w:rPr>
        <w:t>The public health approach recognises that people experience varying levels of harm from gambling, so a spectrum of responses is needed across population-level promotion and prevention, as well as specialised interventions for individuals experiencing harm.</w:t>
      </w:r>
    </w:p>
    <w:p w14:paraId="4844B4A1" w14:textId="77777777" w:rsidR="00B13AB1" w:rsidRDefault="00B13AB1" w:rsidP="00FD7201">
      <w:pPr>
        <w:rPr>
          <w:rFonts w:eastAsia="Segoe UI"/>
        </w:rPr>
      </w:pPr>
    </w:p>
    <w:p w14:paraId="0ED26B25" w14:textId="07DA4F7C" w:rsidR="00B13AB1" w:rsidRDefault="18F740E2" w:rsidP="00FD7201">
      <w:pPr>
        <w:rPr>
          <w:rFonts w:eastAsia="Segoe UI"/>
        </w:rPr>
      </w:pPr>
      <w:r w:rsidRPr="2F6A6A80">
        <w:rPr>
          <w:rFonts w:eastAsia="Segoe UI"/>
        </w:rPr>
        <w:t xml:space="preserve">The Service Plan follows a continuum-of-harm approach to health that aligns the spectrum of gambling behaviour with a harm-reduction framework (Figure </w:t>
      </w:r>
      <w:r w:rsidR="44FA363B" w:rsidRPr="2F6A6A80">
        <w:rPr>
          <w:rFonts w:eastAsia="Segoe UI"/>
        </w:rPr>
        <w:t>3</w:t>
      </w:r>
      <w:r w:rsidRPr="2F6A6A80">
        <w:rPr>
          <w:rFonts w:eastAsia="Segoe UI"/>
        </w:rPr>
        <w:t xml:space="preserve"> below refers).</w:t>
      </w:r>
      <w:r w:rsidR="44FA363B" w:rsidRPr="2F6A6A80">
        <w:rPr>
          <w:rFonts w:eastAsia="Segoe UI"/>
        </w:rPr>
        <w:t xml:space="preserve"> </w:t>
      </w:r>
      <w:r w:rsidRPr="2F6A6A80">
        <w:rPr>
          <w:rFonts w:eastAsia="Segoe UI"/>
        </w:rPr>
        <w:t>For example, as the majority of people do not have a high risk of harm from gambling, primary prevention (including via policy and legislation) and health promotion at the community or group level is appropriate. Specialised intervention is, however, appropriate for individuals experiencing harm.</w:t>
      </w:r>
    </w:p>
    <w:p w14:paraId="39651813" w14:textId="77777777" w:rsidR="00B13AB1" w:rsidRDefault="00B13AB1" w:rsidP="00FD7201">
      <w:pPr>
        <w:rPr>
          <w:rFonts w:eastAsia="Lucida Sans Unicode"/>
        </w:rPr>
      </w:pPr>
    </w:p>
    <w:p w14:paraId="76595C21" w14:textId="48909CAC" w:rsidR="00B13AB1" w:rsidRDefault="00FD7201" w:rsidP="00FD7201">
      <w:pPr>
        <w:pStyle w:val="Figure"/>
        <w:rPr>
          <w:rFonts w:eastAsia="Segoe UI"/>
        </w:rPr>
      </w:pPr>
      <w:bookmarkStart w:id="24" w:name="_Toc185338914"/>
      <w:r>
        <w:t xml:space="preserve">Figure </w:t>
      </w:r>
      <w:r w:rsidR="00347B76">
        <w:fldChar w:fldCharType="begin"/>
      </w:r>
      <w:r w:rsidR="00347B76">
        <w:instrText xml:space="preserve"> SEQ Figure \* ARABIC </w:instrText>
      </w:r>
      <w:r w:rsidR="00347B76">
        <w:fldChar w:fldCharType="separate"/>
      </w:r>
      <w:r w:rsidR="0094542E">
        <w:rPr>
          <w:noProof/>
        </w:rPr>
        <w:t>3</w:t>
      </w:r>
      <w:r w:rsidR="00347B76">
        <w:rPr>
          <w:noProof/>
        </w:rPr>
        <w:fldChar w:fldCharType="end"/>
      </w:r>
      <w:r>
        <w:t xml:space="preserve">: </w:t>
      </w:r>
      <w:r w:rsidR="00B13AB1" w:rsidRPr="423DEDD3">
        <w:rPr>
          <w:rFonts w:eastAsia="Segoe UI"/>
        </w:rPr>
        <w:t>Continuum of gambling behaviour and responses (based on Korn and Shaffer 1999)</w:t>
      </w:r>
      <w:bookmarkEnd w:id="24"/>
    </w:p>
    <w:p w14:paraId="5D3045EA" w14:textId="77777777" w:rsidR="00B13AB1" w:rsidRDefault="00B13AB1" w:rsidP="00B13AB1">
      <w:pPr>
        <w:spacing w:before="120" w:after="120"/>
        <w:rPr>
          <w:rFonts w:eastAsia="Segoe UI" w:cs="Segoe UI"/>
          <w:color w:val="000000" w:themeColor="text1"/>
          <w:szCs w:val="21"/>
        </w:rPr>
      </w:pPr>
      <w:r>
        <w:rPr>
          <w:noProof/>
        </w:rPr>
        <w:drawing>
          <wp:inline distT="0" distB="0" distL="0" distR="0" wp14:anchorId="55B6605C" wp14:editId="6E944D14">
            <wp:extent cx="4470400" cy="2743200"/>
            <wp:effectExtent l="0" t="0" r="6350" b="0"/>
            <wp:docPr id="1128396213" name="Picture 1128396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96213" name="Picture 1128396213">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4470400" cy="2743200"/>
                    </a:xfrm>
                    <a:prstGeom prst="rect">
                      <a:avLst/>
                    </a:prstGeom>
                  </pic:spPr>
                </pic:pic>
              </a:graphicData>
            </a:graphic>
          </wp:inline>
        </w:drawing>
      </w:r>
    </w:p>
    <w:p w14:paraId="162561D4" w14:textId="77777777" w:rsidR="00FD7201" w:rsidRDefault="00FD7201" w:rsidP="00FD7201"/>
    <w:p w14:paraId="1FF6F974" w14:textId="33FD43F8" w:rsidR="00B13AB1" w:rsidRPr="00B01452" w:rsidRDefault="00B13AB1" w:rsidP="00FD7201">
      <w:pPr>
        <w:rPr>
          <w:rFonts w:eastAsia="Lucida Sans Unicode"/>
          <w:lang w:val="en-GB"/>
        </w:rPr>
      </w:pPr>
      <w:r w:rsidRPr="00B01452">
        <w:t xml:space="preserve">It is important to note that as </w:t>
      </w:r>
      <w:r w:rsidR="00E90CCC">
        <w:t>described earlier</w:t>
      </w:r>
      <w:r w:rsidRPr="00B01452">
        <w:t>, public health activity is also delivered by the Department of Internal Affairs</w:t>
      </w:r>
      <w:r w:rsidR="00E90CCC">
        <w:t xml:space="preserve">. Its </w:t>
      </w:r>
      <w:r w:rsidRPr="00B01452">
        <w:t xml:space="preserve">regulation of gambling in New Zealand is an important harm prevention approach, and harm prevention </w:t>
      </w:r>
      <w:r w:rsidR="00E90CCC">
        <w:t xml:space="preserve">and minimisation </w:t>
      </w:r>
      <w:proofErr w:type="gramStart"/>
      <w:r w:rsidRPr="00B01452">
        <w:t>is</w:t>
      </w:r>
      <w:proofErr w:type="gramEnd"/>
      <w:r w:rsidRPr="00B01452">
        <w:t xml:space="preserve"> a core purpose of the  Act  which guides all gambling activity in New Zealand.</w:t>
      </w:r>
    </w:p>
    <w:p w14:paraId="60CC89A4" w14:textId="77777777" w:rsidR="00B13AB1" w:rsidRPr="008D5AF1" w:rsidRDefault="00B13AB1" w:rsidP="00517395">
      <w:pPr>
        <w:pStyle w:val="Heading2"/>
      </w:pPr>
      <w:bookmarkStart w:id="25" w:name="_Toc185338893"/>
      <w:r w:rsidRPr="008D5AF1">
        <w:t>Indicative budget for 2025/26 to 2027/28</w:t>
      </w:r>
      <w:bookmarkEnd w:id="25"/>
    </w:p>
    <w:p w14:paraId="21C942C1" w14:textId="12FF0A88" w:rsidR="00B13AB1" w:rsidRDefault="18F740E2" w:rsidP="00FD7201">
      <w:r>
        <w:t xml:space="preserve">Submissions on the proposed service plan and funding requirements were divided.  NCGM and some industry submissions did not support further investment arguing the </w:t>
      </w:r>
      <w:r w:rsidR="15B77181">
        <w:t>S</w:t>
      </w:r>
      <w:r>
        <w:t xml:space="preserve">trategy had been ineffective in reducing harm and required bold change, not “more of the same”.  Some of these submissions argued funding should be reduced as presentations were continuing to decline while others qualified support for additional spending if steps were taken to monitor performance and assess service impacts towards reducing gambling harm. Conversely, submissions from other sectors either supported the proposed funding and mix of services, argued for additional services or funding, </w:t>
      </w:r>
      <w:r w:rsidR="000855D4">
        <w:t>(</w:t>
      </w:r>
      <w:proofErr w:type="spellStart"/>
      <w:r>
        <w:t>eg</w:t>
      </w:r>
      <w:r w:rsidR="40E7EA51">
        <w:t>.</w:t>
      </w:r>
      <w:proofErr w:type="spellEnd"/>
      <w:r>
        <w:t xml:space="preserve"> to address gaps in access</w:t>
      </w:r>
      <w:r w:rsidR="000855D4">
        <w:t>)</w:t>
      </w:r>
      <w:r>
        <w:t xml:space="preserve">, or argued that much more funding would be required to effect real change or to compensate for increased operating costs. </w:t>
      </w:r>
    </w:p>
    <w:p w14:paraId="4112A85A" w14:textId="77777777" w:rsidR="00B13AB1" w:rsidRDefault="00B13AB1" w:rsidP="00FD7201"/>
    <w:p w14:paraId="03D14E0E" w14:textId="381CC865" w:rsidR="00B13AB1" w:rsidRDefault="00B13AB1" w:rsidP="00FD7201">
      <w:r>
        <w:t xml:space="preserve">The Ministry has </w:t>
      </w:r>
      <w:r w:rsidR="005071EC">
        <w:t xml:space="preserve">worked with Health NZ </w:t>
      </w:r>
      <w:r w:rsidR="00FE7E0F">
        <w:t xml:space="preserve">to </w:t>
      </w:r>
      <w:r>
        <w:t xml:space="preserve">consider these submissions in detailing a revised </w:t>
      </w:r>
      <w:r w:rsidRPr="003E7731">
        <w:t xml:space="preserve">three-year service plan </w:t>
      </w:r>
      <w:r>
        <w:t>b</w:t>
      </w:r>
      <w:r w:rsidR="00315F2E">
        <w:t>e</w:t>
      </w:r>
      <w:r>
        <w:t xml:space="preserve">low </w:t>
      </w:r>
      <w:r w:rsidRPr="003E7731">
        <w:t xml:space="preserve">based on the strategic framework </w:t>
      </w:r>
      <w:r w:rsidR="00C828EF" w:rsidRPr="003E7731">
        <w:t>above</w:t>
      </w:r>
      <w:r w:rsidR="00C828EF">
        <w:t xml:space="preserve"> and</w:t>
      </w:r>
      <w:r>
        <w:t xml:space="preserve"> aligned with the strategic priority areas. The service plan describes the services and activities required to make further progress towards preventing and minimising gambling harm. </w:t>
      </w:r>
    </w:p>
    <w:p w14:paraId="0FAC1BE5" w14:textId="77777777" w:rsidR="00B13AB1" w:rsidRDefault="00B13AB1" w:rsidP="00FD7201"/>
    <w:p w14:paraId="17E51D4E" w14:textId="4340AEA5" w:rsidR="00C3330D" w:rsidRDefault="0239A9FF" w:rsidP="00FD7201">
      <w:pPr>
        <w:rPr>
          <w:rFonts w:cstheme="minorBidi"/>
        </w:rPr>
      </w:pPr>
      <w:r>
        <w:t xml:space="preserve">Table 1 below shows the </w:t>
      </w:r>
      <w:r w:rsidR="68C13520">
        <w:t xml:space="preserve">indicative total </w:t>
      </w:r>
      <w:r>
        <w:t xml:space="preserve">budget </w:t>
      </w:r>
      <w:r w:rsidR="68C13520">
        <w:t xml:space="preserve">investment </w:t>
      </w:r>
      <w:r>
        <w:t xml:space="preserve">proposed, </w:t>
      </w:r>
      <w:r w:rsidRPr="2F6A6A80">
        <w:rPr>
          <w:rFonts w:cstheme="minorBidi"/>
        </w:rPr>
        <w:t xml:space="preserve">costed at $91.805 million </w:t>
      </w:r>
      <w:r w:rsidR="13A4755E" w:rsidRPr="2F6A6A80">
        <w:rPr>
          <w:rFonts w:cstheme="minorBidi"/>
        </w:rPr>
        <w:t xml:space="preserve">for </w:t>
      </w:r>
      <w:r w:rsidRPr="2F6A6A80">
        <w:rPr>
          <w:rFonts w:cstheme="minorBidi"/>
        </w:rPr>
        <w:t xml:space="preserve">the three years from 2025/26 to 2027/28. This is a $15.682 million (20.6%) increase on the current budget to 30 June 2025.  </w:t>
      </w:r>
    </w:p>
    <w:p w14:paraId="36B2865E" w14:textId="1DF0084E" w:rsidR="00B13AB1" w:rsidRDefault="00B13AB1" w:rsidP="00FD7201">
      <w:r w:rsidRPr="003E7731">
        <w:t>Th</w:t>
      </w:r>
      <w:r>
        <w:t xml:space="preserve">is </w:t>
      </w:r>
      <w:r w:rsidR="00D35E54">
        <w:t xml:space="preserve">level of </w:t>
      </w:r>
      <w:r w:rsidR="00D875C6">
        <w:t xml:space="preserve">funding </w:t>
      </w:r>
      <w:r>
        <w:t>w</w:t>
      </w:r>
      <w:r w:rsidRPr="003E7731">
        <w:t xml:space="preserve">ill maintain investment in high quality public health and </w:t>
      </w:r>
      <w:r w:rsidR="339DE40F">
        <w:t>treatment</w:t>
      </w:r>
      <w:r w:rsidRPr="003E7731">
        <w:t xml:space="preserve"> services, </w:t>
      </w:r>
      <w:r>
        <w:t>research and evaluation. including:</w:t>
      </w:r>
    </w:p>
    <w:p w14:paraId="79D9967E" w14:textId="77777777" w:rsidR="00B13AB1" w:rsidRPr="00FD7201" w:rsidRDefault="00B13AB1" w:rsidP="00FD574F">
      <w:pPr>
        <w:pStyle w:val="Bullet"/>
        <w:ind w:right="-143"/>
      </w:pPr>
      <w:r w:rsidRPr="00FD7201">
        <w:t xml:space="preserve">Expanding clinical services, both in terms of the type of service and population served (for example additional intensive support options) and by location (filling service gaps in areas that currently do not offer face-to-face services). In response to submissions additional funding has been allocated to address gaps in service coverage.  </w:t>
      </w:r>
    </w:p>
    <w:p w14:paraId="2B6F5184" w14:textId="77777777" w:rsidR="00B13AB1" w:rsidRPr="00FD7201" w:rsidRDefault="00B13AB1" w:rsidP="00FD7201">
      <w:pPr>
        <w:pStyle w:val="Bullet"/>
      </w:pPr>
      <w:r w:rsidRPr="00FD7201">
        <w:t>Supporting workforce capacity and capability, to encourage new entrants to the gambling harm workforce and help retain existing workers (for both the peer and clinical workforces). In response to submissions, we have included additional funding to reinstate scholarships.</w:t>
      </w:r>
    </w:p>
    <w:p w14:paraId="6897049A" w14:textId="220F2DD7" w:rsidR="00B13AB1" w:rsidRPr="00FD7201" w:rsidRDefault="00B13AB1" w:rsidP="00FD7201">
      <w:pPr>
        <w:pStyle w:val="Bullet"/>
      </w:pPr>
      <w:r w:rsidRPr="00FD7201">
        <w:t xml:space="preserve">Delivering a range of population-focused public health activities including health promotion, awareness and prevention </w:t>
      </w:r>
      <w:r w:rsidR="00CF7B28" w:rsidRPr="00FD7201">
        <w:t>activities aimed at addressing the full range of harms experienced by people who gamble</w:t>
      </w:r>
      <w:r w:rsidR="00FE1CF7" w:rsidRPr="00FD7201">
        <w:t>, including</w:t>
      </w:r>
      <w:r w:rsidR="00CF7B28" w:rsidRPr="00FD7201">
        <w:t xml:space="preserve"> low risk gamblers and </w:t>
      </w:r>
      <w:r w:rsidR="00FE1CF7" w:rsidRPr="00FD7201">
        <w:t xml:space="preserve">problem gamblers, </w:t>
      </w:r>
      <w:r w:rsidR="00CF7B28" w:rsidRPr="00FD7201">
        <w:t>as well as the general population</w:t>
      </w:r>
      <w:r w:rsidRPr="00FD7201">
        <w:t xml:space="preserve">. In response to </w:t>
      </w:r>
      <w:r w:rsidR="00FE1CF7" w:rsidRPr="00FD7201">
        <w:t>submissions,</w:t>
      </w:r>
      <w:r w:rsidRPr="00FD7201">
        <w:t xml:space="preserve"> we have included some additional funding to develop the interface between facial recognition technology and the MVE database.  </w:t>
      </w:r>
    </w:p>
    <w:p w14:paraId="04986503" w14:textId="1C7B5F25" w:rsidR="00B13AB1" w:rsidRPr="00FD7201" w:rsidRDefault="00B13AB1" w:rsidP="00FD7201">
      <w:pPr>
        <w:pStyle w:val="Bullet"/>
      </w:pPr>
      <w:r w:rsidRPr="00FD7201">
        <w:t xml:space="preserve">Building system effectiveness through research and evaluation, including evaluation of all </w:t>
      </w:r>
      <w:r w:rsidR="76917BC3" w:rsidRPr="00FD7201">
        <w:t>treatment</w:t>
      </w:r>
      <w:r w:rsidRPr="00FD7201">
        <w:t xml:space="preserve"> </w:t>
      </w:r>
      <w:r w:rsidR="006575A3" w:rsidRPr="00FD7201">
        <w:t>and public he</w:t>
      </w:r>
      <w:r w:rsidR="00384F77" w:rsidRPr="00FD7201">
        <w:t xml:space="preserve">alth </w:t>
      </w:r>
      <w:r w:rsidRPr="00FD7201">
        <w:t xml:space="preserve">services, updating data collection systems and an impact evaluation of the Strategy. In response to </w:t>
      </w:r>
      <w:r w:rsidR="00D875C6" w:rsidRPr="00FD7201">
        <w:t>submissions,</w:t>
      </w:r>
      <w:r w:rsidRPr="00FD7201">
        <w:t xml:space="preserve"> we have included additional funding to development a monitoring framework for gambling harm, update practitioners’ guidelines, and boost conference support</w:t>
      </w:r>
      <w:r w:rsidR="00885FCF" w:rsidRPr="00FD7201">
        <w:t>.</w:t>
      </w:r>
    </w:p>
    <w:p w14:paraId="42B82FAA" w14:textId="77777777" w:rsidR="00B13AB1" w:rsidRPr="000012AD" w:rsidRDefault="00B13AB1" w:rsidP="00FD7201">
      <w:pPr>
        <w:pStyle w:val="Heading3"/>
      </w:pPr>
      <w:r w:rsidRPr="000012AD">
        <w:t>Proposed budget changes</w:t>
      </w:r>
    </w:p>
    <w:p w14:paraId="14112B85" w14:textId="042CC5AF" w:rsidR="00B13AB1" w:rsidRDefault="00B13AB1" w:rsidP="00B13AB1">
      <w:r w:rsidRPr="005172A4">
        <w:t>O</w:t>
      </w:r>
      <w:r>
        <w:t>f the $15.682 million new funding sought</w:t>
      </w:r>
      <w:r w:rsidRPr="005172A4">
        <w:t xml:space="preserve">, </w:t>
      </w:r>
      <w:r w:rsidR="006236B9">
        <w:t>around</w:t>
      </w:r>
      <w:r w:rsidR="008E2288">
        <w:t xml:space="preserve"> </w:t>
      </w:r>
      <w:r w:rsidR="00D875C6">
        <w:t xml:space="preserve">half </w:t>
      </w:r>
      <w:r w:rsidR="008E2288">
        <w:t>is</w:t>
      </w:r>
      <w:r>
        <w:t xml:space="preserve"> directed to </w:t>
      </w:r>
      <w:r w:rsidRPr="005172A4">
        <w:t xml:space="preserve">new services and interventions required in response to changes in the gambling environment and </w:t>
      </w:r>
      <w:r w:rsidR="00646CEC">
        <w:t xml:space="preserve">the other </w:t>
      </w:r>
      <w:r w:rsidR="000A5C2A">
        <w:t>half is</w:t>
      </w:r>
      <w:r>
        <w:t xml:space="preserve"> </w:t>
      </w:r>
      <w:r w:rsidRPr="005172A4">
        <w:t xml:space="preserve">to address a range of cost and volume pressures. </w:t>
      </w:r>
    </w:p>
    <w:p w14:paraId="71BF4596" w14:textId="77777777" w:rsidR="00B13AB1" w:rsidRDefault="00B13AB1" w:rsidP="00B13AB1"/>
    <w:p w14:paraId="51DD7524" w14:textId="7CC25AF9" w:rsidR="00B13AB1" w:rsidRDefault="00B13AB1" w:rsidP="00B13AB1">
      <w:r>
        <w:t xml:space="preserve">Funding directed at new or expanded services includes </w:t>
      </w:r>
      <w:r w:rsidRPr="005172A4">
        <w:t xml:space="preserve">service promotion, </w:t>
      </w:r>
      <w:r>
        <w:t xml:space="preserve">building the gambling harm workforce including support for lived experience, extending </w:t>
      </w:r>
      <w:r w:rsidR="5862CBE8">
        <w:t>treatment</w:t>
      </w:r>
      <w:r>
        <w:t xml:space="preserve"> services, developing </w:t>
      </w:r>
      <w:r w:rsidRPr="005172A4">
        <w:t>online gambling exclusion system</w:t>
      </w:r>
      <w:r>
        <w:t xml:space="preserve"> and the strategic review to evaluate the </w:t>
      </w:r>
      <w:r w:rsidR="6AB5370E">
        <w:t>S</w:t>
      </w:r>
      <w:r>
        <w:t xml:space="preserve">trategy and develop a sector monitoring framework. Further details are listed in the Service Plan tables in Appendix 5, which show </w:t>
      </w:r>
      <w:r w:rsidR="00E4603C">
        <w:t xml:space="preserve">a comparison with </w:t>
      </w:r>
      <w:r>
        <w:t xml:space="preserve">current funding levels where relevant. </w:t>
      </w:r>
    </w:p>
    <w:p w14:paraId="37E3C46A" w14:textId="77777777" w:rsidR="00B13AB1" w:rsidRPr="00FD7201" w:rsidRDefault="00B13AB1" w:rsidP="00FD7201">
      <w:pPr>
        <w:pStyle w:val="Heading2"/>
      </w:pPr>
      <w:bookmarkStart w:id="26" w:name="_Toc185338894"/>
      <w:r w:rsidRPr="00FD7201">
        <w:t xml:space="preserve">Service plan for 2025/26 to </w:t>
      </w:r>
      <w:proofErr w:type="gramStart"/>
      <w:r w:rsidRPr="00FD7201">
        <w:t>2027/28</w:t>
      </w:r>
      <w:bookmarkEnd w:id="26"/>
      <w:proofErr w:type="gramEnd"/>
    </w:p>
    <w:p w14:paraId="37F2E449" w14:textId="34F94AFB" w:rsidR="00B13AB1" w:rsidRDefault="00B13AB1" w:rsidP="00FD7201">
      <w:r>
        <w:t>The Act requires the Strategy to have a focus on public health, and contain:</w:t>
      </w:r>
    </w:p>
    <w:p w14:paraId="7C2C8CD2" w14:textId="77777777" w:rsidR="00B13AB1" w:rsidRPr="00FD7201" w:rsidRDefault="00B13AB1" w:rsidP="00FD7201">
      <w:pPr>
        <w:pStyle w:val="Bullet"/>
        <w:rPr>
          <w:rFonts w:eastAsiaTheme="minorHAnsi"/>
        </w:rPr>
      </w:pPr>
      <w:r w:rsidRPr="00FD7201">
        <w:rPr>
          <w:rFonts w:eastAsiaTheme="minorHAnsi"/>
        </w:rPr>
        <w:t xml:space="preserve">measures to promote public health by preventing and minimising the harm from </w:t>
      </w:r>
      <w:proofErr w:type="gramStart"/>
      <w:r w:rsidRPr="00FD7201">
        <w:rPr>
          <w:rFonts w:eastAsiaTheme="minorHAnsi"/>
        </w:rPr>
        <w:t>gambling</w:t>
      </w:r>
      <w:proofErr w:type="gramEnd"/>
    </w:p>
    <w:p w14:paraId="54235F5B" w14:textId="7326FD95" w:rsidR="00B13AB1" w:rsidRPr="00FD7201" w:rsidRDefault="00B13AB1" w:rsidP="00FD7201">
      <w:pPr>
        <w:pStyle w:val="Bullet"/>
        <w:rPr>
          <w:rFonts w:eastAsiaTheme="minorHAnsi"/>
        </w:rPr>
      </w:pPr>
      <w:r w:rsidRPr="00FD7201">
        <w:rPr>
          <w:rFonts w:eastAsiaTheme="minorHAnsi"/>
        </w:rPr>
        <w:t xml:space="preserve">services to treat and assist </w:t>
      </w:r>
      <w:r w:rsidR="00073338" w:rsidRPr="00FD7201">
        <w:rPr>
          <w:rFonts w:eastAsiaTheme="minorHAnsi"/>
        </w:rPr>
        <w:t>people who</w:t>
      </w:r>
      <w:r w:rsidR="00972203" w:rsidRPr="00FD7201">
        <w:rPr>
          <w:rFonts w:eastAsiaTheme="minorHAnsi"/>
        </w:rPr>
        <w:t>se</w:t>
      </w:r>
      <w:r w:rsidR="00073338" w:rsidRPr="00FD7201">
        <w:rPr>
          <w:rFonts w:eastAsiaTheme="minorHAnsi"/>
        </w:rPr>
        <w:t xml:space="preserve"> </w:t>
      </w:r>
      <w:r w:rsidRPr="00FD7201">
        <w:rPr>
          <w:rFonts w:eastAsiaTheme="minorHAnsi"/>
        </w:rPr>
        <w:t>gambl</w:t>
      </w:r>
      <w:r w:rsidR="00945CE6" w:rsidRPr="00FD7201">
        <w:rPr>
          <w:rFonts w:eastAsiaTheme="minorHAnsi"/>
        </w:rPr>
        <w:t xml:space="preserve">ing is causing harm to </w:t>
      </w:r>
      <w:r w:rsidR="00972203" w:rsidRPr="00FD7201">
        <w:rPr>
          <w:rFonts w:eastAsiaTheme="minorHAnsi"/>
        </w:rPr>
        <w:t>themselves their</w:t>
      </w:r>
      <w:r w:rsidRPr="00FD7201">
        <w:rPr>
          <w:rFonts w:eastAsiaTheme="minorHAnsi"/>
        </w:rPr>
        <w:t xml:space="preserve"> families and </w:t>
      </w:r>
      <w:proofErr w:type="gramStart"/>
      <w:r w:rsidRPr="00FD7201">
        <w:rPr>
          <w:rFonts w:eastAsiaTheme="minorHAnsi"/>
        </w:rPr>
        <w:t>whānau</w:t>
      </w:r>
      <w:proofErr w:type="gramEnd"/>
    </w:p>
    <w:p w14:paraId="6C0E04B1" w14:textId="77777777" w:rsidR="00B13AB1" w:rsidRPr="00FD7201" w:rsidRDefault="00B13AB1" w:rsidP="00FD7201">
      <w:pPr>
        <w:pStyle w:val="Bullet"/>
        <w:rPr>
          <w:rFonts w:eastAsiaTheme="minorHAnsi"/>
        </w:rPr>
      </w:pPr>
      <w:r w:rsidRPr="00FD7201">
        <w:rPr>
          <w:rFonts w:eastAsiaTheme="minorHAnsi"/>
        </w:rPr>
        <w:t xml:space="preserve">independent scientific research associated with gambling, including (for example) longitudinal research on the social and economic impacts of gambling, particularly the impacts on different cultural </w:t>
      </w:r>
      <w:proofErr w:type="gramStart"/>
      <w:r w:rsidRPr="00FD7201">
        <w:rPr>
          <w:rFonts w:eastAsiaTheme="minorHAnsi"/>
        </w:rPr>
        <w:t>groups</w:t>
      </w:r>
      <w:proofErr w:type="gramEnd"/>
    </w:p>
    <w:p w14:paraId="70D6E3F2" w14:textId="77777777" w:rsidR="00B13AB1" w:rsidRPr="00FD7201" w:rsidRDefault="00B13AB1" w:rsidP="00FD7201">
      <w:pPr>
        <w:pStyle w:val="Bullet"/>
      </w:pPr>
      <w:r w:rsidRPr="00FD7201">
        <w:rPr>
          <w:rFonts w:eastAsiaTheme="minorHAnsi"/>
        </w:rPr>
        <w:t>evaluation.</w:t>
      </w:r>
    </w:p>
    <w:p w14:paraId="680AB7E2" w14:textId="77777777" w:rsidR="00B13AB1" w:rsidRDefault="00B13AB1" w:rsidP="00B13AB1">
      <w:pPr>
        <w:rPr>
          <w:rFonts w:eastAsia="Lucida Sans Unicode"/>
        </w:rPr>
      </w:pPr>
      <w:r w:rsidRPr="009D6C01">
        <w:t>Table 1 shows the indicative cost of services and activities by strategic priority for the 2025/26 to 2027/28 levy period</w:t>
      </w:r>
      <w:r>
        <w:t xml:space="preserve">, along with a </w:t>
      </w:r>
      <w:r>
        <w:rPr>
          <w:rFonts w:eastAsia="Lucida Sans Unicode"/>
        </w:rPr>
        <w:t>summary of the service plan proposals.</w:t>
      </w:r>
    </w:p>
    <w:p w14:paraId="7E3D4ECF" w14:textId="77777777" w:rsidR="00B13AB1" w:rsidRDefault="00B13AB1" w:rsidP="00B13AB1">
      <w:pPr>
        <w:rPr>
          <w:rFonts w:eastAsia="Lucida Sans Unicode"/>
        </w:rPr>
      </w:pPr>
    </w:p>
    <w:p w14:paraId="1105691E" w14:textId="77777777" w:rsidR="00B13AB1" w:rsidRDefault="00B13AB1" w:rsidP="00B13AB1">
      <w:pPr>
        <w:rPr>
          <w:rFonts w:eastAsia="Lucida Sans Unicode"/>
        </w:rPr>
      </w:pPr>
      <w:r>
        <w:rPr>
          <w:rFonts w:eastAsia="Lucida Sans Unicode"/>
        </w:rPr>
        <w:t xml:space="preserve">Further information about the service plan and budget, including detailed descriptions of the proposed services and rationale, is included in </w:t>
      </w:r>
      <w:r w:rsidRPr="003A6F51">
        <w:rPr>
          <w:rFonts w:eastAsia="Lucida Sans Unicode"/>
          <w:b/>
          <w:bCs/>
        </w:rPr>
        <w:t>Appendix Five</w:t>
      </w:r>
      <w:r w:rsidRPr="00444C88">
        <w:rPr>
          <w:rFonts w:eastAsia="Lucida Sans Unicode"/>
        </w:rPr>
        <w:t xml:space="preserve"> </w:t>
      </w:r>
      <w:r>
        <w:rPr>
          <w:rFonts w:eastAsia="Lucida Sans Unicode"/>
        </w:rPr>
        <w:t>in</w:t>
      </w:r>
      <w:r w:rsidRPr="00444C88">
        <w:rPr>
          <w:rFonts w:eastAsia="Lucida Sans Unicode"/>
        </w:rPr>
        <w:t xml:space="preserve"> the </w:t>
      </w:r>
      <w:r>
        <w:rPr>
          <w:rFonts w:eastAsia="Lucida Sans Unicode"/>
        </w:rPr>
        <w:t>A</w:t>
      </w:r>
      <w:r w:rsidRPr="00444C88">
        <w:rPr>
          <w:rFonts w:eastAsia="Lucida Sans Unicode"/>
        </w:rPr>
        <w:t>ppendices document.</w:t>
      </w:r>
      <w:r>
        <w:rPr>
          <w:rFonts w:eastAsia="Lucida Sans Unicode"/>
        </w:rPr>
        <w:t xml:space="preserve"> </w:t>
      </w:r>
    </w:p>
    <w:p w14:paraId="179E5893" w14:textId="77777777" w:rsidR="00B13AB1" w:rsidRPr="005D455A" w:rsidRDefault="00B13AB1" w:rsidP="00B13AB1">
      <w:pPr>
        <w:rPr>
          <w:rFonts w:eastAsia="Lucida Sans Unicode"/>
        </w:rPr>
      </w:pPr>
    </w:p>
    <w:p w14:paraId="30B8CD7B" w14:textId="77777777" w:rsidR="00B13AB1" w:rsidRDefault="00B13AB1" w:rsidP="00B13AB1"/>
    <w:p w14:paraId="3CAFA580" w14:textId="77777777" w:rsidR="00B13AB1" w:rsidRDefault="00B13AB1" w:rsidP="00B13AB1">
      <w:pPr>
        <w:sectPr w:rsidR="00B13AB1" w:rsidSect="004825BB">
          <w:footerReference w:type="default" r:id="rId25"/>
          <w:pgSz w:w="11907" w:h="16840" w:code="9"/>
          <w:pgMar w:top="1418" w:right="1701" w:bottom="1134" w:left="1843" w:header="284" w:footer="425" w:gutter="284"/>
          <w:cols w:space="720"/>
        </w:sectPr>
      </w:pPr>
    </w:p>
    <w:p w14:paraId="396CF3B8" w14:textId="3B337159" w:rsidR="00B13AB1" w:rsidRPr="008C4591" w:rsidRDefault="00B13AB1" w:rsidP="00B13AB1">
      <w:pPr>
        <w:pStyle w:val="Table"/>
        <w:rPr>
          <w:rFonts w:eastAsia="Lucida Sans Unicode"/>
        </w:rPr>
      </w:pPr>
      <w:bookmarkStart w:id="27" w:name="_Toc185338902"/>
      <w:r>
        <w:t xml:space="preserve">Table </w:t>
      </w:r>
      <w:r w:rsidR="00347B76">
        <w:fldChar w:fldCharType="begin"/>
      </w:r>
      <w:r w:rsidR="00347B76">
        <w:instrText xml:space="preserve"> SEQ Table \* ARABIC </w:instrText>
      </w:r>
      <w:r w:rsidR="00347B76">
        <w:fldChar w:fldCharType="separate"/>
      </w:r>
      <w:r w:rsidR="0094542E">
        <w:rPr>
          <w:noProof/>
        </w:rPr>
        <w:t>1</w:t>
      </w:r>
      <w:r w:rsidR="00347B76">
        <w:rPr>
          <w:noProof/>
        </w:rPr>
        <w:fldChar w:fldCharType="end"/>
      </w:r>
      <w:r>
        <w:t xml:space="preserve">: </w:t>
      </w:r>
      <w:r w:rsidRPr="009D7F0C">
        <w:t>Summary</w:t>
      </w:r>
      <w:r>
        <w:t xml:space="preserve"> of service plan and b</w:t>
      </w:r>
      <w:r w:rsidRPr="0048049A">
        <w:rPr>
          <w:rFonts w:eastAsia="Lucida Sans Unicode"/>
        </w:rPr>
        <w:t>udget</w:t>
      </w:r>
      <w:r w:rsidRPr="009F42A7">
        <w:rPr>
          <w:rFonts w:eastAsia="Lucida Sans Unicode"/>
        </w:rPr>
        <w:t xml:space="preserve"> to prevent and minimise gambling harm (</w:t>
      </w:r>
      <w:r>
        <w:rPr>
          <w:rFonts w:eastAsia="Lucida Sans Unicode"/>
        </w:rPr>
        <w:t xml:space="preserve">in $ millions – </w:t>
      </w:r>
      <w:r w:rsidRPr="009F42A7">
        <w:rPr>
          <w:rFonts w:eastAsia="Lucida Sans Unicode"/>
        </w:rPr>
        <w:t xml:space="preserve">GST exclusive), 2025/26 to </w:t>
      </w:r>
      <w:proofErr w:type="gramStart"/>
      <w:r w:rsidRPr="009F42A7">
        <w:rPr>
          <w:rFonts w:eastAsia="Lucida Sans Unicode"/>
        </w:rPr>
        <w:t>2027/28</w:t>
      </w:r>
      <w:bookmarkEnd w:id="27"/>
      <w:proofErr w:type="gramEnd"/>
    </w:p>
    <w:tbl>
      <w:tblPr>
        <w:tblStyle w:val="TableGrid"/>
        <w:tblW w:w="1403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1560"/>
        <w:gridCol w:w="992"/>
        <w:gridCol w:w="992"/>
        <w:gridCol w:w="993"/>
        <w:gridCol w:w="992"/>
        <w:gridCol w:w="8363"/>
        <w:gridCol w:w="142"/>
      </w:tblGrid>
      <w:tr w:rsidR="00B13AB1" w:rsidRPr="004825BB" w14:paraId="4DBAD14F" w14:textId="77777777" w:rsidTr="004825BB">
        <w:trPr>
          <w:trHeight w:val="300"/>
          <w:tblHeader/>
        </w:trPr>
        <w:tc>
          <w:tcPr>
            <w:tcW w:w="1560" w:type="dxa"/>
            <w:tcBorders>
              <w:top w:val="nil"/>
              <w:bottom w:val="nil"/>
            </w:tcBorders>
            <w:shd w:val="clear" w:color="auto" w:fill="D9D9D9" w:themeFill="background1" w:themeFillShade="D9"/>
          </w:tcPr>
          <w:p w14:paraId="23CEB9FB" w14:textId="77777777" w:rsidR="00B13AB1" w:rsidRPr="004825BB" w:rsidRDefault="00B13AB1" w:rsidP="00860EAD">
            <w:pPr>
              <w:pStyle w:val="TableText"/>
              <w:spacing w:before="40" w:after="40"/>
              <w:rPr>
                <w:b/>
                <w:bCs/>
                <w:sz w:val="17"/>
                <w:szCs w:val="17"/>
              </w:rPr>
            </w:pPr>
            <w:r w:rsidRPr="004825BB">
              <w:rPr>
                <w:b/>
                <w:bCs/>
                <w:sz w:val="17"/>
                <w:szCs w:val="17"/>
              </w:rPr>
              <w:t>Priority</w:t>
            </w:r>
          </w:p>
        </w:tc>
        <w:tc>
          <w:tcPr>
            <w:tcW w:w="992" w:type="dxa"/>
            <w:tcBorders>
              <w:top w:val="nil"/>
              <w:bottom w:val="nil"/>
            </w:tcBorders>
            <w:shd w:val="clear" w:color="auto" w:fill="D9D9D9" w:themeFill="background1" w:themeFillShade="D9"/>
          </w:tcPr>
          <w:p w14:paraId="4CC18762" w14:textId="77777777" w:rsidR="00B13AB1" w:rsidRPr="004825BB" w:rsidRDefault="00B13AB1" w:rsidP="00860EAD">
            <w:pPr>
              <w:pStyle w:val="TableText"/>
              <w:spacing w:before="40" w:after="40"/>
              <w:jc w:val="right"/>
              <w:rPr>
                <w:b/>
                <w:bCs/>
                <w:sz w:val="17"/>
                <w:szCs w:val="17"/>
              </w:rPr>
            </w:pPr>
            <w:r w:rsidRPr="004825BB">
              <w:rPr>
                <w:rFonts w:eastAsia="Calibri"/>
                <w:b/>
                <w:bCs/>
                <w:sz w:val="17"/>
                <w:szCs w:val="17"/>
              </w:rPr>
              <w:t>2025/26</w:t>
            </w:r>
          </w:p>
        </w:tc>
        <w:tc>
          <w:tcPr>
            <w:tcW w:w="992" w:type="dxa"/>
            <w:tcBorders>
              <w:top w:val="nil"/>
              <w:bottom w:val="nil"/>
            </w:tcBorders>
            <w:shd w:val="clear" w:color="auto" w:fill="D9D9D9" w:themeFill="background1" w:themeFillShade="D9"/>
          </w:tcPr>
          <w:p w14:paraId="37739318" w14:textId="77777777" w:rsidR="00B13AB1" w:rsidRPr="004825BB" w:rsidRDefault="00B13AB1" w:rsidP="00860EAD">
            <w:pPr>
              <w:pStyle w:val="TableText"/>
              <w:spacing w:before="40" w:after="40"/>
              <w:jc w:val="right"/>
              <w:rPr>
                <w:b/>
                <w:bCs/>
                <w:sz w:val="17"/>
                <w:szCs w:val="17"/>
              </w:rPr>
            </w:pPr>
            <w:r w:rsidRPr="004825BB">
              <w:rPr>
                <w:rFonts w:eastAsia="Calibri"/>
                <w:b/>
                <w:bCs/>
                <w:sz w:val="17"/>
                <w:szCs w:val="17"/>
              </w:rPr>
              <w:t>2026/27</w:t>
            </w:r>
          </w:p>
        </w:tc>
        <w:tc>
          <w:tcPr>
            <w:tcW w:w="993" w:type="dxa"/>
            <w:tcBorders>
              <w:top w:val="nil"/>
              <w:bottom w:val="nil"/>
            </w:tcBorders>
            <w:shd w:val="clear" w:color="auto" w:fill="D9D9D9" w:themeFill="background1" w:themeFillShade="D9"/>
          </w:tcPr>
          <w:p w14:paraId="67DEC70C" w14:textId="77777777" w:rsidR="00B13AB1" w:rsidRPr="004825BB" w:rsidRDefault="00B13AB1" w:rsidP="00860EAD">
            <w:pPr>
              <w:pStyle w:val="TableText"/>
              <w:spacing w:before="40" w:after="40"/>
              <w:jc w:val="right"/>
              <w:rPr>
                <w:b/>
                <w:bCs/>
                <w:sz w:val="17"/>
                <w:szCs w:val="17"/>
              </w:rPr>
            </w:pPr>
            <w:r w:rsidRPr="004825BB">
              <w:rPr>
                <w:rFonts w:eastAsia="Calibri"/>
                <w:b/>
                <w:bCs/>
                <w:sz w:val="17"/>
                <w:szCs w:val="17"/>
              </w:rPr>
              <w:t>2027/28</w:t>
            </w:r>
          </w:p>
        </w:tc>
        <w:tc>
          <w:tcPr>
            <w:tcW w:w="992" w:type="dxa"/>
            <w:tcBorders>
              <w:top w:val="nil"/>
              <w:bottom w:val="nil"/>
            </w:tcBorders>
            <w:shd w:val="clear" w:color="auto" w:fill="D9D9D9" w:themeFill="background1" w:themeFillShade="D9"/>
          </w:tcPr>
          <w:p w14:paraId="68871490" w14:textId="77777777" w:rsidR="00B13AB1" w:rsidRPr="004825BB" w:rsidRDefault="00B13AB1" w:rsidP="00860EAD">
            <w:pPr>
              <w:pStyle w:val="TableText"/>
              <w:spacing w:before="40" w:after="40"/>
              <w:jc w:val="right"/>
              <w:rPr>
                <w:b/>
                <w:bCs/>
                <w:sz w:val="17"/>
                <w:szCs w:val="17"/>
              </w:rPr>
            </w:pPr>
            <w:r w:rsidRPr="004825BB">
              <w:rPr>
                <w:rFonts w:eastAsia="Calibri"/>
                <w:b/>
                <w:bCs/>
                <w:sz w:val="17"/>
                <w:szCs w:val="17"/>
              </w:rPr>
              <w:t>Total</w:t>
            </w:r>
          </w:p>
        </w:tc>
        <w:tc>
          <w:tcPr>
            <w:tcW w:w="8505" w:type="dxa"/>
            <w:gridSpan w:val="2"/>
            <w:tcBorders>
              <w:top w:val="nil"/>
              <w:bottom w:val="nil"/>
            </w:tcBorders>
            <w:shd w:val="clear" w:color="auto" w:fill="D9D9D9" w:themeFill="background1" w:themeFillShade="D9"/>
          </w:tcPr>
          <w:p w14:paraId="212CC629" w14:textId="77777777" w:rsidR="00B13AB1" w:rsidRPr="004825BB" w:rsidRDefault="00B13AB1" w:rsidP="00860EAD">
            <w:pPr>
              <w:pStyle w:val="TableText"/>
              <w:spacing w:before="40" w:after="40"/>
              <w:rPr>
                <w:rFonts w:eastAsia="Calibri"/>
                <w:b/>
                <w:bCs/>
                <w:sz w:val="17"/>
                <w:szCs w:val="17"/>
              </w:rPr>
            </w:pPr>
            <w:r w:rsidRPr="004825BB">
              <w:rPr>
                <w:rFonts w:eastAsia="Calibri"/>
                <w:b/>
                <w:bCs/>
                <w:sz w:val="17"/>
                <w:szCs w:val="17"/>
              </w:rPr>
              <w:t>Summary of service plan commitments</w:t>
            </w:r>
          </w:p>
        </w:tc>
      </w:tr>
      <w:tr w:rsidR="00B13AB1" w:rsidRPr="004825BB" w14:paraId="47663C06" w14:textId="77777777" w:rsidTr="004825BB">
        <w:trPr>
          <w:trHeight w:val="300"/>
        </w:trPr>
        <w:tc>
          <w:tcPr>
            <w:tcW w:w="1560" w:type="dxa"/>
            <w:tcBorders>
              <w:top w:val="nil"/>
              <w:bottom w:val="single" w:sz="4" w:space="0" w:color="auto"/>
            </w:tcBorders>
            <w:vAlign w:val="center"/>
          </w:tcPr>
          <w:p w14:paraId="12FCA94E" w14:textId="77777777" w:rsidR="00B13AB1" w:rsidRPr="004825BB" w:rsidRDefault="00B13AB1" w:rsidP="00860EAD">
            <w:pPr>
              <w:pStyle w:val="TableText"/>
              <w:spacing w:before="40" w:after="40"/>
              <w:rPr>
                <w:b/>
                <w:bCs/>
                <w:sz w:val="17"/>
                <w:szCs w:val="17"/>
              </w:rPr>
            </w:pPr>
            <w:r w:rsidRPr="004825BB">
              <w:rPr>
                <w:rFonts w:eastAsia="Calibri"/>
                <w:b/>
                <w:bCs/>
                <w:sz w:val="17"/>
                <w:szCs w:val="17"/>
              </w:rPr>
              <w:t xml:space="preserve">Increase access to gambling harm support </w:t>
            </w:r>
          </w:p>
        </w:tc>
        <w:tc>
          <w:tcPr>
            <w:tcW w:w="992" w:type="dxa"/>
            <w:tcBorders>
              <w:top w:val="nil"/>
              <w:left w:val="nil"/>
              <w:bottom w:val="single" w:sz="4" w:space="0" w:color="auto"/>
              <w:right w:val="nil"/>
            </w:tcBorders>
            <w:shd w:val="clear" w:color="auto" w:fill="auto"/>
            <w:vAlign w:val="bottom"/>
          </w:tcPr>
          <w:p w14:paraId="01F7D481" w14:textId="77777777" w:rsidR="00B13AB1" w:rsidRPr="004825BB" w:rsidRDefault="00B13AB1" w:rsidP="00860EAD">
            <w:pPr>
              <w:pStyle w:val="TableText"/>
              <w:spacing w:before="40" w:after="40"/>
              <w:jc w:val="right"/>
              <w:rPr>
                <w:rFonts w:eastAsia="Arial"/>
                <w:sz w:val="17"/>
                <w:szCs w:val="17"/>
              </w:rPr>
            </w:pPr>
            <w:r w:rsidRPr="004825BB">
              <w:rPr>
                <w:rFonts w:eastAsia="Arial"/>
                <w:sz w:val="17"/>
                <w:szCs w:val="17"/>
              </w:rPr>
              <w:t>11.978</w:t>
            </w:r>
          </w:p>
          <w:p w14:paraId="1BA01110" w14:textId="77777777" w:rsidR="00B13AB1" w:rsidRPr="004825BB" w:rsidRDefault="00B13AB1" w:rsidP="00860EAD">
            <w:pPr>
              <w:pStyle w:val="TableText"/>
              <w:spacing w:before="40" w:after="40"/>
              <w:jc w:val="right"/>
              <w:rPr>
                <w:rFonts w:eastAsia="Arial"/>
                <w:sz w:val="17"/>
                <w:szCs w:val="17"/>
              </w:rPr>
            </w:pPr>
          </w:p>
        </w:tc>
        <w:tc>
          <w:tcPr>
            <w:tcW w:w="992" w:type="dxa"/>
            <w:tcBorders>
              <w:top w:val="nil"/>
              <w:left w:val="nil"/>
              <w:bottom w:val="single" w:sz="4" w:space="0" w:color="auto"/>
              <w:right w:val="nil"/>
            </w:tcBorders>
            <w:shd w:val="clear" w:color="auto" w:fill="auto"/>
            <w:vAlign w:val="bottom"/>
          </w:tcPr>
          <w:p w14:paraId="66BB4F21" w14:textId="77777777" w:rsidR="00B13AB1" w:rsidRPr="004825BB" w:rsidRDefault="00B13AB1" w:rsidP="00860EAD">
            <w:pPr>
              <w:pStyle w:val="TableText"/>
              <w:spacing w:before="40" w:after="40"/>
              <w:jc w:val="right"/>
              <w:rPr>
                <w:rFonts w:eastAsia="Arial"/>
                <w:sz w:val="17"/>
                <w:szCs w:val="17"/>
              </w:rPr>
            </w:pPr>
            <w:r w:rsidRPr="004825BB">
              <w:rPr>
                <w:rFonts w:eastAsia="Arial"/>
                <w:sz w:val="17"/>
                <w:szCs w:val="17"/>
              </w:rPr>
              <w:t>13.224</w:t>
            </w:r>
          </w:p>
          <w:p w14:paraId="3AD79E4C" w14:textId="77777777" w:rsidR="00B13AB1" w:rsidRPr="004825BB" w:rsidRDefault="00B13AB1" w:rsidP="00860EAD">
            <w:pPr>
              <w:pStyle w:val="TableText"/>
              <w:spacing w:before="40" w:after="40"/>
              <w:jc w:val="right"/>
              <w:rPr>
                <w:rFonts w:eastAsia="Arial"/>
                <w:sz w:val="17"/>
                <w:szCs w:val="17"/>
              </w:rPr>
            </w:pPr>
          </w:p>
        </w:tc>
        <w:tc>
          <w:tcPr>
            <w:tcW w:w="993" w:type="dxa"/>
            <w:tcBorders>
              <w:top w:val="nil"/>
              <w:left w:val="nil"/>
              <w:bottom w:val="single" w:sz="4" w:space="0" w:color="auto"/>
              <w:right w:val="nil"/>
            </w:tcBorders>
            <w:shd w:val="clear" w:color="auto" w:fill="auto"/>
            <w:vAlign w:val="bottom"/>
          </w:tcPr>
          <w:p w14:paraId="7CE0A65E" w14:textId="77777777" w:rsidR="00B13AB1" w:rsidRPr="004825BB" w:rsidRDefault="00B13AB1" w:rsidP="00860EAD">
            <w:pPr>
              <w:pStyle w:val="TableText"/>
              <w:spacing w:before="40" w:after="40"/>
              <w:jc w:val="right"/>
              <w:rPr>
                <w:rFonts w:eastAsia="Arial"/>
                <w:sz w:val="17"/>
                <w:szCs w:val="17"/>
              </w:rPr>
            </w:pPr>
            <w:r w:rsidRPr="004825BB">
              <w:rPr>
                <w:rFonts w:eastAsia="Arial"/>
                <w:sz w:val="17"/>
                <w:szCs w:val="17"/>
              </w:rPr>
              <w:t>13.825</w:t>
            </w:r>
          </w:p>
          <w:p w14:paraId="515B5F68" w14:textId="77777777" w:rsidR="00B13AB1" w:rsidRPr="004825BB" w:rsidRDefault="00B13AB1" w:rsidP="00860EAD">
            <w:pPr>
              <w:pStyle w:val="TableText"/>
              <w:spacing w:before="40" w:after="40"/>
              <w:jc w:val="right"/>
              <w:rPr>
                <w:rFonts w:eastAsia="Arial"/>
                <w:sz w:val="17"/>
                <w:szCs w:val="17"/>
              </w:rPr>
            </w:pPr>
          </w:p>
        </w:tc>
        <w:tc>
          <w:tcPr>
            <w:tcW w:w="992" w:type="dxa"/>
            <w:tcBorders>
              <w:top w:val="nil"/>
              <w:left w:val="nil"/>
              <w:bottom w:val="single" w:sz="4" w:space="0" w:color="auto"/>
              <w:right w:val="nil"/>
            </w:tcBorders>
            <w:shd w:val="clear" w:color="auto" w:fill="auto"/>
            <w:vAlign w:val="bottom"/>
          </w:tcPr>
          <w:p w14:paraId="3967EAFA" w14:textId="77777777" w:rsidR="00B13AB1" w:rsidRPr="004825BB" w:rsidRDefault="00B13AB1" w:rsidP="00860EAD">
            <w:pPr>
              <w:pStyle w:val="TableText"/>
              <w:spacing w:before="40" w:after="40"/>
              <w:jc w:val="right"/>
              <w:rPr>
                <w:rFonts w:eastAsia="Arial"/>
                <w:b/>
                <w:bCs/>
                <w:sz w:val="17"/>
                <w:szCs w:val="17"/>
              </w:rPr>
            </w:pPr>
            <w:r w:rsidRPr="004825BB">
              <w:rPr>
                <w:rFonts w:eastAsia="Arial"/>
                <w:b/>
                <w:bCs/>
                <w:sz w:val="17"/>
                <w:szCs w:val="17"/>
              </w:rPr>
              <w:t>39.028</w:t>
            </w:r>
          </w:p>
          <w:p w14:paraId="62AE5C9F" w14:textId="77777777" w:rsidR="00B13AB1" w:rsidRPr="004825BB" w:rsidRDefault="00B13AB1" w:rsidP="00860EAD">
            <w:pPr>
              <w:pStyle w:val="TableText"/>
              <w:spacing w:before="40" w:after="40"/>
              <w:jc w:val="right"/>
              <w:rPr>
                <w:rFonts w:eastAsia="Arial"/>
                <w:b/>
                <w:bCs/>
                <w:sz w:val="17"/>
                <w:szCs w:val="17"/>
              </w:rPr>
            </w:pPr>
          </w:p>
        </w:tc>
        <w:tc>
          <w:tcPr>
            <w:tcW w:w="8505" w:type="dxa"/>
            <w:gridSpan w:val="2"/>
            <w:tcBorders>
              <w:top w:val="nil"/>
              <w:bottom w:val="single" w:sz="4" w:space="0" w:color="auto"/>
            </w:tcBorders>
          </w:tcPr>
          <w:p w14:paraId="0714C1A3" w14:textId="47290AFA" w:rsidR="00E90CCC" w:rsidRPr="004825BB" w:rsidRDefault="00B13AB1" w:rsidP="00E90CCC">
            <w:pPr>
              <w:pStyle w:val="TableBullet"/>
              <w:spacing w:before="40" w:after="40"/>
              <w:rPr>
                <w:sz w:val="17"/>
                <w:szCs w:val="17"/>
              </w:rPr>
            </w:pPr>
            <w:r w:rsidRPr="004825BB">
              <w:rPr>
                <w:sz w:val="17"/>
                <w:szCs w:val="17"/>
              </w:rPr>
              <w:t xml:space="preserve">Invest in ongoing delivery and improvement of </w:t>
            </w:r>
            <w:r w:rsidR="78C60230" w:rsidRPr="004825BB">
              <w:rPr>
                <w:sz w:val="17"/>
                <w:szCs w:val="17"/>
              </w:rPr>
              <w:t>treatment</w:t>
            </w:r>
            <w:r w:rsidRPr="004825BB">
              <w:rPr>
                <w:sz w:val="17"/>
                <w:szCs w:val="17"/>
              </w:rPr>
              <w:t xml:space="preserve"> services including filling regional gaps. </w:t>
            </w:r>
          </w:p>
          <w:p w14:paraId="56243DDD" w14:textId="3410E458" w:rsidR="00B13AB1" w:rsidRPr="004825BB" w:rsidRDefault="00B13AB1" w:rsidP="00E90CCC">
            <w:pPr>
              <w:pStyle w:val="TableBullet"/>
              <w:spacing w:before="40" w:after="40"/>
              <w:rPr>
                <w:sz w:val="17"/>
                <w:szCs w:val="17"/>
              </w:rPr>
            </w:pPr>
            <w:r w:rsidRPr="004825BB">
              <w:rPr>
                <w:sz w:val="17"/>
                <w:szCs w:val="17"/>
              </w:rPr>
              <w:t xml:space="preserve">Services offerings include dedicated </w:t>
            </w:r>
            <w:proofErr w:type="spellStart"/>
            <w:r w:rsidRPr="004825BB">
              <w:rPr>
                <w:sz w:val="17"/>
                <w:szCs w:val="17"/>
              </w:rPr>
              <w:t>hauora</w:t>
            </w:r>
            <w:proofErr w:type="spellEnd"/>
            <w:r w:rsidRPr="004825BB">
              <w:rPr>
                <w:sz w:val="17"/>
                <w:szCs w:val="17"/>
              </w:rPr>
              <w:t xml:space="preserve"> Māori intervention services, as well as services based on Pacific and Asian world views and expertise, as well as expansion of the intensive support coordination service.</w:t>
            </w:r>
          </w:p>
        </w:tc>
      </w:tr>
      <w:tr w:rsidR="00B13AB1" w:rsidRPr="004825BB" w14:paraId="1062FFF7" w14:textId="77777777" w:rsidTr="004825BB">
        <w:trPr>
          <w:gridAfter w:val="1"/>
          <w:wAfter w:w="142" w:type="dxa"/>
          <w:trHeight w:val="300"/>
        </w:trPr>
        <w:tc>
          <w:tcPr>
            <w:tcW w:w="1560" w:type="dxa"/>
            <w:tcBorders>
              <w:top w:val="single" w:sz="4" w:space="0" w:color="auto"/>
              <w:bottom w:val="single" w:sz="4" w:space="0" w:color="auto"/>
            </w:tcBorders>
            <w:vAlign w:val="center"/>
          </w:tcPr>
          <w:p w14:paraId="38198BDF" w14:textId="77777777" w:rsidR="00B13AB1" w:rsidRPr="004825BB" w:rsidRDefault="00B13AB1" w:rsidP="00860EAD">
            <w:pPr>
              <w:pStyle w:val="TableText"/>
              <w:spacing w:before="40" w:after="40"/>
              <w:rPr>
                <w:b/>
                <w:bCs/>
                <w:sz w:val="17"/>
                <w:szCs w:val="17"/>
              </w:rPr>
            </w:pPr>
            <w:r w:rsidRPr="004825BB">
              <w:rPr>
                <w:rFonts w:eastAsia="Arial"/>
                <w:b/>
                <w:bCs/>
                <w:sz w:val="17"/>
                <w:szCs w:val="17"/>
              </w:rPr>
              <w:t>Grow</w:t>
            </w:r>
            <w:r w:rsidRPr="004825BB">
              <w:rPr>
                <w:rFonts w:eastAsia="Calibri"/>
                <w:b/>
                <w:bCs/>
                <w:sz w:val="17"/>
                <w:szCs w:val="17"/>
              </w:rPr>
              <w:t xml:space="preserve"> the gambling harm workforce</w:t>
            </w:r>
          </w:p>
        </w:tc>
        <w:tc>
          <w:tcPr>
            <w:tcW w:w="992" w:type="dxa"/>
            <w:tcBorders>
              <w:top w:val="single" w:sz="4" w:space="0" w:color="auto"/>
              <w:left w:val="nil"/>
              <w:bottom w:val="single" w:sz="4" w:space="0" w:color="auto"/>
              <w:right w:val="nil"/>
            </w:tcBorders>
            <w:shd w:val="clear" w:color="auto" w:fill="auto"/>
            <w:vAlign w:val="bottom"/>
          </w:tcPr>
          <w:p w14:paraId="4717ADBF" w14:textId="77777777" w:rsidR="00B13AB1" w:rsidRPr="004825BB" w:rsidRDefault="00B13AB1" w:rsidP="00860EAD">
            <w:pPr>
              <w:pStyle w:val="TableText"/>
              <w:spacing w:before="40" w:after="40"/>
              <w:jc w:val="right"/>
              <w:rPr>
                <w:rFonts w:eastAsia="Arial"/>
                <w:sz w:val="17"/>
                <w:szCs w:val="17"/>
              </w:rPr>
            </w:pPr>
            <w:r w:rsidRPr="004825BB">
              <w:rPr>
                <w:rFonts w:eastAsia="Arial"/>
                <w:sz w:val="17"/>
                <w:szCs w:val="17"/>
              </w:rPr>
              <w:t>1.394</w:t>
            </w:r>
          </w:p>
          <w:p w14:paraId="72715A04" w14:textId="77777777" w:rsidR="00B13AB1" w:rsidRPr="004825BB" w:rsidRDefault="00B13AB1" w:rsidP="00860EAD">
            <w:pPr>
              <w:pStyle w:val="TableText"/>
              <w:spacing w:before="40" w:after="40"/>
              <w:jc w:val="right"/>
              <w:rPr>
                <w:rFonts w:eastAsia="Arial"/>
                <w:sz w:val="17"/>
                <w:szCs w:val="17"/>
              </w:rPr>
            </w:pPr>
          </w:p>
          <w:p w14:paraId="01973F4C" w14:textId="77777777" w:rsidR="00B13AB1" w:rsidRPr="004825BB" w:rsidRDefault="00B13AB1" w:rsidP="00860EAD">
            <w:pPr>
              <w:pStyle w:val="TableText"/>
              <w:spacing w:before="40" w:after="40"/>
              <w:jc w:val="right"/>
              <w:rPr>
                <w:rFonts w:eastAsia="Arial"/>
                <w:sz w:val="17"/>
                <w:szCs w:val="17"/>
              </w:rPr>
            </w:pPr>
          </w:p>
        </w:tc>
        <w:tc>
          <w:tcPr>
            <w:tcW w:w="992" w:type="dxa"/>
            <w:tcBorders>
              <w:top w:val="single" w:sz="4" w:space="0" w:color="auto"/>
              <w:left w:val="nil"/>
              <w:bottom w:val="single" w:sz="4" w:space="0" w:color="auto"/>
              <w:right w:val="nil"/>
            </w:tcBorders>
            <w:shd w:val="clear" w:color="auto" w:fill="auto"/>
            <w:vAlign w:val="bottom"/>
          </w:tcPr>
          <w:p w14:paraId="2263F332" w14:textId="77777777" w:rsidR="00B13AB1" w:rsidRPr="004825BB" w:rsidRDefault="00B13AB1" w:rsidP="00860EAD">
            <w:pPr>
              <w:pStyle w:val="TableText"/>
              <w:spacing w:before="40" w:after="40"/>
              <w:jc w:val="right"/>
              <w:rPr>
                <w:rFonts w:eastAsia="Arial"/>
                <w:sz w:val="17"/>
                <w:szCs w:val="17"/>
              </w:rPr>
            </w:pPr>
            <w:r w:rsidRPr="004825BB">
              <w:rPr>
                <w:rFonts w:eastAsia="Arial"/>
                <w:sz w:val="17"/>
                <w:szCs w:val="17"/>
              </w:rPr>
              <w:t>1.594</w:t>
            </w:r>
          </w:p>
          <w:p w14:paraId="6F757B90" w14:textId="77777777" w:rsidR="00B13AB1" w:rsidRPr="004825BB" w:rsidRDefault="00B13AB1" w:rsidP="00860EAD">
            <w:pPr>
              <w:pStyle w:val="TableText"/>
              <w:spacing w:before="40" w:after="40"/>
              <w:jc w:val="right"/>
              <w:rPr>
                <w:rFonts w:eastAsia="Arial"/>
                <w:sz w:val="17"/>
                <w:szCs w:val="17"/>
              </w:rPr>
            </w:pPr>
          </w:p>
          <w:p w14:paraId="091223B6" w14:textId="77777777" w:rsidR="00B13AB1" w:rsidRPr="004825BB" w:rsidRDefault="00B13AB1" w:rsidP="00860EAD">
            <w:pPr>
              <w:pStyle w:val="TableText"/>
              <w:spacing w:before="40" w:after="40"/>
              <w:jc w:val="right"/>
              <w:rPr>
                <w:rFonts w:eastAsia="Arial"/>
                <w:sz w:val="17"/>
                <w:szCs w:val="17"/>
              </w:rPr>
            </w:pPr>
          </w:p>
        </w:tc>
        <w:tc>
          <w:tcPr>
            <w:tcW w:w="993" w:type="dxa"/>
            <w:tcBorders>
              <w:top w:val="single" w:sz="4" w:space="0" w:color="auto"/>
              <w:left w:val="nil"/>
              <w:bottom w:val="single" w:sz="4" w:space="0" w:color="auto"/>
              <w:right w:val="nil"/>
            </w:tcBorders>
            <w:shd w:val="clear" w:color="auto" w:fill="auto"/>
            <w:vAlign w:val="bottom"/>
          </w:tcPr>
          <w:p w14:paraId="17F0B7A4" w14:textId="77777777" w:rsidR="00B13AB1" w:rsidRPr="004825BB" w:rsidRDefault="00B13AB1" w:rsidP="00860EAD">
            <w:pPr>
              <w:pStyle w:val="TableText"/>
              <w:spacing w:before="40" w:after="40"/>
              <w:jc w:val="right"/>
              <w:rPr>
                <w:rFonts w:eastAsia="Arial"/>
                <w:sz w:val="17"/>
                <w:szCs w:val="17"/>
              </w:rPr>
            </w:pPr>
            <w:r w:rsidRPr="004825BB">
              <w:rPr>
                <w:rFonts w:eastAsia="Arial"/>
                <w:sz w:val="17"/>
                <w:szCs w:val="17"/>
              </w:rPr>
              <w:t>1.589</w:t>
            </w:r>
          </w:p>
          <w:p w14:paraId="08C1BCBD" w14:textId="77777777" w:rsidR="00B13AB1" w:rsidRPr="004825BB" w:rsidRDefault="00B13AB1" w:rsidP="00860EAD">
            <w:pPr>
              <w:pStyle w:val="TableText"/>
              <w:spacing w:before="40" w:after="40"/>
              <w:jc w:val="right"/>
              <w:rPr>
                <w:rFonts w:eastAsia="Arial"/>
                <w:sz w:val="17"/>
                <w:szCs w:val="17"/>
              </w:rPr>
            </w:pPr>
          </w:p>
          <w:p w14:paraId="0B724DF2" w14:textId="77777777" w:rsidR="00B13AB1" w:rsidRPr="004825BB" w:rsidRDefault="00B13AB1" w:rsidP="00860EAD">
            <w:pPr>
              <w:pStyle w:val="TableText"/>
              <w:spacing w:before="40" w:after="40"/>
              <w:jc w:val="right"/>
              <w:rPr>
                <w:rFonts w:eastAsia="Arial"/>
                <w:sz w:val="17"/>
                <w:szCs w:val="17"/>
              </w:rPr>
            </w:pPr>
          </w:p>
        </w:tc>
        <w:tc>
          <w:tcPr>
            <w:tcW w:w="992" w:type="dxa"/>
            <w:tcBorders>
              <w:top w:val="single" w:sz="4" w:space="0" w:color="auto"/>
              <w:left w:val="nil"/>
              <w:bottom w:val="single" w:sz="4" w:space="0" w:color="auto"/>
              <w:right w:val="nil"/>
            </w:tcBorders>
            <w:shd w:val="clear" w:color="auto" w:fill="auto"/>
            <w:vAlign w:val="bottom"/>
          </w:tcPr>
          <w:p w14:paraId="3B24E1A1" w14:textId="77777777" w:rsidR="00B13AB1" w:rsidRPr="004825BB" w:rsidRDefault="00B13AB1" w:rsidP="00860EAD">
            <w:pPr>
              <w:pStyle w:val="TableText"/>
              <w:spacing w:before="40" w:after="40"/>
              <w:jc w:val="right"/>
              <w:rPr>
                <w:rFonts w:eastAsia="Arial"/>
                <w:b/>
                <w:bCs/>
                <w:sz w:val="17"/>
                <w:szCs w:val="17"/>
              </w:rPr>
            </w:pPr>
            <w:r w:rsidRPr="004825BB">
              <w:rPr>
                <w:rFonts w:eastAsia="Arial"/>
                <w:b/>
                <w:bCs/>
                <w:sz w:val="17"/>
                <w:szCs w:val="17"/>
              </w:rPr>
              <w:t>4.576</w:t>
            </w:r>
          </w:p>
          <w:p w14:paraId="10F0B77B" w14:textId="77777777" w:rsidR="00B13AB1" w:rsidRPr="004825BB" w:rsidRDefault="00B13AB1" w:rsidP="00860EAD">
            <w:pPr>
              <w:pStyle w:val="TableText"/>
              <w:spacing w:before="40" w:after="40"/>
              <w:jc w:val="right"/>
              <w:rPr>
                <w:rFonts w:eastAsia="Arial"/>
                <w:b/>
                <w:bCs/>
                <w:sz w:val="17"/>
                <w:szCs w:val="17"/>
              </w:rPr>
            </w:pPr>
          </w:p>
          <w:p w14:paraId="7DBBA2ED" w14:textId="77777777" w:rsidR="00B13AB1" w:rsidRPr="004825BB" w:rsidRDefault="00B13AB1" w:rsidP="00860EAD">
            <w:pPr>
              <w:pStyle w:val="TableText"/>
              <w:spacing w:before="40" w:after="40"/>
              <w:jc w:val="right"/>
              <w:rPr>
                <w:rFonts w:eastAsia="Arial"/>
                <w:b/>
                <w:bCs/>
                <w:sz w:val="17"/>
                <w:szCs w:val="17"/>
              </w:rPr>
            </w:pPr>
          </w:p>
        </w:tc>
        <w:tc>
          <w:tcPr>
            <w:tcW w:w="8363" w:type="dxa"/>
            <w:tcBorders>
              <w:top w:val="single" w:sz="4" w:space="0" w:color="auto"/>
              <w:bottom w:val="single" w:sz="4" w:space="0" w:color="auto"/>
            </w:tcBorders>
          </w:tcPr>
          <w:p w14:paraId="2266559C" w14:textId="77777777" w:rsidR="00B13AB1" w:rsidRPr="004825BB" w:rsidRDefault="00B13AB1" w:rsidP="00B13AB1">
            <w:pPr>
              <w:pStyle w:val="TableBullet"/>
              <w:spacing w:before="40" w:after="40"/>
              <w:rPr>
                <w:sz w:val="17"/>
                <w:szCs w:val="17"/>
              </w:rPr>
            </w:pPr>
            <w:r w:rsidRPr="004825BB">
              <w:rPr>
                <w:sz w:val="17"/>
                <w:szCs w:val="17"/>
              </w:rPr>
              <w:t xml:space="preserve">Expand the peer workforce to improve access to broad spectrum of effective services. This investment will further embed lived experience into gambling harm service provision and planning. </w:t>
            </w:r>
          </w:p>
          <w:p w14:paraId="4AEF10B9" w14:textId="77777777" w:rsidR="00B13AB1" w:rsidRPr="004825BB" w:rsidRDefault="00B13AB1" w:rsidP="00B13AB1">
            <w:pPr>
              <w:pStyle w:val="TableBullet"/>
              <w:spacing w:before="40" w:after="40"/>
              <w:rPr>
                <w:sz w:val="17"/>
                <w:szCs w:val="17"/>
              </w:rPr>
            </w:pPr>
            <w:r w:rsidRPr="004825BB">
              <w:rPr>
                <w:sz w:val="17"/>
                <w:szCs w:val="17"/>
              </w:rPr>
              <w:t>Develop gambling-harm content for a New Zealand Qualification Authority (NZQA) Level 7 qualification.</w:t>
            </w:r>
          </w:p>
          <w:p w14:paraId="506154E2" w14:textId="77777777" w:rsidR="00B13AB1" w:rsidRPr="004825BB" w:rsidRDefault="00B13AB1" w:rsidP="00B13AB1">
            <w:pPr>
              <w:pStyle w:val="TableBullet"/>
              <w:spacing w:before="40" w:after="40"/>
              <w:rPr>
                <w:sz w:val="17"/>
                <w:szCs w:val="17"/>
              </w:rPr>
            </w:pPr>
            <w:r w:rsidRPr="004825BB">
              <w:rPr>
                <w:sz w:val="17"/>
                <w:szCs w:val="17"/>
              </w:rPr>
              <w:t xml:space="preserve">Invest in clinical internships to support students to complete practicum requirements to become fully registered addiction practitioners. </w:t>
            </w:r>
          </w:p>
          <w:p w14:paraId="41024D79" w14:textId="77777777" w:rsidR="00B13AB1" w:rsidRPr="004825BB" w:rsidRDefault="00B13AB1" w:rsidP="00B13AB1">
            <w:pPr>
              <w:pStyle w:val="TableBullet"/>
              <w:spacing w:before="40" w:after="40"/>
              <w:rPr>
                <w:sz w:val="17"/>
                <w:szCs w:val="17"/>
              </w:rPr>
            </w:pPr>
            <w:r w:rsidRPr="004825BB">
              <w:rPr>
                <w:sz w:val="17"/>
                <w:szCs w:val="17"/>
              </w:rPr>
              <w:t>Ongoing professional development for the existing workforce.</w:t>
            </w:r>
          </w:p>
        </w:tc>
      </w:tr>
      <w:tr w:rsidR="00B13AB1" w:rsidRPr="004825BB" w14:paraId="225F53D7" w14:textId="77777777" w:rsidTr="004825BB">
        <w:trPr>
          <w:gridAfter w:val="1"/>
          <w:wAfter w:w="142" w:type="dxa"/>
          <w:trHeight w:val="300"/>
        </w:trPr>
        <w:tc>
          <w:tcPr>
            <w:tcW w:w="1560" w:type="dxa"/>
            <w:tcBorders>
              <w:top w:val="single" w:sz="4" w:space="0" w:color="auto"/>
              <w:bottom w:val="single" w:sz="4" w:space="0" w:color="auto"/>
            </w:tcBorders>
            <w:vAlign w:val="center"/>
          </w:tcPr>
          <w:p w14:paraId="41025483" w14:textId="77777777" w:rsidR="00B13AB1" w:rsidRPr="004825BB" w:rsidRDefault="00B13AB1" w:rsidP="00860EAD">
            <w:pPr>
              <w:pStyle w:val="TableText"/>
              <w:spacing w:before="40" w:after="40"/>
              <w:rPr>
                <w:b/>
                <w:bCs/>
                <w:sz w:val="17"/>
                <w:szCs w:val="17"/>
              </w:rPr>
            </w:pPr>
            <w:r w:rsidRPr="004825BB">
              <w:rPr>
                <w:rFonts w:eastAsia="Arial"/>
                <w:b/>
                <w:bCs/>
                <w:sz w:val="17"/>
                <w:szCs w:val="17"/>
              </w:rPr>
              <w:t xml:space="preserve">Strengthen </w:t>
            </w:r>
            <w:r w:rsidRPr="004825BB">
              <w:rPr>
                <w:rFonts w:eastAsia="Calibri"/>
                <w:b/>
                <w:bCs/>
                <w:sz w:val="17"/>
                <w:szCs w:val="17"/>
              </w:rPr>
              <w:t>the focus on the prevention of and early intervention in gambling harm</w:t>
            </w:r>
          </w:p>
        </w:tc>
        <w:tc>
          <w:tcPr>
            <w:tcW w:w="992" w:type="dxa"/>
            <w:tcBorders>
              <w:top w:val="single" w:sz="4" w:space="0" w:color="auto"/>
              <w:left w:val="nil"/>
              <w:bottom w:val="single" w:sz="4" w:space="0" w:color="auto"/>
              <w:right w:val="nil"/>
            </w:tcBorders>
            <w:shd w:val="clear" w:color="auto" w:fill="auto"/>
            <w:vAlign w:val="bottom"/>
          </w:tcPr>
          <w:p w14:paraId="1170FEC2" w14:textId="77777777" w:rsidR="00B13AB1" w:rsidRPr="004825BB" w:rsidRDefault="00B13AB1" w:rsidP="00860EAD">
            <w:pPr>
              <w:pStyle w:val="TableText"/>
              <w:spacing w:before="40" w:after="40"/>
              <w:jc w:val="right"/>
              <w:rPr>
                <w:rFonts w:eastAsia="Arial"/>
                <w:sz w:val="17"/>
                <w:szCs w:val="17"/>
              </w:rPr>
            </w:pPr>
            <w:r w:rsidRPr="004825BB">
              <w:rPr>
                <w:rFonts w:eastAsia="Arial"/>
                <w:sz w:val="17"/>
                <w:szCs w:val="17"/>
              </w:rPr>
              <w:t>10.128</w:t>
            </w:r>
          </w:p>
          <w:p w14:paraId="36EA11CC" w14:textId="77777777" w:rsidR="00B13AB1" w:rsidRPr="004825BB" w:rsidRDefault="00B13AB1" w:rsidP="00860EAD">
            <w:pPr>
              <w:pStyle w:val="TableText"/>
              <w:spacing w:before="40" w:after="40"/>
              <w:jc w:val="right"/>
              <w:rPr>
                <w:rFonts w:eastAsia="Arial"/>
                <w:sz w:val="17"/>
                <w:szCs w:val="17"/>
              </w:rPr>
            </w:pPr>
          </w:p>
          <w:p w14:paraId="4CB99739" w14:textId="77777777" w:rsidR="00B13AB1" w:rsidRPr="004825BB" w:rsidRDefault="00B13AB1" w:rsidP="00860EAD">
            <w:pPr>
              <w:pStyle w:val="TableText"/>
              <w:spacing w:before="40" w:after="40"/>
              <w:jc w:val="right"/>
              <w:rPr>
                <w:rFonts w:eastAsia="Arial"/>
                <w:sz w:val="17"/>
                <w:szCs w:val="17"/>
              </w:rPr>
            </w:pPr>
          </w:p>
          <w:p w14:paraId="06EB56ED" w14:textId="77777777" w:rsidR="00B13AB1" w:rsidRPr="004825BB" w:rsidRDefault="00B13AB1" w:rsidP="00860EAD">
            <w:pPr>
              <w:pStyle w:val="TableText"/>
              <w:spacing w:before="40" w:after="40"/>
              <w:jc w:val="right"/>
              <w:rPr>
                <w:rFonts w:eastAsia="Arial"/>
                <w:sz w:val="17"/>
                <w:szCs w:val="17"/>
              </w:rPr>
            </w:pPr>
          </w:p>
        </w:tc>
        <w:tc>
          <w:tcPr>
            <w:tcW w:w="992" w:type="dxa"/>
            <w:tcBorders>
              <w:top w:val="single" w:sz="4" w:space="0" w:color="auto"/>
              <w:left w:val="nil"/>
              <w:bottom w:val="single" w:sz="4" w:space="0" w:color="auto"/>
              <w:right w:val="nil"/>
            </w:tcBorders>
            <w:shd w:val="clear" w:color="auto" w:fill="auto"/>
            <w:vAlign w:val="bottom"/>
          </w:tcPr>
          <w:p w14:paraId="0D72872F" w14:textId="77777777" w:rsidR="00B13AB1" w:rsidRPr="004825BB" w:rsidRDefault="00B13AB1" w:rsidP="00860EAD">
            <w:pPr>
              <w:pStyle w:val="TableText"/>
              <w:spacing w:before="40" w:after="40"/>
              <w:jc w:val="right"/>
              <w:rPr>
                <w:rFonts w:eastAsia="Arial"/>
                <w:sz w:val="17"/>
                <w:szCs w:val="17"/>
              </w:rPr>
            </w:pPr>
            <w:r w:rsidRPr="004825BB">
              <w:rPr>
                <w:rFonts w:eastAsia="Arial"/>
                <w:sz w:val="17"/>
                <w:szCs w:val="17"/>
              </w:rPr>
              <w:t>10.050</w:t>
            </w:r>
          </w:p>
          <w:p w14:paraId="7DB8DBAE" w14:textId="77777777" w:rsidR="00B13AB1" w:rsidRPr="004825BB" w:rsidRDefault="00B13AB1" w:rsidP="00860EAD">
            <w:pPr>
              <w:pStyle w:val="TableText"/>
              <w:spacing w:before="40" w:after="40"/>
              <w:jc w:val="right"/>
              <w:rPr>
                <w:rFonts w:eastAsia="Arial"/>
                <w:sz w:val="17"/>
                <w:szCs w:val="17"/>
              </w:rPr>
            </w:pPr>
          </w:p>
          <w:p w14:paraId="37D09899" w14:textId="77777777" w:rsidR="00B13AB1" w:rsidRPr="004825BB" w:rsidRDefault="00B13AB1" w:rsidP="00860EAD">
            <w:pPr>
              <w:pStyle w:val="TableText"/>
              <w:spacing w:before="40" w:after="40"/>
              <w:jc w:val="right"/>
              <w:rPr>
                <w:rFonts w:eastAsia="Arial"/>
                <w:sz w:val="17"/>
                <w:szCs w:val="17"/>
              </w:rPr>
            </w:pPr>
          </w:p>
          <w:p w14:paraId="587AFF1F" w14:textId="77777777" w:rsidR="00B13AB1" w:rsidRPr="004825BB" w:rsidRDefault="00B13AB1" w:rsidP="00860EAD">
            <w:pPr>
              <w:pStyle w:val="TableText"/>
              <w:spacing w:before="40" w:after="40"/>
              <w:jc w:val="right"/>
              <w:rPr>
                <w:rFonts w:eastAsia="Arial"/>
                <w:sz w:val="17"/>
                <w:szCs w:val="17"/>
              </w:rPr>
            </w:pPr>
          </w:p>
        </w:tc>
        <w:tc>
          <w:tcPr>
            <w:tcW w:w="993" w:type="dxa"/>
            <w:tcBorders>
              <w:top w:val="single" w:sz="4" w:space="0" w:color="auto"/>
              <w:left w:val="nil"/>
              <w:bottom w:val="single" w:sz="4" w:space="0" w:color="auto"/>
              <w:right w:val="nil"/>
            </w:tcBorders>
            <w:shd w:val="clear" w:color="auto" w:fill="auto"/>
            <w:vAlign w:val="bottom"/>
          </w:tcPr>
          <w:p w14:paraId="019A246D" w14:textId="77777777" w:rsidR="00B13AB1" w:rsidRPr="004825BB" w:rsidRDefault="00B13AB1" w:rsidP="00860EAD">
            <w:pPr>
              <w:pStyle w:val="TableText"/>
              <w:spacing w:before="40" w:after="40"/>
              <w:jc w:val="right"/>
              <w:rPr>
                <w:rFonts w:eastAsia="Arial"/>
                <w:sz w:val="17"/>
                <w:szCs w:val="17"/>
              </w:rPr>
            </w:pPr>
            <w:r w:rsidRPr="004825BB">
              <w:rPr>
                <w:rFonts w:eastAsia="Arial"/>
                <w:sz w:val="17"/>
                <w:szCs w:val="17"/>
              </w:rPr>
              <w:t>10.557</w:t>
            </w:r>
          </w:p>
          <w:p w14:paraId="11742D1C" w14:textId="77777777" w:rsidR="00B13AB1" w:rsidRPr="004825BB" w:rsidRDefault="00B13AB1" w:rsidP="00860EAD">
            <w:pPr>
              <w:pStyle w:val="TableText"/>
              <w:spacing w:before="40" w:after="40"/>
              <w:jc w:val="right"/>
              <w:rPr>
                <w:rFonts w:eastAsia="Arial"/>
                <w:sz w:val="17"/>
                <w:szCs w:val="17"/>
              </w:rPr>
            </w:pPr>
          </w:p>
          <w:p w14:paraId="30F357E7" w14:textId="77777777" w:rsidR="00B13AB1" w:rsidRPr="004825BB" w:rsidRDefault="00B13AB1" w:rsidP="00860EAD">
            <w:pPr>
              <w:pStyle w:val="TableText"/>
              <w:spacing w:before="40" w:after="40"/>
              <w:jc w:val="right"/>
              <w:rPr>
                <w:rFonts w:eastAsia="Arial"/>
                <w:sz w:val="17"/>
                <w:szCs w:val="17"/>
              </w:rPr>
            </w:pPr>
          </w:p>
          <w:p w14:paraId="027FF7E6" w14:textId="77777777" w:rsidR="00B13AB1" w:rsidRPr="004825BB" w:rsidRDefault="00B13AB1" w:rsidP="00860EAD">
            <w:pPr>
              <w:pStyle w:val="TableText"/>
              <w:spacing w:before="40" w:after="40"/>
              <w:jc w:val="right"/>
              <w:rPr>
                <w:rFonts w:eastAsia="Arial"/>
                <w:sz w:val="17"/>
                <w:szCs w:val="17"/>
              </w:rPr>
            </w:pPr>
          </w:p>
        </w:tc>
        <w:tc>
          <w:tcPr>
            <w:tcW w:w="992" w:type="dxa"/>
            <w:tcBorders>
              <w:top w:val="single" w:sz="4" w:space="0" w:color="auto"/>
              <w:left w:val="nil"/>
              <w:bottom w:val="single" w:sz="4" w:space="0" w:color="auto"/>
              <w:right w:val="nil"/>
            </w:tcBorders>
            <w:shd w:val="clear" w:color="auto" w:fill="auto"/>
            <w:vAlign w:val="bottom"/>
          </w:tcPr>
          <w:p w14:paraId="0255EC84" w14:textId="77777777" w:rsidR="00B13AB1" w:rsidRPr="004825BB" w:rsidRDefault="00B13AB1" w:rsidP="00860EAD">
            <w:pPr>
              <w:pStyle w:val="TableText"/>
              <w:spacing w:before="40" w:after="40"/>
              <w:jc w:val="right"/>
              <w:rPr>
                <w:rFonts w:eastAsia="Arial"/>
                <w:b/>
                <w:bCs/>
                <w:sz w:val="17"/>
                <w:szCs w:val="17"/>
              </w:rPr>
            </w:pPr>
            <w:r w:rsidRPr="004825BB">
              <w:rPr>
                <w:rFonts w:eastAsia="Arial"/>
                <w:b/>
                <w:bCs/>
                <w:sz w:val="17"/>
                <w:szCs w:val="17"/>
              </w:rPr>
              <w:t xml:space="preserve">30.735 </w:t>
            </w:r>
          </w:p>
          <w:p w14:paraId="355F3765" w14:textId="77777777" w:rsidR="00B13AB1" w:rsidRPr="004825BB" w:rsidRDefault="00B13AB1" w:rsidP="00860EAD">
            <w:pPr>
              <w:pStyle w:val="TableText"/>
              <w:spacing w:before="40" w:after="40"/>
              <w:jc w:val="right"/>
              <w:rPr>
                <w:rFonts w:eastAsia="Arial"/>
                <w:b/>
                <w:bCs/>
                <w:sz w:val="17"/>
                <w:szCs w:val="17"/>
              </w:rPr>
            </w:pPr>
          </w:p>
          <w:p w14:paraId="20DCEFB3" w14:textId="77777777" w:rsidR="00B13AB1" w:rsidRPr="004825BB" w:rsidRDefault="00B13AB1" w:rsidP="00860EAD">
            <w:pPr>
              <w:pStyle w:val="TableText"/>
              <w:spacing w:before="40" w:after="40"/>
              <w:jc w:val="right"/>
              <w:rPr>
                <w:rFonts w:eastAsia="Arial"/>
                <w:b/>
                <w:bCs/>
                <w:sz w:val="17"/>
                <w:szCs w:val="17"/>
              </w:rPr>
            </w:pPr>
          </w:p>
          <w:p w14:paraId="56E45D96" w14:textId="77777777" w:rsidR="00B13AB1" w:rsidRPr="004825BB" w:rsidRDefault="00B13AB1" w:rsidP="00860EAD">
            <w:pPr>
              <w:pStyle w:val="TableText"/>
              <w:spacing w:before="40" w:after="40"/>
              <w:jc w:val="right"/>
              <w:rPr>
                <w:rFonts w:eastAsia="Arial"/>
                <w:b/>
                <w:bCs/>
                <w:sz w:val="17"/>
                <w:szCs w:val="17"/>
              </w:rPr>
            </w:pPr>
          </w:p>
        </w:tc>
        <w:tc>
          <w:tcPr>
            <w:tcW w:w="8363" w:type="dxa"/>
            <w:tcBorders>
              <w:top w:val="single" w:sz="4" w:space="0" w:color="auto"/>
              <w:bottom w:val="single" w:sz="4" w:space="0" w:color="auto"/>
            </w:tcBorders>
          </w:tcPr>
          <w:p w14:paraId="11E7247D" w14:textId="389FA621" w:rsidR="00B13AB1" w:rsidRPr="004825BB" w:rsidRDefault="00B13AB1" w:rsidP="00B13AB1">
            <w:pPr>
              <w:pStyle w:val="TableBullet"/>
              <w:spacing w:before="40" w:after="40"/>
              <w:rPr>
                <w:sz w:val="17"/>
                <w:szCs w:val="17"/>
              </w:rPr>
            </w:pPr>
            <w:r w:rsidRPr="004825BB">
              <w:rPr>
                <w:sz w:val="17"/>
                <w:szCs w:val="17"/>
              </w:rPr>
              <w:t>Invest in refreshed national public health promotion and de-stigmatisation initiatives alongside local</w:t>
            </w:r>
            <w:r w:rsidR="00CC5014" w:rsidRPr="004825BB">
              <w:rPr>
                <w:sz w:val="17"/>
                <w:szCs w:val="17"/>
              </w:rPr>
              <w:t xml:space="preserve"> and </w:t>
            </w:r>
            <w:r w:rsidRPr="004825BB">
              <w:rPr>
                <w:sz w:val="17"/>
                <w:szCs w:val="17"/>
              </w:rPr>
              <w:t>regional public health services t</w:t>
            </w:r>
            <w:r w:rsidR="00CC5014" w:rsidRPr="004825BB">
              <w:rPr>
                <w:sz w:val="17"/>
                <w:szCs w:val="17"/>
              </w:rPr>
              <w:t>hat</w:t>
            </w:r>
            <w:r w:rsidRPr="004825BB">
              <w:rPr>
                <w:sz w:val="17"/>
                <w:szCs w:val="17"/>
              </w:rPr>
              <w:t xml:space="preserve"> empower communities, build awareness and resilience, </w:t>
            </w:r>
            <w:r w:rsidR="005D3D86" w:rsidRPr="004825BB">
              <w:rPr>
                <w:sz w:val="17"/>
                <w:szCs w:val="17"/>
              </w:rPr>
              <w:t xml:space="preserve">and </w:t>
            </w:r>
            <w:r w:rsidRPr="004825BB">
              <w:rPr>
                <w:sz w:val="17"/>
                <w:szCs w:val="17"/>
              </w:rPr>
              <w:t>address stigma and barriers to help seeking. This work will be informed by lived experience.</w:t>
            </w:r>
          </w:p>
          <w:p w14:paraId="6B6F9B3C" w14:textId="77777777" w:rsidR="00B13AB1" w:rsidRPr="004825BB" w:rsidRDefault="00B13AB1" w:rsidP="00B13AB1">
            <w:pPr>
              <w:pStyle w:val="TableBullet"/>
              <w:spacing w:before="40" w:after="40"/>
              <w:rPr>
                <w:sz w:val="17"/>
                <w:szCs w:val="17"/>
              </w:rPr>
            </w:pPr>
            <w:r w:rsidRPr="004825BB">
              <w:rPr>
                <w:sz w:val="17"/>
                <w:szCs w:val="17"/>
              </w:rPr>
              <w:t>Subject to the new online gambling regulations, scope and develop a national system to allow individuals to block themselves from accessing regulated online/mobile gambling outlets.</w:t>
            </w:r>
          </w:p>
          <w:p w14:paraId="33A3461B" w14:textId="0288DE99" w:rsidR="00B13AB1" w:rsidRPr="004825BB" w:rsidRDefault="00B13AB1" w:rsidP="00B13AB1">
            <w:pPr>
              <w:pStyle w:val="TableBullet"/>
              <w:spacing w:before="40" w:after="40"/>
              <w:rPr>
                <w:sz w:val="17"/>
                <w:szCs w:val="17"/>
              </w:rPr>
            </w:pPr>
            <w:r w:rsidRPr="004825BB">
              <w:rPr>
                <w:sz w:val="17"/>
                <w:szCs w:val="17"/>
              </w:rPr>
              <w:t xml:space="preserve">Continue to develop </w:t>
            </w:r>
            <w:r w:rsidR="776766A9" w:rsidRPr="004825BB">
              <w:rPr>
                <w:sz w:val="17"/>
                <w:szCs w:val="17"/>
              </w:rPr>
              <w:t xml:space="preserve">the </w:t>
            </w:r>
            <w:r w:rsidRPr="004825BB">
              <w:rPr>
                <w:sz w:val="17"/>
                <w:szCs w:val="17"/>
              </w:rPr>
              <w:t xml:space="preserve">public health approach in schools to address and prevent gambling harm amongst young people/rangatahi. </w:t>
            </w:r>
          </w:p>
          <w:p w14:paraId="19C556A6" w14:textId="77777777" w:rsidR="00B13AB1" w:rsidRPr="004825BB" w:rsidRDefault="00B13AB1" w:rsidP="00B13AB1">
            <w:pPr>
              <w:pStyle w:val="TableBullet"/>
              <w:spacing w:before="40" w:after="40"/>
              <w:rPr>
                <w:sz w:val="17"/>
                <w:szCs w:val="17"/>
              </w:rPr>
            </w:pPr>
            <w:r w:rsidRPr="004825BB">
              <w:rPr>
                <w:sz w:val="17"/>
                <w:szCs w:val="17"/>
              </w:rPr>
              <w:t>Invest in service promotion and support in primary health care.</w:t>
            </w:r>
          </w:p>
          <w:p w14:paraId="4299D3CE" w14:textId="77777777" w:rsidR="00B13AB1" w:rsidRPr="004825BB" w:rsidRDefault="00B13AB1" w:rsidP="00B13AB1">
            <w:pPr>
              <w:pStyle w:val="TableBullet"/>
              <w:spacing w:before="40" w:after="40"/>
              <w:rPr>
                <w:sz w:val="17"/>
                <w:szCs w:val="17"/>
              </w:rPr>
            </w:pPr>
            <w:r w:rsidRPr="004825BB">
              <w:rPr>
                <w:sz w:val="17"/>
                <w:szCs w:val="17"/>
              </w:rPr>
              <w:t>Enhanced work to support self-exclusion.</w:t>
            </w:r>
          </w:p>
        </w:tc>
      </w:tr>
      <w:tr w:rsidR="00B13AB1" w:rsidRPr="004825BB" w14:paraId="433379D6" w14:textId="77777777" w:rsidTr="004825BB">
        <w:trPr>
          <w:gridAfter w:val="1"/>
          <w:wAfter w:w="142" w:type="dxa"/>
          <w:trHeight w:val="300"/>
        </w:trPr>
        <w:tc>
          <w:tcPr>
            <w:tcW w:w="1560" w:type="dxa"/>
            <w:tcBorders>
              <w:top w:val="single" w:sz="4" w:space="0" w:color="auto"/>
              <w:bottom w:val="single" w:sz="4" w:space="0" w:color="auto"/>
            </w:tcBorders>
            <w:vAlign w:val="center"/>
          </w:tcPr>
          <w:p w14:paraId="3E2015F4" w14:textId="77777777" w:rsidR="00B13AB1" w:rsidRPr="004825BB" w:rsidRDefault="00B13AB1" w:rsidP="00860EAD">
            <w:pPr>
              <w:pStyle w:val="TableText"/>
              <w:spacing w:before="40" w:after="40"/>
              <w:rPr>
                <w:b/>
                <w:bCs/>
                <w:sz w:val="17"/>
                <w:szCs w:val="17"/>
              </w:rPr>
            </w:pPr>
            <w:r w:rsidRPr="004825BB">
              <w:rPr>
                <w:rFonts w:eastAsia="Arial"/>
                <w:b/>
                <w:bCs/>
                <w:sz w:val="17"/>
                <w:szCs w:val="17"/>
              </w:rPr>
              <w:t xml:space="preserve">Improve </w:t>
            </w:r>
            <w:r w:rsidRPr="004825BB">
              <w:rPr>
                <w:rFonts w:eastAsia="Calibri"/>
                <w:b/>
                <w:bCs/>
                <w:sz w:val="17"/>
                <w:szCs w:val="17"/>
              </w:rPr>
              <w:t>the effectiveness of gambling harm support</w:t>
            </w:r>
          </w:p>
        </w:tc>
        <w:tc>
          <w:tcPr>
            <w:tcW w:w="992" w:type="dxa"/>
            <w:tcBorders>
              <w:top w:val="single" w:sz="4" w:space="0" w:color="auto"/>
              <w:left w:val="nil"/>
              <w:bottom w:val="single" w:sz="4" w:space="0" w:color="auto"/>
              <w:right w:val="nil"/>
            </w:tcBorders>
            <w:shd w:val="clear" w:color="auto" w:fill="auto"/>
            <w:vAlign w:val="bottom"/>
          </w:tcPr>
          <w:p w14:paraId="6FF709FA" w14:textId="77777777" w:rsidR="00B13AB1" w:rsidRPr="004825BB" w:rsidRDefault="00B13AB1" w:rsidP="00860EAD">
            <w:pPr>
              <w:pStyle w:val="TableText"/>
              <w:spacing w:before="40" w:after="40"/>
              <w:jc w:val="right"/>
              <w:rPr>
                <w:rFonts w:ascii="Arial" w:hAnsi="Arial" w:cs="Arial"/>
                <w:color w:val="000000"/>
                <w:sz w:val="17"/>
                <w:szCs w:val="17"/>
              </w:rPr>
            </w:pPr>
            <w:r w:rsidRPr="004825BB">
              <w:rPr>
                <w:rFonts w:ascii="Arial" w:hAnsi="Arial" w:cs="Arial"/>
                <w:color w:val="000000"/>
                <w:sz w:val="17"/>
                <w:szCs w:val="17"/>
              </w:rPr>
              <w:t>3.424</w:t>
            </w:r>
          </w:p>
          <w:p w14:paraId="7346C1F0" w14:textId="77777777" w:rsidR="00B13AB1" w:rsidRPr="004825BB" w:rsidRDefault="00B13AB1" w:rsidP="00860EAD">
            <w:pPr>
              <w:pStyle w:val="TableText"/>
              <w:spacing w:before="40" w:after="40"/>
              <w:jc w:val="right"/>
              <w:rPr>
                <w:rFonts w:ascii="Arial" w:hAnsi="Arial" w:cs="Arial"/>
                <w:color w:val="000000"/>
                <w:sz w:val="17"/>
                <w:szCs w:val="17"/>
              </w:rPr>
            </w:pPr>
          </w:p>
          <w:p w14:paraId="7C8B19C8" w14:textId="77777777" w:rsidR="00B13AB1" w:rsidRPr="004825BB" w:rsidRDefault="00B13AB1" w:rsidP="00860EAD">
            <w:pPr>
              <w:pStyle w:val="TableText"/>
              <w:spacing w:before="40" w:after="40"/>
              <w:jc w:val="right"/>
              <w:rPr>
                <w:rFonts w:ascii="Arial" w:hAnsi="Arial" w:cs="Arial"/>
                <w:color w:val="000000"/>
                <w:sz w:val="17"/>
                <w:szCs w:val="17"/>
              </w:rPr>
            </w:pPr>
          </w:p>
          <w:p w14:paraId="7F6908C3" w14:textId="77777777" w:rsidR="00B13AB1" w:rsidRPr="004825BB" w:rsidRDefault="00B13AB1" w:rsidP="00860EAD">
            <w:pPr>
              <w:pStyle w:val="TableText"/>
              <w:spacing w:before="40" w:after="40"/>
              <w:jc w:val="right"/>
              <w:rPr>
                <w:rFonts w:ascii="Arial" w:hAnsi="Arial" w:cs="Arial"/>
                <w:color w:val="000000"/>
                <w:sz w:val="17"/>
                <w:szCs w:val="17"/>
              </w:rPr>
            </w:pPr>
          </w:p>
          <w:p w14:paraId="7B820B76" w14:textId="77777777" w:rsidR="00B13AB1" w:rsidRPr="004825BB" w:rsidRDefault="00B13AB1" w:rsidP="00860EAD">
            <w:pPr>
              <w:pStyle w:val="TableText"/>
              <w:spacing w:before="40" w:after="40"/>
              <w:jc w:val="right"/>
              <w:rPr>
                <w:rFonts w:eastAsia="Arial"/>
                <w:sz w:val="17"/>
                <w:szCs w:val="17"/>
              </w:rPr>
            </w:pPr>
          </w:p>
        </w:tc>
        <w:tc>
          <w:tcPr>
            <w:tcW w:w="992" w:type="dxa"/>
            <w:tcBorders>
              <w:top w:val="single" w:sz="4" w:space="0" w:color="auto"/>
              <w:left w:val="nil"/>
              <w:bottom w:val="single" w:sz="4" w:space="0" w:color="auto"/>
              <w:right w:val="nil"/>
            </w:tcBorders>
            <w:shd w:val="clear" w:color="auto" w:fill="auto"/>
            <w:vAlign w:val="bottom"/>
          </w:tcPr>
          <w:p w14:paraId="46FE99FD" w14:textId="77777777" w:rsidR="00B13AB1" w:rsidRPr="004825BB" w:rsidRDefault="00B13AB1" w:rsidP="00860EAD">
            <w:pPr>
              <w:pStyle w:val="TableText"/>
              <w:spacing w:before="40" w:after="40"/>
              <w:jc w:val="right"/>
              <w:rPr>
                <w:rFonts w:ascii="Arial" w:hAnsi="Arial" w:cs="Arial"/>
                <w:color w:val="000000"/>
                <w:sz w:val="17"/>
                <w:szCs w:val="17"/>
              </w:rPr>
            </w:pPr>
            <w:r w:rsidRPr="004825BB">
              <w:rPr>
                <w:rFonts w:ascii="Arial" w:hAnsi="Arial" w:cs="Arial"/>
                <w:color w:val="000000"/>
                <w:sz w:val="17"/>
                <w:szCs w:val="17"/>
              </w:rPr>
              <w:t>4.086</w:t>
            </w:r>
          </w:p>
          <w:p w14:paraId="30665CF2" w14:textId="77777777" w:rsidR="00B13AB1" w:rsidRPr="004825BB" w:rsidRDefault="00B13AB1" w:rsidP="00860EAD">
            <w:pPr>
              <w:pStyle w:val="TableText"/>
              <w:spacing w:before="40" w:after="40"/>
              <w:jc w:val="right"/>
              <w:rPr>
                <w:rFonts w:ascii="Arial" w:hAnsi="Arial" w:cs="Arial"/>
                <w:color w:val="000000"/>
                <w:sz w:val="17"/>
                <w:szCs w:val="17"/>
              </w:rPr>
            </w:pPr>
          </w:p>
          <w:p w14:paraId="6208882E" w14:textId="77777777" w:rsidR="00B13AB1" w:rsidRPr="004825BB" w:rsidRDefault="00B13AB1" w:rsidP="00860EAD">
            <w:pPr>
              <w:pStyle w:val="TableText"/>
              <w:spacing w:before="40" w:after="40"/>
              <w:jc w:val="right"/>
              <w:rPr>
                <w:rFonts w:ascii="Arial" w:hAnsi="Arial" w:cs="Arial"/>
                <w:color w:val="000000"/>
                <w:sz w:val="17"/>
                <w:szCs w:val="17"/>
              </w:rPr>
            </w:pPr>
          </w:p>
          <w:p w14:paraId="7C5D257F" w14:textId="77777777" w:rsidR="00B13AB1" w:rsidRPr="004825BB" w:rsidRDefault="00B13AB1" w:rsidP="00860EAD">
            <w:pPr>
              <w:pStyle w:val="TableText"/>
              <w:spacing w:before="40" w:after="40"/>
              <w:jc w:val="right"/>
              <w:rPr>
                <w:rFonts w:ascii="Arial" w:hAnsi="Arial" w:cs="Arial"/>
                <w:color w:val="000000"/>
                <w:sz w:val="17"/>
                <w:szCs w:val="17"/>
              </w:rPr>
            </w:pPr>
          </w:p>
          <w:p w14:paraId="1C7482B5" w14:textId="77777777" w:rsidR="00B13AB1" w:rsidRPr="004825BB" w:rsidRDefault="00B13AB1" w:rsidP="00860EAD">
            <w:pPr>
              <w:pStyle w:val="TableText"/>
              <w:spacing w:before="40" w:after="40"/>
              <w:jc w:val="right"/>
              <w:rPr>
                <w:rFonts w:eastAsia="Arial"/>
                <w:sz w:val="17"/>
                <w:szCs w:val="17"/>
              </w:rPr>
            </w:pPr>
          </w:p>
        </w:tc>
        <w:tc>
          <w:tcPr>
            <w:tcW w:w="993" w:type="dxa"/>
            <w:tcBorders>
              <w:top w:val="single" w:sz="4" w:space="0" w:color="auto"/>
              <w:left w:val="nil"/>
              <w:bottom w:val="single" w:sz="4" w:space="0" w:color="auto"/>
              <w:right w:val="nil"/>
            </w:tcBorders>
            <w:shd w:val="clear" w:color="auto" w:fill="auto"/>
            <w:vAlign w:val="bottom"/>
          </w:tcPr>
          <w:p w14:paraId="3CC7201D" w14:textId="77777777" w:rsidR="00B13AB1" w:rsidRPr="004825BB" w:rsidRDefault="00B13AB1" w:rsidP="00860EAD">
            <w:pPr>
              <w:pStyle w:val="TableText"/>
              <w:spacing w:before="40" w:after="40"/>
              <w:jc w:val="right"/>
              <w:rPr>
                <w:rFonts w:ascii="Arial" w:hAnsi="Arial" w:cs="Arial"/>
                <w:color w:val="000000"/>
                <w:sz w:val="17"/>
                <w:szCs w:val="17"/>
              </w:rPr>
            </w:pPr>
            <w:r w:rsidRPr="004825BB">
              <w:rPr>
                <w:rFonts w:ascii="Arial" w:hAnsi="Arial" w:cs="Arial"/>
                <w:color w:val="000000"/>
                <w:sz w:val="17"/>
                <w:szCs w:val="17"/>
              </w:rPr>
              <w:t>2.999</w:t>
            </w:r>
          </w:p>
          <w:p w14:paraId="3E27C184" w14:textId="77777777" w:rsidR="00B13AB1" w:rsidRPr="004825BB" w:rsidRDefault="00B13AB1" w:rsidP="00860EAD">
            <w:pPr>
              <w:pStyle w:val="TableText"/>
              <w:spacing w:before="40" w:after="40"/>
              <w:jc w:val="right"/>
              <w:rPr>
                <w:rFonts w:ascii="Arial" w:hAnsi="Arial" w:cs="Arial"/>
                <w:color w:val="000000"/>
                <w:sz w:val="17"/>
                <w:szCs w:val="17"/>
              </w:rPr>
            </w:pPr>
          </w:p>
          <w:p w14:paraId="1637BBA6" w14:textId="77777777" w:rsidR="00B13AB1" w:rsidRPr="004825BB" w:rsidRDefault="00B13AB1" w:rsidP="00860EAD">
            <w:pPr>
              <w:pStyle w:val="TableText"/>
              <w:spacing w:before="40" w:after="40"/>
              <w:jc w:val="right"/>
              <w:rPr>
                <w:rFonts w:ascii="Arial" w:hAnsi="Arial" w:cs="Arial"/>
                <w:color w:val="000000"/>
                <w:sz w:val="17"/>
                <w:szCs w:val="17"/>
              </w:rPr>
            </w:pPr>
          </w:p>
          <w:p w14:paraId="732688D9" w14:textId="77777777" w:rsidR="00B13AB1" w:rsidRPr="004825BB" w:rsidRDefault="00B13AB1" w:rsidP="00860EAD">
            <w:pPr>
              <w:pStyle w:val="TableText"/>
              <w:spacing w:before="40" w:after="40"/>
              <w:jc w:val="right"/>
              <w:rPr>
                <w:rFonts w:ascii="Arial" w:hAnsi="Arial" w:cs="Arial"/>
                <w:color w:val="000000"/>
                <w:sz w:val="17"/>
                <w:szCs w:val="17"/>
              </w:rPr>
            </w:pPr>
          </w:p>
          <w:p w14:paraId="285CD9DB" w14:textId="77777777" w:rsidR="00B13AB1" w:rsidRPr="004825BB" w:rsidRDefault="00B13AB1" w:rsidP="00860EAD">
            <w:pPr>
              <w:pStyle w:val="TableText"/>
              <w:spacing w:before="40" w:after="40"/>
              <w:jc w:val="right"/>
              <w:rPr>
                <w:rFonts w:eastAsia="Arial"/>
                <w:sz w:val="17"/>
                <w:szCs w:val="17"/>
              </w:rPr>
            </w:pPr>
          </w:p>
        </w:tc>
        <w:tc>
          <w:tcPr>
            <w:tcW w:w="992" w:type="dxa"/>
            <w:tcBorders>
              <w:top w:val="single" w:sz="4" w:space="0" w:color="auto"/>
              <w:left w:val="nil"/>
              <w:bottom w:val="single" w:sz="4" w:space="0" w:color="auto"/>
              <w:right w:val="nil"/>
            </w:tcBorders>
            <w:shd w:val="clear" w:color="auto" w:fill="auto"/>
            <w:vAlign w:val="bottom"/>
          </w:tcPr>
          <w:p w14:paraId="0D1E6521" w14:textId="77777777" w:rsidR="00B13AB1" w:rsidRPr="004825BB" w:rsidRDefault="00B13AB1" w:rsidP="00860EAD">
            <w:pPr>
              <w:pStyle w:val="TableText"/>
              <w:spacing w:before="40" w:after="40"/>
              <w:jc w:val="right"/>
              <w:rPr>
                <w:rFonts w:ascii="Arial" w:hAnsi="Arial" w:cs="Arial"/>
                <w:b/>
                <w:bCs/>
                <w:color w:val="000000"/>
                <w:sz w:val="17"/>
                <w:szCs w:val="17"/>
              </w:rPr>
            </w:pPr>
            <w:r w:rsidRPr="004825BB">
              <w:rPr>
                <w:rFonts w:ascii="Arial" w:hAnsi="Arial" w:cs="Arial"/>
                <w:b/>
                <w:bCs/>
                <w:color w:val="000000"/>
                <w:sz w:val="17"/>
                <w:szCs w:val="17"/>
              </w:rPr>
              <w:t>10.509</w:t>
            </w:r>
          </w:p>
          <w:p w14:paraId="621A49CD" w14:textId="77777777" w:rsidR="00B13AB1" w:rsidRPr="004825BB" w:rsidRDefault="00B13AB1" w:rsidP="00860EAD">
            <w:pPr>
              <w:pStyle w:val="TableText"/>
              <w:spacing w:before="40" w:after="40"/>
              <w:jc w:val="right"/>
              <w:rPr>
                <w:rFonts w:ascii="Arial" w:hAnsi="Arial" w:cs="Arial"/>
                <w:b/>
                <w:bCs/>
                <w:color w:val="000000"/>
                <w:sz w:val="17"/>
                <w:szCs w:val="17"/>
              </w:rPr>
            </w:pPr>
          </w:p>
          <w:p w14:paraId="258E1AC3" w14:textId="77777777" w:rsidR="00B13AB1" w:rsidRPr="004825BB" w:rsidRDefault="00B13AB1" w:rsidP="00860EAD">
            <w:pPr>
              <w:pStyle w:val="TableText"/>
              <w:spacing w:before="40" w:after="40"/>
              <w:jc w:val="right"/>
              <w:rPr>
                <w:rFonts w:ascii="Arial" w:hAnsi="Arial" w:cs="Arial"/>
                <w:b/>
                <w:bCs/>
                <w:color w:val="000000"/>
                <w:sz w:val="17"/>
                <w:szCs w:val="17"/>
              </w:rPr>
            </w:pPr>
          </w:p>
          <w:p w14:paraId="57A563C9" w14:textId="77777777" w:rsidR="00B13AB1" w:rsidRPr="004825BB" w:rsidRDefault="00B13AB1" w:rsidP="00860EAD">
            <w:pPr>
              <w:pStyle w:val="TableText"/>
              <w:spacing w:before="40" w:after="40"/>
              <w:jc w:val="right"/>
              <w:rPr>
                <w:rFonts w:ascii="Arial" w:hAnsi="Arial" w:cs="Arial"/>
                <w:b/>
                <w:bCs/>
                <w:color w:val="000000"/>
                <w:sz w:val="17"/>
                <w:szCs w:val="17"/>
              </w:rPr>
            </w:pPr>
          </w:p>
          <w:p w14:paraId="7EF1F1A7" w14:textId="77777777" w:rsidR="00B13AB1" w:rsidRPr="004825BB" w:rsidRDefault="00B13AB1" w:rsidP="00860EAD">
            <w:pPr>
              <w:pStyle w:val="TableText"/>
              <w:spacing w:before="40" w:after="40"/>
              <w:jc w:val="right"/>
              <w:rPr>
                <w:rFonts w:eastAsia="Arial"/>
                <w:b/>
                <w:bCs/>
                <w:sz w:val="17"/>
                <w:szCs w:val="17"/>
              </w:rPr>
            </w:pPr>
          </w:p>
        </w:tc>
        <w:tc>
          <w:tcPr>
            <w:tcW w:w="8363" w:type="dxa"/>
            <w:tcBorders>
              <w:top w:val="single" w:sz="4" w:space="0" w:color="auto"/>
              <w:bottom w:val="single" w:sz="4" w:space="0" w:color="auto"/>
            </w:tcBorders>
          </w:tcPr>
          <w:p w14:paraId="22D0997E" w14:textId="77777777" w:rsidR="00B13AB1" w:rsidRPr="004825BB" w:rsidRDefault="00B13AB1" w:rsidP="00B13AB1">
            <w:pPr>
              <w:pStyle w:val="TableBullet"/>
              <w:spacing w:before="40" w:after="40"/>
              <w:rPr>
                <w:sz w:val="17"/>
                <w:szCs w:val="17"/>
              </w:rPr>
            </w:pPr>
            <w:r w:rsidRPr="004825BB">
              <w:rPr>
                <w:sz w:val="17"/>
                <w:szCs w:val="17"/>
              </w:rPr>
              <w:t>Ongoing investment in a lived experience advisory group.</w:t>
            </w:r>
          </w:p>
          <w:p w14:paraId="379D3A23" w14:textId="77777777" w:rsidR="00B13AB1" w:rsidRPr="004825BB" w:rsidRDefault="00B13AB1" w:rsidP="00B13AB1">
            <w:pPr>
              <w:pStyle w:val="TableBullet"/>
              <w:spacing w:before="40" w:after="40"/>
              <w:rPr>
                <w:sz w:val="17"/>
                <w:szCs w:val="17"/>
              </w:rPr>
            </w:pPr>
            <w:r w:rsidRPr="004825BB">
              <w:rPr>
                <w:sz w:val="17"/>
                <w:szCs w:val="17"/>
              </w:rPr>
              <w:t>Develop and roll-out a modern client data management system. This will assist service with day-to-day client information management activities, continuous quality improvement, and reporting. It will also enable and enhance contract monitoring. This will reduce the amount of effort and resource required for data processing, thus allowing more resource to be put towards front line service delivery.</w:t>
            </w:r>
          </w:p>
          <w:p w14:paraId="25CC0F82" w14:textId="77777777" w:rsidR="00B13AB1" w:rsidRPr="004825BB" w:rsidRDefault="00B13AB1" w:rsidP="00B13AB1">
            <w:pPr>
              <w:pStyle w:val="TableBullet"/>
              <w:spacing w:before="40" w:after="40"/>
              <w:rPr>
                <w:sz w:val="17"/>
                <w:szCs w:val="17"/>
              </w:rPr>
            </w:pPr>
            <w:r w:rsidRPr="004825BB">
              <w:rPr>
                <w:sz w:val="17"/>
                <w:szCs w:val="17"/>
              </w:rPr>
              <w:t xml:space="preserve">Invest in research and evaluation to inform policies and service improvement. Ensure research and evaluation is informed by affected communities, service providers, and those with lived experience. </w:t>
            </w:r>
          </w:p>
          <w:p w14:paraId="207BA9F2" w14:textId="15A3122C" w:rsidR="00B13AB1" w:rsidRPr="004825BB" w:rsidRDefault="00B13AB1" w:rsidP="00B13AB1">
            <w:pPr>
              <w:pStyle w:val="TableBullet"/>
              <w:spacing w:before="40" w:after="40"/>
              <w:rPr>
                <w:sz w:val="17"/>
                <w:szCs w:val="17"/>
              </w:rPr>
            </w:pPr>
            <w:r w:rsidRPr="004825BB">
              <w:rPr>
                <w:sz w:val="17"/>
                <w:szCs w:val="17"/>
              </w:rPr>
              <w:t xml:space="preserve">This will include an impact evaluation of the </w:t>
            </w:r>
            <w:r w:rsidR="6D68204A" w:rsidRPr="004825BB">
              <w:rPr>
                <w:sz w:val="17"/>
                <w:szCs w:val="17"/>
              </w:rPr>
              <w:t>s</w:t>
            </w:r>
            <w:r w:rsidRPr="004825BB">
              <w:rPr>
                <w:sz w:val="17"/>
                <w:szCs w:val="17"/>
              </w:rPr>
              <w:t xml:space="preserve">trategy itself, and all services commissioned under it and development of a monitoring framework covering activities funded by the </w:t>
            </w:r>
            <w:r w:rsidR="34BE3F1F" w:rsidRPr="004825BB">
              <w:rPr>
                <w:sz w:val="17"/>
                <w:szCs w:val="17"/>
              </w:rPr>
              <w:t>s</w:t>
            </w:r>
            <w:r w:rsidRPr="004825BB">
              <w:rPr>
                <w:sz w:val="17"/>
                <w:szCs w:val="17"/>
              </w:rPr>
              <w:t>trategy.</w:t>
            </w:r>
          </w:p>
        </w:tc>
      </w:tr>
      <w:tr w:rsidR="00B13AB1" w:rsidRPr="004825BB" w14:paraId="27BCF443" w14:textId="77777777" w:rsidTr="004825BB">
        <w:trPr>
          <w:gridAfter w:val="1"/>
          <w:wAfter w:w="142" w:type="dxa"/>
          <w:trHeight w:val="300"/>
        </w:trPr>
        <w:tc>
          <w:tcPr>
            <w:tcW w:w="1560" w:type="dxa"/>
            <w:tcBorders>
              <w:top w:val="single" w:sz="4" w:space="0" w:color="auto"/>
              <w:bottom w:val="single" w:sz="4" w:space="0" w:color="auto"/>
            </w:tcBorders>
            <w:vAlign w:val="center"/>
          </w:tcPr>
          <w:p w14:paraId="28D5E72D" w14:textId="77777777" w:rsidR="00B13AB1" w:rsidRPr="004825BB" w:rsidRDefault="00B13AB1" w:rsidP="00860EAD">
            <w:pPr>
              <w:pStyle w:val="TableText"/>
              <w:spacing w:before="40" w:after="40"/>
              <w:rPr>
                <w:b/>
                <w:bCs/>
                <w:sz w:val="17"/>
                <w:szCs w:val="17"/>
              </w:rPr>
            </w:pPr>
            <w:r w:rsidRPr="004825BB">
              <w:rPr>
                <w:rFonts w:eastAsia="Arial"/>
                <w:b/>
                <w:bCs/>
                <w:sz w:val="17"/>
                <w:szCs w:val="17"/>
              </w:rPr>
              <w:t>Agency costs</w:t>
            </w:r>
          </w:p>
        </w:tc>
        <w:tc>
          <w:tcPr>
            <w:tcW w:w="992" w:type="dxa"/>
            <w:tcBorders>
              <w:top w:val="single" w:sz="4" w:space="0" w:color="auto"/>
              <w:bottom w:val="single" w:sz="4" w:space="0" w:color="auto"/>
            </w:tcBorders>
            <w:vAlign w:val="center"/>
          </w:tcPr>
          <w:p w14:paraId="31127A6C" w14:textId="77777777" w:rsidR="00B13AB1" w:rsidRPr="004825BB" w:rsidRDefault="00B13AB1" w:rsidP="00860EAD">
            <w:pPr>
              <w:pStyle w:val="TableText"/>
              <w:spacing w:before="40" w:after="40"/>
              <w:jc w:val="right"/>
              <w:rPr>
                <w:sz w:val="17"/>
                <w:szCs w:val="17"/>
              </w:rPr>
            </w:pPr>
            <w:r w:rsidRPr="004825BB">
              <w:rPr>
                <w:rFonts w:eastAsia="Arial"/>
                <w:sz w:val="17"/>
                <w:szCs w:val="17"/>
              </w:rPr>
              <w:t>2.181</w:t>
            </w:r>
          </w:p>
        </w:tc>
        <w:tc>
          <w:tcPr>
            <w:tcW w:w="992" w:type="dxa"/>
            <w:tcBorders>
              <w:top w:val="single" w:sz="4" w:space="0" w:color="auto"/>
              <w:bottom w:val="single" w:sz="4" w:space="0" w:color="auto"/>
            </w:tcBorders>
            <w:vAlign w:val="center"/>
          </w:tcPr>
          <w:p w14:paraId="2CEF493E" w14:textId="77777777" w:rsidR="00B13AB1" w:rsidRPr="004825BB" w:rsidRDefault="00B13AB1" w:rsidP="00860EAD">
            <w:pPr>
              <w:pStyle w:val="TableText"/>
              <w:spacing w:before="40" w:after="40"/>
              <w:jc w:val="right"/>
              <w:rPr>
                <w:sz w:val="17"/>
                <w:szCs w:val="17"/>
              </w:rPr>
            </w:pPr>
            <w:r w:rsidRPr="004825BB">
              <w:rPr>
                <w:rFonts w:eastAsia="Arial"/>
                <w:sz w:val="17"/>
                <w:szCs w:val="17"/>
              </w:rPr>
              <w:t>2.475</w:t>
            </w:r>
          </w:p>
        </w:tc>
        <w:tc>
          <w:tcPr>
            <w:tcW w:w="993" w:type="dxa"/>
            <w:tcBorders>
              <w:top w:val="single" w:sz="4" w:space="0" w:color="auto"/>
              <w:bottom w:val="single" w:sz="4" w:space="0" w:color="auto"/>
            </w:tcBorders>
            <w:vAlign w:val="center"/>
          </w:tcPr>
          <w:p w14:paraId="72D9985A" w14:textId="77777777" w:rsidR="00B13AB1" w:rsidRPr="004825BB" w:rsidRDefault="00B13AB1" w:rsidP="00860EAD">
            <w:pPr>
              <w:pStyle w:val="TableText"/>
              <w:spacing w:before="40" w:after="40"/>
              <w:jc w:val="right"/>
              <w:rPr>
                <w:sz w:val="17"/>
                <w:szCs w:val="17"/>
              </w:rPr>
            </w:pPr>
            <w:r w:rsidRPr="004825BB">
              <w:rPr>
                <w:rFonts w:eastAsia="Arial"/>
                <w:sz w:val="17"/>
                <w:szCs w:val="17"/>
              </w:rPr>
              <w:t>2.302</w:t>
            </w:r>
          </w:p>
        </w:tc>
        <w:tc>
          <w:tcPr>
            <w:tcW w:w="992" w:type="dxa"/>
            <w:tcBorders>
              <w:top w:val="single" w:sz="4" w:space="0" w:color="auto"/>
              <w:bottom w:val="single" w:sz="4" w:space="0" w:color="auto"/>
            </w:tcBorders>
            <w:vAlign w:val="center"/>
          </w:tcPr>
          <w:p w14:paraId="20B6A3D1" w14:textId="77777777" w:rsidR="00B13AB1" w:rsidRPr="004825BB" w:rsidRDefault="00B13AB1" w:rsidP="00860EAD">
            <w:pPr>
              <w:pStyle w:val="TableText"/>
              <w:spacing w:before="40" w:after="40"/>
              <w:jc w:val="right"/>
              <w:rPr>
                <w:b/>
                <w:bCs/>
                <w:sz w:val="17"/>
                <w:szCs w:val="17"/>
              </w:rPr>
            </w:pPr>
            <w:r w:rsidRPr="004825BB">
              <w:rPr>
                <w:rFonts w:eastAsia="Arial"/>
                <w:b/>
                <w:bCs/>
                <w:sz w:val="17"/>
                <w:szCs w:val="17"/>
              </w:rPr>
              <w:t>6.958</w:t>
            </w:r>
          </w:p>
        </w:tc>
        <w:tc>
          <w:tcPr>
            <w:tcW w:w="8363" w:type="dxa"/>
            <w:tcBorders>
              <w:top w:val="single" w:sz="4" w:space="0" w:color="auto"/>
              <w:bottom w:val="single" w:sz="4" w:space="0" w:color="auto"/>
            </w:tcBorders>
          </w:tcPr>
          <w:p w14:paraId="19B74ACA" w14:textId="77777777" w:rsidR="00B13AB1" w:rsidRPr="004825BB" w:rsidRDefault="00B13AB1" w:rsidP="00860EAD">
            <w:pPr>
              <w:pStyle w:val="TableText"/>
              <w:spacing w:before="40" w:after="40"/>
              <w:jc w:val="right"/>
              <w:rPr>
                <w:rFonts w:eastAsia="Arial"/>
                <w:b/>
                <w:bCs/>
                <w:sz w:val="17"/>
                <w:szCs w:val="17"/>
              </w:rPr>
            </w:pPr>
          </w:p>
        </w:tc>
      </w:tr>
      <w:tr w:rsidR="00B13AB1" w:rsidRPr="004825BB" w14:paraId="73BA0262" w14:textId="77777777" w:rsidTr="004825BB">
        <w:trPr>
          <w:gridAfter w:val="1"/>
          <w:wAfter w:w="142" w:type="dxa"/>
          <w:trHeight w:val="285"/>
        </w:trPr>
        <w:tc>
          <w:tcPr>
            <w:tcW w:w="1560" w:type="dxa"/>
            <w:tcBorders>
              <w:top w:val="single" w:sz="4" w:space="0" w:color="auto"/>
              <w:bottom w:val="single" w:sz="4" w:space="0" w:color="auto"/>
            </w:tcBorders>
            <w:vAlign w:val="center"/>
          </w:tcPr>
          <w:p w14:paraId="16F36FC1" w14:textId="77777777" w:rsidR="00B13AB1" w:rsidRPr="004825BB" w:rsidRDefault="00B13AB1" w:rsidP="00860EAD">
            <w:pPr>
              <w:pStyle w:val="TableText"/>
              <w:spacing w:before="40" w:after="40"/>
              <w:rPr>
                <w:b/>
                <w:bCs/>
                <w:sz w:val="17"/>
                <w:szCs w:val="17"/>
              </w:rPr>
            </w:pPr>
            <w:r w:rsidRPr="004825BB">
              <w:rPr>
                <w:rFonts w:eastAsia="Calibri"/>
                <w:b/>
                <w:bCs/>
                <w:sz w:val="17"/>
                <w:szCs w:val="17"/>
              </w:rPr>
              <w:t xml:space="preserve"> Total </w:t>
            </w:r>
          </w:p>
        </w:tc>
        <w:tc>
          <w:tcPr>
            <w:tcW w:w="992" w:type="dxa"/>
            <w:tcBorders>
              <w:top w:val="single" w:sz="4" w:space="0" w:color="auto"/>
              <w:left w:val="nil"/>
              <w:bottom w:val="single" w:sz="4" w:space="0" w:color="auto"/>
              <w:right w:val="nil"/>
            </w:tcBorders>
            <w:shd w:val="clear" w:color="auto" w:fill="auto"/>
            <w:vAlign w:val="bottom"/>
          </w:tcPr>
          <w:p w14:paraId="1413088C" w14:textId="77777777" w:rsidR="00B13AB1" w:rsidRPr="004825BB" w:rsidRDefault="00B13AB1" w:rsidP="00860EAD">
            <w:pPr>
              <w:pStyle w:val="TableText"/>
              <w:spacing w:before="40" w:after="40"/>
              <w:jc w:val="right"/>
              <w:rPr>
                <w:b/>
                <w:bCs/>
                <w:sz w:val="17"/>
                <w:szCs w:val="17"/>
                <w:highlight w:val="yellow"/>
              </w:rPr>
            </w:pPr>
            <w:r w:rsidRPr="004825BB">
              <w:rPr>
                <w:rFonts w:ascii="Arial" w:hAnsi="Arial" w:cs="Arial"/>
                <w:b/>
                <w:bCs/>
                <w:color w:val="000000"/>
                <w:sz w:val="17"/>
                <w:szCs w:val="17"/>
              </w:rPr>
              <w:t>29.105</w:t>
            </w:r>
          </w:p>
        </w:tc>
        <w:tc>
          <w:tcPr>
            <w:tcW w:w="992" w:type="dxa"/>
            <w:tcBorders>
              <w:top w:val="single" w:sz="4" w:space="0" w:color="auto"/>
              <w:left w:val="nil"/>
              <w:bottom w:val="single" w:sz="4" w:space="0" w:color="auto"/>
              <w:right w:val="nil"/>
            </w:tcBorders>
            <w:shd w:val="clear" w:color="auto" w:fill="auto"/>
            <w:vAlign w:val="bottom"/>
          </w:tcPr>
          <w:p w14:paraId="393B96A3" w14:textId="77777777" w:rsidR="00B13AB1" w:rsidRPr="004825BB" w:rsidRDefault="00B13AB1" w:rsidP="00860EAD">
            <w:pPr>
              <w:pStyle w:val="TableText"/>
              <w:spacing w:before="40" w:after="40"/>
              <w:jc w:val="right"/>
              <w:rPr>
                <w:rFonts w:eastAsia="Arial"/>
                <w:b/>
                <w:bCs/>
                <w:sz w:val="17"/>
                <w:szCs w:val="17"/>
                <w:highlight w:val="yellow"/>
              </w:rPr>
            </w:pPr>
            <w:r w:rsidRPr="004825BB">
              <w:rPr>
                <w:rFonts w:ascii="Arial" w:hAnsi="Arial" w:cs="Arial"/>
                <w:b/>
                <w:bCs/>
                <w:color w:val="000000"/>
                <w:sz w:val="17"/>
                <w:szCs w:val="17"/>
              </w:rPr>
              <w:t>31.429</w:t>
            </w:r>
          </w:p>
        </w:tc>
        <w:tc>
          <w:tcPr>
            <w:tcW w:w="993" w:type="dxa"/>
            <w:tcBorders>
              <w:top w:val="single" w:sz="4" w:space="0" w:color="auto"/>
              <w:left w:val="nil"/>
              <w:bottom w:val="single" w:sz="4" w:space="0" w:color="auto"/>
              <w:right w:val="nil"/>
            </w:tcBorders>
            <w:shd w:val="clear" w:color="auto" w:fill="auto"/>
            <w:vAlign w:val="bottom"/>
          </w:tcPr>
          <w:p w14:paraId="3E0EB266" w14:textId="77777777" w:rsidR="00B13AB1" w:rsidRPr="004825BB" w:rsidRDefault="00B13AB1" w:rsidP="00860EAD">
            <w:pPr>
              <w:pStyle w:val="TableText"/>
              <w:spacing w:before="40" w:after="40"/>
              <w:jc w:val="right"/>
              <w:rPr>
                <w:rFonts w:eastAsia="Arial"/>
                <w:b/>
                <w:bCs/>
                <w:sz w:val="17"/>
                <w:szCs w:val="17"/>
                <w:highlight w:val="yellow"/>
              </w:rPr>
            </w:pPr>
            <w:r w:rsidRPr="004825BB">
              <w:rPr>
                <w:rFonts w:ascii="Arial" w:hAnsi="Arial" w:cs="Arial"/>
                <w:b/>
                <w:bCs/>
                <w:color w:val="000000"/>
                <w:sz w:val="17"/>
                <w:szCs w:val="17"/>
              </w:rPr>
              <w:t>31.272</w:t>
            </w:r>
          </w:p>
        </w:tc>
        <w:tc>
          <w:tcPr>
            <w:tcW w:w="992" w:type="dxa"/>
            <w:tcBorders>
              <w:top w:val="single" w:sz="4" w:space="0" w:color="auto"/>
              <w:left w:val="nil"/>
              <w:bottom w:val="single" w:sz="4" w:space="0" w:color="auto"/>
              <w:right w:val="nil"/>
            </w:tcBorders>
            <w:shd w:val="clear" w:color="auto" w:fill="auto"/>
            <w:vAlign w:val="bottom"/>
          </w:tcPr>
          <w:p w14:paraId="54DEBBF5" w14:textId="77777777" w:rsidR="00B13AB1" w:rsidRPr="004825BB" w:rsidRDefault="00B13AB1" w:rsidP="00860EAD">
            <w:pPr>
              <w:pStyle w:val="TableText"/>
              <w:spacing w:before="40" w:after="40"/>
              <w:jc w:val="right"/>
              <w:rPr>
                <w:rFonts w:eastAsia="Arial"/>
                <w:b/>
                <w:bCs/>
                <w:sz w:val="17"/>
                <w:szCs w:val="17"/>
                <w:highlight w:val="yellow"/>
              </w:rPr>
            </w:pPr>
            <w:r w:rsidRPr="004825BB">
              <w:rPr>
                <w:rFonts w:ascii="Arial" w:hAnsi="Arial" w:cs="Arial"/>
                <w:b/>
                <w:bCs/>
                <w:color w:val="000000"/>
                <w:sz w:val="17"/>
                <w:szCs w:val="17"/>
              </w:rPr>
              <w:t>91.805</w:t>
            </w:r>
          </w:p>
        </w:tc>
        <w:tc>
          <w:tcPr>
            <w:tcW w:w="8363" w:type="dxa"/>
            <w:tcBorders>
              <w:top w:val="single" w:sz="4" w:space="0" w:color="auto"/>
              <w:bottom w:val="single" w:sz="4" w:space="0" w:color="auto"/>
            </w:tcBorders>
          </w:tcPr>
          <w:p w14:paraId="7FDD9C16" w14:textId="77777777" w:rsidR="00B13AB1" w:rsidRPr="004825BB" w:rsidRDefault="00B13AB1" w:rsidP="00860EAD">
            <w:pPr>
              <w:pStyle w:val="TableText"/>
              <w:spacing w:before="40" w:after="40"/>
              <w:jc w:val="right"/>
              <w:rPr>
                <w:rFonts w:eastAsia="Arial"/>
                <w:b/>
                <w:bCs/>
                <w:sz w:val="17"/>
                <w:szCs w:val="17"/>
              </w:rPr>
            </w:pPr>
          </w:p>
        </w:tc>
      </w:tr>
    </w:tbl>
    <w:p w14:paraId="41FA5653" w14:textId="77777777" w:rsidR="00B13AB1" w:rsidRPr="0043478F" w:rsidRDefault="00B13AB1" w:rsidP="00FD7201">
      <w:pPr>
        <w:pStyle w:val="Note"/>
      </w:pPr>
      <w:r w:rsidRPr="004739B4">
        <w:rPr>
          <w:rFonts w:eastAsia="Lucida Sans Unicode"/>
        </w:rPr>
        <w:t>Note</w:t>
      </w:r>
      <w:r>
        <w:rPr>
          <w:rFonts w:eastAsia="Lucida Sans Unicode"/>
        </w:rPr>
        <w:t>s</w:t>
      </w:r>
      <w:r w:rsidRPr="004739B4">
        <w:rPr>
          <w:rFonts w:eastAsia="Lucida Sans Unicode"/>
        </w:rPr>
        <w:t xml:space="preserve">: Proposed services are discussed later in this section. Budget </w:t>
      </w:r>
      <w:r>
        <w:rPr>
          <w:rFonts w:eastAsia="Lucida Sans Unicode"/>
        </w:rPr>
        <w:t xml:space="preserve">sums </w:t>
      </w:r>
      <w:r w:rsidRPr="004739B4">
        <w:rPr>
          <w:rFonts w:eastAsia="Lucida Sans Unicode"/>
        </w:rPr>
        <w:t xml:space="preserve">may not </w:t>
      </w:r>
      <w:r>
        <w:rPr>
          <w:rFonts w:eastAsia="Lucida Sans Unicode"/>
        </w:rPr>
        <w:t>total</w:t>
      </w:r>
      <w:r w:rsidRPr="004739B4">
        <w:rPr>
          <w:rFonts w:eastAsia="Lucida Sans Unicode"/>
        </w:rPr>
        <w:t xml:space="preserve"> due to rounding.</w:t>
      </w:r>
      <w:r>
        <w:rPr>
          <w:rFonts w:eastAsia="Lucida Sans Unicode"/>
        </w:rPr>
        <w:t xml:space="preserve">  </w:t>
      </w:r>
    </w:p>
    <w:p w14:paraId="3BCE7735" w14:textId="77777777" w:rsidR="00B13AB1" w:rsidRDefault="00B13AB1" w:rsidP="00FD7201">
      <w:pPr>
        <w:pStyle w:val="Note"/>
        <w:sectPr w:rsidR="00B13AB1" w:rsidSect="004825BB">
          <w:headerReference w:type="even" r:id="rId26"/>
          <w:headerReference w:type="default" r:id="rId27"/>
          <w:footerReference w:type="even" r:id="rId28"/>
          <w:footerReference w:type="default" r:id="rId29"/>
          <w:pgSz w:w="16834" w:h="11907" w:orient="landscape" w:code="9"/>
          <w:pgMar w:top="907" w:right="1701" w:bottom="1021" w:left="1701" w:header="284" w:footer="425" w:gutter="284"/>
          <w:cols w:space="720"/>
          <w:docGrid w:linePitch="286"/>
        </w:sectPr>
      </w:pPr>
    </w:p>
    <w:p w14:paraId="7AC009E9" w14:textId="00352CB8" w:rsidR="00B13AB1" w:rsidRPr="00FD7201" w:rsidRDefault="00B13AB1" w:rsidP="00FD7201">
      <w:pPr>
        <w:pStyle w:val="Heading2"/>
        <w:spacing w:before="0"/>
      </w:pPr>
      <w:bookmarkStart w:id="28" w:name="_Toc185338895"/>
      <w:r w:rsidRPr="00FD7201">
        <w:t xml:space="preserve">Research and </w:t>
      </w:r>
      <w:proofErr w:type="gramStart"/>
      <w:r w:rsidR="00972203" w:rsidRPr="00FD7201">
        <w:t>evaluation</w:t>
      </w:r>
      <w:bookmarkEnd w:id="28"/>
      <w:proofErr w:type="gramEnd"/>
    </w:p>
    <w:p w14:paraId="57085E8A" w14:textId="77777777" w:rsidR="00D96621" w:rsidRDefault="00B13AB1" w:rsidP="00FD7201">
      <w:r w:rsidRPr="004A2B05">
        <w:rPr>
          <w:rFonts w:eastAsia="Segoe UI"/>
        </w:rPr>
        <w:t>Research funding is managed by the Ministry</w:t>
      </w:r>
      <w:r>
        <w:rPr>
          <w:rFonts w:eastAsia="Segoe UI"/>
        </w:rPr>
        <w:t>,</w:t>
      </w:r>
      <w:r w:rsidRPr="004A2B05">
        <w:rPr>
          <w:rFonts w:eastAsia="Segoe UI"/>
        </w:rPr>
        <w:t xml:space="preserve"> and s</w:t>
      </w:r>
      <w:r w:rsidRPr="004A2B05">
        <w:t>ervice evaluation is managed by Health New Zealand.</w:t>
      </w:r>
      <w:r>
        <w:t xml:space="preserve"> </w:t>
      </w:r>
    </w:p>
    <w:p w14:paraId="15595B85" w14:textId="77777777" w:rsidR="00D96621" w:rsidRDefault="00D96621" w:rsidP="00FD7201"/>
    <w:p w14:paraId="344931CC" w14:textId="2BFCEB31" w:rsidR="00B13AB1" w:rsidRPr="00172194" w:rsidRDefault="00B13AB1" w:rsidP="00FD7201">
      <w:pPr>
        <w:rPr>
          <w:rFonts w:eastAsia="Calibri"/>
        </w:rPr>
      </w:pPr>
      <w:r w:rsidRPr="67A699A4">
        <w:rPr>
          <w:rFonts w:eastAsia="Calibri"/>
        </w:rPr>
        <w:t xml:space="preserve">The Ministry has developed the following </w:t>
      </w:r>
      <w:r w:rsidRPr="007F05F9">
        <w:rPr>
          <w:rFonts w:eastAsia="Calibri"/>
        </w:rPr>
        <w:t>research and evaluation framework</w:t>
      </w:r>
      <w:r w:rsidRPr="67A699A4">
        <w:rPr>
          <w:rFonts w:eastAsia="Calibri"/>
        </w:rPr>
        <w:t xml:space="preserve"> to guide the planning of gambling harm research programme within and beyond the </w:t>
      </w:r>
      <w:r>
        <w:rPr>
          <w:rFonts w:eastAsia="Calibri"/>
        </w:rPr>
        <w:t>three</w:t>
      </w:r>
      <w:r w:rsidRPr="67A699A4">
        <w:rPr>
          <w:rFonts w:eastAsia="Calibri"/>
        </w:rPr>
        <w:t xml:space="preserve">-year </w:t>
      </w:r>
      <w:r w:rsidR="469BC92F" w:rsidRPr="67A699A4">
        <w:rPr>
          <w:rFonts w:eastAsia="Calibri"/>
        </w:rPr>
        <w:t>S</w:t>
      </w:r>
      <w:r w:rsidRPr="67A699A4">
        <w:rPr>
          <w:rFonts w:eastAsia="Calibri"/>
        </w:rPr>
        <w:t xml:space="preserve">trategy period. </w:t>
      </w:r>
      <w:r>
        <w:rPr>
          <w:rFonts w:eastAsia="Calibri"/>
        </w:rPr>
        <w:t>This framework addresses comments in the Gambling Commission’s 2022 report on levy funding that the research programme should extend beyond the three-year levy cycle</w:t>
      </w:r>
      <w:r>
        <w:rPr>
          <w:rStyle w:val="FootnoteReference"/>
          <w:rFonts w:eastAsia="Calibri"/>
        </w:rPr>
        <w:footnoteReference w:id="14"/>
      </w:r>
      <w:r>
        <w:rPr>
          <w:rFonts w:eastAsia="Calibri"/>
        </w:rPr>
        <w:t>.</w:t>
      </w:r>
    </w:p>
    <w:p w14:paraId="77082637" w14:textId="77777777" w:rsidR="00B13AB1" w:rsidRDefault="00B13AB1" w:rsidP="00FD7201"/>
    <w:p w14:paraId="0EAEF449" w14:textId="3C2D0AAE" w:rsidR="00B13AB1" w:rsidRPr="00FD7201" w:rsidRDefault="00B13AB1" w:rsidP="00FD7201">
      <w:pPr>
        <w:pStyle w:val="Table"/>
      </w:pPr>
      <w:bookmarkStart w:id="29" w:name="_Toc185338903"/>
      <w:r w:rsidRPr="00FD7201">
        <w:t xml:space="preserve">Table </w:t>
      </w:r>
      <w:r w:rsidR="00347B76">
        <w:fldChar w:fldCharType="begin"/>
      </w:r>
      <w:r w:rsidR="00347B76">
        <w:instrText xml:space="preserve"> SEQ Table \* ARABIC </w:instrText>
      </w:r>
      <w:r w:rsidR="00347B76">
        <w:fldChar w:fldCharType="separate"/>
      </w:r>
      <w:r w:rsidR="0094542E">
        <w:rPr>
          <w:noProof/>
        </w:rPr>
        <w:t>2</w:t>
      </w:r>
      <w:r w:rsidR="00347B76">
        <w:fldChar w:fldCharType="end"/>
      </w:r>
      <w:r w:rsidRPr="00FD7201">
        <w:t xml:space="preserve">: </w:t>
      </w:r>
      <w:r w:rsidRPr="00FD7201">
        <w:rPr>
          <w:rFonts w:eastAsia="Calibri"/>
        </w:rPr>
        <w:t>Gambling harm research and evaluation framework</w:t>
      </w:r>
      <w:bookmarkEnd w:id="29"/>
    </w:p>
    <w:tbl>
      <w:tblPr>
        <w:tblStyle w:val="TableGrid"/>
        <w:tblW w:w="808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1843"/>
        <w:gridCol w:w="6237"/>
      </w:tblGrid>
      <w:tr w:rsidR="00B13AB1" w:rsidRPr="00172194" w14:paraId="03C23FD7" w14:textId="77777777" w:rsidTr="00FD7201">
        <w:trPr>
          <w:trHeight w:val="300"/>
        </w:trPr>
        <w:tc>
          <w:tcPr>
            <w:tcW w:w="1843" w:type="dxa"/>
            <w:tcBorders>
              <w:top w:val="nil"/>
              <w:bottom w:val="nil"/>
            </w:tcBorders>
            <w:shd w:val="clear" w:color="auto" w:fill="D9D9D9" w:themeFill="background1" w:themeFillShade="D9"/>
            <w:tcMar>
              <w:left w:w="108" w:type="dxa"/>
              <w:right w:w="108" w:type="dxa"/>
            </w:tcMar>
          </w:tcPr>
          <w:p w14:paraId="68DE4200" w14:textId="77777777" w:rsidR="00B13AB1" w:rsidRPr="00172194" w:rsidRDefault="00B13AB1" w:rsidP="00860EAD">
            <w:pPr>
              <w:pStyle w:val="TableText"/>
              <w:rPr>
                <w:b/>
                <w:bCs/>
              </w:rPr>
            </w:pPr>
            <w:r w:rsidRPr="00172194">
              <w:rPr>
                <w:rFonts w:eastAsia="Calibri"/>
                <w:b/>
                <w:bCs/>
              </w:rPr>
              <w:t>Functions</w:t>
            </w:r>
          </w:p>
        </w:tc>
        <w:tc>
          <w:tcPr>
            <w:tcW w:w="6237" w:type="dxa"/>
            <w:tcBorders>
              <w:top w:val="nil"/>
              <w:bottom w:val="nil"/>
            </w:tcBorders>
            <w:shd w:val="clear" w:color="auto" w:fill="D9D9D9" w:themeFill="background1" w:themeFillShade="D9"/>
            <w:tcMar>
              <w:left w:w="108" w:type="dxa"/>
              <w:right w:w="108" w:type="dxa"/>
            </w:tcMar>
          </w:tcPr>
          <w:p w14:paraId="3196DDA8" w14:textId="77777777" w:rsidR="00B13AB1" w:rsidRPr="00172194" w:rsidRDefault="00B13AB1" w:rsidP="00860EAD">
            <w:pPr>
              <w:pStyle w:val="TableText"/>
              <w:rPr>
                <w:b/>
                <w:bCs/>
              </w:rPr>
            </w:pPr>
            <w:r w:rsidRPr="00172194">
              <w:rPr>
                <w:rFonts w:eastAsia="Calibri"/>
                <w:b/>
                <w:bCs/>
              </w:rPr>
              <w:t>Description</w:t>
            </w:r>
          </w:p>
        </w:tc>
      </w:tr>
      <w:tr w:rsidR="00B13AB1" w:rsidRPr="00172194" w14:paraId="3E60F790" w14:textId="77777777" w:rsidTr="00FD7201">
        <w:trPr>
          <w:trHeight w:val="300"/>
        </w:trPr>
        <w:tc>
          <w:tcPr>
            <w:tcW w:w="1843" w:type="dxa"/>
            <w:tcBorders>
              <w:top w:val="nil"/>
            </w:tcBorders>
            <w:tcMar>
              <w:left w:w="108" w:type="dxa"/>
              <w:right w:w="108" w:type="dxa"/>
            </w:tcMar>
          </w:tcPr>
          <w:p w14:paraId="4E17CB5C" w14:textId="77777777" w:rsidR="00B13AB1" w:rsidRPr="00FD7201" w:rsidRDefault="00B13AB1" w:rsidP="00FD7201">
            <w:pPr>
              <w:pStyle w:val="TableText"/>
            </w:pPr>
            <w:r w:rsidRPr="00FD7201">
              <w:rPr>
                <w:rFonts w:eastAsia="Calibri"/>
              </w:rPr>
              <w:t>Monitoring of gambling harm</w:t>
            </w:r>
          </w:p>
        </w:tc>
        <w:tc>
          <w:tcPr>
            <w:tcW w:w="6237" w:type="dxa"/>
            <w:tcBorders>
              <w:top w:val="nil"/>
            </w:tcBorders>
            <w:tcMar>
              <w:left w:w="108" w:type="dxa"/>
              <w:right w:w="108" w:type="dxa"/>
            </w:tcMar>
          </w:tcPr>
          <w:p w14:paraId="01E1615E" w14:textId="4A734D73" w:rsidR="00B13AB1" w:rsidRPr="00FD7201" w:rsidRDefault="00B13AB1" w:rsidP="00FD7201">
            <w:pPr>
              <w:pStyle w:val="TableText"/>
            </w:pPr>
            <w:r w:rsidRPr="00FD7201">
              <w:rPr>
                <w:rFonts w:eastAsia="Calibri"/>
              </w:rPr>
              <w:t xml:space="preserve">Monitoring and analysis of gambling harm, risks, service use, and the changing environment through a range of studies, such </w:t>
            </w:r>
            <w:r w:rsidR="00901691" w:rsidRPr="00FD7201">
              <w:rPr>
                <w:rFonts w:eastAsia="Calibri"/>
              </w:rPr>
              <w:t>as longitudinal</w:t>
            </w:r>
            <w:r w:rsidRPr="00FD7201">
              <w:rPr>
                <w:rFonts w:eastAsia="Calibri"/>
              </w:rPr>
              <w:t xml:space="preserve"> studies, prevalence surveys, and other intelligence gathering for up-to-date data and analysis on gambling harm in New Zealand.</w:t>
            </w:r>
          </w:p>
        </w:tc>
      </w:tr>
      <w:tr w:rsidR="00B13AB1" w:rsidRPr="00172194" w14:paraId="3DA6DC44" w14:textId="77777777" w:rsidTr="00FD7201">
        <w:trPr>
          <w:trHeight w:val="300"/>
        </w:trPr>
        <w:tc>
          <w:tcPr>
            <w:tcW w:w="1843" w:type="dxa"/>
            <w:tcMar>
              <w:left w:w="108" w:type="dxa"/>
              <w:right w:w="108" w:type="dxa"/>
            </w:tcMar>
          </w:tcPr>
          <w:p w14:paraId="290633CC" w14:textId="77777777" w:rsidR="00B13AB1" w:rsidRPr="00FD7201" w:rsidRDefault="00B13AB1" w:rsidP="00FD7201">
            <w:pPr>
              <w:pStyle w:val="TableText"/>
            </w:pPr>
            <w:r w:rsidRPr="00FD7201">
              <w:rPr>
                <w:rFonts w:eastAsia="Calibri"/>
              </w:rPr>
              <w:t>Research to strengthen knowledge base</w:t>
            </w:r>
          </w:p>
        </w:tc>
        <w:tc>
          <w:tcPr>
            <w:tcW w:w="6237" w:type="dxa"/>
            <w:tcMar>
              <w:left w:w="108" w:type="dxa"/>
              <w:right w:w="108" w:type="dxa"/>
            </w:tcMar>
          </w:tcPr>
          <w:p w14:paraId="6DFDD37A" w14:textId="77777777" w:rsidR="00B13AB1" w:rsidRPr="00FD7201" w:rsidRDefault="00B13AB1" w:rsidP="00FD7201">
            <w:pPr>
              <w:pStyle w:val="TableText"/>
            </w:pPr>
            <w:r w:rsidRPr="00FD7201">
              <w:rPr>
                <w:rFonts w:eastAsia="Calibri"/>
              </w:rPr>
              <w:t>Research in areas where knowledge gaps exist, such as the impact of online gambling and eSport, alternative intervention and treatment options, and the use of administrative data to inform action and support gambling harm research capability in the sector.</w:t>
            </w:r>
          </w:p>
        </w:tc>
      </w:tr>
      <w:tr w:rsidR="00B13AB1" w:rsidRPr="00172194" w14:paraId="35F2E8E3" w14:textId="77777777" w:rsidTr="00FD7201">
        <w:trPr>
          <w:trHeight w:val="300"/>
        </w:trPr>
        <w:tc>
          <w:tcPr>
            <w:tcW w:w="1843" w:type="dxa"/>
            <w:tcMar>
              <w:left w:w="108" w:type="dxa"/>
              <w:right w:w="108" w:type="dxa"/>
            </w:tcMar>
          </w:tcPr>
          <w:p w14:paraId="455CFABD" w14:textId="77777777" w:rsidR="00B13AB1" w:rsidRPr="00FD7201" w:rsidRDefault="00B13AB1" w:rsidP="00FD7201">
            <w:pPr>
              <w:pStyle w:val="TableText"/>
            </w:pPr>
            <w:r w:rsidRPr="00FD7201">
              <w:rPr>
                <w:rFonts w:eastAsia="Calibri"/>
              </w:rPr>
              <w:t>Evaluation to understand what works</w:t>
            </w:r>
          </w:p>
        </w:tc>
        <w:tc>
          <w:tcPr>
            <w:tcW w:w="6237" w:type="dxa"/>
            <w:tcMar>
              <w:left w:w="108" w:type="dxa"/>
              <w:right w:w="108" w:type="dxa"/>
            </w:tcMar>
          </w:tcPr>
          <w:p w14:paraId="1B0BFCEE" w14:textId="697DC355" w:rsidR="00B13AB1" w:rsidRPr="00FD7201" w:rsidRDefault="18F740E2" w:rsidP="00FD7201">
            <w:pPr>
              <w:pStyle w:val="TableText"/>
              <w:rPr>
                <w:rFonts w:eastAsia="Calibri"/>
              </w:rPr>
            </w:pPr>
            <w:r w:rsidRPr="00FD7201">
              <w:rPr>
                <w:rFonts w:eastAsia="Calibri"/>
              </w:rPr>
              <w:t xml:space="preserve">Evaluation to understand what works to prevent harm from gambling and to minimise its impacts on individuals, families, and society including reviews </w:t>
            </w:r>
            <w:r w:rsidR="652BD661" w:rsidRPr="00FD7201">
              <w:rPr>
                <w:rFonts w:eastAsia="Calibri"/>
              </w:rPr>
              <w:t>of strategies</w:t>
            </w:r>
            <w:r w:rsidRPr="00FD7201">
              <w:rPr>
                <w:rFonts w:eastAsia="Calibri"/>
              </w:rPr>
              <w:t>, policies, services, and other related initiatives.</w:t>
            </w:r>
          </w:p>
        </w:tc>
      </w:tr>
      <w:tr w:rsidR="00B13AB1" w:rsidRPr="00172194" w14:paraId="0D52EA74" w14:textId="77777777" w:rsidTr="00FD7201">
        <w:trPr>
          <w:trHeight w:val="300"/>
        </w:trPr>
        <w:tc>
          <w:tcPr>
            <w:tcW w:w="1843" w:type="dxa"/>
            <w:tcMar>
              <w:left w:w="108" w:type="dxa"/>
              <w:right w:w="108" w:type="dxa"/>
            </w:tcMar>
          </w:tcPr>
          <w:p w14:paraId="42DD2FAC" w14:textId="77777777" w:rsidR="00B13AB1" w:rsidRPr="00FD7201" w:rsidRDefault="00B13AB1" w:rsidP="00FD7201">
            <w:pPr>
              <w:pStyle w:val="TableText"/>
            </w:pPr>
            <w:r w:rsidRPr="00FD7201">
              <w:rPr>
                <w:rFonts w:eastAsia="Calibri"/>
              </w:rPr>
              <w:t>Dissemination to support evidence-based decisions</w:t>
            </w:r>
          </w:p>
        </w:tc>
        <w:tc>
          <w:tcPr>
            <w:tcW w:w="6237" w:type="dxa"/>
            <w:tcMar>
              <w:left w:w="108" w:type="dxa"/>
              <w:right w:w="108" w:type="dxa"/>
            </w:tcMar>
          </w:tcPr>
          <w:p w14:paraId="3A7A9FD8" w14:textId="2C931A1A" w:rsidR="00B13AB1" w:rsidRPr="00FD7201" w:rsidRDefault="3659F5BD" w:rsidP="00FD7201">
            <w:pPr>
              <w:pStyle w:val="TableText"/>
              <w:rPr>
                <w:rFonts w:eastAsia="Calibri"/>
              </w:rPr>
            </w:pPr>
            <w:r w:rsidRPr="00FD7201">
              <w:rPr>
                <w:rFonts w:eastAsia="Calibri"/>
              </w:rPr>
              <w:t>Dissemination of commissioned gambling harm research findings through a range of platforms and tools, such as a centralised online platform, evidence briefs, and presentations to</w:t>
            </w:r>
            <w:r w:rsidRPr="00FD7201">
              <w:t xml:space="preserve"> </w:t>
            </w:r>
            <w:r w:rsidRPr="00FD7201">
              <w:rPr>
                <w:rFonts w:eastAsia="Calibri"/>
              </w:rPr>
              <w:t xml:space="preserve">raise awareness of and support the use of </w:t>
            </w:r>
            <w:r w:rsidR="72969BFE" w:rsidRPr="00FD7201">
              <w:rPr>
                <w:rFonts w:eastAsia="Calibri"/>
              </w:rPr>
              <w:t>evidence.</w:t>
            </w:r>
          </w:p>
        </w:tc>
      </w:tr>
    </w:tbl>
    <w:p w14:paraId="40F91478" w14:textId="77777777" w:rsidR="00B13AB1" w:rsidRDefault="00B13AB1" w:rsidP="00FD7201">
      <w:pPr>
        <w:rPr>
          <w:rFonts w:eastAsia="Calibri"/>
        </w:rPr>
      </w:pPr>
    </w:p>
    <w:p w14:paraId="73751DFE" w14:textId="20D77C09" w:rsidR="00061936" w:rsidRDefault="00B13AB1" w:rsidP="00FD7201">
      <w:pPr>
        <w:rPr>
          <w:rFonts w:eastAsia="Calibri"/>
        </w:rPr>
      </w:pPr>
      <w:r>
        <w:rPr>
          <w:rFonts w:eastAsia="Calibri"/>
        </w:rPr>
        <w:t xml:space="preserve">In response to recommendations made by the Gambling Commission in their 2019 and 2022 reports on the problem gambling levy and endorsed by several submissions, </w:t>
      </w:r>
      <w:r w:rsidRPr="72DB6E6D">
        <w:rPr>
          <w:rFonts w:eastAsia="Calibri"/>
        </w:rPr>
        <w:t xml:space="preserve">the research programme </w:t>
      </w:r>
      <w:r w:rsidRPr="73E97C55">
        <w:rPr>
          <w:rFonts w:eastAsia="Calibri"/>
        </w:rPr>
        <w:t xml:space="preserve">will </w:t>
      </w:r>
      <w:r w:rsidRPr="72DB6E6D">
        <w:rPr>
          <w:rFonts w:eastAsia="Calibri"/>
        </w:rPr>
        <w:t>include a</w:t>
      </w:r>
      <w:r>
        <w:rPr>
          <w:rFonts w:eastAsia="Calibri"/>
        </w:rPr>
        <w:t xml:space="preserve"> review of the </w:t>
      </w:r>
      <w:r w:rsidR="20897B92" w:rsidRPr="0AF1FAE6">
        <w:rPr>
          <w:rFonts w:eastAsia="Calibri"/>
        </w:rPr>
        <w:t>S</w:t>
      </w:r>
      <w:r>
        <w:rPr>
          <w:rFonts w:eastAsia="Calibri"/>
        </w:rPr>
        <w:t>trategy which will be an</w:t>
      </w:r>
      <w:r w:rsidRPr="73E97C55">
        <w:rPr>
          <w:rFonts w:eastAsia="Calibri"/>
        </w:rPr>
        <w:t xml:space="preserve"> </w:t>
      </w:r>
      <w:r>
        <w:rPr>
          <w:rFonts w:eastAsia="Calibri"/>
        </w:rPr>
        <w:t xml:space="preserve">impact evaluation. The Ministry will also develop a monitoring framework with performance and impact measures of progress </w:t>
      </w:r>
      <w:r w:rsidRPr="72DB6E6D">
        <w:rPr>
          <w:rFonts w:eastAsia="Calibri"/>
        </w:rPr>
        <w:t xml:space="preserve">in </w:t>
      </w:r>
      <w:r w:rsidRPr="73E97C55">
        <w:rPr>
          <w:rFonts w:eastAsia="Calibri"/>
        </w:rPr>
        <w:t xml:space="preserve">preventing and minimising </w:t>
      </w:r>
      <w:r>
        <w:rPr>
          <w:rFonts w:eastAsia="Calibri"/>
        </w:rPr>
        <w:t xml:space="preserve">gambling </w:t>
      </w:r>
      <w:r w:rsidRPr="73E97C55">
        <w:rPr>
          <w:rFonts w:eastAsia="Calibri"/>
        </w:rPr>
        <w:t>harm in New Zealand</w:t>
      </w:r>
      <w:r>
        <w:rPr>
          <w:rFonts w:eastAsia="Calibri"/>
        </w:rPr>
        <w:t xml:space="preserve">. </w:t>
      </w:r>
    </w:p>
    <w:p w14:paraId="4EE4CC09" w14:textId="77777777" w:rsidR="00061936" w:rsidRDefault="00061936" w:rsidP="00FD7201">
      <w:pPr>
        <w:rPr>
          <w:rFonts w:eastAsia="Calibri"/>
        </w:rPr>
      </w:pPr>
    </w:p>
    <w:p w14:paraId="2E931F81" w14:textId="6F0C88B0" w:rsidR="00B13AB1" w:rsidRPr="00172194" w:rsidRDefault="00B13AB1" w:rsidP="00FD7201">
      <w:pPr>
        <w:rPr>
          <w:rFonts w:eastAsia="Calibri"/>
        </w:rPr>
      </w:pPr>
      <w:r w:rsidRPr="72DB6E6D">
        <w:rPr>
          <w:rFonts w:eastAsia="Calibri"/>
        </w:rPr>
        <w:t xml:space="preserve">There is also funding for innovative research in gambling harm and for scholarships for emerging researchers. </w:t>
      </w:r>
      <w:r w:rsidRPr="73E97C55">
        <w:rPr>
          <w:rFonts w:eastAsia="Calibri"/>
        </w:rPr>
        <w:t xml:space="preserve">Further detail about research and evaluation priorities is set out in </w:t>
      </w:r>
      <w:r w:rsidRPr="73E97C55">
        <w:rPr>
          <w:rFonts w:eastAsia="Calibri"/>
          <w:b/>
          <w:bCs/>
        </w:rPr>
        <w:t>Appendix Five</w:t>
      </w:r>
      <w:r w:rsidRPr="73E97C55">
        <w:rPr>
          <w:rFonts w:eastAsia="Calibri"/>
        </w:rPr>
        <w:t xml:space="preserve"> in the Appendices document.</w:t>
      </w:r>
    </w:p>
    <w:p w14:paraId="5D2C5E85" w14:textId="77777777" w:rsidR="00B13AB1" w:rsidRDefault="00B13AB1" w:rsidP="00B13AB1">
      <w:pPr>
        <w:pStyle w:val="Table"/>
      </w:pPr>
    </w:p>
    <w:p w14:paraId="5B5B768A" w14:textId="20911EDB" w:rsidR="00D96621" w:rsidRDefault="00D96621">
      <w:pPr>
        <w:rPr>
          <w:b/>
          <w:sz w:val="20"/>
        </w:rPr>
      </w:pPr>
      <w:r>
        <w:br w:type="page"/>
      </w:r>
    </w:p>
    <w:p w14:paraId="0A32F92C" w14:textId="5EE0C6A3" w:rsidR="00B13AB1" w:rsidRPr="00AA55BC" w:rsidRDefault="00B13AB1" w:rsidP="00B13AB1">
      <w:pPr>
        <w:pStyle w:val="Table"/>
      </w:pPr>
      <w:bookmarkStart w:id="30" w:name="_Toc185338904"/>
      <w:r w:rsidRPr="00AA55BC">
        <w:t xml:space="preserve">Table </w:t>
      </w:r>
      <w:r w:rsidR="00347B76">
        <w:fldChar w:fldCharType="begin"/>
      </w:r>
      <w:r w:rsidR="00347B76">
        <w:instrText xml:space="preserve"> SEQ Table \* ARABIC </w:instrText>
      </w:r>
      <w:r w:rsidR="00347B76">
        <w:fldChar w:fldCharType="separate"/>
      </w:r>
      <w:r w:rsidR="0094542E">
        <w:rPr>
          <w:noProof/>
        </w:rPr>
        <w:t>3</w:t>
      </w:r>
      <w:r w:rsidR="00347B76">
        <w:rPr>
          <w:noProof/>
        </w:rPr>
        <w:fldChar w:fldCharType="end"/>
      </w:r>
      <w:r w:rsidRPr="00AA55BC">
        <w:t xml:space="preserve">: </w:t>
      </w:r>
      <w:r w:rsidRPr="00AA55BC">
        <w:rPr>
          <w:rFonts w:eastAsia="Segoe UI"/>
        </w:rPr>
        <w:t>Research and evaluation budget in millions (GST-exclusive), 2025/26 to 2027/28</w:t>
      </w:r>
      <w:bookmarkEnd w:id="30"/>
    </w:p>
    <w:tbl>
      <w:tblPr>
        <w:tblW w:w="8025" w:type="dxa"/>
        <w:tblLayout w:type="fixed"/>
        <w:tblLook w:val="06A0" w:firstRow="1" w:lastRow="0" w:firstColumn="1" w:lastColumn="0" w:noHBand="1" w:noVBand="1"/>
      </w:tblPr>
      <w:tblGrid>
        <w:gridCol w:w="3261"/>
        <w:gridCol w:w="1191"/>
        <w:gridCol w:w="1191"/>
        <w:gridCol w:w="1191"/>
        <w:gridCol w:w="1191"/>
      </w:tblGrid>
      <w:tr w:rsidR="00B13AB1" w:rsidRPr="00172194" w14:paraId="53FF20DB" w14:textId="77777777" w:rsidTr="00FD7201">
        <w:trPr>
          <w:trHeight w:val="340"/>
        </w:trPr>
        <w:tc>
          <w:tcPr>
            <w:tcW w:w="3261" w:type="dxa"/>
            <w:shd w:val="clear" w:color="auto" w:fill="D9D9D9" w:themeFill="background1" w:themeFillShade="D9"/>
            <w:tcMar>
              <w:top w:w="15" w:type="dxa"/>
              <w:left w:w="15" w:type="dxa"/>
              <w:right w:w="15" w:type="dxa"/>
            </w:tcMar>
            <w:vAlign w:val="center"/>
          </w:tcPr>
          <w:p w14:paraId="608DD331" w14:textId="77777777" w:rsidR="00B13AB1" w:rsidRPr="00FD7201" w:rsidRDefault="00B13AB1" w:rsidP="00860EAD">
            <w:pPr>
              <w:pStyle w:val="TableText"/>
              <w:spacing w:line="264" w:lineRule="auto"/>
              <w:rPr>
                <w:rFonts w:eastAsia="Calibri" w:cs="Segoe UI"/>
                <w:b/>
                <w:bCs/>
                <w:szCs w:val="18"/>
              </w:rPr>
            </w:pPr>
            <w:r w:rsidRPr="00FD7201">
              <w:rPr>
                <w:rFonts w:eastAsia="Calibri" w:cs="Segoe UI"/>
                <w:b/>
                <w:bCs/>
                <w:szCs w:val="18"/>
              </w:rPr>
              <w:t>Service area</w:t>
            </w:r>
          </w:p>
        </w:tc>
        <w:tc>
          <w:tcPr>
            <w:tcW w:w="1191" w:type="dxa"/>
            <w:shd w:val="clear" w:color="auto" w:fill="D9D9D9" w:themeFill="background1" w:themeFillShade="D9"/>
            <w:tcMar>
              <w:top w:w="15" w:type="dxa"/>
              <w:left w:w="15" w:type="dxa"/>
              <w:right w:w="15" w:type="dxa"/>
            </w:tcMar>
            <w:vAlign w:val="center"/>
          </w:tcPr>
          <w:p w14:paraId="3BEBE035" w14:textId="77777777" w:rsidR="00B13AB1" w:rsidRPr="00FD7201" w:rsidRDefault="00B13AB1" w:rsidP="00860EAD">
            <w:pPr>
              <w:pStyle w:val="TableText"/>
              <w:spacing w:line="264" w:lineRule="auto"/>
              <w:ind w:left="57" w:right="57"/>
              <w:jc w:val="right"/>
              <w:rPr>
                <w:rFonts w:eastAsia="Calibri" w:cs="Segoe UI"/>
                <w:b/>
                <w:bCs/>
                <w:szCs w:val="18"/>
              </w:rPr>
            </w:pPr>
            <w:r w:rsidRPr="00FD7201">
              <w:rPr>
                <w:rFonts w:eastAsia="Calibri" w:cs="Segoe UI"/>
                <w:b/>
                <w:bCs/>
                <w:szCs w:val="18"/>
              </w:rPr>
              <w:t>2025/26</w:t>
            </w:r>
          </w:p>
        </w:tc>
        <w:tc>
          <w:tcPr>
            <w:tcW w:w="1191" w:type="dxa"/>
            <w:shd w:val="clear" w:color="auto" w:fill="D9D9D9" w:themeFill="background1" w:themeFillShade="D9"/>
            <w:tcMar>
              <w:top w:w="15" w:type="dxa"/>
              <w:left w:w="15" w:type="dxa"/>
              <w:right w:w="15" w:type="dxa"/>
            </w:tcMar>
            <w:vAlign w:val="center"/>
          </w:tcPr>
          <w:p w14:paraId="63053030" w14:textId="77777777" w:rsidR="00B13AB1" w:rsidRPr="00FD7201" w:rsidRDefault="00B13AB1" w:rsidP="00860EAD">
            <w:pPr>
              <w:pStyle w:val="TableText"/>
              <w:spacing w:line="264" w:lineRule="auto"/>
              <w:ind w:left="57" w:right="57"/>
              <w:jc w:val="right"/>
              <w:rPr>
                <w:rFonts w:eastAsia="Calibri" w:cs="Segoe UI"/>
                <w:b/>
                <w:bCs/>
                <w:szCs w:val="18"/>
              </w:rPr>
            </w:pPr>
            <w:r w:rsidRPr="00FD7201">
              <w:rPr>
                <w:rFonts w:eastAsia="Calibri" w:cs="Segoe UI"/>
                <w:b/>
                <w:bCs/>
                <w:szCs w:val="18"/>
              </w:rPr>
              <w:t>2026/27</w:t>
            </w:r>
          </w:p>
        </w:tc>
        <w:tc>
          <w:tcPr>
            <w:tcW w:w="1191" w:type="dxa"/>
            <w:shd w:val="clear" w:color="auto" w:fill="D9D9D9" w:themeFill="background1" w:themeFillShade="D9"/>
            <w:tcMar>
              <w:top w:w="15" w:type="dxa"/>
              <w:left w:w="15" w:type="dxa"/>
              <w:right w:w="15" w:type="dxa"/>
            </w:tcMar>
            <w:vAlign w:val="center"/>
          </w:tcPr>
          <w:p w14:paraId="59168098" w14:textId="77777777" w:rsidR="00B13AB1" w:rsidRPr="00FD7201" w:rsidRDefault="00B13AB1" w:rsidP="00860EAD">
            <w:pPr>
              <w:pStyle w:val="TableText"/>
              <w:spacing w:line="264" w:lineRule="auto"/>
              <w:ind w:left="57" w:right="57"/>
              <w:jc w:val="right"/>
              <w:rPr>
                <w:rFonts w:eastAsia="Calibri" w:cs="Segoe UI"/>
                <w:b/>
                <w:bCs/>
                <w:szCs w:val="18"/>
              </w:rPr>
            </w:pPr>
            <w:r w:rsidRPr="00FD7201">
              <w:rPr>
                <w:rFonts w:eastAsia="Calibri" w:cs="Segoe UI"/>
                <w:b/>
                <w:bCs/>
                <w:szCs w:val="18"/>
              </w:rPr>
              <w:t>2027/28</w:t>
            </w:r>
          </w:p>
        </w:tc>
        <w:tc>
          <w:tcPr>
            <w:tcW w:w="1191" w:type="dxa"/>
            <w:shd w:val="clear" w:color="auto" w:fill="D9D9D9" w:themeFill="background1" w:themeFillShade="D9"/>
            <w:tcMar>
              <w:top w:w="15" w:type="dxa"/>
              <w:left w:w="15" w:type="dxa"/>
              <w:right w:w="15" w:type="dxa"/>
            </w:tcMar>
            <w:vAlign w:val="center"/>
          </w:tcPr>
          <w:p w14:paraId="4F503B48" w14:textId="77777777" w:rsidR="00B13AB1" w:rsidRPr="00FD7201" w:rsidRDefault="00B13AB1" w:rsidP="00860EAD">
            <w:pPr>
              <w:pStyle w:val="TableText"/>
              <w:spacing w:line="264" w:lineRule="auto"/>
              <w:ind w:left="57" w:right="57"/>
              <w:jc w:val="right"/>
              <w:rPr>
                <w:rFonts w:eastAsia="Calibri" w:cs="Segoe UI"/>
                <w:b/>
                <w:bCs/>
                <w:szCs w:val="18"/>
              </w:rPr>
            </w:pPr>
            <w:r w:rsidRPr="00FD7201">
              <w:rPr>
                <w:rFonts w:eastAsia="Calibri" w:cs="Segoe UI"/>
                <w:b/>
                <w:bCs/>
                <w:szCs w:val="18"/>
              </w:rPr>
              <w:t>Total</w:t>
            </w:r>
          </w:p>
        </w:tc>
      </w:tr>
      <w:tr w:rsidR="00B13AB1" w:rsidRPr="00172194" w14:paraId="1883FA05" w14:textId="77777777" w:rsidTr="00FD7201">
        <w:trPr>
          <w:trHeight w:val="340"/>
        </w:trPr>
        <w:tc>
          <w:tcPr>
            <w:tcW w:w="3261" w:type="dxa"/>
            <w:tcBorders>
              <w:bottom w:val="single" w:sz="4" w:space="0" w:color="A6A6A6" w:themeColor="background1" w:themeShade="A6"/>
            </w:tcBorders>
            <w:tcMar>
              <w:top w:w="15" w:type="dxa"/>
              <w:left w:w="15" w:type="dxa"/>
              <w:right w:w="15" w:type="dxa"/>
            </w:tcMar>
          </w:tcPr>
          <w:p w14:paraId="7D9C5A61" w14:textId="77777777" w:rsidR="00B13AB1" w:rsidRPr="00FD7201" w:rsidRDefault="00B13AB1" w:rsidP="00860EAD">
            <w:pPr>
              <w:pStyle w:val="TableText"/>
              <w:spacing w:line="264" w:lineRule="auto"/>
              <w:rPr>
                <w:rFonts w:eastAsia="Calibri" w:cs="Segoe UI"/>
                <w:szCs w:val="18"/>
              </w:rPr>
            </w:pPr>
            <w:r w:rsidRPr="00FD7201">
              <w:rPr>
                <w:rFonts w:eastAsia="Calibri" w:cs="Segoe UI"/>
                <w:szCs w:val="18"/>
              </w:rPr>
              <w:t>Research</w:t>
            </w:r>
          </w:p>
        </w:tc>
        <w:tc>
          <w:tcPr>
            <w:tcW w:w="1191" w:type="dxa"/>
            <w:tcBorders>
              <w:top w:val="nil"/>
              <w:left w:val="nil"/>
              <w:bottom w:val="single" w:sz="4" w:space="0" w:color="A6A6A6" w:themeColor="background1" w:themeShade="A6"/>
              <w:right w:val="nil"/>
            </w:tcBorders>
            <w:shd w:val="clear" w:color="auto" w:fill="auto"/>
            <w:tcMar>
              <w:top w:w="15" w:type="dxa"/>
              <w:left w:w="15" w:type="dxa"/>
              <w:right w:w="15" w:type="dxa"/>
            </w:tcMar>
            <w:vAlign w:val="center"/>
          </w:tcPr>
          <w:p w14:paraId="72443FDC" w14:textId="77777777" w:rsidR="00B13AB1" w:rsidRPr="00FD7201" w:rsidRDefault="00B13AB1" w:rsidP="00860EAD">
            <w:pPr>
              <w:pStyle w:val="TableText"/>
              <w:spacing w:line="264" w:lineRule="auto"/>
              <w:ind w:right="57"/>
              <w:jc w:val="right"/>
              <w:rPr>
                <w:rFonts w:cs="Segoe UI"/>
                <w:color w:val="000000"/>
                <w:szCs w:val="18"/>
              </w:rPr>
            </w:pPr>
            <w:r w:rsidRPr="00FD7201">
              <w:rPr>
                <w:rFonts w:cs="Segoe UI"/>
                <w:color w:val="000000"/>
                <w:szCs w:val="18"/>
              </w:rPr>
              <w:t>1.200</w:t>
            </w:r>
          </w:p>
        </w:tc>
        <w:tc>
          <w:tcPr>
            <w:tcW w:w="1191" w:type="dxa"/>
            <w:tcBorders>
              <w:top w:val="nil"/>
              <w:left w:val="nil"/>
              <w:bottom w:val="single" w:sz="4" w:space="0" w:color="A6A6A6" w:themeColor="background1" w:themeShade="A6"/>
              <w:right w:val="nil"/>
            </w:tcBorders>
            <w:shd w:val="clear" w:color="auto" w:fill="auto"/>
            <w:tcMar>
              <w:top w:w="15" w:type="dxa"/>
              <w:left w:w="15" w:type="dxa"/>
              <w:right w:w="15" w:type="dxa"/>
            </w:tcMar>
            <w:vAlign w:val="center"/>
          </w:tcPr>
          <w:p w14:paraId="3F52C83E" w14:textId="77777777" w:rsidR="00B13AB1" w:rsidRPr="00FD7201" w:rsidRDefault="00B13AB1" w:rsidP="00860EAD">
            <w:pPr>
              <w:pStyle w:val="TableText"/>
              <w:spacing w:line="264" w:lineRule="auto"/>
              <w:ind w:right="57"/>
              <w:jc w:val="right"/>
              <w:rPr>
                <w:rFonts w:cs="Segoe UI"/>
                <w:color w:val="000000"/>
                <w:szCs w:val="18"/>
              </w:rPr>
            </w:pPr>
            <w:r w:rsidRPr="00FD7201">
              <w:rPr>
                <w:rFonts w:cs="Segoe UI"/>
                <w:color w:val="000000"/>
                <w:szCs w:val="18"/>
              </w:rPr>
              <w:t>1.670</w:t>
            </w:r>
          </w:p>
        </w:tc>
        <w:tc>
          <w:tcPr>
            <w:tcW w:w="1191" w:type="dxa"/>
            <w:tcBorders>
              <w:top w:val="nil"/>
              <w:left w:val="nil"/>
              <w:bottom w:val="single" w:sz="4" w:space="0" w:color="A6A6A6" w:themeColor="background1" w:themeShade="A6"/>
              <w:right w:val="nil"/>
            </w:tcBorders>
            <w:shd w:val="clear" w:color="auto" w:fill="auto"/>
            <w:tcMar>
              <w:top w:w="15" w:type="dxa"/>
              <w:left w:w="15" w:type="dxa"/>
              <w:right w:w="15" w:type="dxa"/>
            </w:tcMar>
            <w:vAlign w:val="center"/>
          </w:tcPr>
          <w:p w14:paraId="65D8CCF6" w14:textId="77777777" w:rsidR="00B13AB1" w:rsidRPr="00FD7201" w:rsidRDefault="00B13AB1" w:rsidP="00860EAD">
            <w:pPr>
              <w:pStyle w:val="TableText"/>
              <w:spacing w:line="264" w:lineRule="auto"/>
              <w:ind w:right="57"/>
              <w:jc w:val="right"/>
              <w:rPr>
                <w:rFonts w:cs="Segoe UI"/>
                <w:color w:val="000000"/>
                <w:szCs w:val="18"/>
              </w:rPr>
            </w:pPr>
            <w:r w:rsidRPr="00FD7201">
              <w:rPr>
                <w:rFonts w:cs="Segoe UI"/>
                <w:color w:val="000000"/>
                <w:szCs w:val="18"/>
              </w:rPr>
              <w:t>0.900</w:t>
            </w:r>
          </w:p>
        </w:tc>
        <w:tc>
          <w:tcPr>
            <w:tcW w:w="1191" w:type="dxa"/>
            <w:tcBorders>
              <w:top w:val="nil"/>
              <w:left w:val="nil"/>
              <w:bottom w:val="single" w:sz="4" w:space="0" w:color="A6A6A6" w:themeColor="background1" w:themeShade="A6"/>
              <w:right w:val="nil"/>
            </w:tcBorders>
            <w:shd w:val="clear" w:color="auto" w:fill="auto"/>
            <w:tcMar>
              <w:top w:w="15" w:type="dxa"/>
              <w:left w:w="15" w:type="dxa"/>
              <w:right w:w="15" w:type="dxa"/>
            </w:tcMar>
            <w:vAlign w:val="center"/>
          </w:tcPr>
          <w:p w14:paraId="493BDC6C" w14:textId="77777777" w:rsidR="00B13AB1" w:rsidRPr="00FD7201" w:rsidRDefault="00B13AB1" w:rsidP="00860EAD">
            <w:pPr>
              <w:pStyle w:val="TableText"/>
              <w:spacing w:line="264" w:lineRule="auto"/>
              <w:ind w:right="57"/>
              <w:jc w:val="right"/>
              <w:rPr>
                <w:rFonts w:cs="Segoe UI"/>
                <w:b/>
                <w:bCs/>
                <w:color w:val="000000"/>
                <w:szCs w:val="18"/>
              </w:rPr>
            </w:pPr>
            <w:r w:rsidRPr="00FD7201">
              <w:rPr>
                <w:rFonts w:cs="Segoe UI"/>
                <w:b/>
                <w:bCs/>
                <w:color w:val="000000"/>
                <w:szCs w:val="18"/>
              </w:rPr>
              <w:t>3.770</w:t>
            </w:r>
          </w:p>
        </w:tc>
      </w:tr>
      <w:tr w:rsidR="00B13AB1" w:rsidRPr="00172194" w14:paraId="7A0DF14B" w14:textId="77777777" w:rsidTr="00FD7201">
        <w:trPr>
          <w:trHeight w:val="340"/>
        </w:trPr>
        <w:tc>
          <w:tcPr>
            <w:tcW w:w="3261" w:type="dxa"/>
            <w:tcBorders>
              <w:top w:val="single" w:sz="4" w:space="0" w:color="A6A6A6" w:themeColor="background1" w:themeShade="A6"/>
              <w:bottom w:val="single" w:sz="4" w:space="0" w:color="A6A6A6" w:themeColor="background1" w:themeShade="A6"/>
            </w:tcBorders>
            <w:tcMar>
              <w:top w:w="15" w:type="dxa"/>
              <w:left w:w="15" w:type="dxa"/>
              <w:right w:w="15" w:type="dxa"/>
            </w:tcMar>
          </w:tcPr>
          <w:p w14:paraId="1A1B630B" w14:textId="77777777" w:rsidR="00B13AB1" w:rsidRPr="00FD7201" w:rsidRDefault="00B13AB1" w:rsidP="00860EAD">
            <w:pPr>
              <w:pStyle w:val="TableText"/>
              <w:spacing w:line="264" w:lineRule="auto"/>
              <w:rPr>
                <w:rFonts w:eastAsia="Calibri" w:cs="Segoe UI"/>
                <w:szCs w:val="18"/>
              </w:rPr>
            </w:pPr>
            <w:r w:rsidRPr="00FD7201">
              <w:rPr>
                <w:rFonts w:eastAsia="Calibri" w:cs="Segoe UI"/>
                <w:szCs w:val="18"/>
              </w:rPr>
              <w:t>Evaluation</w:t>
            </w:r>
          </w:p>
        </w:tc>
        <w:tc>
          <w:tcPr>
            <w:tcW w:w="1191" w:type="dxa"/>
            <w:tcBorders>
              <w:top w:val="single" w:sz="4" w:space="0" w:color="A6A6A6" w:themeColor="background1" w:themeShade="A6"/>
              <w:left w:val="nil"/>
              <w:bottom w:val="single" w:sz="4" w:space="0" w:color="A6A6A6" w:themeColor="background1" w:themeShade="A6"/>
              <w:right w:val="nil"/>
            </w:tcBorders>
            <w:shd w:val="clear" w:color="auto" w:fill="auto"/>
            <w:tcMar>
              <w:top w:w="15" w:type="dxa"/>
              <w:left w:w="15" w:type="dxa"/>
              <w:right w:w="15" w:type="dxa"/>
            </w:tcMar>
            <w:vAlign w:val="center"/>
          </w:tcPr>
          <w:p w14:paraId="27B34C94" w14:textId="77777777" w:rsidR="00B13AB1" w:rsidRPr="00FD7201" w:rsidRDefault="00B13AB1" w:rsidP="00860EAD">
            <w:pPr>
              <w:pStyle w:val="TableText"/>
              <w:spacing w:line="264" w:lineRule="auto"/>
              <w:ind w:right="57"/>
              <w:jc w:val="right"/>
              <w:rPr>
                <w:rFonts w:cs="Segoe UI"/>
                <w:color w:val="000000"/>
                <w:szCs w:val="18"/>
              </w:rPr>
            </w:pPr>
            <w:r w:rsidRPr="00FD7201">
              <w:rPr>
                <w:rFonts w:cs="Segoe UI"/>
                <w:color w:val="000000"/>
                <w:szCs w:val="18"/>
              </w:rPr>
              <w:t>0.375</w:t>
            </w:r>
          </w:p>
        </w:tc>
        <w:tc>
          <w:tcPr>
            <w:tcW w:w="1191" w:type="dxa"/>
            <w:tcBorders>
              <w:top w:val="single" w:sz="4" w:space="0" w:color="A6A6A6" w:themeColor="background1" w:themeShade="A6"/>
              <w:left w:val="nil"/>
              <w:bottom w:val="single" w:sz="4" w:space="0" w:color="A6A6A6" w:themeColor="background1" w:themeShade="A6"/>
              <w:right w:val="nil"/>
            </w:tcBorders>
            <w:shd w:val="clear" w:color="auto" w:fill="auto"/>
            <w:tcMar>
              <w:top w:w="15" w:type="dxa"/>
              <w:left w:w="15" w:type="dxa"/>
              <w:right w:w="15" w:type="dxa"/>
            </w:tcMar>
            <w:vAlign w:val="center"/>
          </w:tcPr>
          <w:p w14:paraId="248D8A5B" w14:textId="77777777" w:rsidR="00B13AB1" w:rsidRPr="00FD7201" w:rsidRDefault="00B13AB1" w:rsidP="00860EAD">
            <w:pPr>
              <w:pStyle w:val="TableText"/>
              <w:spacing w:line="264" w:lineRule="auto"/>
              <w:ind w:right="57"/>
              <w:jc w:val="right"/>
              <w:rPr>
                <w:rFonts w:cs="Segoe UI"/>
                <w:color w:val="000000"/>
                <w:szCs w:val="18"/>
              </w:rPr>
            </w:pPr>
            <w:r w:rsidRPr="00FD7201">
              <w:rPr>
                <w:rFonts w:cs="Segoe UI"/>
                <w:color w:val="000000"/>
                <w:szCs w:val="18"/>
              </w:rPr>
              <w:t>0.626</w:t>
            </w:r>
          </w:p>
        </w:tc>
        <w:tc>
          <w:tcPr>
            <w:tcW w:w="1191" w:type="dxa"/>
            <w:tcBorders>
              <w:top w:val="single" w:sz="4" w:space="0" w:color="A6A6A6" w:themeColor="background1" w:themeShade="A6"/>
              <w:left w:val="nil"/>
              <w:bottom w:val="single" w:sz="4" w:space="0" w:color="A6A6A6" w:themeColor="background1" w:themeShade="A6"/>
              <w:right w:val="nil"/>
            </w:tcBorders>
            <w:shd w:val="clear" w:color="auto" w:fill="auto"/>
            <w:tcMar>
              <w:top w:w="15" w:type="dxa"/>
              <w:left w:w="15" w:type="dxa"/>
              <w:right w:w="15" w:type="dxa"/>
            </w:tcMar>
            <w:vAlign w:val="center"/>
          </w:tcPr>
          <w:p w14:paraId="65018E90" w14:textId="77777777" w:rsidR="00B13AB1" w:rsidRPr="00FD7201" w:rsidRDefault="00B13AB1" w:rsidP="00860EAD">
            <w:pPr>
              <w:pStyle w:val="TableText"/>
              <w:spacing w:line="264" w:lineRule="auto"/>
              <w:ind w:right="57"/>
              <w:jc w:val="right"/>
              <w:rPr>
                <w:rFonts w:cs="Segoe UI"/>
                <w:color w:val="000000"/>
                <w:szCs w:val="18"/>
              </w:rPr>
            </w:pPr>
            <w:r w:rsidRPr="00FD7201">
              <w:rPr>
                <w:rFonts w:cs="Segoe UI"/>
                <w:color w:val="000000"/>
                <w:szCs w:val="18"/>
              </w:rPr>
              <w:t>0.273</w:t>
            </w:r>
          </w:p>
        </w:tc>
        <w:tc>
          <w:tcPr>
            <w:tcW w:w="1191" w:type="dxa"/>
            <w:tcBorders>
              <w:top w:val="single" w:sz="4" w:space="0" w:color="A6A6A6" w:themeColor="background1" w:themeShade="A6"/>
              <w:left w:val="nil"/>
              <w:bottom w:val="single" w:sz="4" w:space="0" w:color="A6A6A6" w:themeColor="background1" w:themeShade="A6"/>
              <w:right w:val="nil"/>
            </w:tcBorders>
            <w:shd w:val="clear" w:color="auto" w:fill="auto"/>
            <w:tcMar>
              <w:top w:w="15" w:type="dxa"/>
              <w:left w:w="15" w:type="dxa"/>
              <w:right w:w="15" w:type="dxa"/>
            </w:tcMar>
            <w:vAlign w:val="center"/>
          </w:tcPr>
          <w:p w14:paraId="07C70B6C" w14:textId="77777777" w:rsidR="00B13AB1" w:rsidRPr="00FD7201" w:rsidRDefault="00B13AB1" w:rsidP="00860EAD">
            <w:pPr>
              <w:pStyle w:val="TableText"/>
              <w:spacing w:line="264" w:lineRule="auto"/>
              <w:ind w:right="57"/>
              <w:jc w:val="right"/>
              <w:rPr>
                <w:rFonts w:cs="Segoe UI"/>
                <w:b/>
                <w:bCs/>
                <w:color w:val="000000"/>
                <w:szCs w:val="18"/>
              </w:rPr>
            </w:pPr>
            <w:r w:rsidRPr="00FD7201">
              <w:rPr>
                <w:rFonts w:cs="Segoe UI"/>
                <w:b/>
                <w:bCs/>
                <w:color w:val="000000"/>
                <w:szCs w:val="18"/>
              </w:rPr>
              <w:t>1.274</w:t>
            </w:r>
          </w:p>
        </w:tc>
      </w:tr>
      <w:tr w:rsidR="00B13AB1" w:rsidRPr="00FD7201" w14:paraId="14CA95AB" w14:textId="77777777" w:rsidTr="00FD7201">
        <w:trPr>
          <w:trHeight w:val="340"/>
        </w:trPr>
        <w:tc>
          <w:tcPr>
            <w:tcW w:w="3261" w:type="dxa"/>
            <w:tcBorders>
              <w:top w:val="single" w:sz="4" w:space="0" w:color="A6A6A6" w:themeColor="background1" w:themeShade="A6"/>
              <w:bottom w:val="single" w:sz="4" w:space="0" w:color="A6A6A6" w:themeColor="background1" w:themeShade="A6"/>
            </w:tcBorders>
            <w:tcMar>
              <w:top w:w="15" w:type="dxa"/>
              <w:left w:w="15" w:type="dxa"/>
              <w:right w:w="15" w:type="dxa"/>
            </w:tcMar>
          </w:tcPr>
          <w:p w14:paraId="03EEB9E5" w14:textId="77777777" w:rsidR="00B13AB1" w:rsidRPr="00FD7201" w:rsidRDefault="00B13AB1" w:rsidP="00860EAD">
            <w:pPr>
              <w:pStyle w:val="TableText"/>
              <w:spacing w:line="264" w:lineRule="auto"/>
              <w:rPr>
                <w:rFonts w:eastAsia="Calibri" w:cs="Segoe UI"/>
                <w:b/>
                <w:bCs/>
                <w:szCs w:val="18"/>
              </w:rPr>
            </w:pPr>
            <w:r w:rsidRPr="00FD7201">
              <w:rPr>
                <w:rFonts w:eastAsia="Calibri" w:cs="Segoe UI"/>
                <w:b/>
                <w:bCs/>
                <w:szCs w:val="18"/>
              </w:rPr>
              <w:t>Total</w:t>
            </w:r>
          </w:p>
        </w:tc>
        <w:tc>
          <w:tcPr>
            <w:tcW w:w="1191" w:type="dxa"/>
            <w:tcBorders>
              <w:top w:val="single" w:sz="4" w:space="0" w:color="A6A6A6" w:themeColor="background1" w:themeShade="A6"/>
              <w:left w:val="nil"/>
              <w:bottom w:val="single" w:sz="4" w:space="0" w:color="A6A6A6" w:themeColor="background1" w:themeShade="A6"/>
              <w:right w:val="nil"/>
            </w:tcBorders>
            <w:shd w:val="clear" w:color="auto" w:fill="auto"/>
            <w:tcMar>
              <w:top w:w="15" w:type="dxa"/>
              <w:left w:w="15" w:type="dxa"/>
              <w:right w:w="15" w:type="dxa"/>
            </w:tcMar>
            <w:vAlign w:val="center"/>
          </w:tcPr>
          <w:p w14:paraId="785E2C2D" w14:textId="77777777" w:rsidR="00B13AB1" w:rsidRPr="00FD7201" w:rsidRDefault="00B13AB1" w:rsidP="00860EAD">
            <w:pPr>
              <w:pStyle w:val="TableText"/>
              <w:spacing w:line="264" w:lineRule="auto"/>
              <w:ind w:right="57"/>
              <w:jc w:val="right"/>
              <w:rPr>
                <w:rFonts w:eastAsia="Calibri" w:cs="Segoe UI"/>
                <w:b/>
                <w:bCs/>
                <w:szCs w:val="18"/>
              </w:rPr>
            </w:pPr>
            <w:r w:rsidRPr="00FD7201">
              <w:rPr>
                <w:rFonts w:cs="Segoe UI"/>
                <w:b/>
                <w:bCs/>
                <w:color w:val="000000"/>
                <w:szCs w:val="18"/>
              </w:rPr>
              <w:t>1.575</w:t>
            </w:r>
          </w:p>
        </w:tc>
        <w:tc>
          <w:tcPr>
            <w:tcW w:w="1191" w:type="dxa"/>
            <w:tcBorders>
              <w:top w:val="single" w:sz="4" w:space="0" w:color="A6A6A6" w:themeColor="background1" w:themeShade="A6"/>
              <w:left w:val="nil"/>
              <w:bottom w:val="single" w:sz="4" w:space="0" w:color="A6A6A6" w:themeColor="background1" w:themeShade="A6"/>
              <w:right w:val="nil"/>
            </w:tcBorders>
            <w:shd w:val="clear" w:color="auto" w:fill="auto"/>
            <w:tcMar>
              <w:top w:w="15" w:type="dxa"/>
              <w:left w:w="15" w:type="dxa"/>
              <w:right w:w="15" w:type="dxa"/>
            </w:tcMar>
            <w:vAlign w:val="center"/>
          </w:tcPr>
          <w:p w14:paraId="4FD1BE12" w14:textId="77777777" w:rsidR="00B13AB1" w:rsidRPr="00FD7201" w:rsidRDefault="00B13AB1" w:rsidP="00860EAD">
            <w:pPr>
              <w:pStyle w:val="TableText"/>
              <w:spacing w:line="264" w:lineRule="auto"/>
              <w:ind w:right="57"/>
              <w:jc w:val="right"/>
              <w:rPr>
                <w:rFonts w:eastAsia="Calibri" w:cs="Segoe UI"/>
                <w:b/>
                <w:bCs/>
                <w:szCs w:val="18"/>
              </w:rPr>
            </w:pPr>
            <w:r w:rsidRPr="00FD7201">
              <w:rPr>
                <w:rFonts w:cs="Segoe UI"/>
                <w:b/>
                <w:bCs/>
                <w:color w:val="000000"/>
                <w:szCs w:val="18"/>
              </w:rPr>
              <w:t>2.296</w:t>
            </w:r>
          </w:p>
        </w:tc>
        <w:tc>
          <w:tcPr>
            <w:tcW w:w="1191" w:type="dxa"/>
            <w:tcBorders>
              <w:top w:val="single" w:sz="4" w:space="0" w:color="A6A6A6" w:themeColor="background1" w:themeShade="A6"/>
              <w:left w:val="nil"/>
              <w:bottom w:val="single" w:sz="4" w:space="0" w:color="A6A6A6" w:themeColor="background1" w:themeShade="A6"/>
              <w:right w:val="nil"/>
            </w:tcBorders>
            <w:shd w:val="clear" w:color="auto" w:fill="auto"/>
            <w:tcMar>
              <w:top w:w="15" w:type="dxa"/>
              <w:left w:w="15" w:type="dxa"/>
              <w:right w:w="15" w:type="dxa"/>
            </w:tcMar>
            <w:vAlign w:val="center"/>
          </w:tcPr>
          <w:p w14:paraId="3C759EF7" w14:textId="77777777" w:rsidR="00B13AB1" w:rsidRPr="00FD7201" w:rsidRDefault="00B13AB1" w:rsidP="00860EAD">
            <w:pPr>
              <w:pStyle w:val="TableText"/>
              <w:spacing w:line="264" w:lineRule="auto"/>
              <w:ind w:right="57"/>
              <w:jc w:val="right"/>
              <w:rPr>
                <w:rFonts w:eastAsia="Calibri" w:cs="Segoe UI"/>
                <w:b/>
                <w:bCs/>
                <w:szCs w:val="18"/>
              </w:rPr>
            </w:pPr>
            <w:r w:rsidRPr="00FD7201">
              <w:rPr>
                <w:rFonts w:cs="Segoe UI"/>
                <w:b/>
                <w:bCs/>
                <w:color w:val="000000"/>
                <w:szCs w:val="18"/>
              </w:rPr>
              <w:t>1.173</w:t>
            </w:r>
          </w:p>
        </w:tc>
        <w:tc>
          <w:tcPr>
            <w:tcW w:w="1191" w:type="dxa"/>
            <w:tcBorders>
              <w:top w:val="single" w:sz="4" w:space="0" w:color="A6A6A6" w:themeColor="background1" w:themeShade="A6"/>
              <w:left w:val="nil"/>
              <w:bottom w:val="single" w:sz="4" w:space="0" w:color="A6A6A6" w:themeColor="background1" w:themeShade="A6"/>
              <w:right w:val="nil"/>
            </w:tcBorders>
            <w:shd w:val="clear" w:color="auto" w:fill="auto"/>
            <w:tcMar>
              <w:top w:w="15" w:type="dxa"/>
              <w:left w:w="15" w:type="dxa"/>
              <w:right w:w="15" w:type="dxa"/>
            </w:tcMar>
            <w:vAlign w:val="center"/>
          </w:tcPr>
          <w:p w14:paraId="07604F30" w14:textId="77777777" w:rsidR="00B13AB1" w:rsidRPr="00FD7201" w:rsidRDefault="00B13AB1" w:rsidP="00860EAD">
            <w:pPr>
              <w:pStyle w:val="TableText"/>
              <w:spacing w:line="264" w:lineRule="auto"/>
              <w:ind w:right="57"/>
              <w:jc w:val="right"/>
              <w:rPr>
                <w:rFonts w:eastAsia="Calibri" w:cs="Segoe UI"/>
                <w:b/>
                <w:bCs/>
                <w:szCs w:val="18"/>
              </w:rPr>
            </w:pPr>
            <w:r w:rsidRPr="00FD7201">
              <w:rPr>
                <w:rFonts w:cs="Segoe UI"/>
                <w:b/>
                <w:bCs/>
                <w:color w:val="000000"/>
                <w:szCs w:val="18"/>
              </w:rPr>
              <w:t>5.044</w:t>
            </w:r>
          </w:p>
        </w:tc>
      </w:tr>
    </w:tbl>
    <w:p w14:paraId="3ADC818F" w14:textId="77777777" w:rsidR="00B13AB1" w:rsidRPr="00FD7201" w:rsidRDefault="00B13AB1" w:rsidP="00FD7201">
      <w:pPr>
        <w:pStyle w:val="Note"/>
      </w:pPr>
      <w:r w:rsidRPr="00FD7201">
        <w:t>Note: Budget sums may not total due to rounding</w:t>
      </w:r>
      <w:r w:rsidRPr="00FD7201" w:rsidDel="001B3F1E">
        <w:t xml:space="preserve"> </w:t>
      </w:r>
    </w:p>
    <w:p w14:paraId="4FBD9D16" w14:textId="77777777" w:rsidR="00B13AB1" w:rsidRPr="00FD7201" w:rsidRDefault="00B13AB1" w:rsidP="00FD7201">
      <w:pPr>
        <w:pStyle w:val="Heading2"/>
      </w:pPr>
      <w:bookmarkStart w:id="31" w:name="_Toc185338896"/>
      <w:r w:rsidRPr="00FD7201">
        <w:t>Agency operating costs</w:t>
      </w:r>
      <w:bookmarkEnd w:id="31"/>
    </w:p>
    <w:p w14:paraId="38403DAB" w14:textId="05BE38D2" w:rsidR="00B13AB1" w:rsidRDefault="00B13AB1" w:rsidP="00FD7201">
      <w:pPr>
        <w:rPr>
          <w:rFonts w:eastAsia="Calibri" w:cs="Segoe UI"/>
        </w:rPr>
      </w:pPr>
      <w:r w:rsidRPr="7EFC6199">
        <w:rPr>
          <w:rFonts w:eastAsia="Lucida Sans Unicode"/>
        </w:rPr>
        <w:t>Agencies</w:t>
      </w:r>
      <w:r>
        <w:rPr>
          <w:rFonts w:eastAsia="Lucida Sans Unicode"/>
        </w:rPr>
        <w:t>’</w:t>
      </w:r>
      <w:r w:rsidRPr="7EFC6199">
        <w:rPr>
          <w:rFonts w:eastAsia="Lucida Sans Unicode"/>
        </w:rPr>
        <w:t xml:space="preserve"> operating costs</w:t>
      </w:r>
      <w:r>
        <w:t xml:space="preserve"> </w:t>
      </w:r>
      <w:r w:rsidRPr="7EFC6199">
        <w:rPr>
          <w:rFonts w:eastAsia="Lucida Sans Unicode"/>
        </w:rPr>
        <w:t>cover various responsibilities under the Act to be fulfilled, including the development</w:t>
      </w:r>
      <w:r>
        <w:rPr>
          <w:rFonts w:eastAsia="Lucida Sans Unicode"/>
        </w:rPr>
        <w:t xml:space="preserve">, </w:t>
      </w:r>
      <w:r w:rsidRPr="7EFC6199">
        <w:rPr>
          <w:rFonts w:eastAsia="Lucida Sans Unicode"/>
        </w:rPr>
        <w:t xml:space="preserve">implementation </w:t>
      </w:r>
      <w:r>
        <w:rPr>
          <w:rFonts w:eastAsia="Lucida Sans Unicode"/>
        </w:rPr>
        <w:t xml:space="preserve">and oversight </w:t>
      </w:r>
      <w:r w:rsidRPr="7EFC6199">
        <w:rPr>
          <w:rFonts w:eastAsia="Lucida Sans Unicode"/>
        </w:rPr>
        <w:t xml:space="preserve">of this </w:t>
      </w:r>
      <w:r w:rsidR="64D51203" w:rsidRPr="2F64F347">
        <w:rPr>
          <w:rFonts w:eastAsia="Lucida Sans Unicode"/>
        </w:rPr>
        <w:t>s</w:t>
      </w:r>
      <w:r w:rsidRPr="507BDF3D">
        <w:rPr>
          <w:rFonts w:eastAsia="Lucida Sans Unicode"/>
        </w:rPr>
        <w:t>trategy</w:t>
      </w:r>
      <w:r>
        <w:t xml:space="preserve"> and reporting on gambling harm prevention and minimisation activities. Further detail about operating costs is </w:t>
      </w:r>
      <w:r w:rsidRPr="00D53100">
        <w:rPr>
          <w:rFonts w:cs="Segoe UI"/>
        </w:rPr>
        <w:t xml:space="preserve">set out in </w:t>
      </w:r>
      <w:r w:rsidRPr="00D53100">
        <w:rPr>
          <w:rFonts w:eastAsia="Calibri" w:cs="Segoe UI"/>
          <w:b/>
          <w:bCs/>
        </w:rPr>
        <w:t>Appendix Five</w:t>
      </w:r>
      <w:r w:rsidRPr="00D53100">
        <w:rPr>
          <w:rFonts w:eastAsia="Calibri" w:cs="Segoe UI"/>
        </w:rPr>
        <w:t xml:space="preserve"> in the Appendices document.</w:t>
      </w:r>
    </w:p>
    <w:p w14:paraId="138A9972" w14:textId="77777777" w:rsidR="00B13AB1" w:rsidRPr="00B43D7E" w:rsidRDefault="00B13AB1" w:rsidP="00B13AB1">
      <w:pPr>
        <w:rPr>
          <w:rFonts w:ascii="Seaford" w:hAnsi="Seaford"/>
          <w:b/>
          <w:bCs/>
        </w:rPr>
      </w:pPr>
    </w:p>
    <w:p w14:paraId="472D7977" w14:textId="7FDD1D1A" w:rsidR="00B13AB1" w:rsidRPr="00AA55BC" w:rsidRDefault="00B13AB1" w:rsidP="00B13AB1">
      <w:pPr>
        <w:pStyle w:val="Table"/>
        <w:rPr>
          <w:rFonts w:eastAsia="Lucida Sans Unicode"/>
        </w:rPr>
      </w:pPr>
      <w:bookmarkStart w:id="32" w:name="_Toc185338905"/>
      <w:r w:rsidRPr="00AA55BC">
        <w:t xml:space="preserve">Table </w:t>
      </w:r>
      <w:r w:rsidR="00347B76">
        <w:fldChar w:fldCharType="begin"/>
      </w:r>
      <w:r w:rsidR="00347B76">
        <w:instrText xml:space="preserve"> SEQ Table \* ARABIC </w:instrText>
      </w:r>
      <w:r w:rsidR="00347B76">
        <w:fldChar w:fldCharType="separate"/>
      </w:r>
      <w:r w:rsidR="0094542E">
        <w:rPr>
          <w:noProof/>
        </w:rPr>
        <w:t>4</w:t>
      </w:r>
      <w:r w:rsidR="00347B76">
        <w:rPr>
          <w:noProof/>
        </w:rPr>
        <w:fldChar w:fldCharType="end"/>
      </w:r>
      <w:r w:rsidRPr="00AA55BC">
        <w:t xml:space="preserve">: </w:t>
      </w:r>
      <w:r w:rsidRPr="00AA55BC">
        <w:rPr>
          <w:rFonts w:eastAsia="Lucida Sans Unicode"/>
        </w:rPr>
        <w:t>Budget agency operating costs in $ millions (GST exclusive), 2025/26 to 2027/28</w:t>
      </w:r>
      <w:bookmarkEnd w:id="32"/>
    </w:p>
    <w:tbl>
      <w:tblPr>
        <w:tblStyle w:val="TableGrid"/>
        <w:tblW w:w="808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458"/>
        <w:gridCol w:w="1155"/>
        <w:gridCol w:w="1156"/>
        <w:gridCol w:w="1155"/>
        <w:gridCol w:w="1156"/>
      </w:tblGrid>
      <w:tr w:rsidR="00B13AB1" w:rsidRPr="00172194" w14:paraId="60D58C38" w14:textId="77777777" w:rsidTr="00860EAD">
        <w:trPr>
          <w:tblHeader/>
        </w:trPr>
        <w:tc>
          <w:tcPr>
            <w:tcW w:w="3458" w:type="dxa"/>
            <w:tcBorders>
              <w:top w:val="nil"/>
              <w:bottom w:val="nil"/>
            </w:tcBorders>
            <w:shd w:val="clear" w:color="auto" w:fill="D9D9D9" w:themeFill="background1" w:themeFillShade="D9"/>
            <w:vAlign w:val="center"/>
            <w:hideMark/>
          </w:tcPr>
          <w:p w14:paraId="369995E9" w14:textId="77777777" w:rsidR="00B13AB1" w:rsidRPr="00172194" w:rsidRDefault="00B13AB1" w:rsidP="00860EAD">
            <w:pPr>
              <w:pStyle w:val="TableText"/>
              <w:rPr>
                <w:rFonts w:eastAsia="Lucida Sans Unicode"/>
                <w:b/>
                <w:bCs/>
              </w:rPr>
            </w:pPr>
            <w:r w:rsidRPr="00172194">
              <w:rPr>
                <w:rFonts w:eastAsia="Lucida Sans Unicode"/>
                <w:b/>
                <w:bCs/>
              </w:rPr>
              <w:t>Agency</w:t>
            </w:r>
          </w:p>
        </w:tc>
        <w:tc>
          <w:tcPr>
            <w:tcW w:w="1155" w:type="dxa"/>
            <w:tcBorders>
              <w:top w:val="nil"/>
              <w:bottom w:val="nil"/>
            </w:tcBorders>
            <w:shd w:val="clear" w:color="auto" w:fill="D9D9D9" w:themeFill="background1" w:themeFillShade="D9"/>
            <w:vAlign w:val="center"/>
            <w:hideMark/>
          </w:tcPr>
          <w:p w14:paraId="3D18D0A7" w14:textId="77777777" w:rsidR="00B13AB1" w:rsidRPr="00172194" w:rsidRDefault="00B13AB1" w:rsidP="00860EAD">
            <w:pPr>
              <w:pStyle w:val="TableText"/>
              <w:jc w:val="right"/>
              <w:rPr>
                <w:rFonts w:eastAsia="Lucida Sans Unicode"/>
                <w:b/>
                <w:bCs/>
              </w:rPr>
            </w:pPr>
            <w:r w:rsidRPr="00172194">
              <w:rPr>
                <w:rFonts w:eastAsia="Lucida Sans Unicode"/>
                <w:b/>
                <w:bCs/>
              </w:rPr>
              <w:t>2025/26</w:t>
            </w:r>
          </w:p>
        </w:tc>
        <w:tc>
          <w:tcPr>
            <w:tcW w:w="1156" w:type="dxa"/>
            <w:tcBorders>
              <w:top w:val="nil"/>
              <w:bottom w:val="nil"/>
            </w:tcBorders>
            <w:shd w:val="clear" w:color="auto" w:fill="D9D9D9" w:themeFill="background1" w:themeFillShade="D9"/>
            <w:vAlign w:val="center"/>
            <w:hideMark/>
          </w:tcPr>
          <w:p w14:paraId="7C097BAB" w14:textId="77777777" w:rsidR="00B13AB1" w:rsidRPr="00172194" w:rsidRDefault="00B13AB1" w:rsidP="00860EAD">
            <w:pPr>
              <w:pStyle w:val="TableText"/>
              <w:jc w:val="right"/>
              <w:rPr>
                <w:rFonts w:eastAsia="Lucida Sans Unicode"/>
                <w:b/>
                <w:bCs/>
              </w:rPr>
            </w:pPr>
            <w:r w:rsidRPr="00172194">
              <w:rPr>
                <w:rFonts w:eastAsia="Lucida Sans Unicode"/>
                <w:b/>
                <w:bCs/>
              </w:rPr>
              <w:t>2026/27</w:t>
            </w:r>
          </w:p>
        </w:tc>
        <w:tc>
          <w:tcPr>
            <w:tcW w:w="1155" w:type="dxa"/>
            <w:tcBorders>
              <w:top w:val="nil"/>
              <w:bottom w:val="nil"/>
            </w:tcBorders>
            <w:shd w:val="clear" w:color="auto" w:fill="D9D9D9" w:themeFill="background1" w:themeFillShade="D9"/>
            <w:vAlign w:val="center"/>
            <w:hideMark/>
          </w:tcPr>
          <w:p w14:paraId="12DA49A2" w14:textId="77777777" w:rsidR="00B13AB1" w:rsidRPr="00172194" w:rsidRDefault="00B13AB1" w:rsidP="00860EAD">
            <w:pPr>
              <w:pStyle w:val="TableText"/>
              <w:jc w:val="right"/>
              <w:rPr>
                <w:rFonts w:eastAsia="Lucida Sans Unicode"/>
                <w:b/>
                <w:bCs/>
              </w:rPr>
            </w:pPr>
            <w:r w:rsidRPr="00172194">
              <w:rPr>
                <w:rFonts w:eastAsia="Lucida Sans Unicode"/>
                <w:b/>
                <w:bCs/>
              </w:rPr>
              <w:t>2027/28</w:t>
            </w:r>
          </w:p>
        </w:tc>
        <w:tc>
          <w:tcPr>
            <w:tcW w:w="1156" w:type="dxa"/>
            <w:tcBorders>
              <w:top w:val="nil"/>
              <w:bottom w:val="nil"/>
            </w:tcBorders>
            <w:shd w:val="clear" w:color="auto" w:fill="D9D9D9" w:themeFill="background1" w:themeFillShade="D9"/>
            <w:vAlign w:val="center"/>
            <w:hideMark/>
          </w:tcPr>
          <w:p w14:paraId="5B477EBA" w14:textId="77777777" w:rsidR="00B13AB1" w:rsidRPr="00172194" w:rsidRDefault="00B13AB1" w:rsidP="00860EAD">
            <w:pPr>
              <w:pStyle w:val="TableText"/>
              <w:jc w:val="right"/>
              <w:rPr>
                <w:rFonts w:eastAsia="Lucida Sans Unicode"/>
                <w:b/>
                <w:bCs/>
              </w:rPr>
            </w:pPr>
            <w:r w:rsidRPr="00172194">
              <w:rPr>
                <w:rFonts w:eastAsia="Lucida Sans Unicode"/>
                <w:b/>
                <w:bCs/>
              </w:rPr>
              <w:t>Total</w:t>
            </w:r>
          </w:p>
        </w:tc>
      </w:tr>
      <w:tr w:rsidR="00B13AB1" w:rsidRPr="00172194" w14:paraId="2C9B23FD" w14:textId="77777777" w:rsidTr="00860EAD">
        <w:tc>
          <w:tcPr>
            <w:tcW w:w="3458" w:type="dxa"/>
            <w:tcBorders>
              <w:top w:val="nil"/>
            </w:tcBorders>
            <w:noWrap/>
            <w:vAlign w:val="center"/>
            <w:hideMark/>
          </w:tcPr>
          <w:p w14:paraId="7B713AB3" w14:textId="77777777" w:rsidR="00B13AB1" w:rsidRPr="00172194" w:rsidRDefault="00B13AB1" w:rsidP="00860EAD">
            <w:pPr>
              <w:pStyle w:val="TableText"/>
              <w:rPr>
                <w:rFonts w:eastAsia="Lucida Sans Unicode"/>
              </w:rPr>
            </w:pPr>
            <w:r w:rsidRPr="00172194">
              <w:rPr>
                <w:rFonts w:eastAsia="Lucida Sans Unicode"/>
              </w:rPr>
              <w:t>Health New Zealand Commissioning</w:t>
            </w:r>
          </w:p>
        </w:tc>
        <w:tc>
          <w:tcPr>
            <w:tcW w:w="1155" w:type="dxa"/>
            <w:tcBorders>
              <w:top w:val="nil"/>
            </w:tcBorders>
            <w:shd w:val="clear" w:color="auto" w:fill="auto"/>
            <w:vAlign w:val="center"/>
            <w:hideMark/>
          </w:tcPr>
          <w:p w14:paraId="41E5D69E" w14:textId="77777777" w:rsidR="00B13AB1" w:rsidRPr="00172194" w:rsidRDefault="00B13AB1" w:rsidP="00860EAD">
            <w:pPr>
              <w:pStyle w:val="TableText"/>
              <w:jc w:val="right"/>
              <w:rPr>
                <w:rFonts w:eastAsia="Calibri"/>
              </w:rPr>
            </w:pPr>
            <w:r w:rsidRPr="00172194">
              <w:rPr>
                <w:rFonts w:eastAsia="Calibri"/>
              </w:rPr>
              <w:t>0.815</w:t>
            </w:r>
          </w:p>
        </w:tc>
        <w:tc>
          <w:tcPr>
            <w:tcW w:w="1156" w:type="dxa"/>
            <w:tcBorders>
              <w:top w:val="nil"/>
            </w:tcBorders>
            <w:shd w:val="clear" w:color="auto" w:fill="auto"/>
            <w:vAlign w:val="center"/>
            <w:hideMark/>
          </w:tcPr>
          <w:p w14:paraId="29675353" w14:textId="77777777" w:rsidR="00B13AB1" w:rsidRPr="00172194" w:rsidRDefault="00B13AB1" w:rsidP="00860EAD">
            <w:pPr>
              <w:pStyle w:val="TableText"/>
              <w:jc w:val="right"/>
              <w:rPr>
                <w:rFonts w:eastAsia="Lucida Sans Unicode"/>
              </w:rPr>
            </w:pPr>
            <w:r w:rsidRPr="00172194">
              <w:t>0.815</w:t>
            </w:r>
          </w:p>
        </w:tc>
        <w:tc>
          <w:tcPr>
            <w:tcW w:w="1155" w:type="dxa"/>
            <w:tcBorders>
              <w:top w:val="nil"/>
            </w:tcBorders>
            <w:shd w:val="clear" w:color="auto" w:fill="auto"/>
            <w:vAlign w:val="center"/>
            <w:hideMark/>
          </w:tcPr>
          <w:p w14:paraId="7BF46E84" w14:textId="77777777" w:rsidR="00B13AB1" w:rsidRPr="00172194" w:rsidRDefault="00B13AB1" w:rsidP="00860EAD">
            <w:pPr>
              <w:pStyle w:val="TableText"/>
              <w:jc w:val="right"/>
              <w:rPr>
                <w:rFonts w:eastAsia="Lucida Sans Unicode"/>
              </w:rPr>
            </w:pPr>
            <w:r w:rsidRPr="00172194">
              <w:t>0.815</w:t>
            </w:r>
          </w:p>
        </w:tc>
        <w:tc>
          <w:tcPr>
            <w:tcW w:w="1156" w:type="dxa"/>
            <w:tcBorders>
              <w:top w:val="nil"/>
            </w:tcBorders>
            <w:shd w:val="clear" w:color="auto" w:fill="auto"/>
            <w:vAlign w:val="center"/>
            <w:hideMark/>
          </w:tcPr>
          <w:p w14:paraId="6B40B636" w14:textId="77777777" w:rsidR="00B13AB1" w:rsidRPr="00172194" w:rsidRDefault="00B13AB1" w:rsidP="00860EAD">
            <w:pPr>
              <w:pStyle w:val="TableText"/>
              <w:jc w:val="right"/>
              <w:rPr>
                <w:rFonts w:eastAsia="Lucida Sans Unicode"/>
              </w:rPr>
            </w:pPr>
            <w:r w:rsidRPr="00172194">
              <w:t>2.445</w:t>
            </w:r>
          </w:p>
        </w:tc>
      </w:tr>
      <w:tr w:rsidR="00B13AB1" w:rsidRPr="00172194" w14:paraId="4BEB87E6" w14:textId="77777777" w:rsidTr="00860EAD">
        <w:tc>
          <w:tcPr>
            <w:tcW w:w="3458" w:type="dxa"/>
            <w:noWrap/>
            <w:vAlign w:val="center"/>
            <w:hideMark/>
          </w:tcPr>
          <w:p w14:paraId="56C069D0" w14:textId="77777777" w:rsidR="00B13AB1" w:rsidRPr="00172194" w:rsidRDefault="00B13AB1" w:rsidP="00860EAD">
            <w:pPr>
              <w:pStyle w:val="TableText"/>
              <w:rPr>
                <w:rFonts w:eastAsia="Lucida Sans Unicode"/>
              </w:rPr>
            </w:pPr>
            <w:r w:rsidRPr="00172194">
              <w:rPr>
                <w:rFonts w:eastAsia="Lucida Sans Unicode"/>
              </w:rPr>
              <w:t xml:space="preserve">Health New Zealand Health Promotion </w:t>
            </w:r>
          </w:p>
        </w:tc>
        <w:tc>
          <w:tcPr>
            <w:tcW w:w="1155" w:type="dxa"/>
            <w:shd w:val="clear" w:color="auto" w:fill="auto"/>
            <w:vAlign w:val="center"/>
            <w:hideMark/>
          </w:tcPr>
          <w:p w14:paraId="2EA846A7" w14:textId="77777777" w:rsidR="00B13AB1" w:rsidRPr="00172194" w:rsidRDefault="00B13AB1" w:rsidP="00860EAD">
            <w:pPr>
              <w:pStyle w:val="TableText"/>
              <w:jc w:val="right"/>
              <w:rPr>
                <w:rFonts w:eastAsia="Lucida Sans Unicode"/>
              </w:rPr>
            </w:pPr>
            <w:r w:rsidRPr="00172194">
              <w:t>0.747</w:t>
            </w:r>
          </w:p>
        </w:tc>
        <w:tc>
          <w:tcPr>
            <w:tcW w:w="1156" w:type="dxa"/>
            <w:shd w:val="clear" w:color="auto" w:fill="auto"/>
            <w:vAlign w:val="center"/>
            <w:hideMark/>
          </w:tcPr>
          <w:p w14:paraId="08AB3256" w14:textId="77777777" w:rsidR="00B13AB1" w:rsidRPr="00172194" w:rsidRDefault="00B13AB1" w:rsidP="00860EAD">
            <w:pPr>
              <w:pStyle w:val="TableText"/>
              <w:jc w:val="right"/>
              <w:rPr>
                <w:rFonts w:eastAsia="Lucida Sans Unicode"/>
              </w:rPr>
            </w:pPr>
            <w:r w:rsidRPr="00172194">
              <w:t>0.747</w:t>
            </w:r>
          </w:p>
        </w:tc>
        <w:tc>
          <w:tcPr>
            <w:tcW w:w="1155" w:type="dxa"/>
            <w:shd w:val="clear" w:color="auto" w:fill="auto"/>
            <w:vAlign w:val="center"/>
            <w:hideMark/>
          </w:tcPr>
          <w:p w14:paraId="2AB6D387" w14:textId="77777777" w:rsidR="00B13AB1" w:rsidRPr="00172194" w:rsidRDefault="00B13AB1" w:rsidP="00860EAD">
            <w:pPr>
              <w:pStyle w:val="TableText"/>
              <w:jc w:val="right"/>
              <w:rPr>
                <w:rFonts w:eastAsia="Lucida Sans Unicode"/>
              </w:rPr>
            </w:pPr>
            <w:r w:rsidRPr="00172194">
              <w:t>0.747</w:t>
            </w:r>
          </w:p>
        </w:tc>
        <w:tc>
          <w:tcPr>
            <w:tcW w:w="1156" w:type="dxa"/>
            <w:shd w:val="clear" w:color="auto" w:fill="auto"/>
            <w:vAlign w:val="center"/>
            <w:hideMark/>
          </w:tcPr>
          <w:p w14:paraId="42DDA40E" w14:textId="77777777" w:rsidR="00B13AB1" w:rsidRPr="00172194" w:rsidRDefault="00B13AB1" w:rsidP="00860EAD">
            <w:pPr>
              <w:pStyle w:val="TableText"/>
              <w:jc w:val="right"/>
              <w:rPr>
                <w:rFonts w:eastAsia="Lucida Sans Unicode"/>
              </w:rPr>
            </w:pPr>
            <w:r w:rsidRPr="00172194">
              <w:t>2.241</w:t>
            </w:r>
          </w:p>
        </w:tc>
      </w:tr>
      <w:tr w:rsidR="00B13AB1" w:rsidRPr="00172194" w14:paraId="28A28766" w14:textId="77777777" w:rsidTr="00860EAD">
        <w:tc>
          <w:tcPr>
            <w:tcW w:w="3458" w:type="dxa"/>
            <w:noWrap/>
            <w:vAlign w:val="center"/>
            <w:hideMark/>
          </w:tcPr>
          <w:p w14:paraId="25C96217" w14:textId="77777777" w:rsidR="00B13AB1" w:rsidRPr="00172194" w:rsidRDefault="00B13AB1" w:rsidP="00860EAD">
            <w:pPr>
              <w:pStyle w:val="TableText"/>
              <w:rPr>
                <w:rFonts w:eastAsia="Lucida Sans Unicode"/>
              </w:rPr>
            </w:pPr>
            <w:r w:rsidRPr="00172194">
              <w:rPr>
                <w:rFonts w:eastAsia="Lucida Sans Unicode"/>
              </w:rPr>
              <w:t>Ministry of Health</w:t>
            </w:r>
          </w:p>
        </w:tc>
        <w:tc>
          <w:tcPr>
            <w:tcW w:w="1155" w:type="dxa"/>
            <w:shd w:val="clear" w:color="auto" w:fill="auto"/>
            <w:vAlign w:val="center"/>
            <w:hideMark/>
          </w:tcPr>
          <w:p w14:paraId="39C4D689" w14:textId="77777777" w:rsidR="00B13AB1" w:rsidRPr="00172194" w:rsidRDefault="00B13AB1" w:rsidP="00860EAD">
            <w:pPr>
              <w:pStyle w:val="TableText"/>
              <w:jc w:val="right"/>
              <w:rPr>
                <w:rFonts w:eastAsia="Calibri"/>
                <w:highlight w:val="yellow"/>
              </w:rPr>
            </w:pPr>
            <w:r w:rsidRPr="00172194">
              <w:t>0.619</w:t>
            </w:r>
          </w:p>
        </w:tc>
        <w:tc>
          <w:tcPr>
            <w:tcW w:w="1156" w:type="dxa"/>
            <w:shd w:val="clear" w:color="auto" w:fill="auto"/>
            <w:vAlign w:val="center"/>
            <w:hideMark/>
          </w:tcPr>
          <w:p w14:paraId="4F6718DD" w14:textId="77777777" w:rsidR="00B13AB1" w:rsidRPr="00172194" w:rsidRDefault="00B13AB1" w:rsidP="00860EAD">
            <w:pPr>
              <w:pStyle w:val="TableText"/>
              <w:jc w:val="right"/>
              <w:rPr>
                <w:rFonts w:eastAsia="Calibri"/>
                <w:highlight w:val="yellow"/>
              </w:rPr>
            </w:pPr>
            <w:r w:rsidRPr="00172194">
              <w:t>0.913</w:t>
            </w:r>
          </w:p>
        </w:tc>
        <w:tc>
          <w:tcPr>
            <w:tcW w:w="1155" w:type="dxa"/>
            <w:shd w:val="clear" w:color="auto" w:fill="auto"/>
            <w:vAlign w:val="center"/>
            <w:hideMark/>
          </w:tcPr>
          <w:p w14:paraId="4131C0FC" w14:textId="77777777" w:rsidR="00B13AB1" w:rsidRPr="00172194" w:rsidRDefault="00B13AB1" w:rsidP="00860EAD">
            <w:pPr>
              <w:pStyle w:val="TableText"/>
              <w:jc w:val="right"/>
              <w:rPr>
                <w:rFonts w:eastAsia="Calibri"/>
                <w:highlight w:val="yellow"/>
              </w:rPr>
            </w:pPr>
            <w:r w:rsidRPr="00172194">
              <w:t>0.741</w:t>
            </w:r>
          </w:p>
        </w:tc>
        <w:tc>
          <w:tcPr>
            <w:tcW w:w="1156" w:type="dxa"/>
            <w:shd w:val="clear" w:color="auto" w:fill="auto"/>
            <w:vAlign w:val="center"/>
            <w:hideMark/>
          </w:tcPr>
          <w:p w14:paraId="2CC55033" w14:textId="77777777" w:rsidR="00B13AB1" w:rsidRPr="00172194" w:rsidRDefault="00B13AB1" w:rsidP="00860EAD">
            <w:pPr>
              <w:pStyle w:val="TableText"/>
              <w:jc w:val="right"/>
              <w:rPr>
                <w:rFonts w:eastAsia="Calibri"/>
                <w:highlight w:val="yellow"/>
              </w:rPr>
            </w:pPr>
            <w:r w:rsidRPr="00172194">
              <w:t>2.273</w:t>
            </w:r>
          </w:p>
        </w:tc>
      </w:tr>
      <w:tr w:rsidR="00B13AB1" w:rsidRPr="00FD7201" w14:paraId="5FAB810F" w14:textId="77777777" w:rsidTr="00860EAD">
        <w:tc>
          <w:tcPr>
            <w:tcW w:w="3458" w:type="dxa"/>
            <w:vAlign w:val="center"/>
            <w:hideMark/>
          </w:tcPr>
          <w:p w14:paraId="7E3129D8" w14:textId="77777777" w:rsidR="00B13AB1" w:rsidRPr="00FD7201" w:rsidRDefault="00B13AB1" w:rsidP="00860EAD">
            <w:pPr>
              <w:pStyle w:val="TableText"/>
              <w:rPr>
                <w:rFonts w:eastAsia="Lucida Sans Unicode"/>
                <w:b/>
                <w:bCs/>
              </w:rPr>
            </w:pPr>
            <w:r w:rsidRPr="00FD7201">
              <w:rPr>
                <w:rFonts w:eastAsia="Lucida Sans Unicode"/>
                <w:b/>
                <w:bCs/>
              </w:rPr>
              <w:t>Total</w:t>
            </w:r>
          </w:p>
        </w:tc>
        <w:tc>
          <w:tcPr>
            <w:tcW w:w="1155" w:type="dxa"/>
            <w:shd w:val="clear" w:color="auto" w:fill="auto"/>
            <w:vAlign w:val="center"/>
            <w:hideMark/>
          </w:tcPr>
          <w:p w14:paraId="3F1F42D9" w14:textId="77777777" w:rsidR="00B13AB1" w:rsidRPr="00FD7201" w:rsidRDefault="00B13AB1" w:rsidP="00860EAD">
            <w:pPr>
              <w:pStyle w:val="TableText"/>
              <w:jc w:val="right"/>
              <w:rPr>
                <w:rFonts w:eastAsia="Calibri"/>
                <w:b/>
                <w:bCs/>
                <w:highlight w:val="yellow"/>
              </w:rPr>
            </w:pPr>
            <w:r w:rsidRPr="00FD7201">
              <w:rPr>
                <w:b/>
                <w:bCs/>
              </w:rPr>
              <w:t>2.181</w:t>
            </w:r>
          </w:p>
        </w:tc>
        <w:tc>
          <w:tcPr>
            <w:tcW w:w="1156" w:type="dxa"/>
            <w:shd w:val="clear" w:color="auto" w:fill="auto"/>
            <w:vAlign w:val="center"/>
            <w:hideMark/>
          </w:tcPr>
          <w:p w14:paraId="2D545095" w14:textId="77777777" w:rsidR="00B13AB1" w:rsidRPr="00FD7201" w:rsidRDefault="00B13AB1" w:rsidP="00860EAD">
            <w:pPr>
              <w:pStyle w:val="TableText"/>
              <w:jc w:val="right"/>
              <w:rPr>
                <w:rFonts w:eastAsia="Calibri"/>
                <w:b/>
                <w:bCs/>
                <w:highlight w:val="yellow"/>
              </w:rPr>
            </w:pPr>
            <w:r w:rsidRPr="00FD7201">
              <w:rPr>
                <w:b/>
                <w:bCs/>
              </w:rPr>
              <w:t>2.475</w:t>
            </w:r>
          </w:p>
        </w:tc>
        <w:tc>
          <w:tcPr>
            <w:tcW w:w="1155" w:type="dxa"/>
            <w:shd w:val="clear" w:color="auto" w:fill="auto"/>
            <w:vAlign w:val="center"/>
            <w:hideMark/>
          </w:tcPr>
          <w:p w14:paraId="16A41E20" w14:textId="77777777" w:rsidR="00B13AB1" w:rsidRPr="00FD7201" w:rsidRDefault="00B13AB1" w:rsidP="00860EAD">
            <w:pPr>
              <w:pStyle w:val="TableText"/>
              <w:jc w:val="right"/>
              <w:rPr>
                <w:rFonts w:eastAsia="Calibri"/>
                <w:b/>
                <w:bCs/>
                <w:highlight w:val="yellow"/>
              </w:rPr>
            </w:pPr>
            <w:r w:rsidRPr="00FD7201">
              <w:rPr>
                <w:b/>
                <w:bCs/>
              </w:rPr>
              <w:t>2.302</w:t>
            </w:r>
          </w:p>
        </w:tc>
        <w:tc>
          <w:tcPr>
            <w:tcW w:w="1156" w:type="dxa"/>
            <w:shd w:val="clear" w:color="auto" w:fill="auto"/>
            <w:vAlign w:val="center"/>
            <w:hideMark/>
          </w:tcPr>
          <w:p w14:paraId="31247BBB" w14:textId="77777777" w:rsidR="00B13AB1" w:rsidRPr="00FD7201" w:rsidRDefault="00B13AB1" w:rsidP="00860EAD">
            <w:pPr>
              <w:pStyle w:val="TableText"/>
              <w:jc w:val="right"/>
              <w:rPr>
                <w:rFonts w:eastAsia="Calibri"/>
                <w:b/>
                <w:bCs/>
                <w:highlight w:val="yellow"/>
              </w:rPr>
            </w:pPr>
            <w:r w:rsidRPr="00FD7201">
              <w:rPr>
                <w:b/>
                <w:bCs/>
              </w:rPr>
              <w:t>6.958</w:t>
            </w:r>
          </w:p>
        </w:tc>
      </w:tr>
    </w:tbl>
    <w:p w14:paraId="51830B44" w14:textId="77777777" w:rsidR="00B13AB1" w:rsidRDefault="00B13AB1" w:rsidP="00B13AB1">
      <w:pPr>
        <w:pStyle w:val="Note"/>
      </w:pPr>
      <w:r w:rsidRPr="6A37D213">
        <w:t>Note</w:t>
      </w:r>
      <w:r>
        <w:t>:</w:t>
      </w:r>
      <w:r w:rsidRPr="6A37D213">
        <w:t xml:space="preserve"> Budget sums may not total due to rounding.</w:t>
      </w:r>
    </w:p>
    <w:p w14:paraId="2B542258" w14:textId="77777777" w:rsidR="00B13AB1" w:rsidRDefault="00B13AB1" w:rsidP="00B13AB1"/>
    <w:p w14:paraId="6FF03AD3" w14:textId="77777777" w:rsidR="005B3339" w:rsidRDefault="005B3339" w:rsidP="00FD7201"/>
    <w:p w14:paraId="1A1AD194" w14:textId="77777777" w:rsidR="000E0E1C" w:rsidRDefault="000E0E1C">
      <w:pPr>
        <w:rPr>
          <w:b/>
          <w:color w:val="23305D"/>
          <w:spacing w:val="-10"/>
          <w:sz w:val="60"/>
          <w:szCs w:val="60"/>
          <w:lang w:val="en-GB"/>
        </w:rPr>
      </w:pPr>
      <w:r>
        <w:br w:type="page"/>
      </w:r>
    </w:p>
    <w:p w14:paraId="6F3490A5" w14:textId="7EC9ADBB" w:rsidR="00185540" w:rsidRDefault="00185540" w:rsidP="00517395">
      <w:pPr>
        <w:pStyle w:val="Heading1"/>
      </w:pPr>
      <w:bookmarkStart w:id="33" w:name="_Toc185338897"/>
      <w:r w:rsidRPr="00172194">
        <w:t>Problem gambling levy</w:t>
      </w:r>
      <w:bookmarkEnd w:id="33"/>
      <w:r w:rsidRPr="00172194">
        <w:t xml:space="preserve"> </w:t>
      </w:r>
    </w:p>
    <w:p w14:paraId="4E9DEBDF" w14:textId="77777777" w:rsidR="00185540" w:rsidRDefault="00185540" w:rsidP="00185540">
      <w:pPr>
        <w:rPr>
          <w:b/>
          <w:bCs/>
          <w:lang w:val="en-GB"/>
        </w:rPr>
      </w:pPr>
      <w:r w:rsidRPr="00270DE1">
        <w:rPr>
          <w:b/>
          <w:bCs/>
          <w:lang w:val="en-GB"/>
        </w:rPr>
        <w:t>Funding to support gambling harm prevention and minimisation</w:t>
      </w:r>
      <w:r>
        <w:rPr>
          <w:b/>
          <w:bCs/>
          <w:lang w:val="en-GB"/>
        </w:rPr>
        <w:t>.</w:t>
      </w:r>
    </w:p>
    <w:p w14:paraId="00E698F9" w14:textId="77777777" w:rsidR="00185540" w:rsidRPr="00172194" w:rsidRDefault="00185540" w:rsidP="00517395">
      <w:pPr>
        <w:pStyle w:val="Heading2"/>
      </w:pPr>
      <w:bookmarkStart w:id="34" w:name="_Toc185338898"/>
      <w:r w:rsidRPr="00172194">
        <w:t>Setting the Problem Gambling Levy</w:t>
      </w:r>
      <w:bookmarkEnd w:id="34"/>
    </w:p>
    <w:p w14:paraId="29872E4C" w14:textId="77777777" w:rsidR="00185540" w:rsidRDefault="00185540" w:rsidP="00FD7201">
      <w:r w:rsidRPr="00324382">
        <w:t xml:space="preserve">Section 319(2) of the Act states that the purpose of the </w:t>
      </w:r>
      <w:r>
        <w:t xml:space="preserve">problem gambling </w:t>
      </w:r>
      <w:r w:rsidRPr="00324382">
        <w:t xml:space="preserve">levy is to ‘recover the cost of developing, managing, and delivering the integrated problem gambling strategy’. The levy rates are set by regulation at least every three years. The next levy period is from 1 July 2025 to 30 June 2028. </w:t>
      </w:r>
    </w:p>
    <w:p w14:paraId="4207E909" w14:textId="77777777" w:rsidR="00185540" w:rsidRPr="00324382" w:rsidRDefault="00185540" w:rsidP="00FD7201"/>
    <w:p w14:paraId="4483D1ED" w14:textId="6D9671B4" w:rsidR="00185540" w:rsidRDefault="00185540" w:rsidP="00FD7201">
      <w:r>
        <w:t xml:space="preserve">Since the levy was first set in 2004, it has applied to gambling operators in four sectors: </w:t>
      </w:r>
      <w:r w:rsidR="7844F1E9">
        <w:t xml:space="preserve"> non-casino gambling machines (NCGM) also known as </w:t>
      </w:r>
      <w:r w:rsidR="00784A8B">
        <w:t>Class 4</w:t>
      </w:r>
      <w:r>
        <w:t xml:space="preserve">, casinos, TAB NZ and Lotto New Zealand (Lotto NZ).  </w:t>
      </w:r>
    </w:p>
    <w:p w14:paraId="1019568E" w14:textId="77777777" w:rsidR="00185540" w:rsidRDefault="00185540" w:rsidP="00FD7201"/>
    <w:p w14:paraId="371A36D1" w14:textId="77777777" w:rsidR="00185540" w:rsidRPr="001A2DA9" w:rsidRDefault="00185540" w:rsidP="00FD7201">
      <w:r w:rsidRPr="001A2DA9">
        <w:t xml:space="preserve">The Government has indicated it intends to </w:t>
      </w:r>
      <w:r w:rsidRPr="007F53A7">
        <w:t xml:space="preserve">introduce legislation to </w:t>
      </w:r>
      <w:r w:rsidRPr="001A2DA9">
        <w:t xml:space="preserve">regulate online offshore casino providers and for them to contribute to the problem gambling levy in due course. </w:t>
      </w:r>
      <w:r w:rsidRPr="007F53A7">
        <w:t>The Government has yet to make detailed decisions about the regulatory regime and implementation</w:t>
      </w:r>
      <w:r>
        <w:t xml:space="preserve"> (expected in 2026)</w:t>
      </w:r>
      <w:r w:rsidRPr="007F53A7">
        <w:t xml:space="preserve">, including how the new legislation will interact with the Act, so it is too early to predict what impact this may have on the current levy paying sectors. We note however the Act has mechanisms to adjust levy payments by each sector for changes in forecast expenditure compared with actual expenditure.  </w:t>
      </w:r>
    </w:p>
    <w:p w14:paraId="03B5B05E" w14:textId="77777777" w:rsidR="00185540" w:rsidRDefault="00185540" w:rsidP="00FD7201"/>
    <w:p w14:paraId="6C3BC1B7" w14:textId="77777777" w:rsidR="00185540" w:rsidRPr="00324382" w:rsidRDefault="00185540" w:rsidP="00FD7201">
      <w:r>
        <w:t>Accordingly, the Ministry has prepared these levy estimates and options using the current four levied sectors.</w:t>
      </w:r>
    </w:p>
    <w:p w14:paraId="0CD917D8" w14:textId="3F95070B" w:rsidR="00185540" w:rsidRPr="00FD7201" w:rsidRDefault="00185540" w:rsidP="00FD7201">
      <w:pPr>
        <w:pStyle w:val="Heading3"/>
      </w:pPr>
      <w:r w:rsidRPr="00FD7201">
        <w:t xml:space="preserve">Funding to support gambling harm prevention and </w:t>
      </w:r>
      <w:proofErr w:type="gramStart"/>
      <w:r w:rsidRPr="00FD7201">
        <w:t>minimisation</w:t>
      </w:r>
      <w:proofErr w:type="gramEnd"/>
    </w:p>
    <w:p w14:paraId="7F74715D" w14:textId="18BB8D57" w:rsidR="00185540" w:rsidRDefault="49652D04" w:rsidP="00FD7201">
      <w:pPr>
        <w:rPr>
          <w:rFonts w:eastAsia="Segoe UI"/>
        </w:rPr>
      </w:pPr>
      <w:r>
        <w:t xml:space="preserve">This document contains a range of weighting options for setting the problem gambling levy. The levy formula is prescribed in the Act. The Act also requires the Ministry to apply appropriate weightings within the formula to help determine each sector’s share of the cost that it is required to pay in levy. The tables below outline for each weighting option the proposed levy rates and payment amounts for each sector (Lotto </w:t>
      </w:r>
      <w:r w:rsidR="0CF8FB40">
        <w:t>NZ</w:t>
      </w:r>
      <w:r w:rsidR="434CAF20">
        <w:t xml:space="preserve">, </w:t>
      </w:r>
      <w:r>
        <w:t xml:space="preserve">TAB NZ, casinos and </w:t>
      </w:r>
      <w:r w:rsidR="5D01B407">
        <w:t>Class 4</w:t>
      </w:r>
      <w:r>
        <w:t xml:space="preserve"> gambling).</w:t>
      </w:r>
    </w:p>
    <w:p w14:paraId="312DE9F5" w14:textId="77777777" w:rsidR="00185540" w:rsidRDefault="00185540" w:rsidP="00FD7201">
      <w:pPr>
        <w:rPr>
          <w:rFonts w:eastAsia="Segoe UI"/>
        </w:rPr>
      </w:pPr>
    </w:p>
    <w:p w14:paraId="49752881" w14:textId="59441037" w:rsidR="00185540" w:rsidRPr="0016665F" w:rsidRDefault="00185540" w:rsidP="00FD7201">
      <w:pPr>
        <w:rPr>
          <w:rFonts w:eastAsia="Segoe UI"/>
        </w:rPr>
      </w:pPr>
      <w:r w:rsidRPr="12A7F8CA">
        <w:rPr>
          <w:rFonts w:eastAsia="Segoe UI"/>
        </w:rPr>
        <w:t xml:space="preserve">The proposed levy rates for each gambling sector would be higher under any weighting option for 2025/26 to 2027/28 than they are for the current levy period. This is due to a combination of the proposed increase in funding for services for 2025/26 to 2027/28 and sector payments received to date being less than predicted for the current levy period to 30 June 2025 when they were originally forecast in setting the levy in 2022. </w:t>
      </w:r>
      <w:r w:rsidR="005B1B0B">
        <w:rPr>
          <w:rFonts w:eastAsia="Segoe UI"/>
        </w:rPr>
        <w:t>The levy fo</w:t>
      </w:r>
      <w:r w:rsidR="009B71AA">
        <w:rPr>
          <w:rFonts w:eastAsia="Segoe UI"/>
        </w:rPr>
        <w:t xml:space="preserve">rmula </w:t>
      </w:r>
      <w:r w:rsidR="00391091">
        <w:rPr>
          <w:rFonts w:eastAsia="Segoe UI"/>
        </w:rPr>
        <w:t>i</w:t>
      </w:r>
      <w:r w:rsidR="009B71AA">
        <w:rPr>
          <w:rFonts w:eastAsia="Segoe UI"/>
        </w:rPr>
        <w:t>ncludes provision</w:t>
      </w:r>
      <w:r w:rsidR="0003770B">
        <w:rPr>
          <w:rFonts w:eastAsia="Segoe UI"/>
        </w:rPr>
        <w:t xml:space="preserve"> R that </w:t>
      </w:r>
      <w:r w:rsidR="009B71AA">
        <w:rPr>
          <w:rFonts w:eastAsia="Segoe UI"/>
        </w:rPr>
        <w:t>adjust</w:t>
      </w:r>
      <w:r w:rsidR="0003770B">
        <w:rPr>
          <w:rFonts w:eastAsia="Segoe UI"/>
        </w:rPr>
        <w:t>s</w:t>
      </w:r>
      <w:r w:rsidR="009B71AA">
        <w:rPr>
          <w:rFonts w:eastAsia="Segoe UI"/>
        </w:rPr>
        <w:t xml:space="preserve"> for </w:t>
      </w:r>
      <w:r w:rsidR="0003770B">
        <w:rPr>
          <w:rFonts w:eastAsia="Segoe UI"/>
        </w:rPr>
        <w:t xml:space="preserve">changes </w:t>
      </w:r>
      <w:r w:rsidR="0016194E">
        <w:rPr>
          <w:rFonts w:eastAsia="Segoe UI"/>
        </w:rPr>
        <w:t>between forecast</w:t>
      </w:r>
      <w:r w:rsidR="0003770B">
        <w:rPr>
          <w:rFonts w:eastAsia="Segoe UI"/>
        </w:rPr>
        <w:t xml:space="preserve"> and </w:t>
      </w:r>
      <w:r w:rsidR="00012200">
        <w:rPr>
          <w:rFonts w:eastAsia="Segoe UI"/>
        </w:rPr>
        <w:t>actual</w:t>
      </w:r>
      <w:r w:rsidR="00151F8B">
        <w:rPr>
          <w:rFonts w:eastAsia="Segoe UI"/>
        </w:rPr>
        <w:t xml:space="preserve"> </w:t>
      </w:r>
      <w:r w:rsidR="0016194E">
        <w:rPr>
          <w:rFonts w:eastAsia="Segoe UI"/>
        </w:rPr>
        <w:t xml:space="preserve">levy payments and also adjusts for changes between forecast and actual expenditure </w:t>
      </w:r>
      <w:r w:rsidR="0003770B">
        <w:rPr>
          <w:rFonts w:eastAsia="Segoe UI"/>
        </w:rPr>
        <w:t>in a levy period</w:t>
      </w:r>
      <w:r w:rsidR="00012200">
        <w:rPr>
          <w:rFonts w:eastAsia="Segoe UI"/>
        </w:rPr>
        <w:t xml:space="preserve"> </w:t>
      </w:r>
      <w:r w:rsidR="000401BE">
        <w:rPr>
          <w:rFonts w:eastAsia="Segoe UI"/>
        </w:rPr>
        <w:t xml:space="preserve">(refer to </w:t>
      </w:r>
      <w:r w:rsidR="00391091">
        <w:rPr>
          <w:rFonts w:eastAsia="Segoe UI"/>
        </w:rPr>
        <w:t xml:space="preserve">discussion of R </w:t>
      </w:r>
      <w:r w:rsidR="002070A4">
        <w:rPr>
          <w:rFonts w:eastAsia="Segoe UI"/>
        </w:rPr>
        <w:t>in Appendix 6</w:t>
      </w:r>
      <w:r w:rsidR="002641FD">
        <w:rPr>
          <w:rFonts w:eastAsia="Segoe UI"/>
        </w:rPr>
        <w:t xml:space="preserve">). </w:t>
      </w:r>
      <w:r w:rsidRPr="12A7F8CA">
        <w:rPr>
          <w:rFonts w:eastAsia="Segoe UI"/>
        </w:rPr>
        <w:t>Details of these figures are discussed in this proposals document.</w:t>
      </w:r>
    </w:p>
    <w:p w14:paraId="0D8044BB" w14:textId="77777777" w:rsidR="00185540" w:rsidRPr="00FD7201" w:rsidRDefault="00185540" w:rsidP="00FD7201">
      <w:pPr>
        <w:pStyle w:val="Heading2"/>
      </w:pPr>
      <w:bookmarkStart w:id="35" w:name="_Toc185338899"/>
      <w:r w:rsidRPr="00FD7201">
        <w:t xml:space="preserve">Process for setting the levy </w:t>
      </w:r>
      <w:proofErr w:type="gramStart"/>
      <w:r w:rsidRPr="00FD7201">
        <w:t>rates</w:t>
      </w:r>
      <w:bookmarkEnd w:id="35"/>
      <w:proofErr w:type="gramEnd"/>
    </w:p>
    <w:p w14:paraId="0CD96C5D" w14:textId="77777777" w:rsidR="00185540" w:rsidRDefault="00185540" w:rsidP="00FD7201">
      <w:r w:rsidRPr="00324382">
        <w:t xml:space="preserve">The Act sets out the process for developing and setting the levy rates needed to recover the cost of the strategy (see sections 318–320 of the Act). </w:t>
      </w:r>
    </w:p>
    <w:p w14:paraId="0C1EE8A1" w14:textId="77777777" w:rsidR="00185540" w:rsidRDefault="00185540" w:rsidP="00FD7201"/>
    <w:p w14:paraId="18CF2ED9" w14:textId="6E2A06F0" w:rsidR="00185540" w:rsidRDefault="49652D04" w:rsidP="00FD7201">
      <w:r>
        <w:t>As part of this process, the Ministry consulted on its estimated annual funding requirements and four alternative sets of estimated levy rates for 1 July 2025 to 30 June 2028. The figures in the alternative levy options discussed below should be considered indicative at this stage. Further details of costs and the overall indicative budget are discussed in the relevant sections of the service plan and associated appendices.</w:t>
      </w:r>
    </w:p>
    <w:p w14:paraId="5F4503D0" w14:textId="77777777" w:rsidR="00185540" w:rsidRDefault="00185540" w:rsidP="00FD7201"/>
    <w:p w14:paraId="75B01940" w14:textId="3E0255D6" w:rsidR="00185540" w:rsidRPr="00F20BA0" w:rsidRDefault="49652D04" w:rsidP="00FD7201">
      <w:r>
        <w:t>The Ministry’s consultation period ran from 23 August 2024 until 6 October 2024. About half of the submissions received commented on the levy and weighting options, with most of these coming from the gambling industry. Each industry sector supported an option that would minimise their levy payment. Few service providers commented or indicated a preferred levy weighting, and where a preference was indicated it was spread across the four options. Twelve submissions from the NCGM sector did not prefer any of the proposed weighting options and asked for a 50/50 weighting to be considered. Five submissions supported the current 30/70 option and nine preferred increasing the weighting on presentations (to between 80% and 95%). Non-industry submissions that supported an increase in presentations weighting reasoned this would mean NCGM providers paying a larger share of the levy, in line with the share of gambling harm they considered should be attributed to them.</w:t>
      </w:r>
    </w:p>
    <w:p w14:paraId="7FC5B285" w14:textId="77777777" w:rsidR="00185540" w:rsidRDefault="00185540" w:rsidP="00FD7201"/>
    <w:p w14:paraId="5E5E8556" w14:textId="12E9EB2C" w:rsidR="00185540" w:rsidRPr="00D80FBF" w:rsidRDefault="00185540" w:rsidP="00FD7201">
      <w:r w:rsidRPr="00D80FBF">
        <w:t>The Ministry has considered the</w:t>
      </w:r>
      <w:r>
        <w:t xml:space="preserve">se </w:t>
      </w:r>
      <w:r w:rsidRPr="00D80FBF">
        <w:t xml:space="preserve">submissions when it developed this proposals document. It has now submitted this proposals document to the </w:t>
      </w:r>
      <w:r>
        <w:t xml:space="preserve">responsible Ministers (the </w:t>
      </w:r>
      <w:r w:rsidRPr="00D80FBF">
        <w:t xml:space="preserve">Minister </w:t>
      </w:r>
      <w:r>
        <w:t xml:space="preserve">for Mental </w:t>
      </w:r>
      <w:r w:rsidRPr="00D80FBF">
        <w:t>Health</w:t>
      </w:r>
      <w:r>
        <w:t xml:space="preserve"> (responsible for gambling</w:t>
      </w:r>
      <w:r w:rsidR="004634DA">
        <w:t xml:space="preserve"> harm</w:t>
      </w:r>
      <w:r>
        <w:t xml:space="preserve">) and </w:t>
      </w:r>
      <w:r w:rsidRPr="00D80FBF">
        <w:t>the Minister of Internal Affairs</w:t>
      </w:r>
      <w:r>
        <w:t>)</w:t>
      </w:r>
      <w:r w:rsidRPr="00D80FBF">
        <w:t xml:space="preserve"> and the Gambling Commission.</w:t>
      </w:r>
    </w:p>
    <w:p w14:paraId="6B2E192B" w14:textId="77777777" w:rsidR="00185540" w:rsidRDefault="00185540" w:rsidP="00FD7201"/>
    <w:p w14:paraId="62887A29" w14:textId="77777777" w:rsidR="00185540" w:rsidRPr="003F320B" w:rsidRDefault="00185540" w:rsidP="00FD7201">
      <w:r w:rsidRPr="003F320B">
        <w:t xml:space="preserve">The Gambling Commission may then obtain its own advice around the proposed levy rates and will convene a consultation meeting. It will subsequently make recommendations to the responsible Ministers with its view on the total amount of the levy for the next three years and the levy rates that should apply for each sector required to pay the levy. </w:t>
      </w:r>
    </w:p>
    <w:p w14:paraId="28C35455" w14:textId="77777777" w:rsidR="00185540" w:rsidRPr="003F320B" w:rsidRDefault="00185540" w:rsidP="00FD7201"/>
    <w:p w14:paraId="688707C2" w14:textId="1A9206F7" w:rsidR="00185540" w:rsidRPr="00324382" w:rsidRDefault="00185540" w:rsidP="00FD7201">
      <w:r w:rsidRPr="003F320B">
        <w:t xml:space="preserve">Cabinet will </w:t>
      </w:r>
      <w:r w:rsidR="0C539000">
        <w:t>then</w:t>
      </w:r>
      <w:r w:rsidR="1D70A715">
        <w:t xml:space="preserve"> </w:t>
      </w:r>
      <w:r w:rsidR="66C2955C">
        <w:t xml:space="preserve">be asked to </w:t>
      </w:r>
      <w:r w:rsidRPr="003F320B">
        <w:t xml:space="preserve">approve the </w:t>
      </w:r>
      <w:r w:rsidR="122E1705">
        <w:t>S</w:t>
      </w:r>
      <w:r w:rsidRPr="003F320B">
        <w:t xml:space="preserve">trategy, including the Vote Health appropriation which allocates funding to the Ministry and Health New Zealand to implement the </w:t>
      </w:r>
      <w:r w:rsidR="231004DD">
        <w:t>S</w:t>
      </w:r>
      <w:r w:rsidRPr="003F320B">
        <w:t>trategy, and endorse the problem gambling levy regulations, which specifies the sectors that will pay the levy and the decided relevant levy rates.</w:t>
      </w:r>
    </w:p>
    <w:p w14:paraId="1F41973D" w14:textId="77777777" w:rsidR="00185540" w:rsidRDefault="00185540" w:rsidP="00FD7201">
      <w:pPr>
        <w:rPr>
          <w:b/>
          <w:color w:val="0A6AB4"/>
          <w:spacing w:val="-5"/>
          <w:sz w:val="40"/>
          <w:szCs w:val="16"/>
          <w:lang w:val="en-GB"/>
        </w:rPr>
      </w:pPr>
      <w:r>
        <w:br w:type="page"/>
      </w:r>
    </w:p>
    <w:p w14:paraId="3253B902" w14:textId="77777777" w:rsidR="00185540" w:rsidRPr="00FD7201" w:rsidRDefault="00185540" w:rsidP="00FD7201">
      <w:pPr>
        <w:pStyle w:val="Heading2"/>
      </w:pPr>
      <w:bookmarkStart w:id="36" w:name="_Toc185338900"/>
      <w:r w:rsidRPr="00FD7201">
        <w:t>The levy formula</w:t>
      </w:r>
      <w:bookmarkEnd w:id="36"/>
    </w:p>
    <w:p w14:paraId="50ED3DE5" w14:textId="0306CC8F" w:rsidR="00185540" w:rsidRDefault="00185540" w:rsidP="00185540">
      <w:pPr>
        <w:rPr>
          <w:rFonts w:eastAsia="Segoe UI" w:cstheme="minorBidi"/>
        </w:rPr>
      </w:pPr>
      <w:r w:rsidRPr="0AF1FAE6">
        <w:rPr>
          <w:rFonts w:eastAsia="Segoe UI" w:cstheme="minorBidi"/>
        </w:rPr>
        <w:t xml:space="preserve">The formula listed in section 320 of the Act ‘provides a mechanism for allocating among gambling operators, and collecting from them, the approximate cost’ of the </w:t>
      </w:r>
      <w:r w:rsidR="700CD98E" w:rsidRPr="0AF1FAE6">
        <w:rPr>
          <w:rFonts w:eastAsia="Segoe UI" w:cstheme="minorBidi"/>
        </w:rPr>
        <w:t>S</w:t>
      </w:r>
      <w:r w:rsidRPr="0AF1FAE6">
        <w:rPr>
          <w:rFonts w:eastAsia="Segoe UI" w:cstheme="minorBidi"/>
        </w:rPr>
        <w:t xml:space="preserve">trategy. </w:t>
      </w:r>
    </w:p>
    <w:p w14:paraId="386C4E90" w14:textId="77777777" w:rsidR="00185540" w:rsidRPr="00324382" w:rsidRDefault="00185540" w:rsidP="00185540">
      <w:pPr>
        <w:rPr>
          <w:rFonts w:cstheme="minorHAnsi"/>
        </w:rPr>
      </w:pPr>
    </w:p>
    <w:p w14:paraId="2E0EB205" w14:textId="77777777" w:rsidR="00185540" w:rsidRPr="00324382" w:rsidRDefault="00185540" w:rsidP="00185540">
      <w:pPr>
        <w:rPr>
          <w:rFonts w:cstheme="minorHAnsi"/>
        </w:rPr>
      </w:pPr>
      <w:r w:rsidRPr="00324382">
        <w:rPr>
          <w:rFonts w:eastAsia="Segoe UI" w:cstheme="minorHAnsi"/>
        </w:rPr>
        <w:t>The formula is:</w:t>
      </w:r>
    </w:p>
    <w:p w14:paraId="04D03D24" w14:textId="77777777" w:rsidR="00185540" w:rsidRPr="00324382" w:rsidRDefault="00185540" w:rsidP="00185540">
      <w:pPr>
        <w:spacing w:before="120"/>
        <w:ind w:left="567"/>
        <w:rPr>
          <w:rFonts w:cstheme="minorHAnsi"/>
        </w:rPr>
      </w:pPr>
      <w:r w:rsidRPr="00324382">
        <w:rPr>
          <w:rFonts w:eastAsia="Segoe UI" w:cstheme="minorHAnsi"/>
        </w:rPr>
        <w:t xml:space="preserve">Levy rate for each sector = </w:t>
      </w:r>
      <w:r w:rsidRPr="00324382">
        <w:rPr>
          <w:rFonts w:eastAsia="Segoe UI" w:cstheme="minorHAnsi"/>
          <w:u w:val="single"/>
        </w:rPr>
        <w:t>{[(A x W1) + (B x W2)] x C} plus or minus R</w:t>
      </w:r>
    </w:p>
    <w:p w14:paraId="43C640F4" w14:textId="77777777" w:rsidR="00185540" w:rsidRPr="00324382" w:rsidRDefault="00185540" w:rsidP="00185540">
      <w:pPr>
        <w:ind w:left="3600" w:firstLine="720"/>
        <w:rPr>
          <w:rFonts w:cstheme="minorHAnsi"/>
        </w:rPr>
      </w:pPr>
      <w:r w:rsidRPr="00324382">
        <w:rPr>
          <w:rFonts w:eastAsia="Segoe UI" w:cstheme="minorHAnsi"/>
        </w:rPr>
        <w:t>D</w:t>
      </w:r>
    </w:p>
    <w:p w14:paraId="27B6B74B" w14:textId="77777777" w:rsidR="00185540" w:rsidRPr="00324382" w:rsidRDefault="00185540" w:rsidP="00185540">
      <w:pPr>
        <w:ind w:left="567"/>
        <w:rPr>
          <w:rFonts w:cstheme="minorHAnsi"/>
        </w:rPr>
      </w:pPr>
      <w:r w:rsidRPr="00324382">
        <w:rPr>
          <w:rFonts w:eastAsia="Segoe UI" w:cstheme="minorHAnsi"/>
        </w:rPr>
        <w:t>where:</w:t>
      </w:r>
    </w:p>
    <w:p w14:paraId="27A28C3E" w14:textId="77777777" w:rsidR="00185540" w:rsidRPr="00324382" w:rsidRDefault="00185540" w:rsidP="00185540">
      <w:pPr>
        <w:spacing w:before="120"/>
        <w:ind w:left="993" w:hanging="426"/>
        <w:rPr>
          <w:rFonts w:cstheme="minorHAnsi"/>
        </w:rPr>
      </w:pPr>
      <w:r w:rsidRPr="00324382">
        <w:rPr>
          <w:rFonts w:eastAsia="Segoe UI" w:cstheme="minorHAnsi"/>
          <w:b/>
        </w:rPr>
        <w:t>A</w:t>
      </w:r>
      <w:r w:rsidRPr="00324382">
        <w:rPr>
          <w:rFonts w:eastAsia="Segoe UI" w:cstheme="minorHAnsi"/>
        </w:rPr>
        <w:t xml:space="preserve"> =</w:t>
      </w:r>
      <w:r w:rsidRPr="00324382">
        <w:rPr>
          <w:rFonts w:cstheme="minorHAnsi"/>
        </w:rPr>
        <w:tab/>
      </w:r>
      <w:r w:rsidRPr="00324382">
        <w:rPr>
          <w:rFonts w:eastAsia="Segoe UI" w:cstheme="minorHAnsi"/>
        </w:rPr>
        <w:t>the estimated current player expenditure in a sector divided by the total estimated current player expenditure in all sectors that are subject to the levy</w:t>
      </w:r>
    </w:p>
    <w:p w14:paraId="21EAF1C1" w14:textId="77777777" w:rsidR="00185540" w:rsidRPr="00324382" w:rsidRDefault="00185540" w:rsidP="00185540">
      <w:pPr>
        <w:spacing w:before="120"/>
        <w:ind w:left="992" w:hanging="425"/>
        <w:rPr>
          <w:rFonts w:cstheme="minorHAnsi"/>
        </w:rPr>
      </w:pPr>
      <w:r w:rsidRPr="00324382">
        <w:rPr>
          <w:rFonts w:eastAsia="Segoe UI" w:cstheme="minorHAnsi"/>
          <w:b/>
        </w:rPr>
        <w:t>B</w:t>
      </w:r>
      <w:r w:rsidRPr="00324382">
        <w:rPr>
          <w:rFonts w:eastAsia="Segoe UI" w:cstheme="minorHAnsi"/>
        </w:rPr>
        <w:t xml:space="preserve"> =</w:t>
      </w:r>
      <w:r w:rsidRPr="00324382">
        <w:rPr>
          <w:rFonts w:cstheme="minorHAnsi"/>
        </w:rPr>
        <w:tab/>
      </w:r>
      <w:r w:rsidRPr="00324382">
        <w:rPr>
          <w:rFonts w:eastAsia="Segoe UI" w:cstheme="minorHAnsi"/>
        </w:rPr>
        <w:t>the number of customer presentations to problem gambling services that can be attributed to gambling in a sector divided by the total number of customer presentations to problem gambling services in which a sector that is subject to the levy can be identified</w:t>
      </w:r>
    </w:p>
    <w:p w14:paraId="4D493AAD" w14:textId="77777777" w:rsidR="00185540" w:rsidRPr="00324382" w:rsidRDefault="00185540" w:rsidP="00185540">
      <w:pPr>
        <w:spacing w:before="120"/>
        <w:ind w:left="992" w:hanging="425"/>
        <w:rPr>
          <w:rFonts w:cstheme="minorHAnsi"/>
        </w:rPr>
      </w:pPr>
      <w:r w:rsidRPr="00324382">
        <w:rPr>
          <w:rFonts w:eastAsia="Segoe UI" w:cstheme="minorHAnsi"/>
          <w:b/>
        </w:rPr>
        <w:t>C</w:t>
      </w:r>
      <w:r w:rsidRPr="00324382">
        <w:rPr>
          <w:rFonts w:eastAsia="Segoe UI" w:cstheme="minorHAnsi"/>
        </w:rPr>
        <w:t xml:space="preserve"> =</w:t>
      </w:r>
      <w:r w:rsidRPr="00324382">
        <w:rPr>
          <w:rFonts w:cstheme="minorHAnsi"/>
        </w:rPr>
        <w:tab/>
      </w:r>
      <w:r w:rsidRPr="00324382">
        <w:rPr>
          <w:rFonts w:eastAsia="Segoe UI" w:cstheme="minorHAnsi"/>
        </w:rPr>
        <w:t>the funding requirement for the period for which the levy is payable</w:t>
      </w:r>
    </w:p>
    <w:p w14:paraId="0D5CD638" w14:textId="77777777" w:rsidR="00185540" w:rsidRPr="00324382" w:rsidRDefault="00185540" w:rsidP="00185540">
      <w:pPr>
        <w:spacing w:before="120"/>
        <w:ind w:left="993" w:hanging="426"/>
        <w:rPr>
          <w:rFonts w:cstheme="minorHAnsi"/>
        </w:rPr>
      </w:pPr>
      <w:r w:rsidRPr="00324382">
        <w:rPr>
          <w:rFonts w:eastAsia="Segoe UI" w:cstheme="minorHAnsi"/>
          <w:b/>
        </w:rPr>
        <w:t>D</w:t>
      </w:r>
      <w:r w:rsidRPr="00324382">
        <w:rPr>
          <w:rFonts w:eastAsia="Segoe UI" w:cstheme="minorHAnsi"/>
        </w:rPr>
        <w:t xml:space="preserve"> =</w:t>
      </w:r>
      <w:r w:rsidRPr="00324382">
        <w:rPr>
          <w:rFonts w:cstheme="minorHAnsi"/>
        </w:rPr>
        <w:tab/>
      </w:r>
      <w:r w:rsidRPr="00324382">
        <w:rPr>
          <w:rFonts w:eastAsia="Segoe UI" w:cstheme="minorHAnsi"/>
        </w:rPr>
        <w:t>the forecast player expenditure in a sector for the period during which the levy is payable</w:t>
      </w:r>
    </w:p>
    <w:p w14:paraId="3D92CDE1" w14:textId="77777777" w:rsidR="00185540" w:rsidRPr="00324382" w:rsidRDefault="00185540" w:rsidP="00185540">
      <w:pPr>
        <w:spacing w:before="120"/>
        <w:ind w:left="993" w:hanging="426"/>
        <w:rPr>
          <w:rFonts w:cstheme="minorHAnsi"/>
        </w:rPr>
      </w:pPr>
      <w:r w:rsidRPr="00324382">
        <w:rPr>
          <w:rFonts w:eastAsia="Segoe UI" w:cstheme="minorHAnsi"/>
          <w:b/>
        </w:rPr>
        <w:t>R</w:t>
      </w:r>
      <w:r w:rsidRPr="00324382">
        <w:rPr>
          <w:rFonts w:eastAsia="Segoe UI" w:cstheme="minorHAnsi"/>
        </w:rPr>
        <w:t xml:space="preserve"> =</w:t>
      </w:r>
      <w:r w:rsidRPr="00324382">
        <w:rPr>
          <w:rFonts w:cstheme="minorHAnsi"/>
        </w:rPr>
        <w:tab/>
      </w:r>
      <w:r w:rsidRPr="00324382">
        <w:rPr>
          <w:rFonts w:eastAsia="Segoe UI" w:cstheme="minorHAnsi"/>
        </w:rPr>
        <w:t>the estimated under- or over-recovery of levy from a sector in the previous levy periods</w:t>
      </w:r>
      <w:hyperlink r:id="rId30" w:anchor="_ftn1">
        <w:r w:rsidRPr="00324382">
          <w:rPr>
            <w:rStyle w:val="Hyperlink"/>
            <w:rFonts w:eastAsia="Segoe UI" w:cstheme="minorHAnsi"/>
            <w:vertAlign w:val="superscript"/>
          </w:rPr>
          <w:t>[1]</w:t>
        </w:r>
      </w:hyperlink>
    </w:p>
    <w:p w14:paraId="43F0F8AB" w14:textId="77777777" w:rsidR="00185540" w:rsidRPr="00324382" w:rsidRDefault="00185540" w:rsidP="00185540">
      <w:pPr>
        <w:spacing w:before="120"/>
        <w:ind w:left="993" w:hanging="426"/>
        <w:rPr>
          <w:rFonts w:cstheme="minorHAnsi"/>
        </w:rPr>
      </w:pPr>
      <w:r w:rsidRPr="00324382">
        <w:rPr>
          <w:rFonts w:eastAsia="Segoe UI" w:cstheme="minorHAnsi"/>
          <w:b/>
        </w:rPr>
        <w:t>W1</w:t>
      </w:r>
      <w:r w:rsidRPr="00324382">
        <w:rPr>
          <w:rFonts w:eastAsia="Segoe UI" w:cstheme="minorHAnsi"/>
        </w:rPr>
        <w:t xml:space="preserve"> and </w:t>
      </w:r>
      <w:r w:rsidRPr="00324382">
        <w:rPr>
          <w:rFonts w:eastAsia="Segoe UI" w:cstheme="minorHAnsi"/>
          <w:b/>
        </w:rPr>
        <w:t>W2</w:t>
      </w:r>
      <w:r w:rsidRPr="00324382">
        <w:rPr>
          <w:rFonts w:eastAsia="Segoe UI" w:cstheme="minorHAnsi"/>
          <w:vertAlign w:val="subscript"/>
        </w:rPr>
        <w:t xml:space="preserve"> </w:t>
      </w:r>
      <w:r w:rsidRPr="00324382">
        <w:rPr>
          <w:rFonts w:eastAsia="Segoe UI" w:cstheme="minorHAnsi"/>
        </w:rPr>
        <w:t>are weights, the sum of which is 1.</w:t>
      </w:r>
    </w:p>
    <w:p w14:paraId="0E80A05A" w14:textId="77777777" w:rsidR="00185540" w:rsidRPr="00324382" w:rsidRDefault="00185540" w:rsidP="00185540">
      <w:pPr>
        <w:rPr>
          <w:rFonts w:cstheme="minorHAnsi"/>
        </w:rPr>
      </w:pPr>
      <w:r w:rsidRPr="00324382">
        <w:rPr>
          <w:rFonts w:eastAsia="Segoe UI" w:cstheme="minorHAnsi"/>
        </w:rPr>
        <w:t xml:space="preserve"> </w:t>
      </w:r>
    </w:p>
    <w:p w14:paraId="77944335" w14:textId="77777777" w:rsidR="00185540" w:rsidRDefault="00185540" w:rsidP="00185540">
      <w:r w:rsidRPr="00324382">
        <w:t xml:space="preserve">The top line of the formula determines the dollar amount to be paid by each sector as its share of the total levy amount, </w:t>
      </w:r>
      <w:proofErr w:type="gramStart"/>
      <w:r w:rsidRPr="00324382">
        <w:t>taking into account</w:t>
      </w:r>
      <w:proofErr w:type="gramEnd"/>
      <w:r w:rsidRPr="00324382">
        <w:t xml:space="preserve"> any over- or under-recovery in previous levy periods. </w:t>
      </w:r>
    </w:p>
    <w:p w14:paraId="0DE33008" w14:textId="77777777" w:rsidR="00185540" w:rsidRPr="00324382" w:rsidRDefault="00185540" w:rsidP="00185540"/>
    <w:p w14:paraId="5FB66C69" w14:textId="77777777" w:rsidR="00185540" w:rsidRDefault="00185540" w:rsidP="00185540">
      <w:r w:rsidRPr="00324382">
        <w:t>The bottom line of the formula (</w:t>
      </w:r>
      <w:r w:rsidRPr="00324382">
        <w:rPr>
          <w:b/>
        </w:rPr>
        <w:t>D</w:t>
      </w:r>
      <w:r w:rsidRPr="00324382">
        <w:t xml:space="preserve">, forecast player expenditure in the sector) determines the levy rate that is necessary for a sector to pay its required contribution (the dollar amount) determined by the top line of the formula. </w:t>
      </w:r>
    </w:p>
    <w:p w14:paraId="7469D940" w14:textId="77777777" w:rsidR="00185540" w:rsidRPr="00324382" w:rsidRDefault="00185540" w:rsidP="00185540"/>
    <w:p w14:paraId="1BC055AD" w14:textId="77777777" w:rsidR="00185540" w:rsidRDefault="00185540" w:rsidP="00185540">
      <w:r w:rsidRPr="00324382">
        <w:t>All other things being equal, the higher the forecast player expenditure for a sector, the lower that sector’s levy rate will be. Player expenditure for each sector is defined in section 320(3) of the Act. For example, each levy rate is the amount per dollar of player expenditure a sector must pay. A rate of 0.85 means a sector must pay 0.85 cents for every dollar of player expenditure in the levy period to which the rate applies.</w:t>
      </w:r>
    </w:p>
    <w:p w14:paraId="3CA39734" w14:textId="77777777" w:rsidR="00185540" w:rsidRDefault="00185540" w:rsidP="00185540"/>
    <w:p w14:paraId="6AEC790F" w14:textId="77777777" w:rsidR="00185540" w:rsidRDefault="00185540" w:rsidP="00185540">
      <w:r w:rsidRPr="00290BE0">
        <w:rPr>
          <w:rFonts w:eastAsia="Calibri" w:cs="Segoe UI"/>
          <w:b/>
          <w:bCs/>
        </w:rPr>
        <w:t>Appendix Six</w:t>
      </w:r>
      <w:r w:rsidRPr="00290BE0">
        <w:rPr>
          <w:rFonts w:eastAsia="Calibri" w:cs="Segoe UI"/>
        </w:rPr>
        <w:t xml:space="preserve"> in the Appendices document</w:t>
      </w:r>
      <w:r>
        <w:t xml:space="preserve"> steps through the detailed inputs into the formula and the underpinning data and calculations. </w:t>
      </w:r>
    </w:p>
    <w:p w14:paraId="0CED261E" w14:textId="77777777" w:rsidR="00185540" w:rsidRDefault="00185540" w:rsidP="00185540"/>
    <w:p w14:paraId="00DC1582" w14:textId="77777777" w:rsidR="00185540" w:rsidRPr="00324382" w:rsidRDefault="00185540" w:rsidP="00185540">
      <w:r>
        <w:t xml:space="preserve">The following section summarises the options for setting the levy. </w:t>
      </w:r>
    </w:p>
    <w:p w14:paraId="1631D014" w14:textId="77777777" w:rsidR="00185540" w:rsidRPr="00172194" w:rsidRDefault="00185540" w:rsidP="00185540">
      <w:pPr>
        <w:pStyle w:val="Heading3"/>
      </w:pPr>
      <w:r w:rsidRPr="00172194">
        <w:t>Weightings</w:t>
      </w:r>
    </w:p>
    <w:p w14:paraId="10085D6C" w14:textId="77777777" w:rsidR="00185540" w:rsidRDefault="00185540" w:rsidP="00185540">
      <w:pPr>
        <w:rPr>
          <w:rFonts w:eastAsia="Segoe UI"/>
        </w:rPr>
      </w:pPr>
      <w:r w:rsidRPr="00C55C23">
        <w:rPr>
          <w:rFonts w:eastAsia="Segoe UI"/>
        </w:rPr>
        <w:t>The Act requires the Ministry to apply a weighting between current player expenditure (</w:t>
      </w:r>
      <w:r w:rsidRPr="00C55C23">
        <w:rPr>
          <w:rFonts w:eastAsia="Segoe UI"/>
          <w:b/>
        </w:rPr>
        <w:t>W1</w:t>
      </w:r>
      <w:r w:rsidRPr="00C55C23">
        <w:rPr>
          <w:rFonts w:eastAsia="Segoe UI"/>
        </w:rPr>
        <w:t>) and presentations (</w:t>
      </w:r>
      <w:r w:rsidRPr="00C55C23">
        <w:rPr>
          <w:rFonts w:eastAsia="Segoe UI"/>
          <w:b/>
        </w:rPr>
        <w:t>W2</w:t>
      </w:r>
      <w:r w:rsidRPr="00C55C23">
        <w:rPr>
          <w:rFonts w:eastAsia="Segoe UI"/>
        </w:rPr>
        <w:t>) to help determine the cost (</w:t>
      </w:r>
      <w:r w:rsidRPr="00C55C23">
        <w:rPr>
          <w:rFonts w:eastAsia="Segoe UI"/>
          <w:b/>
        </w:rPr>
        <w:t>C</w:t>
      </w:r>
      <w:r w:rsidRPr="00C55C23">
        <w:rPr>
          <w:rFonts w:eastAsia="Segoe UI"/>
        </w:rPr>
        <w:t>) that each sector is required to pay in levy.</w:t>
      </w:r>
    </w:p>
    <w:p w14:paraId="2BF4A229" w14:textId="77777777" w:rsidR="00185540" w:rsidRDefault="00185540" w:rsidP="00185540"/>
    <w:p w14:paraId="62FDB747" w14:textId="77777777" w:rsidR="00185540" w:rsidRPr="00281146" w:rsidRDefault="00185540" w:rsidP="00185540">
      <w:r w:rsidRPr="00281146">
        <w:t xml:space="preserve">The levy is intended to recover the cost of developing and implementing a strategy to prevent and minimise gambling harm. The definition of ‘harm’ in the Act is broad. Presentations represent only a small subset of gambling harm, and one that tends to be at the acute end of the continuum. Those who seek help represent only a small proportion of those who experience harm. There can be no assurance that gambling sectors are associated with harm across the continuum of harm in precisely the same proportions as they are associated with presentations to intervention services. </w:t>
      </w:r>
    </w:p>
    <w:p w14:paraId="3A6CFFB7" w14:textId="77777777" w:rsidR="00185540" w:rsidRPr="00281146" w:rsidRDefault="00185540" w:rsidP="00185540"/>
    <w:p w14:paraId="029AD445" w14:textId="1026FB4D" w:rsidR="00185540" w:rsidRPr="00C55C23" w:rsidRDefault="00185540" w:rsidP="00185540">
      <w:r>
        <w:t xml:space="preserve">The Act specifies that, in addition to </w:t>
      </w:r>
      <w:r w:rsidR="4FE50EFA">
        <w:t>treatment</w:t>
      </w:r>
      <w:r>
        <w:t xml:space="preserve"> services, the </w:t>
      </w:r>
      <w:r w:rsidR="194705DA">
        <w:t>S</w:t>
      </w:r>
      <w:r>
        <w:t>trategy must include measures to promote public health by preventing and minimising the harm from problem gambling. It must also encourage gambling research (not just problem gambling research) and evaluation. The proportion of presentations to intervention services attributable to a particular gambling sector is not necessarily an appropriate indicator for determining the share that sector should bear of public health, research and evaluation costs.</w:t>
      </w:r>
      <w:r w:rsidR="00EF2A0D">
        <w:t xml:space="preserve"> The levy </w:t>
      </w:r>
      <w:r w:rsidR="004D48EB">
        <w:t xml:space="preserve">formula includes </w:t>
      </w:r>
      <w:r w:rsidR="00445C19">
        <w:t xml:space="preserve">these </w:t>
      </w:r>
      <w:r w:rsidR="00EF2A0D">
        <w:t xml:space="preserve">weightings </w:t>
      </w:r>
      <w:r w:rsidR="00AF0BC0">
        <w:t xml:space="preserve">as a way to </w:t>
      </w:r>
      <w:r w:rsidR="00B05FEB">
        <w:t xml:space="preserve">adjust the </w:t>
      </w:r>
      <w:r w:rsidR="00EF2A0D">
        <w:t xml:space="preserve">share of the total levy </w:t>
      </w:r>
      <w:r w:rsidR="007A6CED">
        <w:t>paid by each of the levied sectors</w:t>
      </w:r>
      <w:r w:rsidR="0041610F">
        <w:t xml:space="preserve"> (see discussion below)</w:t>
      </w:r>
      <w:r w:rsidR="00CA062D">
        <w:t>.</w:t>
      </w:r>
    </w:p>
    <w:p w14:paraId="08CE04CE" w14:textId="77777777" w:rsidR="00185540" w:rsidRDefault="00185540" w:rsidP="00185540">
      <w:pPr>
        <w:rPr>
          <w:rFonts w:eastAsia="Segoe UI"/>
        </w:rPr>
      </w:pPr>
    </w:p>
    <w:p w14:paraId="629B0CFB" w14:textId="766544BB" w:rsidR="00185540" w:rsidRDefault="49652D04" w:rsidP="2F6A6A80">
      <w:pPr>
        <w:rPr>
          <w:rFonts w:eastAsia="Segoe UI"/>
        </w:rPr>
      </w:pPr>
      <w:r w:rsidRPr="00513C81">
        <w:rPr>
          <w:rFonts w:eastAsia="Segoe UI"/>
          <w:b/>
          <w:bCs/>
        </w:rPr>
        <w:t>Table 5</w:t>
      </w:r>
      <w:r w:rsidRPr="2F6A6A80">
        <w:rPr>
          <w:rFonts w:eastAsia="Segoe UI"/>
        </w:rPr>
        <w:t xml:space="preserve"> shows the proportion of expenditure (</w:t>
      </w:r>
      <w:r w:rsidRPr="2F6A6A80">
        <w:rPr>
          <w:rFonts w:eastAsia="Segoe UI"/>
          <w:b/>
          <w:bCs/>
        </w:rPr>
        <w:t>A</w:t>
      </w:r>
      <w:r w:rsidRPr="2F6A6A80">
        <w:rPr>
          <w:rFonts w:eastAsia="Segoe UI"/>
        </w:rPr>
        <w:t xml:space="preserve">) from each levy-paying sector’s proportion of expenditure for the 2023/24 financial year (estimates for all apart from </w:t>
      </w:r>
      <w:r w:rsidR="5D01B407" w:rsidRPr="2F6A6A80">
        <w:rPr>
          <w:rFonts w:eastAsia="Segoe UI"/>
        </w:rPr>
        <w:t>Class 4</w:t>
      </w:r>
      <w:r w:rsidRPr="2F6A6A80">
        <w:rPr>
          <w:rFonts w:eastAsia="Segoe UI"/>
        </w:rPr>
        <w:t>, to be updated when 2023/24 data become available), and presentations (</w:t>
      </w:r>
      <w:r w:rsidRPr="2F6A6A80">
        <w:rPr>
          <w:rFonts w:eastAsia="Segoe UI"/>
          <w:b/>
          <w:bCs/>
        </w:rPr>
        <w:t>B</w:t>
      </w:r>
      <w:r w:rsidRPr="2F6A6A80">
        <w:rPr>
          <w:rFonts w:eastAsia="Segoe UI"/>
        </w:rPr>
        <w:t>) attributed to each levy-paying sector for the 12-month period from 1 January to 31 to December 2023.</w:t>
      </w:r>
    </w:p>
    <w:p w14:paraId="260AA6BB" w14:textId="77777777" w:rsidR="00FD7201" w:rsidRPr="00C55C23" w:rsidRDefault="00FD7201" w:rsidP="2F6A6A80">
      <w:pPr>
        <w:rPr>
          <w:rFonts w:eastAsia="Segoe UI"/>
          <w:b/>
          <w:bCs/>
        </w:rPr>
      </w:pPr>
    </w:p>
    <w:p w14:paraId="714DE837" w14:textId="6551528D" w:rsidR="00185540" w:rsidRDefault="00185540" w:rsidP="00185540">
      <w:pPr>
        <w:pStyle w:val="Table"/>
        <w:rPr>
          <w:rFonts w:eastAsia="Segoe UI"/>
        </w:rPr>
      </w:pPr>
      <w:bookmarkStart w:id="37" w:name="_Toc185338906"/>
      <w:r>
        <w:t xml:space="preserve">Table </w:t>
      </w:r>
      <w:r w:rsidR="00347B76">
        <w:fldChar w:fldCharType="begin"/>
      </w:r>
      <w:r w:rsidR="00347B76">
        <w:instrText xml:space="preserve"> SEQ Table \* ARABIC </w:instrText>
      </w:r>
      <w:r w:rsidR="00347B76">
        <w:fldChar w:fldCharType="separate"/>
      </w:r>
      <w:r w:rsidR="0094542E">
        <w:rPr>
          <w:noProof/>
        </w:rPr>
        <w:t>5</w:t>
      </w:r>
      <w:r w:rsidR="00347B76">
        <w:rPr>
          <w:noProof/>
        </w:rPr>
        <w:fldChar w:fldCharType="end"/>
      </w:r>
      <w:r>
        <w:t xml:space="preserve">: </w:t>
      </w:r>
      <w:r w:rsidRPr="00C55C23">
        <w:rPr>
          <w:rFonts w:eastAsia="Segoe UI"/>
        </w:rPr>
        <w:t>Share of expenditure (</w:t>
      </w:r>
      <w:r>
        <w:rPr>
          <w:rFonts w:eastAsia="Segoe UI"/>
        </w:rPr>
        <w:t>2023/24</w:t>
      </w:r>
      <w:r w:rsidRPr="00C55C23">
        <w:rPr>
          <w:rFonts w:eastAsia="Segoe UI"/>
        </w:rPr>
        <w:t xml:space="preserve">) and presentations (2023) by </w:t>
      </w:r>
      <w:r>
        <w:rPr>
          <w:rFonts w:eastAsia="Segoe UI"/>
        </w:rPr>
        <w:t xml:space="preserve">levy-paying </w:t>
      </w:r>
      <w:r w:rsidRPr="00C55C23">
        <w:rPr>
          <w:rFonts w:eastAsia="Segoe UI"/>
        </w:rPr>
        <w:t>sector</w:t>
      </w:r>
      <w:bookmarkEnd w:id="37"/>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63"/>
        <w:gridCol w:w="1055"/>
        <w:gridCol w:w="962"/>
        <w:gridCol w:w="1055"/>
        <w:gridCol w:w="962"/>
        <w:gridCol w:w="1055"/>
        <w:gridCol w:w="962"/>
        <w:gridCol w:w="1055"/>
      </w:tblGrid>
      <w:tr w:rsidR="00185540" w14:paraId="1E43E729" w14:textId="77777777" w:rsidTr="00860EAD">
        <w:tc>
          <w:tcPr>
            <w:tcW w:w="2018" w:type="dxa"/>
            <w:gridSpan w:val="2"/>
            <w:tcBorders>
              <w:top w:val="nil"/>
              <w:bottom w:val="nil"/>
            </w:tcBorders>
            <w:shd w:val="clear" w:color="auto" w:fill="D9D9D9" w:themeFill="background1" w:themeFillShade="D9"/>
          </w:tcPr>
          <w:p w14:paraId="54D27E3D" w14:textId="2FBBBEEB" w:rsidR="00185540" w:rsidRPr="000134CF" w:rsidRDefault="00784A8B" w:rsidP="00860EAD">
            <w:pPr>
              <w:pStyle w:val="TableText"/>
              <w:jc w:val="center"/>
              <w:rPr>
                <w:rFonts w:eastAsia="Segoe UI"/>
                <w:b/>
                <w:bCs/>
              </w:rPr>
            </w:pPr>
            <w:r>
              <w:rPr>
                <w:rFonts w:eastAsia="Segoe UI"/>
                <w:b/>
                <w:bCs/>
              </w:rPr>
              <w:t>Class 4</w:t>
            </w:r>
          </w:p>
        </w:tc>
        <w:tc>
          <w:tcPr>
            <w:tcW w:w="2017" w:type="dxa"/>
            <w:gridSpan w:val="2"/>
            <w:tcBorders>
              <w:top w:val="nil"/>
              <w:bottom w:val="nil"/>
            </w:tcBorders>
            <w:shd w:val="clear" w:color="auto" w:fill="D9D9D9" w:themeFill="background1" w:themeFillShade="D9"/>
          </w:tcPr>
          <w:p w14:paraId="2A41D888" w14:textId="77777777" w:rsidR="00185540" w:rsidRPr="000134CF" w:rsidRDefault="00185540" w:rsidP="00860EAD">
            <w:pPr>
              <w:pStyle w:val="TableText"/>
              <w:jc w:val="center"/>
              <w:rPr>
                <w:rFonts w:eastAsia="Segoe UI"/>
                <w:b/>
                <w:bCs/>
              </w:rPr>
            </w:pPr>
            <w:r w:rsidRPr="000134CF">
              <w:rPr>
                <w:rFonts w:eastAsia="Segoe UI"/>
                <w:b/>
                <w:bCs/>
              </w:rPr>
              <w:t>Casinos</w:t>
            </w:r>
          </w:p>
        </w:tc>
        <w:tc>
          <w:tcPr>
            <w:tcW w:w="2017" w:type="dxa"/>
            <w:gridSpan w:val="2"/>
            <w:tcBorders>
              <w:top w:val="nil"/>
              <w:bottom w:val="nil"/>
            </w:tcBorders>
            <w:shd w:val="clear" w:color="auto" w:fill="D9D9D9" w:themeFill="background1" w:themeFillShade="D9"/>
          </w:tcPr>
          <w:p w14:paraId="3B1CA23D" w14:textId="77777777" w:rsidR="00185540" w:rsidRPr="000134CF" w:rsidRDefault="00185540" w:rsidP="00860EAD">
            <w:pPr>
              <w:pStyle w:val="TableText"/>
              <w:jc w:val="center"/>
              <w:rPr>
                <w:rFonts w:eastAsia="Segoe UI"/>
                <w:b/>
                <w:bCs/>
              </w:rPr>
            </w:pPr>
            <w:r w:rsidRPr="000134CF">
              <w:rPr>
                <w:rFonts w:eastAsia="Segoe UI"/>
                <w:b/>
                <w:bCs/>
              </w:rPr>
              <w:t>TAB NZ</w:t>
            </w:r>
          </w:p>
        </w:tc>
        <w:tc>
          <w:tcPr>
            <w:tcW w:w="2017" w:type="dxa"/>
            <w:gridSpan w:val="2"/>
            <w:tcBorders>
              <w:top w:val="nil"/>
              <w:bottom w:val="nil"/>
            </w:tcBorders>
            <w:shd w:val="clear" w:color="auto" w:fill="D9D9D9" w:themeFill="background1" w:themeFillShade="D9"/>
          </w:tcPr>
          <w:p w14:paraId="5488C6EA" w14:textId="77777777" w:rsidR="00185540" w:rsidRPr="000134CF" w:rsidRDefault="00185540" w:rsidP="00860EAD">
            <w:pPr>
              <w:pStyle w:val="TableText"/>
              <w:jc w:val="center"/>
              <w:rPr>
                <w:rFonts w:eastAsia="Segoe UI"/>
                <w:b/>
                <w:bCs/>
              </w:rPr>
            </w:pPr>
            <w:r w:rsidRPr="000134CF">
              <w:rPr>
                <w:rFonts w:eastAsia="Segoe UI"/>
                <w:b/>
                <w:bCs/>
              </w:rPr>
              <w:t>Lotto NZ</w:t>
            </w:r>
          </w:p>
        </w:tc>
      </w:tr>
      <w:tr w:rsidR="00185540" w14:paraId="130F80D4" w14:textId="77777777" w:rsidTr="00860EAD">
        <w:tc>
          <w:tcPr>
            <w:tcW w:w="963" w:type="dxa"/>
            <w:tcBorders>
              <w:top w:val="nil"/>
            </w:tcBorders>
            <w:shd w:val="clear" w:color="auto" w:fill="D9D9D9" w:themeFill="background1" w:themeFillShade="D9"/>
          </w:tcPr>
          <w:p w14:paraId="2E07D5CE" w14:textId="77777777" w:rsidR="00185540" w:rsidRPr="000134CF" w:rsidRDefault="00185540" w:rsidP="00860EAD">
            <w:pPr>
              <w:pStyle w:val="TableText"/>
              <w:rPr>
                <w:rFonts w:eastAsia="Segoe UI"/>
                <w:sz w:val="14"/>
                <w:szCs w:val="16"/>
              </w:rPr>
            </w:pPr>
            <w:r w:rsidRPr="000134CF">
              <w:rPr>
                <w:rFonts w:eastAsia="Segoe UI"/>
                <w:sz w:val="14"/>
                <w:szCs w:val="16"/>
              </w:rPr>
              <w:t>Expenditure</w:t>
            </w:r>
          </w:p>
        </w:tc>
        <w:tc>
          <w:tcPr>
            <w:tcW w:w="1055" w:type="dxa"/>
            <w:tcBorders>
              <w:top w:val="nil"/>
              <w:right w:val="single" w:sz="4" w:space="0" w:color="A6A6A6" w:themeColor="background1" w:themeShade="A6"/>
            </w:tcBorders>
            <w:shd w:val="clear" w:color="auto" w:fill="D9D9D9" w:themeFill="background1" w:themeFillShade="D9"/>
          </w:tcPr>
          <w:p w14:paraId="7DA2055E" w14:textId="77777777" w:rsidR="00185540" w:rsidRPr="000134CF" w:rsidRDefault="00185540" w:rsidP="00860EAD">
            <w:pPr>
              <w:pStyle w:val="TableText"/>
              <w:rPr>
                <w:rFonts w:eastAsia="Segoe UI"/>
                <w:sz w:val="14"/>
                <w:szCs w:val="16"/>
              </w:rPr>
            </w:pPr>
            <w:r w:rsidRPr="000134CF">
              <w:rPr>
                <w:rFonts w:eastAsia="Segoe UI"/>
                <w:sz w:val="14"/>
                <w:szCs w:val="16"/>
              </w:rPr>
              <w:t>Presentations</w:t>
            </w:r>
          </w:p>
        </w:tc>
        <w:tc>
          <w:tcPr>
            <w:tcW w:w="962" w:type="dxa"/>
            <w:tcBorders>
              <w:top w:val="nil"/>
              <w:left w:val="single" w:sz="4" w:space="0" w:color="A6A6A6" w:themeColor="background1" w:themeShade="A6"/>
            </w:tcBorders>
            <w:shd w:val="clear" w:color="auto" w:fill="D9D9D9" w:themeFill="background1" w:themeFillShade="D9"/>
          </w:tcPr>
          <w:p w14:paraId="4BB4D691" w14:textId="77777777" w:rsidR="00185540" w:rsidRPr="000134CF" w:rsidRDefault="00185540" w:rsidP="00860EAD">
            <w:pPr>
              <w:pStyle w:val="TableText"/>
              <w:rPr>
                <w:rFonts w:eastAsia="Segoe UI"/>
                <w:sz w:val="14"/>
                <w:szCs w:val="16"/>
              </w:rPr>
            </w:pPr>
            <w:r w:rsidRPr="000134CF">
              <w:rPr>
                <w:rFonts w:eastAsia="Segoe UI"/>
                <w:sz w:val="14"/>
                <w:szCs w:val="16"/>
              </w:rPr>
              <w:t>Expenditure</w:t>
            </w:r>
          </w:p>
        </w:tc>
        <w:tc>
          <w:tcPr>
            <w:tcW w:w="1055" w:type="dxa"/>
            <w:tcBorders>
              <w:top w:val="nil"/>
              <w:right w:val="single" w:sz="4" w:space="0" w:color="A6A6A6" w:themeColor="background1" w:themeShade="A6"/>
            </w:tcBorders>
            <w:shd w:val="clear" w:color="auto" w:fill="D9D9D9" w:themeFill="background1" w:themeFillShade="D9"/>
          </w:tcPr>
          <w:p w14:paraId="73985669" w14:textId="77777777" w:rsidR="00185540" w:rsidRPr="000134CF" w:rsidRDefault="00185540" w:rsidP="00860EAD">
            <w:pPr>
              <w:pStyle w:val="TableText"/>
              <w:rPr>
                <w:rFonts w:eastAsia="Segoe UI"/>
                <w:sz w:val="14"/>
                <w:szCs w:val="16"/>
              </w:rPr>
            </w:pPr>
            <w:r w:rsidRPr="000134CF">
              <w:rPr>
                <w:rFonts w:eastAsia="Segoe UI"/>
                <w:sz w:val="14"/>
                <w:szCs w:val="16"/>
              </w:rPr>
              <w:t>Presentations</w:t>
            </w:r>
          </w:p>
        </w:tc>
        <w:tc>
          <w:tcPr>
            <w:tcW w:w="962" w:type="dxa"/>
            <w:tcBorders>
              <w:top w:val="nil"/>
              <w:left w:val="single" w:sz="4" w:space="0" w:color="A6A6A6" w:themeColor="background1" w:themeShade="A6"/>
            </w:tcBorders>
            <w:shd w:val="clear" w:color="auto" w:fill="D9D9D9" w:themeFill="background1" w:themeFillShade="D9"/>
          </w:tcPr>
          <w:p w14:paraId="3637DCE7" w14:textId="77777777" w:rsidR="00185540" w:rsidRPr="000134CF" w:rsidRDefault="00185540" w:rsidP="00860EAD">
            <w:pPr>
              <w:pStyle w:val="TableText"/>
              <w:rPr>
                <w:rFonts w:eastAsia="Segoe UI"/>
                <w:sz w:val="14"/>
                <w:szCs w:val="16"/>
              </w:rPr>
            </w:pPr>
            <w:r w:rsidRPr="000134CF">
              <w:rPr>
                <w:rFonts w:eastAsia="Segoe UI"/>
                <w:sz w:val="14"/>
                <w:szCs w:val="16"/>
              </w:rPr>
              <w:t>Expenditure</w:t>
            </w:r>
          </w:p>
        </w:tc>
        <w:tc>
          <w:tcPr>
            <w:tcW w:w="1055" w:type="dxa"/>
            <w:tcBorders>
              <w:top w:val="nil"/>
              <w:right w:val="single" w:sz="4" w:space="0" w:color="A6A6A6" w:themeColor="background1" w:themeShade="A6"/>
            </w:tcBorders>
            <w:shd w:val="clear" w:color="auto" w:fill="D9D9D9" w:themeFill="background1" w:themeFillShade="D9"/>
          </w:tcPr>
          <w:p w14:paraId="18224CFB" w14:textId="77777777" w:rsidR="00185540" w:rsidRPr="000134CF" w:rsidRDefault="00185540" w:rsidP="00860EAD">
            <w:pPr>
              <w:pStyle w:val="TableText"/>
              <w:rPr>
                <w:rFonts w:eastAsia="Segoe UI"/>
                <w:sz w:val="14"/>
                <w:szCs w:val="16"/>
              </w:rPr>
            </w:pPr>
            <w:r w:rsidRPr="000134CF">
              <w:rPr>
                <w:rFonts w:eastAsia="Segoe UI"/>
                <w:sz w:val="14"/>
                <w:szCs w:val="16"/>
              </w:rPr>
              <w:t>Presentations</w:t>
            </w:r>
          </w:p>
        </w:tc>
        <w:tc>
          <w:tcPr>
            <w:tcW w:w="962" w:type="dxa"/>
            <w:tcBorders>
              <w:top w:val="nil"/>
              <w:left w:val="single" w:sz="4" w:space="0" w:color="A6A6A6" w:themeColor="background1" w:themeShade="A6"/>
            </w:tcBorders>
            <w:shd w:val="clear" w:color="auto" w:fill="D9D9D9" w:themeFill="background1" w:themeFillShade="D9"/>
          </w:tcPr>
          <w:p w14:paraId="76F00276" w14:textId="77777777" w:rsidR="00185540" w:rsidRPr="000134CF" w:rsidRDefault="00185540" w:rsidP="00860EAD">
            <w:pPr>
              <w:pStyle w:val="TableText"/>
              <w:rPr>
                <w:rFonts w:eastAsia="Segoe UI"/>
                <w:sz w:val="14"/>
                <w:szCs w:val="16"/>
              </w:rPr>
            </w:pPr>
            <w:r w:rsidRPr="000134CF">
              <w:rPr>
                <w:rFonts w:eastAsia="Segoe UI"/>
                <w:sz w:val="14"/>
                <w:szCs w:val="16"/>
              </w:rPr>
              <w:t>Expenditure</w:t>
            </w:r>
          </w:p>
        </w:tc>
        <w:tc>
          <w:tcPr>
            <w:tcW w:w="1055" w:type="dxa"/>
            <w:tcBorders>
              <w:top w:val="nil"/>
            </w:tcBorders>
            <w:shd w:val="clear" w:color="auto" w:fill="D9D9D9" w:themeFill="background1" w:themeFillShade="D9"/>
          </w:tcPr>
          <w:p w14:paraId="709B5B6E" w14:textId="77777777" w:rsidR="00185540" w:rsidRPr="000134CF" w:rsidRDefault="00185540" w:rsidP="00860EAD">
            <w:pPr>
              <w:pStyle w:val="TableText"/>
              <w:rPr>
                <w:rFonts w:eastAsia="Segoe UI"/>
                <w:sz w:val="14"/>
                <w:szCs w:val="16"/>
              </w:rPr>
            </w:pPr>
            <w:r w:rsidRPr="000134CF">
              <w:rPr>
                <w:rFonts w:eastAsia="Segoe UI"/>
                <w:sz w:val="14"/>
                <w:szCs w:val="16"/>
              </w:rPr>
              <w:t>Presentations</w:t>
            </w:r>
          </w:p>
        </w:tc>
      </w:tr>
      <w:tr w:rsidR="00185540" w14:paraId="77EB2747" w14:textId="77777777" w:rsidTr="00860EAD">
        <w:tc>
          <w:tcPr>
            <w:tcW w:w="963" w:type="dxa"/>
          </w:tcPr>
          <w:p w14:paraId="54CDEDDA" w14:textId="77777777" w:rsidR="00185540" w:rsidRDefault="00185540" w:rsidP="00860EAD">
            <w:pPr>
              <w:pStyle w:val="TableText"/>
              <w:jc w:val="center"/>
              <w:rPr>
                <w:rFonts w:eastAsia="Segoe UI"/>
              </w:rPr>
            </w:pPr>
            <w:r>
              <w:rPr>
                <w:rFonts w:eastAsia="Segoe UI"/>
              </w:rPr>
              <w:t>0.373</w:t>
            </w:r>
          </w:p>
        </w:tc>
        <w:tc>
          <w:tcPr>
            <w:tcW w:w="1055" w:type="dxa"/>
            <w:tcBorders>
              <w:right w:val="single" w:sz="4" w:space="0" w:color="A6A6A6" w:themeColor="background1" w:themeShade="A6"/>
            </w:tcBorders>
          </w:tcPr>
          <w:p w14:paraId="7B2A9DCE" w14:textId="77777777" w:rsidR="00185540" w:rsidRDefault="00185540" w:rsidP="00860EAD">
            <w:pPr>
              <w:pStyle w:val="TableText"/>
              <w:jc w:val="center"/>
              <w:rPr>
                <w:rFonts w:eastAsia="Segoe UI"/>
              </w:rPr>
            </w:pPr>
            <w:r w:rsidRPr="00C55C23">
              <w:rPr>
                <w:rFonts w:eastAsia="Segoe UI"/>
              </w:rPr>
              <w:t>0.543</w:t>
            </w:r>
          </w:p>
        </w:tc>
        <w:tc>
          <w:tcPr>
            <w:tcW w:w="962" w:type="dxa"/>
            <w:tcBorders>
              <w:left w:val="single" w:sz="4" w:space="0" w:color="A6A6A6" w:themeColor="background1" w:themeShade="A6"/>
            </w:tcBorders>
          </w:tcPr>
          <w:p w14:paraId="2CF4F155" w14:textId="77777777" w:rsidR="00185540" w:rsidRDefault="00185540" w:rsidP="00860EAD">
            <w:pPr>
              <w:pStyle w:val="TableText"/>
              <w:jc w:val="center"/>
              <w:rPr>
                <w:rFonts w:eastAsia="Segoe UI"/>
              </w:rPr>
            </w:pPr>
            <w:r>
              <w:rPr>
                <w:rFonts w:eastAsia="Segoe UI"/>
              </w:rPr>
              <w:t>0.226</w:t>
            </w:r>
          </w:p>
        </w:tc>
        <w:tc>
          <w:tcPr>
            <w:tcW w:w="1055" w:type="dxa"/>
            <w:tcBorders>
              <w:right w:val="single" w:sz="4" w:space="0" w:color="A6A6A6" w:themeColor="background1" w:themeShade="A6"/>
            </w:tcBorders>
          </w:tcPr>
          <w:p w14:paraId="4BDB0958" w14:textId="77777777" w:rsidR="00185540" w:rsidRDefault="00185540" w:rsidP="00860EAD">
            <w:pPr>
              <w:pStyle w:val="TableText"/>
              <w:jc w:val="center"/>
              <w:rPr>
                <w:rFonts w:eastAsia="Segoe UI"/>
              </w:rPr>
            </w:pPr>
            <w:r w:rsidRPr="00C55C23">
              <w:rPr>
                <w:rFonts w:eastAsia="Segoe UI"/>
              </w:rPr>
              <w:t>0.204</w:t>
            </w:r>
          </w:p>
        </w:tc>
        <w:tc>
          <w:tcPr>
            <w:tcW w:w="962" w:type="dxa"/>
            <w:tcBorders>
              <w:left w:val="single" w:sz="4" w:space="0" w:color="A6A6A6" w:themeColor="background1" w:themeShade="A6"/>
            </w:tcBorders>
          </w:tcPr>
          <w:p w14:paraId="2D02490A" w14:textId="77777777" w:rsidR="00185540" w:rsidRDefault="00185540" w:rsidP="00860EAD">
            <w:pPr>
              <w:pStyle w:val="TableText"/>
              <w:jc w:val="center"/>
              <w:rPr>
                <w:rFonts w:eastAsia="Segoe UI"/>
              </w:rPr>
            </w:pPr>
            <w:r>
              <w:rPr>
                <w:rFonts w:eastAsia="Segoe UI"/>
              </w:rPr>
              <w:t>0.139</w:t>
            </w:r>
          </w:p>
        </w:tc>
        <w:tc>
          <w:tcPr>
            <w:tcW w:w="1055" w:type="dxa"/>
            <w:tcBorders>
              <w:right w:val="single" w:sz="4" w:space="0" w:color="A6A6A6" w:themeColor="background1" w:themeShade="A6"/>
            </w:tcBorders>
          </w:tcPr>
          <w:p w14:paraId="4BB8D6D4" w14:textId="77777777" w:rsidR="00185540" w:rsidRDefault="00185540" w:rsidP="00860EAD">
            <w:pPr>
              <w:pStyle w:val="TableText"/>
              <w:jc w:val="center"/>
              <w:rPr>
                <w:rFonts w:eastAsia="Segoe UI"/>
              </w:rPr>
            </w:pPr>
            <w:r w:rsidRPr="00C55C23">
              <w:rPr>
                <w:rFonts w:eastAsia="Segoe UI"/>
              </w:rPr>
              <w:t>0.102</w:t>
            </w:r>
          </w:p>
        </w:tc>
        <w:tc>
          <w:tcPr>
            <w:tcW w:w="962" w:type="dxa"/>
            <w:tcBorders>
              <w:left w:val="single" w:sz="4" w:space="0" w:color="A6A6A6" w:themeColor="background1" w:themeShade="A6"/>
            </w:tcBorders>
          </w:tcPr>
          <w:p w14:paraId="0D1666D3" w14:textId="77777777" w:rsidR="00185540" w:rsidRDefault="00185540" w:rsidP="00860EAD">
            <w:pPr>
              <w:pStyle w:val="TableText"/>
              <w:jc w:val="center"/>
              <w:rPr>
                <w:rFonts w:eastAsia="Segoe UI"/>
              </w:rPr>
            </w:pPr>
            <w:r>
              <w:rPr>
                <w:rFonts w:eastAsia="Segoe UI"/>
              </w:rPr>
              <w:t>0.262</w:t>
            </w:r>
          </w:p>
        </w:tc>
        <w:tc>
          <w:tcPr>
            <w:tcW w:w="1055" w:type="dxa"/>
          </w:tcPr>
          <w:p w14:paraId="2F735E08" w14:textId="77777777" w:rsidR="00185540" w:rsidRDefault="00185540" w:rsidP="00860EAD">
            <w:pPr>
              <w:pStyle w:val="TableText"/>
              <w:jc w:val="center"/>
              <w:rPr>
                <w:rFonts w:eastAsia="Segoe UI"/>
              </w:rPr>
            </w:pPr>
            <w:r w:rsidRPr="00C55C23">
              <w:rPr>
                <w:rFonts w:eastAsia="Segoe UI"/>
              </w:rPr>
              <w:t>0.150</w:t>
            </w:r>
          </w:p>
        </w:tc>
      </w:tr>
    </w:tbl>
    <w:p w14:paraId="51621EA4" w14:textId="20731EE4" w:rsidR="00185540" w:rsidRPr="00FD7201" w:rsidRDefault="00185540" w:rsidP="00FD7201">
      <w:pPr>
        <w:pStyle w:val="Heading3"/>
        <w:rPr>
          <w:rFonts w:cstheme="minorHAnsi"/>
        </w:rPr>
      </w:pPr>
      <w:r w:rsidRPr="00281146">
        <w:t xml:space="preserve">Levy weightings </w:t>
      </w:r>
      <w:proofErr w:type="gramStart"/>
      <w:r w:rsidRPr="00281146">
        <w:t>discussion</w:t>
      </w:r>
      <w:proofErr w:type="gramEnd"/>
    </w:p>
    <w:p w14:paraId="3C3E622E" w14:textId="77777777" w:rsidR="00185540" w:rsidRPr="00281146" w:rsidRDefault="00185540" w:rsidP="00FD7201">
      <w:r w:rsidRPr="00281146">
        <w:t>The top line of the levy formula determines the amount each sector shall pay. When a sector’s proportion of expenditure (W1) is substantially different from its proportion of presentations (W2), the weighting between expenditure and presentations is critical to determine how much each sector will be required to pay.</w:t>
      </w:r>
    </w:p>
    <w:p w14:paraId="40494811" w14:textId="77777777" w:rsidR="00185540" w:rsidRPr="00281146" w:rsidRDefault="00185540" w:rsidP="00FD7201"/>
    <w:p w14:paraId="565E8758" w14:textId="7AA3CF80" w:rsidR="00185540" w:rsidRPr="00281146" w:rsidRDefault="49652D04" w:rsidP="00FD7201">
      <w:r>
        <w:t xml:space="preserve">The </w:t>
      </w:r>
      <w:r w:rsidR="426E6FFD">
        <w:t>S</w:t>
      </w:r>
      <w:r>
        <w:t xml:space="preserve">trategy is intended to prevent and minimise gambling </w:t>
      </w:r>
      <w:r w:rsidRPr="2F6A6A80">
        <w:rPr>
          <w:i/>
          <w:iCs/>
        </w:rPr>
        <w:t>harm</w:t>
      </w:r>
      <w:r>
        <w:t xml:space="preserve">; it is not intended to address the amount spent by people who gamble per se. Previously the Ministry </w:t>
      </w:r>
      <w:r w:rsidR="02843FEE">
        <w:t>h</w:t>
      </w:r>
      <w:r>
        <w:t>as indicated it considered any weighting of more than 30 percent on expenditure</w:t>
      </w:r>
      <w:r w:rsidRPr="2F6A6A80">
        <w:rPr>
          <w:i/>
          <w:iCs/>
        </w:rPr>
        <w:t xml:space="preserve"> </w:t>
      </w:r>
      <w:r>
        <w:t xml:space="preserve">would be inappropriate, because it would unfairly penalise operators of relatively benign forms of gambling with high expenditure. A weighting of 30 percent or less on expenditure necessarily implies a weighting of 70 percent or more on presentations. </w:t>
      </w:r>
    </w:p>
    <w:p w14:paraId="276C31BF" w14:textId="40C3EE34" w:rsidR="00185540" w:rsidRPr="00281146" w:rsidRDefault="49652D04" w:rsidP="004825BB">
      <w:pPr>
        <w:ind w:right="-143"/>
      </w:pPr>
      <w:r>
        <w:t xml:space="preserve">Each ‘presentation’ represents a person who is seeking help because they have been harmed, either by their own or by someone else’s gambling. Each </w:t>
      </w:r>
      <w:r w:rsidR="2CFA1296">
        <w:t xml:space="preserve">client </w:t>
      </w:r>
      <w:r>
        <w:t xml:space="preserve">presentation is attributed </w:t>
      </w:r>
      <w:r w:rsidR="0372CC62">
        <w:t>a prim</w:t>
      </w:r>
      <w:r w:rsidR="1282ACEB">
        <w:t xml:space="preserve">ary gambling mode </w:t>
      </w:r>
      <w:r w:rsidR="20A797F1">
        <w:t xml:space="preserve">which is reflected in the share </w:t>
      </w:r>
      <w:r w:rsidR="18D710A6">
        <w:t>of presentations in Table 2 above</w:t>
      </w:r>
      <w:r w:rsidR="24EB39BC">
        <w:t xml:space="preserve">. </w:t>
      </w:r>
      <w:r>
        <w:t>Therefore, the Ministry has considered that presentations, as one indicator of harm, albeit harm at the acute end of the continuum, should be allocated a substantially heavier weighting than expenditure. This also tends to support a weighting of at least 70 percent on presentations and no more than 30 percent on expenditure.</w:t>
      </w:r>
    </w:p>
    <w:p w14:paraId="033EFC20" w14:textId="7D4E5131" w:rsidR="00185540" w:rsidRPr="00281146" w:rsidRDefault="49652D04" w:rsidP="00FD7201">
      <w:r>
        <w:t xml:space="preserve">That said, the Ministry also recognises that too high a weighting on presentations alone does not adequately attribute to each sector its fair share of costs for low to moderate harm, or of </w:t>
      </w:r>
      <w:r w:rsidR="0B2F07F1">
        <w:t>S</w:t>
      </w:r>
      <w:r>
        <w:t xml:space="preserve">trategy activities such as public health not covered by presentations to intervention services. The NCGM submissions </w:t>
      </w:r>
      <w:r w:rsidR="00513C81">
        <w:t xml:space="preserve">proposed </w:t>
      </w:r>
      <w:r w:rsidR="007261D7">
        <w:t xml:space="preserve">reducing </w:t>
      </w:r>
      <w:r w:rsidR="678E9E77">
        <w:t xml:space="preserve">the presentations weighting from </w:t>
      </w:r>
      <w:r w:rsidR="00C06EC4">
        <w:t>70</w:t>
      </w:r>
      <w:r w:rsidR="678E9E77">
        <w:t xml:space="preserve">% to 50% for </w:t>
      </w:r>
      <w:r>
        <w:t>a 50/50 weighting</w:t>
      </w:r>
      <w:r w:rsidR="001B36D5">
        <w:t xml:space="preserve">. The Ministry considers this option </w:t>
      </w:r>
      <w:r>
        <w:t xml:space="preserve">would negate the effect of </w:t>
      </w:r>
      <w:r w:rsidR="001B36D5">
        <w:t xml:space="preserve">using </w:t>
      </w:r>
      <w:r>
        <w:t>weighting</w:t>
      </w:r>
      <w:r w:rsidR="001B36D5">
        <w:t>s for</w:t>
      </w:r>
      <w:r>
        <w:t xml:space="preserve"> presentations </w:t>
      </w:r>
      <w:r w:rsidR="001B36D5">
        <w:t xml:space="preserve">and </w:t>
      </w:r>
      <w:r>
        <w:t xml:space="preserve">expenditure. For the reasons stated above we do not support the 50/50 weighting, but we have included a table showing the impact of this option for transparency. </w:t>
      </w:r>
    </w:p>
    <w:p w14:paraId="225B1C30" w14:textId="77777777" w:rsidR="00185540" w:rsidRPr="00281146" w:rsidRDefault="00185540" w:rsidP="00FD7201"/>
    <w:p w14:paraId="1C5518A3" w14:textId="06C1305B" w:rsidR="00185540" w:rsidRPr="00281146" w:rsidRDefault="00185540" w:rsidP="00FD7201">
      <w:r w:rsidRPr="00281146">
        <w:t>The Gambling Commission</w:t>
      </w:r>
      <w:r w:rsidR="462672B8" w:rsidRPr="00281146">
        <w:t>’</w:t>
      </w:r>
      <w:r w:rsidRPr="00281146">
        <w:t>s 2022 report</w:t>
      </w:r>
      <w:r w:rsidRPr="00281146">
        <w:rPr>
          <w:vertAlign w:val="superscript"/>
        </w:rPr>
        <w:footnoteReference w:id="15"/>
      </w:r>
      <w:r w:rsidRPr="00281146">
        <w:t xml:space="preserve"> recommended a 30/70 weighting for the reasons summarised above</w:t>
      </w:r>
      <w:r w:rsidR="00987893">
        <w:t>,</w:t>
      </w:r>
      <w:r w:rsidRPr="00281146">
        <w:t xml:space="preserve"> which was recommended to the Government. The 30/70 weighting has applied since the 2019/20 to 2021/22 period. Previous levy periods applied the 10/90 weighting.</w:t>
      </w:r>
    </w:p>
    <w:p w14:paraId="079EDC5E" w14:textId="77777777" w:rsidR="00185540" w:rsidRPr="00281146" w:rsidRDefault="00185540" w:rsidP="00FD7201"/>
    <w:p w14:paraId="7478A9A2" w14:textId="4A267912" w:rsidR="00185540" w:rsidRPr="00281146" w:rsidRDefault="49652D04" w:rsidP="00FD7201">
      <w:r>
        <w:t xml:space="preserve">The Ministry considers that any weighting from 30/70 to 5/95 would comply with the </w:t>
      </w:r>
      <w:r w:rsidR="001B36D5">
        <w:t>rationale for including weighting</w:t>
      </w:r>
      <w:r w:rsidR="00513C81">
        <w:t xml:space="preserve"> </w:t>
      </w:r>
      <w:r>
        <w:t xml:space="preserve">provisions in the Act. We have previously recommended a 30/70 weighting but have not yet concluded whether we will make a similar recommendation this time to inform Ministers’ decision-making. </w:t>
      </w:r>
    </w:p>
    <w:p w14:paraId="5410A17D" w14:textId="77777777" w:rsidR="00185540" w:rsidRPr="00281146" w:rsidRDefault="00185540" w:rsidP="00FD7201"/>
    <w:p w14:paraId="1D101925" w14:textId="77777777" w:rsidR="00185540" w:rsidRPr="00281146" w:rsidRDefault="00185540" w:rsidP="00FD7201">
      <w:r w:rsidRPr="00281146">
        <w:t>We are not aware of any factors that might suggest an alternative weighting should be considered this time but would be interested in the Gambling Commission’s views on the appropriate levy weighting that should apply for the next levy period.</w:t>
      </w:r>
    </w:p>
    <w:p w14:paraId="03FA2F12" w14:textId="77777777" w:rsidR="00185540" w:rsidRPr="00FD7201" w:rsidRDefault="00185540" w:rsidP="004825BB">
      <w:pPr>
        <w:pStyle w:val="Heading2"/>
      </w:pPr>
      <w:bookmarkStart w:id="38" w:name="_Toc185338901"/>
      <w:r w:rsidRPr="00FD7201">
        <w:t>Weighting options and levy calculations</w:t>
      </w:r>
      <w:bookmarkEnd w:id="38"/>
      <w:r w:rsidRPr="00FD7201">
        <w:t xml:space="preserve"> </w:t>
      </w:r>
    </w:p>
    <w:p w14:paraId="2FEC6982" w14:textId="1B5B3D04" w:rsidR="00185540" w:rsidRDefault="00185540" w:rsidP="00FD7201">
      <w:r w:rsidRPr="006D5016">
        <w:t xml:space="preserve">Tables </w:t>
      </w:r>
      <w:r w:rsidR="00D96621">
        <w:t>6-10 below</w:t>
      </w:r>
      <w:r>
        <w:t xml:space="preserve"> </w:t>
      </w:r>
      <w:r w:rsidRPr="006D5016">
        <w:t>set out the implications for each of the f</w:t>
      </w:r>
      <w:r>
        <w:t xml:space="preserve">ive </w:t>
      </w:r>
      <w:r w:rsidRPr="006D5016">
        <w:t>alternative levy weightings 5/95, 10/90, 20/80</w:t>
      </w:r>
      <w:r>
        <w:t xml:space="preserve">, </w:t>
      </w:r>
      <w:r w:rsidRPr="006D5016">
        <w:t>30/70</w:t>
      </w:r>
      <w:r>
        <w:t xml:space="preserve"> and 50/50</w:t>
      </w:r>
      <w:r w:rsidRPr="006D5016">
        <w:t xml:space="preserve"> respectively, based on an appropriation </w:t>
      </w:r>
      <w:r w:rsidRPr="00860EAD">
        <w:t>of $91</w:t>
      </w:r>
      <w:r>
        <w:t>.805</w:t>
      </w:r>
      <w:r w:rsidRPr="006D5016">
        <w:t xml:space="preserve"> million to the health sector to cover costs to the Ministry and Health New Zealand, for problem gambling activities for 2025/26 to 2027/28. </w:t>
      </w:r>
    </w:p>
    <w:p w14:paraId="1B985AE6" w14:textId="77777777" w:rsidR="00185540" w:rsidRPr="006D5016" w:rsidRDefault="00185540" w:rsidP="00FD7201"/>
    <w:p w14:paraId="3EE3E5A6" w14:textId="7B74E784" w:rsidR="00185540" w:rsidRDefault="00185540" w:rsidP="00FD7201">
      <w:pPr>
        <w:rPr>
          <w:rFonts w:eastAsia="Segoe UI" w:cstheme="minorHAnsi"/>
        </w:rPr>
      </w:pPr>
      <w:r w:rsidRPr="006D5016">
        <w:rPr>
          <w:rFonts w:eastAsia="Segoe UI" w:cstheme="minorHAnsi"/>
        </w:rPr>
        <w:t xml:space="preserve">Each table shows the levy rate per sector and the expected amount of levy payments over the three-year period and compares these with each sector’s levy payments for the current levy period to 30 June 2025. A positive figure indicates that the sector is expected to pay more in the next levy period, and a negative figure indicates that the sector is expected to pay less. </w:t>
      </w:r>
    </w:p>
    <w:p w14:paraId="47EDDEB5" w14:textId="53BEE4D4" w:rsidR="00185540" w:rsidRPr="006D5016" w:rsidRDefault="00185540" w:rsidP="00185540">
      <w:pPr>
        <w:pStyle w:val="Table"/>
      </w:pPr>
      <w:bookmarkStart w:id="39" w:name="_Toc185338907"/>
      <w:r>
        <w:t xml:space="preserve">Table </w:t>
      </w:r>
      <w:r w:rsidR="00347B76">
        <w:fldChar w:fldCharType="begin"/>
      </w:r>
      <w:r w:rsidR="00347B76">
        <w:instrText xml:space="preserve"> SEQ Table \* ARABIC </w:instrText>
      </w:r>
      <w:r w:rsidR="00347B76">
        <w:fldChar w:fldCharType="separate"/>
      </w:r>
      <w:r w:rsidR="0094542E">
        <w:rPr>
          <w:noProof/>
        </w:rPr>
        <w:t>6</w:t>
      </w:r>
      <w:r w:rsidR="00347B76">
        <w:rPr>
          <w:noProof/>
        </w:rPr>
        <w:fldChar w:fldCharType="end"/>
      </w:r>
      <w:r>
        <w:t xml:space="preserve">: </w:t>
      </w:r>
      <w:r w:rsidRPr="006D5016">
        <w:rPr>
          <w:rFonts w:eastAsia="Segoe UI"/>
        </w:rPr>
        <w:t xml:space="preserve">Estimated levy rates and payments ($m) per sector, 5/95 </w:t>
      </w:r>
      <w:proofErr w:type="gramStart"/>
      <w:r w:rsidRPr="006D5016">
        <w:rPr>
          <w:rFonts w:eastAsia="Segoe UI"/>
        </w:rPr>
        <w:t>weighting</w:t>
      </w:r>
      <w:bookmarkEnd w:id="39"/>
      <w:proofErr w:type="gramEnd"/>
    </w:p>
    <w:tbl>
      <w:tblPr>
        <w:tblW w:w="8080" w:type="dxa"/>
        <w:tblBorders>
          <w:top w:val="single" w:sz="8" w:space="0" w:color="A6A6A6" w:themeColor="background1" w:themeShade="A6"/>
          <w:bottom w:val="single" w:sz="8" w:space="0" w:color="A6A6A6" w:themeColor="background1" w:themeShade="A6"/>
          <w:insideH w:val="single" w:sz="8" w:space="0" w:color="A6A6A6" w:themeColor="background1" w:themeShade="A6"/>
        </w:tblBorders>
        <w:tblLayout w:type="fixed"/>
        <w:tblLook w:val="06A0" w:firstRow="1" w:lastRow="0" w:firstColumn="1" w:lastColumn="0" w:noHBand="1" w:noVBand="1"/>
      </w:tblPr>
      <w:tblGrid>
        <w:gridCol w:w="3775"/>
        <w:gridCol w:w="1076"/>
        <w:gridCol w:w="1076"/>
        <w:gridCol w:w="1076"/>
        <w:gridCol w:w="1077"/>
      </w:tblGrid>
      <w:tr w:rsidR="00185540" w:rsidRPr="000134CF" w14:paraId="57E17538" w14:textId="77777777" w:rsidTr="004825BB">
        <w:trPr>
          <w:trHeight w:val="300"/>
        </w:trPr>
        <w:tc>
          <w:tcPr>
            <w:tcW w:w="3775" w:type="dxa"/>
            <w:tcBorders>
              <w:top w:val="nil"/>
              <w:bottom w:val="nil"/>
            </w:tcBorders>
            <w:shd w:val="clear" w:color="auto" w:fill="D9D9D9" w:themeFill="background1" w:themeFillShade="D9"/>
            <w:tcMar>
              <w:left w:w="57" w:type="dxa"/>
              <w:right w:w="57" w:type="dxa"/>
            </w:tcMar>
          </w:tcPr>
          <w:p w14:paraId="0B859196" w14:textId="77777777" w:rsidR="00185540" w:rsidRPr="000134CF" w:rsidRDefault="00185540" w:rsidP="00860EAD">
            <w:pPr>
              <w:pStyle w:val="TableText"/>
              <w:rPr>
                <w:b/>
                <w:bCs/>
              </w:rPr>
            </w:pPr>
            <w:r w:rsidRPr="000134CF">
              <w:rPr>
                <w:rFonts w:eastAsia="Segoe UI"/>
                <w:b/>
                <w:bCs/>
              </w:rPr>
              <w:t>Collection period starts 1 July 2025 (all GST exclusive)</w:t>
            </w:r>
          </w:p>
        </w:tc>
        <w:tc>
          <w:tcPr>
            <w:tcW w:w="1076" w:type="dxa"/>
            <w:tcBorders>
              <w:top w:val="nil"/>
              <w:bottom w:val="nil"/>
            </w:tcBorders>
            <w:shd w:val="clear" w:color="auto" w:fill="D9D9D9" w:themeFill="background1" w:themeFillShade="D9"/>
            <w:tcMar>
              <w:left w:w="108" w:type="dxa"/>
              <w:right w:w="108" w:type="dxa"/>
            </w:tcMar>
          </w:tcPr>
          <w:p w14:paraId="1E2ED414" w14:textId="75A28594" w:rsidR="00185540" w:rsidRPr="000134CF" w:rsidRDefault="00784A8B" w:rsidP="00860EAD">
            <w:pPr>
              <w:pStyle w:val="TableText"/>
              <w:jc w:val="center"/>
              <w:rPr>
                <w:b/>
                <w:bCs/>
              </w:rPr>
            </w:pPr>
            <w:r>
              <w:rPr>
                <w:rFonts w:eastAsia="Segoe UI"/>
                <w:b/>
                <w:bCs/>
              </w:rPr>
              <w:t>Class 4</w:t>
            </w:r>
          </w:p>
        </w:tc>
        <w:tc>
          <w:tcPr>
            <w:tcW w:w="1076" w:type="dxa"/>
            <w:tcBorders>
              <w:top w:val="nil"/>
              <w:bottom w:val="nil"/>
            </w:tcBorders>
            <w:shd w:val="clear" w:color="auto" w:fill="D9D9D9" w:themeFill="background1" w:themeFillShade="D9"/>
            <w:tcMar>
              <w:left w:w="108" w:type="dxa"/>
              <w:right w:w="108" w:type="dxa"/>
            </w:tcMar>
          </w:tcPr>
          <w:p w14:paraId="058AB9AB" w14:textId="77777777" w:rsidR="00185540" w:rsidRPr="000134CF" w:rsidRDefault="00185540" w:rsidP="00860EAD">
            <w:pPr>
              <w:pStyle w:val="TableText"/>
              <w:jc w:val="center"/>
              <w:rPr>
                <w:b/>
                <w:bCs/>
              </w:rPr>
            </w:pPr>
            <w:r w:rsidRPr="000134CF">
              <w:rPr>
                <w:rFonts w:eastAsia="Segoe UI"/>
                <w:b/>
                <w:bCs/>
              </w:rPr>
              <w:t>Casinos</w:t>
            </w:r>
          </w:p>
        </w:tc>
        <w:tc>
          <w:tcPr>
            <w:tcW w:w="1076" w:type="dxa"/>
            <w:tcBorders>
              <w:top w:val="nil"/>
              <w:bottom w:val="nil"/>
            </w:tcBorders>
            <w:shd w:val="clear" w:color="auto" w:fill="D9D9D9" w:themeFill="background1" w:themeFillShade="D9"/>
            <w:tcMar>
              <w:left w:w="108" w:type="dxa"/>
              <w:right w:w="108" w:type="dxa"/>
            </w:tcMar>
          </w:tcPr>
          <w:p w14:paraId="360183A7" w14:textId="77777777" w:rsidR="00185540" w:rsidRPr="000134CF" w:rsidRDefault="00185540" w:rsidP="00860EAD">
            <w:pPr>
              <w:pStyle w:val="TableText"/>
              <w:jc w:val="center"/>
              <w:rPr>
                <w:b/>
                <w:bCs/>
              </w:rPr>
            </w:pPr>
            <w:r w:rsidRPr="000134CF">
              <w:rPr>
                <w:rFonts w:eastAsia="Segoe UI"/>
                <w:b/>
                <w:bCs/>
              </w:rPr>
              <w:t>TAB NZ</w:t>
            </w:r>
          </w:p>
        </w:tc>
        <w:tc>
          <w:tcPr>
            <w:tcW w:w="1077" w:type="dxa"/>
            <w:tcBorders>
              <w:top w:val="nil"/>
              <w:bottom w:val="nil"/>
            </w:tcBorders>
            <w:shd w:val="clear" w:color="auto" w:fill="D9D9D9" w:themeFill="background1" w:themeFillShade="D9"/>
            <w:tcMar>
              <w:left w:w="57" w:type="dxa"/>
              <w:right w:w="57" w:type="dxa"/>
            </w:tcMar>
          </w:tcPr>
          <w:p w14:paraId="73246FC9" w14:textId="77777777" w:rsidR="00185540" w:rsidRPr="000134CF" w:rsidRDefault="00185540" w:rsidP="00860EAD">
            <w:pPr>
              <w:pStyle w:val="TableText"/>
              <w:jc w:val="center"/>
              <w:rPr>
                <w:b/>
                <w:bCs/>
              </w:rPr>
            </w:pPr>
            <w:r w:rsidRPr="000134CF">
              <w:rPr>
                <w:rFonts w:eastAsia="Segoe UI"/>
                <w:b/>
                <w:bCs/>
              </w:rPr>
              <w:t>Lotto NZ</w:t>
            </w:r>
          </w:p>
        </w:tc>
      </w:tr>
      <w:tr w:rsidR="00185540" w14:paraId="3B85290B" w14:textId="77777777" w:rsidTr="004825BB">
        <w:trPr>
          <w:trHeight w:val="300"/>
        </w:trPr>
        <w:tc>
          <w:tcPr>
            <w:tcW w:w="3775" w:type="dxa"/>
            <w:tcBorders>
              <w:top w:val="nil"/>
            </w:tcBorders>
            <w:tcMar>
              <w:left w:w="57" w:type="dxa"/>
              <w:right w:w="57" w:type="dxa"/>
            </w:tcMar>
          </w:tcPr>
          <w:p w14:paraId="7F5AC147" w14:textId="77777777" w:rsidR="00185540" w:rsidRPr="006D5016" w:rsidRDefault="00185540" w:rsidP="00860EAD">
            <w:pPr>
              <w:pStyle w:val="TableText"/>
            </w:pPr>
            <w:r w:rsidRPr="006D5016">
              <w:rPr>
                <w:rFonts w:eastAsia="Segoe UI"/>
              </w:rPr>
              <w:t>Sector levy rates (%)</w:t>
            </w:r>
          </w:p>
        </w:tc>
        <w:tc>
          <w:tcPr>
            <w:tcW w:w="1076" w:type="dxa"/>
            <w:tcBorders>
              <w:top w:val="nil"/>
            </w:tcBorders>
            <w:tcMar>
              <w:left w:w="108" w:type="dxa"/>
              <w:right w:w="108" w:type="dxa"/>
            </w:tcMar>
          </w:tcPr>
          <w:p w14:paraId="57B5BC20" w14:textId="77777777" w:rsidR="00185540" w:rsidRPr="006D5016" w:rsidRDefault="00185540" w:rsidP="00860EAD">
            <w:pPr>
              <w:pStyle w:val="TableText"/>
              <w:jc w:val="center"/>
            </w:pPr>
            <w:r>
              <w:rPr>
                <w:rFonts w:eastAsia="Segoe UI"/>
              </w:rPr>
              <w:t>1.51</w:t>
            </w:r>
          </w:p>
        </w:tc>
        <w:tc>
          <w:tcPr>
            <w:tcW w:w="1076" w:type="dxa"/>
            <w:tcBorders>
              <w:top w:val="nil"/>
            </w:tcBorders>
            <w:tcMar>
              <w:left w:w="108" w:type="dxa"/>
              <w:right w:w="108" w:type="dxa"/>
            </w:tcMar>
          </w:tcPr>
          <w:p w14:paraId="71FEF0DD" w14:textId="77777777" w:rsidR="00185540" w:rsidRPr="006D5016" w:rsidRDefault="00185540" w:rsidP="00860EAD">
            <w:pPr>
              <w:pStyle w:val="TableText"/>
              <w:jc w:val="center"/>
            </w:pPr>
            <w:r>
              <w:rPr>
                <w:rFonts w:eastAsia="Segoe UI"/>
              </w:rPr>
              <w:t>0.91</w:t>
            </w:r>
          </w:p>
        </w:tc>
        <w:tc>
          <w:tcPr>
            <w:tcW w:w="1076" w:type="dxa"/>
            <w:tcBorders>
              <w:top w:val="nil"/>
            </w:tcBorders>
            <w:tcMar>
              <w:left w:w="108" w:type="dxa"/>
              <w:right w:w="108" w:type="dxa"/>
            </w:tcMar>
          </w:tcPr>
          <w:p w14:paraId="5C6B34EF" w14:textId="77777777" w:rsidR="00185540" w:rsidRPr="006D5016" w:rsidRDefault="00185540" w:rsidP="00860EAD">
            <w:pPr>
              <w:pStyle w:val="TableText"/>
              <w:jc w:val="center"/>
            </w:pPr>
            <w:r>
              <w:rPr>
                <w:rFonts w:eastAsia="Segoe UI"/>
              </w:rPr>
              <w:t>0.72</w:t>
            </w:r>
          </w:p>
        </w:tc>
        <w:tc>
          <w:tcPr>
            <w:tcW w:w="1077" w:type="dxa"/>
            <w:tcBorders>
              <w:top w:val="nil"/>
            </w:tcBorders>
            <w:tcMar>
              <w:left w:w="57" w:type="dxa"/>
              <w:right w:w="57" w:type="dxa"/>
            </w:tcMar>
          </w:tcPr>
          <w:p w14:paraId="17DAAF56" w14:textId="77777777" w:rsidR="00185540" w:rsidRPr="006D5016" w:rsidRDefault="00185540" w:rsidP="00860EAD">
            <w:pPr>
              <w:pStyle w:val="TableText"/>
              <w:jc w:val="center"/>
            </w:pPr>
            <w:r>
              <w:rPr>
                <w:rFonts w:eastAsia="Segoe UI"/>
              </w:rPr>
              <w:t>0.61</w:t>
            </w:r>
          </w:p>
        </w:tc>
      </w:tr>
      <w:tr w:rsidR="00185540" w14:paraId="269C9991" w14:textId="77777777" w:rsidTr="004825BB">
        <w:trPr>
          <w:trHeight w:val="300"/>
        </w:trPr>
        <w:tc>
          <w:tcPr>
            <w:tcW w:w="3775" w:type="dxa"/>
            <w:tcMar>
              <w:left w:w="57" w:type="dxa"/>
              <w:right w:w="57" w:type="dxa"/>
            </w:tcMar>
          </w:tcPr>
          <w:p w14:paraId="7E846AAD" w14:textId="77777777" w:rsidR="00185540" w:rsidRPr="006D5016" w:rsidRDefault="00185540" w:rsidP="00860EAD">
            <w:pPr>
              <w:pStyle w:val="TableText"/>
            </w:pPr>
            <w:r w:rsidRPr="006D5016">
              <w:rPr>
                <w:rFonts w:eastAsia="Segoe UI"/>
              </w:rPr>
              <w:t>Expected levy payment ($m)</w:t>
            </w:r>
          </w:p>
        </w:tc>
        <w:tc>
          <w:tcPr>
            <w:tcW w:w="1076" w:type="dxa"/>
            <w:tcMar>
              <w:left w:w="108" w:type="dxa"/>
              <w:right w:w="108" w:type="dxa"/>
            </w:tcMar>
          </w:tcPr>
          <w:p w14:paraId="38FD6D54" w14:textId="77777777" w:rsidR="00185540" w:rsidRPr="006D5016" w:rsidRDefault="00185540" w:rsidP="00860EAD">
            <w:pPr>
              <w:pStyle w:val="TableText"/>
              <w:jc w:val="center"/>
            </w:pPr>
            <w:r>
              <w:rPr>
                <w:rFonts w:eastAsia="Segoe UI"/>
              </w:rPr>
              <w:t>50.297</w:t>
            </w:r>
          </w:p>
        </w:tc>
        <w:tc>
          <w:tcPr>
            <w:tcW w:w="1076" w:type="dxa"/>
            <w:tcMar>
              <w:left w:w="108" w:type="dxa"/>
              <w:right w:w="108" w:type="dxa"/>
            </w:tcMar>
          </w:tcPr>
          <w:p w14:paraId="6D57FA5E" w14:textId="77777777" w:rsidR="00185540" w:rsidRPr="006D5016" w:rsidRDefault="00185540" w:rsidP="00860EAD">
            <w:pPr>
              <w:pStyle w:val="TableText"/>
              <w:jc w:val="center"/>
            </w:pPr>
            <w:r>
              <w:rPr>
                <w:rFonts w:eastAsia="Segoe UI"/>
              </w:rPr>
              <w:t>19.294</w:t>
            </w:r>
          </w:p>
        </w:tc>
        <w:tc>
          <w:tcPr>
            <w:tcW w:w="1076" w:type="dxa"/>
            <w:tcMar>
              <w:left w:w="108" w:type="dxa"/>
              <w:right w:w="108" w:type="dxa"/>
            </w:tcMar>
          </w:tcPr>
          <w:p w14:paraId="632CD398" w14:textId="77777777" w:rsidR="00185540" w:rsidRPr="006D5016" w:rsidRDefault="00185540" w:rsidP="00860EAD">
            <w:pPr>
              <w:pStyle w:val="TableText"/>
              <w:jc w:val="center"/>
            </w:pPr>
            <w:r>
              <w:rPr>
                <w:rFonts w:eastAsia="Segoe UI"/>
              </w:rPr>
              <w:t>9.223</w:t>
            </w:r>
          </w:p>
        </w:tc>
        <w:tc>
          <w:tcPr>
            <w:tcW w:w="1077" w:type="dxa"/>
            <w:tcMar>
              <w:left w:w="57" w:type="dxa"/>
              <w:right w:w="57" w:type="dxa"/>
            </w:tcMar>
          </w:tcPr>
          <w:p w14:paraId="49BE5A57" w14:textId="77777777" w:rsidR="00185540" w:rsidRPr="006D5016" w:rsidRDefault="00185540" w:rsidP="00860EAD">
            <w:pPr>
              <w:pStyle w:val="TableText"/>
              <w:jc w:val="center"/>
            </w:pPr>
            <w:r>
              <w:rPr>
                <w:rFonts w:eastAsia="Segoe UI"/>
              </w:rPr>
              <w:t>14.883</w:t>
            </w:r>
          </w:p>
        </w:tc>
      </w:tr>
      <w:tr w:rsidR="00185540" w14:paraId="183988E0" w14:textId="77777777" w:rsidTr="004825BB">
        <w:trPr>
          <w:trHeight w:val="300"/>
        </w:trPr>
        <w:tc>
          <w:tcPr>
            <w:tcW w:w="3775" w:type="dxa"/>
            <w:tcMar>
              <w:left w:w="57" w:type="dxa"/>
              <w:right w:w="57" w:type="dxa"/>
            </w:tcMar>
          </w:tcPr>
          <w:p w14:paraId="60BC20F9" w14:textId="77777777" w:rsidR="00185540" w:rsidRPr="006D5016" w:rsidRDefault="00185540" w:rsidP="00860EAD">
            <w:pPr>
              <w:pStyle w:val="TableText"/>
            </w:pPr>
            <w:r w:rsidRPr="006D5016">
              <w:rPr>
                <w:rFonts w:eastAsia="Segoe UI"/>
              </w:rPr>
              <w:t>($m) Comparison with current levy payments (negative = less)</w:t>
            </w:r>
          </w:p>
        </w:tc>
        <w:tc>
          <w:tcPr>
            <w:tcW w:w="1076" w:type="dxa"/>
            <w:tcMar>
              <w:left w:w="108" w:type="dxa"/>
              <w:right w:w="108" w:type="dxa"/>
            </w:tcMar>
          </w:tcPr>
          <w:p w14:paraId="2C49CD5F" w14:textId="77777777" w:rsidR="00185540" w:rsidRPr="006D5016" w:rsidRDefault="00185540" w:rsidP="00860EAD">
            <w:pPr>
              <w:pStyle w:val="TableText"/>
              <w:jc w:val="center"/>
            </w:pPr>
            <w:r>
              <w:rPr>
                <w:rFonts w:eastAsia="Segoe UI"/>
              </w:rPr>
              <w:t>15.371</w:t>
            </w:r>
          </w:p>
        </w:tc>
        <w:tc>
          <w:tcPr>
            <w:tcW w:w="1076" w:type="dxa"/>
            <w:tcMar>
              <w:left w:w="108" w:type="dxa"/>
              <w:right w:w="108" w:type="dxa"/>
            </w:tcMar>
          </w:tcPr>
          <w:p w14:paraId="265871FB" w14:textId="77777777" w:rsidR="00185540" w:rsidRPr="006D5016" w:rsidRDefault="00185540" w:rsidP="00860EAD">
            <w:pPr>
              <w:pStyle w:val="TableText"/>
              <w:jc w:val="center"/>
            </w:pPr>
            <w:r>
              <w:rPr>
                <w:rFonts w:eastAsia="Segoe UI"/>
              </w:rPr>
              <w:t>3.334</w:t>
            </w:r>
          </w:p>
        </w:tc>
        <w:tc>
          <w:tcPr>
            <w:tcW w:w="1076" w:type="dxa"/>
            <w:tcMar>
              <w:left w:w="108" w:type="dxa"/>
              <w:right w:w="108" w:type="dxa"/>
            </w:tcMar>
          </w:tcPr>
          <w:p w14:paraId="2A197411" w14:textId="77777777" w:rsidR="00185540" w:rsidRPr="006D5016" w:rsidRDefault="00185540" w:rsidP="00860EAD">
            <w:pPr>
              <w:pStyle w:val="TableText"/>
              <w:jc w:val="center"/>
            </w:pPr>
            <w:r>
              <w:rPr>
                <w:rFonts w:eastAsia="Segoe UI"/>
              </w:rPr>
              <w:t>0.473</w:t>
            </w:r>
          </w:p>
        </w:tc>
        <w:tc>
          <w:tcPr>
            <w:tcW w:w="1077" w:type="dxa"/>
            <w:tcMar>
              <w:left w:w="57" w:type="dxa"/>
              <w:right w:w="57" w:type="dxa"/>
            </w:tcMar>
          </w:tcPr>
          <w:p w14:paraId="2D866766" w14:textId="77777777" w:rsidR="00185540" w:rsidRPr="006D5016" w:rsidRDefault="00185540" w:rsidP="00860EAD">
            <w:pPr>
              <w:pStyle w:val="TableText"/>
              <w:jc w:val="center"/>
            </w:pPr>
            <w:r>
              <w:rPr>
                <w:rFonts w:eastAsia="Segoe UI"/>
              </w:rPr>
              <w:t>3.867</w:t>
            </w:r>
          </w:p>
        </w:tc>
      </w:tr>
    </w:tbl>
    <w:p w14:paraId="7244C486" w14:textId="77777777" w:rsidR="00185540" w:rsidRDefault="00185540" w:rsidP="00FD7201"/>
    <w:p w14:paraId="53345000" w14:textId="74DD1789" w:rsidR="00185540" w:rsidRPr="006D5016" w:rsidRDefault="00185540" w:rsidP="00185540">
      <w:pPr>
        <w:pStyle w:val="Table"/>
      </w:pPr>
      <w:bookmarkStart w:id="40" w:name="_Toc185338908"/>
      <w:r>
        <w:t xml:space="preserve">Table </w:t>
      </w:r>
      <w:r w:rsidR="00347B76">
        <w:fldChar w:fldCharType="begin"/>
      </w:r>
      <w:r w:rsidR="00347B76">
        <w:instrText xml:space="preserve"> SEQ Table \* ARABIC </w:instrText>
      </w:r>
      <w:r w:rsidR="00347B76">
        <w:fldChar w:fldCharType="separate"/>
      </w:r>
      <w:r w:rsidR="0094542E">
        <w:rPr>
          <w:noProof/>
        </w:rPr>
        <w:t>7</w:t>
      </w:r>
      <w:r w:rsidR="00347B76">
        <w:rPr>
          <w:noProof/>
        </w:rPr>
        <w:fldChar w:fldCharType="end"/>
      </w:r>
      <w:r>
        <w:t xml:space="preserve">: </w:t>
      </w:r>
      <w:r w:rsidRPr="006D5016">
        <w:rPr>
          <w:rFonts w:eastAsia="Segoe UI"/>
        </w:rPr>
        <w:t xml:space="preserve">Estimated levy rates and payments ($m) per sector, 10/90 </w:t>
      </w:r>
      <w:proofErr w:type="gramStart"/>
      <w:r w:rsidRPr="006D5016">
        <w:rPr>
          <w:rFonts w:eastAsia="Segoe UI"/>
        </w:rPr>
        <w:t>weighting</w:t>
      </w:r>
      <w:bookmarkEnd w:id="40"/>
      <w:proofErr w:type="gramEnd"/>
    </w:p>
    <w:tbl>
      <w:tblPr>
        <w:tblW w:w="8080" w:type="dxa"/>
        <w:tblLayout w:type="fixed"/>
        <w:tblLook w:val="06A0" w:firstRow="1" w:lastRow="0" w:firstColumn="1" w:lastColumn="0" w:noHBand="1" w:noVBand="1"/>
      </w:tblPr>
      <w:tblGrid>
        <w:gridCol w:w="3772"/>
        <w:gridCol w:w="1077"/>
        <w:gridCol w:w="1077"/>
        <w:gridCol w:w="1077"/>
        <w:gridCol w:w="1077"/>
      </w:tblGrid>
      <w:tr w:rsidR="00185540" w:rsidRPr="000134CF" w14:paraId="685604B1" w14:textId="77777777" w:rsidTr="004825BB">
        <w:trPr>
          <w:trHeight w:val="300"/>
        </w:trPr>
        <w:tc>
          <w:tcPr>
            <w:tcW w:w="3772" w:type="dxa"/>
            <w:tcBorders>
              <w:top w:val="nil"/>
              <w:left w:val="nil"/>
              <w:bottom w:val="nil"/>
              <w:right w:val="nil"/>
            </w:tcBorders>
            <w:shd w:val="clear" w:color="auto" w:fill="D9D9D9" w:themeFill="background1" w:themeFillShade="D9"/>
            <w:tcMar>
              <w:left w:w="57" w:type="dxa"/>
              <w:right w:w="57" w:type="dxa"/>
            </w:tcMar>
          </w:tcPr>
          <w:p w14:paraId="18EDEBA4" w14:textId="77777777" w:rsidR="00185540" w:rsidRPr="000134CF" w:rsidRDefault="00185540" w:rsidP="00860EAD">
            <w:pPr>
              <w:pStyle w:val="TableText"/>
              <w:rPr>
                <w:b/>
                <w:bCs/>
              </w:rPr>
            </w:pPr>
            <w:r w:rsidRPr="000134CF">
              <w:rPr>
                <w:rFonts w:eastAsia="Segoe UI"/>
                <w:b/>
                <w:bCs/>
              </w:rPr>
              <w:t>Collection period starts 1 July 2025 (all GST exclusive)</w:t>
            </w:r>
          </w:p>
        </w:tc>
        <w:tc>
          <w:tcPr>
            <w:tcW w:w="1077" w:type="dxa"/>
            <w:tcBorders>
              <w:top w:val="nil"/>
              <w:left w:val="nil"/>
              <w:bottom w:val="nil"/>
              <w:right w:val="nil"/>
            </w:tcBorders>
            <w:shd w:val="clear" w:color="auto" w:fill="D9D9D9" w:themeFill="background1" w:themeFillShade="D9"/>
            <w:tcMar>
              <w:left w:w="108" w:type="dxa"/>
              <w:right w:w="108" w:type="dxa"/>
            </w:tcMar>
          </w:tcPr>
          <w:p w14:paraId="7A75ABAC" w14:textId="76EB815D" w:rsidR="00185540" w:rsidRPr="000134CF" w:rsidRDefault="00784A8B" w:rsidP="00860EAD">
            <w:pPr>
              <w:pStyle w:val="TableText"/>
              <w:jc w:val="center"/>
              <w:rPr>
                <w:b/>
                <w:bCs/>
              </w:rPr>
            </w:pPr>
            <w:r>
              <w:rPr>
                <w:rFonts w:eastAsia="Segoe UI"/>
                <w:b/>
                <w:bCs/>
              </w:rPr>
              <w:t>4Class 4</w:t>
            </w:r>
          </w:p>
        </w:tc>
        <w:tc>
          <w:tcPr>
            <w:tcW w:w="1077" w:type="dxa"/>
            <w:tcBorders>
              <w:top w:val="nil"/>
              <w:left w:val="nil"/>
              <w:bottom w:val="nil"/>
              <w:right w:val="nil"/>
            </w:tcBorders>
            <w:shd w:val="clear" w:color="auto" w:fill="D9D9D9" w:themeFill="background1" w:themeFillShade="D9"/>
            <w:tcMar>
              <w:left w:w="108" w:type="dxa"/>
              <w:right w:w="108" w:type="dxa"/>
            </w:tcMar>
          </w:tcPr>
          <w:p w14:paraId="0F47CF10" w14:textId="77777777" w:rsidR="00185540" w:rsidRPr="000134CF" w:rsidRDefault="00185540" w:rsidP="00860EAD">
            <w:pPr>
              <w:pStyle w:val="TableText"/>
              <w:jc w:val="center"/>
              <w:rPr>
                <w:b/>
                <w:bCs/>
              </w:rPr>
            </w:pPr>
            <w:r w:rsidRPr="000134CF">
              <w:rPr>
                <w:rFonts w:eastAsia="Segoe UI"/>
                <w:b/>
                <w:bCs/>
              </w:rPr>
              <w:t>Casinos</w:t>
            </w:r>
          </w:p>
        </w:tc>
        <w:tc>
          <w:tcPr>
            <w:tcW w:w="1077" w:type="dxa"/>
            <w:tcBorders>
              <w:top w:val="nil"/>
              <w:left w:val="nil"/>
              <w:bottom w:val="nil"/>
              <w:right w:val="nil"/>
            </w:tcBorders>
            <w:shd w:val="clear" w:color="auto" w:fill="D9D9D9" w:themeFill="background1" w:themeFillShade="D9"/>
            <w:tcMar>
              <w:left w:w="108" w:type="dxa"/>
              <w:right w:w="108" w:type="dxa"/>
            </w:tcMar>
          </w:tcPr>
          <w:p w14:paraId="50DF49BD" w14:textId="77777777" w:rsidR="00185540" w:rsidRPr="000134CF" w:rsidRDefault="00185540" w:rsidP="00860EAD">
            <w:pPr>
              <w:pStyle w:val="TableText"/>
              <w:jc w:val="center"/>
              <w:rPr>
                <w:b/>
                <w:bCs/>
              </w:rPr>
            </w:pPr>
            <w:r w:rsidRPr="000134CF">
              <w:rPr>
                <w:rFonts w:eastAsia="Segoe UI"/>
                <w:b/>
                <w:bCs/>
              </w:rPr>
              <w:t>TAB NZ</w:t>
            </w:r>
          </w:p>
        </w:tc>
        <w:tc>
          <w:tcPr>
            <w:tcW w:w="1077" w:type="dxa"/>
            <w:tcBorders>
              <w:top w:val="nil"/>
              <w:left w:val="nil"/>
              <w:bottom w:val="nil"/>
              <w:right w:val="nil"/>
            </w:tcBorders>
            <w:shd w:val="clear" w:color="auto" w:fill="D9D9D9" w:themeFill="background1" w:themeFillShade="D9"/>
            <w:tcMar>
              <w:left w:w="57" w:type="dxa"/>
              <w:right w:w="57" w:type="dxa"/>
            </w:tcMar>
          </w:tcPr>
          <w:p w14:paraId="211CC8F4" w14:textId="77777777" w:rsidR="00185540" w:rsidRPr="000134CF" w:rsidRDefault="00185540" w:rsidP="00860EAD">
            <w:pPr>
              <w:pStyle w:val="TableText"/>
              <w:jc w:val="center"/>
              <w:rPr>
                <w:b/>
                <w:bCs/>
              </w:rPr>
            </w:pPr>
            <w:r w:rsidRPr="000134CF">
              <w:rPr>
                <w:rFonts w:eastAsia="Segoe UI"/>
                <w:b/>
                <w:bCs/>
              </w:rPr>
              <w:t>Lotto NZ</w:t>
            </w:r>
          </w:p>
        </w:tc>
      </w:tr>
      <w:tr w:rsidR="00185540" w14:paraId="723BA9D6" w14:textId="77777777" w:rsidTr="004825BB">
        <w:trPr>
          <w:trHeight w:val="300"/>
        </w:trPr>
        <w:tc>
          <w:tcPr>
            <w:tcW w:w="3772" w:type="dxa"/>
            <w:tcBorders>
              <w:top w:val="nil"/>
              <w:left w:val="nil"/>
              <w:bottom w:val="single" w:sz="8" w:space="0" w:color="BFBFBF" w:themeColor="background1" w:themeShade="BF"/>
              <w:right w:val="nil"/>
            </w:tcBorders>
            <w:tcMar>
              <w:left w:w="57" w:type="dxa"/>
              <w:right w:w="57" w:type="dxa"/>
            </w:tcMar>
          </w:tcPr>
          <w:p w14:paraId="46FEE227" w14:textId="77777777" w:rsidR="00185540" w:rsidRPr="006D5016" w:rsidRDefault="00185540" w:rsidP="00860EAD">
            <w:pPr>
              <w:pStyle w:val="TableText"/>
            </w:pPr>
            <w:r w:rsidRPr="006D5016">
              <w:rPr>
                <w:rFonts w:eastAsia="Segoe UI"/>
              </w:rPr>
              <w:t>Sector levy rates (%)</w:t>
            </w:r>
          </w:p>
        </w:tc>
        <w:tc>
          <w:tcPr>
            <w:tcW w:w="1077" w:type="dxa"/>
            <w:tcBorders>
              <w:top w:val="nil"/>
              <w:left w:val="nil"/>
              <w:bottom w:val="single" w:sz="8" w:space="0" w:color="A6A6A6" w:themeColor="background1" w:themeShade="A6"/>
              <w:right w:val="nil"/>
            </w:tcBorders>
            <w:tcMar>
              <w:left w:w="108" w:type="dxa"/>
              <w:right w:w="108" w:type="dxa"/>
            </w:tcMar>
          </w:tcPr>
          <w:p w14:paraId="3B36C291" w14:textId="77777777" w:rsidR="00185540" w:rsidRPr="006D5016" w:rsidRDefault="00185540" w:rsidP="00860EAD">
            <w:pPr>
              <w:pStyle w:val="TableText"/>
              <w:jc w:val="center"/>
            </w:pPr>
            <w:r>
              <w:rPr>
                <w:rFonts w:eastAsia="Segoe UI"/>
              </w:rPr>
              <w:t>1.49</w:t>
            </w:r>
          </w:p>
        </w:tc>
        <w:tc>
          <w:tcPr>
            <w:tcW w:w="1077" w:type="dxa"/>
            <w:tcBorders>
              <w:top w:val="nil"/>
              <w:left w:val="nil"/>
              <w:bottom w:val="single" w:sz="8" w:space="0" w:color="A6A6A6" w:themeColor="background1" w:themeShade="A6"/>
              <w:right w:val="nil"/>
            </w:tcBorders>
            <w:tcMar>
              <w:left w:w="108" w:type="dxa"/>
              <w:right w:w="108" w:type="dxa"/>
            </w:tcMar>
          </w:tcPr>
          <w:p w14:paraId="3ED30AB2" w14:textId="77777777" w:rsidR="00185540" w:rsidRPr="006D5016" w:rsidRDefault="00185540" w:rsidP="00860EAD">
            <w:pPr>
              <w:pStyle w:val="TableText"/>
              <w:jc w:val="center"/>
            </w:pPr>
            <w:r>
              <w:rPr>
                <w:rFonts w:eastAsia="Segoe UI"/>
              </w:rPr>
              <w:t>0.91</w:t>
            </w:r>
          </w:p>
        </w:tc>
        <w:tc>
          <w:tcPr>
            <w:tcW w:w="1077" w:type="dxa"/>
            <w:tcBorders>
              <w:top w:val="nil"/>
              <w:left w:val="nil"/>
              <w:bottom w:val="single" w:sz="8" w:space="0" w:color="A6A6A6" w:themeColor="background1" w:themeShade="A6"/>
              <w:right w:val="nil"/>
            </w:tcBorders>
            <w:tcMar>
              <w:left w:w="108" w:type="dxa"/>
              <w:right w:w="108" w:type="dxa"/>
            </w:tcMar>
          </w:tcPr>
          <w:p w14:paraId="414E1639" w14:textId="77777777" w:rsidR="00185540" w:rsidRPr="006D5016" w:rsidRDefault="00185540" w:rsidP="00860EAD">
            <w:pPr>
              <w:pStyle w:val="TableText"/>
              <w:jc w:val="center"/>
            </w:pPr>
            <w:r>
              <w:rPr>
                <w:rFonts w:eastAsia="Segoe UI"/>
              </w:rPr>
              <w:t>0.73</w:t>
            </w:r>
          </w:p>
        </w:tc>
        <w:tc>
          <w:tcPr>
            <w:tcW w:w="1077" w:type="dxa"/>
            <w:tcBorders>
              <w:top w:val="nil"/>
              <w:left w:val="nil"/>
              <w:bottom w:val="single" w:sz="8" w:space="0" w:color="A6A6A6" w:themeColor="background1" w:themeShade="A6"/>
              <w:right w:val="nil"/>
            </w:tcBorders>
            <w:tcMar>
              <w:left w:w="57" w:type="dxa"/>
              <w:right w:w="57" w:type="dxa"/>
            </w:tcMar>
          </w:tcPr>
          <w:p w14:paraId="6BB74E17" w14:textId="77777777" w:rsidR="00185540" w:rsidRPr="006D5016" w:rsidRDefault="00185540" w:rsidP="00860EAD">
            <w:pPr>
              <w:pStyle w:val="TableText"/>
              <w:jc w:val="center"/>
            </w:pPr>
            <w:r>
              <w:rPr>
                <w:rFonts w:eastAsia="Segoe UI"/>
              </w:rPr>
              <w:t>0.63</w:t>
            </w:r>
          </w:p>
        </w:tc>
      </w:tr>
      <w:tr w:rsidR="00185540" w14:paraId="2E49C320" w14:textId="77777777" w:rsidTr="004825BB">
        <w:trPr>
          <w:trHeight w:val="300"/>
        </w:trPr>
        <w:tc>
          <w:tcPr>
            <w:tcW w:w="3772" w:type="dxa"/>
            <w:tcBorders>
              <w:top w:val="single" w:sz="8" w:space="0" w:color="BFBFBF" w:themeColor="background1" w:themeShade="BF"/>
              <w:left w:val="nil"/>
              <w:bottom w:val="single" w:sz="8" w:space="0" w:color="BFBFBF" w:themeColor="background1" w:themeShade="BF"/>
              <w:right w:val="nil"/>
            </w:tcBorders>
            <w:tcMar>
              <w:left w:w="57" w:type="dxa"/>
              <w:right w:w="57" w:type="dxa"/>
            </w:tcMar>
          </w:tcPr>
          <w:p w14:paraId="75EF5CB7" w14:textId="77777777" w:rsidR="00185540" w:rsidRPr="006D5016" w:rsidRDefault="00185540" w:rsidP="00860EAD">
            <w:pPr>
              <w:pStyle w:val="TableText"/>
            </w:pPr>
            <w:r w:rsidRPr="006D5016">
              <w:rPr>
                <w:rFonts w:eastAsia="Segoe UI"/>
              </w:rPr>
              <w:t>Expected levy payment ($m)</w:t>
            </w:r>
          </w:p>
        </w:tc>
        <w:tc>
          <w:tcPr>
            <w:tcW w:w="1077"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7AC4E0EC" w14:textId="77777777" w:rsidR="00185540" w:rsidRPr="006D5016" w:rsidRDefault="00185540" w:rsidP="00860EAD">
            <w:pPr>
              <w:pStyle w:val="TableText"/>
              <w:jc w:val="center"/>
            </w:pPr>
            <w:r>
              <w:rPr>
                <w:rFonts w:eastAsia="Segoe UI"/>
              </w:rPr>
              <w:t>49.631</w:t>
            </w:r>
          </w:p>
        </w:tc>
        <w:tc>
          <w:tcPr>
            <w:tcW w:w="1077"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6DF5B518" w14:textId="77777777" w:rsidR="00185540" w:rsidRPr="006D5016" w:rsidRDefault="00185540" w:rsidP="00860EAD">
            <w:pPr>
              <w:pStyle w:val="TableText"/>
              <w:jc w:val="center"/>
            </w:pPr>
            <w:r>
              <w:rPr>
                <w:rFonts w:eastAsia="Segoe UI"/>
              </w:rPr>
              <w:t>19.294</w:t>
            </w:r>
          </w:p>
        </w:tc>
        <w:tc>
          <w:tcPr>
            <w:tcW w:w="1077"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06314133" w14:textId="77777777" w:rsidR="00185540" w:rsidRPr="006D5016" w:rsidRDefault="00185540" w:rsidP="00860EAD">
            <w:pPr>
              <w:pStyle w:val="TableText"/>
              <w:jc w:val="center"/>
            </w:pPr>
            <w:r>
              <w:rPr>
                <w:rFonts w:eastAsia="Segoe UI"/>
              </w:rPr>
              <w:t>9.351</w:t>
            </w:r>
          </w:p>
        </w:tc>
        <w:tc>
          <w:tcPr>
            <w:tcW w:w="1077"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2A9EEF29" w14:textId="77777777" w:rsidR="00185540" w:rsidRPr="006D5016" w:rsidRDefault="00185540" w:rsidP="00860EAD">
            <w:pPr>
              <w:pStyle w:val="TableText"/>
              <w:jc w:val="center"/>
            </w:pPr>
            <w:r>
              <w:rPr>
                <w:rFonts w:eastAsia="Segoe UI"/>
              </w:rPr>
              <w:t>15.371</w:t>
            </w:r>
          </w:p>
        </w:tc>
      </w:tr>
      <w:tr w:rsidR="00185540" w14:paraId="314EE57D" w14:textId="77777777" w:rsidTr="004825BB">
        <w:trPr>
          <w:trHeight w:val="300"/>
        </w:trPr>
        <w:tc>
          <w:tcPr>
            <w:tcW w:w="3772" w:type="dxa"/>
            <w:tcBorders>
              <w:top w:val="single" w:sz="8" w:space="0" w:color="BFBFBF" w:themeColor="background1" w:themeShade="BF"/>
              <w:left w:val="nil"/>
              <w:bottom w:val="single" w:sz="8" w:space="0" w:color="A6A6A6" w:themeColor="background1" w:themeShade="A6"/>
              <w:right w:val="nil"/>
            </w:tcBorders>
            <w:tcMar>
              <w:left w:w="57" w:type="dxa"/>
              <w:right w:w="57" w:type="dxa"/>
            </w:tcMar>
          </w:tcPr>
          <w:p w14:paraId="5ECF6430" w14:textId="77777777" w:rsidR="00185540" w:rsidRPr="006D5016" w:rsidRDefault="00185540" w:rsidP="00860EAD">
            <w:pPr>
              <w:pStyle w:val="TableText"/>
            </w:pPr>
            <w:r w:rsidRPr="006D5016">
              <w:rPr>
                <w:rFonts w:eastAsia="Segoe UI"/>
              </w:rPr>
              <w:t>($m) Comparison with current levy payments (negative = less)</w:t>
            </w:r>
          </w:p>
        </w:tc>
        <w:tc>
          <w:tcPr>
            <w:tcW w:w="1077"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5435CCE" w14:textId="77777777" w:rsidR="00185540" w:rsidRPr="006D5016" w:rsidRDefault="00185540" w:rsidP="00860EAD">
            <w:pPr>
              <w:pStyle w:val="TableText"/>
              <w:jc w:val="center"/>
            </w:pPr>
            <w:r>
              <w:rPr>
                <w:rFonts w:eastAsia="Segoe UI"/>
              </w:rPr>
              <w:t>14.705</w:t>
            </w:r>
          </w:p>
        </w:tc>
        <w:tc>
          <w:tcPr>
            <w:tcW w:w="1077"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144C1CBC" w14:textId="77777777" w:rsidR="00185540" w:rsidRPr="006D5016" w:rsidRDefault="00185540" w:rsidP="00860EAD">
            <w:pPr>
              <w:pStyle w:val="TableText"/>
              <w:jc w:val="center"/>
            </w:pPr>
            <w:r>
              <w:rPr>
                <w:rFonts w:eastAsia="Segoe UI"/>
              </w:rPr>
              <w:t>3.334</w:t>
            </w:r>
          </w:p>
        </w:tc>
        <w:tc>
          <w:tcPr>
            <w:tcW w:w="1077"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46F7203A" w14:textId="77777777" w:rsidR="00185540" w:rsidRPr="006D5016" w:rsidRDefault="00185540" w:rsidP="00860EAD">
            <w:pPr>
              <w:pStyle w:val="TableText"/>
              <w:jc w:val="center"/>
            </w:pPr>
            <w:r>
              <w:rPr>
                <w:rFonts w:eastAsia="Segoe UI"/>
              </w:rPr>
              <w:t>0.601</w:t>
            </w:r>
          </w:p>
        </w:tc>
        <w:tc>
          <w:tcPr>
            <w:tcW w:w="1077"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119C394C" w14:textId="77777777" w:rsidR="00185540" w:rsidRPr="006D5016" w:rsidRDefault="00185540" w:rsidP="00860EAD">
            <w:pPr>
              <w:pStyle w:val="TableText"/>
              <w:jc w:val="center"/>
            </w:pPr>
            <w:r>
              <w:rPr>
                <w:rFonts w:eastAsia="Segoe UI"/>
              </w:rPr>
              <w:t>4.355</w:t>
            </w:r>
          </w:p>
        </w:tc>
      </w:tr>
    </w:tbl>
    <w:p w14:paraId="0F678F10" w14:textId="77777777" w:rsidR="00FD7201" w:rsidRDefault="00FD7201" w:rsidP="00FD7201"/>
    <w:p w14:paraId="3AC6ADD3" w14:textId="20B73B7F" w:rsidR="00185540" w:rsidRPr="006D5016" w:rsidRDefault="00185540" w:rsidP="00185540">
      <w:pPr>
        <w:pStyle w:val="Table"/>
      </w:pPr>
      <w:bookmarkStart w:id="41" w:name="_Toc185338909"/>
      <w:r>
        <w:t xml:space="preserve">Table </w:t>
      </w:r>
      <w:r w:rsidR="00347B76">
        <w:fldChar w:fldCharType="begin"/>
      </w:r>
      <w:r w:rsidR="00347B76">
        <w:instrText xml:space="preserve"> SEQ Table \* ARABIC </w:instrText>
      </w:r>
      <w:r w:rsidR="00347B76">
        <w:fldChar w:fldCharType="separate"/>
      </w:r>
      <w:r w:rsidR="0094542E">
        <w:rPr>
          <w:noProof/>
        </w:rPr>
        <w:t>8</w:t>
      </w:r>
      <w:r w:rsidR="00347B76">
        <w:rPr>
          <w:noProof/>
        </w:rPr>
        <w:fldChar w:fldCharType="end"/>
      </w:r>
      <w:r>
        <w:t xml:space="preserve">: </w:t>
      </w:r>
      <w:r w:rsidRPr="006D5016">
        <w:rPr>
          <w:rFonts w:eastAsia="Segoe UI"/>
        </w:rPr>
        <w:t xml:space="preserve">Estimated levy rates and payments ($m) per sector, 20/80 </w:t>
      </w:r>
      <w:proofErr w:type="gramStart"/>
      <w:r w:rsidRPr="006D5016">
        <w:rPr>
          <w:rFonts w:eastAsia="Segoe UI"/>
        </w:rPr>
        <w:t>weighting</w:t>
      </w:r>
      <w:bookmarkEnd w:id="41"/>
      <w:proofErr w:type="gramEnd"/>
    </w:p>
    <w:tbl>
      <w:tblPr>
        <w:tblW w:w="8080" w:type="dxa"/>
        <w:tblLayout w:type="fixed"/>
        <w:tblLook w:val="06A0" w:firstRow="1" w:lastRow="0" w:firstColumn="1" w:lastColumn="0" w:noHBand="1" w:noVBand="1"/>
      </w:tblPr>
      <w:tblGrid>
        <w:gridCol w:w="3783"/>
        <w:gridCol w:w="1074"/>
        <w:gridCol w:w="1074"/>
        <w:gridCol w:w="1074"/>
        <w:gridCol w:w="1075"/>
      </w:tblGrid>
      <w:tr w:rsidR="00185540" w:rsidRPr="000134CF" w14:paraId="1EB94C1C" w14:textId="77777777" w:rsidTr="004825BB">
        <w:trPr>
          <w:trHeight w:val="300"/>
        </w:trPr>
        <w:tc>
          <w:tcPr>
            <w:tcW w:w="3783" w:type="dxa"/>
            <w:tcBorders>
              <w:top w:val="nil"/>
              <w:left w:val="nil"/>
              <w:bottom w:val="nil"/>
              <w:right w:val="nil"/>
            </w:tcBorders>
            <w:shd w:val="clear" w:color="auto" w:fill="D9D9D9" w:themeFill="background1" w:themeFillShade="D9"/>
            <w:tcMar>
              <w:left w:w="57" w:type="dxa"/>
              <w:right w:w="57" w:type="dxa"/>
            </w:tcMar>
          </w:tcPr>
          <w:p w14:paraId="73074114" w14:textId="77777777" w:rsidR="00185540" w:rsidRPr="000134CF" w:rsidRDefault="00185540" w:rsidP="00860EAD">
            <w:pPr>
              <w:pStyle w:val="TableText"/>
              <w:rPr>
                <w:b/>
                <w:bCs/>
              </w:rPr>
            </w:pPr>
            <w:r w:rsidRPr="000134CF">
              <w:rPr>
                <w:rFonts w:eastAsia="Segoe UI"/>
                <w:b/>
                <w:bCs/>
              </w:rPr>
              <w:t>Collection period starts 1 July 2025 (all GST exclusive)</w:t>
            </w:r>
          </w:p>
        </w:tc>
        <w:tc>
          <w:tcPr>
            <w:tcW w:w="1074" w:type="dxa"/>
            <w:tcBorders>
              <w:top w:val="nil"/>
              <w:left w:val="nil"/>
              <w:bottom w:val="nil"/>
              <w:right w:val="nil"/>
            </w:tcBorders>
            <w:shd w:val="clear" w:color="auto" w:fill="D9D9D9" w:themeFill="background1" w:themeFillShade="D9"/>
            <w:tcMar>
              <w:left w:w="108" w:type="dxa"/>
              <w:right w:w="108" w:type="dxa"/>
            </w:tcMar>
          </w:tcPr>
          <w:p w14:paraId="78589CC4" w14:textId="43CEBDB4" w:rsidR="00185540" w:rsidRPr="000134CF" w:rsidRDefault="00784A8B" w:rsidP="00860EAD">
            <w:pPr>
              <w:pStyle w:val="TableText"/>
              <w:jc w:val="center"/>
              <w:rPr>
                <w:b/>
                <w:bCs/>
              </w:rPr>
            </w:pPr>
            <w:r>
              <w:rPr>
                <w:rFonts w:eastAsia="Segoe UI"/>
                <w:b/>
                <w:bCs/>
              </w:rPr>
              <w:t>Class 4</w:t>
            </w:r>
          </w:p>
        </w:tc>
        <w:tc>
          <w:tcPr>
            <w:tcW w:w="1074" w:type="dxa"/>
            <w:tcBorders>
              <w:top w:val="nil"/>
              <w:left w:val="nil"/>
              <w:bottom w:val="nil"/>
              <w:right w:val="nil"/>
            </w:tcBorders>
            <w:shd w:val="clear" w:color="auto" w:fill="D9D9D9" w:themeFill="background1" w:themeFillShade="D9"/>
            <w:tcMar>
              <w:left w:w="108" w:type="dxa"/>
              <w:right w:w="108" w:type="dxa"/>
            </w:tcMar>
          </w:tcPr>
          <w:p w14:paraId="7A82F8D2" w14:textId="77777777" w:rsidR="00185540" w:rsidRPr="000134CF" w:rsidRDefault="00185540" w:rsidP="00860EAD">
            <w:pPr>
              <w:pStyle w:val="TableText"/>
              <w:jc w:val="center"/>
              <w:rPr>
                <w:b/>
                <w:bCs/>
              </w:rPr>
            </w:pPr>
            <w:r w:rsidRPr="000134CF">
              <w:rPr>
                <w:rFonts w:eastAsia="Segoe UI"/>
                <w:b/>
                <w:bCs/>
              </w:rPr>
              <w:t>Casinos</w:t>
            </w:r>
          </w:p>
        </w:tc>
        <w:tc>
          <w:tcPr>
            <w:tcW w:w="1074" w:type="dxa"/>
            <w:tcBorders>
              <w:top w:val="nil"/>
              <w:left w:val="nil"/>
              <w:bottom w:val="nil"/>
              <w:right w:val="nil"/>
            </w:tcBorders>
            <w:shd w:val="clear" w:color="auto" w:fill="D9D9D9" w:themeFill="background1" w:themeFillShade="D9"/>
            <w:tcMar>
              <w:left w:w="108" w:type="dxa"/>
              <w:right w:w="108" w:type="dxa"/>
            </w:tcMar>
          </w:tcPr>
          <w:p w14:paraId="0D90869B" w14:textId="77777777" w:rsidR="00185540" w:rsidRPr="000134CF" w:rsidRDefault="00185540" w:rsidP="00860EAD">
            <w:pPr>
              <w:pStyle w:val="TableText"/>
              <w:jc w:val="center"/>
              <w:rPr>
                <w:b/>
                <w:bCs/>
              </w:rPr>
            </w:pPr>
            <w:r w:rsidRPr="000134CF">
              <w:rPr>
                <w:rFonts w:eastAsia="Segoe UI"/>
                <w:b/>
                <w:bCs/>
              </w:rPr>
              <w:t>TAB NZ</w:t>
            </w:r>
          </w:p>
        </w:tc>
        <w:tc>
          <w:tcPr>
            <w:tcW w:w="1075" w:type="dxa"/>
            <w:tcBorders>
              <w:top w:val="nil"/>
              <w:left w:val="nil"/>
              <w:bottom w:val="nil"/>
              <w:right w:val="nil"/>
            </w:tcBorders>
            <w:shd w:val="clear" w:color="auto" w:fill="D9D9D9" w:themeFill="background1" w:themeFillShade="D9"/>
            <w:tcMar>
              <w:left w:w="57" w:type="dxa"/>
              <w:right w:w="57" w:type="dxa"/>
            </w:tcMar>
          </w:tcPr>
          <w:p w14:paraId="7C889496" w14:textId="77777777" w:rsidR="00185540" w:rsidRPr="000134CF" w:rsidRDefault="00185540" w:rsidP="00860EAD">
            <w:pPr>
              <w:pStyle w:val="TableText"/>
              <w:jc w:val="center"/>
              <w:rPr>
                <w:b/>
                <w:bCs/>
              </w:rPr>
            </w:pPr>
            <w:r w:rsidRPr="000134CF">
              <w:rPr>
                <w:rFonts w:eastAsia="Segoe UI"/>
                <w:b/>
                <w:bCs/>
              </w:rPr>
              <w:t>Lotto NZ</w:t>
            </w:r>
          </w:p>
        </w:tc>
      </w:tr>
      <w:tr w:rsidR="00185540" w14:paraId="39A3A917" w14:textId="77777777" w:rsidTr="004825BB">
        <w:trPr>
          <w:trHeight w:val="300"/>
        </w:trPr>
        <w:tc>
          <w:tcPr>
            <w:tcW w:w="3783" w:type="dxa"/>
            <w:tcBorders>
              <w:top w:val="nil"/>
              <w:left w:val="nil"/>
              <w:bottom w:val="single" w:sz="8" w:space="0" w:color="BFBFBF" w:themeColor="background1" w:themeShade="BF"/>
              <w:right w:val="nil"/>
            </w:tcBorders>
            <w:tcMar>
              <w:left w:w="57" w:type="dxa"/>
              <w:right w:w="57" w:type="dxa"/>
            </w:tcMar>
          </w:tcPr>
          <w:p w14:paraId="45A98D56" w14:textId="77777777" w:rsidR="00185540" w:rsidRPr="006D5016" w:rsidRDefault="00185540" w:rsidP="00860EAD">
            <w:pPr>
              <w:pStyle w:val="TableText"/>
            </w:pPr>
            <w:r w:rsidRPr="006D5016">
              <w:rPr>
                <w:rFonts w:eastAsia="Segoe UI"/>
              </w:rPr>
              <w:t>Sector levy rates (%)</w:t>
            </w:r>
          </w:p>
        </w:tc>
        <w:tc>
          <w:tcPr>
            <w:tcW w:w="1074" w:type="dxa"/>
            <w:tcBorders>
              <w:top w:val="nil"/>
              <w:left w:val="nil"/>
              <w:bottom w:val="single" w:sz="8" w:space="0" w:color="A6A6A6" w:themeColor="background1" w:themeShade="A6"/>
              <w:right w:val="nil"/>
            </w:tcBorders>
            <w:tcMar>
              <w:left w:w="108" w:type="dxa"/>
              <w:right w:w="108" w:type="dxa"/>
            </w:tcMar>
          </w:tcPr>
          <w:p w14:paraId="149FFACE" w14:textId="77777777" w:rsidR="00185540" w:rsidRPr="006D5016" w:rsidRDefault="00185540" w:rsidP="00860EAD">
            <w:pPr>
              <w:pStyle w:val="TableText"/>
              <w:jc w:val="center"/>
            </w:pPr>
            <w:r>
              <w:rPr>
                <w:rFonts w:eastAsia="Segoe UI"/>
              </w:rPr>
              <w:t>1.44</w:t>
            </w:r>
          </w:p>
        </w:tc>
        <w:tc>
          <w:tcPr>
            <w:tcW w:w="1074" w:type="dxa"/>
            <w:tcBorders>
              <w:top w:val="nil"/>
              <w:left w:val="nil"/>
              <w:bottom w:val="single" w:sz="8" w:space="0" w:color="A6A6A6" w:themeColor="background1" w:themeShade="A6"/>
              <w:right w:val="nil"/>
            </w:tcBorders>
            <w:tcMar>
              <w:left w:w="108" w:type="dxa"/>
              <w:right w:w="108" w:type="dxa"/>
            </w:tcMar>
          </w:tcPr>
          <w:p w14:paraId="58656D27" w14:textId="77777777" w:rsidR="00185540" w:rsidRPr="006D5016" w:rsidRDefault="00185540" w:rsidP="00860EAD">
            <w:pPr>
              <w:pStyle w:val="TableText"/>
              <w:jc w:val="center"/>
            </w:pPr>
            <w:r>
              <w:rPr>
                <w:rFonts w:eastAsia="Segoe UI"/>
              </w:rPr>
              <w:t>0.92</w:t>
            </w:r>
          </w:p>
        </w:tc>
        <w:tc>
          <w:tcPr>
            <w:tcW w:w="1074" w:type="dxa"/>
            <w:tcBorders>
              <w:top w:val="nil"/>
              <w:left w:val="nil"/>
              <w:bottom w:val="single" w:sz="8" w:space="0" w:color="A6A6A6" w:themeColor="background1" w:themeShade="A6"/>
              <w:right w:val="nil"/>
            </w:tcBorders>
            <w:tcMar>
              <w:left w:w="108" w:type="dxa"/>
              <w:right w:w="108" w:type="dxa"/>
            </w:tcMar>
          </w:tcPr>
          <w:p w14:paraId="46195379" w14:textId="77777777" w:rsidR="00185540" w:rsidRPr="006D5016" w:rsidRDefault="00185540" w:rsidP="00860EAD">
            <w:pPr>
              <w:pStyle w:val="TableText"/>
              <w:jc w:val="center"/>
            </w:pPr>
            <w:r>
              <w:rPr>
                <w:rFonts w:eastAsia="Segoe UI"/>
              </w:rPr>
              <w:t>0.76</w:t>
            </w:r>
          </w:p>
        </w:tc>
        <w:tc>
          <w:tcPr>
            <w:tcW w:w="1075" w:type="dxa"/>
            <w:tcBorders>
              <w:top w:val="nil"/>
              <w:left w:val="nil"/>
              <w:bottom w:val="single" w:sz="8" w:space="0" w:color="A6A6A6" w:themeColor="background1" w:themeShade="A6"/>
              <w:right w:val="nil"/>
            </w:tcBorders>
            <w:tcMar>
              <w:left w:w="57" w:type="dxa"/>
              <w:right w:w="57" w:type="dxa"/>
            </w:tcMar>
          </w:tcPr>
          <w:p w14:paraId="54A42EC9" w14:textId="77777777" w:rsidR="00185540" w:rsidRPr="006D5016" w:rsidRDefault="00185540" w:rsidP="00860EAD">
            <w:pPr>
              <w:pStyle w:val="TableText"/>
              <w:jc w:val="center"/>
            </w:pPr>
            <w:r>
              <w:rPr>
                <w:rFonts w:eastAsia="Segoe UI"/>
              </w:rPr>
              <w:t>0.67</w:t>
            </w:r>
          </w:p>
        </w:tc>
      </w:tr>
      <w:tr w:rsidR="00185540" w14:paraId="6DF00FE9" w14:textId="77777777" w:rsidTr="004825BB">
        <w:trPr>
          <w:trHeight w:val="300"/>
        </w:trPr>
        <w:tc>
          <w:tcPr>
            <w:tcW w:w="3783" w:type="dxa"/>
            <w:tcBorders>
              <w:top w:val="single" w:sz="8" w:space="0" w:color="BFBFBF" w:themeColor="background1" w:themeShade="BF"/>
              <w:left w:val="nil"/>
              <w:bottom w:val="single" w:sz="8" w:space="0" w:color="BFBFBF" w:themeColor="background1" w:themeShade="BF"/>
              <w:right w:val="nil"/>
            </w:tcBorders>
            <w:tcMar>
              <w:left w:w="57" w:type="dxa"/>
              <w:right w:w="57" w:type="dxa"/>
            </w:tcMar>
          </w:tcPr>
          <w:p w14:paraId="569AA98D" w14:textId="77777777" w:rsidR="00185540" w:rsidRPr="006D5016" w:rsidRDefault="00185540" w:rsidP="00860EAD">
            <w:pPr>
              <w:pStyle w:val="TableText"/>
            </w:pPr>
            <w:r w:rsidRPr="006D5016">
              <w:rPr>
                <w:rFonts w:eastAsia="Segoe UI"/>
              </w:rPr>
              <w:t>Expected levy payment ($m)</w:t>
            </w:r>
          </w:p>
        </w:tc>
        <w:tc>
          <w:tcPr>
            <w:tcW w:w="1074"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06676A08" w14:textId="77777777" w:rsidR="00185540" w:rsidRPr="006D5016" w:rsidRDefault="00185540" w:rsidP="00860EAD">
            <w:pPr>
              <w:pStyle w:val="TableText"/>
              <w:jc w:val="center"/>
            </w:pPr>
            <w:r>
              <w:rPr>
                <w:rFonts w:eastAsia="Segoe UI"/>
              </w:rPr>
              <w:t>47.966</w:t>
            </w:r>
          </w:p>
        </w:tc>
        <w:tc>
          <w:tcPr>
            <w:tcW w:w="1074"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485B6649" w14:textId="77777777" w:rsidR="00185540" w:rsidRPr="006D5016" w:rsidRDefault="00185540" w:rsidP="00860EAD">
            <w:pPr>
              <w:pStyle w:val="TableText"/>
              <w:jc w:val="center"/>
            </w:pPr>
            <w:r>
              <w:rPr>
                <w:rFonts w:eastAsia="Segoe UI"/>
              </w:rPr>
              <w:t>19.506</w:t>
            </w:r>
          </w:p>
        </w:tc>
        <w:tc>
          <w:tcPr>
            <w:tcW w:w="1074"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756FCCE4" w14:textId="77777777" w:rsidR="00185540" w:rsidRPr="006D5016" w:rsidRDefault="00185540" w:rsidP="00860EAD">
            <w:pPr>
              <w:pStyle w:val="TableText"/>
              <w:jc w:val="center"/>
            </w:pPr>
            <w:r>
              <w:rPr>
                <w:rFonts w:eastAsia="Segoe UI"/>
              </w:rPr>
              <w:t>9.736</w:t>
            </w:r>
          </w:p>
        </w:tc>
        <w:tc>
          <w:tcPr>
            <w:tcW w:w="1075"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5D1446E1" w14:textId="77777777" w:rsidR="00185540" w:rsidRPr="006D5016" w:rsidRDefault="00185540" w:rsidP="00860EAD">
            <w:pPr>
              <w:pStyle w:val="TableText"/>
              <w:jc w:val="center"/>
            </w:pPr>
            <w:r>
              <w:rPr>
                <w:rFonts w:eastAsia="Segoe UI"/>
              </w:rPr>
              <w:t>16.347</w:t>
            </w:r>
          </w:p>
        </w:tc>
      </w:tr>
      <w:tr w:rsidR="00185540" w14:paraId="6F7ADF5E" w14:textId="77777777" w:rsidTr="004825BB">
        <w:trPr>
          <w:trHeight w:val="300"/>
        </w:trPr>
        <w:tc>
          <w:tcPr>
            <w:tcW w:w="3783" w:type="dxa"/>
            <w:tcBorders>
              <w:top w:val="single" w:sz="8" w:space="0" w:color="BFBFBF" w:themeColor="background1" w:themeShade="BF"/>
              <w:left w:val="nil"/>
              <w:bottom w:val="single" w:sz="8" w:space="0" w:color="A6A6A6" w:themeColor="background1" w:themeShade="A6"/>
              <w:right w:val="nil"/>
            </w:tcBorders>
            <w:tcMar>
              <w:left w:w="57" w:type="dxa"/>
              <w:right w:w="57" w:type="dxa"/>
            </w:tcMar>
          </w:tcPr>
          <w:p w14:paraId="2D9F463F" w14:textId="77777777" w:rsidR="00185540" w:rsidRPr="006D5016" w:rsidRDefault="00185540" w:rsidP="00860EAD">
            <w:pPr>
              <w:pStyle w:val="TableText"/>
            </w:pPr>
            <w:r w:rsidRPr="006D5016">
              <w:rPr>
                <w:rFonts w:eastAsia="Segoe UI"/>
              </w:rPr>
              <w:t>($m) Comparison with current levy payments (negative = less)</w:t>
            </w:r>
          </w:p>
        </w:tc>
        <w:tc>
          <w:tcPr>
            <w:tcW w:w="1074"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256A83E" w14:textId="77777777" w:rsidR="00185540" w:rsidRPr="006D5016" w:rsidRDefault="00185540" w:rsidP="00860EAD">
            <w:pPr>
              <w:pStyle w:val="TableText"/>
              <w:jc w:val="center"/>
            </w:pPr>
            <w:r>
              <w:rPr>
                <w:rFonts w:eastAsia="Segoe UI"/>
              </w:rPr>
              <w:t>13.040</w:t>
            </w:r>
          </w:p>
        </w:tc>
        <w:tc>
          <w:tcPr>
            <w:tcW w:w="1074"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618125B1" w14:textId="77777777" w:rsidR="00185540" w:rsidRPr="006D5016" w:rsidRDefault="00185540" w:rsidP="00860EAD">
            <w:pPr>
              <w:pStyle w:val="TableText"/>
              <w:jc w:val="center"/>
            </w:pPr>
            <w:r>
              <w:rPr>
                <w:rFonts w:eastAsia="Segoe UI"/>
              </w:rPr>
              <w:t>3.546</w:t>
            </w:r>
          </w:p>
        </w:tc>
        <w:tc>
          <w:tcPr>
            <w:tcW w:w="1074"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328FE8F8" w14:textId="77777777" w:rsidR="00185540" w:rsidRPr="006D5016" w:rsidRDefault="00185540" w:rsidP="00860EAD">
            <w:pPr>
              <w:pStyle w:val="TableText"/>
              <w:jc w:val="center"/>
            </w:pPr>
            <w:r>
              <w:rPr>
                <w:rFonts w:eastAsia="Segoe UI"/>
              </w:rPr>
              <w:t>0.986</w:t>
            </w:r>
          </w:p>
        </w:tc>
        <w:tc>
          <w:tcPr>
            <w:tcW w:w="1075"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55E93AA0" w14:textId="77777777" w:rsidR="00185540" w:rsidRPr="006D5016" w:rsidRDefault="00185540" w:rsidP="00860EAD">
            <w:pPr>
              <w:pStyle w:val="TableText"/>
              <w:jc w:val="center"/>
            </w:pPr>
            <w:r>
              <w:rPr>
                <w:rFonts w:eastAsia="Segoe UI"/>
              </w:rPr>
              <w:t>5.331</w:t>
            </w:r>
          </w:p>
        </w:tc>
      </w:tr>
    </w:tbl>
    <w:p w14:paraId="57D811C8" w14:textId="77777777" w:rsidR="00185540" w:rsidRDefault="00185540" w:rsidP="004825BB"/>
    <w:p w14:paraId="172F1095" w14:textId="53CD98CA" w:rsidR="00185540" w:rsidRPr="006D5016" w:rsidRDefault="00185540" w:rsidP="00185540">
      <w:pPr>
        <w:pStyle w:val="Table"/>
      </w:pPr>
      <w:bookmarkStart w:id="42" w:name="_Toc185338910"/>
      <w:r>
        <w:t xml:space="preserve">Table </w:t>
      </w:r>
      <w:r w:rsidR="00347B76">
        <w:fldChar w:fldCharType="begin"/>
      </w:r>
      <w:r w:rsidR="00347B76">
        <w:instrText xml:space="preserve"> SEQ Table \* ARABIC </w:instrText>
      </w:r>
      <w:r w:rsidR="00347B76">
        <w:fldChar w:fldCharType="separate"/>
      </w:r>
      <w:r w:rsidR="0094542E">
        <w:rPr>
          <w:noProof/>
        </w:rPr>
        <w:t>9</w:t>
      </w:r>
      <w:r w:rsidR="00347B76">
        <w:rPr>
          <w:noProof/>
        </w:rPr>
        <w:fldChar w:fldCharType="end"/>
      </w:r>
      <w:r>
        <w:t xml:space="preserve">: </w:t>
      </w:r>
      <w:r w:rsidRPr="006D5016">
        <w:rPr>
          <w:rFonts w:eastAsia="Segoe UI"/>
        </w:rPr>
        <w:t xml:space="preserve">Estimated levy rates and payments ($m) per sector, 30/70 </w:t>
      </w:r>
      <w:proofErr w:type="gramStart"/>
      <w:r w:rsidRPr="006D5016">
        <w:rPr>
          <w:rFonts w:eastAsia="Segoe UI"/>
        </w:rPr>
        <w:t>weighting</w:t>
      </w:r>
      <w:bookmarkEnd w:id="42"/>
      <w:proofErr w:type="gramEnd"/>
    </w:p>
    <w:tbl>
      <w:tblPr>
        <w:tblW w:w="8080" w:type="dxa"/>
        <w:tblLayout w:type="fixed"/>
        <w:tblLook w:val="06A0" w:firstRow="1" w:lastRow="0" w:firstColumn="1" w:lastColumn="0" w:noHBand="1" w:noVBand="1"/>
      </w:tblPr>
      <w:tblGrid>
        <w:gridCol w:w="3747"/>
        <w:gridCol w:w="1083"/>
        <w:gridCol w:w="1083"/>
        <w:gridCol w:w="1083"/>
        <w:gridCol w:w="1084"/>
      </w:tblGrid>
      <w:tr w:rsidR="00185540" w:rsidRPr="000134CF" w14:paraId="2E7A2ED0" w14:textId="77777777" w:rsidTr="004825BB">
        <w:trPr>
          <w:trHeight w:val="300"/>
        </w:trPr>
        <w:tc>
          <w:tcPr>
            <w:tcW w:w="3747" w:type="dxa"/>
            <w:tcBorders>
              <w:top w:val="nil"/>
              <w:left w:val="nil"/>
              <w:bottom w:val="nil"/>
              <w:right w:val="nil"/>
            </w:tcBorders>
            <w:shd w:val="clear" w:color="auto" w:fill="D9D9D9" w:themeFill="background1" w:themeFillShade="D9"/>
            <w:tcMar>
              <w:left w:w="57" w:type="dxa"/>
              <w:right w:w="57" w:type="dxa"/>
            </w:tcMar>
          </w:tcPr>
          <w:p w14:paraId="039BDF54" w14:textId="77777777" w:rsidR="00185540" w:rsidRPr="000134CF" w:rsidRDefault="00185540" w:rsidP="00860EAD">
            <w:pPr>
              <w:pStyle w:val="TableText"/>
              <w:rPr>
                <w:b/>
                <w:bCs/>
              </w:rPr>
            </w:pPr>
            <w:r w:rsidRPr="000134CF">
              <w:rPr>
                <w:rFonts w:eastAsia="Segoe UI"/>
                <w:b/>
                <w:bCs/>
              </w:rPr>
              <w:t>Collection period starts 1 July 2025 (all GST exclusive)</w:t>
            </w:r>
          </w:p>
        </w:tc>
        <w:tc>
          <w:tcPr>
            <w:tcW w:w="1083" w:type="dxa"/>
            <w:tcBorders>
              <w:top w:val="nil"/>
              <w:left w:val="nil"/>
              <w:bottom w:val="nil"/>
              <w:right w:val="nil"/>
            </w:tcBorders>
            <w:shd w:val="clear" w:color="auto" w:fill="D9D9D9" w:themeFill="background1" w:themeFillShade="D9"/>
            <w:tcMar>
              <w:left w:w="108" w:type="dxa"/>
              <w:right w:w="108" w:type="dxa"/>
            </w:tcMar>
          </w:tcPr>
          <w:p w14:paraId="0DD339AA" w14:textId="6D507209" w:rsidR="00185540" w:rsidRPr="000134CF" w:rsidRDefault="00784A8B" w:rsidP="00860EAD">
            <w:pPr>
              <w:pStyle w:val="TableText"/>
              <w:jc w:val="center"/>
              <w:rPr>
                <w:b/>
                <w:bCs/>
              </w:rPr>
            </w:pPr>
            <w:r>
              <w:rPr>
                <w:rFonts w:eastAsia="Segoe UI"/>
                <w:b/>
                <w:bCs/>
              </w:rPr>
              <w:t>Class 4</w:t>
            </w:r>
          </w:p>
        </w:tc>
        <w:tc>
          <w:tcPr>
            <w:tcW w:w="1083" w:type="dxa"/>
            <w:tcBorders>
              <w:top w:val="nil"/>
              <w:left w:val="nil"/>
              <w:bottom w:val="nil"/>
              <w:right w:val="nil"/>
            </w:tcBorders>
            <w:shd w:val="clear" w:color="auto" w:fill="D9D9D9" w:themeFill="background1" w:themeFillShade="D9"/>
            <w:tcMar>
              <w:left w:w="108" w:type="dxa"/>
              <w:right w:w="108" w:type="dxa"/>
            </w:tcMar>
          </w:tcPr>
          <w:p w14:paraId="7B57DF4F" w14:textId="77777777" w:rsidR="00185540" w:rsidRPr="000134CF" w:rsidRDefault="00185540" w:rsidP="00860EAD">
            <w:pPr>
              <w:pStyle w:val="TableText"/>
              <w:jc w:val="center"/>
              <w:rPr>
                <w:b/>
                <w:bCs/>
              </w:rPr>
            </w:pPr>
            <w:r w:rsidRPr="000134CF">
              <w:rPr>
                <w:rFonts w:eastAsia="Segoe UI"/>
                <w:b/>
                <w:bCs/>
              </w:rPr>
              <w:t>Casinos</w:t>
            </w:r>
          </w:p>
        </w:tc>
        <w:tc>
          <w:tcPr>
            <w:tcW w:w="1083" w:type="dxa"/>
            <w:tcBorders>
              <w:top w:val="nil"/>
              <w:left w:val="nil"/>
              <w:bottom w:val="nil"/>
              <w:right w:val="nil"/>
            </w:tcBorders>
            <w:shd w:val="clear" w:color="auto" w:fill="D9D9D9" w:themeFill="background1" w:themeFillShade="D9"/>
            <w:tcMar>
              <w:left w:w="108" w:type="dxa"/>
              <w:right w:w="108" w:type="dxa"/>
            </w:tcMar>
          </w:tcPr>
          <w:p w14:paraId="751ECE82" w14:textId="77777777" w:rsidR="00185540" w:rsidRPr="000134CF" w:rsidRDefault="00185540" w:rsidP="00860EAD">
            <w:pPr>
              <w:pStyle w:val="TableText"/>
              <w:jc w:val="center"/>
              <w:rPr>
                <w:b/>
                <w:bCs/>
              </w:rPr>
            </w:pPr>
            <w:r w:rsidRPr="000134CF">
              <w:rPr>
                <w:rFonts w:eastAsia="Segoe UI"/>
                <w:b/>
                <w:bCs/>
              </w:rPr>
              <w:t>TAB NZ</w:t>
            </w:r>
          </w:p>
        </w:tc>
        <w:tc>
          <w:tcPr>
            <w:tcW w:w="1084" w:type="dxa"/>
            <w:tcBorders>
              <w:top w:val="nil"/>
              <w:left w:val="nil"/>
              <w:bottom w:val="nil"/>
              <w:right w:val="nil"/>
            </w:tcBorders>
            <w:shd w:val="clear" w:color="auto" w:fill="D9D9D9" w:themeFill="background1" w:themeFillShade="D9"/>
            <w:tcMar>
              <w:left w:w="57" w:type="dxa"/>
              <w:right w:w="57" w:type="dxa"/>
            </w:tcMar>
          </w:tcPr>
          <w:p w14:paraId="39E55853" w14:textId="77777777" w:rsidR="00185540" w:rsidRPr="000134CF" w:rsidRDefault="00185540" w:rsidP="00860EAD">
            <w:pPr>
              <w:pStyle w:val="TableText"/>
              <w:jc w:val="center"/>
              <w:rPr>
                <w:b/>
                <w:bCs/>
              </w:rPr>
            </w:pPr>
            <w:r w:rsidRPr="000134CF">
              <w:rPr>
                <w:rFonts w:eastAsia="Segoe UI"/>
                <w:b/>
                <w:bCs/>
              </w:rPr>
              <w:t>Lotto NZ</w:t>
            </w:r>
          </w:p>
        </w:tc>
      </w:tr>
      <w:tr w:rsidR="00185540" w14:paraId="2B0A2ACF" w14:textId="77777777" w:rsidTr="004825BB">
        <w:trPr>
          <w:trHeight w:val="300"/>
        </w:trPr>
        <w:tc>
          <w:tcPr>
            <w:tcW w:w="3747" w:type="dxa"/>
            <w:tcBorders>
              <w:top w:val="nil"/>
              <w:left w:val="nil"/>
              <w:bottom w:val="single" w:sz="8" w:space="0" w:color="BFBFBF" w:themeColor="background1" w:themeShade="BF"/>
              <w:right w:val="nil"/>
            </w:tcBorders>
            <w:tcMar>
              <w:left w:w="57" w:type="dxa"/>
              <w:right w:w="57" w:type="dxa"/>
            </w:tcMar>
          </w:tcPr>
          <w:p w14:paraId="2062A00E" w14:textId="77777777" w:rsidR="00185540" w:rsidRPr="006D5016" w:rsidRDefault="00185540" w:rsidP="00860EAD">
            <w:pPr>
              <w:pStyle w:val="TableText"/>
            </w:pPr>
            <w:r w:rsidRPr="006D5016">
              <w:rPr>
                <w:rFonts w:eastAsia="Segoe UI"/>
              </w:rPr>
              <w:t>Sector levy rates (%)</w:t>
            </w:r>
          </w:p>
        </w:tc>
        <w:tc>
          <w:tcPr>
            <w:tcW w:w="1083" w:type="dxa"/>
            <w:tcBorders>
              <w:top w:val="nil"/>
              <w:left w:val="nil"/>
              <w:bottom w:val="single" w:sz="8" w:space="0" w:color="A6A6A6" w:themeColor="background1" w:themeShade="A6"/>
              <w:right w:val="nil"/>
            </w:tcBorders>
            <w:shd w:val="clear" w:color="auto" w:fill="FFFFFF" w:themeFill="background1"/>
            <w:tcMar>
              <w:left w:w="108" w:type="dxa"/>
              <w:right w:w="108" w:type="dxa"/>
            </w:tcMar>
          </w:tcPr>
          <w:p w14:paraId="02A2FF4C" w14:textId="77777777" w:rsidR="00185540" w:rsidRPr="006D5016" w:rsidRDefault="00185540" w:rsidP="00860EAD">
            <w:pPr>
              <w:pStyle w:val="TableText"/>
              <w:jc w:val="center"/>
            </w:pPr>
            <w:r>
              <w:rPr>
                <w:rFonts w:eastAsia="Segoe UI"/>
              </w:rPr>
              <w:t>1.39</w:t>
            </w:r>
          </w:p>
        </w:tc>
        <w:tc>
          <w:tcPr>
            <w:tcW w:w="1083" w:type="dxa"/>
            <w:tcBorders>
              <w:top w:val="nil"/>
              <w:left w:val="nil"/>
              <w:bottom w:val="single" w:sz="8" w:space="0" w:color="A6A6A6" w:themeColor="background1" w:themeShade="A6"/>
              <w:right w:val="nil"/>
            </w:tcBorders>
            <w:shd w:val="clear" w:color="auto" w:fill="FFFFFF" w:themeFill="background1"/>
            <w:tcMar>
              <w:left w:w="108" w:type="dxa"/>
              <w:right w:w="108" w:type="dxa"/>
            </w:tcMar>
          </w:tcPr>
          <w:p w14:paraId="4228C1A7" w14:textId="77777777" w:rsidR="00185540" w:rsidRPr="006D5016" w:rsidRDefault="00185540" w:rsidP="00860EAD">
            <w:pPr>
              <w:pStyle w:val="TableText"/>
              <w:jc w:val="center"/>
            </w:pPr>
            <w:r>
              <w:rPr>
                <w:rFonts w:eastAsia="Segoe UI"/>
              </w:rPr>
              <w:t>0.93</w:t>
            </w:r>
          </w:p>
        </w:tc>
        <w:tc>
          <w:tcPr>
            <w:tcW w:w="1083" w:type="dxa"/>
            <w:tcBorders>
              <w:top w:val="nil"/>
              <w:left w:val="nil"/>
              <w:bottom w:val="single" w:sz="8" w:space="0" w:color="A6A6A6" w:themeColor="background1" w:themeShade="A6"/>
              <w:right w:val="nil"/>
            </w:tcBorders>
            <w:shd w:val="clear" w:color="auto" w:fill="FFFFFF" w:themeFill="background1"/>
            <w:tcMar>
              <w:left w:w="108" w:type="dxa"/>
              <w:right w:w="108" w:type="dxa"/>
            </w:tcMar>
          </w:tcPr>
          <w:p w14:paraId="309A029B" w14:textId="77777777" w:rsidR="00185540" w:rsidRPr="006D5016" w:rsidRDefault="00185540" w:rsidP="00860EAD">
            <w:pPr>
              <w:pStyle w:val="TableText"/>
              <w:jc w:val="center"/>
            </w:pPr>
            <w:r>
              <w:rPr>
                <w:rFonts w:eastAsia="Segoe UI"/>
              </w:rPr>
              <w:t>0.78</w:t>
            </w:r>
          </w:p>
        </w:tc>
        <w:tc>
          <w:tcPr>
            <w:tcW w:w="1084" w:type="dxa"/>
            <w:tcBorders>
              <w:top w:val="nil"/>
              <w:left w:val="nil"/>
              <w:bottom w:val="single" w:sz="8" w:space="0" w:color="A6A6A6" w:themeColor="background1" w:themeShade="A6"/>
              <w:right w:val="nil"/>
            </w:tcBorders>
            <w:shd w:val="clear" w:color="auto" w:fill="FFFFFF" w:themeFill="background1"/>
            <w:tcMar>
              <w:left w:w="57" w:type="dxa"/>
              <w:right w:w="57" w:type="dxa"/>
            </w:tcMar>
          </w:tcPr>
          <w:p w14:paraId="1F62C41C" w14:textId="77777777" w:rsidR="00185540" w:rsidRPr="006D5016" w:rsidRDefault="00185540" w:rsidP="00860EAD">
            <w:pPr>
              <w:pStyle w:val="TableText"/>
              <w:jc w:val="center"/>
            </w:pPr>
            <w:r>
              <w:rPr>
                <w:rFonts w:eastAsia="Segoe UI"/>
              </w:rPr>
              <w:t>0.71</w:t>
            </w:r>
          </w:p>
        </w:tc>
      </w:tr>
      <w:tr w:rsidR="00185540" w14:paraId="49744CD4" w14:textId="77777777" w:rsidTr="004825BB">
        <w:trPr>
          <w:trHeight w:val="300"/>
        </w:trPr>
        <w:tc>
          <w:tcPr>
            <w:tcW w:w="3747" w:type="dxa"/>
            <w:tcBorders>
              <w:top w:val="single" w:sz="8" w:space="0" w:color="BFBFBF" w:themeColor="background1" w:themeShade="BF"/>
              <w:left w:val="nil"/>
              <w:bottom w:val="single" w:sz="8" w:space="0" w:color="BFBFBF" w:themeColor="background1" w:themeShade="BF"/>
              <w:right w:val="nil"/>
            </w:tcBorders>
            <w:tcMar>
              <w:left w:w="57" w:type="dxa"/>
              <w:right w:w="57" w:type="dxa"/>
            </w:tcMar>
          </w:tcPr>
          <w:p w14:paraId="4019095C" w14:textId="77777777" w:rsidR="00185540" w:rsidRPr="006D5016" w:rsidRDefault="00185540" w:rsidP="00860EAD">
            <w:pPr>
              <w:pStyle w:val="TableText"/>
            </w:pPr>
            <w:r w:rsidRPr="006D5016">
              <w:rPr>
                <w:rFonts w:eastAsia="Segoe UI"/>
              </w:rPr>
              <w:t>Expected levy payment ($m)</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1B88F72D" w14:textId="77777777" w:rsidR="00185540" w:rsidRPr="006D5016" w:rsidRDefault="00185540" w:rsidP="00860EAD">
            <w:pPr>
              <w:pStyle w:val="TableText"/>
              <w:jc w:val="center"/>
            </w:pPr>
            <w:r>
              <w:rPr>
                <w:rFonts w:eastAsia="Segoe UI"/>
              </w:rPr>
              <w:t>46.300</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707F2A46" w14:textId="77777777" w:rsidR="00185540" w:rsidRPr="006D5016" w:rsidRDefault="00185540" w:rsidP="00860EAD">
            <w:pPr>
              <w:pStyle w:val="TableText"/>
              <w:jc w:val="center"/>
            </w:pPr>
            <w:r>
              <w:rPr>
                <w:rFonts w:eastAsia="Segoe UI"/>
              </w:rPr>
              <w:t>19.718</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985B0B8" w14:textId="77777777" w:rsidR="00185540" w:rsidRPr="006D5016" w:rsidRDefault="00185540" w:rsidP="00860EAD">
            <w:pPr>
              <w:pStyle w:val="TableText"/>
              <w:jc w:val="center"/>
            </w:pPr>
            <w:r>
              <w:rPr>
                <w:rFonts w:eastAsia="Segoe UI"/>
              </w:rPr>
              <w:t>9.992</w:t>
            </w:r>
          </w:p>
        </w:tc>
        <w:tc>
          <w:tcPr>
            <w:tcW w:w="1084"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78D97542" w14:textId="77777777" w:rsidR="00185540" w:rsidRPr="006D5016" w:rsidRDefault="00185540" w:rsidP="00860EAD">
            <w:pPr>
              <w:pStyle w:val="TableText"/>
              <w:jc w:val="center"/>
            </w:pPr>
            <w:r>
              <w:rPr>
                <w:rFonts w:eastAsia="Segoe UI"/>
              </w:rPr>
              <w:t>17.323</w:t>
            </w:r>
          </w:p>
        </w:tc>
      </w:tr>
      <w:tr w:rsidR="00185540" w14:paraId="72C0DD59" w14:textId="77777777" w:rsidTr="004825BB">
        <w:trPr>
          <w:trHeight w:val="300"/>
        </w:trPr>
        <w:tc>
          <w:tcPr>
            <w:tcW w:w="3747" w:type="dxa"/>
            <w:tcBorders>
              <w:top w:val="single" w:sz="8" w:space="0" w:color="BFBFBF" w:themeColor="background1" w:themeShade="BF"/>
              <w:left w:val="nil"/>
              <w:bottom w:val="single" w:sz="8" w:space="0" w:color="A6A6A6" w:themeColor="background1" w:themeShade="A6"/>
              <w:right w:val="nil"/>
            </w:tcBorders>
            <w:tcMar>
              <w:left w:w="57" w:type="dxa"/>
              <w:right w:w="57" w:type="dxa"/>
            </w:tcMar>
          </w:tcPr>
          <w:p w14:paraId="0DB43191" w14:textId="77777777" w:rsidR="00185540" w:rsidRPr="006D5016" w:rsidRDefault="00185540" w:rsidP="00860EAD">
            <w:pPr>
              <w:pStyle w:val="TableText"/>
            </w:pPr>
            <w:r w:rsidRPr="006D5016">
              <w:rPr>
                <w:rFonts w:eastAsia="Segoe UI"/>
              </w:rPr>
              <w:t>($m) Comparison with current levy payments (negative = less)</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4DE4544" w14:textId="77777777" w:rsidR="00185540" w:rsidRPr="006D5016" w:rsidRDefault="00185540" w:rsidP="00860EAD">
            <w:pPr>
              <w:pStyle w:val="TableText"/>
              <w:jc w:val="center"/>
            </w:pPr>
            <w:r>
              <w:rPr>
                <w:rFonts w:eastAsia="Segoe UI"/>
              </w:rPr>
              <w:t>11.374</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6E142761" w14:textId="77777777" w:rsidR="00185540" w:rsidRPr="006D5016" w:rsidRDefault="00185540" w:rsidP="00860EAD">
            <w:pPr>
              <w:pStyle w:val="TableText"/>
              <w:jc w:val="center"/>
            </w:pPr>
            <w:r>
              <w:rPr>
                <w:rFonts w:eastAsia="Segoe UI"/>
              </w:rPr>
              <w:t>3.758</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1637A0BD" w14:textId="77777777" w:rsidR="00185540" w:rsidRPr="006D5016" w:rsidRDefault="00185540" w:rsidP="00860EAD">
            <w:pPr>
              <w:pStyle w:val="TableText"/>
              <w:jc w:val="center"/>
            </w:pPr>
            <w:r>
              <w:rPr>
                <w:rFonts w:eastAsia="Segoe UI"/>
              </w:rPr>
              <w:t>1.242</w:t>
            </w:r>
          </w:p>
        </w:tc>
        <w:tc>
          <w:tcPr>
            <w:tcW w:w="1084"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6F1E26BC" w14:textId="77777777" w:rsidR="00185540" w:rsidRPr="006D5016" w:rsidRDefault="00185540" w:rsidP="00860EAD">
            <w:pPr>
              <w:pStyle w:val="TableText"/>
              <w:jc w:val="center"/>
            </w:pPr>
            <w:r>
              <w:rPr>
                <w:rFonts w:eastAsia="Segoe UI"/>
              </w:rPr>
              <w:t>6.307</w:t>
            </w:r>
          </w:p>
        </w:tc>
      </w:tr>
    </w:tbl>
    <w:p w14:paraId="6BF8A4A1" w14:textId="77777777" w:rsidR="00185540" w:rsidRDefault="00185540" w:rsidP="004825BB"/>
    <w:p w14:paraId="3CD093B9" w14:textId="482069FF" w:rsidR="00185540" w:rsidRPr="006D5016" w:rsidRDefault="004825BB" w:rsidP="00185540">
      <w:pPr>
        <w:pStyle w:val="Table"/>
      </w:pPr>
      <w:bookmarkStart w:id="43" w:name="_Toc185338911"/>
      <w:r>
        <w:t xml:space="preserve">Table </w:t>
      </w:r>
      <w:r w:rsidR="00347B76">
        <w:fldChar w:fldCharType="begin"/>
      </w:r>
      <w:r w:rsidR="00347B76">
        <w:instrText xml:space="preserve"> SEQ Table \* ARABIC </w:instrText>
      </w:r>
      <w:r w:rsidR="00347B76">
        <w:fldChar w:fldCharType="separate"/>
      </w:r>
      <w:r w:rsidR="0094542E">
        <w:rPr>
          <w:noProof/>
        </w:rPr>
        <w:t>10</w:t>
      </w:r>
      <w:r w:rsidR="00347B76">
        <w:rPr>
          <w:noProof/>
        </w:rPr>
        <w:fldChar w:fldCharType="end"/>
      </w:r>
      <w:r>
        <w:t xml:space="preserve">: </w:t>
      </w:r>
      <w:r w:rsidR="00185540" w:rsidRPr="00AA55BC">
        <w:t xml:space="preserve">Estimated levy rates and payments ($m) per sector, 50/50 </w:t>
      </w:r>
      <w:proofErr w:type="gramStart"/>
      <w:r w:rsidR="00185540" w:rsidRPr="00AA55BC">
        <w:t>weighting</w:t>
      </w:r>
      <w:bookmarkEnd w:id="43"/>
      <w:proofErr w:type="gramEnd"/>
    </w:p>
    <w:tbl>
      <w:tblPr>
        <w:tblW w:w="8080" w:type="dxa"/>
        <w:tblLayout w:type="fixed"/>
        <w:tblLook w:val="06A0" w:firstRow="1" w:lastRow="0" w:firstColumn="1" w:lastColumn="0" w:noHBand="1" w:noVBand="1"/>
      </w:tblPr>
      <w:tblGrid>
        <w:gridCol w:w="3747"/>
        <w:gridCol w:w="1083"/>
        <w:gridCol w:w="1083"/>
        <w:gridCol w:w="1083"/>
        <w:gridCol w:w="1084"/>
      </w:tblGrid>
      <w:tr w:rsidR="00185540" w:rsidRPr="000134CF" w14:paraId="57B57C7A" w14:textId="77777777" w:rsidTr="004825BB">
        <w:trPr>
          <w:trHeight w:val="300"/>
        </w:trPr>
        <w:tc>
          <w:tcPr>
            <w:tcW w:w="3747" w:type="dxa"/>
            <w:tcBorders>
              <w:top w:val="nil"/>
              <w:left w:val="nil"/>
              <w:bottom w:val="nil"/>
              <w:right w:val="nil"/>
            </w:tcBorders>
            <w:shd w:val="clear" w:color="auto" w:fill="D9D9D9" w:themeFill="background1" w:themeFillShade="D9"/>
            <w:tcMar>
              <w:left w:w="57" w:type="dxa"/>
              <w:right w:w="57" w:type="dxa"/>
            </w:tcMar>
          </w:tcPr>
          <w:p w14:paraId="28BFF4F4" w14:textId="77777777" w:rsidR="00185540" w:rsidRPr="000134CF" w:rsidRDefault="00185540" w:rsidP="00860EAD">
            <w:pPr>
              <w:pStyle w:val="TableText"/>
              <w:rPr>
                <w:b/>
                <w:bCs/>
              </w:rPr>
            </w:pPr>
            <w:r w:rsidRPr="000134CF">
              <w:rPr>
                <w:rFonts w:eastAsia="Segoe UI"/>
                <w:b/>
                <w:bCs/>
              </w:rPr>
              <w:t>Collection period starts 1 July 2025 (all GST exclusive)</w:t>
            </w:r>
          </w:p>
        </w:tc>
        <w:tc>
          <w:tcPr>
            <w:tcW w:w="1083" w:type="dxa"/>
            <w:tcBorders>
              <w:top w:val="nil"/>
              <w:left w:val="nil"/>
              <w:bottom w:val="nil"/>
              <w:right w:val="nil"/>
            </w:tcBorders>
            <w:shd w:val="clear" w:color="auto" w:fill="D9D9D9" w:themeFill="background1" w:themeFillShade="D9"/>
            <w:tcMar>
              <w:left w:w="108" w:type="dxa"/>
              <w:right w:w="108" w:type="dxa"/>
            </w:tcMar>
          </w:tcPr>
          <w:p w14:paraId="6724F8D3" w14:textId="4233C6B2" w:rsidR="00185540" w:rsidRPr="000134CF" w:rsidRDefault="00784A8B" w:rsidP="00860EAD">
            <w:pPr>
              <w:pStyle w:val="TableText"/>
              <w:jc w:val="center"/>
              <w:rPr>
                <w:b/>
                <w:bCs/>
              </w:rPr>
            </w:pPr>
            <w:r>
              <w:rPr>
                <w:rFonts w:eastAsia="Segoe UI"/>
                <w:b/>
                <w:bCs/>
              </w:rPr>
              <w:t>s 4Class 4</w:t>
            </w:r>
          </w:p>
        </w:tc>
        <w:tc>
          <w:tcPr>
            <w:tcW w:w="1083" w:type="dxa"/>
            <w:tcBorders>
              <w:top w:val="nil"/>
              <w:left w:val="nil"/>
              <w:bottom w:val="nil"/>
              <w:right w:val="nil"/>
            </w:tcBorders>
            <w:shd w:val="clear" w:color="auto" w:fill="D9D9D9" w:themeFill="background1" w:themeFillShade="D9"/>
            <w:tcMar>
              <w:left w:w="108" w:type="dxa"/>
              <w:right w:w="108" w:type="dxa"/>
            </w:tcMar>
          </w:tcPr>
          <w:p w14:paraId="106A9BBC" w14:textId="77777777" w:rsidR="00185540" w:rsidRPr="000134CF" w:rsidRDefault="00185540" w:rsidP="00860EAD">
            <w:pPr>
              <w:pStyle w:val="TableText"/>
              <w:jc w:val="center"/>
              <w:rPr>
                <w:b/>
                <w:bCs/>
              </w:rPr>
            </w:pPr>
            <w:r w:rsidRPr="000134CF">
              <w:rPr>
                <w:rFonts w:eastAsia="Segoe UI"/>
                <w:b/>
                <w:bCs/>
              </w:rPr>
              <w:t>Casinos</w:t>
            </w:r>
          </w:p>
        </w:tc>
        <w:tc>
          <w:tcPr>
            <w:tcW w:w="1083" w:type="dxa"/>
            <w:tcBorders>
              <w:top w:val="nil"/>
              <w:left w:val="nil"/>
              <w:bottom w:val="nil"/>
              <w:right w:val="nil"/>
            </w:tcBorders>
            <w:shd w:val="clear" w:color="auto" w:fill="D9D9D9" w:themeFill="background1" w:themeFillShade="D9"/>
            <w:tcMar>
              <w:left w:w="108" w:type="dxa"/>
              <w:right w:w="108" w:type="dxa"/>
            </w:tcMar>
          </w:tcPr>
          <w:p w14:paraId="64E5300B" w14:textId="77777777" w:rsidR="00185540" w:rsidRPr="000134CF" w:rsidRDefault="00185540" w:rsidP="00860EAD">
            <w:pPr>
              <w:pStyle w:val="TableText"/>
              <w:jc w:val="center"/>
              <w:rPr>
                <w:b/>
                <w:bCs/>
              </w:rPr>
            </w:pPr>
            <w:r w:rsidRPr="000134CF">
              <w:rPr>
                <w:rFonts w:eastAsia="Segoe UI"/>
                <w:b/>
                <w:bCs/>
              </w:rPr>
              <w:t>TAB NZ</w:t>
            </w:r>
          </w:p>
        </w:tc>
        <w:tc>
          <w:tcPr>
            <w:tcW w:w="1084" w:type="dxa"/>
            <w:tcBorders>
              <w:top w:val="nil"/>
              <w:left w:val="nil"/>
              <w:bottom w:val="nil"/>
              <w:right w:val="nil"/>
            </w:tcBorders>
            <w:shd w:val="clear" w:color="auto" w:fill="D9D9D9" w:themeFill="background1" w:themeFillShade="D9"/>
            <w:tcMar>
              <w:left w:w="57" w:type="dxa"/>
              <w:right w:w="57" w:type="dxa"/>
            </w:tcMar>
          </w:tcPr>
          <w:p w14:paraId="47711167" w14:textId="77777777" w:rsidR="00185540" w:rsidRPr="000134CF" w:rsidRDefault="00185540" w:rsidP="00860EAD">
            <w:pPr>
              <w:pStyle w:val="TableText"/>
              <w:jc w:val="center"/>
              <w:rPr>
                <w:b/>
                <w:bCs/>
              </w:rPr>
            </w:pPr>
            <w:r w:rsidRPr="000134CF">
              <w:rPr>
                <w:rFonts w:eastAsia="Segoe UI"/>
                <w:b/>
                <w:bCs/>
              </w:rPr>
              <w:t>Lotto NZ</w:t>
            </w:r>
          </w:p>
        </w:tc>
      </w:tr>
      <w:tr w:rsidR="00185540" w14:paraId="0AEECB5A" w14:textId="77777777" w:rsidTr="004825BB">
        <w:trPr>
          <w:trHeight w:val="300"/>
        </w:trPr>
        <w:tc>
          <w:tcPr>
            <w:tcW w:w="3747" w:type="dxa"/>
            <w:tcBorders>
              <w:top w:val="nil"/>
              <w:left w:val="nil"/>
              <w:bottom w:val="single" w:sz="8" w:space="0" w:color="BFBFBF" w:themeColor="background1" w:themeShade="BF"/>
              <w:right w:val="nil"/>
            </w:tcBorders>
            <w:tcMar>
              <w:left w:w="57" w:type="dxa"/>
              <w:right w:w="57" w:type="dxa"/>
            </w:tcMar>
          </w:tcPr>
          <w:p w14:paraId="687528EA" w14:textId="77777777" w:rsidR="00185540" w:rsidRPr="006D5016" w:rsidRDefault="00185540" w:rsidP="00860EAD">
            <w:pPr>
              <w:pStyle w:val="TableText"/>
            </w:pPr>
            <w:r w:rsidRPr="006D5016">
              <w:rPr>
                <w:rFonts w:eastAsia="Segoe UI"/>
              </w:rPr>
              <w:t>Sector levy rates (%)</w:t>
            </w:r>
          </w:p>
        </w:tc>
        <w:tc>
          <w:tcPr>
            <w:tcW w:w="1083" w:type="dxa"/>
            <w:tcBorders>
              <w:top w:val="nil"/>
              <w:left w:val="nil"/>
              <w:bottom w:val="single" w:sz="8" w:space="0" w:color="A6A6A6" w:themeColor="background1" w:themeShade="A6"/>
              <w:right w:val="nil"/>
            </w:tcBorders>
            <w:shd w:val="clear" w:color="auto" w:fill="FFFFFF" w:themeFill="background1"/>
            <w:tcMar>
              <w:left w:w="108" w:type="dxa"/>
              <w:right w:w="108" w:type="dxa"/>
            </w:tcMar>
          </w:tcPr>
          <w:p w14:paraId="71AF759E" w14:textId="77777777" w:rsidR="00185540" w:rsidRPr="006D5016" w:rsidRDefault="00185540" w:rsidP="00860EAD">
            <w:pPr>
              <w:pStyle w:val="TableText"/>
              <w:jc w:val="center"/>
            </w:pPr>
            <w:r>
              <w:t>1.30</w:t>
            </w:r>
          </w:p>
        </w:tc>
        <w:tc>
          <w:tcPr>
            <w:tcW w:w="1083" w:type="dxa"/>
            <w:tcBorders>
              <w:top w:val="nil"/>
              <w:left w:val="nil"/>
              <w:bottom w:val="single" w:sz="8" w:space="0" w:color="A6A6A6" w:themeColor="background1" w:themeShade="A6"/>
              <w:right w:val="nil"/>
            </w:tcBorders>
            <w:shd w:val="clear" w:color="auto" w:fill="FFFFFF" w:themeFill="background1"/>
            <w:tcMar>
              <w:left w:w="108" w:type="dxa"/>
              <w:right w:w="108" w:type="dxa"/>
            </w:tcMar>
          </w:tcPr>
          <w:p w14:paraId="73401BB7" w14:textId="77777777" w:rsidR="00185540" w:rsidRPr="006D5016" w:rsidRDefault="00185540" w:rsidP="00860EAD">
            <w:pPr>
              <w:pStyle w:val="TableText"/>
              <w:jc w:val="center"/>
            </w:pPr>
            <w:r>
              <w:t>0.95</w:t>
            </w:r>
          </w:p>
        </w:tc>
        <w:tc>
          <w:tcPr>
            <w:tcW w:w="1083" w:type="dxa"/>
            <w:tcBorders>
              <w:top w:val="nil"/>
              <w:left w:val="nil"/>
              <w:bottom w:val="single" w:sz="8" w:space="0" w:color="A6A6A6" w:themeColor="background1" w:themeShade="A6"/>
              <w:right w:val="nil"/>
            </w:tcBorders>
            <w:shd w:val="clear" w:color="auto" w:fill="FFFFFF" w:themeFill="background1"/>
            <w:tcMar>
              <w:left w:w="108" w:type="dxa"/>
              <w:right w:w="108" w:type="dxa"/>
            </w:tcMar>
          </w:tcPr>
          <w:p w14:paraId="7D743C47" w14:textId="77777777" w:rsidR="00185540" w:rsidRPr="006D5016" w:rsidRDefault="00185540" w:rsidP="00860EAD">
            <w:pPr>
              <w:pStyle w:val="TableText"/>
              <w:jc w:val="center"/>
            </w:pPr>
            <w:r>
              <w:t>0.84</w:t>
            </w:r>
          </w:p>
        </w:tc>
        <w:tc>
          <w:tcPr>
            <w:tcW w:w="1084" w:type="dxa"/>
            <w:tcBorders>
              <w:top w:val="nil"/>
              <w:left w:val="nil"/>
              <w:bottom w:val="single" w:sz="8" w:space="0" w:color="A6A6A6" w:themeColor="background1" w:themeShade="A6"/>
              <w:right w:val="nil"/>
            </w:tcBorders>
            <w:shd w:val="clear" w:color="auto" w:fill="FFFFFF" w:themeFill="background1"/>
            <w:tcMar>
              <w:left w:w="57" w:type="dxa"/>
              <w:right w:w="57" w:type="dxa"/>
            </w:tcMar>
          </w:tcPr>
          <w:p w14:paraId="6F397949" w14:textId="77777777" w:rsidR="00185540" w:rsidRPr="006D5016" w:rsidRDefault="00185540" w:rsidP="00860EAD">
            <w:pPr>
              <w:pStyle w:val="TableText"/>
              <w:jc w:val="center"/>
            </w:pPr>
            <w:r>
              <w:t>0.80</w:t>
            </w:r>
          </w:p>
        </w:tc>
      </w:tr>
      <w:tr w:rsidR="00185540" w14:paraId="28C8D3ED" w14:textId="77777777" w:rsidTr="004825BB">
        <w:trPr>
          <w:trHeight w:val="300"/>
        </w:trPr>
        <w:tc>
          <w:tcPr>
            <w:tcW w:w="3747" w:type="dxa"/>
            <w:tcBorders>
              <w:top w:val="single" w:sz="8" w:space="0" w:color="BFBFBF" w:themeColor="background1" w:themeShade="BF"/>
              <w:left w:val="nil"/>
              <w:bottom w:val="single" w:sz="8" w:space="0" w:color="BFBFBF" w:themeColor="background1" w:themeShade="BF"/>
              <w:right w:val="nil"/>
            </w:tcBorders>
            <w:tcMar>
              <w:left w:w="57" w:type="dxa"/>
              <w:right w:w="57" w:type="dxa"/>
            </w:tcMar>
          </w:tcPr>
          <w:p w14:paraId="05FBE97B" w14:textId="77777777" w:rsidR="00185540" w:rsidRPr="006D5016" w:rsidRDefault="00185540" w:rsidP="00860EAD">
            <w:pPr>
              <w:pStyle w:val="TableText"/>
            </w:pPr>
            <w:r w:rsidRPr="006D5016">
              <w:rPr>
                <w:rFonts w:eastAsia="Segoe UI"/>
              </w:rPr>
              <w:t>Expected levy payment ($m)</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2C38C67D" w14:textId="77777777" w:rsidR="00185540" w:rsidRPr="006D5016" w:rsidRDefault="00185540" w:rsidP="00860EAD">
            <w:pPr>
              <w:pStyle w:val="TableText"/>
              <w:jc w:val="center"/>
            </w:pPr>
            <w:r>
              <w:t>43.302</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192362BC" w14:textId="77777777" w:rsidR="00185540" w:rsidRPr="006D5016" w:rsidRDefault="00185540" w:rsidP="00860EAD">
            <w:pPr>
              <w:pStyle w:val="TableText"/>
              <w:jc w:val="center"/>
            </w:pPr>
            <w:r>
              <w:t>20.142</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7D8F780C" w14:textId="77777777" w:rsidR="00185540" w:rsidRPr="006D5016" w:rsidRDefault="00185540" w:rsidP="00860EAD">
            <w:pPr>
              <w:pStyle w:val="TableText"/>
              <w:jc w:val="center"/>
            </w:pPr>
            <w:r>
              <w:t>10.761</w:t>
            </w:r>
          </w:p>
        </w:tc>
        <w:tc>
          <w:tcPr>
            <w:tcW w:w="1084"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03FD5594" w14:textId="77777777" w:rsidR="00185540" w:rsidRPr="006D5016" w:rsidRDefault="00185540" w:rsidP="00860EAD">
            <w:pPr>
              <w:pStyle w:val="TableText"/>
              <w:jc w:val="center"/>
            </w:pPr>
            <w:r>
              <w:t>19.518</w:t>
            </w:r>
          </w:p>
        </w:tc>
      </w:tr>
      <w:tr w:rsidR="00185540" w14:paraId="0E9784C1" w14:textId="77777777" w:rsidTr="004825BB">
        <w:trPr>
          <w:trHeight w:val="300"/>
        </w:trPr>
        <w:tc>
          <w:tcPr>
            <w:tcW w:w="3747" w:type="dxa"/>
            <w:tcBorders>
              <w:top w:val="single" w:sz="8" w:space="0" w:color="BFBFBF" w:themeColor="background1" w:themeShade="BF"/>
              <w:left w:val="nil"/>
              <w:bottom w:val="single" w:sz="8" w:space="0" w:color="A6A6A6" w:themeColor="background1" w:themeShade="A6"/>
              <w:right w:val="nil"/>
            </w:tcBorders>
            <w:tcMar>
              <w:left w:w="57" w:type="dxa"/>
              <w:right w:w="57" w:type="dxa"/>
            </w:tcMar>
          </w:tcPr>
          <w:p w14:paraId="3B76F7AD" w14:textId="77777777" w:rsidR="00185540" w:rsidRPr="006D5016" w:rsidRDefault="00185540" w:rsidP="00860EAD">
            <w:pPr>
              <w:pStyle w:val="TableText"/>
            </w:pPr>
            <w:r w:rsidRPr="006D5016">
              <w:rPr>
                <w:rFonts w:eastAsia="Segoe UI"/>
              </w:rPr>
              <w:t>($m) Comparison with current levy payments (negative = less)</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E0873C0" w14:textId="77777777" w:rsidR="00185540" w:rsidRPr="006D5016" w:rsidRDefault="00185540" w:rsidP="00860EAD">
            <w:pPr>
              <w:pStyle w:val="TableText"/>
              <w:jc w:val="center"/>
            </w:pPr>
            <w:r>
              <w:t>8.376</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054D66AB" w14:textId="77777777" w:rsidR="00185540" w:rsidRPr="006D5016" w:rsidRDefault="00185540" w:rsidP="00860EAD">
            <w:pPr>
              <w:pStyle w:val="TableText"/>
              <w:jc w:val="center"/>
            </w:pPr>
            <w:r>
              <w:t>4.182</w:t>
            </w:r>
          </w:p>
        </w:tc>
        <w:tc>
          <w:tcPr>
            <w:tcW w:w="1083"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05686067" w14:textId="77777777" w:rsidR="00185540" w:rsidRPr="006D5016" w:rsidRDefault="00185540" w:rsidP="00860EAD">
            <w:pPr>
              <w:pStyle w:val="TableText"/>
              <w:jc w:val="center"/>
            </w:pPr>
            <w:r>
              <w:t>8.75</w:t>
            </w:r>
          </w:p>
        </w:tc>
        <w:tc>
          <w:tcPr>
            <w:tcW w:w="1084" w:type="dxa"/>
            <w:tcBorders>
              <w:top w:val="single" w:sz="8" w:space="0" w:color="A6A6A6" w:themeColor="background1" w:themeShade="A6"/>
              <w:left w:val="nil"/>
              <w:bottom w:val="single" w:sz="8" w:space="0" w:color="A6A6A6" w:themeColor="background1" w:themeShade="A6"/>
              <w:right w:val="nil"/>
            </w:tcBorders>
            <w:tcMar>
              <w:left w:w="57" w:type="dxa"/>
              <w:right w:w="57" w:type="dxa"/>
            </w:tcMar>
          </w:tcPr>
          <w:p w14:paraId="1046FE54" w14:textId="77777777" w:rsidR="00185540" w:rsidRPr="006D5016" w:rsidRDefault="00185540" w:rsidP="00860EAD">
            <w:pPr>
              <w:pStyle w:val="TableText"/>
              <w:jc w:val="center"/>
            </w:pPr>
            <w:r>
              <w:t>11.016</w:t>
            </w:r>
          </w:p>
        </w:tc>
      </w:tr>
    </w:tbl>
    <w:p w14:paraId="65CCA858" w14:textId="77777777" w:rsidR="00185540" w:rsidRPr="000134CF" w:rsidRDefault="00185540" w:rsidP="00185540">
      <w:pPr>
        <w:pStyle w:val="Heading3"/>
      </w:pPr>
      <w:r>
        <w:t>C</w:t>
      </w:r>
      <w:r w:rsidRPr="000134CF">
        <w:t xml:space="preserve">omment on weighting </w:t>
      </w:r>
      <w:proofErr w:type="gramStart"/>
      <w:r w:rsidRPr="000134CF">
        <w:t>options</w:t>
      </w:r>
      <w:proofErr w:type="gramEnd"/>
    </w:p>
    <w:p w14:paraId="776315B3" w14:textId="64D821B8" w:rsidR="00185540" w:rsidRPr="006D5016" w:rsidRDefault="00185540" w:rsidP="004825BB">
      <w:r w:rsidRPr="006D5016">
        <w:t xml:space="preserve">Tables </w:t>
      </w:r>
      <w:r>
        <w:t>6</w:t>
      </w:r>
      <w:r w:rsidR="00AA55BC">
        <w:t>-10</w:t>
      </w:r>
      <w:r>
        <w:t xml:space="preserve"> </w:t>
      </w:r>
      <w:r w:rsidRPr="006D5016">
        <w:t>show that, under each scenario:</w:t>
      </w:r>
    </w:p>
    <w:p w14:paraId="2F447D26" w14:textId="77777777" w:rsidR="00185540" w:rsidRPr="004825BB" w:rsidRDefault="00185540" w:rsidP="004825BB">
      <w:pPr>
        <w:pStyle w:val="Bullet"/>
        <w:rPr>
          <w:rFonts w:eastAsia="Segoe UI"/>
        </w:rPr>
      </w:pPr>
      <w:r w:rsidRPr="004825BB">
        <w:rPr>
          <w:rFonts w:eastAsia="Segoe UI"/>
        </w:rPr>
        <w:t>the higher the weighting on expenditure:</w:t>
      </w:r>
    </w:p>
    <w:p w14:paraId="7181DDDD" w14:textId="795C5CC1" w:rsidR="00185540" w:rsidRPr="004825BB" w:rsidRDefault="49652D04" w:rsidP="004825BB">
      <w:pPr>
        <w:pStyle w:val="Dash"/>
      </w:pPr>
      <w:r w:rsidRPr="004825BB">
        <w:t xml:space="preserve">the higher the share of the levy to be paid by Lotto NZ because that sector’s proportion of expenditure is much higher than its proportion of </w:t>
      </w:r>
      <w:proofErr w:type="gramStart"/>
      <w:r w:rsidRPr="004825BB">
        <w:t>presentations</w:t>
      </w:r>
      <w:proofErr w:type="gramEnd"/>
    </w:p>
    <w:p w14:paraId="1E2956EE" w14:textId="581F5E8A" w:rsidR="00185540" w:rsidRPr="004825BB" w:rsidRDefault="49652D04" w:rsidP="004825BB">
      <w:pPr>
        <w:pStyle w:val="Dash"/>
      </w:pPr>
      <w:r w:rsidRPr="004825BB">
        <w:t>the higher the share to be paid by the TAB NZ</w:t>
      </w:r>
      <w:r w:rsidR="34A5F09E" w:rsidRPr="004825BB">
        <w:t>.</w:t>
      </w:r>
    </w:p>
    <w:p w14:paraId="32F8B4D0" w14:textId="77777777" w:rsidR="00185540" w:rsidRPr="004825BB" w:rsidRDefault="00185540" w:rsidP="004825BB">
      <w:pPr>
        <w:pStyle w:val="Bullet"/>
        <w:rPr>
          <w:rFonts w:eastAsia="Segoe UI"/>
        </w:rPr>
      </w:pPr>
      <w:r w:rsidRPr="004825BB">
        <w:rPr>
          <w:rFonts w:eastAsia="Segoe UI"/>
        </w:rPr>
        <w:t>the higher the weighting on presentations:</w:t>
      </w:r>
    </w:p>
    <w:p w14:paraId="0A3D6CED" w14:textId="675F50AC" w:rsidR="00185540" w:rsidRPr="006D5016" w:rsidRDefault="00185540" w:rsidP="00185540">
      <w:pPr>
        <w:pStyle w:val="Dash"/>
      </w:pPr>
      <w:r>
        <w:t xml:space="preserve">the higher the share to be paid by the </w:t>
      </w:r>
      <w:r w:rsidR="00784A8B">
        <w:t>Class 4</w:t>
      </w:r>
      <w:r>
        <w:t xml:space="preserve"> sector (because 54</w:t>
      </w:r>
      <w:r w:rsidR="71241135">
        <w:t xml:space="preserve"> percent of</w:t>
      </w:r>
      <w:r>
        <w:t xml:space="preserve"> presentations are attributed to that sector, but its proportion of expenditure is much lower)</w:t>
      </w:r>
    </w:p>
    <w:p w14:paraId="71888002" w14:textId="10ADEB87" w:rsidR="00185540" w:rsidRPr="006D5016" w:rsidRDefault="49652D04" w:rsidP="00185540">
      <w:pPr>
        <w:pStyle w:val="Dash"/>
      </w:pPr>
      <w:r>
        <w:t>the lower the share to be paid by Lotto NZ and the TAB NZ</w:t>
      </w:r>
      <w:r w:rsidR="352641F1">
        <w:t>.</w:t>
      </w:r>
    </w:p>
    <w:p w14:paraId="1CA3CA9C" w14:textId="77777777" w:rsidR="00185540" w:rsidRPr="004825BB" w:rsidRDefault="00185540" w:rsidP="004825BB">
      <w:pPr>
        <w:pStyle w:val="Bullet"/>
        <w:rPr>
          <w:rFonts w:eastAsia="Segoe UI"/>
        </w:rPr>
      </w:pPr>
      <w:r w:rsidRPr="004825BB">
        <w:rPr>
          <w:rFonts w:eastAsia="Segoe UI"/>
        </w:rPr>
        <w:t>the share of the levy to be paid by casinos is not very sensitive to any weighting changes because that sector’s proportion of expenditure is relatively close to its proportion of presentations.</w:t>
      </w:r>
    </w:p>
    <w:p w14:paraId="52A07C24" w14:textId="77777777" w:rsidR="00185540" w:rsidRDefault="00185540" w:rsidP="004825BB">
      <w:pPr>
        <w:rPr>
          <w:rFonts w:eastAsia="Segoe UI"/>
        </w:rPr>
      </w:pPr>
    </w:p>
    <w:p w14:paraId="71C75721" w14:textId="77777777" w:rsidR="00185540" w:rsidRDefault="00185540" w:rsidP="004825BB">
      <w:pPr>
        <w:rPr>
          <w:rFonts w:eastAsia="Segoe UI"/>
        </w:rPr>
      </w:pPr>
      <w:r w:rsidRPr="006D5016">
        <w:rPr>
          <w:rFonts w:eastAsia="Segoe UI"/>
        </w:rPr>
        <w:t xml:space="preserve">The proposed levy rates for each gambling sector, would be higher under any weighting option for 2025/26 to 2027/28 than they are for the current levy period; based on levy payments received, forecast expenditure for the remainder of the three-year period to 30 June 2025 and the proposed budget appropriations. </w:t>
      </w:r>
    </w:p>
    <w:p w14:paraId="076675F7" w14:textId="77777777" w:rsidR="00185540" w:rsidRDefault="00185540" w:rsidP="004825BB">
      <w:pPr>
        <w:rPr>
          <w:rFonts w:eastAsia="Segoe UI"/>
        </w:rPr>
      </w:pPr>
    </w:p>
    <w:p w14:paraId="224045A1" w14:textId="22AC2840" w:rsidR="00137BA1" w:rsidRDefault="00185540" w:rsidP="004825BB">
      <w:r w:rsidRPr="006D5016">
        <w:rPr>
          <w:rFonts w:eastAsia="Segoe UI"/>
        </w:rPr>
        <w:t>Because some underpayments are predicted for the levy period to 30 June 2025, and the proposed cost of services for the 2025/26 to 2027/28 levy period is higher, the proposed levy rates and expected levy payments for each sector are also higher than for the period to 30 June 2025. The levy formula calculation adjusts for these factors in generating levy rates for the next levy perio</w:t>
      </w:r>
      <w:r w:rsidR="00D96621">
        <w:rPr>
          <w:rFonts w:eastAsia="Segoe UI"/>
        </w:rPr>
        <w:t>d.</w:t>
      </w:r>
    </w:p>
    <w:sectPr w:rsidR="00137BA1" w:rsidSect="004825BB">
      <w:headerReference w:type="even" r:id="rId31"/>
      <w:headerReference w:type="default" r:id="rId32"/>
      <w:footerReference w:type="even" r:id="rId33"/>
      <w:footerReference w:type="default" r:id="rId34"/>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99B1" w14:textId="77777777" w:rsidR="005A63AC" w:rsidRDefault="005A63AC">
      <w:r>
        <w:separator/>
      </w:r>
    </w:p>
    <w:p w14:paraId="4A24F0A5" w14:textId="77777777" w:rsidR="005A63AC" w:rsidRDefault="005A63AC"/>
  </w:endnote>
  <w:endnote w:type="continuationSeparator" w:id="0">
    <w:p w14:paraId="172FC8B4" w14:textId="77777777" w:rsidR="005A63AC" w:rsidRDefault="005A63AC">
      <w:r>
        <w:continuationSeparator/>
      </w:r>
    </w:p>
    <w:p w14:paraId="1F335924" w14:textId="77777777" w:rsidR="005A63AC" w:rsidRDefault="005A63AC"/>
  </w:endnote>
  <w:endnote w:type="continuationNotice" w:id="1">
    <w:p w14:paraId="7019A8F2" w14:textId="77777777" w:rsidR="005A63AC" w:rsidRDefault="005A6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aford">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4070408" w:rsidR="00FD7201" w:rsidRPr="00581136" w:rsidRDefault="00FD7201"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524869F6" w14:textId="77777777" w:rsidR="00FD7201" w:rsidRPr="005A79E5" w:rsidRDefault="00FD7201">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D7201" w14:paraId="2E433BE0" w14:textId="77777777" w:rsidTr="00D662F8">
      <w:trPr>
        <w:cantSplit/>
      </w:trPr>
      <w:tc>
        <w:tcPr>
          <w:tcW w:w="709" w:type="dxa"/>
          <w:vAlign w:val="center"/>
        </w:tcPr>
        <w:p w14:paraId="7097E3AF" w14:textId="77777777" w:rsidR="00FD7201" w:rsidRPr="00931466" w:rsidRDefault="00FD720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0E0699B4" w14:textId="77777777" w:rsidR="00FD7201" w:rsidRDefault="00FD7201" w:rsidP="00926083">
          <w:pPr>
            <w:pStyle w:val="RectoFooter"/>
            <w:jc w:val="left"/>
          </w:pPr>
          <w:r w:rsidRPr="00835945">
            <w:t>Strategy to Prevent and Minimise Gambling Harm 2025/26 to 2027/28</w:t>
          </w:r>
          <w:r>
            <w:t>: consultation document</w:t>
          </w:r>
        </w:p>
      </w:tc>
    </w:tr>
  </w:tbl>
  <w:p w14:paraId="645CBDAA" w14:textId="77777777" w:rsidR="00FD7201" w:rsidRPr="00571223" w:rsidRDefault="00FD7201"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D7201" w14:paraId="5DFB20FB" w14:textId="77777777" w:rsidTr="00D662F8">
      <w:trPr>
        <w:cantSplit/>
      </w:trPr>
      <w:tc>
        <w:tcPr>
          <w:tcW w:w="8080" w:type="dxa"/>
          <w:vAlign w:val="center"/>
        </w:tcPr>
        <w:p w14:paraId="3EAC6DBB" w14:textId="77777777" w:rsidR="00FD7201" w:rsidRDefault="00FD7201" w:rsidP="00926083">
          <w:pPr>
            <w:pStyle w:val="RectoFooter"/>
          </w:pPr>
          <w:r w:rsidRPr="00835945">
            <w:t>Strategy to Prevent and Minimise Gambling Harm 2025/26 to 2027/28</w:t>
          </w:r>
          <w:r>
            <w:t>: consultation document</w:t>
          </w:r>
        </w:p>
      </w:tc>
      <w:tc>
        <w:tcPr>
          <w:tcW w:w="709" w:type="dxa"/>
          <w:vAlign w:val="center"/>
        </w:tcPr>
        <w:p w14:paraId="77FA722D" w14:textId="77777777" w:rsidR="00FD7201" w:rsidRPr="00931466" w:rsidRDefault="00FD720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062D281C" w14:textId="77777777" w:rsidR="00FD7201" w:rsidRPr="00581EB8" w:rsidRDefault="00FD7201"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FD7201" w:rsidRDefault="00FD7201"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FD7201" w:rsidRDefault="00FD72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D7201" w14:paraId="4C3A3BF7" w14:textId="77777777" w:rsidTr="00D662F8">
      <w:trPr>
        <w:cantSplit/>
      </w:trPr>
      <w:tc>
        <w:tcPr>
          <w:tcW w:w="709" w:type="dxa"/>
          <w:vAlign w:val="center"/>
        </w:tcPr>
        <w:p w14:paraId="28F87ED7" w14:textId="77777777" w:rsidR="00FD7201" w:rsidRPr="00931466" w:rsidRDefault="00FD720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47520544" w:rsidR="00FD7201" w:rsidRDefault="00FD7201" w:rsidP="00926083">
          <w:pPr>
            <w:pStyle w:val="RectoFooter"/>
            <w:jc w:val="left"/>
          </w:pPr>
          <w:r w:rsidRPr="00835945">
            <w:t>Strategy to Prevent and Minimise Gambling Harm 2025/26 to 2027/28</w:t>
          </w:r>
          <w:r>
            <w:t>: proposals document</w:t>
          </w:r>
        </w:p>
      </w:tc>
    </w:tr>
  </w:tbl>
  <w:p w14:paraId="711B5D80" w14:textId="77777777" w:rsidR="00FD7201" w:rsidRPr="00571223" w:rsidRDefault="00FD7201"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D7201" w14:paraId="58AAB149" w14:textId="77777777" w:rsidTr="00D662F8">
      <w:trPr>
        <w:cantSplit/>
      </w:trPr>
      <w:tc>
        <w:tcPr>
          <w:tcW w:w="8080" w:type="dxa"/>
          <w:vAlign w:val="center"/>
        </w:tcPr>
        <w:p w14:paraId="20E2F0CC" w14:textId="05850FAE" w:rsidR="00FD7201" w:rsidRDefault="00FD7201" w:rsidP="00926083">
          <w:pPr>
            <w:pStyle w:val="RectoFooter"/>
          </w:pPr>
          <w:r w:rsidRPr="00835945">
            <w:t>Strategy to Prevent and Minimise Gambling Harm 2025/26 to 2027/28</w:t>
          </w:r>
          <w:r>
            <w:t>: proposals document</w:t>
          </w:r>
        </w:p>
      </w:tc>
      <w:tc>
        <w:tcPr>
          <w:tcW w:w="709" w:type="dxa"/>
          <w:vAlign w:val="center"/>
        </w:tcPr>
        <w:p w14:paraId="3D3C9847" w14:textId="77777777" w:rsidR="00FD7201" w:rsidRPr="00931466" w:rsidRDefault="00FD720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FD7201" w:rsidRPr="00581EB8" w:rsidRDefault="00FD7201"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50"/>
      <w:gridCol w:w="709"/>
    </w:tblGrid>
    <w:tr w:rsidR="00FD7201" w14:paraId="5E9F0387" w14:textId="77777777" w:rsidTr="00FD7201">
      <w:trPr>
        <w:cantSplit/>
      </w:trPr>
      <w:tc>
        <w:tcPr>
          <w:tcW w:w="13750" w:type="dxa"/>
          <w:vAlign w:val="center"/>
        </w:tcPr>
        <w:p w14:paraId="00512AB4" w14:textId="77777777" w:rsidR="00FD7201" w:rsidRDefault="00FD7201" w:rsidP="00926083">
          <w:pPr>
            <w:pStyle w:val="RectoFooter"/>
          </w:pPr>
          <w:r w:rsidRPr="00835945">
            <w:t>Strategy to Prevent and Minimise Gambling Harm 2025/26 to 2027/28</w:t>
          </w:r>
          <w:r>
            <w:t>: proposals document</w:t>
          </w:r>
        </w:p>
      </w:tc>
      <w:tc>
        <w:tcPr>
          <w:tcW w:w="709" w:type="dxa"/>
          <w:vAlign w:val="center"/>
        </w:tcPr>
        <w:p w14:paraId="44DFF3F6" w14:textId="77777777" w:rsidR="00FD7201" w:rsidRPr="00931466" w:rsidRDefault="00FD720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15572E22" w14:textId="77777777" w:rsidR="00FD7201" w:rsidRPr="00581EB8" w:rsidRDefault="00FD7201" w:rsidP="00581EB8">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D7201" w14:paraId="49184423" w14:textId="77777777" w:rsidTr="00860EAD">
      <w:trPr>
        <w:cantSplit/>
      </w:trPr>
      <w:tc>
        <w:tcPr>
          <w:tcW w:w="8080" w:type="dxa"/>
          <w:vAlign w:val="center"/>
        </w:tcPr>
        <w:p w14:paraId="14DD60DF" w14:textId="77777777" w:rsidR="00FD7201" w:rsidRDefault="00FD7201" w:rsidP="00860EAD">
          <w:pPr>
            <w:pStyle w:val="RectoFooter"/>
          </w:pPr>
          <w:r w:rsidRPr="00835945">
            <w:t>Strategy to Prevent and Minimise Gambling Harm 2025/26 to 2027/28</w:t>
          </w:r>
          <w:r>
            <w:t>: PROPOSALS document</w:t>
          </w:r>
        </w:p>
      </w:tc>
      <w:tc>
        <w:tcPr>
          <w:tcW w:w="709" w:type="dxa"/>
          <w:vAlign w:val="center"/>
        </w:tcPr>
        <w:p w14:paraId="0BDA19B1" w14:textId="77777777" w:rsidR="00FD7201" w:rsidRPr="00931466" w:rsidRDefault="00FD7201" w:rsidP="00860EAD">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42FACC54" w14:textId="77777777" w:rsidR="00FD7201" w:rsidRPr="00581EB8" w:rsidRDefault="00FD7201" w:rsidP="00860EAD">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D7201" w14:paraId="30A48869" w14:textId="77777777" w:rsidTr="00860EAD">
      <w:trPr>
        <w:cantSplit/>
      </w:trPr>
      <w:tc>
        <w:tcPr>
          <w:tcW w:w="709" w:type="dxa"/>
          <w:vAlign w:val="center"/>
        </w:tcPr>
        <w:p w14:paraId="790C21A5" w14:textId="77777777" w:rsidR="00FD7201" w:rsidRPr="00931466" w:rsidRDefault="00FD7201" w:rsidP="00860EAD">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6173C049" w14:textId="24E10317" w:rsidR="00FD7201" w:rsidRDefault="00FD7201" w:rsidP="00860EAD">
          <w:pPr>
            <w:pStyle w:val="RectoFooter"/>
            <w:jc w:val="left"/>
          </w:pPr>
          <w:r w:rsidRPr="00835945">
            <w:t>Strategy to Prevent and Minimise Gambling Harm 2025/26 to 2027/28</w:t>
          </w:r>
          <w:r>
            <w:t>: proposals document</w:t>
          </w:r>
        </w:p>
      </w:tc>
    </w:tr>
  </w:tbl>
  <w:p w14:paraId="33120075" w14:textId="77777777" w:rsidR="00FD7201" w:rsidRPr="00571223" w:rsidRDefault="00FD7201" w:rsidP="00860EAD">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325"/>
      <w:gridCol w:w="709"/>
    </w:tblGrid>
    <w:tr w:rsidR="00FD7201" w14:paraId="4770D09C" w14:textId="77777777" w:rsidTr="00860EAD">
      <w:trPr>
        <w:cantSplit/>
      </w:trPr>
      <w:tc>
        <w:tcPr>
          <w:tcW w:w="13325" w:type="dxa"/>
          <w:vAlign w:val="center"/>
        </w:tcPr>
        <w:p w14:paraId="598FAA20" w14:textId="337E0012" w:rsidR="00FD7201" w:rsidRDefault="00FD7201" w:rsidP="00860EAD">
          <w:pPr>
            <w:pStyle w:val="RectoFooter"/>
          </w:pPr>
          <w:r w:rsidRPr="00835945">
            <w:t>Strategy to Prevent and Minimise Gambling Harm 2025/26 to 2027/28</w:t>
          </w:r>
          <w:r>
            <w:t xml:space="preserve">: </w:t>
          </w:r>
          <w:r w:rsidR="00A63074">
            <w:t>P</w:t>
          </w:r>
          <w:r w:rsidR="00C563D2">
            <w:t>ROPOSALS</w:t>
          </w:r>
          <w:r w:rsidR="00A63074">
            <w:t xml:space="preserve"> </w:t>
          </w:r>
          <w:r>
            <w:t>document</w:t>
          </w:r>
        </w:p>
      </w:tc>
      <w:tc>
        <w:tcPr>
          <w:tcW w:w="709" w:type="dxa"/>
          <w:vAlign w:val="center"/>
        </w:tcPr>
        <w:p w14:paraId="777E6836" w14:textId="77777777" w:rsidR="00FD7201" w:rsidRPr="00931466" w:rsidRDefault="00FD7201" w:rsidP="00860EAD">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4DFFC737" w14:textId="77777777" w:rsidR="00FD7201" w:rsidRPr="00581EB8" w:rsidRDefault="00FD7201" w:rsidP="00860EAD">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CE90" w14:textId="77777777" w:rsidR="005A63AC" w:rsidRPr="00A26E6B" w:rsidRDefault="005A63AC" w:rsidP="00A26E6B"/>
  </w:footnote>
  <w:footnote w:type="continuationSeparator" w:id="0">
    <w:p w14:paraId="7CD5DE4C" w14:textId="77777777" w:rsidR="005A63AC" w:rsidRDefault="005A63AC">
      <w:r>
        <w:continuationSeparator/>
      </w:r>
    </w:p>
    <w:p w14:paraId="33BE07F1" w14:textId="77777777" w:rsidR="005A63AC" w:rsidRDefault="005A63AC"/>
  </w:footnote>
  <w:footnote w:type="continuationNotice" w:id="1">
    <w:p w14:paraId="609E39A9" w14:textId="77777777" w:rsidR="005A63AC" w:rsidRDefault="005A63AC"/>
  </w:footnote>
  <w:footnote w:id="2">
    <w:p w14:paraId="08C40293" w14:textId="7BDFBC39" w:rsidR="00FD7201" w:rsidRDefault="00FD7201" w:rsidP="00517395">
      <w:pPr>
        <w:pStyle w:val="FootnoteText"/>
      </w:pPr>
      <w:r w:rsidRPr="005B24AB">
        <w:rPr>
          <w:rStyle w:val="FootnoteReference"/>
        </w:rPr>
        <w:footnoteRef/>
      </w:r>
      <w:r>
        <w:t xml:space="preserve"> </w:t>
      </w:r>
      <w:r w:rsidRPr="00860240">
        <w:t>Allen</w:t>
      </w:r>
      <w:r>
        <w:t xml:space="preserve"> </w:t>
      </w:r>
      <w:r w:rsidRPr="00860240">
        <w:t>+</w:t>
      </w:r>
      <w:r>
        <w:t xml:space="preserve"> </w:t>
      </w:r>
      <w:r w:rsidRPr="00860240">
        <w:t>Clark</w:t>
      </w:r>
      <w:r>
        <w:t>e. 2024.</w:t>
      </w:r>
      <w:r w:rsidRPr="00860240">
        <w:t xml:space="preserve"> </w:t>
      </w:r>
      <w:r w:rsidRPr="005B24AB">
        <w:rPr>
          <w:i/>
        </w:rPr>
        <w:t xml:space="preserve">Draft Strategy to </w:t>
      </w:r>
      <w:r w:rsidR="00A62456">
        <w:rPr>
          <w:i/>
        </w:rPr>
        <w:t>P</w:t>
      </w:r>
      <w:r w:rsidRPr="005B24AB">
        <w:rPr>
          <w:i/>
        </w:rPr>
        <w:t xml:space="preserve">revent and </w:t>
      </w:r>
      <w:r w:rsidR="00A62456">
        <w:rPr>
          <w:i/>
        </w:rPr>
        <w:t>M</w:t>
      </w:r>
      <w:r w:rsidRPr="005B24AB">
        <w:rPr>
          <w:i/>
        </w:rPr>
        <w:t xml:space="preserve">inimise Gambling Harm </w:t>
      </w:r>
      <w:r w:rsidRPr="00977918">
        <w:rPr>
          <w:rFonts w:eastAsiaTheme="minorHAnsi"/>
          <w:i/>
          <w:lang w:eastAsia="en-US"/>
        </w:rPr>
        <w:t>20</w:t>
      </w:r>
      <w:r>
        <w:rPr>
          <w:rFonts w:eastAsiaTheme="minorHAnsi"/>
          <w:i/>
          <w:lang w:eastAsia="en-US"/>
        </w:rPr>
        <w:t>25/26</w:t>
      </w:r>
      <w:r w:rsidRPr="00977918">
        <w:rPr>
          <w:rFonts w:eastAsiaTheme="minorHAnsi"/>
          <w:i/>
          <w:lang w:eastAsia="en-US"/>
        </w:rPr>
        <w:t xml:space="preserve"> to 202</w:t>
      </w:r>
      <w:r>
        <w:rPr>
          <w:rFonts w:eastAsiaTheme="minorHAnsi"/>
          <w:i/>
          <w:lang w:eastAsia="en-US"/>
        </w:rPr>
        <w:t>7/28</w:t>
      </w:r>
      <w:r w:rsidR="00AC779D">
        <w:t xml:space="preserve">: </w:t>
      </w:r>
      <w:r w:rsidR="00AC779D">
        <w:rPr>
          <w:i/>
          <w:iCs/>
        </w:rPr>
        <w:t>Summary of</w:t>
      </w:r>
      <w:r w:rsidRPr="00712CEF">
        <w:t xml:space="preserve"> </w:t>
      </w:r>
      <w:r w:rsidR="0018333F">
        <w:rPr>
          <w:i/>
        </w:rPr>
        <w:t>s</w:t>
      </w:r>
      <w:r w:rsidRPr="005B24AB">
        <w:rPr>
          <w:i/>
        </w:rPr>
        <w:t>ubmissions</w:t>
      </w:r>
      <w:r>
        <w:t xml:space="preserve">. Wellington: </w:t>
      </w:r>
      <w:r w:rsidR="00A71A4B">
        <w:t>Ministry of Health</w:t>
      </w:r>
      <w:r>
        <w:t>.</w:t>
      </w:r>
    </w:p>
  </w:footnote>
  <w:footnote w:id="3">
    <w:p w14:paraId="62A37480" w14:textId="37510733" w:rsidR="00FD7201" w:rsidRDefault="00FD7201" w:rsidP="004A337E">
      <w:pPr>
        <w:pStyle w:val="FootnoteText"/>
      </w:pPr>
      <w:r w:rsidRPr="005B24AB">
        <w:rPr>
          <w:rStyle w:val="FootnoteReference"/>
        </w:rPr>
        <w:footnoteRef/>
      </w:r>
      <w:r>
        <w:t xml:space="preserve"> </w:t>
      </w:r>
      <w:proofErr w:type="spellStart"/>
      <w:r w:rsidRPr="00B729F8">
        <w:t>Malatest</w:t>
      </w:r>
      <w:proofErr w:type="spellEnd"/>
      <w:r w:rsidRPr="00B729F8">
        <w:t xml:space="preserve"> International</w:t>
      </w:r>
      <w:r w:rsidR="00C43ECB">
        <w:t>, Sapere</w:t>
      </w:r>
      <w:r>
        <w:t>. 2024.</w:t>
      </w:r>
      <w:r w:rsidRPr="00B729F8">
        <w:t xml:space="preserve"> </w:t>
      </w:r>
      <w:r w:rsidRPr="00712CEF">
        <w:rPr>
          <w:i/>
          <w:iCs/>
        </w:rPr>
        <w:t>Gambling Harm Needs Assessment 202</w:t>
      </w:r>
      <w:r>
        <w:rPr>
          <w:i/>
          <w:iCs/>
        </w:rPr>
        <w:t>4</w:t>
      </w:r>
      <w:r>
        <w:t xml:space="preserve">. Wellington: </w:t>
      </w:r>
      <w:r w:rsidR="00EB5459">
        <w:t xml:space="preserve">Ministry of Health: URL: </w:t>
      </w:r>
      <w:hyperlink r:id="rId1" w:history="1">
        <w:r w:rsidR="00E22120" w:rsidRPr="00875766">
          <w:rPr>
            <w:rStyle w:val="Hyperlink"/>
          </w:rPr>
          <w:t>health.govt.nz/publications/draft-strategy-to-prevent-and-minimise-gambling-harm-202526-to-202728</w:t>
        </w:r>
      </w:hyperlink>
      <w:r w:rsidR="00E22120">
        <w:t xml:space="preserve"> (accessed 11 December 2024).</w:t>
      </w:r>
      <w:r>
        <w:t xml:space="preserve"> The Gambling Act requires the Ministry to obtain a needs assessment as part of the strategy development.</w:t>
      </w:r>
    </w:p>
  </w:footnote>
  <w:footnote w:id="4">
    <w:p w14:paraId="78190F69" w14:textId="5913DAFC" w:rsidR="00FD7201" w:rsidRDefault="00FD7201">
      <w:pPr>
        <w:pStyle w:val="FootnoteText"/>
      </w:pPr>
      <w:r>
        <w:rPr>
          <w:rStyle w:val="FootnoteReference"/>
        </w:rPr>
        <w:footnoteRef/>
      </w:r>
      <w:r>
        <w:t xml:space="preserve"> </w:t>
      </w:r>
      <w:proofErr w:type="spellStart"/>
      <w:r w:rsidRPr="00B729F8">
        <w:t>Malatest</w:t>
      </w:r>
      <w:proofErr w:type="spellEnd"/>
      <w:r w:rsidRPr="00B729F8">
        <w:t xml:space="preserve"> International</w:t>
      </w:r>
      <w:r>
        <w:t>. 2024.</w:t>
      </w:r>
      <w:r w:rsidRPr="00B729F8">
        <w:t xml:space="preserve"> </w:t>
      </w:r>
      <w:r w:rsidRPr="00712CEF">
        <w:rPr>
          <w:i/>
          <w:iCs/>
        </w:rPr>
        <w:t>Gambling Harm Needs Assessment 202</w:t>
      </w:r>
      <w:r>
        <w:rPr>
          <w:i/>
          <w:iCs/>
        </w:rPr>
        <w:t>4</w:t>
      </w:r>
      <w:r>
        <w:t>. Wellington</w:t>
      </w:r>
      <w:r>
        <w:t>:</w:t>
      </w:r>
      <w:r w:rsidR="0018333F">
        <w:t xml:space="preserve"> </w:t>
      </w:r>
      <w:r w:rsidR="001A4E82">
        <w:t>Ministry of Health</w:t>
      </w:r>
      <w:r>
        <w:t xml:space="preserve">. </w:t>
      </w:r>
      <w:r>
        <w:t xml:space="preserve">The Gambling Act requires the Ministry to obtain a needs assessment as part of the strategy </w:t>
      </w:r>
      <w:r w:rsidR="00617E3C">
        <w:t>development.</w:t>
      </w:r>
    </w:p>
  </w:footnote>
  <w:footnote w:id="5">
    <w:p w14:paraId="2F8BBE07" w14:textId="77777777" w:rsidR="00FD7201" w:rsidRPr="00C61A96" w:rsidRDefault="00FD7201" w:rsidP="00F522B9">
      <w:pPr>
        <w:pStyle w:val="FootnoteText"/>
        <w:rPr>
          <w:rFonts w:cstheme="minorHAnsi"/>
          <w:lang w:val="en-US"/>
        </w:rPr>
      </w:pPr>
      <w:r w:rsidRPr="00C61A96">
        <w:rPr>
          <w:rStyle w:val="FootnoteReference"/>
          <w:rFonts w:cstheme="minorHAnsi"/>
        </w:rPr>
        <w:footnoteRef/>
      </w:r>
      <w:r w:rsidRPr="00C61A96">
        <w:rPr>
          <w:rFonts w:cstheme="minorHAnsi"/>
        </w:rPr>
        <w:t xml:space="preserve"> </w:t>
      </w:r>
      <w:proofErr w:type="spellStart"/>
      <w:r>
        <w:rPr>
          <w:rFonts w:cstheme="minorHAnsi"/>
        </w:rPr>
        <w:t>NielsenI</w:t>
      </w:r>
      <w:proofErr w:type="spellEnd"/>
      <w:r>
        <w:rPr>
          <w:rFonts w:cstheme="minorHAnsi"/>
        </w:rPr>
        <w:t xml:space="preserve"> Q</w:t>
      </w:r>
      <w:r w:rsidRPr="00C61A96">
        <w:rPr>
          <w:rFonts w:cstheme="minorHAnsi"/>
        </w:rPr>
        <w:t>. 202</w:t>
      </w:r>
      <w:r>
        <w:rPr>
          <w:rFonts w:cstheme="minorHAnsi"/>
        </w:rPr>
        <w:t>3</w:t>
      </w:r>
      <w:r w:rsidRPr="00C61A96">
        <w:rPr>
          <w:rFonts w:cstheme="minorHAnsi"/>
        </w:rPr>
        <w:t xml:space="preserve">. </w:t>
      </w:r>
      <w:r>
        <w:rPr>
          <w:rFonts w:cstheme="minorHAnsi"/>
          <w:i/>
          <w:iCs/>
        </w:rPr>
        <w:t>2020 Top-line Summary: New Zealand Health and Lifestyles Survey (HLS)</w:t>
      </w:r>
      <w:r w:rsidRPr="00C61A96">
        <w:rPr>
          <w:rFonts w:cstheme="minorHAnsi"/>
        </w:rPr>
        <w:t xml:space="preserve">. </w:t>
      </w:r>
      <w:r>
        <w:rPr>
          <w:rFonts w:cstheme="minorHAnsi"/>
        </w:rPr>
        <w:t xml:space="preserve">Wellington: Health New Zealand. </w:t>
      </w:r>
      <w:r w:rsidRPr="00C61A96">
        <w:rPr>
          <w:rFonts w:cstheme="minorHAnsi"/>
        </w:rPr>
        <w:t xml:space="preserve">URL: </w:t>
      </w:r>
      <w:hyperlink r:id="rId2" w:history="1">
        <w:r w:rsidRPr="00265C23">
          <w:rPr>
            <w:rStyle w:val="Hyperlink"/>
          </w:rPr>
          <w:t>www.hpa.org.nz/our-work/research/publications</w:t>
        </w:r>
      </w:hyperlink>
      <w:r>
        <w:t xml:space="preserve"> (accessed 31 July 2024).</w:t>
      </w:r>
      <w:r w:rsidRPr="00C61A96">
        <w:rPr>
          <w:rFonts w:cstheme="minorHAnsi"/>
        </w:rPr>
        <w:t xml:space="preserve"> </w:t>
      </w:r>
    </w:p>
  </w:footnote>
  <w:footnote w:id="6">
    <w:p w14:paraId="1F05CC51" w14:textId="77777777" w:rsidR="00FD7201" w:rsidRDefault="00FD7201" w:rsidP="00F522B9">
      <w:pPr>
        <w:pStyle w:val="FootnoteText"/>
      </w:pPr>
      <w:r>
        <w:rPr>
          <w:rStyle w:val="FootnoteReference"/>
        </w:rPr>
        <w:footnoteRef/>
      </w:r>
      <w:r>
        <w:t xml:space="preserve"> </w:t>
      </w:r>
      <w:hyperlink r:id="rId3" w:history="1">
        <w:r w:rsidRPr="00CC0B69">
          <w:rPr>
            <w:rStyle w:val="Hyperlink"/>
            <w:rFonts w:eastAsiaTheme="minorHAnsi" w:cs="Segoe UI"/>
            <w:bCs/>
            <w:szCs w:val="17"/>
            <w:lang w:eastAsia="en-US"/>
          </w:rPr>
          <w:t>https://www.hpa.org.nz/sites/default/files/2020%20Health%20and%20Lifestyles%</w:t>
        </w:r>
        <w:r w:rsidRPr="00CC0B69">
          <w:rPr>
            <w:rStyle w:val="Hyperlink"/>
            <w:rFonts w:eastAsiaTheme="minorHAnsi" w:cs="Segoe UI"/>
            <w:bCs/>
            <w:szCs w:val="17"/>
            <w:lang w:eastAsia="en-US"/>
          </w:rPr>
          <w:br/>
          <w:t>20Survey%20Top%20line%20report.pdf</w:t>
        </w:r>
      </w:hyperlink>
    </w:p>
  </w:footnote>
  <w:footnote w:id="7">
    <w:p w14:paraId="7A64769D" w14:textId="727A16B7" w:rsidR="00FD7201" w:rsidRPr="00C61A96" w:rsidRDefault="00FD7201" w:rsidP="00517395">
      <w:pPr>
        <w:pStyle w:val="FootnoteText"/>
        <w:rPr>
          <w:rFonts w:cstheme="minorHAnsi"/>
        </w:rPr>
      </w:pPr>
      <w:r w:rsidRPr="00C61A96">
        <w:rPr>
          <w:rStyle w:val="FootnoteReference"/>
          <w:rFonts w:cstheme="minorHAnsi"/>
        </w:rPr>
        <w:footnoteRef/>
      </w:r>
      <w:r w:rsidRPr="00C61A96">
        <w:rPr>
          <w:rFonts w:cstheme="minorHAnsi"/>
        </w:rPr>
        <w:t xml:space="preserve"> DIA. Gambling expenditure</w:t>
      </w:r>
      <w:r>
        <w:rPr>
          <w:rFonts w:cstheme="minorHAnsi"/>
        </w:rPr>
        <w:t xml:space="preserve"> webpage on the DIA website at URL:</w:t>
      </w:r>
      <w:r w:rsidRPr="00C61A96">
        <w:rPr>
          <w:rFonts w:cstheme="minorHAnsi"/>
        </w:rPr>
        <w:t xml:space="preserve"> </w:t>
      </w:r>
      <w:hyperlink r:id="rId4" w:history="1">
        <w:r w:rsidRPr="00675410">
          <w:rPr>
            <w:rStyle w:val="Hyperlink"/>
            <w:rFonts w:cstheme="minorHAnsi"/>
          </w:rPr>
          <w:t>www.dia.govt.nz/gambling-statistics-expenditure</w:t>
        </w:r>
      </w:hyperlink>
    </w:p>
  </w:footnote>
  <w:footnote w:id="8">
    <w:p w14:paraId="7B2752BA" w14:textId="77777777" w:rsidR="00FD7201" w:rsidRPr="0074574E" w:rsidRDefault="00FD7201" w:rsidP="00F522B9">
      <w:pPr>
        <w:pStyle w:val="FootnoteText"/>
        <w:rPr>
          <w:rFonts w:cstheme="minorHAnsi"/>
          <w:bCs/>
          <w:lang w:val="en-US"/>
        </w:rPr>
      </w:pPr>
      <w:r w:rsidRPr="00C61A96">
        <w:rPr>
          <w:rStyle w:val="FootnoteReference"/>
          <w:rFonts w:cstheme="minorHAnsi"/>
        </w:rPr>
        <w:footnoteRef/>
      </w:r>
      <w:r w:rsidRPr="00C61A96">
        <w:rPr>
          <w:rFonts w:cstheme="minorHAnsi"/>
        </w:rPr>
        <w:t xml:space="preserve"> </w:t>
      </w:r>
      <w:proofErr w:type="spellStart"/>
      <w:r w:rsidRPr="00C61A96">
        <w:rPr>
          <w:rFonts w:cstheme="minorHAnsi"/>
        </w:rPr>
        <w:t>Thimasarn</w:t>
      </w:r>
      <w:proofErr w:type="spellEnd"/>
      <w:r w:rsidRPr="00C61A96">
        <w:rPr>
          <w:rFonts w:cstheme="minorHAnsi"/>
        </w:rPr>
        <w:t xml:space="preserve">-Anwar T, Squire H, </w:t>
      </w:r>
      <w:proofErr w:type="spellStart"/>
      <w:r w:rsidRPr="00C61A96">
        <w:rPr>
          <w:rFonts w:cstheme="minorHAnsi"/>
        </w:rPr>
        <w:t>Trowland</w:t>
      </w:r>
      <w:proofErr w:type="spellEnd"/>
      <w:r w:rsidRPr="00C61A96">
        <w:rPr>
          <w:rFonts w:cstheme="minorHAnsi"/>
        </w:rPr>
        <w:t xml:space="preserve"> H, et al. 2017. </w:t>
      </w:r>
      <w:r w:rsidRPr="00C61A96">
        <w:rPr>
          <w:rFonts w:cstheme="minorHAnsi"/>
          <w:i/>
          <w:iCs/>
        </w:rPr>
        <w:t>Gambling Report: Results from the 2016 Health and Lifestyles Survey</w:t>
      </w:r>
      <w:r w:rsidRPr="00C61A96">
        <w:rPr>
          <w:rFonts w:cstheme="minorHAnsi"/>
        </w:rPr>
        <w:t xml:space="preserve">. Wellington: </w:t>
      </w:r>
      <w:proofErr w:type="spellStart"/>
      <w:r w:rsidRPr="00C61A96">
        <w:rPr>
          <w:rFonts w:cstheme="minorHAnsi"/>
        </w:rPr>
        <w:t>Te</w:t>
      </w:r>
      <w:proofErr w:type="spellEnd"/>
      <w:r w:rsidRPr="00C61A96">
        <w:rPr>
          <w:rFonts w:cstheme="minorHAnsi"/>
        </w:rPr>
        <w:t xml:space="preserve"> </w:t>
      </w:r>
      <w:proofErr w:type="spellStart"/>
      <w:r w:rsidRPr="00C61A96">
        <w:rPr>
          <w:rFonts w:cstheme="minorHAnsi"/>
        </w:rPr>
        <w:t>Hiringa</w:t>
      </w:r>
      <w:proofErr w:type="spellEnd"/>
      <w:r w:rsidRPr="00C61A96">
        <w:rPr>
          <w:rFonts w:cstheme="minorHAnsi"/>
        </w:rPr>
        <w:t xml:space="preserve"> Hauora. URL: </w:t>
      </w:r>
      <w:hyperlink r:id="rId5" w:history="1">
        <w:r w:rsidRPr="00125D58">
          <w:rPr>
            <w:rStyle w:val="Hyperlink"/>
            <w:rFonts w:cstheme="minorHAnsi"/>
          </w:rPr>
          <w:t>www.hpa.org.nz/research-library/research-publications/new-zealanders-participation-in-gambling-results-from-the-2016-health-and-lifestyles-survey</w:t>
        </w:r>
      </w:hyperlink>
      <w:r>
        <w:rPr>
          <w:rFonts w:cstheme="minorHAnsi"/>
          <w:b/>
        </w:rPr>
        <w:t xml:space="preserve"> </w:t>
      </w:r>
      <w:r w:rsidRPr="00AB7997">
        <w:rPr>
          <w:rFonts w:cstheme="minorHAnsi"/>
          <w:bCs/>
        </w:rPr>
        <w:t xml:space="preserve">(accessed </w:t>
      </w:r>
      <w:r>
        <w:rPr>
          <w:rFonts w:cstheme="minorHAnsi"/>
          <w:bCs/>
        </w:rPr>
        <w:t>31 July 2024)</w:t>
      </w:r>
      <w:r w:rsidRPr="0074574E">
        <w:rPr>
          <w:rFonts w:cstheme="minorHAnsi"/>
          <w:bCs/>
        </w:rPr>
        <w:t>.</w:t>
      </w:r>
    </w:p>
  </w:footnote>
  <w:footnote w:id="9">
    <w:p w14:paraId="2E9DA6C7" w14:textId="77777777" w:rsidR="00FD7201" w:rsidRPr="004B65B9" w:rsidRDefault="00FD7201" w:rsidP="00F522B9">
      <w:pPr>
        <w:pStyle w:val="FootnoteText"/>
      </w:pPr>
      <w:r w:rsidRPr="004B65B9">
        <w:rPr>
          <w:rStyle w:val="FootnoteReference"/>
          <w:rFonts w:asciiTheme="minorHAnsi" w:hAnsiTheme="minorHAnsi" w:cstheme="minorHAnsi"/>
          <w:sz w:val="20"/>
        </w:rPr>
        <w:footnoteRef/>
      </w:r>
      <w:r w:rsidRPr="004B65B9">
        <w:rPr>
          <w:rStyle w:val="FootnoteReference"/>
          <w:rFonts w:asciiTheme="minorHAnsi" w:hAnsiTheme="minorHAnsi" w:cstheme="minorHAnsi"/>
          <w:sz w:val="20"/>
        </w:rPr>
        <w:t xml:space="preserve"> </w:t>
      </w:r>
      <w:r w:rsidRPr="00FD7201">
        <w:rPr>
          <w:rFonts w:cs="Segoe UI"/>
          <w:szCs w:val="17"/>
        </w:rPr>
        <w:t xml:space="preserve">Central Queensland University and Auckland University of Technology. 2017. </w:t>
      </w:r>
      <w:r w:rsidRPr="00FD7201">
        <w:rPr>
          <w:rFonts w:cs="Segoe UI"/>
          <w:i/>
          <w:szCs w:val="17"/>
        </w:rPr>
        <w:t xml:space="preserve">Measuring the Burden of Gambling Harm in New Zealand. </w:t>
      </w:r>
      <w:r w:rsidRPr="00FD7201">
        <w:rPr>
          <w:rFonts w:cs="Segoe UI"/>
          <w:iCs/>
          <w:szCs w:val="17"/>
        </w:rPr>
        <w:t xml:space="preserve">Wellington: Ministry of Health. URL: </w:t>
      </w:r>
      <w:hyperlink r:id="rId6" w:history="1">
        <w:r w:rsidRPr="00FD7201">
          <w:rPr>
            <w:rStyle w:val="Hyperlink"/>
            <w:rFonts w:cs="Segoe UI"/>
            <w:iCs/>
            <w:szCs w:val="17"/>
          </w:rPr>
          <w:t>www.health.govt.nz/publication/measuring-burden-gambling-harm-new-zealand</w:t>
        </w:r>
      </w:hyperlink>
      <w:r w:rsidRPr="00FD7201">
        <w:rPr>
          <w:rFonts w:cs="Segoe UI"/>
          <w:szCs w:val="17"/>
        </w:rPr>
        <w:t xml:space="preserve"> (accessed 18 July 2021). The research found that, while some of this ‘burden of harm’ was concentrated in problem gamblers, at a population level, the majority of harm is accruing to those who are not necessarily problem gamblers.</w:t>
      </w:r>
    </w:p>
  </w:footnote>
  <w:footnote w:id="10">
    <w:p w14:paraId="7113E7D9" w14:textId="77777777" w:rsidR="00FD7201" w:rsidRPr="00C61A96" w:rsidRDefault="00FD7201" w:rsidP="00F522B9">
      <w:pPr>
        <w:pStyle w:val="FootnoteText"/>
        <w:spacing w:before="0"/>
      </w:pPr>
      <w:r w:rsidRPr="00C61A96">
        <w:rPr>
          <w:rStyle w:val="FootnoteReference"/>
          <w:rFonts w:cstheme="minorHAnsi"/>
          <w:sz w:val="20"/>
        </w:rPr>
        <w:footnoteRef/>
      </w:r>
      <w:r w:rsidRPr="00C61A96">
        <w:t xml:space="preserve"> </w:t>
      </w:r>
      <w:proofErr w:type="spellStart"/>
      <w:r w:rsidRPr="00C61A96">
        <w:t>Te</w:t>
      </w:r>
      <w:proofErr w:type="spellEnd"/>
      <w:r w:rsidRPr="00C61A96">
        <w:t xml:space="preserve"> </w:t>
      </w:r>
      <w:proofErr w:type="spellStart"/>
      <w:r w:rsidRPr="00C61A96">
        <w:t>Hiringa</w:t>
      </w:r>
      <w:proofErr w:type="spellEnd"/>
      <w:r w:rsidRPr="00C61A96">
        <w:t xml:space="preserve"> Hauora. 2021. Results from the Health and Lifestyles Survey 2020.</w:t>
      </w:r>
    </w:p>
  </w:footnote>
  <w:footnote w:id="11">
    <w:p w14:paraId="0C701E67" w14:textId="26672A0B" w:rsidR="00FD7201" w:rsidRPr="00FD7201" w:rsidRDefault="00FD7201" w:rsidP="00FD7201">
      <w:pPr>
        <w:pStyle w:val="pf0"/>
        <w:spacing w:before="0" w:beforeAutospacing="0"/>
        <w:ind w:left="284" w:hanging="284"/>
        <w:rPr>
          <w:rFonts w:ascii="Arial" w:hAnsi="Arial" w:cs="Arial"/>
          <w:sz w:val="20"/>
          <w:szCs w:val="20"/>
        </w:rPr>
      </w:pPr>
      <w:r w:rsidRPr="002B68B9">
        <w:rPr>
          <w:rStyle w:val="FootnoteReference"/>
          <w:rFonts w:ascii="Segoe UI" w:hAnsi="Segoe UI" w:cstheme="minorHAnsi"/>
          <w:sz w:val="20"/>
          <w:szCs w:val="20"/>
          <w:lang w:eastAsia="en-GB"/>
        </w:rPr>
        <w:footnoteRef/>
      </w:r>
      <w:r>
        <w:t xml:space="preserve"> </w:t>
      </w:r>
      <w:hyperlink r:id="rId7" w:history="1">
        <w:r w:rsidRPr="00FD7201">
          <w:rPr>
            <w:rStyle w:val="Hyperlink"/>
            <w:rFonts w:ascii="Segoe UI" w:hAnsi="Segoe UI" w:cs="Segoe UI"/>
            <w:sz w:val="17"/>
            <w:szCs w:val="17"/>
          </w:rPr>
          <w:t>https://kupe.healthpromotion.govt.nz/#!/gambling/gambling-harm/hls-household-level-gambling-harm</w:t>
        </w:r>
      </w:hyperlink>
    </w:p>
  </w:footnote>
  <w:footnote w:id="12">
    <w:p w14:paraId="444AFC88" w14:textId="77777777" w:rsidR="00FD7201" w:rsidRPr="004B65B9" w:rsidRDefault="00FD7201" w:rsidP="00F522B9">
      <w:pPr>
        <w:pStyle w:val="FootnoteText"/>
        <w:rPr>
          <w:rFonts w:cstheme="minorHAnsi"/>
          <w:lang w:val="en-US"/>
        </w:rPr>
      </w:pPr>
      <w:r w:rsidRPr="004B65B9">
        <w:rPr>
          <w:rStyle w:val="FootnoteReference"/>
          <w:rFonts w:cstheme="minorHAnsi"/>
        </w:rPr>
        <w:footnoteRef/>
      </w:r>
      <w:r w:rsidRPr="004B65B9">
        <w:rPr>
          <w:rFonts w:cstheme="minorHAnsi"/>
        </w:rPr>
        <w:t xml:space="preserve"> </w:t>
      </w:r>
      <w:r>
        <w:rPr>
          <w:rFonts w:cstheme="minorHAnsi"/>
        </w:rPr>
        <w:t>For more information, see the Gambling harm i</w:t>
      </w:r>
      <w:r w:rsidRPr="004B65B9">
        <w:rPr>
          <w:rFonts w:cstheme="minorHAnsi"/>
        </w:rPr>
        <w:t xml:space="preserve">ntervention </w:t>
      </w:r>
      <w:r>
        <w:rPr>
          <w:rFonts w:cstheme="minorHAnsi"/>
        </w:rPr>
        <w:t>services</w:t>
      </w:r>
      <w:r w:rsidRPr="004B65B9">
        <w:rPr>
          <w:rFonts w:cstheme="minorHAnsi"/>
        </w:rPr>
        <w:t xml:space="preserve"> data web</w:t>
      </w:r>
      <w:r>
        <w:rPr>
          <w:rFonts w:cstheme="minorHAnsi"/>
        </w:rPr>
        <w:t>page on the Ministry’s website at URL</w:t>
      </w:r>
      <w:r w:rsidRPr="004B65B9">
        <w:rPr>
          <w:rFonts w:cstheme="minorHAnsi"/>
        </w:rPr>
        <w:t xml:space="preserve">: </w:t>
      </w:r>
      <w:hyperlink r:id="rId8" w:history="1">
        <w:r w:rsidRPr="00723E5D">
          <w:rPr>
            <w:rStyle w:val="Hyperlink"/>
            <w:rFonts w:cstheme="minorHAnsi"/>
          </w:rPr>
          <w:t>www.health.govt.nz/our-work/mental-health-and-addiction/addiction/gambling/service-user-data/intervention-client-data</w:t>
        </w:r>
      </w:hyperlink>
    </w:p>
  </w:footnote>
  <w:footnote w:id="13">
    <w:p w14:paraId="3D6B6D11" w14:textId="637C87BB" w:rsidR="00FD7201" w:rsidRDefault="00FD7201">
      <w:pPr>
        <w:pStyle w:val="FootnoteText"/>
      </w:pPr>
      <w:r>
        <w:rPr>
          <w:rStyle w:val="FootnoteReference"/>
        </w:rPr>
        <w:footnoteRef/>
      </w:r>
      <w:r>
        <w:t xml:space="preserve"> </w:t>
      </w:r>
      <w:r w:rsidRPr="00FD7201">
        <w:t xml:space="preserve">An outline of public health activities is provided </w:t>
      </w:r>
      <w:r w:rsidR="000A5C93">
        <w:t>in Figure 2.</w:t>
      </w:r>
    </w:p>
  </w:footnote>
  <w:footnote w:id="14">
    <w:p w14:paraId="609D7D50" w14:textId="6666A1D0" w:rsidR="00FD7201" w:rsidRDefault="00FD7201" w:rsidP="00FD7201">
      <w:pPr>
        <w:pStyle w:val="FootnoteText"/>
      </w:pPr>
      <w:r>
        <w:rPr>
          <w:rStyle w:val="FootnoteReference"/>
        </w:rPr>
        <w:footnoteRef/>
      </w:r>
      <w:r>
        <w:t xml:space="preserve">  </w:t>
      </w:r>
      <w:hyperlink r:id="rId9" w:history="1">
        <w:r w:rsidRPr="00CD1CB3">
          <w:rPr>
            <w:rStyle w:val="Hyperlink"/>
          </w:rPr>
          <w:t>https://www.gamblingcommission.govt.nz/GCwebsite.nsf/Files/Problem-Gambling-Levy-Report-2022/$file/Problem-Gambling-Levy-Report-2022.pdf</w:t>
        </w:r>
      </w:hyperlink>
    </w:p>
  </w:footnote>
  <w:footnote w:id="15">
    <w:p w14:paraId="34BC9098" w14:textId="7C23D326" w:rsidR="00FD7201" w:rsidRDefault="00FD7201" w:rsidP="004825BB">
      <w:pPr>
        <w:pStyle w:val="FootnoteText"/>
      </w:pPr>
      <w:r w:rsidRPr="008B7780">
        <w:rPr>
          <w:rStyle w:val="FootnoteReference"/>
        </w:rPr>
        <w:footnoteRef/>
      </w:r>
      <w:r>
        <w:tab/>
        <w:t xml:space="preserve">Gambling Levy Main Report 2022 Hon Jan Tinetti and Hon Andrew Little – 10 February 2022 </w:t>
      </w:r>
      <w:hyperlink r:id="rId10" w:history="1">
        <w:r w:rsidRPr="005A29CC">
          <w:rPr>
            <w:rStyle w:val="Hyperlink"/>
          </w:rPr>
          <w:t>https://www.gamblingcommission.govt.nz/GCwebsite.nsf/Files/Problem-Gambling-Levy-Report-2022/$file/Problem-Gambling-Levy-Report-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FD7201" w14:paraId="71A6F2A5" w14:textId="77777777" w:rsidTr="00FD7201">
      <w:trPr>
        <w:cantSplit/>
      </w:trPr>
      <w:tc>
        <w:tcPr>
          <w:tcW w:w="5210" w:type="dxa"/>
          <w:vAlign w:val="center"/>
        </w:tcPr>
        <w:p w14:paraId="609A3996" w14:textId="77777777" w:rsidR="00FD7201" w:rsidRDefault="00FD7201" w:rsidP="00517395">
          <w:pPr>
            <w:pStyle w:val="Header"/>
          </w:pPr>
          <w:r>
            <w:rPr>
              <w:noProof/>
              <w:lang w:eastAsia="en-NZ"/>
            </w:rPr>
            <w:drawing>
              <wp:inline distT="0" distB="0" distL="0" distR="0" wp14:anchorId="2CB786D9" wp14:editId="4C7CC3F7">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7A009DC" w14:textId="77777777" w:rsidR="00FD7201" w:rsidRDefault="00FD7201" w:rsidP="00517395">
          <w:pPr>
            <w:pStyle w:val="Header"/>
            <w:jc w:val="right"/>
          </w:pPr>
          <w:r>
            <w:rPr>
              <w:noProof/>
            </w:rPr>
            <w:drawing>
              <wp:anchor distT="0" distB="0" distL="114300" distR="114300" simplePos="0" relativeHeight="251659264" behindDoc="0" locked="0" layoutInCell="1" allowOverlap="1" wp14:anchorId="494303AD" wp14:editId="1D49D6FB">
                <wp:simplePos x="0" y="0"/>
                <wp:positionH relativeFrom="column">
                  <wp:posOffset>1365885</wp:posOffset>
                </wp:positionH>
                <wp:positionV relativeFrom="paragraph">
                  <wp:posOffset>-2540</wp:posOffset>
                </wp:positionV>
                <wp:extent cx="1518285" cy="718185"/>
                <wp:effectExtent l="0" t="0" r="0" b="0"/>
                <wp:wrapNone/>
                <wp:docPr id="4" name="Picture 4" descr="Ministry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C8EC99" w14:textId="1B35D83E" w:rsidR="00FD7201" w:rsidRDefault="00FD7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FD7201" w:rsidRDefault="00FD7201"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FD7201" w:rsidRDefault="00FD7201"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C0B2" w14:textId="77777777" w:rsidR="00FD7201" w:rsidRDefault="00FD7201" w:rsidP="00860E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EA85" w14:textId="77777777" w:rsidR="00FD7201" w:rsidRDefault="00FD720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E2E9" w14:textId="77777777" w:rsidR="00FD7201" w:rsidRDefault="00FD7201" w:rsidP="00533B9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DDE5" w14:textId="77777777" w:rsidR="00FD7201" w:rsidRDefault="00FD72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6B75D6C"/>
    <w:multiLevelType w:val="hybridMultilevel"/>
    <w:tmpl w:val="7E9221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6"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8"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EB2C86"/>
    <w:multiLevelType w:val="hybridMultilevel"/>
    <w:tmpl w:val="8370C3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2"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4"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5"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6"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7" w15:restartNumberingAfterBreak="0">
    <w:nsid w:val="31AC5BCC"/>
    <w:multiLevelType w:val="multilevel"/>
    <w:tmpl w:val="E2B82BAE"/>
    <w:name w:val="CabNumeric2"/>
    <w:lvl w:ilvl="0">
      <w:start w:val="1"/>
      <w:numFmt w:val="decimal"/>
      <w:pStyle w:val="CabStandard"/>
      <w:lvlText w:val="%1"/>
      <w:lvlJc w:val="left"/>
      <w:pPr>
        <w:tabs>
          <w:tab w:val="num" w:pos="720"/>
        </w:tabs>
        <w:ind w:left="720" w:hanging="720"/>
      </w:pPr>
      <w:rPr>
        <w:rFonts w:ascii="Arial" w:hAnsi="Arial" w:cs="Arial" w:hint="default"/>
        <w:i w:val="0"/>
        <w:iCs/>
        <w:strike w:val="0"/>
        <w:color w:val="auto"/>
      </w:rPr>
    </w:lvl>
    <w:lvl w:ilvl="1">
      <w:start w:val="1"/>
      <w:numFmt w:val="decimal"/>
      <w:lvlText w:val="%1.%2"/>
      <w:lvlJc w:val="left"/>
      <w:pPr>
        <w:tabs>
          <w:tab w:val="num" w:pos="1440"/>
        </w:tabs>
        <w:ind w:left="1440" w:hanging="720"/>
      </w:pPr>
      <w:rPr>
        <w:rFonts w:hint="default"/>
        <w:i w:val="0"/>
        <w:iCs/>
        <w:strike w:val="0"/>
        <w:color w:val="auto"/>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74408"/>
    <w:multiLevelType w:val="hybridMultilevel"/>
    <w:tmpl w:val="DF5C8FFA"/>
    <w:lvl w:ilvl="0" w:tplc="88ACCDC0">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FBD1A"/>
    <w:multiLevelType w:val="hybridMultilevel"/>
    <w:tmpl w:val="45820602"/>
    <w:lvl w:ilvl="0" w:tplc="F884A244">
      <w:start w:val="1"/>
      <w:numFmt w:val="bullet"/>
      <w:pStyle w:val="Tablebullets"/>
      <w:lvlText w:val="·"/>
      <w:lvlJc w:val="left"/>
      <w:pPr>
        <w:ind w:left="720" w:hanging="360"/>
      </w:pPr>
      <w:rPr>
        <w:rFonts w:ascii="Symbol" w:hAnsi="Symbol" w:hint="default"/>
      </w:rPr>
    </w:lvl>
    <w:lvl w:ilvl="1" w:tplc="C5D2B574">
      <w:start w:val="1"/>
      <w:numFmt w:val="bullet"/>
      <w:lvlText w:val="o"/>
      <w:lvlJc w:val="left"/>
      <w:pPr>
        <w:ind w:left="1440" w:hanging="360"/>
      </w:pPr>
      <w:rPr>
        <w:rFonts w:ascii="Courier New" w:hAnsi="Courier New" w:hint="default"/>
      </w:rPr>
    </w:lvl>
    <w:lvl w:ilvl="2" w:tplc="B794484E">
      <w:start w:val="1"/>
      <w:numFmt w:val="bullet"/>
      <w:lvlText w:val=""/>
      <w:lvlJc w:val="left"/>
      <w:pPr>
        <w:ind w:left="2160" w:hanging="360"/>
      </w:pPr>
      <w:rPr>
        <w:rFonts w:ascii="Wingdings" w:hAnsi="Wingdings" w:hint="default"/>
      </w:rPr>
    </w:lvl>
    <w:lvl w:ilvl="3" w:tplc="62A241FE">
      <w:start w:val="1"/>
      <w:numFmt w:val="bullet"/>
      <w:lvlText w:val=""/>
      <w:lvlJc w:val="left"/>
      <w:pPr>
        <w:ind w:left="2880" w:hanging="360"/>
      </w:pPr>
      <w:rPr>
        <w:rFonts w:ascii="Symbol" w:hAnsi="Symbol" w:hint="default"/>
      </w:rPr>
    </w:lvl>
    <w:lvl w:ilvl="4" w:tplc="10E0CDA4">
      <w:start w:val="1"/>
      <w:numFmt w:val="bullet"/>
      <w:lvlText w:val="o"/>
      <w:lvlJc w:val="left"/>
      <w:pPr>
        <w:ind w:left="3600" w:hanging="360"/>
      </w:pPr>
      <w:rPr>
        <w:rFonts w:ascii="Courier New" w:hAnsi="Courier New" w:hint="default"/>
      </w:rPr>
    </w:lvl>
    <w:lvl w:ilvl="5" w:tplc="8B6066C2">
      <w:start w:val="1"/>
      <w:numFmt w:val="bullet"/>
      <w:lvlText w:val=""/>
      <w:lvlJc w:val="left"/>
      <w:pPr>
        <w:ind w:left="4320" w:hanging="360"/>
      </w:pPr>
      <w:rPr>
        <w:rFonts w:ascii="Wingdings" w:hAnsi="Wingdings" w:hint="default"/>
      </w:rPr>
    </w:lvl>
    <w:lvl w:ilvl="6" w:tplc="9FC6FD98">
      <w:start w:val="1"/>
      <w:numFmt w:val="bullet"/>
      <w:lvlText w:val=""/>
      <w:lvlJc w:val="left"/>
      <w:pPr>
        <w:ind w:left="5040" w:hanging="360"/>
      </w:pPr>
      <w:rPr>
        <w:rFonts w:ascii="Symbol" w:hAnsi="Symbol" w:hint="default"/>
      </w:rPr>
    </w:lvl>
    <w:lvl w:ilvl="7" w:tplc="349A6ECA">
      <w:start w:val="1"/>
      <w:numFmt w:val="bullet"/>
      <w:lvlText w:val="o"/>
      <w:lvlJc w:val="left"/>
      <w:pPr>
        <w:ind w:left="5760" w:hanging="360"/>
      </w:pPr>
      <w:rPr>
        <w:rFonts w:ascii="Courier New" w:hAnsi="Courier New" w:hint="default"/>
      </w:rPr>
    </w:lvl>
    <w:lvl w:ilvl="8" w:tplc="A5EC005A">
      <w:start w:val="1"/>
      <w:numFmt w:val="bullet"/>
      <w:lvlText w:val=""/>
      <w:lvlJc w:val="left"/>
      <w:pPr>
        <w:ind w:left="6480" w:hanging="360"/>
      </w:pPr>
      <w:rPr>
        <w:rFonts w:ascii="Wingdings" w:hAnsi="Wingdings" w:hint="default"/>
      </w:rPr>
    </w:lvl>
  </w:abstractNum>
  <w:abstractNum w:abstractNumId="22"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3"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4" w15:restartNumberingAfterBreak="0">
    <w:nsid w:val="4D9638CA"/>
    <w:multiLevelType w:val="hybridMultilevel"/>
    <w:tmpl w:val="FFFFFFFF"/>
    <w:lvl w:ilvl="0" w:tplc="1292BBB8">
      <w:start w:val="1"/>
      <w:numFmt w:val="bullet"/>
      <w:lvlText w:val="·"/>
      <w:lvlJc w:val="left"/>
      <w:pPr>
        <w:ind w:left="720" w:hanging="360"/>
      </w:pPr>
      <w:rPr>
        <w:rFonts w:ascii="Symbol" w:hAnsi="Symbol" w:hint="default"/>
      </w:rPr>
    </w:lvl>
    <w:lvl w:ilvl="1" w:tplc="299A6024">
      <w:start w:val="1"/>
      <w:numFmt w:val="bullet"/>
      <w:lvlText w:val="o"/>
      <w:lvlJc w:val="left"/>
      <w:pPr>
        <w:ind w:left="1440" w:hanging="360"/>
      </w:pPr>
      <w:rPr>
        <w:rFonts w:ascii="Courier New" w:hAnsi="Courier New" w:hint="default"/>
      </w:rPr>
    </w:lvl>
    <w:lvl w:ilvl="2" w:tplc="A4B2CEEE">
      <w:start w:val="1"/>
      <w:numFmt w:val="bullet"/>
      <w:lvlText w:val=""/>
      <w:lvlJc w:val="left"/>
      <w:pPr>
        <w:ind w:left="2160" w:hanging="360"/>
      </w:pPr>
      <w:rPr>
        <w:rFonts w:ascii="Wingdings" w:hAnsi="Wingdings" w:hint="default"/>
      </w:rPr>
    </w:lvl>
    <w:lvl w:ilvl="3" w:tplc="25103E64">
      <w:start w:val="1"/>
      <w:numFmt w:val="bullet"/>
      <w:lvlText w:val=""/>
      <w:lvlJc w:val="left"/>
      <w:pPr>
        <w:ind w:left="2880" w:hanging="360"/>
      </w:pPr>
      <w:rPr>
        <w:rFonts w:ascii="Symbol" w:hAnsi="Symbol" w:hint="default"/>
      </w:rPr>
    </w:lvl>
    <w:lvl w:ilvl="4" w:tplc="E07A3378">
      <w:start w:val="1"/>
      <w:numFmt w:val="bullet"/>
      <w:lvlText w:val="o"/>
      <w:lvlJc w:val="left"/>
      <w:pPr>
        <w:ind w:left="3600" w:hanging="360"/>
      </w:pPr>
      <w:rPr>
        <w:rFonts w:ascii="Courier New" w:hAnsi="Courier New" w:hint="default"/>
      </w:rPr>
    </w:lvl>
    <w:lvl w:ilvl="5" w:tplc="DEDE8F88">
      <w:start w:val="1"/>
      <w:numFmt w:val="bullet"/>
      <w:lvlText w:val=""/>
      <w:lvlJc w:val="left"/>
      <w:pPr>
        <w:ind w:left="4320" w:hanging="360"/>
      </w:pPr>
      <w:rPr>
        <w:rFonts w:ascii="Wingdings" w:hAnsi="Wingdings" w:hint="default"/>
      </w:rPr>
    </w:lvl>
    <w:lvl w:ilvl="6" w:tplc="D0222FAA">
      <w:start w:val="1"/>
      <w:numFmt w:val="bullet"/>
      <w:lvlText w:val=""/>
      <w:lvlJc w:val="left"/>
      <w:pPr>
        <w:ind w:left="5040" w:hanging="360"/>
      </w:pPr>
      <w:rPr>
        <w:rFonts w:ascii="Symbol" w:hAnsi="Symbol" w:hint="default"/>
      </w:rPr>
    </w:lvl>
    <w:lvl w:ilvl="7" w:tplc="D366A44E">
      <w:start w:val="1"/>
      <w:numFmt w:val="bullet"/>
      <w:lvlText w:val="o"/>
      <w:lvlJc w:val="left"/>
      <w:pPr>
        <w:ind w:left="5760" w:hanging="360"/>
      </w:pPr>
      <w:rPr>
        <w:rFonts w:ascii="Courier New" w:hAnsi="Courier New" w:hint="default"/>
      </w:rPr>
    </w:lvl>
    <w:lvl w:ilvl="8" w:tplc="CE481F8C">
      <w:start w:val="1"/>
      <w:numFmt w:val="bullet"/>
      <w:lvlText w:val=""/>
      <w:lvlJc w:val="left"/>
      <w:pPr>
        <w:ind w:left="6480" w:hanging="360"/>
      </w:pPr>
      <w:rPr>
        <w:rFonts w:ascii="Wingdings" w:hAnsi="Wingdings" w:hint="default"/>
      </w:rPr>
    </w:lvl>
  </w:abstractNum>
  <w:abstractNum w:abstractNumId="25" w15:restartNumberingAfterBreak="0">
    <w:nsid w:val="5293FB99"/>
    <w:multiLevelType w:val="hybridMultilevel"/>
    <w:tmpl w:val="FFFFFFFF"/>
    <w:lvl w:ilvl="0" w:tplc="78D8952C">
      <w:start w:val="1"/>
      <w:numFmt w:val="decimal"/>
      <w:lvlText w:val="%1."/>
      <w:lvlJc w:val="left"/>
      <w:pPr>
        <w:ind w:left="720" w:hanging="360"/>
      </w:pPr>
    </w:lvl>
    <w:lvl w:ilvl="1" w:tplc="3C36554A">
      <w:start w:val="1"/>
      <w:numFmt w:val="lowerLetter"/>
      <w:lvlText w:val="%2."/>
      <w:lvlJc w:val="left"/>
      <w:pPr>
        <w:ind w:left="1440" w:hanging="360"/>
      </w:pPr>
    </w:lvl>
    <w:lvl w:ilvl="2" w:tplc="840E8D02">
      <w:start w:val="1"/>
      <w:numFmt w:val="decimal"/>
      <w:lvlText w:val="%3."/>
      <w:lvlJc w:val="left"/>
      <w:pPr>
        <w:ind w:left="2160" w:hanging="180"/>
      </w:pPr>
    </w:lvl>
    <w:lvl w:ilvl="3" w:tplc="1E8C2740">
      <w:start w:val="1"/>
      <w:numFmt w:val="decimal"/>
      <w:lvlText w:val="%4."/>
      <w:lvlJc w:val="left"/>
      <w:pPr>
        <w:ind w:left="2880" w:hanging="360"/>
      </w:pPr>
    </w:lvl>
    <w:lvl w:ilvl="4" w:tplc="40D0DDB0">
      <w:start w:val="1"/>
      <w:numFmt w:val="lowerLetter"/>
      <w:lvlText w:val="%5."/>
      <w:lvlJc w:val="left"/>
      <w:pPr>
        <w:ind w:left="3600" w:hanging="360"/>
      </w:pPr>
    </w:lvl>
    <w:lvl w:ilvl="5" w:tplc="67AA6512">
      <w:start w:val="1"/>
      <w:numFmt w:val="lowerRoman"/>
      <w:lvlText w:val="%6."/>
      <w:lvlJc w:val="right"/>
      <w:pPr>
        <w:ind w:left="4320" w:hanging="180"/>
      </w:pPr>
    </w:lvl>
    <w:lvl w:ilvl="6" w:tplc="C89CA48C">
      <w:start w:val="1"/>
      <w:numFmt w:val="decimal"/>
      <w:lvlText w:val="%7."/>
      <w:lvlJc w:val="left"/>
      <w:pPr>
        <w:ind w:left="5040" w:hanging="360"/>
      </w:pPr>
    </w:lvl>
    <w:lvl w:ilvl="7" w:tplc="25F80244">
      <w:start w:val="1"/>
      <w:numFmt w:val="lowerLetter"/>
      <w:lvlText w:val="%8."/>
      <w:lvlJc w:val="left"/>
      <w:pPr>
        <w:ind w:left="5760" w:hanging="360"/>
      </w:pPr>
    </w:lvl>
    <w:lvl w:ilvl="8" w:tplc="3028E14C">
      <w:start w:val="1"/>
      <w:numFmt w:val="lowerRoman"/>
      <w:lvlText w:val="%9."/>
      <w:lvlJc w:val="right"/>
      <w:pPr>
        <w:ind w:left="6480" w:hanging="180"/>
      </w:pPr>
    </w:lvl>
  </w:abstractNum>
  <w:abstractNum w:abstractNumId="26" w15:restartNumberingAfterBreak="0">
    <w:nsid w:val="549B04E2"/>
    <w:multiLevelType w:val="hybridMultilevel"/>
    <w:tmpl w:val="221E658C"/>
    <w:lvl w:ilvl="0" w:tplc="68B08BF2">
      <w:start w:val="1"/>
      <w:numFmt w:val="bullet"/>
      <w:lvlText w:val=""/>
      <w:lvlJc w:val="left"/>
      <w:pPr>
        <w:ind w:left="360" w:hanging="360"/>
      </w:pPr>
      <w:rPr>
        <w:rFonts w:ascii="Symbol" w:hAnsi="Symbol" w:hint="default"/>
      </w:rPr>
    </w:lvl>
    <w:lvl w:ilvl="1" w:tplc="06901BF6">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6011CFE"/>
    <w:multiLevelType w:val="hybridMultilevel"/>
    <w:tmpl w:val="FB989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30"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1" w15:restartNumberingAfterBreak="0">
    <w:nsid w:val="5E4378A3"/>
    <w:multiLevelType w:val="hybridMultilevel"/>
    <w:tmpl w:val="641CD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0AD224C"/>
    <w:multiLevelType w:val="hybridMultilevel"/>
    <w:tmpl w:val="07EE9C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7FC0ECD"/>
    <w:multiLevelType w:val="hybridMultilevel"/>
    <w:tmpl w:val="1A0CBA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5"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6"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7"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8"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40"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2"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3"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EE74A0F"/>
    <w:multiLevelType w:val="hybridMultilevel"/>
    <w:tmpl w:val="AEF0B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F117BE7"/>
    <w:multiLevelType w:val="hybridMultilevel"/>
    <w:tmpl w:val="FB989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8349248">
    <w:abstractNumId w:val="41"/>
  </w:num>
  <w:num w:numId="2" w16cid:durableId="1935283938">
    <w:abstractNumId w:val="34"/>
  </w:num>
  <w:num w:numId="3" w16cid:durableId="649478825">
    <w:abstractNumId w:val="18"/>
  </w:num>
  <w:num w:numId="4" w16cid:durableId="764112780">
    <w:abstractNumId w:val="20"/>
  </w:num>
  <w:num w:numId="5" w16cid:durableId="701588795">
    <w:abstractNumId w:val="0"/>
  </w:num>
  <w:num w:numId="6" w16cid:durableId="10841289">
    <w:abstractNumId w:val="43"/>
  </w:num>
  <w:num w:numId="7" w16cid:durableId="87043057">
    <w:abstractNumId w:val="14"/>
  </w:num>
  <w:num w:numId="8" w16cid:durableId="1231040186">
    <w:abstractNumId w:val="3"/>
  </w:num>
  <w:num w:numId="9" w16cid:durableId="1389918012">
    <w:abstractNumId w:val="40"/>
  </w:num>
  <w:num w:numId="10" w16cid:durableId="710308590">
    <w:abstractNumId w:val="1"/>
  </w:num>
  <w:num w:numId="11" w16cid:durableId="1512912889">
    <w:abstractNumId w:val="38"/>
  </w:num>
  <w:num w:numId="12" w16cid:durableId="1482382483">
    <w:abstractNumId w:val="4"/>
  </w:num>
  <w:num w:numId="13" w16cid:durableId="323552150">
    <w:abstractNumId w:val="8"/>
  </w:num>
  <w:num w:numId="14" w16cid:durableId="1004867090">
    <w:abstractNumId w:val="6"/>
  </w:num>
  <w:num w:numId="15" w16cid:durableId="802313376">
    <w:abstractNumId w:val="10"/>
  </w:num>
  <w:num w:numId="16" w16cid:durableId="1997151342">
    <w:abstractNumId w:val="28"/>
  </w:num>
  <w:num w:numId="17" w16cid:durableId="263655993">
    <w:abstractNumId w:val="12"/>
  </w:num>
  <w:num w:numId="18" w16cid:durableId="1589121578">
    <w:abstractNumId w:val="36"/>
  </w:num>
  <w:num w:numId="19" w16cid:durableId="1513835096">
    <w:abstractNumId w:val="13"/>
  </w:num>
  <w:num w:numId="20" w16cid:durableId="328338860">
    <w:abstractNumId w:val="23"/>
  </w:num>
  <w:num w:numId="21" w16cid:durableId="1445029873">
    <w:abstractNumId w:val="7"/>
  </w:num>
  <w:num w:numId="22" w16cid:durableId="1391615570">
    <w:abstractNumId w:val="5"/>
  </w:num>
  <w:num w:numId="23" w16cid:durableId="316301935">
    <w:abstractNumId w:val="30"/>
  </w:num>
  <w:num w:numId="24" w16cid:durableId="1970471184">
    <w:abstractNumId w:val="29"/>
  </w:num>
  <w:num w:numId="25" w16cid:durableId="1306550997">
    <w:abstractNumId w:val="42"/>
  </w:num>
  <w:num w:numId="26" w16cid:durableId="1055198423">
    <w:abstractNumId w:val="15"/>
  </w:num>
  <w:num w:numId="27" w16cid:durableId="1773550227">
    <w:abstractNumId w:val="37"/>
  </w:num>
  <w:num w:numId="28" w16cid:durableId="1818183570">
    <w:abstractNumId w:val="35"/>
  </w:num>
  <w:num w:numId="29" w16cid:durableId="869610152">
    <w:abstractNumId w:val="22"/>
  </w:num>
  <w:num w:numId="30" w16cid:durableId="782455170">
    <w:abstractNumId w:val="11"/>
  </w:num>
  <w:num w:numId="31" w16cid:durableId="63337800">
    <w:abstractNumId w:val="39"/>
  </w:num>
  <w:num w:numId="32" w16cid:durableId="1446802701">
    <w:abstractNumId w:val="16"/>
  </w:num>
  <w:num w:numId="33" w16cid:durableId="902255247">
    <w:abstractNumId w:val="17"/>
  </w:num>
  <w:num w:numId="34" w16cid:durableId="537427305">
    <w:abstractNumId w:val="26"/>
  </w:num>
  <w:num w:numId="35" w16cid:durableId="1882160011">
    <w:abstractNumId w:val="24"/>
  </w:num>
  <w:num w:numId="36" w16cid:durableId="1638609860">
    <w:abstractNumId w:val="21"/>
  </w:num>
  <w:num w:numId="37" w16cid:durableId="1667787319">
    <w:abstractNumId w:val="31"/>
  </w:num>
  <w:num w:numId="38" w16cid:durableId="477496053">
    <w:abstractNumId w:val="9"/>
  </w:num>
  <w:num w:numId="39" w16cid:durableId="1766151904">
    <w:abstractNumId w:val="27"/>
  </w:num>
  <w:num w:numId="40" w16cid:durableId="118232740">
    <w:abstractNumId w:val="19"/>
  </w:num>
  <w:num w:numId="41" w16cid:durableId="1587884286">
    <w:abstractNumId w:val="25"/>
  </w:num>
  <w:num w:numId="42" w16cid:durableId="386608678">
    <w:abstractNumId w:val="33"/>
  </w:num>
  <w:num w:numId="43" w16cid:durableId="1603420241">
    <w:abstractNumId w:val="32"/>
  </w:num>
  <w:num w:numId="44" w16cid:durableId="1761557874">
    <w:abstractNumId w:val="45"/>
  </w:num>
  <w:num w:numId="45" w16cid:durableId="174930576">
    <w:abstractNumId w:val="44"/>
  </w:num>
  <w:num w:numId="46" w16cid:durableId="117495609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31A"/>
    <w:rsid w:val="000025B8"/>
    <w:rsid w:val="000032AB"/>
    <w:rsid w:val="000040EC"/>
    <w:rsid w:val="00005BB5"/>
    <w:rsid w:val="00012200"/>
    <w:rsid w:val="000134CF"/>
    <w:rsid w:val="000241F3"/>
    <w:rsid w:val="00025A6F"/>
    <w:rsid w:val="0002618D"/>
    <w:rsid w:val="0002728C"/>
    <w:rsid w:val="00030B26"/>
    <w:rsid w:val="00030E84"/>
    <w:rsid w:val="00032C0A"/>
    <w:rsid w:val="00035257"/>
    <w:rsid w:val="00035D68"/>
    <w:rsid w:val="00037088"/>
    <w:rsid w:val="0003770B"/>
    <w:rsid w:val="000401BE"/>
    <w:rsid w:val="000443A3"/>
    <w:rsid w:val="0004688C"/>
    <w:rsid w:val="00053354"/>
    <w:rsid w:val="00054B44"/>
    <w:rsid w:val="00061084"/>
    <w:rsid w:val="00061936"/>
    <w:rsid w:val="0006228D"/>
    <w:rsid w:val="00062F07"/>
    <w:rsid w:val="0006535E"/>
    <w:rsid w:val="00066727"/>
    <w:rsid w:val="000705B2"/>
    <w:rsid w:val="00071EE2"/>
    <w:rsid w:val="00072BD6"/>
    <w:rsid w:val="00073338"/>
    <w:rsid w:val="00075936"/>
    <w:rsid w:val="00075B78"/>
    <w:rsid w:val="000763E9"/>
    <w:rsid w:val="00076D0D"/>
    <w:rsid w:val="0008238B"/>
    <w:rsid w:val="00082CD6"/>
    <w:rsid w:val="0008437D"/>
    <w:rsid w:val="00085271"/>
    <w:rsid w:val="000855D4"/>
    <w:rsid w:val="00085AFE"/>
    <w:rsid w:val="000866FC"/>
    <w:rsid w:val="00092FD8"/>
    <w:rsid w:val="00094800"/>
    <w:rsid w:val="0009575E"/>
    <w:rsid w:val="00095FDA"/>
    <w:rsid w:val="00097B02"/>
    <w:rsid w:val="000A247B"/>
    <w:rsid w:val="000A3622"/>
    <w:rsid w:val="000A41ED"/>
    <w:rsid w:val="000A5C2A"/>
    <w:rsid w:val="000A5C93"/>
    <w:rsid w:val="000A679A"/>
    <w:rsid w:val="000B0730"/>
    <w:rsid w:val="000C5692"/>
    <w:rsid w:val="000C64C6"/>
    <w:rsid w:val="000D19F4"/>
    <w:rsid w:val="000D58DD"/>
    <w:rsid w:val="000D58EA"/>
    <w:rsid w:val="000D6287"/>
    <w:rsid w:val="000D799A"/>
    <w:rsid w:val="000E0E1C"/>
    <w:rsid w:val="000F2AE2"/>
    <w:rsid w:val="000F2BFF"/>
    <w:rsid w:val="000F5C09"/>
    <w:rsid w:val="001010B0"/>
    <w:rsid w:val="00102063"/>
    <w:rsid w:val="00102074"/>
    <w:rsid w:val="0010541C"/>
    <w:rsid w:val="00106F93"/>
    <w:rsid w:val="001073F7"/>
    <w:rsid w:val="00111D50"/>
    <w:rsid w:val="00113329"/>
    <w:rsid w:val="00113B8E"/>
    <w:rsid w:val="0011659C"/>
    <w:rsid w:val="0012053C"/>
    <w:rsid w:val="00121F58"/>
    <w:rsid w:val="00122363"/>
    <w:rsid w:val="00122428"/>
    <w:rsid w:val="00124753"/>
    <w:rsid w:val="00125489"/>
    <w:rsid w:val="0012551A"/>
    <w:rsid w:val="001262D8"/>
    <w:rsid w:val="001342C7"/>
    <w:rsid w:val="00134630"/>
    <w:rsid w:val="0013585C"/>
    <w:rsid w:val="00137BA1"/>
    <w:rsid w:val="00142261"/>
    <w:rsid w:val="00142954"/>
    <w:rsid w:val="001460E0"/>
    <w:rsid w:val="001472F0"/>
    <w:rsid w:val="00147F71"/>
    <w:rsid w:val="00150A6E"/>
    <w:rsid w:val="00151F8B"/>
    <w:rsid w:val="001555B5"/>
    <w:rsid w:val="0016194E"/>
    <w:rsid w:val="0016304B"/>
    <w:rsid w:val="0016468A"/>
    <w:rsid w:val="00172194"/>
    <w:rsid w:val="0017416A"/>
    <w:rsid w:val="0017716F"/>
    <w:rsid w:val="0018333F"/>
    <w:rsid w:val="00184319"/>
    <w:rsid w:val="00185540"/>
    <w:rsid w:val="0018662D"/>
    <w:rsid w:val="00194B88"/>
    <w:rsid w:val="001963E6"/>
    <w:rsid w:val="00196A9E"/>
    <w:rsid w:val="00197427"/>
    <w:rsid w:val="001A21B4"/>
    <w:rsid w:val="001A4E82"/>
    <w:rsid w:val="001A5CF5"/>
    <w:rsid w:val="001B36D5"/>
    <w:rsid w:val="001B389B"/>
    <w:rsid w:val="001B39D2"/>
    <w:rsid w:val="001B4BF8"/>
    <w:rsid w:val="001B5703"/>
    <w:rsid w:val="001B7B4E"/>
    <w:rsid w:val="001C39CC"/>
    <w:rsid w:val="001C4326"/>
    <w:rsid w:val="001C665E"/>
    <w:rsid w:val="001C6ABB"/>
    <w:rsid w:val="001C6B04"/>
    <w:rsid w:val="001D3541"/>
    <w:rsid w:val="001D3BC5"/>
    <w:rsid w:val="001D3E4E"/>
    <w:rsid w:val="001E254A"/>
    <w:rsid w:val="001E2BF4"/>
    <w:rsid w:val="001E3AFC"/>
    <w:rsid w:val="001E6769"/>
    <w:rsid w:val="001E7386"/>
    <w:rsid w:val="001F098A"/>
    <w:rsid w:val="001F45A7"/>
    <w:rsid w:val="00201A01"/>
    <w:rsid w:val="00206A22"/>
    <w:rsid w:val="002070A4"/>
    <w:rsid w:val="0020754B"/>
    <w:rsid w:val="002104D3"/>
    <w:rsid w:val="00213A33"/>
    <w:rsid w:val="00213F19"/>
    <w:rsid w:val="0021763B"/>
    <w:rsid w:val="00220C1E"/>
    <w:rsid w:val="00224BEA"/>
    <w:rsid w:val="002255C1"/>
    <w:rsid w:val="00226FE2"/>
    <w:rsid w:val="00232971"/>
    <w:rsid w:val="0023407A"/>
    <w:rsid w:val="002422D8"/>
    <w:rsid w:val="00246DB1"/>
    <w:rsid w:val="002476B5"/>
    <w:rsid w:val="0025006C"/>
    <w:rsid w:val="002520CC"/>
    <w:rsid w:val="0025379F"/>
    <w:rsid w:val="00253ECF"/>
    <w:rsid w:val="002546A1"/>
    <w:rsid w:val="00260F25"/>
    <w:rsid w:val="002628F4"/>
    <w:rsid w:val="002641FD"/>
    <w:rsid w:val="00264DA8"/>
    <w:rsid w:val="00267636"/>
    <w:rsid w:val="00270DE1"/>
    <w:rsid w:val="00274925"/>
    <w:rsid w:val="00275D08"/>
    <w:rsid w:val="00275DAF"/>
    <w:rsid w:val="0028264D"/>
    <w:rsid w:val="002858E3"/>
    <w:rsid w:val="00286A2A"/>
    <w:rsid w:val="0028736E"/>
    <w:rsid w:val="00290BE0"/>
    <w:rsid w:val="002911E7"/>
    <w:rsid w:val="0029190A"/>
    <w:rsid w:val="00292C5A"/>
    <w:rsid w:val="00293299"/>
    <w:rsid w:val="00295241"/>
    <w:rsid w:val="00296D56"/>
    <w:rsid w:val="002A105D"/>
    <w:rsid w:val="002A4DFC"/>
    <w:rsid w:val="002B047D"/>
    <w:rsid w:val="002B14F0"/>
    <w:rsid w:val="002B3152"/>
    <w:rsid w:val="002B32BD"/>
    <w:rsid w:val="002B4896"/>
    <w:rsid w:val="002B68B9"/>
    <w:rsid w:val="002B732B"/>
    <w:rsid w:val="002B76A7"/>
    <w:rsid w:val="002C2219"/>
    <w:rsid w:val="002C2552"/>
    <w:rsid w:val="002C380A"/>
    <w:rsid w:val="002C4495"/>
    <w:rsid w:val="002D0DF2"/>
    <w:rsid w:val="002D178B"/>
    <w:rsid w:val="002D23BD"/>
    <w:rsid w:val="002D3E89"/>
    <w:rsid w:val="002E0B47"/>
    <w:rsid w:val="002E44B4"/>
    <w:rsid w:val="002E47E5"/>
    <w:rsid w:val="002F26C0"/>
    <w:rsid w:val="002F33CD"/>
    <w:rsid w:val="002F4685"/>
    <w:rsid w:val="002F7213"/>
    <w:rsid w:val="0030234E"/>
    <w:rsid w:val="0030382F"/>
    <w:rsid w:val="0030408D"/>
    <w:rsid w:val="003060E4"/>
    <w:rsid w:val="00306D08"/>
    <w:rsid w:val="00306E15"/>
    <w:rsid w:val="00310A75"/>
    <w:rsid w:val="00311E5E"/>
    <w:rsid w:val="00314319"/>
    <w:rsid w:val="00315F2E"/>
    <w:rsid w:val="003160E7"/>
    <w:rsid w:val="0031739E"/>
    <w:rsid w:val="003309CA"/>
    <w:rsid w:val="003325AB"/>
    <w:rsid w:val="003332D1"/>
    <w:rsid w:val="0033412B"/>
    <w:rsid w:val="00341161"/>
    <w:rsid w:val="00343365"/>
    <w:rsid w:val="003445F4"/>
    <w:rsid w:val="00347B76"/>
    <w:rsid w:val="00353501"/>
    <w:rsid w:val="00353734"/>
    <w:rsid w:val="00354E95"/>
    <w:rsid w:val="00356386"/>
    <w:rsid w:val="003606F8"/>
    <w:rsid w:val="00363FBF"/>
    <w:rsid w:val="003648EF"/>
    <w:rsid w:val="00365E0A"/>
    <w:rsid w:val="003673E6"/>
    <w:rsid w:val="00371F98"/>
    <w:rsid w:val="0037333B"/>
    <w:rsid w:val="00377264"/>
    <w:rsid w:val="003779D2"/>
    <w:rsid w:val="00384F77"/>
    <w:rsid w:val="00384FD3"/>
    <w:rsid w:val="00385E38"/>
    <w:rsid w:val="00391091"/>
    <w:rsid w:val="003A26A5"/>
    <w:rsid w:val="003A3761"/>
    <w:rsid w:val="003A512D"/>
    <w:rsid w:val="003A5FEA"/>
    <w:rsid w:val="003B0DA9"/>
    <w:rsid w:val="003B1D10"/>
    <w:rsid w:val="003C5E55"/>
    <w:rsid w:val="003C6907"/>
    <w:rsid w:val="003C76D4"/>
    <w:rsid w:val="003C79D5"/>
    <w:rsid w:val="003D137D"/>
    <w:rsid w:val="003D2CC5"/>
    <w:rsid w:val="003E04C1"/>
    <w:rsid w:val="003E0887"/>
    <w:rsid w:val="003E0F71"/>
    <w:rsid w:val="003E68F2"/>
    <w:rsid w:val="003E74C8"/>
    <w:rsid w:val="003E7C46"/>
    <w:rsid w:val="003F1F60"/>
    <w:rsid w:val="003F2106"/>
    <w:rsid w:val="003F319E"/>
    <w:rsid w:val="003F4C5A"/>
    <w:rsid w:val="003F529C"/>
    <w:rsid w:val="003F52A7"/>
    <w:rsid w:val="003F7013"/>
    <w:rsid w:val="0040240C"/>
    <w:rsid w:val="00413021"/>
    <w:rsid w:val="0041610F"/>
    <w:rsid w:val="0041711B"/>
    <w:rsid w:val="0042088D"/>
    <w:rsid w:val="0042224C"/>
    <w:rsid w:val="00424BB0"/>
    <w:rsid w:val="004270BE"/>
    <w:rsid w:val="004301C6"/>
    <w:rsid w:val="00432BBC"/>
    <w:rsid w:val="004333AE"/>
    <w:rsid w:val="0043478F"/>
    <w:rsid w:val="0043602B"/>
    <w:rsid w:val="00440270"/>
    <w:rsid w:val="00440BE0"/>
    <w:rsid w:val="00440CD9"/>
    <w:rsid w:val="00442C1C"/>
    <w:rsid w:val="00444105"/>
    <w:rsid w:val="0044584B"/>
    <w:rsid w:val="00445C19"/>
    <w:rsid w:val="00446787"/>
    <w:rsid w:val="004473A9"/>
    <w:rsid w:val="00447CB7"/>
    <w:rsid w:val="00452AA7"/>
    <w:rsid w:val="00455175"/>
    <w:rsid w:val="00455CC9"/>
    <w:rsid w:val="0045617A"/>
    <w:rsid w:val="004569F7"/>
    <w:rsid w:val="00456DFE"/>
    <w:rsid w:val="00457CAC"/>
    <w:rsid w:val="00460826"/>
    <w:rsid w:val="00460EA7"/>
    <w:rsid w:val="0046195B"/>
    <w:rsid w:val="00461970"/>
    <w:rsid w:val="004634DA"/>
    <w:rsid w:val="0046362D"/>
    <w:rsid w:val="0046596D"/>
    <w:rsid w:val="004709C2"/>
    <w:rsid w:val="00472D50"/>
    <w:rsid w:val="004825BB"/>
    <w:rsid w:val="00487C04"/>
    <w:rsid w:val="004907E1"/>
    <w:rsid w:val="004915AD"/>
    <w:rsid w:val="004A035B"/>
    <w:rsid w:val="004A2108"/>
    <w:rsid w:val="004A337E"/>
    <w:rsid w:val="004A38D7"/>
    <w:rsid w:val="004A778C"/>
    <w:rsid w:val="004B3A87"/>
    <w:rsid w:val="004B48C7"/>
    <w:rsid w:val="004B7C6B"/>
    <w:rsid w:val="004C2E6A"/>
    <w:rsid w:val="004C64B8"/>
    <w:rsid w:val="004D2A2D"/>
    <w:rsid w:val="004D479F"/>
    <w:rsid w:val="004D48EB"/>
    <w:rsid w:val="004D6689"/>
    <w:rsid w:val="004E1D1D"/>
    <w:rsid w:val="004E5E40"/>
    <w:rsid w:val="004E717B"/>
    <w:rsid w:val="004E7AC8"/>
    <w:rsid w:val="004F0C94"/>
    <w:rsid w:val="004F2C6C"/>
    <w:rsid w:val="004F4E2E"/>
    <w:rsid w:val="00501011"/>
    <w:rsid w:val="005019AE"/>
    <w:rsid w:val="00503749"/>
    <w:rsid w:val="00504CF4"/>
    <w:rsid w:val="00504E1D"/>
    <w:rsid w:val="0050635B"/>
    <w:rsid w:val="005071EC"/>
    <w:rsid w:val="00513C81"/>
    <w:rsid w:val="005151C2"/>
    <w:rsid w:val="00517395"/>
    <w:rsid w:val="00524B15"/>
    <w:rsid w:val="0053199F"/>
    <w:rsid w:val="00531E12"/>
    <w:rsid w:val="00533B90"/>
    <w:rsid w:val="005410F8"/>
    <w:rsid w:val="005448EC"/>
    <w:rsid w:val="00545963"/>
    <w:rsid w:val="00550256"/>
    <w:rsid w:val="005502B3"/>
    <w:rsid w:val="00553165"/>
    <w:rsid w:val="00553958"/>
    <w:rsid w:val="00553F80"/>
    <w:rsid w:val="005547D4"/>
    <w:rsid w:val="005565C3"/>
    <w:rsid w:val="00556BB7"/>
    <w:rsid w:val="0055763D"/>
    <w:rsid w:val="00561516"/>
    <w:rsid w:val="005621F2"/>
    <w:rsid w:val="005665FD"/>
    <w:rsid w:val="00567B58"/>
    <w:rsid w:val="00571223"/>
    <w:rsid w:val="00575370"/>
    <w:rsid w:val="005763E0"/>
    <w:rsid w:val="00581136"/>
    <w:rsid w:val="00581EB8"/>
    <w:rsid w:val="0058321D"/>
    <w:rsid w:val="005911D8"/>
    <w:rsid w:val="005A1942"/>
    <w:rsid w:val="005A27CA"/>
    <w:rsid w:val="005A43BD"/>
    <w:rsid w:val="005A63AC"/>
    <w:rsid w:val="005A7110"/>
    <w:rsid w:val="005A79E5"/>
    <w:rsid w:val="005B1B0B"/>
    <w:rsid w:val="005B3339"/>
    <w:rsid w:val="005C7B43"/>
    <w:rsid w:val="005D034C"/>
    <w:rsid w:val="005D3D86"/>
    <w:rsid w:val="005E0B1E"/>
    <w:rsid w:val="005E226E"/>
    <w:rsid w:val="005E2636"/>
    <w:rsid w:val="005E766E"/>
    <w:rsid w:val="005F2D8C"/>
    <w:rsid w:val="005F465B"/>
    <w:rsid w:val="005F77FC"/>
    <w:rsid w:val="006015D7"/>
    <w:rsid w:val="00601B21"/>
    <w:rsid w:val="006041F0"/>
    <w:rsid w:val="00605C6D"/>
    <w:rsid w:val="006120CA"/>
    <w:rsid w:val="00617E3C"/>
    <w:rsid w:val="006208F9"/>
    <w:rsid w:val="006236B9"/>
    <w:rsid w:val="00624174"/>
    <w:rsid w:val="00624A97"/>
    <w:rsid w:val="00626886"/>
    <w:rsid w:val="00626CF8"/>
    <w:rsid w:val="006303D5"/>
    <w:rsid w:val="006314AF"/>
    <w:rsid w:val="00634573"/>
    <w:rsid w:val="00634ED8"/>
    <w:rsid w:val="00636D7D"/>
    <w:rsid w:val="00637408"/>
    <w:rsid w:val="00642868"/>
    <w:rsid w:val="00644591"/>
    <w:rsid w:val="00646CEC"/>
    <w:rsid w:val="00647AFE"/>
    <w:rsid w:val="006512BC"/>
    <w:rsid w:val="00651CC6"/>
    <w:rsid w:val="00653A5A"/>
    <w:rsid w:val="006554AC"/>
    <w:rsid w:val="006555EF"/>
    <w:rsid w:val="006575A3"/>
    <w:rsid w:val="006575F4"/>
    <w:rsid w:val="006579E6"/>
    <w:rsid w:val="00660682"/>
    <w:rsid w:val="00660F74"/>
    <w:rsid w:val="00663EDC"/>
    <w:rsid w:val="00665F04"/>
    <w:rsid w:val="00667228"/>
    <w:rsid w:val="0066799A"/>
    <w:rsid w:val="00667E20"/>
    <w:rsid w:val="00667EA0"/>
    <w:rsid w:val="00671078"/>
    <w:rsid w:val="0067436C"/>
    <w:rsid w:val="00674666"/>
    <w:rsid w:val="006749EA"/>
    <w:rsid w:val="0067534C"/>
    <w:rsid w:val="00675456"/>
    <w:rsid w:val="006758CA"/>
    <w:rsid w:val="00675903"/>
    <w:rsid w:val="0067720E"/>
    <w:rsid w:val="00680A04"/>
    <w:rsid w:val="00686D80"/>
    <w:rsid w:val="00693FE2"/>
    <w:rsid w:val="00694895"/>
    <w:rsid w:val="00697E2E"/>
    <w:rsid w:val="006A0929"/>
    <w:rsid w:val="006A23B2"/>
    <w:rsid w:val="006A25A2"/>
    <w:rsid w:val="006A3733"/>
    <w:rsid w:val="006A3B87"/>
    <w:rsid w:val="006A475B"/>
    <w:rsid w:val="006A66F5"/>
    <w:rsid w:val="006A6AFA"/>
    <w:rsid w:val="006A7A1C"/>
    <w:rsid w:val="006B0E73"/>
    <w:rsid w:val="006B1E3D"/>
    <w:rsid w:val="006B4A4D"/>
    <w:rsid w:val="006B5695"/>
    <w:rsid w:val="006B5BB5"/>
    <w:rsid w:val="006B7B2E"/>
    <w:rsid w:val="006C288D"/>
    <w:rsid w:val="006C645C"/>
    <w:rsid w:val="006C78EB"/>
    <w:rsid w:val="006D1660"/>
    <w:rsid w:val="006D4825"/>
    <w:rsid w:val="006D63E5"/>
    <w:rsid w:val="006D6528"/>
    <w:rsid w:val="006E1753"/>
    <w:rsid w:val="006E3911"/>
    <w:rsid w:val="006E3BA2"/>
    <w:rsid w:val="006E468A"/>
    <w:rsid w:val="006F1B67"/>
    <w:rsid w:val="006F3AE4"/>
    <w:rsid w:val="006F3F34"/>
    <w:rsid w:val="006F4D9C"/>
    <w:rsid w:val="006F56A4"/>
    <w:rsid w:val="0070091D"/>
    <w:rsid w:val="00702854"/>
    <w:rsid w:val="007041FD"/>
    <w:rsid w:val="007046BA"/>
    <w:rsid w:val="0071293D"/>
    <w:rsid w:val="00713EF6"/>
    <w:rsid w:val="00714D47"/>
    <w:rsid w:val="00715074"/>
    <w:rsid w:val="00715EFE"/>
    <w:rsid w:val="00716ADD"/>
    <w:rsid w:val="0071741C"/>
    <w:rsid w:val="0072053D"/>
    <w:rsid w:val="007254F9"/>
    <w:rsid w:val="007261D7"/>
    <w:rsid w:val="00734354"/>
    <w:rsid w:val="00740E62"/>
    <w:rsid w:val="00742B90"/>
    <w:rsid w:val="0074434D"/>
    <w:rsid w:val="0074676B"/>
    <w:rsid w:val="00747F84"/>
    <w:rsid w:val="007533BF"/>
    <w:rsid w:val="007570C4"/>
    <w:rsid w:val="007605B8"/>
    <w:rsid w:val="0076607F"/>
    <w:rsid w:val="00766A98"/>
    <w:rsid w:val="007709A0"/>
    <w:rsid w:val="00771B1E"/>
    <w:rsid w:val="00773C95"/>
    <w:rsid w:val="00773D74"/>
    <w:rsid w:val="007774A7"/>
    <w:rsid w:val="0078171E"/>
    <w:rsid w:val="007830EA"/>
    <w:rsid w:val="00784A8B"/>
    <w:rsid w:val="0078658E"/>
    <w:rsid w:val="0079157F"/>
    <w:rsid w:val="007920E2"/>
    <w:rsid w:val="00792D7B"/>
    <w:rsid w:val="007951FF"/>
    <w:rsid w:val="0079566E"/>
    <w:rsid w:val="00795B34"/>
    <w:rsid w:val="007A067F"/>
    <w:rsid w:val="007A0977"/>
    <w:rsid w:val="007A6CED"/>
    <w:rsid w:val="007B1770"/>
    <w:rsid w:val="007B46A8"/>
    <w:rsid w:val="007B4D3E"/>
    <w:rsid w:val="007B59A4"/>
    <w:rsid w:val="007B7C70"/>
    <w:rsid w:val="007B7DEB"/>
    <w:rsid w:val="007C0449"/>
    <w:rsid w:val="007C05C6"/>
    <w:rsid w:val="007C6850"/>
    <w:rsid w:val="007C6A7D"/>
    <w:rsid w:val="007C7D46"/>
    <w:rsid w:val="007D0688"/>
    <w:rsid w:val="007D0EF6"/>
    <w:rsid w:val="007D15F5"/>
    <w:rsid w:val="007D2151"/>
    <w:rsid w:val="007D36D6"/>
    <w:rsid w:val="007D3B90"/>
    <w:rsid w:val="007D42CC"/>
    <w:rsid w:val="007D5DE4"/>
    <w:rsid w:val="007D6174"/>
    <w:rsid w:val="007D7C3A"/>
    <w:rsid w:val="007E0777"/>
    <w:rsid w:val="007E0A4B"/>
    <w:rsid w:val="007E0B08"/>
    <w:rsid w:val="007E1341"/>
    <w:rsid w:val="007E1B41"/>
    <w:rsid w:val="007E1EC4"/>
    <w:rsid w:val="007E30B9"/>
    <w:rsid w:val="007E59C1"/>
    <w:rsid w:val="007E5A0A"/>
    <w:rsid w:val="007E74F1"/>
    <w:rsid w:val="007F0F0C"/>
    <w:rsid w:val="007F1288"/>
    <w:rsid w:val="00800A8A"/>
    <w:rsid w:val="0080155C"/>
    <w:rsid w:val="00801B78"/>
    <w:rsid w:val="008052E1"/>
    <w:rsid w:val="0080753E"/>
    <w:rsid w:val="00807913"/>
    <w:rsid w:val="00810AF5"/>
    <w:rsid w:val="00814A0E"/>
    <w:rsid w:val="00816B64"/>
    <w:rsid w:val="00822F2C"/>
    <w:rsid w:val="00823DEE"/>
    <w:rsid w:val="008305E8"/>
    <w:rsid w:val="00830F66"/>
    <w:rsid w:val="0083330F"/>
    <w:rsid w:val="00835945"/>
    <w:rsid w:val="00836165"/>
    <w:rsid w:val="00844E4A"/>
    <w:rsid w:val="0084640C"/>
    <w:rsid w:val="00850DF6"/>
    <w:rsid w:val="00853D5E"/>
    <w:rsid w:val="00855E0D"/>
    <w:rsid w:val="00856088"/>
    <w:rsid w:val="00860826"/>
    <w:rsid w:val="00860E21"/>
    <w:rsid w:val="00860EAD"/>
    <w:rsid w:val="00861B80"/>
    <w:rsid w:val="00863117"/>
    <w:rsid w:val="0086388B"/>
    <w:rsid w:val="008642E5"/>
    <w:rsid w:val="00864488"/>
    <w:rsid w:val="0087024F"/>
    <w:rsid w:val="00870A36"/>
    <w:rsid w:val="00872D93"/>
    <w:rsid w:val="00873779"/>
    <w:rsid w:val="008739F7"/>
    <w:rsid w:val="00875308"/>
    <w:rsid w:val="00877863"/>
    <w:rsid w:val="00880470"/>
    <w:rsid w:val="00880D94"/>
    <w:rsid w:val="00884FA0"/>
    <w:rsid w:val="00885FCF"/>
    <w:rsid w:val="00886F64"/>
    <w:rsid w:val="008924DE"/>
    <w:rsid w:val="008A26C4"/>
    <w:rsid w:val="008A3755"/>
    <w:rsid w:val="008A568F"/>
    <w:rsid w:val="008A58A3"/>
    <w:rsid w:val="008B0767"/>
    <w:rsid w:val="008B1600"/>
    <w:rsid w:val="008B19DC"/>
    <w:rsid w:val="008B264F"/>
    <w:rsid w:val="008B4AC4"/>
    <w:rsid w:val="008B6F83"/>
    <w:rsid w:val="008B792A"/>
    <w:rsid w:val="008B7FD8"/>
    <w:rsid w:val="008C1108"/>
    <w:rsid w:val="008C1DC0"/>
    <w:rsid w:val="008C2973"/>
    <w:rsid w:val="008C3150"/>
    <w:rsid w:val="008C5A0A"/>
    <w:rsid w:val="008C6324"/>
    <w:rsid w:val="008C64C4"/>
    <w:rsid w:val="008D2CDD"/>
    <w:rsid w:val="008D5AF1"/>
    <w:rsid w:val="008D74D5"/>
    <w:rsid w:val="008E0ED1"/>
    <w:rsid w:val="008E1BEB"/>
    <w:rsid w:val="008E2288"/>
    <w:rsid w:val="008E3A07"/>
    <w:rsid w:val="008E537B"/>
    <w:rsid w:val="008E682A"/>
    <w:rsid w:val="008F026D"/>
    <w:rsid w:val="008F29BE"/>
    <w:rsid w:val="008F2B72"/>
    <w:rsid w:val="008F4AE5"/>
    <w:rsid w:val="008F51EB"/>
    <w:rsid w:val="008F539F"/>
    <w:rsid w:val="00900197"/>
    <w:rsid w:val="00901691"/>
    <w:rsid w:val="009017F8"/>
    <w:rsid w:val="00902F55"/>
    <w:rsid w:val="009048F9"/>
    <w:rsid w:val="009049B7"/>
    <w:rsid w:val="0090582B"/>
    <w:rsid w:val="009060C0"/>
    <w:rsid w:val="00906229"/>
    <w:rsid w:val="00906BF7"/>
    <w:rsid w:val="009114A2"/>
    <w:rsid w:val="009133F5"/>
    <w:rsid w:val="00913F6F"/>
    <w:rsid w:val="0091756F"/>
    <w:rsid w:val="00920A27"/>
    <w:rsid w:val="00921216"/>
    <w:rsid w:val="009216CC"/>
    <w:rsid w:val="00926083"/>
    <w:rsid w:val="009269A8"/>
    <w:rsid w:val="00930D08"/>
    <w:rsid w:val="00931466"/>
    <w:rsid w:val="00932D69"/>
    <w:rsid w:val="00933762"/>
    <w:rsid w:val="00935589"/>
    <w:rsid w:val="009367AF"/>
    <w:rsid w:val="00944647"/>
    <w:rsid w:val="00944B59"/>
    <w:rsid w:val="0094542E"/>
    <w:rsid w:val="00945CE6"/>
    <w:rsid w:val="0095327F"/>
    <w:rsid w:val="0095565C"/>
    <w:rsid w:val="00961522"/>
    <w:rsid w:val="00963C71"/>
    <w:rsid w:val="00964AB6"/>
    <w:rsid w:val="00966F9A"/>
    <w:rsid w:val="00971D29"/>
    <w:rsid w:val="00972203"/>
    <w:rsid w:val="00975B77"/>
    <w:rsid w:val="009772D3"/>
    <w:rsid w:val="00977683"/>
    <w:rsid w:val="00977B8A"/>
    <w:rsid w:val="009825DB"/>
    <w:rsid w:val="00982971"/>
    <w:rsid w:val="009845AD"/>
    <w:rsid w:val="00984835"/>
    <w:rsid w:val="0098639B"/>
    <w:rsid w:val="0098748D"/>
    <w:rsid w:val="00987893"/>
    <w:rsid w:val="009933EF"/>
    <w:rsid w:val="00995BA0"/>
    <w:rsid w:val="00997C72"/>
    <w:rsid w:val="009A08AD"/>
    <w:rsid w:val="009A3779"/>
    <w:rsid w:val="009A418B"/>
    <w:rsid w:val="009A426F"/>
    <w:rsid w:val="009A42D5"/>
    <w:rsid w:val="009A4473"/>
    <w:rsid w:val="009A4F44"/>
    <w:rsid w:val="009A6496"/>
    <w:rsid w:val="009B05C9"/>
    <w:rsid w:val="009B0C01"/>
    <w:rsid w:val="009B286C"/>
    <w:rsid w:val="009B35B2"/>
    <w:rsid w:val="009B485E"/>
    <w:rsid w:val="009B695C"/>
    <w:rsid w:val="009B71AA"/>
    <w:rsid w:val="009B7A63"/>
    <w:rsid w:val="009C151C"/>
    <w:rsid w:val="009C3573"/>
    <w:rsid w:val="009C440A"/>
    <w:rsid w:val="009C6019"/>
    <w:rsid w:val="009C6DF0"/>
    <w:rsid w:val="009D28D8"/>
    <w:rsid w:val="009D301A"/>
    <w:rsid w:val="009D5125"/>
    <w:rsid w:val="009D60B8"/>
    <w:rsid w:val="009D76BB"/>
    <w:rsid w:val="009D7D4B"/>
    <w:rsid w:val="009E1B40"/>
    <w:rsid w:val="009E1DAB"/>
    <w:rsid w:val="009E36ED"/>
    <w:rsid w:val="009E3C8C"/>
    <w:rsid w:val="009E4276"/>
    <w:rsid w:val="009E470C"/>
    <w:rsid w:val="009E56F4"/>
    <w:rsid w:val="009E6B77"/>
    <w:rsid w:val="009F460A"/>
    <w:rsid w:val="009F4810"/>
    <w:rsid w:val="00A03A1D"/>
    <w:rsid w:val="00A043FB"/>
    <w:rsid w:val="00A06BE4"/>
    <w:rsid w:val="00A0729C"/>
    <w:rsid w:val="00A07779"/>
    <w:rsid w:val="00A1166A"/>
    <w:rsid w:val="00A11F32"/>
    <w:rsid w:val="00A20B2E"/>
    <w:rsid w:val="00A24F33"/>
    <w:rsid w:val="00A25069"/>
    <w:rsid w:val="00A253D3"/>
    <w:rsid w:val="00A257DF"/>
    <w:rsid w:val="00A26065"/>
    <w:rsid w:val="00A26E6B"/>
    <w:rsid w:val="00A2704F"/>
    <w:rsid w:val="00A3068F"/>
    <w:rsid w:val="00A3145B"/>
    <w:rsid w:val="00A339D0"/>
    <w:rsid w:val="00A41002"/>
    <w:rsid w:val="00A4201A"/>
    <w:rsid w:val="00A4394F"/>
    <w:rsid w:val="00A5465D"/>
    <w:rsid w:val="00A553CE"/>
    <w:rsid w:val="00A562D0"/>
    <w:rsid w:val="00A5677A"/>
    <w:rsid w:val="00A56DCC"/>
    <w:rsid w:val="00A62456"/>
    <w:rsid w:val="00A625E8"/>
    <w:rsid w:val="00A63074"/>
    <w:rsid w:val="00A63DFF"/>
    <w:rsid w:val="00A64669"/>
    <w:rsid w:val="00A6490D"/>
    <w:rsid w:val="00A71A4B"/>
    <w:rsid w:val="00A73DD4"/>
    <w:rsid w:val="00A7415D"/>
    <w:rsid w:val="00A76050"/>
    <w:rsid w:val="00A80363"/>
    <w:rsid w:val="00A80939"/>
    <w:rsid w:val="00A83E9D"/>
    <w:rsid w:val="00A84059"/>
    <w:rsid w:val="00A84DA7"/>
    <w:rsid w:val="00A84DDC"/>
    <w:rsid w:val="00A87C05"/>
    <w:rsid w:val="00A9169D"/>
    <w:rsid w:val="00A950B3"/>
    <w:rsid w:val="00A97CC0"/>
    <w:rsid w:val="00AA12BC"/>
    <w:rsid w:val="00AA240C"/>
    <w:rsid w:val="00AA4C78"/>
    <w:rsid w:val="00AA55BC"/>
    <w:rsid w:val="00AB2BAA"/>
    <w:rsid w:val="00AB437B"/>
    <w:rsid w:val="00AB72FB"/>
    <w:rsid w:val="00AC101C"/>
    <w:rsid w:val="00AC52EC"/>
    <w:rsid w:val="00AC779D"/>
    <w:rsid w:val="00AD1537"/>
    <w:rsid w:val="00AD4CF1"/>
    <w:rsid w:val="00AD5988"/>
    <w:rsid w:val="00AD6293"/>
    <w:rsid w:val="00AF0BC0"/>
    <w:rsid w:val="00AF1B19"/>
    <w:rsid w:val="00AF1BA8"/>
    <w:rsid w:val="00AF7800"/>
    <w:rsid w:val="00AF7E6B"/>
    <w:rsid w:val="00B00CF5"/>
    <w:rsid w:val="00B02DEC"/>
    <w:rsid w:val="00B05FEB"/>
    <w:rsid w:val="00B072E0"/>
    <w:rsid w:val="00B1007E"/>
    <w:rsid w:val="00B13AB1"/>
    <w:rsid w:val="00B14425"/>
    <w:rsid w:val="00B16AB6"/>
    <w:rsid w:val="00B20765"/>
    <w:rsid w:val="00B20FA5"/>
    <w:rsid w:val="00B253F6"/>
    <w:rsid w:val="00B26675"/>
    <w:rsid w:val="00B26F0F"/>
    <w:rsid w:val="00B305DB"/>
    <w:rsid w:val="00B313B7"/>
    <w:rsid w:val="00B332F8"/>
    <w:rsid w:val="00B33B49"/>
    <w:rsid w:val="00B3492B"/>
    <w:rsid w:val="00B34E83"/>
    <w:rsid w:val="00B35732"/>
    <w:rsid w:val="00B36EF6"/>
    <w:rsid w:val="00B41BB2"/>
    <w:rsid w:val="00B4646F"/>
    <w:rsid w:val="00B50BA8"/>
    <w:rsid w:val="00B55C7D"/>
    <w:rsid w:val="00B56460"/>
    <w:rsid w:val="00B5690A"/>
    <w:rsid w:val="00B602A5"/>
    <w:rsid w:val="00B617C5"/>
    <w:rsid w:val="00B63038"/>
    <w:rsid w:val="00B64628"/>
    <w:rsid w:val="00B6495C"/>
    <w:rsid w:val="00B64BD8"/>
    <w:rsid w:val="00B657AF"/>
    <w:rsid w:val="00B701D1"/>
    <w:rsid w:val="00B73AF2"/>
    <w:rsid w:val="00B7551A"/>
    <w:rsid w:val="00B7601A"/>
    <w:rsid w:val="00B773F1"/>
    <w:rsid w:val="00B80011"/>
    <w:rsid w:val="00B8116F"/>
    <w:rsid w:val="00B82FFE"/>
    <w:rsid w:val="00B86AB1"/>
    <w:rsid w:val="00B94B8C"/>
    <w:rsid w:val="00B97A88"/>
    <w:rsid w:val="00B97F07"/>
    <w:rsid w:val="00BA24A8"/>
    <w:rsid w:val="00BA32CA"/>
    <w:rsid w:val="00BA433C"/>
    <w:rsid w:val="00BA57D9"/>
    <w:rsid w:val="00BA7E28"/>
    <w:rsid w:val="00BA7EBA"/>
    <w:rsid w:val="00BB0CEE"/>
    <w:rsid w:val="00BB1571"/>
    <w:rsid w:val="00BB241A"/>
    <w:rsid w:val="00BB2A06"/>
    <w:rsid w:val="00BB2B7B"/>
    <w:rsid w:val="00BB2CBB"/>
    <w:rsid w:val="00BB302B"/>
    <w:rsid w:val="00BB4198"/>
    <w:rsid w:val="00BB4F03"/>
    <w:rsid w:val="00BB6735"/>
    <w:rsid w:val="00BB7A78"/>
    <w:rsid w:val="00BB7A88"/>
    <w:rsid w:val="00BC03EE"/>
    <w:rsid w:val="00BC0605"/>
    <w:rsid w:val="00BC2499"/>
    <w:rsid w:val="00BC59F1"/>
    <w:rsid w:val="00BC64EA"/>
    <w:rsid w:val="00BD4B0A"/>
    <w:rsid w:val="00BE411A"/>
    <w:rsid w:val="00BE4679"/>
    <w:rsid w:val="00BE6058"/>
    <w:rsid w:val="00BF1EE7"/>
    <w:rsid w:val="00BF242C"/>
    <w:rsid w:val="00BF3DE1"/>
    <w:rsid w:val="00BF4843"/>
    <w:rsid w:val="00BF5205"/>
    <w:rsid w:val="00C0068A"/>
    <w:rsid w:val="00C044FC"/>
    <w:rsid w:val="00C047F3"/>
    <w:rsid w:val="00C05132"/>
    <w:rsid w:val="00C056AC"/>
    <w:rsid w:val="00C06EC4"/>
    <w:rsid w:val="00C07C04"/>
    <w:rsid w:val="00C12508"/>
    <w:rsid w:val="00C1435D"/>
    <w:rsid w:val="00C173A6"/>
    <w:rsid w:val="00C23728"/>
    <w:rsid w:val="00C3026C"/>
    <w:rsid w:val="00C313A9"/>
    <w:rsid w:val="00C3330D"/>
    <w:rsid w:val="00C33AA2"/>
    <w:rsid w:val="00C365CA"/>
    <w:rsid w:val="00C36F52"/>
    <w:rsid w:val="00C43ECB"/>
    <w:rsid w:val="00C441CF"/>
    <w:rsid w:val="00C45AA2"/>
    <w:rsid w:val="00C4792C"/>
    <w:rsid w:val="00C517F1"/>
    <w:rsid w:val="00C55187"/>
    <w:rsid w:val="00C55BEF"/>
    <w:rsid w:val="00C563D2"/>
    <w:rsid w:val="00C601AF"/>
    <w:rsid w:val="00C60F3D"/>
    <w:rsid w:val="00C61A63"/>
    <w:rsid w:val="00C66296"/>
    <w:rsid w:val="00C708E6"/>
    <w:rsid w:val="00C7394D"/>
    <w:rsid w:val="00C76DCA"/>
    <w:rsid w:val="00C77282"/>
    <w:rsid w:val="00C80348"/>
    <w:rsid w:val="00C828EF"/>
    <w:rsid w:val="00C84DE5"/>
    <w:rsid w:val="00C86248"/>
    <w:rsid w:val="00C90B31"/>
    <w:rsid w:val="00C96A3C"/>
    <w:rsid w:val="00CA062D"/>
    <w:rsid w:val="00CA0D6F"/>
    <w:rsid w:val="00CA349A"/>
    <w:rsid w:val="00CA4C33"/>
    <w:rsid w:val="00CA5F15"/>
    <w:rsid w:val="00CA616E"/>
    <w:rsid w:val="00CA6F4A"/>
    <w:rsid w:val="00CB1E8B"/>
    <w:rsid w:val="00CB55E3"/>
    <w:rsid w:val="00CB6427"/>
    <w:rsid w:val="00CB71AA"/>
    <w:rsid w:val="00CC0B1F"/>
    <w:rsid w:val="00CC0FBE"/>
    <w:rsid w:val="00CC3BD4"/>
    <w:rsid w:val="00CC4CC2"/>
    <w:rsid w:val="00CC5014"/>
    <w:rsid w:val="00CD2119"/>
    <w:rsid w:val="00CD237A"/>
    <w:rsid w:val="00CD36AC"/>
    <w:rsid w:val="00CE13A3"/>
    <w:rsid w:val="00CE36BC"/>
    <w:rsid w:val="00CE620A"/>
    <w:rsid w:val="00CF1747"/>
    <w:rsid w:val="00CF60ED"/>
    <w:rsid w:val="00CF7B28"/>
    <w:rsid w:val="00D0323E"/>
    <w:rsid w:val="00D05D74"/>
    <w:rsid w:val="00D100D4"/>
    <w:rsid w:val="00D10E0A"/>
    <w:rsid w:val="00D12337"/>
    <w:rsid w:val="00D14910"/>
    <w:rsid w:val="00D20C59"/>
    <w:rsid w:val="00D23323"/>
    <w:rsid w:val="00D2392A"/>
    <w:rsid w:val="00D25FFE"/>
    <w:rsid w:val="00D26CDA"/>
    <w:rsid w:val="00D30BBE"/>
    <w:rsid w:val="00D3214C"/>
    <w:rsid w:val="00D35E54"/>
    <w:rsid w:val="00D37D80"/>
    <w:rsid w:val="00D4476F"/>
    <w:rsid w:val="00D46B4B"/>
    <w:rsid w:val="00D50573"/>
    <w:rsid w:val="00D53100"/>
    <w:rsid w:val="00D54D50"/>
    <w:rsid w:val="00D560B4"/>
    <w:rsid w:val="00D60A00"/>
    <w:rsid w:val="00D662F8"/>
    <w:rsid w:val="00D66797"/>
    <w:rsid w:val="00D7030C"/>
    <w:rsid w:val="00D7074B"/>
    <w:rsid w:val="00D7087C"/>
    <w:rsid w:val="00D70C3C"/>
    <w:rsid w:val="00D71DF7"/>
    <w:rsid w:val="00D72BE5"/>
    <w:rsid w:val="00D74437"/>
    <w:rsid w:val="00D81462"/>
    <w:rsid w:val="00D82F26"/>
    <w:rsid w:val="00D83876"/>
    <w:rsid w:val="00D863D0"/>
    <w:rsid w:val="00D86B00"/>
    <w:rsid w:val="00D86FB9"/>
    <w:rsid w:val="00D875C6"/>
    <w:rsid w:val="00D87C87"/>
    <w:rsid w:val="00D90BB4"/>
    <w:rsid w:val="00D90E07"/>
    <w:rsid w:val="00D932C2"/>
    <w:rsid w:val="00D960BD"/>
    <w:rsid w:val="00D96621"/>
    <w:rsid w:val="00DA20A3"/>
    <w:rsid w:val="00DA6030"/>
    <w:rsid w:val="00DB0B98"/>
    <w:rsid w:val="00DB2DE8"/>
    <w:rsid w:val="00DB39CF"/>
    <w:rsid w:val="00DB3D6A"/>
    <w:rsid w:val="00DB7256"/>
    <w:rsid w:val="00DC0401"/>
    <w:rsid w:val="00DC20BD"/>
    <w:rsid w:val="00DD0BCD"/>
    <w:rsid w:val="00DD2567"/>
    <w:rsid w:val="00DD447A"/>
    <w:rsid w:val="00DD5718"/>
    <w:rsid w:val="00DE3B20"/>
    <w:rsid w:val="00DE4BEB"/>
    <w:rsid w:val="00DE6C94"/>
    <w:rsid w:val="00DE6FD7"/>
    <w:rsid w:val="00DF55CA"/>
    <w:rsid w:val="00E03734"/>
    <w:rsid w:val="00E069F3"/>
    <w:rsid w:val="00E07F76"/>
    <w:rsid w:val="00E13118"/>
    <w:rsid w:val="00E132E3"/>
    <w:rsid w:val="00E22120"/>
    <w:rsid w:val="00E23271"/>
    <w:rsid w:val="00E23F1F"/>
    <w:rsid w:val="00E24F80"/>
    <w:rsid w:val="00E259F3"/>
    <w:rsid w:val="00E30985"/>
    <w:rsid w:val="00E32DDB"/>
    <w:rsid w:val="00E33238"/>
    <w:rsid w:val="00E376B7"/>
    <w:rsid w:val="00E42F5D"/>
    <w:rsid w:val="00E4348A"/>
    <w:rsid w:val="00E4486C"/>
    <w:rsid w:val="00E4603C"/>
    <w:rsid w:val="00E460B6"/>
    <w:rsid w:val="00E463F2"/>
    <w:rsid w:val="00E511D5"/>
    <w:rsid w:val="00E53A9F"/>
    <w:rsid w:val="00E60249"/>
    <w:rsid w:val="00E65269"/>
    <w:rsid w:val="00E67033"/>
    <w:rsid w:val="00E7092A"/>
    <w:rsid w:val="00E76D66"/>
    <w:rsid w:val="00E84247"/>
    <w:rsid w:val="00E86E4B"/>
    <w:rsid w:val="00E90239"/>
    <w:rsid w:val="00E90CCC"/>
    <w:rsid w:val="00E935FB"/>
    <w:rsid w:val="00E943C6"/>
    <w:rsid w:val="00E959FA"/>
    <w:rsid w:val="00E95A3E"/>
    <w:rsid w:val="00EA6A83"/>
    <w:rsid w:val="00EA796A"/>
    <w:rsid w:val="00EA7AA9"/>
    <w:rsid w:val="00EB1856"/>
    <w:rsid w:val="00EB271D"/>
    <w:rsid w:val="00EB5459"/>
    <w:rsid w:val="00EB7B49"/>
    <w:rsid w:val="00EC1034"/>
    <w:rsid w:val="00EC41FD"/>
    <w:rsid w:val="00EC50CE"/>
    <w:rsid w:val="00EC5B34"/>
    <w:rsid w:val="00EC5D66"/>
    <w:rsid w:val="00ED021E"/>
    <w:rsid w:val="00ED323C"/>
    <w:rsid w:val="00ED3C90"/>
    <w:rsid w:val="00ED49AB"/>
    <w:rsid w:val="00ED4F6D"/>
    <w:rsid w:val="00ED6720"/>
    <w:rsid w:val="00EE1A9F"/>
    <w:rsid w:val="00EE2D5C"/>
    <w:rsid w:val="00EE4ADE"/>
    <w:rsid w:val="00EE4DE8"/>
    <w:rsid w:val="00EE5CB7"/>
    <w:rsid w:val="00EE7C1C"/>
    <w:rsid w:val="00EF036F"/>
    <w:rsid w:val="00EF2A0D"/>
    <w:rsid w:val="00EF4D6E"/>
    <w:rsid w:val="00F024FE"/>
    <w:rsid w:val="00F05AD4"/>
    <w:rsid w:val="00F10EB6"/>
    <w:rsid w:val="00F13F07"/>
    <w:rsid w:val="00F140B2"/>
    <w:rsid w:val="00F235A4"/>
    <w:rsid w:val="00F25970"/>
    <w:rsid w:val="00F311A9"/>
    <w:rsid w:val="00F359DB"/>
    <w:rsid w:val="00F42184"/>
    <w:rsid w:val="00F43509"/>
    <w:rsid w:val="00F5180D"/>
    <w:rsid w:val="00F5202A"/>
    <w:rsid w:val="00F522B9"/>
    <w:rsid w:val="00F543A1"/>
    <w:rsid w:val="00F63781"/>
    <w:rsid w:val="00F67496"/>
    <w:rsid w:val="00F74869"/>
    <w:rsid w:val="00F801BA"/>
    <w:rsid w:val="00F87E75"/>
    <w:rsid w:val="00F9366A"/>
    <w:rsid w:val="00F9430B"/>
    <w:rsid w:val="00F946C9"/>
    <w:rsid w:val="00F96C92"/>
    <w:rsid w:val="00FA0EA5"/>
    <w:rsid w:val="00FA74EE"/>
    <w:rsid w:val="00FB2CF1"/>
    <w:rsid w:val="00FB380E"/>
    <w:rsid w:val="00FB7585"/>
    <w:rsid w:val="00FC02E7"/>
    <w:rsid w:val="00FC3711"/>
    <w:rsid w:val="00FC3B29"/>
    <w:rsid w:val="00FC46E7"/>
    <w:rsid w:val="00FC4DFD"/>
    <w:rsid w:val="00FC5D25"/>
    <w:rsid w:val="00FD0D67"/>
    <w:rsid w:val="00FD0D7E"/>
    <w:rsid w:val="00FD3A9D"/>
    <w:rsid w:val="00FD410D"/>
    <w:rsid w:val="00FD4FFB"/>
    <w:rsid w:val="00FD574F"/>
    <w:rsid w:val="00FD6A66"/>
    <w:rsid w:val="00FD6E06"/>
    <w:rsid w:val="00FD7201"/>
    <w:rsid w:val="00FD79EF"/>
    <w:rsid w:val="00FE146D"/>
    <w:rsid w:val="00FE1CF7"/>
    <w:rsid w:val="00FE2761"/>
    <w:rsid w:val="00FE6578"/>
    <w:rsid w:val="00FE6E13"/>
    <w:rsid w:val="00FE7E0F"/>
    <w:rsid w:val="00FF0119"/>
    <w:rsid w:val="00FF15F6"/>
    <w:rsid w:val="00FF527C"/>
    <w:rsid w:val="00FF54C0"/>
    <w:rsid w:val="00FF5B58"/>
    <w:rsid w:val="00FF65CD"/>
    <w:rsid w:val="014D7B1D"/>
    <w:rsid w:val="01C3456C"/>
    <w:rsid w:val="01D5CD19"/>
    <w:rsid w:val="01D83D7C"/>
    <w:rsid w:val="0239A9FF"/>
    <w:rsid w:val="02843FEE"/>
    <w:rsid w:val="02D5DEEC"/>
    <w:rsid w:val="03393B81"/>
    <w:rsid w:val="0340DAE6"/>
    <w:rsid w:val="0358427F"/>
    <w:rsid w:val="0372CC62"/>
    <w:rsid w:val="0394C210"/>
    <w:rsid w:val="04360656"/>
    <w:rsid w:val="04C3FB3B"/>
    <w:rsid w:val="04D173D6"/>
    <w:rsid w:val="04D952C6"/>
    <w:rsid w:val="0547F4ED"/>
    <w:rsid w:val="05684A07"/>
    <w:rsid w:val="05D56E29"/>
    <w:rsid w:val="0606CD94"/>
    <w:rsid w:val="07491F38"/>
    <w:rsid w:val="079A4EBF"/>
    <w:rsid w:val="098437A4"/>
    <w:rsid w:val="098F6296"/>
    <w:rsid w:val="09F2AA07"/>
    <w:rsid w:val="0A061FFA"/>
    <w:rsid w:val="0A88C8EA"/>
    <w:rsid w:val="0ACCD662"/>
    <w:rsid w:val="0AD4CB94"/>
    <w:rsid w:val="0AF1FAE6"/>
    <w:rsid w:val="0B2F07F1"/>
    <w:rsid w:val="0B30C08A"/>
    <w:rsid w:val="0C10CDE2"/>
    <w:rsid w:val="0C539000"/>
    <w:rsid w:val="0C9D51F8"/>
    <w:rsid w:val="0CF8FB40"/>
    <w:rsid w:val="0DB4ED5D"/>
    <w:rsid w:val="0DF87C89"/>
    <w:rsid w:val="0F2BFA12"/>
    <w:rsid w:val="0F3CFE5B"/>
    <w:rsid w:val="0FAF81C6"/>
    <w:rsid w:val="0FE58A01"/>
    <w:rsid w:val="0FFCC29A"/>
    <w:rsid w:val="104C964E"/>
    <w:rsid w:val="104F01A1"/>
    <w:rsid w:val="1077B315"/>
    <w:rsid w:val="10A25175"/>
    <w:rsid w:val="10A86DB7"/>
    <w:rsid w:val="10C389A7"/>
    <w:rsid w:val="11FE687A"/>
    <w:rsid w:val="122E1705"/>
    <w:rsid w:val="1265AEE5"/>
    <w:rsid w:val="1282ACEB"/>
    <w:rsid w:val="1285F7EF"/>
    <w:rsid w:val="12A36EAD"/>
    <w:rsid w:val="12A7F8CA"/>
    <w:rsid w:val="12B183C5"/>
    <w:rsid w:val="13A4755E"/>
    <w:rsid w:val="13C34274"/>
    <w:rsid w:val="1403F2C5"/>
    <w:rsid w:val="1465931A"/>
    <w:rsid w:val="14AA3DFF"/>
    <w:rsid w:val="15B77181"/>
    <w:rsid w:val="15DDDFD4"/>
    <w:rsid w:val="161536E2"/>
    <w:rsid w:val="161FF3C7"/>
    <w:rsid w:val="16572B4B"/>
    <w:rsid w:val="169566C3"/>
    <w:rsid w:val="1737661D"/>
    <w:rsid w:val="1745337D"/>
    <w:rsid w:val="17D03983"/>
    <w:rsid w:val="18159FB7"/>
    <w:rsid w:val="18D710A6"/>
    <w:rsid w:val="18F740E2"/>
    <w:rsid w:val="18F875C4"/>
    <w:rsid w:val="194705DA"/>
    <w:rsid w:val="1A03E83C"/>
    <w:rsid w:val="1A14FEFA"/>
    <w:rsid w:val="1B8E8F5C"/>
    <w:rsid w:val="1BCD6DC7"/>
    <w:rsid w:val="1BEC171A"/>
    <w:rsid w:val="1C179699"/>
    <w:rsid w:val="1C547FB4"/>
    <w:rsid w:val="1C85188F"/>
    <w:rsid w:val="1C9590EB"/>
    <w:rsid w:val="1CC86E97"/>
    <w:rsid w:val="1CF595FB"/>
    <w:rsid w:val="1D258E9C"/>
    <w:rsid w:val="1D3939E7"/>
    <w:rsid w:val="1D61BD87"/>
    <w:rsid w:val="1D70A715"/>
    <w:rsid w:val="1D98281D"/>
    <w:rsid w:val="1DBB2D8B"/>
    <w:rsid w:val="1E97B194"/>
    <w:rsid w:val="1EE8B2C9"/>
    <w:rsid w:val="1EEE28F5"/>
    <w:rsid w:val="1F3919BA"/>
    <w:rsid w:val="1F45AD1F"/>
    <w:rsid w:val="1F533BC2"/>
    <w:rsid w:val="1F8A3E4C"/>
    <w:rsid w:val="20234FC1"/>
    <w:rsid w:val="20897B92"/>
    <w:rsid w:val="20A797F1"/>
    <w:rsid w:val="20EE76A6"/>
    <w:rsid w:val="20F9497D"/>
    <w:rsid w:val="21B47A44"/>
    <w:rsid w:val="230FC122"/>
    <w:rsid w:val="231004DD"/>
    <w:rsid w:val="2356D653"/>
    <w:rsid w:val="23D960FE"/>
    <w:rsid w:val="24047F81"/>
    <w:rsid w:val="2489F5F6"/>
    <w:rsid w:val="24A21E7E"/>
    <w:rsid w:val="24CF5426"/>
    <w:rsid w:val="24EB39BC"/>
    <w:rsid w:val="24ECF985"/>
    <w:rsid w:val="25320653"/>
    <w:rsid w:val="2572257F"/>
    <w:rsid w:val="2572830E"/>
    <w:rsid w:val="259D3556"/>
    <w:rsid w:val="26495E5C"/>
    <w:rsid w:val="26F61E25"/>
    <w:rsid w:val="274301B3"/>
    <w:rsid w:val="2792DF1D"/>
    <w:rsid w:val="27EA3AE9"/>
    <w:rsid w:val="28103EDC"/>
    <w:rsid w:val="28999EF9"/>
    <w:rsid w:val="2923D166"/>
    <w:rsid w:val="29552D85"/>
    <w:rsid w:val="2978484F"/>
    <w:rsid w:val="29DD55F3"/>
    <w:rsid w:val="2A0389D6"/>
    <w:rsid w:val="2A07C584"/>
    <w:rsid w:val="2A5D2CC5"/>
    <w:rsid w:val="2AFB751B"/>
    <w:rsid w:val="2BDB309F"/>
    <w:rsid w:val="2BDDF9E7"/>
    <w:rsid w:val="2C59346B"/>
    <w:rsid w:val="2CB38D2B"/>
    <w:rsid w:val="2CB3C8EB"/>
    <w:rsid w:val="2CF62E98"/>
    <w:rsid w:val="2CFA1296"/>
    <w:rsid w:val="2D56D40A"/>
    <w:rsid w:val="2E574C41"/>
    <w:rsid w:val="2E8F0D5F"/>
    <w:rsid w:val="2F07F2B7"/>
    <w:rsid w:val="2F25D28F"/>
    <w:rsid w:val="2F40BFD2"/>
    <w:rsid w:val="2F64F347"/>
    <w:rsid w:val="2F6A6A80"/>
    <w:rsid w:val="2F895779"/>
    <w:rsid w:val="2FD239C6"/>
    <w:rsid w:val="301C94B6"/>
    <w:rsid w:val="30C0E6B2"/>
    <w:rsid w:val="31240C75"/>
    <w:rsid w:val="31A04A5D"/>
    <w:rsid w:val="31A5B1AD"/>
    <w:rsid w:val="31E9F488"/>
    <w:rsid w:val="3223CB8A"/>
    <w:rsid w:val="32BE2D3F"/>
    <w:rsid w:val="330B48F8"/>
    <w:rsid w:val="334F32B4"/>
    <w:rsid w:val="33701E64"/>
    <w:rsid w:val="339DE40F"/>
    <w:rsid w:val="33C831E8"/>
    <w:rsid w:val="3414DB5A"/>
    <w:rsid w:val="3435180E"/>
    <w:rsid w:val="34509531"/>
    <w:rsid w:val="348192FE"/>
    <w:rsid w:val="348211B1"/>
    <w:rsid w:val="34A5F09E"/>
    <w:rsid w:val="34BE3F1F"/>
    <w:rsid w:val="352641F1"/>
    <w:rsid w:val="352A49F6"/>
    <w:rsid w:val="355FE4C8"/>
    <w:rsid w:val="361317FC"/>
    <w:rsid w:val="3642066D"/>
    <w:rsid w:val="3659F5BD"/>
    <w:rsid w:val="36C8E486"/>
    <w:rsid w:val="36FAC38E"/>
    <w:rsid w:val="36FFB9E6"/>
    <w:rsid w:val="377748D0"/>
    <w:rsid w:val="37A3DAAF"/>
    <w:rsid w:val="3A30FB68"/>
    <w:rsid w:val="3A94D8D4"/>
    <w:rsid w:val="3AD75473"/>
    <w:rsid w:val="3B39CFDA"/>
    <w:rsid w:val="3B86D69E"/>
    <w:rsid w:val="3B9757A6"/>
    <w:rsid w:val="3BF853D2"/>
    <w:rsid w:val="3C265878"/>
    <w:rsid w:val="3DBFF7BA"/>
    <w:rsid w:val="3EC6CCA7"/>
    <w:rsid w:val="3F4D3EC8"/>
    <w:rsid w:val="3F6D4C73"/>
    <w:rsid w:val="40E7EA51"/>
    <w:rsid w:val="40EC5939"/>
    <w:rsid w:val="41337CB9"/>
    <w:rsid w:val="41DD9752"/>
    <w:rsid w:val="41F234BC"/>
    <w:rsid w:val="4219FC2D"/>
    <w:rsid w:val="426E6FFD"/>
    <w:rsid w:val="42A612BF"/>
    <w:rsid w:val="42A98F8F"/>
    <w:rsid w:val="43273A4F"/>
    <w:rsid w:val="434CAF20"/>
    <w:rsid w:val="43782DBC"/>
    <w:rsid w:val="44517D01"/>
    <w:rsid w:val="44834691"/>
    <w:rsid w:val="4494CF0B"/>
    <w:rsid w:val="449BFCBF"/>
    <w:rsid w:val="44A30D07"/>
    <w:rsid w:val="44C53792"/>
    <w:rsid w:val="44CB005A"/>
    <w:rsid w:val="44FA363B"/>
    <w:rsid w:val="45E77026"/>
    <w:rsid w:val="462672B8"/>
    <w:rsid w:val="46428E5E"/>
    <w:rsid w:val="467FA062"/>
    <w:rsid w:val="469BC92F"/>
    <w:rsid w:val="47219DFE"/>
    <w:rsid w:val="47B7D3EA"/>
    <w:rsid w:val="47D11623"/>
    <w:rsid w:val="485DD3D0"/>
    <w:rsid w:val="489DAA17"/>
    <w:rsid w:val="48EFBD7C"/>
    <w:rsid w:val="48F037CF"/>
    <w:rsid w:val="49652D04"/>
    <w:rsid w:val="49C20709"/>
    <w:rsid w:val="4A7339CC"/>
    <w:rsid w:val="4A7F3420"/>
    <w:rsid w:val="4A8EE531"/>
    <w:rsid w:val="4AD77CCF"/>
    <w:rsid w:val="4AF28F0F"/>
    <w:rsid w:val="4AF4AF6A"/>
    <w:rsid w:val="4B2B6592"/>
    <w:rsid w:val="4BA18FA5"/>
    <w:rsid w:val="4BAAF94F"/>
    <w:rsid w:val="4C24DB33"/>
    <w:rsid w:val="4C5DE882"/>
    <w:rsid w:val="4CD3E670"/>
    <w:rsid w:val="4CD588E0"/>
    <w:rsid w:val="4D3D2469"/>
    <w:rsid w:val="4D3FBE70"/>
    <w:rsid w:val="4D8AFA51"/>
    <w:rsid w:val="4D8BE11B"/>
    <w:rsid w:val="4DCEA588"/>
    <w:rsid w:val="4E6DED1B"/>
    <w:rsid w:val="4FBF042B"/>
    <w:rsid w:val="4FD3FD3D"/>
    <w:rsid w:val="4FE50EFA"/>
    <w:rsid w:val="502DF79C"/>
    <w:rsid w:val="503C3B0B"/>
    <w:rsid w:val="51351704"/>
    <w:rsid w:val="51C5F43E"/>
    <w:rsid w:val="525D5699"/>
    <w:rsid w:val="52B308E3"/>
    <w:rsid w:val="52BE36AD"/>
    <w:rsid w:val="52ECE5E7"/>
    <w:rsid w:val="52EF8333"/>
    <w:rsid w:val="5342E3EA"/>
    <w:rsid w:val="534E6D85"/>
    <w:rsid w:val="53535C2F"/>
    <w:rsid w:val="541CCB24"/>
    <w:rsid w:val="548B7113"/>
    <w:rsid w:val="54CDB345"/>
    <w:rsid w:val="54FCFC31"/>
    <w:rsid w:val="5586DC5A"/>
    <w:rsid w:val="56A44100"/>
    <w:rsid w:val="56AE8BE9"/>
    <w:rsid w:val="574225DC"/>
    <w:rsid w:val="579CF5DB"/>
    <w:rsid w:val="5862CBE8"/>
    <w:rsid w:val="588BA268"/>
    <w:rsid w:val="59350495"/>
    <w:rsid w:val="5A3900C2"/>
    <w:rsid w:val="5BA214D4"/>
    <w:rsid w:val="5BB8FFBF"/>
    <w:rsid w:val="5BFF237E"/>
    <w:rsid w:val="5C1F8A3B"/>
    <w:rsid w:val="5CCEE632"/>
    <w:rsid w:val="5D01B407"/>
    <w:rsid w:val="5DDFD57E"/>
    <w:rsid w:val="5DF158CF"/>
    <w:rsid w:val="5FD597B6"/>
    <w:rsid w:val="5FEF6C56"/>
    <w:rsid w:val="60CB5EA6"/>
    <w:rsid w:val="60FA2EA2"/>
    <w:rsid w:val="610503D9"/>
    <w:rsid w:val="61206653"/>
    <w:rsid w:val="61B0BF1C"/>
    <w:rsid w:val="61BB9960"/>
    <w:rsid w:val="61D0B339"/>
    <w:rsid w:val="61DE7FA7"/>
    <w:rsid w:val="6259C16D"/>
    <w:rsid w:val="627A6198"/>
    <w:rsid w:val="62A32C34"/>
    <w:rsid w:val="62EBCF83"/>
    <w:rsid w:val="62FCBEF0"/>
    <w:rsid w:val="63A6C421"/>
    <w:rsid w:val="642E7A1B"/>
    <w:rsid w:val="64902E19"/>
    <w:rsid w:val="64CC4663"/>
    <w:rsid w:val="64D51203"/>
    <w:rsid w:val="652BD661"/>
    <w:rsid w:val="65668DCF"/>
    <w:rsid w:val="65CA9FDE"/>
    <w:rsid w:val="65F0027D"/>
    <w:rsid w:val="6602BD84"/>
    <w:rsid w:val="668C2F2D"/>
    <w:rsid w:val="66C2955C"/>
    <w:rsid w:val="6760CFEE"/>
    <w:rsid w:val="678E9E77"/>
    <w:rsid w:val="67C404B7"/>
    <w:rsid w:val="67EB7816"/>
    <w:rsid w:val="68533EBA"/>
    <w:rsid w:val="68C13520"/>
    <w:rsid w:val="68C694ED"/>
    <w:rsid w:val="68DD42B6"/>
    <w:rsid w:val="695CF37E"/>
    <w:rsid w:val="69CB9044"/>
    <w:rsid w:val="6A34FDD1"/>
    <w:rsid w:val="6A4110B4"/>
    <w:rsid w:val="6AB2C017"/>
    <w:rsid w:val="6AB5370E"/>
    <w:rsid w:val="6B17BFD6"/>
    <w:rsid w:val="6BE35A32"/>
    <w:rsid w:val="6C34E105"/>
    <w:rsid w:val="6D122884"/>
    <w:rsid w:val="6D68204A"/>
    <w:rsid w:val="6DE4C460"/>
    <w:rsid w:val="6DF0985A"/>
    <w:rsid w:val="6E0B4337"/>
    <w:rsid w:val="6EA5EA10"/>
    <w:rsid w:val="6F0D4D24"/>
    <w:rsid w:val="6F15B09D"/>
    <w:rsid w:val="6F97FBAE"/>
    <w:rsid w:val="700CD98E"/>
    <w:rsid w:val="70358C88"/>
    <w:rsid w:val="71241135"/>
    <w:rsid w:val="71B24A3D"/>
    <w:rsid w:val="71B69017"/>
    <w:rsid w:val="71D82C26"/>
    <w:rsid w:val="725BEAEF"/>
    <w:rsid w:val="726F29E9"/>
    <w:rsid w:val="72969BFE"/>
    <w:rsid w:val="72B588CB"/>
    <w:rsid w:val="7339BAC1"/>
    <w:rsid w:val="73F1003C"/>
    <w:rsid w:val="755EE217"/>
    <w:rsid w:val="75CDCBAB"/>
    <w:rsid w:val="75EBAB62"/>
    <w:rsid w:val="76383484"/>
    <w:rsid w:val="7665D112"/>
    <w:rsid w:val="7670A020"/>
    <w:rsid w:val="76917BC3"/>
    <w:rsid w:val="773AC2B4"/>
    <w:rsid w:val="776766A9"/>
    <w:rsid w:val="77F155FB"/>
    <w:rsid w:val="7844F1E9"/>
    <w:rsid w:val="784DE1F5"/>
    <w:rsid w:val="7888F42B"/>
    <w:rsid w:val="78BE1156"/>
    <w:rsid w:val="78C60230"/>
    <w:rsid w:val="79A0EE2E"/>
    <w:rsid w:val="79A0F67B"/>
    <w:rsid w:val="79B3CDB5"/>
    <w:rsid w:val="79DFDE6E"/>
    <w:rsid w:val="7A47CAA7"/>
    <w:rsid w:val="7AF74ECE"/>
    <w:rsid w:val="7B2632A5"/>
    <w:rsid w:val="7B3CD080"/>
    <w:rsid w:val="7B4C3307"/>
    <w:rsid w:val="7CB25129"/>
    <w:rsid w:val="7CF0D10E"/>
    <w:rsid w:val="7D0EDFC5"/>
    <w:rsid w:val="7DD71134"/>
    <w:rsid w:val="7E178F6C"/>
    <w:rsid w:val="7E994717"/>
    <w:rsid w:val="7EA3FECB"/>
    <w:rsid w:val="7F98E283"/>
    <w:rsid w:val="7FAD062E"/>
    <w:rsid w:val="7FD004D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4B50652D-E539-4331-8E32-D63C8D2F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517395"/>
    <w:pPr>
      <w:keepNext/>
      <w:spacing w:after="360"/>
      <w:outlineLvl w:val="0"/>
    </w:pPr>
    <w:rPr>
      <w:b/>
      <w:color w:val="23305D"/>
      <w:spacing w:val="-10"/>
      <w:sz w:val="72"/>
      <w:szCs w:val="72"/>
      <w:lang w:val="en-GB"/>
    </w:rPr>
  </w:style>
  <w:style w:type="paragraph" w:styleId="Heading2">
    <w:name w:val="heading 2"/>
    <w:basedOn w:val="Normal"/>
    <w:next w:val="Normal"/>
    <w:link w:val="Heading2Char"/>
    <w:uiPriority w:val="1"/>
    <w:qFormat/>
    <w:rsid w:val="00517395"/>
    <w:pPr>
      <w:keepNext/>
      <w:spacing w:before="480" w:after="180"/>
      <w:outlineLvl w:val="1"/>
    </w:pPr>
    <w:rPr>
      <w:b/>
      <w:color w:val="0A6AB4"/>
      <w:spacing w:val="-5"/>
      <w:sz w:val="48"/>
      <w:szCs w:val="48"/>
      <w:lang w:val="en-GB"/>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517395"/>
    <w:rPr>
      <w:rFonts w:ascii="Segoe UI" w:hAnsi="Segoe UI"/>
      <w:b/>
      <w:color w:val="23305D"/>
      <w:spacing w:val="-10"/>
      <w:sz w:val="72"/>
      <w:szCs w:val="72"/>
      <w:lang w:val="en-GB"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517395"/>
    <w:rPr>
      <w:rFonts w:ascii="Segoe UI" w:hAnsi="Segoe UI"/>
      <w:b/>
      <w:color w:val="0A6AB4"/>
      <w:spacing w:val="-5"/>
      <w:sz w:val="48"/>
      <w:szCs w:val="48"/>
      <w:lang w:val="en-GB"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customStyle="1" w:styleId="BulletChar">
    <w:name w:val="Bullet Char"/>
    <w:link w:val="Bullet"/>
    <w:locked/>
    <w:rsid w:val="002B32BD"/>
    <w:rPr>
      <w:rFonts w:ascii="Segoe UI" w:hAnsi="Segoe UI"/>
      <w:sz w:val="21"/>
      <w:lang w:eastAsia="en-GB"/>
    </w:rPr>
  </w:style>
  <w:style w:type="paragraph" w:customStyle="1" w:styleId="CabStandard">
    <w:name w:val="CabStandard"/>
    <w:basedOn w:val="Normal"/>
    <w:link w:val="CabStandardChar"/>
    <w:rsid w:val="002B32BD"/>
    <w:pPr>
      <w:keepLines/>
      <w:numPr>
        <w:numId w:val="33"/>
      </w:numPr>
      <w:spacing w:after="240"/>
    </w:pPr>
    <w:rPr>
      <w:rFonts w:ascii="Times New Roman" w:hAnsi="Times New Roman"/>
      <w:sz w:val="24"/>
      <w:lang w:val="en-GB" w:eastAsia="ja-JP"/>
    </w:rPr>
  </w:style>
  <w:style w:type="paragraph" w:customStyle="1" w:styleId="Second-levelbullets">
    <w:name w:val="Second-level bullets"/>
    <w:basedOn w:val="Bullet"/>
    <w:uiPriority w:val="3"/>
    <w:qFormat/>
    <w:rsid w:val="002B32BD"/>
    <w:pPr>
      <w:keepLines/>
      <w:numPr>
        <w:numId w:val="0"/>
      </w:numPr>
      <w:spacing w:before="0" w:after="160"/>
      <w:ind w:left="851" w:hanging="360"/>
    </w:pPr>
    <w:rPr>
      <w:rFonts w:asciiTheme="minorHAnsi" w:eastAsia="Segoe UI" w:hAnsiTheme="minorHAnsi" w:cstheme="minorHAnsi"/>
      <w:sz w:val="22"/>
      <w:szCs w:val="22"/>
      <w:lang w:val="en-GB" w:eastAsia="ja-JP"/>
    </w:rPr>
  </w:style>
  <w:style w:type="character" w:customStyle="1" w:styleId="CabStandardChar">
    <w:name w:val="CabStandard Char"/>
    <w:basedOn w:val="DefaultParagraphFont"/>
    <w:link w:val="CabStandard"/>
    <w:rsid w:val="002B32BD"/>
    <w:rPr>
      <w:sz w:val="24"/>
      <w:lang w:val="en-GB" w:eastAsia="ja-JP"/>
    </w:rPr>
  </w:style>
  <w:style w:type="character" w:styleId="UnresolvedMention">
    <w:name w:val="Unresolved Mention"/>
    <w:basedOn w:val="DefaultParagraphFont"/>
    <w:uiPriority w:val="99"/>
    <w:semiHidden/>
    <w:unhideWhenUsed/>
    <w:rsid w:val="002B68B9"/>
    <w:rPr>
      <w:color w:val="605E5C"/>
      <w:shd w:val="clear" w:color="auto" w:fill="E1DFDD"/>
    </w:rPr>
  </w:style>
  <w:style w:type="character" w:customStyle="1" w:styleId="FigureChar">
    <w:name w:val="Figure Char"/>
    <w:link w:val="Figure"/>
    <w:locked/>
    <w:rsid w:val="002B68B9"/>
    <w:rPr>
      <w:rFonts w:ascii="Segoe UI" w:hAnsi="Segoe UI"/>
      <w:b/>
      <w:lang w:eastAsia="en-GB"/>
    </w:rPr>
  </w:style>
  <w:style w:type="paragraph" w:customStyle="1" w:styleId="pf0">
    <w:name w:val="pf0"/>
    <w:basedOn w:val="Normal"/>
    <w:rsid w:val="002B68B9"/>
    <w:pPr>
      <w:keepLines/>
      <w:spacing w:before="100" w:beforeAutospacing="1" w:after="100" w:afterAutospacing="1"/>
    </w:pPr>
    <w:rPr>
      <w:rFonts w:ascii="Times New Roman" w:hAnsi="Times New Roman"/>
      <w:sz w:val="24"/>
      <w:szCs w:val="24"/>
      <w:lang w:eastAsia="en-NZ"/>
    </w:rPr>
  </w:style>
  <w:style w:type="paragraph" w:styleId="Caption">
    <w:name w:val="caption"/>
    <w:basedOn w:val="Normal"/>
    <w:next w:val="Normal"/>
    <w:unhideWhenUsed/>
    <w:qFormat/>
    <w:rsid w:val="002B68B9"/>
    <w:pPr>
      <w:spacing w:after="200"/>
    </w:pPr>
    <w:rPr>
      <w:i/>
      <w:iCs/>
      <w:color w:val="1F497D" w:themeColor="text2"/>
      <w:sz w:val="18"/>
      <w:szCs w:val="18"/>
    </w:rPr>
  </w:style>
  <w:style w:type="paragraph" w:customStyle="1" w:styleId="Tablebullets">
    <w:name w:val="Table bullets"/>
    <w:basedOn w:val="ListParagraph"/>
    <w:link w:val="TablebulletsChar"/>
    <w:qFormat/>
    <w:rsid w:val="00457CAC"/>
    <w:pPr>
      <w:keepLines/>
      <w:numPr>
        <w:numId w:val="36"/>
      </w:numPr>
      <w:spacing w:before="60" w:after="60"/>
      <w:ind w:left="284" w:hanging="284"/>
      <w:contextualSpacing w:val="0"/>
    </w:pPr>
    <w:rPr>
      <w:rFonts w:asciiTheme="minorHAnsi" w:eastAsia="Calibri" w:hAnsiTheme="minorHAnsi" w:cstheme="minorHAnsi"/>
      <w:sz w:val="20"/>
      <w:lang w:eastAsia="en-US"/>
    </w:rPr>
  </w:style>
  <w:style w:type="character" w:customStyle="1" w:styleId="TablebulletsChar">
    <w:name w:val="Table bullets Char"/>
    <w:basedOn w:val="DefaultParagraphFont"/>
    <w:link w:val="Tablebullets"/>
    <w:rsid w:val="00457CAC"/>
    <w:rPr>
      <w:rFonts w:asciiTheme="minorHAnsi" w:eastAsia="Calibri" w:hAnsiTheme="minorHAnsi" w:cstheme="minorHAnsi"/>
      <w:lang w:eastAsia="en-US"/>
    </w:rPr>
  </w:style>
  <w:style w:type="paragraph" w:styleId="ListParagraph">
    <w:name w:val="List Paragraph"/>
    <w:aliases w:val="Level 3,List Paragraph1,List Paragraph numbered,List Bullet indent,Normal text,Bullet Normal,numbered,FooterText,Paragraphe de liste1,Bulletr List Paragraph,列出段落,列出段落1,Bullet List,Board paper bullet list,#List Paragraph,target,Rec para,L"/>
    <w:basedOn w:val="Normal"/>
    <w:link w:val="ListParagraphChar"/>
    <w:uiPriority w:val="34"/>
    <w:qFormat/>
    <w:rsid w:val="00457CAC"/>
    <w:pPr>
      <w:ind w:left="720"/>
      <w:contextualSpacing/>
    </w:pPr>
  </w:style>
  <w:style w:type="character" w:customStyle="1" w:styleId="ListParagraphChar">
    <w:name w:val="List Paragraph Char"/>
    <w:aliases w:val="Level 3 Char,List Paragraph1 Char,List Paragraph numbered Char,List Bullet indent Char,Normal text Char,Bullet Normal Char,numbered Char,FooterText Char,Paragraphe de liste1 Char,Bulletr List Paragraph Char,列出段落 Char,列出段落1 Char"/>
    <w:basedOn w:val="DefaultParagraphFont"/>
    <w:link w:val="ListParagraph"/>
    <w:uiPriority w:val="34"/>
    <w:qFormat/>
    <w:rsid w:val="002422D8"/>
    <w:rPr>
      <w:rFonts w:ascii="Segoe UI" w:hAnsi="Segoe UI"/>
      <w:sz w:val="21"/>
      <w:lang w:eastAsia="en-GB"/>
    </w:rPr>
  </w:style>
  <w:style w:type="character" w:customStyle="1" w:styleId="TableTextChar">
    <w:name w:val="TableText Char"/>
    <w:link w:val="TableText"/>
    <w:rsid w:val="008B792A"/>
    <w:rPr>
      <w:rFonts w:ascii="Segoe UI" w:hAnsi="Segoe UI"/>
      <w:sz w:val="18"/>
      <w:lang w:eastAsia="en-GB"/>
    </w:rPr>
  </w:style>
  <w:style w:type="paragraph" w:styleId="TOCHeading">
    <w:name w:val="TOC Heading"/>
    <w:basedOn w:val="Heading1"/>
    <w:next w:val="Normal"/>
    <w:uiPriority w:val="39"/>
    <w:unhideWhenUsed/>
    <w:qFormat/>
    <w:rsid w:val="009049B7"/>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character" w:customStyle="1" w:styleId="ui-provider">
    <w:name w:val="ui-provider"/>
    <w:basedOn w:val="DefaultParagraphFont"/>
    <w:rsid w:val="00667EA0"/>
  </w:style>
  <w:style w:type="paragraph" w:styleId="CommentText">
    <w:name w:val="annotation text"/>
    <w:basedOn w:val="Normal"/>
    <w:link w:val="CommentTextChar"/>
    <w:uiPriority w:val="99"/>
    <w:unhideWhenUsed/>
    <w:rsid w:val="00F522B9"/>
    <w:rPr>
      <w:sz w:val="20"/>
    </w:rPr>
  </w:style>
  <w:style w:type="character" w:customStyle="1" w:styleId="CommentTextChar">
    <w:name w:val="Comment Text Char"/>
    <w:basedOn w:val="DefaultParagraphFont"/>
    <w:link w:val="CommentText"/>
    <w:uiPriority w:val="99"/>
    <w:rsid w:val="00F522B9"/>
    <w:rPr>
      <w:rFonts w:ascii="Segoe UI" w:hAnsi="Segoe UI"/>
      <w:lang w:eastAsia="en-GB"/>
    </w:rPr>
  </w:style>
  <w:style w:type="character" w:styleId="CommentReference">
    <w:name w:val="annotation reference"/>
    <w:basedOn w:val="DefaultParagraphFont"/>
    <w:uiPriority w:val="99"/>
    <w:semiHidden/>
    <w:unhideWhenUsed/>
    <w:rsid w:val="00F522B9"/>
    <w:rPr>
      <w:sz w:val="16"/>
      <w:szCs w:val="16"/>
    </w:rPr>
  </w:style>
  <w:style w:type="character" w:styleId="Mention">
    <w:name w:val="Mention"/>
    <w:basedOn w:val="DefaultParagraphFont"/>
    <w:uiPriority w:val="99"/>
    <w:unhideWhenUsed/>
    <w:rsid w:val="005C7B4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A84DDC"/>
    <w:rPr>
      <w:b/>
      <w:bCs/>
    </w:rPr>
  </w:style>
  <w:style w:type="character" w:customStyle="1" w:styleId="CommentSubjectChar">
    <w:name w:val="Comment Subject Char"/>
    <w:basedOn w:val="CommentTextChar"/>
    <w:link w:val="CommentSubject"/>
    <w:uiPriority w:val="99"/>
    <w:semiHidden/>
    <w:rsid w:val="00A84DDC"/>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7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hyperlink" Target="https://auc-word-edit.officeapps.live.com/we/wordeditorframe.aspx?ui=en-US&amp;rs=en-NZ&amp;actnavid=eyJjIjo3MDc1ODc1MjF9&amp;wopisrc=https%3A%2F%2Fmohgovtnz.sharepoint.com%2Fsites%2Fmoh-ecm-MentHealSPL%2F_vti_bin%2Fwopi.ashx%2Ffiles%2Fa3806fa4fd9e4b98b488767ab7e69147&amp;wdenableroaming=1&amp;mscc=1&amp;hid=F4E337A1-B0D6-3000-8C5F-80FAED400C7B.0&amp;uih=sharepointcom&amp;wdlcid=en-US&amp;jsapi=1&amp;jsapiver=v2&amp;corrid=209f2671-9f91-15ad-85e0-6c06f0f0173f&amp;usid=209f2671-9f91-15ad-85e0-6c06f0f0173f&amp;newsession=1&amp;sftc=1&amp;uihit=docaspx&amp;muv=1&amp;cac=1&amp;sams=1&amp;mtf=1&amp;sfp=1&amp;sdp=1&amp;hch=1&amp;hwfh=1&amp;dchat=1&amp;sc=%7B%22pmo%22%3A%22https%3A%2F%2Fmohgovtnz.sharepoint.com%22%2C%22pmshare%22%3Atrue%7D&amp;ctp=LeastProtected&amp;rct=Normal&amp;wdorigin=Outlook-Body.Sharing.DirectLink&amp;wdhostclicktime=1719800065323&amp;instantedit=1&amp;wopicomplete=1&amp;wdredirectionreason=Unified_SingleFlush"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health.govt.nz/our-work/mental-health-and-addiction/addiction/gambling/service-user-data/intervention-client-data" TargetMode="External"/><Relationship Id="rId3" Type="http://schemas.openxmlformats.org/officeDocument/2006/relationships/hyperlink" Target="https://www.hpa.org.nz/sites/default/files/2020%20Health%20and%20Lifestyles%20Survey%20Top%20line%20report.pdf" TargetMode="External"/><Relationship Id="rId7" Type="http://schemas.openxmlformats.org/officeDocument/2006/relationships/hyperlink" Target="https://kupe.healthpromotion.govt.nz/%23!/gambling/gambling-harm/hls-household-level-gambling-harm" TargetMode="External"/><Relationship Id="rId2" Type="http://schemas.openxmlformats.org/officeDocument/2006/relationships/hyperlink" Target="http://www.hpa.org.nz/our-work/research/publications" TargetMode="External"/><Relationship Id="rId1" Type="http://schemas.openxmlformats.org/officeDocument/2006/relationships/hyperlink" Target="https://www.health.govt.nz/publications/draft-strategy-to-prevent-and-minimise-gambling-harm-202526-to-202728" TargetMode="External"/><Relationship Id="rId6" Type="http://schemas.openxmlformats.org/officeDocument/2006/relationships/hyperlink" Target="http://www.health.govt.nz/publication/measuring-burden-gambling-harm-new-zealand" TargetMode="External"/><Relationship Id="rId5" Type="http://schemas.openxmlformats.org/officeDocument/2006/relationships/hyperlink" Target="http://www.hpa.org.nz/research-library/research-publications/new-zealanders-participation-in-gambling-results-from-the-2016-health-and-lifestyles-survey" TargetMode="External"/><Relationship Id="rId10" Type="http://schemas.openxmlformats.org/officeDocument/2006/relationships/hyperlink" Target="https://www.gamblingcommission.govt.nz/GCwebsite.nsf/Files/Problem-Gambling-Levy-Report-2022/$file/Problem-Gambling-Levy-Report-" TargetMode="External"/><Relationship Id="rId4" Type="http://schemas.openxmlformats.org/officeDocument/2006/relationships/hyperlink" Target="http://www.dia.govt.nz/gambling-statistics-expenditure" TargetMode="External"/><Relationship Id="rId9" Type="http://schemas.openxmlformats.org/officeDocument/2006/relationships/hyperlink" Target="https://www.gamblingcommission.govt.nz/GCwebsite.nsf/Files/Problem-Gambling-Levy-Report-2022/$file/Problem-Gambling-Levy-Report-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Strategy</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Preventing &amp; Minimising Gambling Harm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Strategy and policy</CategoryName>
    <PRADateTrigger xmlns="4f9c820c-e7e2-444d-97ee-45f2b3485c1d" xsi:nil="true"/>
    <PRAText2 xmlns="4f9c820c-e7e2-444d-97ee-45f2b3485c1d" xsi:nil="true"/>
    <zLegacyID xmlns="184c05c4-c568-455d-94a4-7e009b164348" xsi:nil="true"/>
    <_dlc_DocId xmlns="c5b47098-0215-444c-9096-523bda4ac5c6">MOHECM-952532665-26566</_dlc_DocId>
    <_dlc_DocIdUrl xmlns="c5b47098-0215-444c-9096-523bda4ac5c6">
      <Url>https://mohgovtnz.sharepoint.com/sites/moh-ecm-MentHealSPL/_layouts/15/DocIdRedir.aspx?ID=MOHECM-952532665-26566</Url>
      <Description>MOHECM-952532665-26566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55" ma:contentTypeDescription="Create a new document." ma:contentTypeScope="" ma:versionID="da44ccb576833fbe74f843ad51f3cce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01e648187c11b5c0e29209127b1f83a0"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7FFB0-260E-4BEB-AB23-5A43F0263A51}">
  <ds:schemaRefs>
    <ds:schemaRef ds:uri="http://schemas.microsoft.com/office/2006/documentManagement/types"/>
    <ds:schemaRef ds:uri="c91a514c-9034-4fa3-897a-8352025b26ed"/>
    <ds:schemaRef ds:uri="http://purl.org/dc/elements/1.1/"/>
    <ds:schemaRef ds:uri="http://purl.org/dc/terms/"/>
    <ds:schemaRef ds:uri="54904628-6268-4ac5-9416-97794f1d508d"/>
    <ds:schemaRef ds:uri="d0b61010-d6f3-4072-b934-7bbb13e97771"/>
    <ds:schemaRef ds:uri="http://schemas.microsoft.com/office/infopath/2007/PartnerControls"/>
    <ds:schemaRef ds:uri="725c79e5-42ce-4aa0-ac78-b6418001f0d2"/>
    <ds:schemaRef ds:uri="http://purl.org/dc/dcmitype/"/>
    <ds:schemaRef ds:uri="4f9c820c-e7e2-444d-97ee-45f2b3485c1d"/>
    <ds:schemaRef ds:uri="15ffb055-6eb4-45a1-bc20-bf2ac0d420da"/>
    <ds:schemaRef ds:uri="http://www.w3.org/XML/1998/namespace"/>
    <ds:schemaRef ds:uri="http://schemas.microsoft.com/office/2006/metadata/properties"/>
    <ds:schemaRef ds:uri="c5b47098-0215-444c-9096-523bda4ac5c6"/>
    <ds:schemaRef ds:uri="184c05c4-c568-455d-94a4-7e009b164348"/>
    <ds:schemaRef ds:uri="http://schemas.openxmlformats.org/package/2006/metadata/core-properties"/>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9C9088DF-9A63-429D-8273-5E41D1BFCC22}">
  <ds:schemaRefs>
    <ds:schemaRef ds:uri="http://schemas.microsoft.com/sharepoint/events"/>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5.xml><?xml version="1.0" encoding="utf-8"?>
<ds:datastoreItem xmlns:ds="http://schemas.openxmlformats.org/officeDocument/2006/customXml" ds:itemID="{7FFC82B9-F0D6-44EF-AC9D-BA07F4A9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TotalTime>
  <Pages>34</Pages>
  <Words>10142</Words>
  <Characters>59968</Characters>
  <Application>Microsoft Office Word</Application>
  <DocSecurity>0</DocSecurity>
  <Lines>499</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69971</CharactersWithSpaces>
  <SharedDoc>false</SharedDoc>
  <HLinks>
    <vt:vector size="84" baseType="variant">
      <vt:variant>
        <vt:i4>6619136</vt:i4>
      </vt:variant>
      <vt:variant>
        <vt:i4>147</vt:i4>
      </vt:variant>
      <vt:variant>
        <vt:i4>0</vt:i4>
      </vt:variant>
      <vt:variant>
        <vt:i4>5</vt:i4>
      </vt:variant>
      <vt:variant>
        <vt:lpwstr>https://auc-word-edit.officeapps.live.com/we/wordeditorframe.aspx?ui=en-US&amp;rs=en-NZ&amp;actnavid=eyJjIjo3MDc1ODc1MjF9&amp;wopisrc=https%3A%2F%2Fmohgovtnz.sharepoint.com%2Fsites%2Fmoh-ecm-MentHealSPL%2F_vti_bin%2Fwopi.ashx%2Ffiles%2Fa3806fa4fd9e4b98b488767ab7e69147&amp;wdenableroaming=1&amp;mscc=1&amp;hid=F4E337A1-B0D6-3000-8C5F-80FAED400C7B.0&amp;uih=sharepointcom&amp;wdlcid=en-US&amp;jsapi=1&amp;jsapiver=v2&amp;corrid=209f2671-9f91-15ad-85e0-6c06f0f0173f&amp;usid=209f2671-9f91-15ad-85e0-6c06f0f0173f&amp;newsession=1&amp;sftc=1&amp;uihit=docaspx&amp;muv=1&amp;cac=1&amp;sams=1&amp;mtf=1&amp;sfp=1&amp;sdp=1&amp;hch=1&amp;hwfh=1&amp;dchat=1&amp;sc=%7B%22pmo%22%3A%22https%3A%2F%2Fmohgovtnz.sharepoint.com%22%2C%22pmshare%22%3Atrue%7D&amp;ctp=LeastProtected&amp;rct=Normal&amp;wdorigin=Outlook-Body.Sharing.DirectLink&amp;wdhostclicktime=1719800065323&amp;instantedit=1&amp;wopicomplete=1&amp;wdredirectionreason=Unified_SingleFlush</vt:lpwstr>
      </vt:variant>
      <vt:variant>
        <vt:lpwstr>_ftn1</vt:lpwstr>
      </vt:variant>
      <vt:variant>
        <vt:i4>3145742</vt:i4>
      </vt:variant>
      <vt:variant>
        <vt:i4>126</vt:i4>
      </vt:variant>
      <vt:variant>
        <vt:i4>0</vt:i4>
      </vt:variant>
      <vt:variant>
        <vt:i4>5</vt:i4>
      </vt:variant>
      <vt:variant>
        <vt:lpwstr/>
      </vt:variant>
      <vt:variant>
        <vt:lpwstr>_Draft_levy_rates</vt:lpwstr>
      </vt:variant>
      <vt:variant>
        <vt:i4>7143511</vt:i4>
      </vt:variant>
      <vt:variant>
        <vt:i4>123</vt:i4>
      </vt:variant>
      <vt:variant>
        <vt:i4>0</vt:i4>
      </vt:variant>
      <vt:variant>
        <vt:i4>5</vt:i4>
      </vt:variant>
      <vt:variant>
        <vt:lpwstr/>
      </vt:variant>
      <vt:variant>
        <vt:lpwstr>_Draft_service_plan</vt:lpwstr>
      </vt:variant>
      <vt:variant>
        <vt:i4>7405634</vt:i4>
      </vt:variant>
      <vt:variant>
        <vt:i4>120</vt:i4>
      </vt:variant>
      <vt:variant>
        <vt:i4>0</vt:i4>
      </vt:variant>
      <vt:variant>
        <vt:i4>5</vt:i4>
      </vt:variant>
      <vt:variant>
        <vt:lpwstr/>
      </vt:variant>
      <vt:variant>
        <vt:lpwstr>_The_strategic_plan</vt:lpwstr>
      </vt:variant>
      <vt:variant>
        <vt:i4>6815860</vt:i4>
      </vt:variant>
      <vt:variant>
        <vt:i4>117</vt:i4>
      </vt:variant>
      <vt:variant>
        <vt:i4>0</vt:i4>
      </vt:variant>
      <vt:variant>
        <vt:i4>5</vt:i4>
      </vt:variant>
      <vt:variant>
        <vt:lpwstr/>
      </vt:variant>
      <vt:variant>
        <vt:lpwstr>_Strategic_overview</vt:lpwstr>
      </vt:variant>
      <vt:variant>
        <vt:i4>5439517</vt:i4>
      </vt:variant>
      <vt:variant>
        <vt:i4>24</vt:i4>
      </vt:variant>
      <vt:variant>
        <vt:i4>0</vt:i4>
      </vt:variant>
      <vt:variant>
        <vt:i4>5</vt:i4>
      </vt:variant>
      <vt:variant>
        <vt:lpwstr>https://www.gamblingcommission.govt.nz/GCwebsite.nsf/Files/Problem-Gambling-Levy-Report-2022/$file/Problem-Gambling-Levy-Report-</vt:lpwstr>
      </vt:variant>
      <vt:variant>
        <vt:lpwstr/>
      </vt:variant>
      <vt:variant>
        <vt:i4>4653143</vt:i4>
      </vt:variant>
      <vt:variant>
        <vt:i4>21</vt:i4>
      </vt:variant>
      <vt:variant>
        <vt:i4>0</vt:i4>
      </vt:variant>
      <vt:variant>
        <vt:i4>5</vt:i4>
      </vt:variant>
      <vt:variant>
        <vt:lpwstr>https://www.gamblingcommission.govt.nz/GCwebsite.nsf/Files/Problem-Gambling-Levy-Report-2022/$file/Problem-Gambling-Levy-Report-2022.pdf</vt:lpwstr>
      </vt:variant>
      <vt:variant>
        <vt:lpwstr/>
      </vt:variant>
      <vt:variant>
        <vt:i4>4980801</vt:i4>
      </vt:variant>
      <vt:variant>
        <vt:i4>18</vt:i4>
      </vt:variant>
      <vt:variant>
        <vt:i4>0</vt:i4>
      </vt:variant>
      <vt:variant>
        <vt:i4>5</vt:i4>
      </vt:variant>
      <vt:variant>
        <vt:lpwstr>http://www.health.govt.nz/our-work/mental-health-and-addiction/addiction/gambling/service-user-data/intervention-client-data</vt:lpwstr>
      </vt:variant>
      <vt:variant>
        <vt:lpwstr/>
      </vt:variant>
      <vt:variant>
        <vt:i4>6553638</vt:i4>
      </vt:variant>
      <vt:variant>
        <vt:i4>15</vt:i4>
      </vt:variant>
      <vt:variant>
        <vt:i4>0</vt:i4>
      </vt:variant>
      <vt:variant>
        <vt:i4>5</vt:i4>
      </vt:variant>
      <vt:variant>
        <vt:lpwstr>https://kupe.healthpromotion.govt.nz/%23!/gambling/gambling-harm/hls-household-level-gambling-harm</vt:lpwstr>
      </vt:variant>
      <vt:variant>
        <vt:lpwstr/>
      </vt:variant>
      <vt:variant>
        <vt:i4>1704019</vt:i4>
      </vt:variant>
      <vt:variant>
        <vt:i4>12</vt:i4>
      </vt:variant>
      <vt:variant>
        <vt:i4>0</vt:i4>
      </vt:variant>
      <vt:variant>
        <vt:i4>5</vt:i4>
      </vt:variant>
      <vt:variant>
        <vt:lpwstr>http://www.health.govt.nz/publication/measuring-burden-gambling-harm-new-zealand</vt:lpwstr>
      </vt:variant>
      <vt:variant>
        <vt:lpwstr/>
      </vt:variant>
      <vt:variant>
        <vt:i4>4653077</vt:i4>
      </vt:variant>
      <vt:variant>
        <vt:i4>9</vt:i4>
      </vt:variant>
      <vt:variant>
        <vt:i4>0</vt:i4>
      </vt:variant>
      <vt:variant>
        <vt:i4>5</vt:i4>
      </vt:variant>
      <vt:variant>
        <vt:lpwstr>http://www.hpa.org.nz/research-library/research-publications/new-zealanders-participation-in-gambling-results-from-the-2016-health-and-lifestyles-survey</vt:lpwstr>
      </vt:variant>
      <vt:variant>
        <vt:lpwstr/>
      </vt:variant>
      <vt:variant>
        <vt:i4>2424958</vt:i4>
      </vt:variant>
      <vt:variant>
        <vt:i4>6</vt:i4>
      </vt:variant>
      <vt:variant>
        <vt:i4>0</vt:i4>
      </vt:variant>
      <vt:variant>
        <vt:i4>5</vt:i4>
      </vt:variant>
      <vt:variant>
        <vt:lpwstr>http://www.dia.govt.nz/gambling-statistics-expenditure</vt:lpwstr>
      </vt:variant>
      <vt:variant>
        <vt:lpwstr/>
      </vt:variant>
      <vt:variant>
        <vt:i4>720910</vt:i4>
      </vt:variant>
      <vt:variant>
        <vt:i4>3</vt:i4>
      </vt:variant>
      <vt:variant>
        <vt:i4>0</vt:i4>
      </vt:variant>
      <vt:variant>
        <vt:i4>5</vt:i4>
      </vt:variant>
      <vt:variant>
        <vt:lpwstr>https://www.hpa.org.nz/sites/default/files/2020 Health and Lifestyles Survey Top line report.pdf</vt:lpwstr>
      </vt:variant>
      <vt:variant>
        <vt:lpwstr/>
      </vt:variant>
      <vt:variant>
        <vt:i4>589848</vt:i4>
      </vt:variant>
      <vt:variant>
        <vt:i4>0</vt:i4>
      </vt:variant>
      <vt:variant>
        <vt:i4>0</vt:i4>
      </vt:variant>
      <vt:variant>
        <vt:i4>5</vt:i4>
      </vt:variant>
      <vt:variant>
        <vt:lpwstr>http://www.hpa.org.nz/our-work/research/publications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trategy to Prevent and Minimise Gambling Harm 2025/26 to 2027/28: Proposals document</dc:title>
  <dc:subject/>
  <dc:creator>Ministry of Health</dc:creator>
  <cp:keywords/>
  <cp:lastModifiedBy>Ministry of Health</cp:lastModifiedBy>
  <cp:revision>4</cp:revision>
  <cp:lastPrinted>2024-12-17T01:41:00Z</cp:lastPrinted>
  <dcterms:created xsi:type="dcterms:W3CDTF">2024-12-17T01:40:00Z</dcterms:created>
  <dcterms:modified xsi:type="dcterms:W3CDTF">2024-12-17T01:42:00Z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2522a1a1-c77b-423c-9a53-5a32490a5861</vt:lpwstr>
  </property>
  <property fmtid="{D5CDD505-2E9C-101B-9397-08002B2CF9AE}" pid="4" name="MediaServiceImageTags">
    <vt:lpwstr/>
  </property>
</Properties>
</file>