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621EDFD4" w:rsidR="00C86248" w:rsidRPr="00926083" w:rsidRDefault="00AA7B55" w:rsidP="00AA7B55">
      <w:pPr>
        <w:pStyle w:val="Title"/>
        <w:ind w:right="2835"/>
      </w:pPr>
      <w:r w:rsidRPr="00AA7B55">
        <w:t>2024 Addendum to the Interim Government Policy Statement on Health 2022-2024</w:t>
      </w:r>
    </w:p>
    <w:p w14:paraId="2B4FAC6A" w14:textId="32B87F1A" w:rsidR="00C05132" w:rsidRPr="001F378F" w:rsidRDefault="00AA7B55" w:rsidP="00206C29">
      <w:pPr>
        <w:pStyle w:val="Subhead"/>
        <w:ind w:right="3260"/>
        <w:rPr>
          <w:sz w:val="40"/>
          <w:szCs w:val="28"/>
        </w:rPr>
      </w:pPr>
      <w:r w:rsidRPr="001F378F">
        <w:rPr>
          <w:sz w:val="40"/>
          <w:szCs w:val="28"/>
        </w:rPr>
        <w:t xml:space="preserve">Appendix 3: Summary data definitions for the measures in the </w:t>
      </w:r>
      <w:proofErr w:type="spellStart"/>
      <w:r w:rsidRPr="001F378F">
        <w:rPr>
          <w:sz w:val="40"/>
          <w:szCs w:val="28"/>
        </w:rPr>
        <w:t>iGPS</w:t>
      </w:r>
      <w:proofErr w:type="spellEnd"/>
    </w:p>
    <w:p w14:paraId="5C1CCC9F" w14:textId="77777777" w:rsidR="00C05132" w:rsidRPr="001F378F" w:rsidRDefault="00C05132" w:rsidP="00A06BE4">
      <w:pPr>
        <w:rPr>
          <w:sz w:val="22"/>
          <w:szCs w:val="22"/>
        </w:rPr>
      </w:pPr>
    </w:p>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58D60CBE" w:rsidR="00A80363" w:rsidRPr="00C05132" w:rsidRDefault="00A80363" w:rsidP="00AA7B55">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AA7B55">
        <w:rPr>
          <w:rFonts w:cs="Segoe UI"/>
        </w:rPr>
        <w:t>2024</w:t>
      </w:r>
      <w:r w:rsidR="00442C1C" w:rsidRPr="00C05132">
        <w:rPr>
          <w:rFonts w:cs="Segoe UI"/>
        </w:rPr>
        <w:t xml:space="preserve">. </w:t>
      </w:r>
      <w:r w:rsidR="00AA7B55" w:rsidRPr="00AA7B55">
        <w:rPr>
          <w:rFonts w:cs="Segoe UI"/>
          <w:i/>
        </w:rPr>
        <w:t>2024 Addendum to the Interim Government Policy Statement on Health 2022-2024:</w:t>
      </w:r>
      <w:r w:rsidR="00AA7B55">
        <w:rPr>
          <w:rFonts w:cs="Segoe UI"/>
          <w:i/>
        </w:rPr>
        <w:t xml:space="preserve"> </w:t>
      </w:r>
      <w:r w:rsidR="00AA7B55" w:rsidRPr="00AA7B55">
        <w:rPr>
          <w:rFonts w:cs="Segoe UI"/>
          <w:i/>
        </w:rPr>
        <w:t xml:space="preserve">Appendix 3: Summary data definitions for the measures in the </w:t>
      </w:r>
      <w:proofErr w:type="spellStart"/>
      <w:r w:rsidR="00AA7B55" w:rsidRPr="00AA7B55">
        <w:rPr>
          <w:rFonts w:cs="Segoe UI"/>
          <w:i/>
        </w:rPr>
        <w:t>iGPS</w:t>
      </w:r>
      <w:proofErr w:type="spellEnd"/>
      <w:r w:rsidR="00442C1C" w:rsidRPr="00C05132">
        <w:rPr>
          <w:rFonts w:cs="Segoe UI"/>
        </w:rPr>
        <w:t>. Wellington: Ministry of Health.</w:t>
      </w:r>
    </w:p>
    <w:p w14:paraId="7909192E" w14:textId="1D584567" w:rsidR="00C86248" w:rsidRDefault="00C86248">
      <w:pPr>
        <w:pStyle w:val="Imprint"/>
      </w:pPr>
      <w:r>
        <w:t xml:space="preserve">Published in </w:t>
      </w:r>
      <w:r w:rsidR="00AA7B55" w:rsidRPr="009D39E6">
        <w:t>May 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7C933A32" w:rsidR="00082CD6" w:rsidRPr="009C0F2D" w:rsidRDefault="00082CD6" w:rsidP="00082CD6">
      <w:pPr>
        <w:pStyle w:val="Imprint"/>
      </w:pPr>
      <w:r w:rsidRPr="0057418E">
        <w:t xml:space="preserve">HP </w:t>
      </w:r>
      <w:r w:rsidR="00873DCE">
        <w:t>9071</w:t>
      </w:r>
    </w:p>
    <w:p w14:paraId="48DBDA36" w14:textId="77777777" w:rsidR="00C86248" w:rsidRDefault="008C64C4" w:rsidP="00A63DFF">
      <w:r>
        <w:rPr>
          <w:noProof/>
          <w:lang w:eastAsia="en-NZ"/>
        </w:rPr>
        <w:drawing>
          <wp:inline distT="0" distB="0" distL="0" distR="0" wp14:anchorId="6EF4539D" wp14:editId="38905214">
            <wp:extent cx="1216825" cy="576270"/>
            <wp:effectExtent l="0" t="0" r="2540" b="0"/>
            <wp:docPr id="2" name="Picture 2" descr="Ministry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40EF35AB" w14:textId="17053B43" w:rsidR="00165244" w:rsidRDefault="0016524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66488688" w:history="1">
        <w:r w:rsidRPr="00B60F3E">
          <w:rPr>
            <w:rStyle w:val="Hyperlink"/>
            <w:noProof/>
          </w:rPr>
          <w:t>About this addendum</w:t>
        </w:r>
        <w:r>
          <w:rPr>
            <w:noProof/>
            <w:webHidden/>
          </w:rPr>
          <w:tab/>
        </w:r>
        <w:r>
          <w:rPr>
            <w:noProof/>
            <w:webHidden/>
          </w:rPr>
          <w:fldChar w:fldCharType="begin"/>
        </w:r>
        <w:r>
          <w:rPr>
            <w:noProof/>
            <w:webHidden/>
          </w:rPr>
          <w:instrText xml:space="preserve"> PAGEREF _Toc166488688 \h </w:instrText>
        </w:r>
        <w:r>
          <w:rPr>
            <w:noProof/>
            <w:webHidden/>
          </w:rPr>
        </w:r>
        <w:r>
          <w:rPr>
            <w:noProof/>
            <w:webHidden/>
          </w:rPr>
          <w:fldChar w:fldCharType="separate"/>
        </w:r>
        <w:r w:rsidR="0006748F">
          <w:rPr>
            <w:noProof/>
            <w:webHidden/>
          </w:rPr>
          <w:t>1</w:t>
        </w:r>
        <w:r>
          <w:rPr>
            <w:noProof/>
            <w:webHidden/>
          </w:rPr>
          <w:fldChar w:fldCharType="end"/>
        </w:r>
      </w:hyperlink>
    </w:p>
    <w:p w14:paraId="33EAC1D1" w14:textId="74EB4011" w:rsidR="00165244" w:rsidRDefault="00000000">
      <w:pPr>
        <w:pStyle w:val="TOC2"/>
        <w:rPr>
          <w:rFonts w:asciiTheme="minorHAnsi" w:eastAsiaTheme="minorEastAsia" w:hAnsiTheme="minorHAnsi" w:cstheme="minorBidi"/>
          <w:noProof/>
          <w:szCs w:val="22"/>
          <w:lang w:eastAsia="en-NZ"/>
        </w:rPr>
      </w:pPr>
      <w:hyperlink w:anchor="_Toc166488689" w:history="1">
        <w:r w:rsidR="00165244" w:rsidRPr="00B60F3E">
          <w:rPr>
            <w:rStyle w:val="Hyperlink"/>
            <w:noProof/>
          </w:rPr>
          <w:t>Priority 1: Achieving equity in health outcomes</w:t>
        </w:r>
        <w:r w:rsidR="00165244">
          <w:rPr>
            <w:noProof/>
            <w:webHidden/>
          </w:rPr>
          <w:tab/>
        </w:r>
        <w:r w:rsidR="00165244">
          <w:rPr>
            <w:noProof/>
            <w:webHidden/>
          </w:rPr>
          <w:fldChar w:fldCharType="begin"/>
        </w:r>
        <w:r w:rsidR="00165244">
          <w:rPr>
            <w:noProof/>
            <w:webHidden/>
          </w:rPr>
          <w:instrText xml:space="preserve"> PAGEREF _Toc166488689 \h </w:instrText>
        </w:r>
        <w:r w:rsidR="00165244">
          <w:rPr>
            <w:noProof/>
            <w:webHidden/>
          </w:rPr>
        </w:r>
        <w:r w:rsidR="00165244">
          <w:rPr>
            <w:noProof/>
            <w:webHidden/>
          </w:rPr>
          <w:fldChar w:fldCharType="separate"/>
        </w:r>
        <w:r w:rsidR="0006748F">
          <w:rPr>
            <w:noProof/>
            <w:webHidden/>
          </w:rPr>
          <w:t>2</w:t>
        </w:r>
        <w:r w:rsidR="00165244">
          <w:rPr>
            <w:noProof/>
            <w:webHidden/>
          </w:rPr>
          <w:fldChar w:fldCharType="end"/>
        </w:r>
      </w:hyperlink>
    </w:p>
    <w:p w14:paraId="501A453E" w14:textId="783C8577" w:rsidR="00165244" w:rsidRDefault="00000000">
      <w:pPr>
        <w:pStyle w:val="TOC2"/>
        <w:rPr>
          <w:rFonts w:asciiTheme="minorHAnsi" w:eastAsiaTheme="minorEastAsia" w:hAnsiTheme="minorHAnsi" w:cstheme="minorBidi"/>
          <w:noProof/>
          <w:szCs w:val="22"/>
          <w:lang w:eastAsia="en-NZ"/>
        </w:rPr>
      </w:pPr>
      <w:hyperlink w:anchor="_Toc166488690" w:history="1">
        <w:r w:rsidR="00165244" w:rsidRPr="00B60F3E">
          <w:rPr>
            <w:rStyle w:val="Hyperlink"/>
            <w:noProof/>
          </w:rPr>
          <w:t>Priority 2: Embedding Te Tiriti o Waitangi across the health sector</w:t>
        </w:r>
        <w:r w:rsidR="00165244">
          <w:rPr>
            <w:noProof/>
            <w:webHidden/>
          </w:rPr>
          <w:tab/>
        </w:r>
        <w:r w:rsidR="00165244">
          <w:rPr>
            <w:noProof/>
            <w:webHidden/>
          </w:rPr>
          <w:fldChar w:fldCharType="begin"/>
        </w:r>
        <w:r w:rsidR="00165244">
          <w:rPr>
            <w:noProof/>
            <w:webHidden/>
          </w:rPr>
          <w:instrText xml:space="preserve"> PAGEREF _Toc166488690 \h </w:instrText>
        </w:r>
        <w:r w:rsidR="00165244">
          <w:rPr>
            <w:noProof/>
            <w:webHidden/>
          </w:rPr>
        </w:r>
        <w:r w:rsidR="00165244">
          <w:rPr>
            <w:noProof/>
            <w:webHidden/>
          </w:rPr>
          <w:fldChar w:fldCharType="separate"/>
        </w:r>
        <w:r w:rsidR="0006748F">
          <w:rPr>
            <w:noProof/>
            <w:webHidden/>
          </w:rPr>
          <w:t>9</w:t>
        </w:r>
        <w:r w:rsidR="00165244">
          <w:rPr>
            <w:noProof/>
            <w:webHidden/>
          </w:rPr>
          <w:fldChar w:fldCharType="end"/>
        </w:r>
      </w:hyperlink>
    </w:p>
    <w:p w14:paraId="1ADF3EF5" w14:textId="5ACC629C" w:rsidR="00165244" w:rsidRDefault="00000000">
      <w:pPr>
        <w:pStyle w:val="TOC2"/>
        <w:rPr>
          <w:rFonts w:asciiTheme="minorHAnsi" w:eastAsiaTheme="minorEastAsia" w:hAnsiTheme="minorHAnsi" w:cstheme="minorBidi"/>
          <w:noProof/>
          <w:szCs w:val="22"/>
          <w:lang w:eastAsia="en-NZ"/>
        </w:rPr>
      </w:pPr>
      <w:hyperlink w:anchor="_Toc166488691" w:history="1">
        <w:r w:rsidR="00165244" w:rsidRPr="00B60F3E">
          <w:rPr>
            <w:rStyle w:val="Hyperlink"/>
            <w:noProof/>
          </w:rPr>
          <w:t>Priority 3: Keeping people well in their communities</w:t>
        </w:r>
        <w:r w:rsidR="00165244">
          <w:rPr>
            <w:noProof/>
            <w:webHidden/>
          </w:rPr>
          <w:tab/>
        </w:r>
        <w:r w:rsidR="00165244">
          <w:rPr>
            <w:noProof/>
            <w:webHidden/>
          </w:rPr>
          <w:fldChar w:fldCharType="begin"/>
        </w:r>
        <w:r w:rsidR="00165244">
          <w:rPr>
            <w:noProof/>
            <w:webHidden/>
          </w:rPr>
          <w:instrText xml:space="preserve"> PAGEREF _Toc166488691 \h </w:instrText>
        </w:r>
        <w:r w:rsidR="00165244">
          <w:rPr>
            <w:noProof/>
            <w:webHidden/>
          </w:rPr>
        </w:r>
        <w:r w:rsidR="00165244">
          <w:rPr>
            <w:noProof/>
            <w:webHidden/>
          </w:rPr>
          <w:fldChar w:fldCharType="separate"/>
        </w:r>
        <w:r w:rsidR="0006748F">
          <w:rPr>
            <w:noProof/>
            <w:webHidden/>
          </w:rPr>
          <w:t>12</w:t>
        </w:r>
        <w:r w:rsidR="00165244">
          <w:rPr>
            <w:noProof/>
            <w:webHidden/>
          </w:rPr>
          <w:fldChar w:fldCharType="end"/>
        </w:r>
      </w:hyperlink>
    </w:p>
    <w:p w14:paraId="017EF1E8" w14:textId="28CBE851" w:rsidR="00165244" w:rsidRDefault="00000000">
      <w:pPr>
        <w:pStyle w:val="TOC2"/>
        <w:rPr>
          <w:rFonts w:asciiTheme="minorHAnsi" w:eastAsiaTheme="minorEastAsia" w:hAnsiTheme="minorHAnsi" w:cstheme="minorBidi"/>
          <w:noProof/>
          <w:szCs w:val="22"/>
          <w:lang w:eastAsia="en-NZ"/>
        </w:rPr>
      </w:pPr>
      <w:hyperlink w:anchor="_Toc166488692" w:history="1">
        <w:r w:rsidR="00165244" w:rsidRPr="00B60F3E">
          <w:rPr>
            <w:rStyle w:val="Hyperlink"/>
            <w:noProof/>
          </w:rPr>
          <w:t>Priority 4: Developing the health workforce of the future</w:t>
        </w:r>
        <w:r w:rsidR="00165244">
          <w:rPr>
            <w:noProof/>
            <w:webHidden/>
          </w:rPr>
          <w:tab/>
        </w:r>
        <w:r w:rsidR="00165244">
          <w:rPr>
            <w:noProof/>
            <w:webHidden/>
          </w:rPr>
          <w:fldChar w:fldCharType="begin"/>
        </w:r>
        <w:r w:rsidR="00165244">
          <w:rPr>
            <w:noProof/>
            <w:webHidden/>
          </w:rPr>
          <w:instrText xml:space="preserve"> PAGEREF _Toc166488692 \h </w:instrText>
        </w:r>
        <w:r w:rsidR="00165244">
          <w:rPr>
            <w:noProof/>
            <w:webHidden/>
          </w:rPr>
        </w:r>
        <w:r w:rsidR="00165244">
          <w:rPr>
            <w:noProof/>
            <w:webHidden/>
          </w:rPr>
          <w:fldChar w:fldCharType="separate"/>
        </w:r>
        <w:r w:rsidR="0006748F">
          <w:rPr>
            <w:noProof/>
            <w:webHidden/>
          </w:rPr>
          <w:t>21</w:t>
        </w:r>
        <w:r w:rsidR="00165244">
          <w:rPr>
            <w:noProof/>
            <w:webHidden/>
          </w:rPr>
          <w:fldChar w:fldCharType="end"/>
        </w:r>
      </w:hyperlink>
    </w:p>
    <w:p w14:paraId="7E130DE5" w14:textId="531453A2" w:rsidR="00165244" w:rsidRDefault="00000000">
      <w:pPr>
        <w:pStyle w:val="TOC2"/>
        <w:rPr>
          <w:rFonts w:asciiTheme="minorHAnsi" w:eastAsiaTheme="minorEastAsia" w:hAnsiTheme="minorHAnsi" w:cstheme="minorBidi"/>
          <w:noProof/>
          <w:szCs w:val="22"/>
          <w:lang w:eastAsia="en-NZ"/>
        </w:rPr>
      </w:pPr>
      <w:hyperlink w:anchor="_Toc166488693" w:history="1">
        <w:r w:rsidR="00165244" w:rsidRPr="00B60F3E">
          <w:rPr>
            <w:rStyle w:val="Hyperlink"/>
            <w:noProof/>
          </w:rPr>
          <w:t>Priority 5: Ensuring a financially sustainable health sector</w:t>
        </w:r>
        <w:r w:rsidR="00165244">
          <w:rPr>
            <w:noProof/>
            <w:webHidden/>
          </w:rPr>
          <w:tab/>
        </w:r>
        <w:r w:rsidR="00165244">
          <w:rPr>
            <w:noProof/>
            <w:webHidden/>
          </w:rPr>
          <w:fldChar w:fldCharType="begin"/>
        </w:r>
        <w:r w:rsidR="00165244">
          <w:rPr>
            <w:noProof/>
            <w:webHidden/>
          </w:rPr>
          <w:instrText xml:space="preserve"> PAGEREF _Toc166488693 \h </w:instrText>
        </w:r>
        <w:r w:rsidR="00165244">
          <w:rPr>
            <w:noProof/>
            <w:webHidden/>
          </w:rPr>
        </w:r>
        <w:r w:rsidR="00165244">
          <w:rPr>
            <w:noProof/>
            <w:webHidden/>
          </w:rPr>
          <w:fldChar w:fldCharType="separate"/>
        </w:r>
        <w:r w:rsidR="0006748F">
          <w:rPr>
            <w:noProof/>
            <w:webHidden/>
          </w:rPr>
          <w:t>24</w:t>
        </w:r>
        <w:r w:rsidR="00165244">
          <w:rPr>
            <w:noProof/>
            <w:webHidden/>
          </w:rPr>
          <w:fldChar w:fldCharType="end"/>
        </w:r>
      </w:hyperlink>
    </w:p>
    <w:p w14:paraId="3C09085F" w14:textId="24CB1586" w:rsidR="00165244" w:rsidRDefault="00000000">
      <w:pPr>
        <w:pStyle w:val="TOC2"/>
        <w:rPr>
          <w:rFonts w:asciiTheme="minorHAnsi" w:eastAsiaTheme="minorEastAsia" w:hAnsiTheme="minorHAnsi" w:cstheme="minorBidi"/>
          <w:noProof/>
          <w:szCs w:val="22"/>
          <w:lang w:eastAsia="en-NZ"/>
        </w:rPr>
      </w:pPr>
      <w:hyperlink w:anchor="_Toc166488694" w:history="1">
        <w:r w:rsidR="00165244" w:rsidRPr="00B60F3E">
          <w:rPr>
            <w:rStyle w:val="Hyperlink"/>
            <w:noProof/>
          </w:rPr>
          <w:t>Priority 6: Laying the foundations for the ongoing success of the health sector</w:t>
        </w:r>
        <w:r w:rsidR="00165244">
          <w:rPr>
            <w:noProof/>
            <w:webHidden/>
          </w:rPr>
          <w:tab/>
        </w:r>
        <w:r w:rsidR="00165244">
          <w:rPr>
            <w:noProof/>
            <w:webHidden/>
          </w:rPr>
          <w:fldChar w:fldCharType="begin"/>
        </w:r>
        <w:r w:rsidR="00165244">
          <w:rPr>
            <w:noProof/>
            <w:webHidden/>
          </w:rPr>
          <w:instrText xml:space="preserve"> PAGEREF _Toc166488694 \h </w:instrText>
        </w:r>
        <w:r w:rsidR="00165244">
          <w:rPr>
            <w:noProof/>
            <w:webHidden/>
          </w:rPr>
        </w:r>
        <w:r w:rsidR="00165244">
          <w:rPr>
            <w:noProof/>
            <w:webHidden/>
          </w:rPr>
          <w:fldChar w:fldCharType="separate"/>
        </w:r>
        <w:r w:rsidR="0006748F">
          <w:rPr>
            <w:noProof/>
            <w:webHidden/>
          </w:rPr>
          <w:t>27</w:t>
        </w:r>
        <w:r w:rsidR="00165244">
          <w:rPr>
            <w:noProof/>
            <w:webHidden/>
          </w:rPr>
          <w:fldChar w:fldCharType="end"/>
        </w:r>
      </w:hyperlink>
    </w:p>
    <w:p w14:paraId="133A9219" w14:textId="41930565" w:rsidR="00C86248" w:rsidRDefault="00165244">
      <w:r>
        <w:rPr>
          <w:rFonts w:ascii="Segoe UI Semibold" w:hAnsi="Segoe UI Semibold"/>
          <w:b/>
          <w:sz w:val="24"/>
        </w:rPr>
        <w:fldChar w:fldCharType="end"/>
      </w:r>
    </w:p>
    <w:p w14:paraId="4A6797B1" w14:textId="1B61883B" w:rsidR="002B76A7" w:rsidRDefault="002B76A7" w:rsidP="003A5FEA"/>
    <w:p w14:paraId="03333094" w14:textId="77777777" w:rsidR="001D3E4E" w:rsidRDefault="001D3E4E" w:rsidP="003A5FEA">
      <w:pPr>
        <w:sectPr w:rsidR="001D3E4E" w:rsidSect="009C6437">
          <w:headerReference w:type="even" r:id="rId18"/>
          <w:headerReference w:type="default" r:id="rId19"/>
          <w:footerReference w:type="even" r:id="rId20"/>
          <w:footerReference w:type="default" r:id="rId21"/>
          <w:pgSz w:w="11907" w:h="16840" w:code="9"/>
          <w:pgMar w:top="1701" w:right="1701" w:bottom="1134" w:left="1843" w:header="284" w:footer="425" w:gutter="284"/>
          <w:pgNumType w:fmt="lowerRoman"/>
          <w:cols w:space="720"/>
        </w:sectPr>
      </w:pPr>
    </w:p>
    <w:p w14:paraId="5DDB57FC" w14:textId="77777777" w:rsidR="001D3E4E" w:rsidRDefault="001D3E4E" w:rsidP="003A5FEA"/>
    <w:p w14:paraId="401A44E8" w14:textId="598BE74E" w:rsidR="00622D24" w:rsidRDefault="007D29C9" w:rsidP="00577C3E">
      <w:pPr>
        <w:pStyle w:val="Heading1"/>
        <w:spacing w:before="0"/>
      </w:pPr>
      <w:bookmarkStart w:id="3" w:name="_Toc166488688"/>
      <w:r>
        <w:t>About this addendum</w:t>
      </w:r>
      <w:bookmarkEnd w:id="3"/>
    </w:p>
    <w:p w14:paraId="7AB82298" w14:textId="54129431" w:rsidR="00622D24" w:rsidRPr="00622D24" w:rsidRDefault="00622D24" w:rsidP="00622D24">
      <w:pPr>
        <w:sectPr w:rsidR="00622D24" w:rsidRPr="00622D24" w:rsidSect="00622D24">
          <w:footerReference w:type="even" r:id="rId22"/>
          <w:footerReference w:type="default" r:id="rId23"/>
          <w:pgSz w:w="11906" w:h="16838" w:code="9"/>
          <w:pgMar w:top="1134" w:right="1416" w:bottom="1134" w:left="1560" w:header="284" w:footer="425" w:gutter="284"/>
          <w:pgNumType w:start="1"/>
          <w:cols w:space="720"/>
          <w:docGrid w:linePitch="286"/>
        </w:sectPr>
      </w:pPr>
      <w:r w:rsidRPr="00622D24">
        <w:t xml:space="preserve">This addendum to the interim Government Policy Statement on Health 2022-2024 (or </w:t>
      </w:r>
      <w:proofErr w:type="spellStart"/>
      <w:r w:rsidRPr="00622D24">
        <w:t>iGPS</w:t>
      </w:r>
      <w:proofErr w:type="spellEnd"/>
      <w:r w:rsidRPr="00622D24">
        <w:t xml:space="preserve">) contains the final definitions of the measures that the Ministry of Health - Manatū Hauora (the Ministry) has used for reporting on the </w:t>
      </w:r>
      <w:proofErr w:type="spellStart"/>
      <w:r w:rsidRPr="00622D24">
        <w:t>iGPS</w:t>
      </w:r>
      <w:proofErr w:type="spellEnd"/>
      <w:r w:rsidRPr="00622D24">
        <w:t>. Appendix 3 was published in 2022 with the expectation the Ministry would update it with additional technical details to enable reporting.</w:t>
      </w:r>
    </w:p>
    <w:p w14:paraId="0A056DB8" w14:textId="3716A4AC" w:rsidR="009A42D5" w:rsidRDefault="00AA7B55" w:rsidP="00A72706">
      <w:pPr>
        <w:pStyle w:val="Heading2"/>
        <w:spacing w:before="0"/>
      </w:pPr>
      <w:bookmarkStart w:id="4" w:name="_Toc166488689"/>
      <w:r w:rsidRPr="00AA7B55">
        <w:lastRenderedPageBreak/>
        <w:t>Priority 1: Achieving equity in health outcomes</w:t>
      </w:r>
      <w:bookmarkEnd w:id="4"/>
    </w:p>
    <w:p w14:paraId="7DBEAC5E" w14:textId="77777777" w:rsidR="00AA7B55" w:rsidRPr="00AA7B55" w:rsidRDefault="00AA7B55" w:rsidP="00AA7B55">
      <w:pPr>
        <w:pStyle w:val="Heading3"/>
        <w:ind w:left="564" w:hanging="564"/>
        <w:rPr>
          <w:sz w:val="24"/>
          <w:szCs w:val="24"/>
        </w:rPr>
      </w:pPr>
      <w:r w:rsidRPr="00AA7B55">
        <w:rPr>
          <w:sz w:val="24"/>
          <w:szCs w:val="24"/>
        </w:rPr>
        <w:t>1.1</w:t>
      </w:r>
      <w:r w:rsidRPr="00AA7B55">
        <w:rPr>
          <w:sz w:val="24"/>
          <w:szCs w:val="24"/>
        </w:rPr>
        <w:tab/>
        <w:t>Variation in clinical prioritisation for cancer treatment and elective surgery, reported by ethnicity and geographic area</w:t>
      </w:r>
    </w:p>
    <w:p w14:paraId="4A56F5EE" w14:textId="1E975934" w:rsidR="00AA7B55" w:rsidRDefault="00AA7B55" w:rsidP="00AA7B55">
      <w:r w:rsidRPr="00155D06">
        <w:t>Initially this measure will reflect ESPI 8. The definition below reflects the existing</w:t>
      </w:r>
      <w:r>
        <w:t xml:space="preserve"> </w:t>
      </w:r>
      <w:r w:rsidRPr="00155D06">
        <w:t>measure definition.</w:t>
      </w:r>
    </w:p>
    <w:p w14:paraId="2F45EA98" w14:textId="77777777" w:rsidR="00AA7B55" w:rsidRDefault="00AA7B55" w:rsidP="00AA7B55"/>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9"/>
        <w:gridCol w:w="5528"/>
      </w:tblGrid>
      <w:tr w:rsidR="00AA7B55" w14:paraId="77BDDE4C" w14:textId="77777777" w:rsidTr="00161C0A">
        <w:tc>
          <w:tcPr>
            <w:tcW w:w="3119" w:type="dxa"/>
            <w:shd w:val="clear" w:color="auto" w:fill="D9D9D9"/>
          </w:tcPr>
          <w:p w14:paraId="38225B93" w14:textId="77777777" w:rsidR="00AA7B55" w:rsidRPr="00AA7B55" w:rsidRDefault="00AA7B55" w:rsidP="00AA7B55">
            <w:pPr>
              <w:pStyle w:val="TableText"/>
              <w:rPr>
                <w:b/>
                <w:bCs/>
              </w:rPr>
            </w:pPr>
            <w:r w:rsidRPr="00AA7B55">
              <w:rPr>
                <w:b/>
                <w:bCs/>
              </w:rPr>
              <w:t>Expectation for July 2022 – June 2024</w:t>
            </w:r>
          </w:p>
        </w:tc>
        <w:tc>
          <w:tcPr>
            <w:tcW w:w="5528" w:type="dxa"/>
          </w:tcPr>
          <w:p w14:paraId="191FE5C1" w14:textId="77777777" w:rsidR="00AA7B55" w:rsidRPr="00AA7B55" w:rsidRDefault="00AA7B55" w:rsidP="00AA7B55">
            <w:pPr>
              <w:pStyle w:val="TableText"/>
            </w:pPr>
            <w:r w:rsidRPr="00AA7B55">
              <w:t>100% of patients were prioritised using approved nationally recognised processes or tools</w:t>
            </w:r>
          </w:p>
        </w:tc>
      </w:tr>
      <w:tr w:rsidR="00AA7B55" w14:paraId="53DD7B87" w14:textId="77777777" w:rsidTr="00161C0A">
        <w:tc>
          <w:tcPr>
            <w:tcW w:w="3119" w:type="dxa"/>
            <w:shd w:val="clear" w:color="auto" w:fill="D9D9D9" w:themeFill="background1" w:themeFillShade="D9"/>
          </w:tcPr>
          <w:p w14:paraId="4A060ADC" w14:textId="77777777" w:rsidR="00AA7B55" w:rsidRPr="00AA7B55" w:rsidRDefault="00AA7B55" w:rsidP="00AA7B55">
            <w:pPr>
              <w:pStyle w:val="TableText"/>
              <w:rPr>
                <w:b/>
                <w:bCs/>
              </w:rPr>
            </w:pPr>
            <w:r w:rsidRPr="00AA7B55">
              <w:rPr>
                <w:b/>
                <w:bCs/>
              </w:rPr>
              <w:t>Data source</w:t>
            </w:r>
          </w:p>
        </w:tc>
        <w:tc>
          <w:tcPr>
            <w:tcW w:w="5528" w:type="dxa"/>
          </w:tcPr>
          <w:p w14:paraId="64DB807F" w14:textId="77777777" w:rsidR="00AA7B55" w:rsidRPr="00AA7B55" w:rsidRDefault="00AA7B55" w:rsidP="00AA7B55">
            <w:pPr>
              <w:pStyle w:val="TableText"/>
            </w:pPr>
            <w:r w:rsidRPr="00AA7B55">
              <w:t>National Collections – National Booking Reporting System (NBRS)</w:t>
            </w:r>
          </w:p>
        </w:tc>
      </w:tr>
      <w:tr w:rsidR="00AA7B55" w14:paraId="2B018272" w14:textId="77777777" w:rsidTr="00161C0A">
        <w:tc>
          <w:tcPr>
            <w:tcW w:w="3119" w:type="dxa"/>
            <w:shd w:val="clear" w:color="auto" w:fill="D9D9D9" w:themeFill="background1" w:themeFillShade="D9"/>
          </w:tcPr>
          <w:p w14:paraId="72D8B964" w14:textId="77777777" w:rsidR="00AA7B55" w:rsidRPr="00AA7B55" w:rsidRDefault="00AA7B55" w:rsidP="00AA7B55">
            <w:pPr>
              <w:pStyle w:val="TableText"/>
              <w:rPr>
                <w:b/>
                <w:bCs/>
              </w:rPr>
            </w:pPr>
            <w:r w:rsidRPr="00AA7B55">
              <w:rPr>
                <w:b/>
                <w:bCs/>
              </w:rPr>
              <w:t>If quantitative, measurement definitions</w:t>
            </w:r>
          </w:p>
        </w:tc>
        <w:tc>
          <w:tcPr>
            <w:tcW w:w="5528" w:type="dxa"/>
          </w:tcPr>
          <w:p w14:paraId="7F4D18E0" w14:textId="77777777" w:rsidR="00AA7B55" w:rsidRPr="00AA7B55" w:rsidRDefault="00AA7B55" w:rsidP="00AA7B55">
            <w:pPr>
              <w:pStyle w:val="TableText"/>
            </w:pPr>
            <w:r w:rsidRPr="00AA7B55">
              <w:t>Numerator: Number of patients prioritised in the month who were prioritised using an approved national or nationally recognised tool</w:t>
            </w:r>
          </w:p>
          <w:p w14:paraId="4BC04AC7" w14:textId="77777777" w:rsidR="00AA7B55" w:rsidRPr="00AA7B55" w:rsidRDefault="00AA7B55" w:rsidP="00AA7B55">
            <w:pPr>
              <w:pStyle w:val="TableText"/>
            </w:pPr>
            <w:r w:rsidRPr="00AA7B55">
              <w:t>Denominator: Total number of patients prioritised during the month</w:t>
            </w:r>
          </w:p>
        </w:tc>
      </w:tr>
      <w:tr w:rsidR="00AA7B55" w14:paraId="1FC4B2B6" w14:textId="77777777" w:rsidTr="00161C0A">
        <w:tc>
          <w:tcPr>
            <w:tcW w:w="3119" w:type="dxa"/>
            <w:shd w:val="clear" w:color="auto" w:fill="D9D9D9" w:themeFill="background1" w:themeFillShade="D9"/>
          </w:tcPr>
          <w:p w14:paraId="73F61432" w14:textId="77777777" w:rsidR="00AA7B55" w:rsidRPr="00AA7B55" w:rsidRDefault="00AA7B55" w:rsidP="00AA7B55">
            <w:pPr>
              <w:pStyle w:val="TableText"/>
              <w:rPr>
                <w:b/>
                <w:bCs/>
              </w:rPr>
            </w:pPr>
            <w:r w:rsidRPr="00AA7B55">
              <w:rPr>
                <w:b/>
                <w:bCs/>
              </w:rPr>
              <w:t>Frequency that data is available</w:t>
            </w:r>
          </w:p>
        </w:tc>
        <w:tc>
          <w:tcPr>
            <w:tcW w:w="5528" w:type="dxa"/>
          </w:tcPr>
          <w:p w14:paraId="4271B8A0" w14:textId="77777777" w:rsidR="00AA7B55" w:rsidRPr="00AA7B55" w:rsidRDefault="00AA7B55" w:rsidP="00AA7B55">
            <w:pPr>
              <w:pStyle w:val="TableText"/>
            </w:pPr>
            <w:r w:rsidRPr="00AA7B55">
              <w:t>Monthly</w:t>
            </w:r>
          </w:p>
        </w:tc>
      </w:tr>
      <w:tr w:rsidR="00AA7B55" w14:paraId="14C6C1AD" w14:textId="77777777" w:rsidTr="00161C0A">
        <w:tc>
          <w:tcPr>
            <w:tcW w:w="3119" w:type="dxa"/>
            <w:shd w:val="clear" w:color="auto" w:fill="D9D9D9" w:themeFill="background1" w:themeFillShade="D9"/>
          </w:tcPr>
          <w:p w14:paraId="5808A8C3" w14:textId="77777777" w:rsidR="00AA7B55" w:rsidRPr="00AA7B55" w:rsidRDefault="00AA7B55" w:rsidP="00AA7B55">
            <w:pPr>
              <w:pStyle w:val="TableText"/>
              <w:rPr>
                <w:b/>
                <w:bCs/>
              </w:rPr>
            </w:pPr>
            <w:r w:rsidRPr="00AA7B55">
              <w:rPr>
                <w:b/>
                <w:bCs/>
              </w:rPr>
              <w:t>Level of disaggregation of data available</w:t>
            </w:r>
          </w:p>
        </w:tc>
        <w:tc>
          <w:tcPr>
            <w:tcW w:w="5528" w:type="dxa"/>
          </w:tcPr>
          <w:p w14:paraId="5F3F26F7" w14:textId="77777777" w:rsidR="00AA7B55" w:rsidRPr="00AA7B55" w:rsidRDefault="00AA7B55" w:rsidP="00AA7B55">
            <w:pPr>
              <w:pStyle w:val="TableText"/>
            </w:pPr>
            <w:r w:rsidRPr="00AA7B55">
              <w:t>Specialty, geographic area</w:t>
            </w:r>
          </w:p>
        </w:tc>
      </w:tr>
      <w:tr w:rsidR="00AA7B55" w14:paraId="025F1146" w14:textId="77777777" w:rsidTr="00161C0A">
        <w:tc>
          <w:tcPr>
            <w:tcW w:w="3119" w:type="dxa"/>
            <w:shd w:val="clear" w:color="auto" w:fill="D9D9D9" w:themeFill="background1" w:themeFillShade="D9"/>
          </w:tcPr>
          <w:p w14:paraId="2800CB90" w14:textId="77777777" w:rsidR="00AA7B55" w:rsidRPr="00AA7B55" w:rsidRDefault="00AA7B55" w:rsidP="00AA7B55">
            <w:pPr>
              <w:pStyle w:val="TableText"/>
              <w:rPr>
                <w:b/>
                <w:bCs/>
              </w:rPr>
            </w:pPr>
            <w:r w:rsidRPr="00AA7B55">
              <w:rPr>
                <w:b/>
                <w:bCs/>
              </w:rPr>
              <w:t>Data period</w:t>
            </w:r>
          </w:p>
        </w:tc>
        <w:tc>
          <w:tcPr>
            <w:tcW w:w="5528" w:type="dxa"/>
          </w:tcPr>
          <w:p w14:paraId="418E1241" w14:textId="77777777" w:rsidR="00AA7B55" w:rsidRPr="00AA7B55" w:rsidRDefault="00AA7B55" w:rsidP="00AA7B55">
            <w:pPr>
              <w:pStyle w:val="TableText"/>
            </w:pPr>
            <w:r w:rsidRPr="00AA7B55">
              <w:t>Quarterly, about six to eight weeks in arrears</w:t>
            </w:r>
          </w:p>
        </w:tc>
      </w:tr>
      <w:tr w:rsidR="00AA7B55" w14:paraId="6E63EE12" w14:textId="77777777" w:rsidTr="00161C0A">
        <w:tc>
          <w:tcPr>
            <w:tcW w:w="3119" w:type="dxa"/>
            <w:shd w:val="clear" w:color="auto" w:fill="D9D9D9" w:themeFill="background1" w:themeFillShade="D9"/>
          </w:tcPr>
          <w:p w14:paraId="14264CC0" w14:textId="77777777" w:rsidR="00AA7B55" w:rsidRPr="00AA7B55" w:rsidRDefault="00AA7B55" w:rsidP="00AA7B55">
            <w:pPr>
              <w:pStyle w:val="TableText"/>
              <w:rPr>
                <w:b/>
                <w:bCs/>
              </w:rPr>
            </w:pPr>
            <w:r w:rsidRPr="00AA7B55">
              <w:rPr>
                <w:b/>
                <w:bCs/>
              </w:rPr>
              <w:t>Related or prior performance measure code</w:t>
            </w:r>
          </w:p>
        </w:tc>
        <w:tc>
          <w:tcPr>
            <w:tcW w:w="5528" w:type="dxa"/>
          </w:tcPr>
          <w:p w14:paraId="1C5B1C93" w14:textId="77777777" w:rsidR="00AA7B55" w:rsidRPr="00AA7B55" w:rsidRDefault="00AA7B55" w:rsidP="00AA7B55">
            <w:pPr>
              <w:pStyle w:val="TableText"/>
            </w:pPr>
            <w:r w:rsidRPr="00AA7B55">
              <w:t>ESPI 8 (also part of previous DHB non-financial monitoring framework and performance measures - SS07)</w:t>
            </w:r>
          </w:p>
        </w:tc>
      </w:tr>
    </w:tbl>
    <w:p w14:paraId="585C7340" w14:textId="77777777" w:rsidR="00AA7B55" w:rsidRPr="00161C0A" w:rsidRDefault="00AA7B55" w:rsidP="00161C0A">
      <w:pPr>
        <w:pStyle w:val="Heading3"/>
        <w:ind w:left="564" w:hanging="564"/>
        <w:rPr>
          <w:sz w:val="24"/>
          <w:szCs w:val="24"/>
        </w:rPr>
      </w:pPr>
      <w:bookmarkStart w:id="5" w:name="_bookmark14"/>
      <w:bookmarkStart w:id="6" w:name="_bookmark18"/>
      <w:bookmarkStart w:id="7" w:name="_Toc2753226"/>
      <w:bookmarkEnd w:id="5"/>
      <w:bookmarkEnd w:id="6"/>
      <w:r w:rsidRPr="00161C0A">
        <w:rPr>
          <w:sz w:val="24"/>
          <w:szCs w:val="24"/>
        </w:rPr>
        <w:t>1.2</w:t>
      </w:r>
      <w:r w:rsidRPr="00161C0A">
        <w:rPr>
          <w:sz w:val="24"/>
          <w:szCs w:val="24"/>
        </w:rPr>
        <w:tab/>
      </w:r>
      <w:r w:rsidRPr="00161C0A">
        <w:rPr>
          <w:rStyle w:val="Heading3Char"/>
          <w:sz w:val="24"/>
          <w:szCs w:val="24"/>
        </w:rPr>
        <w:t>Proportion of people who start first treatment for breast, cervical or bowel cancer services after a screen result (presence of cancer), reported by ethnicity and geographic area</w:t>
      </w:r>
    </w:p>
    <w:p w14:paraId="34A8C578" w14:textId="77777777" w:rsidR="00AA7B55" w:rsidRPr="00B04F7D" w:rsidRDefault="00AA7B55" w:rsidP="00AA7B55">
      <w:r w:rsidRPr="00B04F7D">
        <w:t>The Faster Cancer Treatment (FCT) 31-day and 62-day indicators will be used in the interim.</w:t>
      </w:r>
    </w:p>
    <w:p w14:paraId="49AC5FFD" w14:textId="77777777" w:rsidR="00AA7B55" w:rsidRPr="00B04F7D" w:rsidRDefault="00AA7B55" w:rsidP="00AA7B55"/>
    <w:p w14:paraId="74EB4D1D" w14:textId="77777777" w:rsidR="00AA7B55" w:rsidRDefault="00AA7B55" w:rsidP="00AA7B55">
      <w:pPr>
        <w:ind w:left="564" w:hanging="564"/>
        <w:rPr>
          <w:b/>
          <w:bCs/>
        </w:rPr>
      </w:pPr>
      <w:r w:rsidRPr="00B04F7D">
        <w:rPr>
          <w:b/>
          <w:bCs/>
        </w:rPr>
        <w:t>Faster Cancer Treatment (FCT) 31-day</w:t>
      </w:r>
    </w:p>
    <w:p w14:paraId="01FA5A6F" w14:textId="77777777" w:rsidR="00AA7B55" w:rsidRDefault="00AA7B55" w:rsidP="00AA7B55"/>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5391"/>
      </w:tblGrid>
      <w:tr w:rsidR="00AA7B55" w14:paraId="178E54C9" w14:textId="77777777" w:rsidTr="00161C0A">
        <w:tc>
          <w:tcPr>
            <w:tcW w:w="3256" w:type="dxa"/>
            <w:shd w:val="clear" w:color="auto" w:fill="D9D9D9" w:themeFill="background1" w:themeFillShade="D9"/>
          </w:tcPr>
          <w:p w14:paraId="7C6C0267" w14:textId="77777777" w:rsidR="00AA7B55" w:rsidRPr="00D72A42" w:rsidRDefault="00AA7B55" w:rsidP="00A436D7">
            <w:pPr>
              <w:pStyle w:val="TableText"/>
              <w:rPr>
                <w:b/>
                <w:bCs/>
              </w:rPr>
            </w:pPr>
            <w:r w:rsidRPr="00D72A42">
              <w:rPr>
                <w:b/>
                <w:bCs/>
              </w:rPr>
              <w:t>Expectation for July 2022 – June 2024</w:t>
            </w:r>
          </w:p>
        </w:tc>
        <w:tc>
          <w:tcPr>
            <w:tcW w:w="5391" w:type="dxa"/>
          </w:tcPr>
          <w:p w14:paraId="56A51E75" w14:textId="77777777" w:rsidR="00AA7B55" w:rsidRDefault="00AA7B55" w:rsidP="00A436D7">
            <w:pPr>
              <w:pStyle w:val="TableText"/>
            </w:pPr>
            <w:r w:rsidRPr="00B04F7D">
              <w:t>85% of patients receive their first cancer treatment (or other management) within 31 days from date of decision-to-treat.</w:t>
            </w:r>
          </w:p>
        </w:tc>
      </w:tr>
      <w:tr w:rsidR="00AA7B55" w14:paraId="587D66FA" w14:textId="77777777" w:rsidTr="00161C0A">
        <w:tc>
          <w:tcPr>
            <w:tcW w:w="3256" w:type="dxa"/>
            <w:shd w:val="clear" w:color="auto" w:fill="D9D9D9" w:themeFill="background1" w:themeFillShade="D9"/>
          </w:tcPr>
          <w:p w14:paraId="4A57542C" w14:textId="77777777" w:rsidR="00AA7B55" w:rsidRPr="00D72A42" w:rsidRDefault="00AA7B55" w:rsidP="00A436D7">
            <w:pPr>
              <w:pStyle w:val="TableText"/>
              <w:rPr>
                <w:b/>
                <w:bCs/>
              </w:rPr>
            </w:pPr>
            <w:r w:rsidRPr="00D72A42">
              <w:rPr>
                <w:b/>
                <w:bCs/>
              </w:rPr>
              <w:t>Data source</w:t>
            </w:r>
          </w:p>
        </w:tc>
        <w:tc>
          <w:tcPr>
            <w:tcW w:w="5391" w:type="dxa"/>
          </w:tcPr>
          <w:p w14:paraId="1344FBD2" w14:textId="77777777" w:rsidR="00AA7B55" w:rsidRDefault="00AA7B55" w:rsidP="00A436D7">
            <w:pPr>
              <w:pStyle w:val="TableText"/>
            </w:pPr>
            <w:r w:rsidRPr="000A30F7">
              <w:t>Faster Cancer Treatment database</w:t>
            </w:r>
          </w:p>
        </w:tc>
      </w:tr>
      <w:tr w:rsidR="00AA7B55" w14:paraId="5FDA7E90" w14:textId="77777777" w:rsidTr="00161C0A">
        <w:tc>
          <w:tcPr>
            <w:tcW w:w="3256" w:type="dxa"/>
            <w:shd w:val="clear" w:color="auto" w:fill="D9D9D9" w:themeFill="background1" w:themeFillShade="D9"/>
          </w:tcPr>
          <w:p w14:paraId="5DE46DCB" w14:textId="77777777" w:rsidR="00AA7B55" w:rsidRPr="00D72A42" w:rsidRDefault="00AA7B55" w:rsidP="00A436D7">
            <w:pPr>
              <w:pStyle w:val="TableText"/>
              <w:rPr>
                <w:b/>
                <w:bCs/>
              </w:rPr>
            </w:pPr>
            <w:r w:rsidRPr="00D72A42">
              <w:rPr>
                <w:b/>
                <w:bCs/>
              </w:rPr>
              <w:t>If quantitative, measurement definitions</w:t>
            </w:r>
          </w:p>
        </w:tc>
        <w:tc>
          <w:tcPr>
            <w:tcW w:w="5391" w:type="dxa"/>
          </w:tcPr>
          <w:p w14:paraId="1F54F0F2" w14:textId="77777777" w:rsidR="00AA7B55" w:rsidRPr="000A30F7" w:rsidRDefault="00AA7B55" w:rsidP="00A436D7">
            <w:pPr>
              <w:pStyle w:val="TableText"/>
            </w:pPr>
            <w:r w:rsidRPr="000A30F7">
              <w:t>Numerator: Number of patients meeting the 31-day timeline</w:t>
            </w:r>
          </w:p>
          <w:p w14:paraId="18AC327B" w14:textId="77777777" w:rsidR="00AA7B55" w:rsidRDefault="00AA7B55" w:rsidP="00A436D7">
            <w:pPr>
              <w:pStyle w:val="TableText"/>
            </w:pPr>
            <w:r w:rsidRPr="000A30F7">
              <w:t>Denominator: Total number of patients that satisfy the inclusion criteria for the reporting period.</w:t>
            </w:r>
            <w:r>
              <w:t xml:space="preserve"> </w:t>
            </w:r>
          </w:p>
          <w:p w14:paraId="211965DD" w14:textId="77777777" w:rsidR="00AA7B55" w:rsidRPr="000A30F7" w:rsidRDefault="00AA7B55" w:rsidP="00A436D7">
            <w:pPr>
              <w:pStyle w:val="TableText"/>
            </w:pPr>
            <w:r w:rsidRPr="000A30F7">
              <w:t>Inclusion criteria: All patients who receive their first cancer treatment, irrespective of how the cancer was detected and they were initially referred.</w:t>
            </w:r>
          </w:p>
          <w:p w14:paraId="66658635" w14:textId="77777777" w:rsidR="00AA7B55" w:rsidRDefault="00000000" w:rsidP="00A436D7">
            <w:pPr>
              <w:pStyle w:val="TableText"/>
            </w:pPr>
            <w:hyperlink r:id="rId24" w:history="1">
              <w:r w:rsidR="00AA7B55" w:rsidRPr="00094185">
                <w:rPr>
                  <w:b/>
                  <w:color w:val="595959"/>
                </w:rPr>
                <w:t>https://www.tewhatuora.govt.nz/our-health-system/data-and-statistics/nz-health-statistics/data-references/data-dictionaries/</w:t>
              </w:r>
            </w:hyperlink>
          </w:p>
        </w:tc>
      </w:tr>
      <w:tr w:rsidR="00AA7B55" w14:paraId="439737DF" w14:textId="77777777" w:rsidTr="00161C0A">
        <w:tc>
          <w:tcPr>
            <w:tcW w:w="3256" w:type="dxa"/>
            <w:shd w:val="clear" w:color="auto" w:fill="D9D9D9" w:themeFill="background1" w:themeFillShade="D9"/>
          </w:tcPr>
          <w:p w14:paraId="5C3635F3" w14:textId="77777777" w:rsidR="00AA7B55" w:rsidRPr="00D72A42" w:rsidRDefault="00AA7B55" w:rsidP="00A436D7">
            <w:pPr>
              <w:pStyle w:val="TableText"/>
              <w:rPr>
                <w:b/>
                <w:bCs/>
              </w:rPr>
            </w:pPr>
            <w:r w:rsidRPr="00D72A42">
              <w:rPr>
                <w:b/>
                <w:bCs/>
              </w:rPr>
              <w:lastRenderedPageBreak/>
              <w:t>Frequency that data is available</w:t>
            </w:r>
          </w:p>
        </w:tc>
        <w:tc>
          <w:tcPr>
            <w:tcW w:w="5391" w:type="dxa"/>
          </w:tcPr>
          <w:p w14:paraId="26C08ABD" w14:textId="77777777" w:rsidR="00AA7B55" w:rsidRDefault="00AA7B55" w:rsidP="00A436D7">
            <w:pPr>
              <w:pStyle w:val="TableText"/>
            </w:pPr>
            <w:r w:rsidRPr="000A30F7">
              <w:t>Quarterly</w:t>
            </w:r>
          </w:p>
        </w:tc>
      </w:tr>
      <w:tr w:rsidR="00AA7B55" w14:paraId="2CEF26DE" w14:textId="77777777" w:rsidTr="00161C0A">
        <w:tc>
          <w:tcPr>
            <w:tcW w:w="3256" w:type="dxa"/>
            <w:shd w:val="clear" w:color="auto" w:fill="D9D9D9" w:themeFill="background1" w:themeFillShade="D9"/>
          </w:tcPr>
          <w:p w14:paraId="1B473D3B" w14:textId="77777777" w:rsidR="00AA7B55" w:rsidRPr="00D72A42" w:rsidRDefault="00AA7B55" w:rsidP="00A436D7">
            <w:pPr>
              <w:pStyle w:val="TableText"/>
              <w:rPr>
                <w:b/>
                <w:bCs/>
              </w:rPr>
            </w:pPr>
            <w:r w:rsidRPr="00D72A42">
              <w:rPr>
                <w:b/>
                <w:bCs/>
              </w:rPr>
              <w:t>Level of disaggregation of data available</w:t>
            </w:r>
          </w:p>
        </w:tc>
        <w:tc>
          <w:tcPr>
            <w:tcW w:w="5391" w:type="dxa"/>
          </w:tcPr>
          <w:p w14:paraId="1704C465" w14:textId="77777777" w:rsidR="00AA7B55" w:rsidRDefault="00AA7B55" w:rsidP="00A436D7">
            <w:pPr>
              <w:pStyle w:val="TableText"/>
            </w:pPr>
            <w:r w:rsidRPr="000A30F7">
              <w:t>Geographic area, ethnicity</w:t>
            </w:r>
          </w:p>
        </w:tc>
      </w:tr>
      <w:tr w:rsidR="00AA7B55" w14:paraId="4B670419" w14:textId="77777777" w:rsidTr="00161C0A">
        <w:tc>
          <w:tcPr>
            <w:tcW w:w="3256" w:type="dxa"/>
            <w:shd w:val="clear" w:color="auto" w:fill="D9D9D9" w:themeFill="background1" w:themeFillShade="D9"/>
          </w:tcPr>
          <w:p w14:paraId="6DB2D3C2" w14:textId="77777777" w:rsidR="00AA7B55" w:rsidRPr="00D72A42" w:rsidRDefault="00AA7B55" w:rsidP="00A436D7">
            <w:pPr>
              <w:pStyle w:val="TableText"/>
              <w:rPr>
                <w:b/>
                <w:bCs/>
              </w:rPr>
            </w:pPr>
            <w:r w:rsidRPr="00D72A42">
              <w:rPr>
                <w:b/>
                <w:bCs/>
              </w:rPr>
              <w:t>Data period</w:t>
            </w:r>
          </w:p>
        </w:tc>
        <w:tc>
          <w:tcPr>
            <w:tcW w:w="5391" w:type="dxa"/>
          </w:tcPr>
          <w:p w14:paraId="0072B3C4" w14:textId="77777777" w:rsidR="00AA7B55" w:rsidRDefault="00AA7B55" w:rsidP="00A436D7">
            <w:pPr>
              <w:pStyle w:val="TableText"/>
            </w:pPr>
            <w:r w:rsidRPr="000A30F7">
              <w:t>Quarterly, about 3 months in arrears.</w:t>
            </w:r>
          </w:p>
        </w:tc>
      </w:tr>
      <w:tr w:rsidR="00AA7B55" w14:paraId="79883DD0" w14:textId="77777777" w:rsidTr="00161C0A">
        <w:tc>
          <w:tcPr>
            <w:tcW w:w="3256" w:type="dxa"/>
            <w:shd w:val="clear" w:color="auto" w:fill="D9D9D9" w:themeFill="background1" w:themeFillShade="D9"/>
          </w:tcPr>
          <w:p w14:paraId="4A151F21" w14:textId="77777777" w:rsidR="00AA7B55" w:rsidRPr="00D72A42" w:rsidRDefault="00AA7B55" w:rsidP="00A436D7">
            <w:pPr>
              <w:pStyle w:val="TableText"/>
              <w:rPr>
                <w:b/>
                <w:bCs/>
              </w:rPr>
            </w:pPr>
            <w:r w:rsidRPr="00D72A42">
              <w:rPr>
                <w:b/>
                <w:bCs/>
              </w:rPr>
              <w:t>Related or prior performance measure code</w:t>
            </w:r>
          </w:p>
        </w:tc>
        <w:tc>
          <w:tcPr>
            <w:tcW w:w="5391" w:type="dxa"/>
          </w:tcPr>
          <w:p w14:paraId="27581772" w14:textId="77777777" w:rsidR="00AA7B55" w:rsidRDefault="00AA7B55" w:rsidP="00A436D7">
            <w:pPr>
              <w:pStyle w:val="TableText"/>
            </w:pPr>
            <w:r w:rsidRPr="000A30F7">
              <w:t>Part of previous DHB non-financial monitoring framework and performance measures – SS01</w:t>
            </w:r>
          </w:p>
        </w:tc>
      </w:tr>
    </w:tbl>
    <w:p w14:paraId="7AB846C0" w14:textId="77777777" w:rsidR="00AA7B55" w:rsidRDefault="00AA7B55" w:rsidP="00AA7B55"/>
    <w:p w14:paraId="0A7F2D10" w14:textId="77777777" w:rsidR="00AA7B55" w:rsidRDefault="00AA7B55" w:rsidP="00AA7B55">
      <w:pPr>
        <w:ind w:left="564" w:hanging="564"/>
        <w:rPr>
          <w:b/>
          <w:bCs/>
        </w:rPr>
      </w:pPr>
      <w:r w:rsidRPr="00B04F7D">
        <w:rPr>
          <w:b/>
          <w:bCs/>
        </w:rPr>
        <w:t xml:space="preserve">Faster Cancer Treatment (FCT) </w:t>
      </w:r>
      <w:r>
        <w:rPr>
          <w:b/>
          <w:bCs/>
        </w:rPr>
        <w:t>62</w:t>
      </w:r>
      <w:r w:rsidRPr="00B04F7D">
        <w:rPr>
          <w:b/>
          <w:bCs/>
        </w:rPr>
        <w:t>-day</w:t>
      </w:r>
    </w:p>
    <w:p w14:paraId="4BF07549" w14:textId="77777777" w:rsidR="00AA7B55" w:rsidRDefault="00AA7B55" w:rsidP="00AA7B55"/>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5391"/>
      </w:tblGrid>
      <w:tr w:rsidR="00AA7B55" w14:paraId="5A13CF28" w14:textId="77777777" w:rsidTr="00161C0A">
        <w:tc>
          <w:tcPr>
            <w:tcW w:w="3256" w:type="dxa"/>
            <w:shd w:val="clear" w:color="auto" w:fill="D9D9D9" w:themeFill="background1" w:themeFillShade="D9"/>
          </w:tcPr>
          <w:p w14:paraId="62D04D61" w14:textId="77777777" w:rsidR="00AA7B55" w:rsidRPr="00A87467" w:rsidRDefault="00AA7B55" w:rsidP="00A436D7">
            <w:pPr>
              <w:pStyle w:val="TableText"/>
              <w:rPr>
                <w:b/>
                <w:bCs/>
              </w:rPr>
            </w:pPr>
            <w:r w:rsidRPr="00A87467">
              <w:rPr>
                <w:b/>
                <w:bCs/>
              </w:rPr>
              <w:t>Expectation for July 2022 – June 2024</w:t>
            </w:r>
          </w:p>
        </w:tc>
        <w:tc>
          <w:tcPr>
            <w:tcW w:w="5391" w:type="dxa"/>
          </w:tcPr>
          <w:p w14:paraId="6C357699" w14:textId="77777777" w:rsidR="00AA7B55" w:rsidRDefault="00AA7B55" w:rsidP="00A436D7">
            <w:pPr>
              <w:pStyle w:val="TableText"/>
            </w:pPr>
            <w:r w:rsidRPr="00A37CF9">
              <w:t>90% of patients receive their first cancer treatment (or other management) within 62 days of being referred with a high suspicion of cancer and need to be seen within two weeks.</w:t>
            </w:r>
          </w:p>
        </w:tc>
      </w:tr>
      <w:tr w:rsidR="00AA7B55" w14:paraId="06DA57A7" w14:textId="77777777" w:rsidTr="00161C0A">
        <w:tc>
          <w:tcPr>
            <w:tcW w:w="3256" w:type="dxa"/>
            <w:shd w:val="clear" w:color="auto" w:fill="D9D9D9" w:themeFill="background1" w:themeFillShade="D9"/>
          </w:tcPr>
          <w:p w14:paraId="44FF09DF" w14:textId="77777777" w:rsidR="00AA7B55" w:rsidRPr="00A87467" w:rsidRDefault="00AA7B55" w:rsidP="00A436D7">
            <w:pPr>
              <w:pStyle w:val="TableText"/>
              <w:rPr>
                <w:b/>
                <w:bCs/>
              </w:rPr>
            </w:pPr>
            <w:r w:rsidRPr="00A87467">
              <w:rPr>
                <w:b/>
                <w:bCs/>
              </w:rPr>
              <w:t>Data source</w:t>
            </w:r>
          </w:p>
        </w:tc>
        <w:tc>
          <w:tcPr>
            <w:tcW w:w="5391" w:type="dxa"/>
          </w:tcPr>
          <w:p w14:paraId="072A8FC6" w14:textId="77777777" w:rsidR="00AA7B55" w:rsidRDefault="00AA7B55" w:rsidP="00A436D7">
            <w:pPr>
              <w:pStyle w:val="TableText"/>
            </w:pPr>
            <w:r w:rsidRPr="00A37CF9">
              <w:t>Faster Cancer Treatment database</w:t>
            </w:r>
          </w:p>
        </w:tc>
      </w:tr>
      <w:tr w:rsidR="00AA7B55" w14:paraId="1CF59CA0" w14:textId="77777777" w:rsidTr="00161C0A">
        <w:tc>
          <w:tcPr>
            <w:tcW w:w="3256" w:type="dxa"/>
            <w:shd w:val="clear" w:color="auto" w:fill="D9D9D9" w:themeFill="background1" w:themeFillShade="D9"/>
          </w:tcPr>
          <w:p w14:paraId="01616868" w14:textId="77777777" w:rsidR="00AA7B55" w:rsidRPr="00A87467" w:rsidRDefault="00AA7B55" w:rsidP="00A436D7">
            <w:pPr>
              <w:pStyle w:val="TableText"/>
              <w:rPr>
                <w:b/>
                <w:bCs/>
              </w:rPr>
            </w:pPr>
            <w:r w:rsidRPr="00A87467">
              <w:rPr>
                <w:b/>
                <w:bCs/>
              </w:rPr>
              <w:t>If quantitative, measurement definitions</w:t>
            </w:r>
          </w:p>
        </w:tc>
        <w:tc>
          <w:tcPr>
            <w:tcW w:w="5391" w:type="dxa"/>
          </w:tcPr>
          <w:p w14:paraId="10EEFCE1" w14:textId="77777777" w:rsidR="00AA7B55" w:rsidRPr="00A37CF9" w:rsidRDefault="00AA7B55" w:rsidP="00A436D7">
            <w:pPr>
              <w:pStyle w:val="TableText"/>
            </w:pPr>
            <w:r w:rsidRPr="00A37CF9">
              <w:t>Numerator: Number of patients meeting the 62-day timeline</w:t>
            </w:r>
          </w:p>
          <w:p w14:paraId="3B6805D4" w14:textId="77777777" w:rsidR="00AA7B55" w:rsidRPr="00A37CF9" w:rsidRDefault="00AA7B55" w:rsidP="00A436D7">
            <w:pPr>
              <w:pStyle w:val="TableText"/>
            </w:pPr>
            <w:r w:rsidRPr="00A37CF9">
              <w:t xml:space="preserve">Denominator: Total number of patients under the 62-day pathway that satisfy the inclusion criteria for the reporting period.  </w:t>
            </w:r>
          </w:p>
          <w:p w14:paraId="20B45CF0" w14:textId="77777777" w:rsidR="00AA7B55" w:rsidRPr="00A37CF9" w:rsidRDefault="00AA7B55" w:rsidP="00A436D7">
            <w:pPr>
              <w:pStyle w:val="TableText"/>
            </w:pPr>
            <w:r w:rsidRPr="00A37CF9">
              <w:t>Inclusion criteria: Have a cancer that was diagnosed publicly, have entered the cancer pathway through an acute presentation (as long as there is a subsequent referral to an outpatient clinic) or have received treatment for metastatic cancer (primary site unknown).</w:t>
            </w:r>
          </w:p>
          <w:p w14:paraId="425E26EC" w14:textId="77777777" w:rsidR="00AA7B55" w:rsidRPr="00A37CF9" w:rsidRDefault="00AA7B55" w:rsidP="00A436D7">
            <w:pPr>
              <w:pStyle w:val="TableText"/>
            </w:pPr>
            <w:r w:rsidRPr="00A37CF9">
              <w:t>Excluding patients with unavoidable delays (</w:t>
            </w:r>
            <w:proofErr w:type="spellStart"/>
            <w:r w:rsidRPr="00A37CF9">
              <w:t>ie</w:t>
            </w:r>
            <w:proofErr w:type="spellEnd"/>
            <w:r w:rsidRPr="00A37CF9">
              <w:t xml:space="preserve"> delay code of clinical consideration or patient reason) or who come to treatment via screening or emergency department. </w:t>
            </w:r>
          </w:p>
          <w:p w14:paraId="31080D5E" w14:textId="77777777" w:rsidR="00AA7B55" w:rsidRDefault="00000000" w:rsidP="00A436D7">
            <w:pPr>
              <w:pStyle w:val="TableText"/>
            </w:pPr>
            <w:hyperlink r:id="rId25" w:history="1">
              <w:r w:rsidR="00AA7B55" w:rsidRPr="00094185">
                <w:rPr>
                  <w:b/>
                  <w:color w:val="595959"/>
                </w:rPr>
                <w:t>https://www.tewhatuora.govt.nz/our-health-system/data-and-statistics/nz-health-statistics/data-references/data-dictionaries/</w:t>
              </w:r>
            </w:hyperlink>
          </w:p>
        </w:tc>
      </w:tr>
      <w:tr w:rsidR="00AA7B55" w14:paraId="57567F16" w14:textId="77777777" w:rsidTr="00161C0A">
        <w:tc>
          <w:tcPr>
            <w:tcW w:w="3256" w:type="dxa"/>
            <w:shd w:val="clear" w:color="auto" w:fill="D9D9D9" w:themeFill="background1" w:themeFillShade="D9"/>
          </w:tcPr>
          <w:p w14:paraId="158678EC" w14:textId="77777777" w:rsidR="00AA7B55" w:rsidRPr="00A87467" w:rsidRDefault="00AA7B55" w:rsidP="00A436D7">
            <w:pPr>
              <w:pStyle w:val="TableText"/>
              <w:rPr>
                <w:b/>
                <w:bCs/>
              </w:rPr>
            </w:pPr>
            <w:r w:rsidRPr="00A87467">
              <w:rPr>
                <w:b/>
                <w:bCs/>
              </w:rPr>
              <w:t>Frequency that data is available</w:t>
            </w:r>
          </w:p>
        </w:tc>
        <w:tc>
          <w:tcPr>
            <w:tcW w:w="5391" w:type="dxa"/>
          </w:tcPr>
          <w:p w14:paraId="62D9C48F" w14:textId="77777777" w:rsidR="00AA7B55" w:rsidRDefault="00AA7B55" w:rsidP="00A436D7">
            <w:pPr>
              <w:pStyle w:val="TableText"/>
            </w:pPr>
            <w:r w:rsidRPr="00A37CF9">
              <w:t>Quarterly</w:t>
            </w:r>
          </w:p>
        </w:tc>
      </w:tr>
      <w:tr w:rsidR="00AA7B55" w14:paraId="2C2F3F78" w14:textId="77777777" w:rsidTr="00161C0A">
        <w:tc>
          <w:tcPr>
            <w:tcW w:w="3256" w:type="dxa"/>
            <w:shd w:val="clear" w:color="auto" w:fill="D9D9D9" w:themeFill="background1" w:themeFillShade="D9"/>
          </w:tcPr>
          <w:p w14:paraId="2C56405E" w14:textId="77777777" w:rsidR="00AA7B55" w:rsidRPr="00A87467" w:rsidRDefault="00AA7B55" w:rsidP="00A436D7">
            <w:pPr>
              <w:pStyle w:val="TableText"/>
              <w:rPr>
                <w:b/>
                <w:bCs/>
              </w:rPr>
            </w:pPr>
            <w:r w:rsidRPr="00A87467">
              <w:rPr>
                <w:b/>
                <w:bCs/>
              </w:rPr>
              <w:t>Level of disaggregation of data available</w:t>
            </w:r>
          </w:p>
        </w:tc>
        <w:tc>
          <w:tcPr>
            <w:tcW w:w="5391" w:type="dxa"/>
          </w:tcPr>
          <w:p w14:paraId="03F013AB" w14:textId="77777777" w:rsidR="00AA7B55" w:rsidRDefault="00AA7B55" w:rsidP="00A436D7">
            <w:pPr>
              <w:pStyle w:val="TableText"/>
            </w:pPr>
            <w:r w:rsidRPr="00A37CF9">
              <w:t>Geographic area, ethnicity</w:t>
            </w:r>
          </w:p>
        </w:tc>
      </w:tr>
      <w:tr w:rsidR="00AA7B55" w14:paraId="675C45C4" w14:textId="77777777" w:rsidTr="00161C0A">
        <w:tc>
          <w:tcPr>
            <w:tcW w:w="3256" w:type="dxa"/>
            <w:shd w:val="clear" w:color="auto" w:fill="D9D9D9" w:themeFill="background1" w:themeFillShade="D9"/>
          </w:tcPr>
          <w:p w14:paraId="2BA2A8D9" w14:textId="77777777" w:rsidR="00AA7B55" w:rsidRPr="00A87467" w:rsidRDefault="00AA7B55" w:rsidP="00A436D7">
            <w:pPr>
              <w:pStyle w:val="TableText"/>
              <w:rPr>
                <w:b/>
                <w:bCs/>
              </w:rPr>
            </w:pPr>
            <w:r w:rsidRPr="00A87467">
              <w:rPr>
                <w:b/>
                <w:bCs/>
              </w:rPr>
              <w:t>Data period</w:t>
            </w:r>
          </w:p>
        </w:tc>
        <w:tc>
          <w:tcPr>
            <w:tcW w:w="5391" w:type="dxa"/>
          </w:tcPr>
          <w:p w14:paraId="1A3466E6" w14:textId="77777777" w:rsidR="00AA7B55" w:rsidRDefault="00AA7B55" w:rsidP="00A436D7">
            <w:pPr>
              <w:pStyle w:val="TableText"/>
            </w:pPr>
            <w:r w:rsidRPr="00A37CF9">
              <w:t>Quarterly, about 3 months in arrears.</w:t>
            </w:r>
          </w:p>
        </w:tc>
      </w:tr>
      <w:tr w:rsidR="00AA7B55" w14:paraId="79CDDB39" w14:textId="77777777" w:rsidTr="00161C0A">
        <w:tc>
          <w:tcPr>
            <w:tcW w:w="3256" w:type="dxa"/>
            <w:shd w:val="clear" w:color="auto" w:fill="D9D9D9" w:themeFill="background1" w:themeFillShade="D9"/>
          </w:tcPr>
          <w:p w14:paraId="59ED6397" w14:textId="77777777" w:rsidR="00AA7B55" w:rsidRPr="00A87467" w:rsidRDefault="00AA7B55" w:rsidP="00A436D7">
            <w:pPr>
              <w:pStyle w:val="TableText"/>
              <w:rPr>
                <w:b/>
                <w:bCs/>
              </w:rPr>
            </w:pPr>
            <w:r w:rsidRPr="00A87467">
              <w:rPr>
                <w:b/>
                <w:bCs/>
              </w:rPr>
              <w:t>Related or prior performance measure code</w:t>
            </w:r>
          </w:p>
        </w:tc>
        <w:tc>
          <w:tcPr>
            <w:tcW w:w="5391" w:type="dxa"/>
          </w:tcPr>
          <w:p w14:paraId="03128D92" w14:textId="77777777" w:rsidR="00AA7B55" w:rsidRDefault="00AA7B55" w:rsidP="00A436D7">
            <w:pPr>
              <w:pStyle w:val="TableText"/>
            </w:pPr>
            <w:r w:rsidRPr="00A37CF9">
              <w:t>Part of previous DHB non-financial monitoring framework and performance measures – SS11</w:t>
            </w:r>
          </w:p>
        </w:tc>
      </w:tr>
    </w:tbl>
    <w:p w14:paraId="379CBFDD" w14:textId="77777777" w:rsidR="00577C3E" w:rsidRDefault="00577C3E" w:rsidP="00161C0A">
      <w:pPr>
        <w:pStyle w:val="Heading3"/>
        <w:ind w:left="564" w:hanging="564"/>
        <w:rPr>
          <w:rStyle w:val="Heading3Char"/>
          <w:sz w:val="24"/>
          <w:szCs w:val="24"/>
        </w:rPr>
        <w:sectPr w:rsidR="00577C3E" w:rsidSect="00622D24">
          <w:pgSz w:w="11906" w:h="16838" w:code="9"/>
          <w:pgMar w:top="1418" w:right="1416" w:bottom="1134" w:left="1560" w:header="284" w:footer="425" w:gutter="284"/>
          <w:cols w:space="720"/>
          <w:docGrid w:linePitch="286"/>
        </w:sectPr>
      </w:pPr>
    </w:p>
    <w:p w14:paraId="728D2C94" w14:textId="0259519E" w:rsidR="00AA7B55" w:rsidRPr="00161C0A" w:rsidRDefault="00AA7B55" w:rsidP="00161C0A">
      <w:pPr>
        <w:pStyle w:val="Heading3"/>
        <w:ind w:left="564" w:hanging="564"/>
        <w:rPr>
          <w:rStyle w:val="Heading3Char"/>
          <w:sz w:val="24"/>
          <w:szCs w:val="24"/>
        </w:rPr>
      </w:pPr>
      <w:r w:rsidRPr="00161C0A">
        <w:rPr>
          <w:rStyle w:val="Heading3Char"/>
          <w:sz w:val="24"/>
          <w:szCs w:val="24"/>
        </w:rPr>
        <w:lastRenderedPageBreak/>
        <w:t>1.3</w:t>
      </w:r>
      <w:r w:rsidRPr="00161C0A">
        <w:rPr>
          <w:rStyle w:val="Heading3Char"/>
          <w:sz w:val="24"/>
          <w:szCs w:val="24"/>
        </w:rPr>
        <w:tab/>
        <w:t>Variation in the rates of access to key identified services by ethnicity, geographic area and other characteristics. Initial areas include surgery, first specialist assessments, gender affirming care, colonoscopies, access to specialist mental health (including for youth), and screening</w:t>
      </w:r>
    </w:p>
    <w:p w14:paraId="2D262A69" w14:textId="77777777" w:rsidR="00AA7B55" w:rsidRDefault="00AA7B55" w:rsidP="00AA7B55">
      <w:pPr>
        <w:rPr>
          <w:b/>
          <w:bCs/>
        </w:rPr>
      </w:pPr>
      <w:r w:rsidRPr="00A87467">
        <w:rPr>
          <w:b/>
          <w:bCs/>
        </w:rPr>
        <w:t>Surgery</w:t>
      </w:r>
    </w:p>
    <w:p w14:paraId="2C35DC8E" w14:textId="77777777" w:rsidR="00AA7B55" w:rsidRPr="00A87467" w:rsidRDefault="00AA7B55" w:rsidP="00AA7B55">
      <w:pPr>
        <w:rPr>
          <w:b/>
          <w:bCs/>
        </w:rPr>
      </w:pPr>
    </w:p>
    <w:p w14:paraId="295B0855" w14:textId="77777777" w:rsidR="00AA7B55" w:rsidRDefault="00AA7B55" w:rsidP="00AA7B55">
      <w:r>
        <w:t>Initially, this will reflect the Standardised Intervention Rates for inpatient Planned Care Interventions.</w:t>
      </w:r>
    </w:p>
    <w:p w14:paraId="245B6911" w14:textId="77777777" w:rsidR="00AA7B55" w:rsidRDefault="00AA7B55" w:rsidP="00AA7B55"/>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5391"/>
      </w:tblGrid>
      <w:tr w:rsidR="00AA7B55" w14:paraId="166FA948" w14:textId="77777777" w:rsidTr="00161C0A">
        <w:tc>
          <w:tcPr>
            <w:tcW w:w="3256" w:type="dxa"/>
            <w:shd w:val="clear" w:color="auto" w:fill="D9D9D9" w:themeFill="background1" w:themeFillShade="D9"/>
          </w:tcPr>
          <w:p w14:paraId="61DA6FE4" w14:textId="77777777" w:rsidR="00AA7B55" w:rsidRPr="00A87467" w:rsidRDefault="00AA7B55" w:rsidP="00A436D7">
            <w:pPr>
              <w:pStyle w:val="TableText"/>
              <w:rPr>
                <w:b/>
                <w:bCs/>
              </w:rPr>
            </w:pPr>
            <w:r w:rsidRPr="00A87467">
              <w:rPr>
                <w:b/>
                <w:bCs/>
              </w:rPr>
              <w:t>Expectation for July 2022 – June 2024</w:t>
            </w:r>
          </w:p>
        </w:tc>
        <w:tc>
          <w:tcPr>
            <w:tcW w:w="5391" w:type="dxa"/>
          </w:tcPr>
          <w:p w14:paraId="140358F2" w14:textId="77777777" w:rsidR="00AA7B55" w:rsidRPr="00A37CF9" w:rsidRDefault="00AA7B55" w:rsidP="00A436D7">
            <w:pPr>
              <w:pStyle w:val="TableText"/>
            </w:pPr>
            <w:r w:rsidRPr="00A37CF9">
              <w:t>Establish a baseline for inpatient Planned Care Interventions delivery rate in year one. The baseline will inform an expectation for year two.</w:t>
            </w:r>
          </w:p>
          <w:p w14:paraId="5F77EA98" w14:textId="77777777" w:rsidR="00AA7B55" w:rsidRDefault="00AA7B55" w:rsidP="00A436D7">
            <w:pPr>
              <w:pStyle w:val="TableText"/>
            </w:pPr>
            <w:r w:rsidRPr="00A37CF9">
              <w:t xml:space="preserve">Baseline for year two: 12 months to 30 June 2022. </w:t>
            </w:r>
            <w:r w:rsidRPr="00A37CF9">
              <w:br/>
              <w:t>Improvement on national result,12 months to 30 June 2022, as well as a reduction in variation between the highest and lowest district.</w:t>
            </w:r>
          </w:p>
        </w:tc>
      </w:tr>
      <w:tr w:rsidR="00AA7B55" w14:paraId="28DA23B9" w14:textId="77777777" w:rsidTr="00161C0A">
        <w:tc>
          <w:tcPr>
            <w:tcW w:w="3256" w:type="dxa"/>
            <w:shd w:val="clear" w:color="auto" w:fill="D9D9D9" w:themeFill="background1" w:themeFillShade="D9"/>
          </w:tcPr>
          <w:p w14:paraId="54BDDD63" w14:textId="77777777" w:rsidR="00AA7B55" w:rsidRPr="00A87467" w:rsidRDefault="00AA7B55" w:rsidP="00A436D7">
            <w:pPr>
              <w:pStyle w:val="TableText"/>
              <w:rPr>
                <w:b/>
                <w:bCs/>
              </w:rPr>
            </w:pPr>
            <w:r w:rsidRPr="00A87467">
              <w:rPr>
                <w:b/>
                <w:bCs/>
              </w:rPr>
              <w:t>Data source</w:t>
            </w:r>
          </w:p>
        </w:tc>
        <w:tc>
          <w:tcPr>
            <w:tcW w:w="5391" w:type="dxa"/>
          </w:tcPr>
          <w:p w14:paraId="12E2FB94" w14:textId="649A0D1C" w:rsidR="00AA7B55" w:rsidRDefault="00AA7B55" w:rsidP="00A436D7">
            <w:pPr>
              <w:pStyle w:val="TableText"/>
            </w:pPr>
            <w:r w:rsidRPr="00A37CF9">
              <w:t>National Collections – NMDS</w:t>
            </w:r>
            <w:r w:rsidRPr="00A37CF9">
              <w:br/>
              <w:t>Stats NZ population estimates and projections</w:t>
            </w:r>
            <w:r w:rsidRPr="00A37CF9">
              <w:br/>
              <w:t>World Health Organi</w:t>
            </w:r>
            <w:r w:rsidR="0087510D">
              <w:t>z</w:t>
            </w:r>
            <w:r w:rsidRPr="00A37CF9">
              <w:t>ation Standard population</w:t>
            </w:r>
          </w:p>
        </w:tc>
      </w:tr>
      <w:tr w:rsidR="00AA7B55" w14:paraId="232A7A14" w14:textId="77777777" w:rsidTr="00161C0A">
        <w:tc>
          <w:tcPr>
            <w:tcW w:w="3256" w:type="dxa"/>
            <w:shd w:val="clear" w:color="auto" w:fill="D9D9D9" w:themeFill="background1" w:themeFillShade="D9"/>
          </w:tcPr>
          <w:p w14:paraId="53994A92" w14:textId="77777777" w:rsidR="00AA7B55" w:rsidRPr="00A87467" w:rsidRDefault="00AA7B55" w:rsidP="00A436D7">
            <w:pPr>
              <w:pStyle w:val="TableText"/>
              <w:rPr>
                <w:b/>
                <w:bCs/>
              </w:rPr>
            </w:pPr>
            <w:r w:rsidRPr="00A87467">
              <w:rPr>
                <w:b/>
                <w:bCs/>
              </w:rPr>
              <w:t>If quantitative, measurement definitions</w:t>
            </w:r>
          </w:p>
        </w:tc>
        <w:tc>
          <w:tcPr>
            <w:tcW w:w="5391" w:type="dxa"/>
          </w:tcPr>
          <w:p w14:paraId="3ACE9F20" w14:textId="1A0100F7" w:rsidR="00AA7B55" w:rsidRPr="00A37CF9" w:rsidRDefault="00AA7B55" w:rsidP="00A436D7">
            <w:pPr>
              <w:pStyle w:val="TableText"/>
            </w:pPr>
            <w:r w:rsidRPr="00A37CF9">
              <w:t xml:space="preserve">Surgical </w:t>
            </w:r>
            <w:r w:rsidR="00B115F3">
              <w:t xml:space="preserve">inpatient </w:t>
            </w:r>
            <w:r w:rsidRPr="00A37CF9">
              <w:t xml:space="preserve">planned care interventions are defined as planned admissions funded by a surgical purchase unit, OR the diagnosis-related group (DRG) category is surgical, excluding Maternity and ineligible purchase units. </w:t>
            </w:r>
          </w:p>
          <w:p w14:paraId="23BB7188" w14:textId="77777777" w:rsidR="00AA7B55" w:rsidRPr="00A37CF9" w:rsidRDefault="00AA7B55" w:rsidP="00A436D7">
            <w:pPr>
              <w:pStyle w:val="TableText"/>
            </w:pPr>
            <w:r w:rsidRPr="00A37CF9">
              <w:t xml:space="preserve">Population data is derived from Stats NZ population estimates, with prioritised ethnicity grouping (Māori, Pacific, Asian, Other). </w:t>
            </w:r>
          </w:p>
          <w:p w14:paraId="68FF3F40" w14:textId="46D22E7C" w:rsidR="00AA7B55" w:rsidRDefault="00AA7B55" w:rsidP="00A436D7">
            <w:pPr>
              <w:pStyle w:val="TableText"/>
            </w:pPr>
            <w:r w:rsidRPr="00A37CF9">
              <w:t>The World Health Organi</w:t>
            </w:r>
            <w:r w:rsidR="0087510D">
              <w:t>z</w:t>
            </w:r>
            <w:r w:rsidRPr="00A37CF9">
              <w:t>ation (WHO) standard world population is used as the standard population to calculate direct age-standardised rates.</w:t>
            </w:r>
          </w:p>
        </w:tc>
      </w:tr>
      <w:tr w:rsidR="00AA7B55" w14:paraId="02CAAEDB" w14:textId="77777777" w:rsidTr="00161C0A">
        <w:tc>
          <w:tcPr>
            <w:tcW w:w="3256" w:type="dxa"/>
            <w:shd w:val="clear" w:color="auto" w:fill="D9D9D9" w:themeFill="background1" w:themeFillShade="D9"/>
          </w:tcPr>
          <w:p w14:paraId="2F9A2676" w14:textId="77777777" w:rsidR="00AA7B55" w:rsidRPr="00A87467" w:rsidRDefault="00AA7B55" w:rsidP="00A436D7">
            <w:pPr>
              <w:pStyle w:val="TableText"/>
              <w:rPr>
                <w:b/>
                <w:bCs/>
              </w:rPr>
            </w:pPr>
            <w:r w:rsidRPr="00A87467">
              <w:rPr>
                <w:b/>
                <w:bCs/>
              </w:rPr>
              <w:t>Data period</w:t>
            </w:r>
          </w:p>
        </w:tc>
        <w:tc>
          <w:tcPr>
            <w:tcW w:w="5391" w:type="dxa"/>
          </w:tcPr>
          <w:p w14:paraId="47C24480" w14:textId="77777777" w:rsidR="00AA7B55" w:rsidRDefault="00AA7B55" w:rsidP="00A436D7">
            <w:pPr>
              <w:pStyle w:val="TableText"/>
            </w:pPr>
            <w:r w:rsidRPr="00A37CF9">
              <w:t>12 months rolling to June or December</w:t>
            </w:r>
            <w:r>
              <w:t xml:space="preserve"> </w:t>
            </w:r>
          </w:p>
        </w:tc>
      </w:tr>
      <w:tr w:rsidR="00AA7B55" w14:paraId="455393CE" w14:textId="77777777" w:rsidTr="00161C0A">
        <w:tc>
          <w:tcPr>
            <w:tcW w:w="3256" w:type="dxa"/>
            <w:shd w:val="clear" w:color="auto" w:fill="D9D9D9" w:themeFill="background1" w:themeFillShade="D9"/>
          </w:tcPr>
          <w:p w14:paraId="34A2BE8F" w14:textId="77777777" w:rsidR="00AA7B55" w:rsidRPr="00A87467" w:rsidRDefault="00AA7B55" w:rsidP="00A436D7">
            <w:pPr>
              <w:pStyle w:val="TableText"/>
              <w:rPr>
                <w:b/>
                <w:bCs/>
              </w:rPr>
            </w:pPr>
            <w:r w:rsidRPr="00A87467">
              <w:rPr>
                <w:b/>
                <w:bCs/>
              </w:rPr>
              <w:t>Frequency that data is available</w:t>
            </w:r>
          </w:p>
        </w:tc>
        <w:tc>
          <w:tcPr>
            <w:tcW w:w="5391" w:type="dxa"/>
          </w:tcPr>
          <w:p w14:paraId="627533DD" w14:textId="77777777" w:rsidR="00AA7B55" w:rsidRDefault="00AA7B55" w:rsidP="00A436D7">
            <w:pPr>
              <w:pStyle w:val="TableText"/>
            </w:pPr>
            <w:r w:rsidRPr="00A37CF9">
              <w:t>Six-monthly (June and December), eight weeks after the data period ends</w:t>
            </w:r>
          </w:p>
        </w:tc>
      </w:tr>
      <w:tr w:rsidR="00AA7B55" w14:paraId="41C62F30" w14:textId="77777777" w:rsidTr="00161C0A">
        <w:tc>
          <w:tcPr>
            <w:tcW w:w="3256" w:type="dxa"/>
            <w:shd w:val="clear" w:color="auto" w:fill="D9D9D9" w:themeFill="background1" w:themeFillShade="D9"/>
          </w:tcPr>
          <w:p w14:paraId="325A1C9B" w14:textId="77777777" w:rsidR="00AA7B55" w:rsidRPr="00A87467" w:rsidRDefault="00AA7B55" w:rsidP="00A436D7">
            <w:pPr>
              <w:pStyle w:val="TableText"/>
              <w:rPr>
                <w:b/>
                <w:bCs/>
              </w:rPr>
            </w:pPr>
            <w:r w:rsidRPr="00A87467">
              <w:rPr>
                <w:b/>
                <w:bCs/>
              </w:rPr>
              <w:t>Level of disaggregation of data available</w:t>
            </w:r>
          </w:p>
        </w:tc>
        <w:tc>
          <w:tcPr>
            <w:tcW w:w="5391" w:type="dxa"/>
          </w:tcPr>
          <w:p w14:paraId="460826D2" w14:textId="77777777" w:rsidR="00AA7B55" w:rsidRDefault="00AA7B55" w:rsidP="00A436D7">
            <w:pPr>
              <w:pStyle w:val="TableText"/>
            </w:pPr>
            <w:r w:rsidRPr="00A37CF9">
              <w:t>Geographic area, ethnicity</w:t>
            </w:r>
          </w:p>
        </w:tc>
      </w:tr>
      <w:tr w:rsidR="00AA7B55" w14:paraId="06439D28" w14:textId="77777777" w:rsidTr="00161C0A">
        <w:tc>
          <w:tcPr>
            <w:tcW w:w="3256" w:type="dxa"/>
            <w:shd w:val="clear" w:color="auto" w:fill="D9D9D9" w:themeFill="background1" w:themeFillShade="D9"/>
          </w:tcPr>
          <w:p w14:paraId="6B0D29AA" w14:textId="77777777" w:rsidR="00AA7B55" w:rsidRPr="00A87467" w:rsidRDefault="00AA7B55" w:rsidP="00A436D7">
            <w:pPr>
              <w:pStyle w:val="TableText"/>
              <w:rPr>
                <w:b/>
                <w:bCs/>
              </w:rPr>
            </w:pPr>
            <w:r w:rsidRPr="00A87467">
              <w:rPr>
                <w:b/>
                <w:bCs/>
              </w:rPr>
              <w:t>Related or prior performance measure code</w:t>
            </w:r>
          </w:p>
        </w:tc>
        <w:tc>
          <w:tcPr>
            <w:tcW w:w="5391" w:type="dxa"/>
          </w:tcPr>
          <w:p w14:paraId="730447CE" w14:textId="77777777" w:rsidR="00AA7B55" w:rsidRDefault="00AA7B55" w:rsidP="00A436D7">
            <w:pPr>
              <w:pStyle w:val="TableText"/>
            </w:pPr>
            <w:r w:rsidRPr="00000F26">
              <w:t>n/a</w:t>
            </w:r>
          </w:p>
        </w:tc>
      </w:tr>
    </w:tbl>
    <w:p w14:paraId="76FE279B" w14:textId="77777777" w:rsidR="00577C3E" w:rsidRDefault="00577C3E" w:rsidP="00AA7B55">
      <w:pPr>
        <w:rPr>
          <w:b/>
          <w:bCs/>
        </w:rPr>
      </w:pPr>
    </w:p>
    <w:p w14:paraId="2DA82B67" w14:textId="62C9E90B" w:rsidR="00AA7B55" w:rsidRPr="008623AD" w:rsidRDefault="00AA7B55" w:rsidP="00AA7B55">
      <w:pPr>
        <w:rPr>
          <w:b/>
          <w:bCs/>
        </w:rPr>
      </w:pPr>
      <w:r w:rsidRPr="008623AD">
        <w:rPr>
          <w:b/>
          <w:bCs/>
        </w:rPr>
        <w:t>First specialist assessment</w:t>
      </w:r>
      <w:r>
        <w:rPr>
          <w:b/>
          <w:bCs/>
        </w:rPr>
        <w:t xml:space="preserve"> (FSA)</w:t>
      </w:r>
    </w:p>
    <w:p w14:paraId="2795E4F6" w14:textId="77777777" w:rsidR="00AA7B55" w:rsidRPr="008623AD" w:rsidRDefault="00AA7B55" w:rsidP="00AA7B55">
      <w:pPr>
        <w:rPr>
          <w:b/>
          <w:bCs/>
        </w:rPr>
      </w:pPr>
    </w:p>
    <w:p w14:paraId="3C7D8357" w14:textId="77777777" w:rsidR="00AA7B55" w:rsidRDefault="00AA7B55" w:rsidP="00AA7B55">
      <w:r w:rsidRPr="008623AD">
        <w:t>Initially, this will reflect the Standardised Intervention Rates for first specialist assessment delivery.</w:t>
      </w:r>
    </w:p>
    <w:p w14:paraId="36246F82" w14:textId="77777777" w:rsidR="00AA7B55" w:rsidRDefault="00AA7B55" w:rsidP="00AA7B55"/>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5249"/>
      </w:tblGrid>
      <w:tr w:rsidR="00AA7B55" w14:paraId="283C9FF2" w14:textId="77777777" w:rsidTr="00161C0A">
        <w:tc>
          <w:tcPr>
            <w:tcW w:w="3256" w:type="dxa"/>
            <w:shd w:val="clear" w:color="auto" w:fill="D9D9D9" w:themeFill="background1" w:themeFillShade="D9"/>
          </w:tcPr>
          <w:p w14:paraId="2ED68BF8" w14:textId="77777777" w:rsidR="00AA7B55" w:rsidRPr="00A87467" w:rsidRDefault="00AA7B55" w:rsidP="00A436D7">
            <w:pPr>
              <w:pStyle w:val="TableText"/>
              <w:rPr>
                <w:b/>
                <w:bCs/>
              </w:rPr>
            </w:pPr>
            <w:r w:rsidRPr="00A87467">
              <w:rPr>
                <w:b/>
                <w:bCs/>
              </w:rPr>
              <w:t>Expectation for July 2022 – June 2024</w:t>
            </w:r>
          </w:p>
        </w:tc>
        <w:tc>
          <w:tcPr>
            <w:tcW w:w="5249" w:type="dxa"/>
          </w:tcPr>
          <w:p w14:paraId="77C47657" w14:textId="77777777" w:rsidR="00AA7B55" w:rsidRPr="00094185" w:rsidRDefault="00AA7B55" w:rsidP="00A436D7">
            <w:pPr>
              <w:pStyle w:val="TableText"/>
            </w:pPr>
            <w:r w:rsidRPr="00094185">
              <w:t>Establish a baseline for FSA delivery in year one</w:t>
            </w:r>
          </w:p>
          <w:p w14:paraId="46FCF239" w14:textId="77777777" w:rsidR="00AA7B55" w:rsidRPr="00094185" w:rsidRDefault="00AA7B55" w:rsidP="00A436D7">
            <w:pPr>
              <w:pStyle w:val="TableText"/>
            </w:pPr>
            <w:r w:rsidRPr="00094185">
              <w:t>The baseline will inform an expectation for year two</w:t>
            </w:r>
          </w:p>
          <w:p w14:paraId="70E5500B" w14:textId="77777777" w:rsidR="00AA7B55" w:rsidRDefault="00AA7B55" w:rsidP="00A436D7">
            <w:pPr>
              <w:pStyle w:val="TableText"/>
            </w:pPr>
            <w:r w:rsidRPr="00094185">
              <w:t xml:space="preserve">Baseline for year two: 12 months to 30 June 2022. </w:t>
            </w:r>
            <w:r w:rsidRPr="00094185">
              <w:br/>
              <w:t xml:space="preserve">Improvement on national result, 12 months to 30 June 2022, as </w:t>
            </w:r>
            <w:r w:rsidRPr="00094185">
              <w:lastRenderedPageBreak/>
              <w:t>well as a reduction in variation between the highest and lowest district.</w:t>
            </w:r>
          </w:p>
        </w:tc>
      </w:tr>
      <w:tr w:rsidR="00AA7B55" w14:paraId="65125725" w14:textId="77777777" w:rsidTr="00161C0A">
        <w:tc>
          <w:tcPr>
            <w:tcW w:w="3256" w:type="dxa"/>
            <w:shd w:val="clear" w:color="auto" w:fill="D9D9D9" w:themeFill="background1" w:themeFillShade="D9"/>
          </w:tcPr>
          <w:p w14:paraId="38D0DAC2" w14:textId="77777777" w:rsidR="00AA7B55" w:rsidRPr="00A87467" w:rsidRDefault="00AA7B55" w:rsidP="00A436D7">
            <w:pPr>
              <w:pStyle w:val="TableText"/>
              <w:rPr>
                <w:b/>
                <w:bCs/>
              </w:rPr>
            </w:pPr>
            <w:r w:rsidRPr="00A87467">
              <w:rPr>
                <w:b/>
                <w:bCs/>
              </w:rPr>
              <w:lastRenderedPageBreak/>
              <w:t>Data source</w:t>
            </w:r>
          </w:p>
        </w:tc>
        <w:tc>
          <w:tcPr>
            <w:tcW w:w="5249" w:type="dxa"/>
          </w:tcPr>
          <w:p w14:paraId="3F652822" w14:textId="77777777" w:rsidR="00AA7B55" w:rsidRPr="00094185" w:rsidRDefault="00AA7B55" w:rsidP="00A436D7">
            <w:pPr>
              <w:pStyle w:val="TableText"/>
            </w:pPr>
            <w:r w:rsidRPr="00094185">
              <w:t>National Collections</w:t>
            </w:r>
            <w:r>
              <w:t xml:space="preserve"> </w:t>
            </w:r>
            <w:r w:rsidRPr="00094185">
              <w:t>-</w:t>
            </w:r>
            <w:r>
              <w:t xml:space="preserve"> </w:t>
            </w:r>
            <w:r w:rsidRPr="00094185">
              <w:t xml:space="preserve">NNPAC </w:t>
            </w:r>
          </w:p>
          <w:p w14:paraId="26C16A28" w14:textId="77777777" w:rsidR="00AA7B55" w:rsidRDefault="00AA7B55" w:rsidP="00A436D7">
            <w:pPr>
              <w:pStyle w:val="TableText"/>
            </w:pPr>
            <w:r w:rsidRPr="00094185">
              <w:t>Stats NZ population projections</w:t>
            </w:r>
          </w:p>
        </w:tc>
      </w:tr>
      <w:tr w:rsidR="00AA7B55" w14:paraId="70FC78FE" w14:textId="77777777" w:rsidTr="00161C0A">
        <w:tc>
          <w:tcPr>
            <w:tcW w:w="3256" w:type="dxa"/>
            <w:shd w:val="clear" w:color="auto" w:fill="D9D9D9" w:themeFill="background1" w:themeFillShade="D9"/>
          </w:tcPr>
          <w:p w14:paraId="0BA625C0" w14:textId="77777777" w:rsidR="00AA7B55" w:rsidRPr="00A87467" w:rsidRDefault="00AA7B55" w:rsidP="00A436D7">
            <w:pPr>
              <w:pStyle w:val="TableText"/>
              <w:rPr>
                <w:b/>
                <w:bCs/>
              </w:rPr>
            </w:pPr>
            <w:r w:rsidRPr="00A87467">
              <w:rPr>
                <w:b/>
                <w:bCs/>
              </w:rPr>
              <w:t>If quantitative, measurement definitions</w:t>
            </w:r>
          </w:p>
        </w:tc>
        <w:tc>
          <w:tcPr>
            <w:tcW w:w="5249" w:type="dxa"/>
          </w:tcPr>
          <w:p w14:paraId="0002DB2B" w14:textId="77777777" w:rsidR="00AA7B55" w:rsidRPr="00094185" w:rsidRDefault="00AA7B55" w:rsidP="00A436D7">
            <w:pPr>
              <w:pStyle w:val="TableText"/>
            </w:pPr>
            <w:r w:rsidRPr="00094185">
              <w:t xml:space="preserve">First Specialist Assessment events are counted based on attended events funded by FSA purchase units. </w:t>
            </w:r>
          </w:p>
          <w:p w14:paraId="089EBEBE" w14:textId="77777777" w:rsidR="00AA7B55" w:rsidRPr="00094185" w:rsidRDefault="00AA7B55" w:rsidP="00A436D7">
            <w:pPr>
              <w:pStyle w:val="TableText"/>
            </w:pPr>
            <w:r w:rsidRPr="00094185">
              <w:t>National population projections for each corresponding year are used as a standard population to calculate standardised rates by District for that year.</w:t>
            </w:r>
          </w:p>
          <w:p w14:paraId="4D082264" w14:textId="77777777" w:rsidR="00AA7B55" w:rsidRPr="00094185" w:rsidRDefault="00AA7B55" w:rsidP="00A436D7">
            <w:pPr>
              <w:pStyle w:val="TableText"/>
            </w:pPr>
            <w:r w:rsidRPr="00094185">
              <w:t>Indirect standardisation is used to calculate age- gender- ethnicity- and deprivation-standardised rates.</w:t>
            </w:r>
          </w:p>
          <w:p w14:paraId="4C1C33CF" w14:textId="77777777" w:rsidR="00AA7B55" w:rsidRDefault="00AA7B55" w:rsidP="00A436D7">
            <w:pPr>
              <w:pStyle w:val="TableText"/>
            </w:pPr>
            <w:r w:rsidRPr="00094185">
              <w:t>National rate is a non-standardised rate</w:t>
            </w:r>
          </w:p>
        </w:tc>
      </w:tr>
      <w:tr w:rsidR="00AA7B55" w14:paraId="0F7F2CF8" w14:textId="77777777" w:rsidTr="00161C0A">
        <w:tc>
          <w:tcPr>
            <w:tcW w:w="3256" w:type="dxa"/>
            <w:shd w:val="clear" w:color="auto" w:fill="D9D9D9" w:themeFill="background1" w:themeFillShade="D9"/>
          </w:tcPr>
          <w:p w14:paraId="20BA9E96" w14:textId="77777777" w:rsidR="00AA7B55" w:rsidRPr="00A87467" w:rsidRDefault="00AA7B55" w:rsidP="00A436D7">
            <w:pPr>
              <w:pStyle w:val="TableText"/>
              <w:rPr>
                <w:b/>
                <w:bCs/>
              </w:rPr>
            </w:pPr>
            <w:r w:rsidRPr="00A87467">
              <w:rPr>
                <w:b/>
                <w:bCs/>
              </w:rPr>
              <w:t>Data period</w:t>
            </w:r>
          </w:p>
        </w:tc>
        <w:tc>
          <w:tcPr>
            <w:tcW w:w="5249" w:type="dxa"/>
          </w:tcPr>
          <w:p w14:paraId="3262B324" w14:textId="77777777" w:rsidR="00AA7B55" w:rsidRDefault="00AA7B55" w:rsidP="00A436D7">
            <w:pPr>
              <w:pStyle w:val="TableText"/>
            </w:pPr>
            <w:r w:rsidRPr="00C13213">
              <w:t>12 months rolling</w:t>
            </w:r>
          </w:p>
        </w:tc>
      </w:tr>
      <w:tr w:rsidR="00AA7B55" w14:paraId="6CB5DDAB" w14:textId="77777777" w:rsidTr="00161C0A">
        <w:tc>
          <w:tcPr>
            <w:tcW w:w="3256" w:type="dxa"/>
            <w:shd w:val="clear" w:color="auto" w:fill="D9D9D9" w:themeFill="background1" w:themeFillShade="D9"/>
          </w:tcPr>
          <w:p w14:paraId="1CECE51C" w14:textId="77777777" w:rsidR="00AA7B55" w:rsidRPr="00A87467" w:rsidRDefault="00AA7B55" w:rsidP="00A436D7">
            <w:pPr>
              <w:pStyle w:val="TableText"/>
              <w:rPr>
                <w:b/>
                <w:bCs/>
              </w:rPr>
            </w:pPr>
            <w:r w:rsidRPr="00A87467">
              <w:rPr>
                <w:b/>
                <w:bCs/>
              </w:rPr>
              <w:t>Frequency that data is available</w:t>
            </w:r>
          </w:p>
        </w:tc>
        <w:tc>
          <w:tcPr>
            <w:tcW w:w="5249" w:type="dxa"/>
          </w:tcPr>
          <w:p w14:paraId="471E33CB" w14:textId="77777777" w:rsidR="00AA7B55" w:rsidRDefault="00AA7B55" w:rsidP="00A436D7">
            <w:pPr>
              <w:pStyle w:val="TableText"/>
            </w:pPr>
            <w:r w:rsidRPr="00C13213">
              <w:t>Quarterly, eight weeks from the end of each quarter</w:t>
            </w:r>
          </w:p>
        </w:tc>
      </w:tr>
      <w:tr w:rsidR="00AA7B55" w14:paraId="152E9881" w14:textId="77777777" w:rsidTr="00161C0A">
        <w:tc>
          <w:tcPr>
            <w:tcW w:w="3256" w:type="dxa"/>
            <w:shd w:val="clear" w:color="auto" w:fill="D9D9D9" w:themeFill="background1" w:themeFillShade="D9"/>
          </w:tcPr>
          <w:p w14:paraId="1805CAAE" w14:textId="77777777" w:rsidR="00AA7B55" w:rsidRPr="00A87467" w:rsidRDefault="00AA7B55" w:rsidP="00A436D7">
            <w:pPr>
              <w:pStyle w:val="TableText"/>
              <w:rPr>
                <w:b/>
                <w:bCs/>
              </w:rPr>
            </w:pPr>
            <w:r w:rsidRPr="00A87467">
              <w:rPr>
                <w:b/>
                <w:bCs/>
              </w:rPr>
              <w:t>Level of disaggregation of data available</w:t>
            </w:r>
          </w:p>
        </w:tc>
        <w:tc>
          <w:tcPr>
            <w:tcW w:w="5249" w:type="dxa"/>
          </w:tcPr>
          <w:p w14:paraId="313D3BDF" w14:textId="77777777" w:rsidR="00AA7B55" w:rsidRDefault="00AA7B55" w:rsidP="00A436D7">
            <w:pPr>
              <w:pStyle w:val="TableText"/>
            </w:pPr>
            <w:r w:rsidRPr="0099706F">
              <w:t>By medical and surgical, geographic area</w:t>
            </w:r>
          </w:p>
        </w:tc>
      </w:tr>
      <w:tr w:rsidR="00AA7B55" w14:paraId="7D78B4D8" w14:textId="77777777" w:rsidTr="00161C0A">
        <w:tc>
          <w:tcPr>
            <w:tcW w:w="3256" w:type="dxa"/>
            <w:shd w:val="clear" w:color="auto" w:fill="D9D9D9" w:themeFill="background1" w:themeFillShade="D9"/>
          </w:tcPr>
          <w:p w14:paraId="379D5312" w14:textId="77777777" w:rsidR="00AA7B55" w:rsidRPr="00A87467" w:rsidRDefault="00AA7B55" w:rsidP="00A436D7">
            <w:pPr>
              <w:pStyle w:val="TableText"/>
              <w:rPr>
                <w:b/>
                <w:bCs/>
              </w:rPr>
            </w:pPr>
            <w:r w:rsidRPr="00A87467">
              <w:rPr>
                <w:b/>
                <w:bCs/>
              </w:rPr>
              <w:t>Related or prior performance measure code</w:t>
            </w:r>
          </w:p>
        </w:tc>
        <w:tc>
          <w:tcPr>
            <w:tcW w:w="5249" w:type="dxa"/>
          </w:tcPr>
          <w:p w14:paraId="2988BAF3" w14:textId="77777777" w:rsidR="00AA7B55" w:rsidRDefault="00AA7B55" w:rsidP="00A436D7">
            <w:pPr>
              <w:pStyle w:val="TableText"/>
            </w:pPr>
            <w:r w:rsidRPr="0099706F">
              <w:t>Part of previous DHB non-financial monitoring framework and performance measures – SI4 (2018/19)</w:t>
            </w:r>
          </w:p>
        </w:tc>
      </w:tr>
    </w:tbl>
    <w:p w14:paraId="1ABEC7FE" w14:textId="77777777" w:rsidR="00AA7B55" w:rsidRDefault="00AA7B55" w:rsidP="00AA7B55">
      <w:pPr>
        <w:rPr>
          <w:b/>
          <w:bCs/>
        </w:rPr>
      </w:pPr>
    </w:p>
    <w:p w14:paraId="240B2920" w14:textId="77777777" w:rsidR="00AA7B55" w:rsidRDefault="00AA7B55" w:rsidP="00AA7B55">
      <w:pPr>
        <w:rPr>
          <w:b/>
          <w:bCs/>
        </w:rPr>
      </w:pPr>
      <w:r w:rsidRPr="00A87467">
        <w:rPr>
          <w:b/>
          <w:bCs/>
        </w:rPr>
        <w:t>[To be developed] Gender affirming care</w:t>
      </w:r>
    </w:p>
    <w:p w14:paraId="5B357FE6" w14:textId="77777777" w:rsidR="00AA7B55" w:rsidRDefault="00AA7B55" w:rsidP="00AA7B55">
      <w:pPr>
        <w:rPr>
          <w:b/>
          <w:bCs/>
        </w:rPr>
      </w:pPr>
    </w:p>
    <w:p w14:paraId="2E787B23" w14:textId="77777777" w:rsidR="00AA7B55" w:rsidRPr="00185973" w:rsidRDefault="00AA7B55" w:rsidP="00AA7B55">
      <w:r w:rsidRPr="00185973">
        <w:t>This measure will be considered as part of development of the GPS 2024</w:t>
      </w:r>
      <w:r>
        <w:t>–</w:t>
      </w:r>
      <w:r w:rsidRPr="00185973">
        <w:t>27.</w:t>
      </w:r>
    </w:p>
    <w:p w14:paraId="5F18CCB9" w14:textId="77777777" w:rsidR="00AA7B55" w:rsidRPr="00A87467" w:rsidRDefault="00AA7B55" w:rsidP="00AA7B55">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5249"/>
      </w:tblGrid>
      <w:tr w:rsidR="00AA7B55" w14:paraId="132BAF5E" w14:textId="77777777" w:rsidTr="00161C0A">
        <w:tc>
          <w:tcPr>
            <w:tcW w:w="3256" w:type="dxa"/>
            <w:shd w:val="clear" w:color="auto" w:fill="D9D9D9" w:themeFill="background1" w:themeFillShade="D9"/>
          </w:tcPr>
          <w:p w14:paraId="5572BB55" w14:textId="77777777" w:rsidR="00AA7B55" w:rsidRPr="00A87467" w:rsidRDefault="00AA7B55" w:rsidP="00A436D7">
            <w:pPr>
              <w:pStyle w:val="TableText"/>
              <w:rPr>
                <w:b/>
                <w:bCs/>
              </w:rPr>
            </w:pPr>
            <w:r w:rsidRPr="00A87467">
              <w:rPr>
                <w:b/>
                <w:bCs/>
              </w:rPr>
              <w:t>Expectation for July 2022 – June 2024</w:t>
            </w:r>
          </w:p>
        </w:tc>
        <w:tc>
          <w:tcPr>
            <w:tcW w:w="5249" w:type="dxa"/>
          </w:tcPr>
          <w:p w14:paraId="2D899BD3" w14:textId="77777777" w:rsidR="00AA7B55" w:rsidRDefault="00AA7B55" w:rsidP="00A436D7">
            <w:pPr>
              <w:pStyle w:val="TableText"/>
            </w:pPr>
          </w:p>
        </w:tc>
      </w:tr>
      <w:tr w:rsidR="00AA7B55" w14:paraId="18BFAFC6" w14:textId="77777777" w:rsidTr="00161C0A">
        <w:tc>
          <w:tcPr>
            <w:tcW w:w="3256" w:type="dxa"/>
            <w:shd w:val="clear" w:color="auto" w:fill="D9D9D9" w:themeFill="background1" w:themeFillShade="D9"/>
          </w:tcPr>
          <w:p w14:paraId="0DF36817" w14:textId="77777777" w:rsidR="00AA7B55" w:rsidRPr="00A87467" w:rsidRDefault="00AA7B55" w:rsidP="00A436D7">
            <w:pPr>
              <w:pStyle w:val="TableText"/>
              <w:rPr>
                <w:b/>
                <w:bCs/>
              </w:rPr>
            </w:pPr>
            <w:r w:rsidRPr="00A87467">
              <w:rPr>
                <w:b/>
                <w:bCs/>
              </w:rPr>
              <w:t>Data source</w:t>
            </w:r>
          </w:p>
        </w:tc>
        <w:tc>
          <w:tcPr>
            <w:tcW w:w="5249" w:type="dxa"/>
          </w:tcPr>
          <w:p w14:paraId="4DED0402" w14:textId="77777777" w:rsidR="00AA7B55" w:rsidRDefault="00AA7B55" w:rsidP="00A436D7">
            <w:pPr>
              <w:pStyle w:val="TableText"/>
            </w:pPr>
          </w:p>
        </w:tc>
      </w:tr>
      <w:tr w:rsidR="00AA7B55" w14:paraId="598C31D0" w14:textId="77777777" w:rsidTr="00161C0A">
        <w:tc>
          <w:tcPr>
            <w:tcW w:w="3256" w:type="dxa"/>
            <w:shd w:val="clear" w:color="auto" w:fill="D9D9D9" w:themeFill="background1" w:themeFillShade="D9"/>
          </w:tcPr>
          <w:p w14:paraId="0CC6F9C0" w14:textId="77777777" w:rsidR="00AA7B55" w:rsidRPr="00A87467" w:rsidRDefault="00AA7B55" w:rsidP="00A436D7">
            <w:pPr>
              <w:pStyle w:val="TableText"/>
              <w:rPr>
                <w:b/>
                <w:bCs/>
              </w:rPr>
            </w:pPr>
            <w:r w:rsidRPr="00A87467">
              <w:rPr>
                <w:b/>
                <w:bCs/>
              </w:rPr>
              <w:t>If quantitative, measurement definitions</w:t>
            </w:r>
          </w:p>
        </w:tc>
        <w:tc>
          <w:tcPr>
            <w:tcW w:w="5249" w:type="dxa"/>
          </w:tcPr>
          <w:p w14:paraId="486804C7" w14:textId="77777777" w:rsidR="00AA7B55" w:rsidRDefault="00AA7B55" w:rsidP="00A436D7">
            <w:pPr>
              <w:pStyle w:val="TableText"/>
            </w:pPr>
          </w:p>
        </w:tc>
      </w:tr>
      <w:tr w:rsidR="00AA7B55" w14:paraId="2D645C32" w14:textId="77777777" w:rsidTr="00161C0A">
        <w:tc>
          <w:tcPr>
            <w:tcW w:w="3256" w:type="dxa"/>
            <w:shd w:val="clear" w:color="auto" w:fill="D9D9D9" w:themeFill="background1" w:themeFillShade="D9"/>
          </w:tcPr>
          <w:p w14:paraId="725FEB80" w14:textId="77777777" w:rsidR="00AA7B55" w:rsidRPr="00A87467" w:rsidRDefault="00AA7B55" w:rsidP="00A436D7">
            <w:pPr>
              <w:pStyle w:val="TableText"/>
              <w:rPr>
                <w:b/>
                <w:bCs/>
              </w:rPr>
            </w:pPr>
            <w:r w:rsidRPr="00A87467">
              <w:rPr>
                <w:b/>
                <w:bCs/>
              </w:rPr>
              <w:t>Data period</w:t>
            </w:r>
          </w:p>
        </w:tc>
        <w:tc>
          <w:tcPr>
            <w:tcW w:w="5249" w:type="dxa"/>
          </w:tcPr>
          <w:p w14:paraId="64DA7FC4" w14:textId="77777777" w:rsidR="00AA7B55" w:rsidRDefault="00AA7B55" w:rsidP="00A436D7">
            <w:pPr>
              <w:pStyle w:val="TableText"/>
            </w:pPr>
          </w:p>
        </w:tc>
      </w:tr>
      <w:tr w:rsidR="00AA7B55" w14:paraId="08B5404D" w14:textId="77777777" w:rsidTr="00161C0A">
        <w:tc>
          <w:tcPr>
            <w:tcW w:w="3256" w:type="dxa"/>
            <w:shd w:val="clear" w:color="auto" w:fill="D9D9D9" w:themeFill="background1" w:themeFillShade="D9"/>
          </w:tcPr>
          <w:p w14:paraId="7E31A368" w14:textId="77777777" w:rsidR="00AA7B55" w:rsidRPr="00A87467" w:rsidRDefault="00AA7B55" w:rsidP="00A436D7">
            <w:pPr>
              <w:pStyle w:val="TableText"/>
              <w:rPr>
                <w:b/>
                <w:bCs/>
              </w:rPr>
            </w:pPr>
            <w:r w:rsidRPr="00A87467">
              <w:rPr>
                <w:b/>
                <w:bCs/>
              </w:rPr>
              <w:t>Frequency that data is available</w:t>
            </w:r>
          </w:p>
        </w:tc>
        <w:tc>
          <w:tcPr>
            <w:tcW w:w="5249" w:type="dxa"/>
          </w:tcPr>
          <w:p w14:paraId="5156C44B" w14:textId="77777777" w:rsidR="00AA7B55" w:rsidRDefault="00AA7B55" w:rsidP="00A436D7">
            <w:pPr>
              <w:pStyle w:val="TableText"/>
            </w:pPr>
          </w:p>
        </w:tc>
      </w:tr>
      <w:tr w:rsidR="00AA7B55" w14:paraId="3495C5D5" w14:textId="77777777" w:rsidTr="00161C0A">
        <w:tc>
          <w:tcPr>
            <w:tcW w:w="3256" w:type="dxa"/>
            <w:shd w:val="clear" w:color="auto" w:fill="D9D9D9" w:themeFill="background1" w:themeFillShade="D9"/>
          </w:tcPr>
          <w:p w14:paraId="2C706F4A" w14:textId="77777777" w:rsidR="00AA7B55" w:rsidRPr="00A87467" w:rsidRDefault="00AA7B55" w:rsidP="00A436D7">
            <w:pPr>
              <w:pStyle w:val="TableText"/>
              <w:rPr>
                <w:b/>
                <w:bCs/>
              </w:rPr>
            </w:pPr>
            <w:r w:rsidRPr="00A87467">
              <w:rPr>
                <w:b/>
                <w:bCs/>
              </w:rPr>
              <w:t>Level of disaggregation of data available</w:t>
            </w:r>
          </w:p>
        </w:tc>
        <w:tc>
          <w:tcPr>
            <w:tcW w:w="5249" w:type="dxa"/>
          </w:tcPr>
          <w:p w14:paraId="706A2EE4" w14:textId="77777777" w:rsidR="00AA7B55" w:rsidRDefault="00AA7B55" w:rsidP="00A436D7">
            <w:pPr>
              <w:pStyle w:val="TableText"/>
            </w:pPr>
          </w:p>
        </w:tc>
      </w:tr>
      <w:tr w:rsidR="00AA7B55" w14:paraId="214B274E" w14:textId="77777777" w:rsidTr="00161C0A">
        <w:tc>
          <w:tcPr>
            <w:tcW w:w="3256" w:type="dxa"/>
            <w:shd w:val="clear" w:color="auto" w:fill="D9D9D9" w:themeFill="background1" w:themeFillShade="D9"/>
          </w:tcPr>
          <w:p w14:paraId="70D35085" w14:textId="77777777" w:rsidR="00AA7B55" w:rsidRPr="00A87467" w:rsidRDefault="00AA7B55" w:rsidP="00A436D7">
            <w:pPr>
              <w:pStyle w:val="TableText"/>
              <w:rPr>
                <w:b/>
                <w:bCs/>
              </w:rPr>
            </w:pPr>
            <w:r w:rsidRPr="00A87467">
              <w:rPr>
                <w:b/>
                <w:bCs/>
              </w:rPr>
              <w:t>Related or prior performance measure code</w:t>
            </w:r>
          </w:p>
        </w:tc>
        <w:tc>
          <w:tcPr>
            <w:tcW w:w="5249" w:type="dxa"/>
          </w:tcPr>
          <w:p w14:paraId="75C4FDD7" w14:textId="77777777" w:rsidR="00AA7B55" w:rsidRDefault="00AA7B55" w:rsidP="00A436D7">
            <w:pPr>
              <w:pStyle w:val="TableText"/>
            </w:pPr>
          </w:p>
        </w:tc>
      </w:tr>
    </w:tbl>
    <w:p w14:paraId="300FBD45" w14:textId="77777777" w:rsidR="00161C0A" w:rsidRDefault="00161C0A" w:rsidP="00AA7B55">
      <w:pPr>
        <w:rPr>
          <w:b/>
          <w:bCs/>
        </w:rPr>
      </w:pPr>
    </w:p>
    <w:p w14:paraId="4C5DFE06" w14:textId="3627CDD2" w:rsidR="00AA7B55" w:rsidRDefault="00AA7B55" w:rsidP="00AA7B55">
      <w:pPr>
        <w:rPr>
          <w:b/>
          <w:bCs/>
        </w:rPr>
      </w:pPr>
      <w:r w:rsidRPr="00A87467">
        <w:rPr>
          <w:b/>
          <w:bCs/>
        </w:rPr>
        <w:t>Colonoscopies</w:t>
      </w:r>
    </w:p>
    <w:p w14:paraId="4CE71441" w14:textId="77777777" w:rsidR="00AA7B55" w:rsidRPr="00A87467" w:rsidRDefault="00AA7B55" w:rsidP="00AA7B55">
      <w:pPr>
        <w:rPr>
          <w:b/>
          <w:bCs/>
        </w:rPr>
      </w:pPr>
    </w:p>
    <w:p w14:paraId="5800E6EA" w14:textId="77777777" w:rsidR="00AA7B55" w:rsidRDefault="00AA7B55" w:rsidP="00AA7B55">
      <w:r>
        <w:t>Initially, this will reflect the Standardised Intervention Rates for delivery of colonoscopies.</w:t>
      </w:r>
    </w:p>
    <w:p w14:paraId="35A78F07" w14:textId="77777777" w:rsidR="00AA7B55" w:rsidRDefault="00AA7B55" w:rsidP="00AA7B55"/>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5249"/>
      </w:tblGrid>
      <w:tr w:rsidR="00AA7B55" w14:paraId="67280F19" w14:textId="77777777" w:rsidTr="00161C0A">
        <w:tc>
          <w:tcPr>
            <w:tcW w:w="3256" w:type="dxa"/>
            <w:shd w:val="clear" w:color="auto" w:fill="D9D9D9" w:themeFill="background1" w:themeFillShade="D9"/>
          </w:tcPr>
          <w:p w14:paraId="7826C838" w14:textId="77777777" w:rsidR="00AA7B55" w:rsidRPr="00A87467" w:rsidRDefault="00AA7B55" w:rsidP="00A436D7">
            <w:pPr>
              <w:pStyle w:val="TableText"/>
              <w:rPr>
                <w:b/>
                <w:bCs/>
              </w:rPr>
            </w:pPr>
            <w:r w:rsidRPr="00A87467">
              <w:rPr>
                <w:b/>
                <w:bCs/>
              </w:rPr>
              <w:t>Expectation for July 2022 – June 2024</w:t>
            </w:r>
          </w:p>
        </w:tc>
        <w:tc>
          <w:tcPr>
            <w:tcW w:w="5249" w:type="dxa"/>
          </w:tcPr>
          <w:p w14:paraId="02DC13E5" w14:textId="77777777" w:rsidR="00AA7B55" w:rsidRPr="008623AD" w:rsidRDefault="00AA7B55" w:rsidP="00A436D7">
            <w:pPr>
              <w:pStyle w:val="TableText"/>
            </w:pPr>
            <w:r w:rsidRPr="008623AD">
              <w:t>Establish a baseline for colonoscopy delivery in year one.</w:t>
            </w:r>
          </w:p>
          <w:p w14:paraId="4FF3DBEE" w14:textId="77777777" w:rsidR="00AA7B55" w:rsidRPr="008623AD" w:rsidRDefault="00AA7B55" w:rsidP="00A436D7">
            <w:pPr>
              <w:pStyle w:val="TableText"/>
            </w:pPr>
            <w:r w:rsidRPr="008623AD">
              <w:t>The baseline will inform an expectation for year two.</w:t>
            </w:r>
          </w:p>
          <w:p w14:paraId="59492BF4" w14:textId="77777777" w:rsidR="00AA7B55" w:rsidRDefault="00AA7B55" w:rsidP="00A436D7">
            <w:pPr>
              <w:pStyle w:val="TableText"/>
            </w:pPr>
            <w:r w:rsidRPr="008623AD">
              <w:t>Baseline for year two: 12 months to 30 June 2022.</w:t>
            </w:r>
            <w:r>
              <w:t xml:space="preserve"> </w:t>
            </w:r>
            <w:r w:rsidRPr="008623AD">
              <w:t xml:space="preserve">Improvement on national result, 12 months to 30 June 2022, as </w:t>
            </w:r>
            <w:r w:rsidRPr="008623AD">
              <w:lastRenderedPageBreak/>
              <w:t>well as a reduction in variation between the highest and lowest district.</w:t>
            </w:r>
          </w:p>
        </w:tc>
      </w:tr>
      <w:tr w:rsidR="00AA7B55" w14:paraId="59D3A1CA" w14:textId="77777777" w:rsidTr="00161C0A">
        <w:tc>
          <w:tcPr>
            <w:tcW w:w="3256" w:type="dxa"/>
            <w:shd w:val="clear" w:color="auto" w:fill="D9D9D9" w:themeFill="background1" w:themeFillShade="D9"/>
          </w:tcPr>
          <w:p w14:paraId="06D81BA9" w14:textId="77777777" w:rsidR="00AA7B55" w:rsidRPr="00A87467" w:rsidRDefault="00AA7B55" w:rsidP="00A436D7">
            <w:pPr>
              <w:pStyle w:val="TableText"/>
              <w:rPr>
                <w:b/>
                <w:bCs/>
              </w:rPr>
            </w:pPr>
            <w:r w:rsidRPr="00A87467">
              <w:rPr>
                <w:b/>
                <w:bCs/>
              </w:rPr>
              <w:lastRenderedPageBreak/>
              <w:t>Data source</w:t>
            </w:r>
          </w:p>
        </w:tc>
        <w:tc>
          <w:tcPr>
            <w:tcW w:w="5249" w:type="dxa"/>
          </w:tcPr>
          <w:p w14:paraId="2BA9D340" w14:textId="77777777" w:rsidR="00AA7B55" w:rsidRPr="008623AD" w:rsidRDefault="00AA7B55" w:rsidP="00A436D7">
            <w:pPr>
              <w:pStyle w:val="TableText"/>
            </w:pPr>
            <w:r w:rsidRPr="008623AD">
              <w:t>National Collections – NMDS and NNPAC</w:t>
            </w:r>
          </w:p>
          <w:p w14:paraId="2D1A0236" w14:textId="77777777" w:rsidR="00AA7B55" w:rsidRDefault="00AA7B55" w:rsidP="00A436D7">
            <w:pPr>
              <w:pStyle w:val="TableText"/>
            </w:pPr>
            <w:r w:rsidRPr="008623AD">
              <w:t>Stats NZ population projections</w:t>
            </w:r>
          </w:p>
        </w:tc>
      </w:tr>
      <w:tr w:rsidR="00AA7B55" w14:paraId="2ED035ED" w14:textId="77777777" w:rsidTr="00161C0A">
        <w:tc>
          <w:tcPr>
            <w:tcW w:w="3256" w:type="dxa"/>
            <w:shd w:val="clear" w:color="auto" w:fill="D9D9D9" w:themeFill="background1" w:themeFillShade="D9"/>
          </w:tcPr>
          <w:p w14:paraId="26F2A9DC" w14:textId="77777777" w:rsidR="00AA7B55" w:rsidRPr="00A87467" w:rsidRDefault="00AA7B55" w:rsidP="00A436D7">
            <w:pPr>
              <w:pStyle w:val="TableText"/>
              <w:rPr>
                <w:b/>
                <w:bCs/>
              </w:rPr>
            </w:pPr>
            <w:r w:rsidRPr="00A87467">
              <w:rPr>
                <w:b/>
                <w:bCs/>
              </w:rPr>
              <w:t>If quantitative, measurement definitions</w:t>
            </w:r>
          </w:p>
        </w:tc>
        <w:tc>
          <w:tcPr>
            <w:tcW w:w="5249" w:type="dxa"/>
          </w:tcPr>
          <w:p w14:paraId="466B30D7" w14:textId="77777777" w:rsidR="00AA7B55" w:rsidRPr="008623AD" w:rsidRDefault="00AA7B55" w:rsidP="00A436D7">
            <w:pPr>
              <w:pStyle w:val="TableText"/>
            </w:pPr>
            <w:r w:rsidRPr="008623AD">
              <w:t>Colonoscopy interventions are defined as inpatient admissions OR outpatient visits for the procedure of colonoscopy that are publicly funded (including funded by the Bowel Screening programme), for all admission types.</w:t>
            </w:r>
          </w:p>
          <w:p w14:paraId="193D92BB" w14:textId="77777777" w:rsidR="00AA7B55" w:rsidRPr="008623AD" w:rsidRDefault="00AA7B55" w:rsidP="00A436D7">
            <w:pPr>
              <w:pStyle w:val="TableText"/>
            </w:pPr>
            <w:r w:rsidRPr="008623AD">
              <w:t xml:space="preserve">For relevant colonoscopy procedure codes in NMDS OR purchase units in NNPAC. </w:t>
            </w:r>
          </w:p>
          <w:p w14:paraId="6A32D59D" w14:textId="77777777" w:rsidR="00AA7B55" w:rsidRPr="008623AD" w:rsidRDefault="00AA7B55" w:rsidP="00A436D7">
            <w:pPr>
              <w:pStyle w:val="TableText"/>
            </w:pPr>
            <w:r w:rsidRPr="008623AD">
              <w:t>National population projections for each corresponding year are used as a standard population to calculate standardised rates by district for that year.</w:t>
            </w:r>
          </w:p>
          <w:p w14:paraId="3B39E564" w14:textId="77777777" w:rsidR="00AA7B55" w:rsidRPr="008623AD" w:rsidRDefault="00AA7B55" w:rsidP="00A436D7">
            <w:pPr>
              <w:pStyle w:val="TableText"/>
            </w:pPr>
            <w:r w:rsidRPr="008623AD">
              <w:t>Indirect standardisation is used to calculate age- gender- ethnicity- and deprivation-standardised rates for each district</w:t>
            </w:r>
            <w:r>
              <w:t>.</w:t>
            </w:r>
          </w:p>
          <w:p w14:paraId="372202BF" w14:textId="77777777" w:rsidR="00AA7B55" w:rsidRDefault="00AA7B55" w:rsidP="00A436D7">
            <w:pPr>
              <w:pStyle w:val="TableText"/>
            </w:pPr>
            <w:r w:rsidRPr="008623AD">
              <w:t>National rate is a non-standardised rate</w:t>
            </w:r>
          </w:p>
        </w:tc>
      </w:tr>
      <w:tr w:rsidR="00AA7B55" w14:paraId="4FCCD308" w14:textId="77777777" w:rsidTr="00161C0A">
        <w:tc>
          <w:tcPr>
            <w:tcW w:w="3256" w:type="dxa"/>
            <w:shd w:val="clear" w:color="auto" w:fill="D9D9D9" w:themeFill="background1" w:themeFillShade="D9"/>
          </w:tcPr>
          <w:p w14:paraId="04B18517" w14:textId="77777777" w:rsidR="00AA7B55" w:rsidRPr="00A87467" w:rsidRDefault="00AA7B55" w:rsidP="00A436D7">
            <w:pPr>
              <w:pStyle w:val="TableText"/>
              <w:rPr>
                <w:b/>
                <w:bCs/>
              </w:rPr>
            </w:pPr>
            <w:r w:rsidRPr="00A87467">
              <w:rPr>
                <w:b/>
                <w:bCs/>
              </w:rPr>
              <w:t>Data period</w:t>
            </w:r>
          </w:p>
        </w:tc>
        <w:tc>
          <w:tcPr>
            <w:tcW w:w="5249" w:type="dxa"/>
          </w:tcPr>
          <w:p w14:paraId="294B7B7A" w14:textId="77777777" w:rsidR="00AA7B55" w:rsidRDefault="00AA7B55" w:rsidP="00A436D7">
            <w:pPr>
              <w:pStyle w:val="TableText"/>
            </w:pPr>
            <w:r w:rsidRPr="00455AE6">
              <w:t>12 months rolling</w:t>
            </w:r>
          </w:p>
        </w:tc>
      </w:tr>
      <w:tr w:rsidR="00AA7B55" w14:paraId="0BD42EA0" w14:textId="77777777" w:rsidTr="00161C0A">
        <w:tc>
          <w:tcPr>
            <w:tcW w:w="3256" w:type="dxa"/>
            <w:shd w:val="clear" w:color="auto" w:fill="D9D9D9" w:themeFill="background1" w:themeFillShade="D9"/>
          </w:tcPr>
          <w:p w14:paraId="7FC8C054" w14:textId="77777777" w:rsidR="00AA7B55" w:rsidRPr="00A87467" w:rsidRDefault="00AA7B55" w:rsidP="00A436D7">
            <w:pPr>
              <w:pStyle w:val="TableText"/>
              <w:rPr>
                <w:b/>
                <w:bCs/>
              </w:rPr>
            </w:pPr>
            <w:r w:rsidRPr="00A87467">
              <w:rPr>
                <w:b/>
                <w:bCs/>
              </w:rPr>
              <w:t>Frequency that data is available</w:t>
            </w:r>
          </w:p>
        </w:tc>
        <w:tc>
          <w:tcPr>
            <w:tcW w:w="5249" w:type="dxa"/>
          </w:tcPr>
          <w:p w14:paraId="53876255" w14:textId="77777777" w:rsidR="00AA7B55" w:rsidRDefault="00AA7B55" w:rsidP="00A436D7">
            <w:pPr>
              <w:pStyle w:val="TableText"/>
            </w:pPr>
            <w:r w:rsidRPr="008623AD">
              <w:t>Quarterly, eight weeks from the end of each quarter</w:t>
            </w:r>
          </w:p>
        </w:tc>
      </w:tr>
      <w:tr w:rsidR="00AA7B55" w14:paraId="42B12984" w14:textId="77777777" w:rsidTr="00161C0A">
        <w:tc>
          <w:tcPr>
            <w:tcW w:w="3256" w:type="dxa"/>
            <w:shd w:val="clear" w:color="auto" w:fill="D9D9D9" w:themeFill="background1" w:themeFillShade="D9"/>
          </w:tcPr>
          <w:p w14:paraId="660D5822" w14:textId="77777777" w:rsidR="00AA7B55" w:rsidRPr="00A87467" w:rsidRDefault="00AA7B55" w:rsidP="00A436D7">
            <w:pPr>
              <w:pStyle w:val="TableText"/>
              <w:rPr>
                <w:b/>
                <w:bCs/>
              </w:rPr>
            </w:pPr>
            <w:r w:rsidRPr="00A87467">
              <w:rPr>
                <w:b/>
                <w:bCs/>
              </w:rPr>
              <w:t>Level of disaggregation of data available</w:t>
            </w:r>
          </w:p>
        </w:tc>
        <w:tc>
          <w:tcPr>
            <w:tcW w:w="5249" w:type="dxa"/>
          </w:tcPr>
          <w:p w14:paraId="28FB1068" w14:textId="77777777" w:rsidR="00AA7B55" w:rsidRDefault="00AA7B55" w:rsidP="00A436D7">
            <w:pPr>
              <w:pStyle w:val="TableText"/>
            </w:pPr>
            <w:r w:rsidRPr="008623AD">
              <w:t>Geographic area</w:t>
            </w:r>
          </w:p>
        </w:tc>
      </w:tr>
      <w:tr w:rsidR="00AA7B55" w14:paraId="347445E4" w14:textId="77777777" w:rsidTr="00161C0A">
        <w:tc>
          <w:tcPr>
            <w:tcW w:w="3256" w:type="dxa"/>
            <w:shd w:val="clear" w:color="auto" w:fill="D9D9D9" w:themeFill="background1" w:themeFillShade="D9"/>
          </w:tcPr>
          <w:p w14:paraId="21928E96" w14:textId="77777777" w:rsidR="00AA7B55" w:rsidRPr="00A87467" w:rsidRDefault="00AA7B55" w:rsidP="00A436D7">
            <w:pPr>
              <w:pStyle w:val="TableText"/>
              <w:rPr>
                <w:b/>
                <w:bCs/>
              </w:rPr>
            </w:pPr>
            <w:r w:rsidRPr="00A87467">
              <w:rPr>
                <w:b/>
                <w:bCs/>
              </w:rPr>
              <w:t>Related or prior performance measure code</w:t>
            </w:r>
          </w:p>
        </w:tc>
        <w:tc>
          <w:tcPr>
            <w:tcW w:w="5249" w:type="dxa"/>
          </w:tcPr>
          <w:p w14:paraId="0E74DDF9" w14:textId="77777777" w:rsidR="00AA7B55" w:rsidRDefault="00AA7B55" w:rsidP="00A436D7">
            <w:pPr>
              <w:pStyle w:val="TableText"/>
            </w:pPr>
            <w:r w:rsidRPr="00455AE6">
              <w:t>n/a</w:t>
            </w:r>
          </w:p>
        </w:tc>
      </w:tr>
    </w:tbl>
    <w:p w14:paraId="6BAA0AA6" w14:textId="77777777" w:rsidR="00AA7B55" w:rsidRDefault="00AA7B55" w:rsidP="00AA7B55"/>
    <w:p w14:paraId="756785CD" w14:textId="77777777" w:rsidR="00AA7B55" w:rsidRDefault="00AA7B55" w:rsidP="00AA7B55">
      <w:pPr>
        <w:rPr>
          <w:b/>
          <w:bCs/>
        </w:rPr>
      </w:pPr>
      <w:r w:rsidRPr="005A037B">
        <w:rPr>
          <w:b/>
          <w:bCs/>
        </w:rPr>
        <w:t>Access to specialist mental health</w:t>
      </w:r>
    </w:p>
    <w:p w14:paraId="1F850149" w14:textId="77777777" w:rsidR="00AA7B55" w:rsidRPr="005A037B" w:rsidRDefault="00AA7B55" w:rsidP="00AA7B55">
      <w:pPr>
        <w:rPr>
          <w:b/>
          <w:bCs/>
        </w:rPr>
      </w:pPr>
    </w:p>
    <w:p w14:paraId="4C8F1214" w14:textId="77777777" w:rsidR="00AA7B55" w:rsidRDefault="00AA7B55" w:rsidP="00AA7B55">
      <w:r>
        <w:t xml:space="preserve">Measures of mental health access for other population groups may be added over time. These measures do not overtake the expectation for existing, similar measurements to continue outside of the </w:t>
      </w:r>
      <w:proofErr w:type="spellStart"/>
      <w:r>
        <w:t>iGPS</w:t>
      </w:r>
      <w:proofErr w:type="spellEnd"/>
      <w:r>
        <w:t xml:space="preserve"> framework.</w:t>
      </w:r>
    </w:p>
    <w:p w14:paraId="27B56AD3" w14:textId="77777777" w:rsidR="00AA7B55" w:rsidRDefault="00AA7B55" w:rsidP="00AA7B55"/>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244"/>
      </w:tblGrid>
      <w:tr w:rsidR="00AA7B55" w14:paraId="191A8804" w14:textId="77777777" w:rsidTr="00161C0A">
        <w:tc>
          <w:tcPr>
            <w:tcW w:w="3261" w:type="dxa"/>
            <w:shd w:val="clear" w:color="auto" w:fill="D9D9D9" w:themeFill="background1" w:themeFillShade="D9"/>
          </w:tcPr>
          <w:p w14:paraId="75CFE728" w14:textId="77777777" w:rsidR="00AA7B55" w:rsidRPr="00A87467" w:rsidRDefault="00AA7B55" w:rsidP="00A436D7">
            <w:pPr>
              <w:pStyle w:val="TableText"/>
              <w:rPr>
                <w:b/>
                <w:bCs/>
              </w:rPr>
            </w:pPr>
            <w:r w:rsidRPr="00A87467">
              <w:rPr>
                <w:b/>
                <w:bCs/>
              </w:rPr>
              <w:t>Expectation for July 2022 – June 2024</w:t>
            </w:r>
          </w:p>
        </w:tc>
        <w:tc>
          <w:tcPr>
            <w:tcW w:w="5244" w:type="dxa"/>
          </w:tcPr>
          <w:p w14:paraId="43E3E6D0" w14:textId="77777777" w:rsidR="00AA7B55" w:rsidRDefault="00AA7B55" w:rsidP="00A436D7">
            <w:pPr>
              <w:pStyle w:val="TableText"/>
            </w:pPr>
            <w:r w:rsidRPr="00CD1B3D">
              <w:t xml:space="preserve">An increase in the percentage of people seen within the target timeframe </w:t>
            </w:r>
            <w:r>
              <w:t xml:space="preserve">(three weeks) </w:t>
            </w:r>
            <w:r w:rsidRPr="00CD1B3D">
              <w:t xml:space="preserve">from the 12 months to 30 June 2022 for </w:t>
            </w:r>
            <w:r>
              <w:t>youth</w:t>
            </w:r>
            <w:r w:rsidRPr="00CD1B3D">
              <w:t xml:space="preserve"> (baseline)</w:t>
            </w:r>
          </w:p>
        </w:tc>
      </w:tr>
      <w:tr w:rsidR="00AA7B55" w14:paraId="736FF5CA" w14:textId="77777777" w:rsidTr="00161C0A">
        <w:tc>
          <w:tcPr>
            <w:tcW w:w="3261" w:type="dxa"/>
            <w:shd w:val="clear" w:color="auto" w:fill="D9D9D9" w:themeFill="background1" w:themeFillShade="D9"/>
          </w:tcPr>
          <w:p w14:paraId="29E0BBC0" w14:textId="77777777" w:rsidR="00AA7B55" w:rsidRPr="00A87467" w:rsidRDefault="00AA7B55" w:rsidP="00A436D7">
            <w:pPr>
              <w:pStyle w:val="TableText"/>
              <w:rPr>
                <w:b/>
                <w:bCs/>
              </w:rPr>
            </w:pPr>
            <w:r w:rsidRPr="00A87467">
              <w:rPr>
                <w:b/>
                <w:bCs/>
              </w:rPr>
              <w:t>Data source</w:t>
            </w:r>
          </w:p>
        </w:tc>
        <w:tc>
          <w:tcPr>
            <w:tcW w:w="5244" w:type="dxa"/>
          </w:tcPr>
          <w:p w14:paraId="2D8F745E" w14:textId="77777777" w:rsidR="00AA7B55" w:rsidRDefault="00AA7B55" w:rsidP="00A436D7">
            <w:pPr>
              <w:pStyle w:val="TableText"/>
            </w:pPr>
            <w:r w:rsidRPr="00CD1B3D">
              <w:t>Programme for the Integration of Mental Health Data (PRIMHD)</w:t>
            </w:r>
          </w:p>
        </w:tc>
      </w:tr>
      <w:tr w:rsidR="00AA7B55" w14:paraId="2C12CB96" w14:textId="77777777" w:rsidTr="00161C0A">
        <w:tc>
          <w:tcPr>
            <w:tcW w:w="3261" w:type="dxa"/>
            <w:shd w:val="clear" w:color="auto" w:fill="D9D9D9" w:themeFill="background1" w:themeFillShade="D9"/>
          </w:tcPr>
          <w:p w14:paraId="293536B4" w14:textId="77777777" w:rsidR="00AA7B55" w:rsidRPr="00A87467" w:rsidRDefault="00AA7B55" w:rsidP="00A436D7">
            <w:pPr>
              <w:pStyle w:val="TableText"/>
              <w:rPr>
                <w:b/>
                <w:bCs/>
              </w:rPr>
            </w:pPr>
            <w:r w:rsidRPr="00A87467">
              <w:rPr>
                <w:b/>
                <w:bCs/>
              </w:rPr>
              <w:t>If quantitative, measurement definitions</w:t>
            </w:r>
          </w:p>
        </w:tc>
        <w:tc>
          <w:tcPr>
            <w:tcW w:w="5244" w:type="dxa"/>
          </w:tcPr>
          <w:p w14:paraId="798055A7" w14:textId="77777777" w:rsidR="00AA7B55" w:rsidRPr="008623AD" w:rsidRDefault="00AA7B55" w:rsidP="00A436D7">
            <w:pPr>
              <w:pStyle w:val="TableText"/>
            </w:pPr>
            <w:r w:rsidRPr="008623AD">
              <w:t xml:space="preserve">Numerator: The number of new clients aged under 25 years seen within three weeks of referral to a specialist mental health service </w:t>
            </w:r>
          </w:p>
          <w:p w14:paraId="4B62E5B2" w14:textId="77777777" w:rsidR="00AA7B55" w:rsidRDefault="00AA7B55" w:rsidP="00A436D7">
            <w:pPr>
              <w:pStyle w:val="TableText"/>
            </w:pPr>
            <w:r w:rsidRPr="008623AD">
              <w:t>Denominator: The total number of new clients under 25 years referred to a specialist mental health service</w:t>
            </w:r>
          </w:p>
        </w:tc>
      </w:tr>
      <w:tr w:rsidR="00AA7B55" w14:paraId="111E8F77" w14:textId="77777777" w:rsidTr="00161C0A">
        <w:tc>
          <w:tcPr>
            <w:tcW w:w="3261" w:type="dxa"/>
            <w:shd w:val="clear" w:color="auto" w:fill="D9D9D9" w:themeFill="background1" w:themeFillShade="D9"/>
          </w:tcPr>
          <w:p w14:paraId="6818FEE0" w14:textId="77777777" w:rsidR="00AA7B55" w:rsidRPr="00A87467" w:rsidRDefault="00AA7B55" w:rsidP="00A436D7">
            <w:pPr>
              <w:pStyle w:val="TableText"/>
              <w:rPr>
                <w:b/>
                <w:bCs/>
              </w:rPr>
            </w:pPr>
            <w:r w:rsidRPr="00A87467">
              <w:rPr>
                <w:b/>
                <w:bCs/>
              </w:rPr>
              <w:t>Data period</w:t>
            </w:r>
          </w:p>
        </w:tc>
        <w:tc>
          <w:tcPr>
            <w:tcW w:w="5244" w:type="dxa"/>
          </w:tcPr>
          <w:p w14:paraId="21F6B8DC" w14:textId="77777777" w:rsidR="00AA7B55" w:rsidRDefault="00AA7B55" w:rsidP="00A436D7">
            <w:pPr>
              <w:pStyle w:val="TableText"/>
            </w:pPr>
            <w:r>
              <w:rPr>
                <w:spacing w:val="-12"/>
                <w:sz w:val="16"/>
              </w:rPr>
              <w:t xml:space="preserve"> </w:t>
            </w:r>
            <w:r w:rsidRPr="008623AD">
              <w:t>12 months rolling, one quarter in arrears</w:t>
            </w:r>
          </w:p>
        </w:tc>
      </w:tr>
      <w:tr w:rsidR="00AA7B55" w14:paraId="2A7DED3D" w14:textId="77777777" w:rsidTr="00161C0A">
        <w:tc>
          <w:tcPr>
            <w:tcW w:w="3261" w:type="dxa"/>
            <w:shd w:val="clear" w:color="auto" w:fill="D9D9D9" w:themeFill="background1" w:themeFillShade="D9"/>
          </w:tcPr>
          <w:p w14:paraId="5C727CE7" w14:textId="77777777" w:rsidR="00AA7B55" w:rsidRPr="00A87467" w:rsidRDefault="00AA7B55" w:rsidP="00A436D7">
            <w:pPr>
              <w:pStyle w:val="TableText"/>
              <w:rPr>
                <w:b/>
                <w:bCs/>
              </w:rPr>
            </w:pPr>
            <w:r w:rsidRPr="00A87467">
              <w:rPr>
                <w:b/>
                <w:bCs/>
              </w:rPr>
              <w:t>Frequency that data is available</w:t>
            </w:r>
          </w:p>
        </w:tc>
        <w:tc>
          <w:tcPr>
            <w:tcW w:w="5244" w:type="dxa"/>
          </w:tcPr>
          <w:p w14:paraId="2F2E9E5C" w14:textId="77777777" w:rsidR="00AA7B55" w:rsidRDefault="00AA7B55" w:rsidP="00A436D7">
            <w:pPr>
              <w:pStyle w:val="TableText"/>
            </w:pPr>
            <w:r w:rsidRPr="0078428C">
              <w:t>Quarterly</w:t>
            </w:r>
          </w:p>
        </w:tc>
      </w:tr>
      <w:tr w:rsidR="00AA7B55" w14:paraId="169B9614" w14:textId="77777777" w:rsidTr="00161C0A">
        <w:tc>
          <w:tcPr>
            <w:tcW w:w="3261" w:type="dxa"/>
            <w:shd w:val="clear" w:color="auto" w:fill="D9D9D9" w:themeFill="background1" w:themeFillShade="D9"/>
          </w:tcPr>
          <w:p w14:paraId="3C031161" w14:textId="77777777" w:rsidR="00AA7B55" w:rsidRPr="00A87467" w:rsidRDefault="00AA7B55" w:rsidP="00A436D7">
            <w:pPr>
              <w:pStyle w:val="TableText"/>
              <w:rPr>
                <w:b/>
                <w:bCs/>
              </w:rPr>
            </w:pPr>
            <w:r w:rsidRPr="00A87467">
              <w:rPr>
                <w:b/>
                <w:bCs/>
              </w:rPr>
              <w:t>Level of disaggregation of data available</w:t>
            </w:r>
          </w:p>
        </w:tc>
        <w:tc>
          <w:tcPr>
            <w:tcW w:w="5244" w:type="dxa"/>
          </w:tcPr>
          <w:p w14:paraId="5CBE965F" w14:textId="77777777" w:rsidR="00AA7B55" w:rsidRDefault="00AA7B55" w:rsidP="00A436D7">
            <w:pPr>
              <w:pStyle w:val="TableText"/>
            </w:pPr>
            <w:r w:rsidRPr="0078428C">
              <w:t>Ethnicity, geographic area</w:t>
            </w:r>
          </w:p>
        </w:tc>
      </w:tr>
      <w:tr w:rsidR="00AA7B55" w14:paraId="3CB2672C" w14:textId="77777777" w:rsidTr="00161C0A">
        <w:tc>
          <w:tcPr>
            <w:tcW w:w="3261" w:type="dxa"/>
            <w:shd w:val="clear" w:color="auto" w:fill="D9D9D9" w:themeFill="background1" w:themeFillShade="D9"/>
          </w:tcPr>
          <w:p w14:paraId="69D92F64" w14:textId="77777777" w:rsidR="00AA7B55" w:rsidRPr="00A87467" w:rsidRDefault="00AA7B55" w:rsidP="00A436D7">
            <w:pPr>
              <w:pStyle w:val="TableText"/>
              <w:rPr>
                <w:b/>
                <w:bCs/>
              </w:rPr>
            </w:pPr>
            <w:r w:rsidRPr="00A87467">
              <w:rPr>
                <w:b/>
                <w:bCs/>
              </w:rPr>
              <w:t>Related or prior performance measure code</w:t>
            </w:r>
          </w:p>
        </w:tc>
        <w:tc>
          <w:tcPr>
            <w:tcW w:w="5244" w:type="dxa"/>
          </w:tcPr>
          <w:p w14:paraId="4BFBFD06" w14:textId="77777777" w:rsidR="00AA7B55" w:rsidRPr="008623AD" w:rsidRDefault="00AA7B55" w:rsidP="00A436D7">
            <w:pPr>
              <w:pStyle w:val="TableText"/>
            </w:pPr>
            <w:proofErr w:type="spellStart"/>
            <w:r w:rsidRPr="008623AD">
              <w:t>Whakamaua</w:t>
            </w:r>
            <w:proofErr w:type="spellEnd"/>
            <w:r w:rsidRPr="008623AD">
              <w:t xml:space="preserve"> measure 3.2</w:t>
            </w:r>
          </w:p>
          <w:p w14:paraId="1D26A606" w14:textId="26F9B75C" w:rsidR="00AA7B55" w:rsidRPr="00094185" w:rsidRDefault="00DD6B81" w:rsidP="00A436D7">
            <w:pPr>
              <w:pStyle w:val="TableText"/>
              <w:rPr>
                <w:color w:val="595959"/>
              </w:rPr>
            </w:pPr>
            <w:hyperlink r:id="rId26" w:history="1">
              <w:r w:rsidR="00D67C52">
                <w:rPr>
                  <w:b/>
                  <w:color w:val="595959"/>
                </w:rPr>
                <w:t>https://www.health.govt.nz/maori-health/whakamaua-maori-health-action-plan-2020-2025</w:t>
              </w:r>
            </w:hyperlink>
            <w:r w:rsidR="007B1C0B">
              <w:rPr>
                <w:b/>
                <w:color w:val="595959"/>
              </w:rPr>
              <w:t xml:space="preserve"> </w:t>
            </w:r>
          </w:p>
          <w:p w14:paraId="6EBBFBA9" w14:textId="77777777" w:rsidR="00AA7B55" w:rsidRDefault="00AA7B55" w:rsidP="00A436D7">
            <w:pPr>
              <w:pStyle w:val="TableText"/>
            </w:pPr>
            <w:r w:rsidRPr="008623AD">
              <w:t>Part of previous DHB non-financial monitoring framework and performance measures – MH03</w:t>
            </w:r>
          </w:p>
        </w:tc>
      </w:tr>
    </w:tbl>
    <w:p w14:paraId="232CE8AA" w14:textId="77777777" w:rsidR="00AA7B55" w:rsidRDefault="00AA7B55" w:rsidP="00AA7B55"/>
    <w:p w14:paraId="0CE687E5" w14:textId="77777777" w:rsidR="00AA7B55" w:rsidRDefault="00AA7B55" w:rsidP="00AA7B55">
      <w:pPr>
        <w:rPr>
          <w:b/>
          <w:bCs/>
        </w:rPr>
      </w:pPr>
      <w:r w:rsidRPr="005A037B">
        <w:rPr>
          <w:b/>
          <w:bCs/>
        </w:rPr>
        <w:t>[To be developed] Screening</w:t>
      </w:r>
    </w:p>
    <w:p w14:paraId="02F81045" w14:textId="77777777" w:rsidR="00AA7B55" w:rsidRDefault="00AA7B55" w:rsidP="00AA7B55">
      <w:pPr>
        <w:rPr>
          <w:b/>
          <w:bCs/>
        </w:rPr>
      </w:pPr>
    </w:p>
    <w:p w14:paraId="0194E3C3" w14:textId="77777777" w:rsidR="00AA7B55" w:rsidRPr="008623AD" w:rsidRDefault="00AA7B55" w:rsidP="00AA7B55">
      <w:r w:rsidRPr="008623AD">
        <w:t>This measure will be considered as part of development of the GPS 2024</w:t>
      </w:r>
      <w:r>
        <w:t>–</w:t>
      </w:r>
      <w:r w:rsidRPr="008623AD">
        <w:t>27.</w:t>
      </w:r>
    </w:p>
    <w:p w14:paraId="47F26843" w14:textId="77777777" w:rsidR="00AA7B55" w:rsidRPr="008623AD" w:rsidRDefault="00AA7B55" w:rsidP="00AA7B55"/>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5249"/>
      </w:tblGrid>
      <w:tr w:rsidR="00AA7B55" w14:paraId="52C46131" w14:textId="77777777" w:rsidTr="00161C0A">
        <w:tc>
          <w:tcPr>
            <w:tcW w:w="3256" w:type="dxa"/>
            <w:shd w:val="clear" w:color="auto" w:fill="D9D9D9" w:themeFill="background1" w:themeFillShade="D9"/>
          </w:tcPr>
          <w:p w14:paraId="3996BA8F" w14:textId="77777777" w:rsidR="00AA7B55" w:rsidRPr="00A87467" w:rsidRDefault="00AA7B55" w:rsidP="00A436D7">
            <w:pPr>
              <w:pStyle w:val="TableText"/>
              <w:rPr>
                <w:b/>
                <w:bCs/>
              </w:rPr>
            </w:pPr>
            <w:r w:rsidRPr="00A87467">
              <w:rPr>
                <w:b/>
                <w:bCs/>
              </w:rPr>
              <w:t>Expectation for July 2022 – June 2024</w:t>
            </w:r>
          </w:p>
        </w:tc>
        <w:tc>
          <w:tcPr>
            <w:tcW w:w="5249" w:type="dxa"/>
          </w:tcPr>
          <w:p w14:paraId="667FE015" w14:textId="77777777" w:rsidR="00AA7B55" w:rsidRDefault="00AA7B55" w:rsidP="00A436D7">
            <w:pPr>
              <w:pStyle w:val="TableText"/>
            </w:pPr>
          </w:p>
        </w:tc>
      </w:tr>
      <w:tr w:rsidR="00AA7B55" w14:paraId="7A5C0D9B" w14:textId="77777777" w:rsidTr="00161C0A">
        <w:tc>
          <w:tcPr>
            <w:tcW w:w="3256" w:type="dxa"/>
            <w:shd w:val="clear" w:color="auto" w:fill="D9D9D9" w:themeFill="background1" w:themeFillShade="D9"/>
          </w:tcPr>
          <w:p w14:paraId="52D16D4A" w14:textId="77777777" w:rsidR="00AA7B55" w:rsidRPr="00A87467" w:rsidRDefault="00AA7B55" w:rsidP="00A436D7">
            <w:pPr>
              <w:pStyle w:val="TableText"/>
              <w:rPr>
                <w:b/>
                <w:bCs/>
              </w:rPr>
            </w:pPr>
            <w:r w:rsidRPr="00A87467">
              <w:rPr>
                <w:b/>
                <w:bCs/>
              </w:rPr>
              <w:t>Data source</w:t>
            </w:r>
          </w:p>
        </w:tc>
        <w:tc>
          <w:tcPr>
            <w:tcW w:w="5249" w:type="dxa"/>
          </w:tcPr>
          <w:p w14:paraId="475A9D94" w14:textId="77777777" w:rsidR="00AA7B55" w:rsidRDefault="00AA7B55" w:rsidP="00A436D7">
            <w:pPr>
              <w:pStyle w:val="TableText"/>
            </w:pPr>
          </w:p>
        </w:tc>
      </w:tr>
      <w:tr w:rsidR="00AA7B55" w14:paraId="16CCDE43" w14:textId="77777777" w:rsidTr="00161C0A">
        <w:tc>
          <w:tcPr>
            <w:tcW w:w="3256" w:type="dxa"/>
            <w:shd w:val="clear" w:color="auto" w:fill="D9D9D9" w:themeFill="background1" w:themeFillShade="D9"/>
          </w:tcPr>
          <w:p w14:paraId="3882E127" w14:textId="77777777" w:rsidR="00AA7B55" w:rsidRPr="00A87467" w:rsidRDefault="00AA7B55" w:rsidP="00A436D7">
            <w:pPr>
              <w:pStyle w:val="TableText"/>
              <w:rPr>
                <w:b/>
                <w:bCs/>
              </w:rPr>
            </w:pPr>
            <w:r w:rsidRPr="00A87467">
              <w:rPr>
                <w:b/>
                <w:bCs/>
              </w:rPr>
              <w:t>If quantitative, measurement definitions</w:t>
            </w:r>
          </w:p>
        </w:tc>
        <w:tc>
          <w:tcPr>
            <w:tcW w:w="5249" w:type="dxa"/>
          </w:tcPr>
          <w:p w14:paraId="10047A1A" w14:textId="77777777" w:rsidR="00AA7B55" w:rsidRDefault="00AA7B55" w:rsidP="00A436D7">
            <w:pPr>
              <w:pStyle w:val="TableText"/>
            </w:pPr>
          </w:p>
        </w:tc>
      </w:tr>
      <w:tr w:rsidR="00AA7B55" w14:paraId="62D93FF1" w14:textId="77777777" w:rsidTr="00161C0A">
        <w:tc>
          <w:tcPr>
            <w:tcW w:w="3256" w:type="dxa"/>
            <w:shd w:val="clear" w:color="auto" w:fill="D9D9D9" w:themeFill="background1" w:themeFillShade="D9"/>
          </w:tcPr>
          <w:p w14:paraId="4C776743" w14:textId="77777777" w:rsidR="00AA7B55" w:rsidRPr="00A87467" w:rsidRDefault="00AA7B55" w:rsidP="00A436D7">
            <w:pPr>
              <w:pStyle w:val="TableText"/>
              <w:rPr>
                <w:b/>
                <w:bCs/>
              </w:rPr>
            </w:pPr>
            <w:r w:rsidRPr="00A87467">
              <w:rPr>
                <w:b/>
                <w:bCs/>
              </w:rPr>
              <w:t>Data period</w:t>
            </w:r>
          </w:p>
        </w:tc>
        <w:tc>
          <w:tcPr>
            <w:tcW w:w="5249" w:type="dxa"/>
          </w:tcPr>
          <w:p w14:paraId="1BC154A7" w14:textId="77777777" w:rsidR="00AA7B55" w:rsidRDefault="00AA7B55" w:rsidP="00A436D7">
            <w:pPr>
              <w:pStyle w:val="TableText"/>
            </w:pPr>
          </w:p>
        </w:tc>
      </w:tr>
      <w:tr w:rsidR="00AA7B55" w14:paraId="409EDF31" w14:textId="77777777" w:rsidTr="00161C0A">
        <w:tc>
          <w:tcPr>
            <w:tcW w:w="3256" w:type="dxa"/>
            <w:shd w:val="clear" w:color="auto" w:fill="D9D9D9" w:themeFill="background1" w:themeFillShade="D9"/>
          </w:tcPr>
          <w:p w14:paraId="4376E002" w14:textId="77777777" w:rsidR="00AA7B55" w:rsidRPr="00A87467" w:rsidRDefault="00AA7B55" w:rsidP="00A436D7">
            <w:pPr>
              <w:pStyle w:val="TableText"/>
              <w:rPr>
                <w:b/>
                <w:bCs/>
              </w:rPr>
            </w:pPr>
            <w:r w:rsidRPr="00A87467">
              <w:rPr>
                <w:b/>
                <w:bCs/>
              </w:rPr>
              <w:t>Frequency that data is available</w:t>
            </w:r>
          </w:p>
        </w:tc>
        <w:tc>
          <w:tcPr>
            <w:tcW w:w="5249" w:type="dxa"/>
          </w:tcPr>
          <w:p w14:paraId="427C964D" w14:textId="77777777" w:rsidR="00AA7B55" w:rsidRDefault="00AA7B55" w:rsidP="00A436D7">
            <w:pPr>
              <w:pStyle w:val="TableText"/>
            </w:pPr>
          </w:p>
        </w:tc>
      </w:tr>
      <w:tr w:rsidR="00AA7B55" w14:paraId="24B32D91" w14:textId="77777777" w:rsidTr="00161C0A">
        <w:tc>
          <w:tcPr>
            <w:tcW w:w="3256" w:type="dxa"/>
            <w:shd w:val="clear" w:color="auto" w:fill="D9D9D9" w:themeFill="background1" w:themeFillShade="D9"/>
          </w:tcPr>
          <w:p w14:paraId="29E51EC3" w14:textId="77777777" w:rsidR="00AA7B55" w:rsidRPr="00A87467" w:rsidRDefault="00AA7B55" w:rsidP="00A436D7">
            <w:pPr>
              <w:pStyle w:val="TableText"/>
              <w:rPr>
                <w:b/>
                <w:bCs/>
              </w:rPr>
            </w:pPr>
            <w:r w:rsidRPr="00A87467">
              <w:rPr>
                <w:b/>
                <w:bCs/>
              </w:rPr>
              <w:t>Level of disaggregation of data available</w:t>
            </w:r>
          </w:p>
        </w:tc>
        <w:tc>
          <w:tcPr>
            <w:tcW w:w="5249" w:type="dxa"/>
          </w:tcPr>
          <w:p w14:paraId="55D9EF03" w14:textId="77777777" w:rsidR="00AA7B55" w:rsidRDefault="00AA7B55" w:rsidP="00A436D7">
            <w:pPr>
              <w:pStyle w:val="TableText"/>
            </w:pPr>
          </w:p>
        </w:tc>
      </w:tr>
      <w:tr w:rsidR="00AA7B55" w14:paraId="5009D027" w14:textId="77777777" w:rsidTr="00161C0A">
        <w:tc>
          <w:tcPr>
            <w:tcW w:w="3256" w:type="dxa"/>
            <w:shd w:val="clear" w:color="auto" w:fill="D9D9D9" w:themeFill="background1" w:themeFillShade="D9"/>
          </w:tcPr>
          <w:p w14:paraId="08E7E799" w14:textId="77777777" w:rsidR="00AA7B55" w:rsidRPr="00A87467" w:rsidRDefault="00AA7B55" w:rsidP="00A436D7">
            <w:pPr>
              <w:pStyle w:val="TableText"/>
              <w:rPr>
                <w:b/>
                <w:bCs/>
              </w:rPr>
            </w:pPr>
            <w:r w:rsidRPr="00A87467">
              <w:rPr>
                <w:b/>
                <w:bCs/>
              </w:rPr>
              <w:t>Related or prior performance measure code</w:t>
            </w:r>
          </w:p>
        </w:tc>
        <w:tc>
          <w:tcPr>
            <w:tcW w:w="5249" w:type="dxa"/>
          </w:tcPr>
          <w:p w14:paraId="43AC9CD8" w14:textId="77777777" w:rsidR="00AA7B55" w:rsidRDefault="00AA7B55" w:rsidP="00A436D7">
            <w:pPr>
              <w:pStyle w:val="TableText"/>
            </w:pPr>
          </w:p>
        </w:tc>
      </w:tr>
    </w:tbl>
    <w:p w14:paraId="0AA9229A" w14:textId="77777777" w:rsidR="00AA7B55" w:rsidRPr="00161C0A" w:rsidRDefault="00AA7B55" w:rsidP="00161C0A">
      <w:pPr>
        <w:pStyle w:val="Heading3"/>
        <w:ind w:left="564" w:hanging="564"/>
        <w:rPr>
          <w:rStyle w:val="Heading3Char"/>
          <w:sz w:val="24"/>
          <w:szCs w:val="24"/>
        </w:rPr>
      </w:pPr>
      <w:r w:rsidRPr="00161C0A">
        <w:rPr>
          <w:rStyle w:val="Heading3Char"/>
          <w:sz w:val="24"/>
          <w:szCs w:val="24"/>
        </w:rPr>
        <w:t>1.4</w:t>
      </w:r>
      <w:r w:rsidRPr="00161C0A">
        <w:rPr>
          <w:rStyle w:val="Heading3Char"/>
          <w:sz w:val="24"/>
          <w:szCs w:val="24"/>
        </w:rPr>
        <w:tab/>
        <w:t>Missed appointments for specialist care, reported by ethnicity and geographic area</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244"/>
      </w:tblGrid>
      <w:tr w:rsidR="00AA7B55" w14:paraId="6A87E4C6" w14:textId="77777777" w:rsidTr="00161C0A">
        <w:tc>
          <w:tcPr>
            <w:tcW w:w="3261" w:type="dxa"/>
            <w:shd w:val="clear" w:color="auto" w:fill="D9D9D9" w:themeFill="background1" w:themeFillShade="D9"/>
          </w:tcPr>
          <w:p w14:paraId="636EE82D" w14:textId="77777777" w:rsidR="00AA7B55" w:rsidRPr="00A87467" w:rsidRDefault="00AA7B55" w:rsidP="00A436D7">
            <w:pPr>
              <w:pStyle w:val="TableText"/>
              <w:rPr>
                <w:b/>
                <w:bCs/>
              </w:rPr>
            </w:pPr>
            <w:r w:rsidRPr="00A87467">
              <w:rPr>
                <w:b/>
                <w:bCs/>
              </w:rPr>
              <w:t>Expectation for July 2022 – June 2024</w:t>
            </w:r>
          </w:p>
        </w:tc>
        <w:tc>
          <w:tcPr>
            <w:tcW w:w="5244" w:type="dxa"/>
          </w:tcPr>
          <w:p w14:paraId="30CE044E" w14:textId="73038FA0" w:rsidR="00AA7B55" w:rsidRDefault="00AA7B55" w:rsidP="00A436D7">
            <w:pPr>
              <w:pStyle w:val="TableText"/>
            </w:pPr>
            <w:r w:rsidRPr="008623AD">
              <w:t xml:space="preserve">A decrease </w:t>
            </w:r>
            <w:r w:rsidR="00B115F3">
              <w:t xml:space="preserve">in the percentage of missed appointments </w:t>
            </w:r>
            <w:r w:rsidRPr="008623AD">
              <w:t>from the 12 months to 30 June 2022 (baseline) and the equity gap between Māori and Pacific people</w:t>
            </w:r>
            <w:r>
              <w:t>s</w:t>
            </w:r>
            <w:r w:rsidRPr="008623AD">
              <w:t xml:space="preserve"> and non-Māori non-Pacific peoples also reduces</w:t>
            </w:r>
          </w:p>
        </w:tc>
      </w:tr>
      <w:tr w:rsidR="00AA7B55" w14:paraId="667125E4" w14:textId="77777777" w:rsidTr="00161C0A">
        <w:tc>
          <w:tcPr>
            <w:tcW w:w="3261" w:type="dxa"/>
            <w:shd w:val="clear" w:color="auto" w:fill="D9D9D9" w:themeFill="background1" w:themeFillShade="D9"/>
          </w:tcPr>
          <w:p w14:paraId="7A6061DC" w14:textId="77777777" w:rsidR="00AA7B55" w:rsidRPr="00A87467" w:rsidRDefault="00AA7B55" w:rsidP="00A436D7">
            <w:pPr>
              <w:pStyle w:val="TableText"/>
              <w:rPr>
                <w:b/>
                <w:bCs/>
              </w:rPr>
            </w:pPr>
            <w:r w:rsidRPr="00A87467">
              <w:rPr>
                <w:b/>
                <w:bCs/>
              </w:rPr>
              <w:t>Data source</w:t>
            </w:r>
          </w:p>
        </w:tc>
        <w:tc>
          <w:tcPr>
            <w:tcW w:w="5244" w:type="dxa"/>
          </w:tcPr>
          <w:p w14:paraId="5E971E45" w14:textId="77777777" w:rsidR="00AA7B55" w:rsidRDefault="00AA7B55" w:rsidP="00A436D7">
            <w:pPr>
              <w:pStyle w:val="TableText"/>
            </w:pPr>
            <w:r w:rsidRPr="00D832CB">
              <w:t>National Collections - NNPAC</w:t>
            </w:r>
          </w:p>
        </w:tc>
      </w:tr>
      <w:tr w:rsidR="00AA7B55" w14:paraId="01879BE8" w14:textId="77777777" w:rsidTr="00161C0A">
        <w:tc>
          <w:tcPr>
            <w:tcW w:w="3261" w:type="dxa"/>
            <w:shd w:val="clear" w:color="auto" w:fill="D9D9D9" w:themeFill="background1" w:themeFillShade="D9"/>
          </w:tcPr>
          <w:p w14:paraId="1DC77A17" w14:textId="77777777" w:rsidR="00AA7B55" w:rsidRPr="00A87467" w:rsidRDefault="00AA7B55" w:rsidP="00A436D7">
            <w:pPr>
              <w:pStyle w:val="TableText"/>
              <w:rPr>
                <w:b/>
                <w:bCs/>
              </w:rPr>
            </w:pPr>
            <w:r w:rsidRPr="00A87467">
              <w:rPr>
                <w:b/>
                <w:bCs/>
              </w:rPr>
              <w:t>If quantitative, measurement definitions</w:t>
            </w:r>
          </w:p>
        </w:tc>
        <w:tc>
          <w:tcPr>
            <w:tcW w:w="5244" w:type="dxa"/>
          </w:tcPr>
          <w:p w14:paraId="08A38B2B" w14:textId="77777777" w:rsidR="00AA7B55" w:rsidRPr="008623AD" w:rsidRDefault="00AA7B55" w:rsidP="00A436D7">
            <w:pPr>
              <w:pStyle w:val="TableText"/>
            </w:pPr>
            <w:r w:rsidRPr="008623AD">
              <w:t xml:space="preserve">Numerator: Number of missed appointments for First Specialist Assessments (FSA) </w:t>
            </w:r>
          </w:p>
          <w:p w14:paraId="051E96B0" w14:textId="77777777" w:rsidR="00AA7B55" w:rsidRDefault="00AA7B55" w:rsidP="00A436D7">
            <w:pPr>
              <w:pStyle w:val="TableText"/>
            </w:pPr>
            <w:r w:rsidRPr="008623AD">
              <w:t>Denominator: Total number of FSAs (attended and missed)</w:t>
            </w:r>
          </w:p>
        </w:tc>
      </w:tr>
      <w:tr w:rsidR="00AA7B55" w14:paraId="6787CA85" w14:textId="77777777" w:rsidTr="00161C0A">
        <w:tc>
          <w:tcPr>
            <w:tcW w:w="3261" w:type="dxa"/>
            <w:shd w:val="clear" w:color="auto" w:fill="D9D9D9" w:themeFill="background1" w:themeFillShade="D9"/>
          </w:tcPr>
          <w:p w14:paraId="4A74CF13" w14:textId="77777777" w:rsidR="00AA7B55" w:rsidRPr="00A87467" w:rsidRDefault="00AA7B55" w:rsidP="00A436D7">
            <w:pPr>
              <w:pStyle w:val="TableText"/>
              <w:rPr>
                <w:b/>
                <w:bCs/>
              </w:rPr>
            </w:pPr>
            <w:r w:rsidRPr="00A87467">
              <w:rPr>
                <w:b/>
                <w:bCs/>
              </w:rPr>
              <w:t>Data period</w:t>
            </w:r>
          </w:p>
        </w:tc>
        <w:tc>
          <w:tcPr>
            <w:tcW w:w="5244" w:type="dxa"/>
          </w:tcPr>
          <w:p w14:paraId="7E38E3CA" w14:textId="77777777" w:rsidR="00AA7B55" w:rsidRDefault="00AA7B55" w:rsidP="00A436D7">
            <w:pPr>
              <w:pStyle w:val="TableText"/>
            </w:pPr>
            <w:r w:rsidRPr="00906DC7">
              <w:t>Quarterly, about six weeks in arrears</w:t>
            </w:r>
          </w:p>
        </w:tc>
      </w:tr>
      <w:tr w:rsidR="00AA7B55" w14:paraId="3283CA23" w14:textId="77777777" w:rsidTr="00161C0A">
        <w:tc>
          <w:tcPr>
            <w:tcW w:w="3261" w:type="dxa"/>
            <w:shd w:val="clear" w:color="auto" w:fill="D9D9D9" w:themeFill="background1" w:themeFillShade="D9"/>
          </w:tcPr>
          <w:p w14:paraId="5F71402F" w14:textId="77777777" w:rsidR="00AA7B55" w:rsidRPr="00A87467" w:rsidRDefault="00AA7B55" w:rsidP="00A436D7">
            <w:pPr>
              <w:pStyle w:val="TableText"/>
              <w:rPr>
                <w:b/>
                <w:bCs/>
              </w:rPr>
            </w:pPr>
            <w:r w:rsidRPr="00A87467">
              <w:rPr>
                <w:b/>
                <w:bCs/>
              </w:rPr>
              <w:t>Frequency that data is available</w:t>
            </w:r>
          </w:p>
        </w:tc>
        <w:tc>
          <w:tcPr>
            <w:tcW w:w="5244" w:type="dxa"/>
          </w:tcPr>
          <w:p w14:paraId="16B82C2F" w14:textId="77777777" w:rsidR="00AA7B55" w:rsidRDefault="00AA7B55" w:rsidP="00A436D7">
            <w:pPr>
              <w:pStyle w:val="TableText"/>
            </w:pPr>
            <w:r w:rsidRPr="00906DC7">
              <w:t>Quarterly</w:t>
            </w:r>
          </w:p>
        </w:tc>
      </w:tr>
      <w:tr w:rsidR="00AA7B55" w14:paraId="48B63287" w14:textId="77777777" w:rsidTr="00161C0A">
        <w:tc>
          <w:tcPr>
            <w:tcW w:w="3261" w:type="dxa"/>
            <w:shd w:val="clear" w:color="auto" w:fill="D9D9D9" w:themeFill="background1" w:themeFillShade="D9"/>
          </w:tcPr>
          <w:p w14:paraId="04EE6A00" w14:textId="77777777" w:rsidR="00AA7B55" w:rsidRPr="00A87467" w:rsidRDefault="00AA7B55" w:rsidP="00A436D7">
            <w:pPr>
              <w:pStyle w:val="TableText"/>
              <w:rPr>
                <w:b/>
                <w:bCs/>
              </w:rPr>
            </w:pPr>
            <w:r w:rsidRPr="00A87467">
              <w:rPr>
                <w:b/>
                <w:bCs/>
              </w:rPr>
              <w:t>Level of disaggregation of data available</w:t>
            </w:r>
          </w:p>
        </w:tc>
        <w:tc>
          <w:tcPr>
            <w:tcW w:w="5244" w:type="dxa"/>
          </w:tcPr>
          <w:p w14:paraId="496527D7" w14:textId="77777777" w:rsidR="00AA7B55" w:rsidRDefault="00AA7B55" w:rsidP="00A436D7">
            <w:pPr>
              <w:pStyle w:val="TableText"/>
            </w:pPr>
            <w:r w:rsidRPr="00906DC7">
              <w:t>Ethnicity, age, gender, geographic area</w:t>
            </w:r>
          </w:p>
        </w:tc>
      </w:tr>
      <w:tr w:rsidR="00AA7B55" w14:paraId="11C9C50D" w14:textId="77777777" w:rsidTr="00161C0A">
        <w:tc>
          <w:tcPr>
            <w:tcW w:w="3261" w:type="dxa"/>
            <w:shd w:val="clear" w:color="auto" w:fill="D9D9D9" w:themeFill="background1" w:themeFillShade="D9"/>
          </w:tcPr>
          <w:p w14:paraId="10BD5391" w14:textId="77777777" w:rsidR="00AA7B55" w:rsidRPr="00A87467" w:rsidRDefault="00AA7B55" w:rsidP="00A436D7">
            <w:pPr>
              <w:pStyle w:val="TableText"/>
              <w:rPr>
                <w:b/>
                <w:bCs/>
              </w:rPr>
            </w:pPr>
            <w:r w:rsidRPr="00A87467">
              <w:rPr>
                <w:b/>
                <w:bCs/>
              </w:rPr>
              <w:t>Related or prior performance measure code</w:t>
            </w:r>
          </w:p>
        </w:tc>
        <w:tc>
          <w:tcPr>
            <w:tcW w:w="5244" w:type="dxa"/>
          </w:tcPr>
          <w:p w14:paraId="4A3B9214" w14:textId="77777777" w:rsidR="00AA7B55" w:rsidRPr="008623AD" w:rsidRDefault="00AA7B55" w:rsidP="00A436D7">
            <w:pPr>
              <w:pStyle w:val="TableText"/>
            </w:pPr>
            <w:proofErr w:type="spellStart"/>
            <w:r w:rsidRPr="008623AD">
              <w:t>Whakamaua</w:t>
            </w:r>
            <w:proofErr w:type="spellEnd"/>
            <w:r w:rsidRPr="008623AD">
              <w:t xml:space="preserve"> measure 2.2</w:t>
            </w:r>
          </w:p>
          <w:p w14:paraId="6A5FF024" w14:textId="5A65D355" w:rsidR="00AA7B55" w:rsidRPr="00094185" w:rsidRDefault="00000000" w:rsidP="00A436D7">
            <w:pPr>
              <w:pStyle w:val="TableText"/>
              <w:rPr>
                <w:b/>
                <w:color w:val="595959"/>
              </w:rPr>
            </w:pPr>
            <w:hyperlink r:id="rId27" w:history="1">
              <w:r w:rsidR="007A3962">
                <w:rPr>
                  <w:b/>
                  <w:color w:val="595959"/>
                </w:rPr>
                <w:t>https://www.health.govt.nz/maori-health/whakamaua-maori-health-action-plan-2020-2025</w:t>
              </w:r>
            </w:hyperlink>
            <w:r w:rsidR="00AA7B55" w:rsidRPr="00094185">
              <w:rPr>
                <w:b/>
                <w:color w:val="595959"/>
              </w:rPr>
              <w:t xml:space="preserve"> </w:t>
            </w:r>
          </w:p>
          <w:p w14:paraId="7D8C7DF9" w14:textId="77777777" w:rsidR="00AA7B55" w:rsidRDefault="00AA7B55" w:rsidP="00A436D7">
            <w:pPr>
              <w:pStyle w:val="TableText"/>
            </w:pPr>
            <w:r w:rsidRPr="008623AD">
              <w:t>Part of previous DHB non-financial monitoring framework and performance measures – SS07</w:t>
            </w:r>
          </w:p>
        </w:tc>
      </w:tr>
    </w:tbl>
    <w:p w14:paraId="7E68C4EC" w14:textId="77777777" w:rsidR="00577C3E" w:rsidRDefault="00577C3E" w:rsidP="00161C0A">
      <w:pPr>
        <w:pStyle w:val="Heading3"/>
        <w:ind w:left="564" w:hanging="564"/>
        <w:rPr>
          <w:rStyle w:val="Heading3Char"/>
          <w:sz w:val="24"/>
          <w:szCs w:val="24"/>
        </w:rPr>
        <w:sectPr w:rsidR="00577C3E" w:rsidSect="00577C3E">
          <w:pgSz w:w="11906" w:h="16838" w:code="9"/>
          <w:pgMar w:top="1418" w:right="1416" w:bottom="1134" w:left="1560" w:header="284" w:footer="425" w:gutter="284"/>
          <w:cols w:space="720"/>
          <w:docGrid w:linePitch="286"/>
        </w:sectPr>
      </w:pPr>
    </w:p>
    <w:p w14:paraId="1E0AEC9D" w14:textId="0F4252A2" w:rsidR="00AA7B55" w:rsidRPr="00161C0A" w:rsidRDefault="00AA7B55" w:rsidP="00577C3E">
      <w:pPr>
        <w:pStyle w:val="Heading3"/>
        <w:spacing w:before="0"/>
        <w:ind w:left="564" w:hanging="564"/>
        <w:rPr>
          <w:rStyle w:val="Heading3Char"/>
          <w:sz w:val="24"/>
          <w:szCs w:val="24"/>
        </w:rPr>
      </w:pPr>
      <w:r w:rsidRPr="00161C0A">
        <w:rPr>
          <w:rStyle w:val="Heading3Char"/>
          <w:sz w:val="24"/>
          <w:szCs w:val="24"/>
        </w:rPr>
        <w:lastRenderedPageBreak/>
        <w:t>1.5</w:t>
      </w:r>
      <w:r w:rsidRPr="00161C0A">
        <w:rPr>
          <w:rStyle w:val="Heading3Char"/>
          <w:sz w:val="24"/>
          <w:szCs w:val="24"/>
        </w:rPr>
        <w:tab/>
        <w:t>Rate of diabetes complications reported by ethnicity and geographic area</w:t>
      </w:r>
    </w:p>
    <w:p w14:paraId="16AB839D" w14:textId="77777777" w:rsidR="00AA7B55" w:rsidRDefault="00AA7B55" w:rsidP="00AA7B55">
      <w:pPr>
        <w:rPr>
          <w:b/>
          <w:bCs/>
        </w:rPr>
      </w:pPr>
      <w:r>
        <w:rPr>
          <w:b/>
          <w:bCs/>
        </w:rPr>
        <w:t>Renal failure</w:t>
      </w:r>
    </w:p>
    <w:p w14:paraId="4CE4D422" w14:textId="77777777" w:rsidR="00AA7B55" w:rsidRDefault="00AA7B55" w:rsidP="00AA7B55"/>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A7B55" w14:paraId="60BBA242" w14:textId="77777777" w:rsidTr="00577C3E">
        <w:tc>
          <w:tcPr>
            <w:tcW w:w="3261" w:type="dxa"/>
            <w:shd w:val="clear" w:color="auto" w:fill="D9D9D9" w:themeFill="background1" w:themeFillShade="D9"/>
          </w:tcPr>
          <w:p w14:paraId="01AAFBBD" w14:textId="77777777" w:rsidR="00AA7B55" w:rsidRPr="00A87467" w:rsidRDefault="00AA7B55" w:rsidP="00577C3E">
            <w:pPr>
              <w:pStyle w:val="TableText"/>
              <w:spacing w:before="56" w:after="56"/>
              <w:rPr>
                <w:b/>
                <w:bCs/>
              </w:rPr>
            </w:pPr>
            <w:r w:rsidRPr="00A87467">
              <w:rPr>
                <w:b/>
                <w:bCs/>
              </w:rPr>
              <w:t>Expectation for July 2022 – June 2024</w:t>
            </w:r>
          </w:p>
        </w:tc>
        <w:tc>
          <w:tcPr>
            <w:tcW w:w="5386" w:type="dxa"/>
          </w:tcPr>
          <w:p w14:paraId="17883DE8" w14:textId="77777777" w:rsidR="00AA7B55" w:rsidRDefault="00AA7B55" w:rsidP="00577C3E">
            <w:pPr>
              <w:pStyle w:val="TableText"/>
              <w:spacing w:before="56" w:after="56"/>
            </w:pPr>
            <w:r w:rsidRPr="009F3E16">
              <w:t>A decrease in rate of renal failure (per 10,000 people with diabetes) from the 12 months to December 2021 (baseline)</w:t>
            </w:r>
          </w:p>
        </w:tc>
      </w:tr>
      <w:tr w:rsidR="00AA7B55" w14:paraId="55D9C104" w14:textId="77777777" w:rsidTr="00577C3E">
        <w:tc>
          <w:tcPr>
            <w:tcW w:w="3261" w:type="dxa"/>
            <w:shd w:val="clear" w:color="auto" w:fill="D9D9D9" w:themeFill="background1" w:themeFillShade="D9"/>
          </w:tcPr>
          <w:p w14:paraId="194C9891" w14:textId="77777777" w:rsidR="00AA7B55" w:rsidRPr="00A87467" w:rsidRDefault="00AA7B55" w:rsidP="00577C3E">
            <w:pPr>
              <w:pStyle w:val="TableText"/>
              <w:spacing w:before="56" w:after="56"/>
              <w:rPr>
                <w:b/>
                <w:bCs/>
              </w:rPr>
            </w:pPr>
            <w:r w:rsidRPr="00A87467">
              <w:rPr>
                <w:b/>
                <w:bCs/>
              </w:rPr>
              <w:t>Data source</w:t>
            </w:r>
          </w:p>
        </w:tc>
        <w:tc>
          <w:tcPr>
            <w:tcW w:w="5386" w:type="dxa"/>
          </w:tcPr>
          <w:p w14:paraId="2A85BD4E" w14:textId="77777777" w:rsidR="00AA7B55" w:rsidRDefault="00AA7B55" w:rsidP="00577C3E">
            <w:pPr>
              <w:pStyle w:val="TableText"/>
              <w:spacing w:before="56" w:after="56"/>
            </w:pPr>
            <w:r>
              <w:t>National Collections – NMDS</w:t>
            </w:r>
          </w:p>
          <w:p w14:paraId="67BC2FE0" w14:textId="77777777" w:rsidR="00AA7B55" w:rsidRDefault="00AA7B55" w:rsidP="00577C3E">
            <w:pPr>
              <w:pStyle w:val="TableText"/>
              <w:spacing w:before="56" w:after="56"/>
            </w:pPr>
            <w:r>
              <w:t>Virtual Diabetes Register (VDR)</w:t>
            </w:r>
          </w:p>
          <w:p w14:paraId="39859CB6" w14:textId="77777777" w:rsidR="00AA7B55" w:rsidRPr="00094185" w:rsidRDefault="00000000" w:rsidP="00577C3E">
            <w:pPr>
              <w:pStyle w:val="TableText"/>
              <w:spacing w:before="56" w:after="56"/>
              <w:rPr>
                <w:b/>
              </w:rPr>
            </w:pPr>
            <w:hyperlink r:id="rId28" w:history="1">
              <w:r w:rsidR="00AA7B55" w:rsidRPr="00094185">
                <w:rPr>
                  <w:b/>
                  <w:color w:val="595959"/>
                </w:rPr>
                <w:t>https://www.tewhatuora.govt.nz/our-health-system/data-and-statistics/virtual-diabetes-tool/</w:t>
              </w:r>
            </w:hyperlink>
            <w:r w:rsidR="00AA7B55" w:rsidRPr="00094185">
              <w:rPr>
                <w:b/>
                <w:color w:val="595959"/>
              </w:rPr>
              <w:t xml:space="preserve"> </w:t>
            </w:r>
          </w:p>
        </w:tc>
      </w:tr>
      <w:tr w:rsidR="00AA7B55" w14:paraId="019890D9" w14:textId="77777777" w:rsidTr="00577C3E">
        <w:tc>
          <w:tcPr>
            <w:tcW w:w="3261" w:type="dxa"/>
            <w:shd w:val="clear" w:color="auto" w:fill="D9D9D9" w:themeFill="background1" w:themeFillShade="D9"/>
          </w:tcPr>
          <w:p w14:paraId="1DCE9A8F" w14:textId="77777777" w:rsidR="00AA7B55" w:rsidRPr="00A87467" w:rsidRDefault="00AA7B55" w:rsidP="00577C3E">
            <w:pPr>
              <w:pStyle w:val="TableText"/>
              <w:spacing w:before="56" w:after="56"/>
              <w:rPr>
                <w:b/>
                <w:bCs/>
              </w:rPr>
            </w:pPr>
            <w:r w:rsidRPr="00A87467">
              <w:rPr>
                <w:b/>
                <w:bCs/>
              </w:rPr>
              <w:t>If quantitative, measurement definitions</w:t>
            </w:r>
          </w:p>
        </w:tc>
        <w:tc>
          <w:tcPr>
            <w:tcW w:w="5386" w:type="dxa"/>
          </w:tcPr>
          <w:p w14:paraId="1A0C2D34" w14:textId="77777777" w:rsidR="00AA7B55" w:rsidRPr="009F3E16" w:rsidRDefault="00AA7B55" w:rsidP="00577C3E">
            <w:pPr>
              <w:pStyle w:val="TableText"/>
              <w:spacing w:before="56" w:after="56"/>
            </w:pPr>
            <w:r w:rsidRPr="009F3E16">
              <w:t>Numerator: Number of hospitalisations with a diabetes-related renal failure primary or secondary diagnosis.</w:t>
            </w:r>
          </w:p>
          <w:p w14:paraId="602EE1C8" w14:textId="77777777" w:rsidR="00AA7B55" w:rsidRDefault="00AA7B55" w:rsidP="00577C3E">
            <w:pPr>
              <w:pStyle w:val="TableText"/>
              <w:spacing w:before="56" w:after="56"/>
            </w:pPr>
            <w:r w:rsidRPr="009F3E16">
              <w:t>Denominator: Number of people on the VDR</w:t>
            </w:r>
          </w:p>
        </w:tc>
      </w:tr>
      <w:tr w:rsidR="00AA7B55" w14:paraId="034DF033" w14:textId="77777777" w:rsidTr="00577C3E">
        <w:tc>
          <w:tcPr>
            <w:tcW w:w="3261" w:type="dxa"/>
            <w:shd w:val="clear" w:color="auto" w:fill="D9D9D9" w:themeFill="background1" w:themeFillShade="D9"/>
          </w:tcPr>
          <w:p w14:paraId="54F98A7B" w14:textId="77777777" w:rsidR="00AA7B55" w:rsidRPr="00A87467" w:rsidRDefault="00AA7B55" w:rsidP="00577C3E">
            <w:pPr>
              <w:pStyle w:val="TableText"/>
              <w:spacing w:before="56" w:after="56"/>
              <w:rPr>
                <w:b/>
                <w:bCs/>
              </w:rPr>
            </w:pPr>
            <w:r w:rsidRPr="00A87467">
              <w:rPr>
                <w:b/>
                <w:bCs/>
              </w:rPr>
              <w:t>Data period</w:t>
            </w:r>
          </w:p>
        </w:tc>
        <w:tc>
          <w:tcPr>
            <w:tcW w:w="5386" w:type="dxa"/>
          </w:tcPr>
          <w:p w14:paraId="04426CA0" w14:textId="77777777" w:rsidR="00AA7B55" w:rsidRDefault="00AA7B55" w:rsidP="00577C3E">
            <w:pPr>
              <w:pStyle w:val="TableText"/>
              <w:spacing w:before="56" w:after="56"/>
            </w:pPr>
            <w:r w:rsidRPr="009F3E16">
              <w:t xml:space="preserve"> Annually (calendar year)</w:t>
            </w:r>
          </w:p>
        </w:tc>
      </w:tr>
      <w:tr w:rsidR="00AA7B55" w14:paraId="66E97C31" w14:textId="77777777" w:rsidTr="00577C3E">
        <w:tc>
          <w:tcPr>
            <w:tcW w:w="3261" w:type="dxa"/>
            <w:shd w:val="clear" w:color="auto" w:fill="D9D9D9" w:themeFill="background1" w:themeFillShade="D9"/>
          </w:tcPr>
          <w:p w14:paraId="60047F3C" w14:textId="77777777" w:rsidR="00AA7B55" w:rsidRPr="00A87467" w:rsidRDefault="00AA7B55" w:rsidP="00577C3E">
            <w:pPr>
              <w:pStyle w:val="TableText"/>
              <w:spacing w:before="56" w:after="56"/>
              <w:rPr>
                <w:b/>
                <w:bCs/>
              </w:rPr>
            </w:pPr>
            <w:r w:rsidRPr="00A87467">
              <w:rPr>
                <w:b/>
                <w:bCs/>
              </w:rPr>
              <w:t>Frequency that data is available</w:t>
            </w:r>
          </w:p>
        </w:tc>
        <w:tc>
          <w:tcPr>
            <w:tcW w:w="5386" w:type="dxa"/>
          </w:tcPr>
          <w:p w14:paraId="27920F2C" w14:textId="77777777" w:rsidR="00AA7B55" w:rsidRPr="009F3E16" w:rsidRDefault="00AA7B55" w:rsidP="00577C3E">
            <w:pPr>
              <w:pStyle w:val="TableText"/>
              <w:spacing w:before="56" w:after="56"/>
            </w:pPr>
            <w:r w:rsidRPr="009F3E16">
              <w:t xml:space="preserve">Virtual Diabetes Register is run by the end of the financial year. </w:t>
            </w:r>
          </w:p>
          <w:p w14:paraId="295CC475" w14:textId="77777777" w:rsidR="00AA7B55" w:rsidRDefault="00AA7B55" w:rsidP="00577C3E">
            <w:pPr>
              <w:pStyle w:val="TableText"/>
              <w:spacing w:before="56" w:after="56"/>
            </w:pPr>
            <w:r>
              <w:t>I</w:t>
            </w:r>
            <w:r w:rsidRPr="009F3E16">
              <w:t>npatient data available 6 weeks after the data period ends</w:t>
            </w:r>
          </w:p>
        </w:tc>
      </w:tr>
      <w:tr w:rsidR="00AA7B55" w14:paraId="61B0948D" w14:textId="77777777" w:rsidTr="00577C3E">
        <w:tc>
          <w:tcPr>
            <w:tcW w:w="3261" w:type="dxa"/>
            <w:shd w:val="clear" w:color="auto" w:fill="D9D9D9" w:themeFill="background1" w:themeFillShade="D9"/>
          </w:tcPr>
          <w:p w14:paraId="264E4CC7" w14:textId="77777777" w:rsidR="00AA7B55" w:rsidRPr="00A87467" w:rsidRDefault="00AA7B55" w:rsidP="00577C3E">
            <w:pPr>
              <w:pStyle w:val="TableText"/>
              <w:spacing w:before="56" w:after="56"/>
              <w:rPr>
                <w:b/>
                <w:bCs/>
              </w:rPr>
            </w:pPr>
            <w:r w:rsidRPr="00A87467">
              <w:rPr>
                <w:b/>
                <w:bCs/>
              </w:rPr>
              <w:t>Level of disaggregation of data available</w:t>
            </w:r>
          </w:p>
        </w:tc>
        <w:tc>
          <w:tcPr>
            <w:tcW w:w="5386" w:type="dxa"/>
          </w:tcPr>
          <w:p w14:paraId="24E43421" w14:textId="77777777" w:rsidR="00AA7B55" w:rsidRDefault="00AA7B55" w:rsidP="00577C3E">
            <w:pPr>
              <w:pStyle w:val="TableText"/>
              <w:spacing w:before="56" w:after="56"/>
            </w:pPr>
            <w:r w:rsidRPr="009F3E16">
              <w:t>Ethnicity, geographic area, adults only (aged 25 years and above to account for the inaccuracies in determining diabetes for younger people)</w:t>
            </w:r>
          </w:p>
        </w:tc>
      </w:tr>
      <w:tr w:rsidR="00AA7B55" w14:paraId="501FEC77" w14:textId="77777777" w:rsidTr="00577C3E">
        <w:tc>
          <w:tcPr>
            <w:tcW w:w="3261" w:type="dxa"/>
            <w:shd w:val="clear" w:color="auto" w:fill="D9D9D9" w:themeFill="background1" w:themeFillShade="D9"/>
          </w:tcPr>
          <w:p w14:paraId="4E3FD8C3" w14:textId="77777777" w:rsidR="00AA7B55" w:rsidRPr="00A87467" w:rsidRDefault="00AA7B55" w:rsidP="00577C3E">
            <w:pPr>
              <w:pStyle w:val="TableText"/>
              <w:spacing w:before="56" w:after="56"/>
              <w:rPr>
                <w:b/>
                <w:bCs/>
              </w:rPr>
            </w:pPr>
            <w:r w:rsidRPr="00A87467">
              <w:rPr>
                <w:b/>
                <w:bCs/>
              </w:rPr>
              <w:t>Related or prior performance measure code</w:t>
            </w:r>
          </w:p>
        </w:tc>
        <w:tc>
          <w:tcPr>
            <w:tcW w:w="5386" w:type="dxa"/>
          </w:tcPr>
          <w:p w14:paraId="026B8E21" w14:textId="77777777" w:rsidR="00AA7B55" w:rsidRDefault="00AA7B55" w:rsidP="00577C3E">
            <w:pPr>
              <w:pStyle w:val="TableText"/>
              <w:spacing w:before="56" w:after="56"/>
            </w:pPr>
            <w:proofErr w:type="spellStart"/>
            <w:r>
              <w:t>Whakamaua</w:t>
            </w:r>
            <w:proofErr w:type="spellEnd"/>
            <w:r>
              <w:t xml:space="preserve"> measure 3.3</w:t>
            </w:r>
          </w:p>
          <w:p w14:paraId="733840EE" w14:textId="06276D13" w:rsidR="00AA7B55" w:rsidRPr="00094185" w:rsidRDefault="00A16FB3" w:rsidP="00577C3E">
            <w:pPr>
              <w:pStyle w:val="TableText"/>
              <w:spacing w:before="56" w:after="56"/>
              <w:rPr>
                <w:szCs w:val="18"/>
              </w:rPr>
            </w:pPr>
            <w:hyperlink r:id="rId29" w:history="1">
              <w:r>
                <w:rPr>
                  <w:b/>
                  <w:color w:val="595959"/>
                </w:rPr>
                <w:t>https://www.health.govt.nz/maori-health/whakamaua-maori-health-action-plan-2020-2025</w:t>
              </w:r>
            </w:hyperlink>
          </w:p>
        </w:tc>
      </w:tr>
    </w:tbl>
    <w:p w14:paraId="73BF6153" w14:textId="77777777" w:rsidR="00AA7B55" w:rsidRDefault="00AA7B55" w:rsidP="00AA7B55"/>
    <w:p w14:paraId="1005B407" w14:textId="77777777" w:rsidR="00AA7B55" w:rsidRDefault="00AA7B55" w:rsidP="00AA7B55">
      <w:pPr>
        <w:rPr>
          <w:b/>
          <w:bCs/>
        </w:rPr>
      </w:pPr>
      <w:r>
        <w:rPr>
          <w:b/>
          <w:bCs/>
        </w:rPr>
        <w:t>Limb amputations</w:t>
      </w:r>
    </w:p>
    <w:p w14:paraId="45D82238" w14:textId="77777777" w:rsidR="00AA7B55" w:rsidRDefault="00AA7B55" w:rsidP="00AA7B55"/>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A7B55" w14:paraId="2C8152D5" w14:textId="77777777" w:rsidTr="00577C3E">
        <w:tc>
          <w:tcPr>
            <w:tcW w:w="3261" w:type="dxa"/>
            <w:shd w:val="clear" w:color="auto" w:fill="D9D9D9" w:themeFill="background1" w:themeFillShade="D9"/>
          </w:tcPr>
          <w:p w14:paraId="0FA5A898" w14:textId="77777777" w:rsidR="00AA7B55" w:rsidRPr="00A87467" w:rsidRDefault="00AA7B55" w:rsidP="00577C3E">
            <w:pPr>
              <w:pStyle w:val="TableText"/>
              <w:spacing w:before="56" w:after="56"/>
              <w:rPr>
                <w:b/>
                <w:bCs/>
              </w:rPr>
            </w:pPr>
            <w:r w:rsidRPr="00A87467">
              <w:rPr>
                <w:b/>
                <w:bCs/>
              </w:rPr>
              <w:t>Expectation for July 2022 – June 2024</w:t>
            </w:r>
          </w:p>
        </w:tc>
        <w:tc>
          <w:tcPr>
            <w:tcW w:w="5386" w:type="dxa"/>
          </w:tcPr>
          <w:p w14:paraId="6141986C" w14:textId="77777777" w:rsidR="00AA7B55" w:rsidRPr="000D6259" w:rsidRDefault="00AA7B55" w:rsidP="00577C3E">
            <w:pPr>
              <w:pStyle w:val="TableText"/>
              <w:spacing w:before="56" w:after="56"/>
            </w:pPr>
            <w:r w:rsidRPr="000D6259">
              <w:t>A decrease in rate of limb amputations (per 10,000 people with diabetes) from the 12 months to December</w:t>
            </w:r>
            <w:r>
              <w:t xml:space="preserve"> </w:t>
            </w:r>
            <w:r w:rsidRPr="000D6259">
              <w:t>2021 (baseline)</w:t>
            </w:r>
          </w:p>
        </w:tc>
      </w:tr>
      <w:tr w:rsidR="00AA7B55" w14:paraId="6DF1EC33" w14:textId="77777777" w:rsidTr="00577C3E">
        <w:tc>
          <w:tcPr>
            <w:tcW w:w="3261" w:type="dxa"/>
            <w:shd w:val="clear" w:color="auto" w:fill="D9D9D9" w:themeFill="background1" w:themeFillShade="D9"/>
          </w:tcPr>
          <w:p w14:paraId="785388EC" w14:textId="77777777" w:rsidR="00AA7B55" w:rsidRPr="00A87467" w:rsidRDefault="00AA7B55" w:rsidP="00577C3E">
            <w:pPr>
              <w:pStyle w:val="TableText"/>
              <w:spacing w:before="56" w:after="56"/>
              <w:rPr>
                <w:b/>
                <w:bCs/>
              </w:rPr>
            </w:pPr>
            <w:r w:rsidRPr="00A87467">
              <w:rPr>
                <w:b/>
                <w:bCs/>
              </w:rPr>
              <w:t>Data source</w:t>
            </w:r>
          </w:p>
        </w:tc>
        <w:tc>
          <w:tcPr>
            <w:tcW w:w="5386" w:type="dxa"/>
          </w:tcPr>
          <w:p w14:paraId="37B8B3E1" w14:textId="77777777" w:rsidR="00AA7B55" w:rsidRDefault="00AA7B55" w:rsidP="00577C3E">
            <w:pPr>
              <w:pStyle w:val="TableText"/>
              <w:spacing w:before="56" w:after="56"/>
            </w:pPr>
            <w:r>
              <w:t>National Collections – NMDS</w:t>
            </w:r>
          </w:p>
          <w:p w14:paraId="43D9992D" w14:textId="77777777" w:rsidR="00AA7B55" w:rsidRDefault="00AA7B55" w:rsidP="00577C3E">
            <w:pPr>
              <w:pStyle w:val="TableText"/>
              <w:spacing w:before="56" w:after="56"/>
            </w:pPr>
            <w:r>
              <w:t>Virtual Diabetes Register (VDR)</w:t>
            </w:r>
          </w:p>
          <w:p w14:paraId="0DD63668" w14:textId="77777777" w:rsidR="00AA7B55" w:rsidRDefault="00000000" w:rsidP="00577C3E">
            <w:pPr>
              <w:pStyle w:val="TableText"/>
              <w:spacing w:before="56" w:after="56"/>
            </w:pPr>
            <w:hyperlink r:id="rId30" w:history="1">
              <w:r w:rsidR="00AA7B55" w:rsidRPr="00094185">
                <w:rPr>
                  <w:rStyle w:val="Hyperlink"/>
                  <w:szCs w:val="18"/>
                </w:rPr>
                <w:t>https://www.tewhatuora.govt.nz/our-health-system/data-and-statistics/virtual-diabetes-tool/</w:t>
              </w:r>
            </w:hyperlink>
            <w:r w:rsidR="00AA7B55">
              <w:rPr>
                <w:rStyle w:val="Hyperlink"/>
                <w:sz w:val="16"/>
                <w:szCs w:val="16"/>
              </w:rPr>
              <w:t xml:space="preserve"> </w:t>
            </w:r>
          </w:p>
        </w:tc>
      </w:tr>
      <w:tr w:rsidR="00AA7B55" w14:paraId="25980FCF" w14:textId="77777777" w:rsidTr="00577C3E">
        <w:tc>
          <w:tcPr>
            <w:tcW w:w="3261" w:type="dxa"/>
            <w:shd w:val="clear" w:color="auto" w:fill="D9D9D9" w:themeFill="background1" w:themeFillShade="D9"/>
          </w:tcPr>
          <w:p w14:paraId="74FF581C" w14:textId="77777777" w:rsidR="00AA7B55" w:rsidRPr="00A87467" w:rsidRDefault="00AA7B55" w:rsidP="00577C3E">
            <w:pPr>
              <w:pStyle w:val="TableText"/>
              <w:spacing w:before="56" w:after="56"/>
              <w:rPr>
                <w:b/>
                <w:bCs/>
              </w:rPr>
            </w:pPr>
            <w:r w:rsidRPr="00A87467">
              <w:rPr>
                <w:b/>
                <w:bCs/>
              </w:rPr>
              <w:t>If quantitative, measurement definitions</w:t>
            </w:r>
          </w:p>
        </w:tc>
        <w:tc>
          <w:tcPr>
            <w:tcW w:w="5386" w:type="dxa"/>
          </w:tcPr>
          <w:p w14:paraId="02E4267B" w14:textId="77777777" w:rsidR="00AA7B55" w:rsidRPr="00CE280E" w:rsidRDefault="00AA7B55" w:rsidP="00577C3E">
            <w:pPr>
              <w:pStyle w:val="TableText"/>
              <w:spacing w:before="56" w:after="56"/>
            </w:pPr>
            <w:r w:rsidRPr="009F3E16">
              <w:t xml:space="preserve">Numerator: </w:t>
            </w:r>
            <w:r w:rsidRPr="00CE280E">
              <w:t xml:space="preserve">Number of hospitalisations with a diabetes-related diagnosis (primary or secondary diagnosis) that also included one or more limb amputation(s). </w:t>
            </w:r>
          </w:p>
          <w:p w14:paraId="05A4FD5A" w14:textId="77777777" w:rsidR="00AA7B55" w:rsidRDefault="00AA7B55" w:rsidP="00577C3E">
            <w:pPr>
              <w:pStyle w:val="TableText"/>
              <w:spacing w:before="56" w:after="56"/>
            </w:pPr>
            <w:r w:rsidRPr="009F3E16">
              <w:t>Denominator: Number of people on the VDR</w:t>
            </w:r>
          </w:p>
        </w:tc>
      </w:tr>
      <w:tr w:rsidR="00AA7B55" w14:paraId="49797B42" w14:textId="77777777" w:rsidTr="00577C3E">
        <w:tc>
          <w:tcPr>
            <w:tcW w:w="3261" w:type="dxa"/>
            <w:shd w:val="clear" w:color="auto" w:fill="D9D9D9" w:themeFill="background1" w:themeFillShade="D9"/>
          </w:tcPr>
          <w:p w14:paraId="55A345D1" w14:textId="77777777" w:rsidR="00AA7B55" w:rsidRPr="00A87467" w:rsidRDefault="00AA7B55" w:rsidP="00577C3E">
            <w:pPr>
              <w:pStyle w:val="TableText"/>
              <w:spacing w:before="56" w:after="56"/>
              <w:rPr>
                <w:b/>
                <w:bCs/>
              </w:rPr>
            </w:pPr>
            <w:r w:rsidRPr="00A87467">
              <w:rPr>
                <w:b/>
                <w:bCs/>
              </w:rPr>
              <w:t>Data period</w:t>
            </w:r>
          </w:p>
        </w:tc>
        <w:tc>
          <w:tcPr>
            <w:tcW w:w="5386" w:type="dxa"/>
          </w:tcPr>
          <w:p w14:paraId="73BA3468" w14:textId="77777777" w:rsidR="00AA7B55" w:rsidRDefault="00AA7B55" w:rsidP="00577C3E">
            <w:pPr>
              <w:pStyle w:val="TableText"/>
              <w:spacing w:before="56" w:after="56"/>
            </w:pPr>
            <w:r w:rsidRPr="009F3E16">
              <w:t>Annually (calendar year)</w:t>
            </w:r>
            <w:r>
              <w:t>, to coincide with the publication of the Virtual Diabetes Register</w:t>
            </w:r>
          </w:p>
        </w:tc>
      </w:tr>
      <w:tr w:rsidR="00AA7B55" w14:paraId="4AC396C8" w14:textId="77777777" w:rsidTr="00577C3E">
        <w:tc>
          <w:tcPr>
            <w:tcW w:w="3261" w:type="dxa"/>
            <w:shd w:val="clear" w:color="auto" w:fill="D9D9D9" w:themeFill="background1" w:themeFillShade="D9"/>
          </w:tcPr>
          <w:p w14:paraId="547A6805" w14:textId="77777777" w:rsidR="00AA7B55" w:rsidRPr="00A87467" w:rsidRDefault="00AA7B55" w:rsidP="00577C3E">
            <w:pPr>
              <w:pStyle w:val="TableText"/>
              <w:spacing w:before="56" w:after="56"/>
              <w:rPr>
                <w:b/>
                <w:bCs/>
              </w:rPr>
            </w:pPr>
            <w:r w:rsidRPr="00A87467">
              <w:rPr>
                <w:b/>
                <w:bCs/>
              </w:rPr>
              <w:t>Frequency that data is available</w:t>
            </w:r>
          </w:p>
        </w:tc>
        <w:tc>
          <w:tcPr>
            <w:tcW w:w="5386" w:type="dxa"/>
          </w:tcPr>
          <w:p w14:paraId="76F567DF" w14:textId="77777777" w:rsidR="00AA7B55" w:rsidRPr="009F3E16" w:rsidRDefault="00AA7B55" w:rsidP="00577C3E">
            <w:pPr>
              <w:pStyle w:val="TableText"/>
              <w:spacing w:before="56" w:after="56"/>
            </w:pPr>
            <w:r w:rsidRPr="009F3E16">
              <w:t xml:space="preserve">Virtual Diabetes Register is run by the end of the financial year. </w:t>
            </w:r>
          </w:p>
          <w:p w14:paraId="3F9ED0F8" w14:textId="77777777" w:rsidR="00AA7B55" w:rsidRDefault="00AA7B55" w:rsidP="00577C3E">
            <w:pPr>
              <w:pStyle w:val="TableText"/>
              <w:spacing w:before="56" w:after="56"/>
            </w:pPr>
            <w:r>
              <w:t>I</w:t>
            </w:r>
            <w:r w:rsidRPr="009F3E16">
              <w:t>npatient data available 6 weeks after the data period ends</w:t>
            </w:r>
          </w:p>
        </w:tc>
      </w:tr>
      <w:tr w:rsidR="00AA7B55" w14:paraId="36E2BEF9" w14:textId="77777777" w:rsidTr="00577C3E">
        <w:tc>
          <w:tcPr>
            <w:tcW w:w="3261" w:type="dxa"/>
            <w:shd w:val="clear" w:color="auto" w:fill="D9D9D9" w:themeFill="background1" w:themeFillShade="D9"/>
          </w:tcPr>
          <w:p w14:paraId="4C7C4495" w14:textId="77777777" w:rsidR="00AA7B55" w:rsidRPr="00A87467" w:rsidRDefault="00AA7B55" w:rsidP="00577C3E">
            <w:pPr>
              <w:pStyle w:val="TableText"/>
              <w:spacing w:before="56" w:after="56"/>
              <w:rPr>
                <w:b/>
                <w:bCs/>
              </w:rPr>
            </w:pPr>
            <w:r w:rsidRPr="00A87467">
              <w:rPr>
                <w:b/>
                <w:bCs/>
              </w:rPr>
              <w:t>Level of disaggregation of data available</w:t>
            </w:r>
          </w:p>
        </w:tc>
        <w:tc>
          <w:tcPr>
            <w:tcW w:w="5386" w:type="dxa"/>
          </w:tcPr>
          <w:p w14:paraId="565FDE5F" w14:textId="77777777" w:rsidR="00AA7B55" w:rsidRDefault="00AA7B55" w:rsidP="00577C3E">
            <w:pPr>
              <w:pStyle w:val="TableText"/>
              <w:spacing w:before="56" w:after="56"/>
            </w:pPr>
            <w:r w:rsidRPr="009F3E16">
              <w:t>Ethnicity, geographic area, adults only (aged 25 years and above to account for the inaccuracies in determining diabetes for younger people)</w:t>
            </w:r>
          </w:p>
        </w:tc>
      </w:tr>
      <w:tr w:rsidR="00AA7B55" w14:paraId="3975BC17" w14:textId="77777777" w:rsidTr="00577C3E">
        <w:tc>
          <w:tcPr>
            <w:tcW w:w="3261" w:type="dxa"/>
            <w:shd w:val="clear" w:color="auto" w:fill="D9D9D9" w:themeFill="background1" w:themeFillShade="D9"/>
          </w:tcPr>
          <w:p w14:paraId="33C535D8" w14:textId="77777777" w:rsidR="00AA7B55" w:rsidRPr="00A87467" w:rsidRDefault="00AA7B55" w:rsidP="00577C3E">
            <w:pPr>
              <w:pStyle w:val="TableText"/>
              <w:spacing w:before="56" w:after="56"/>
              <w:rPr>
                <w:b/>
                <w:bCs/>
              </w:rPr>
            </w:pPr>
            <w:r w:rsidRPr="00A87467">
              <w:rPr>
                <w:b/>
                <w:bCs/>
              </w:rPr>
              <w:t>Related or prior performance measure code</w:t>
            </w:r>
          </w:p>
        </w:tc>
        <w:tc>
          <w:tcPr>
            <w:tcW w:w="5386" w:type="dxa"/>
          </w:tcPr>
          <w:p w14:paraId="2FAF5BB6" w14:textId="77777777" w:rsidR="00AA7B55" w:rsidRDefault="00AA7B55" w:rsidP="00577C3E">
            <w:pPr>
              <w:pStyle w:val="TableText"/>
              <w:spacing w:before="56" w:after="56"/>
            </w:pPr>
            <w:proofErr w:type="spellStart"/>
            <w:r>
              <w:t>Whakamaua</w:t>
            </w:r>
            <w:proofErr w:type="spellEnd"/>
            <w:r>
              <w:t xml:space="preserve"> measure 3.3</w:t>
            </w:r>
          </w:p>
          <w:p w14:paraId="755E3074" w14:textId="240310A8" w:rsidR="00AA7B55" w:rsidRDefault="00A16FB3" w:rsidP="00577C3E">
            <w:pPr>
              <w:pStyle w:val="TableText"/>
              <w:spacing w:before="56" w:after="56"/>
            </w:pPr>
            <w:hyperlink r:id="rId31" w:history="1">
              <w:r>
                <w:rPr>
                  <w:b/>
                  <w:color w:val="595959"/>
                </w:rPr>
                <w:t>https://www.health.govt.nz/maori-health/whakamaua-maori-health-action-plan-2020-2025</w:t>
              </w:r>
            </w:hyperlink>
          </w:p>
        </w:tc>
      </w:tr>
    </w:tbl>
    <w:p w14:paraId="55A5EB05" w14:textId="77777777" w:rsidR="00A436D7" w:rsidRDefault="00A436D7" w:rsidP="00A436D7">
      <w:pPr>
        <w:sectPr w:rsidR="00A436D7" w:rsidSect="00577C3E">
          <w:pgSz w:w="11906" w:h="16838" w:code="9"/>
          <w:pgMar w:top="1418" w:right="1416" w:bottom="1134" w:left="1560" w:header="284" w:footer="425" w:gutter="284"/>
          <w:cols w:space="720"/>
          <w:docGrid w:linePitch="286"/>
        </w:sectPr>
      </w:pPr>
    </w:p>
    <w:p w14:paraId="2186EA27" w14:textId="77777777" w:rsidR="00A436D7" w:rsidRPr="00A436D7" w:rsidRDefault="00A436D7" w:rsidP="00A72706">
      <w:pPr>
        <w:pStyle w:val="Heading2"/>
        <w:spacing w:before="0"/>
      </w:pPr>
      <w:bookmarkStart w:id="8" w:name="_Toc108422556"/>
      <w:bookmarkStart w:id="9" w:name="_Toc166488690"/>
      <w:r w:rsidRPr="00A436D7">
        <w:lastRenderedPageBreak/>
        <w:t xml:space="preserve">Priority 2: Embedding </w:t>
      </w:r>
      <w:proofErr w:type="spellStart"/>
      <w:r w:rsidRPr="00A436D7">
        <w:t>Te</w:t>
      </w:r>
      <w:proofErr w:type="spellEnd"/>
      <w:r w:rsidRPr="00A436D7">
        <w:t xml:space="preserve"> </w:t>
      </w:r>
      <w:proofErr w:type="spellStart"/>
      <w:r w:rsidRPr="00A436D7">
        <w:t>Tiriti</w:t>
      </w:r>
      <w:proofErr w:type="spellEnd"/>
      <w:r w:rsidRPr="00A436D7">
        <w:t xml:space="preserve"> o Waitangi across the health sector</w:t>
      </w:r>
      <w:bookmarkEnd w:id="8"/>
      <w:bookmarkEnd w:id="9"/>
    </w:p>
    <w:p w14:paraId="4FD19A3B"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2.1</w:t>
      </w:r>
      <w:r w:rsidRPr="00A436D7">
        <w:rPr>
          <w:rStyle w:val="Heading3Char"/>
          <w:sz w:val="24"/>
          <w:szCs w:val="24"/>
        </w:rPr>
        <w:tab/>
        <w:t>Health entity spending on identified Māori health service providers</w:t>
      </w:r>
    </w:p>
    <w:p w14:paraId="7C40120D" w14:textId="77777777" w:rsidR="00A436D7" w:rsidRDefault="00A436D7" w:rsidP="00A436D7">
      <w:r w:rsidRPr="00800C75">
        <w:t xml:space="preserve">Initially this measure will reflect </w:t>
      </w:r>
      <w:proofErr w:type="spellStart"/>
      <w:r w:rsidRPr="00800C75">
        <w:t>Whakamaua</w:t>
      </w:r>
      <w:proofErr w:type="spellEnd"/>
      <w:r w:rsidRPr="00800C75">
        <w:t xml:space="preserve"> measure 1.1 ‘Funding received by </w:t>
      </w:r>
      <w:proofErr w:type="spellStart"/>
      <w:r w:rsidRPr="00800C75">
        <w:t>kaupapa</w:t>
      </w:r>
      <w:proofErr w:type="spellEnd"/>
      <w:r w:rsidRPr="00800C75">
        <w:t xml:space="preserve"> Māori health service providers’. The definition below reflects the existing measure.</w:t>
      </w:r>
    </w:p>
    <w:p w14:paraId="410189E3" w14:textId="77777777" w:rsidR="00A436D7" w:rsidRDefault="00A436D7" w:rsidP="00A436D7"/>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12B70776" w14:textId="77777777" w:rsidTr="00206C29">
        <w:tc>
          <w:tcPr>
            <w:tcW w:w="3261" w:type="dxa"/>
            <w:shd w:val="clear" w:color="auto" w:fill="D9D9D9" w:themeFill="background1" w:themeFillShade="D9"/>
          </w:tcPr>
          <w:p w14:paraId="7313AB65" w14:textId="77777777" w:rsidR="00A436D7" w:rsidRPr="00A87467" w:rsidRDefault="00A436D7" w:rsidP="00A436D7">
            <w:pPr>
              <w:pStyle w:val="TableText"/>
              <w:rPr>
                <w:b/>
                <w:bCs/>
              </w:rPr>
            </w:pPr>
            <w:r w:rsidRPr="00A87467">
              <w:rPr>
                <w:b/>
                <w:bCs/>
              </w:rPr>
              <w:t>Expectation for July 2022 – June 2024</w:t>
            </w:r>
          </w:p>
        </w:tc>
        <w:tc>
          <w:tcPr>
            <w:tcW w:w="5386" w:type="dxa"/>
          </w:tcPr>
          <w:p w14:paraId="54A32B0A" w14:textId="77777777" w:rsidR="00A436D7" w:rsidRDefault="00A436D7" w:rsidP="00A436D7">
            <w:pPr>
              <w:pStyle w:val="TableText"/>
            </w:pPr>
            <w:r w:rsidRPr="0078258D">
              <w:t>Increase in trend in actual expenditure (compared with the average of last five financial years)</w:t>
            </w:r>
          </w:p>
        </w:tc>
      </w:tr>
      <w:tr w:rsidR="00A436D7" w14:paraId="31384685" w14:textId="77777777" w:rsidTr="00206C29">
        <w:tc>
          <w:tcPr>
            <w:tcW w:w="3261" w:type="dxa"/>
            <w:shd w:val="clear" w:color="auto" w:fill="D9D9D9" w:themeFill="background1" w:themeFillShade="D9"/>
          </w:tcPr>
          <w:p w14:paraId="12A5F1C4" w14:textId="77777777" w:rsidR="00A436D7" w:rsidRPr="00A87467" w:rsidRDefault="00A436D7" w:rsidP="00A436D7">
            <w:pPr>
              <w:pStyle w:val="TableText"/>
              <w:rPr>
                <w:b/>
                <w:bCs/>
              </w:rPr>
            </w:pPr>
            <w:r w:rsidRPr="00A87467">
              <w:rPr>
                <w:b/>
                <w:bCs/>
              </w:rPr>
              <w:t>Data source</w:t>
            </w:r>
          </w:p>
        </w:tc>
        <w:tc>
          <w:tcPr>
            <w:tcW w:w="5386" w:type="dxa"/>
          </w:tcPr>
          <w:p w14:paraId="0338B304" w14:textId="77777777" w:rsidR="00A436D7" w:rsidRDefault="00A436D7" w:rsidP="00A436D7">
            <w:pPr>
              <w:pStyle w:val="TableText"/>
            </w:pPr>
            <w:r w:rsidRPr="0078258D">
              <w:t>Compiled from sector financial information</w:t>
            </w:r>
          </w:p>
        </w:tc>
      </w:tr>
      <w:tr w:rsidR="00A436D7" w14:paraId="58193340" w14:textId="77777777" w:rsidTr="00206C29">
        <w:tc>
          <w:tcPr>
            <w:tcW w:w="3261" w:type="dxa"/>
            <w:shd w:val="clear" w:color="auto" w:fill="D9D9D9" w:themeFill="background1" w:themeFillShade="D9"/>
          </w:tcPr>
          <w:p w14:paraId="56F61A49" w14:textId="77777777" w:rsidR="00A436D7" w:rsidRPr="00A87467" w:rsidRDefault="00A436D7" w:rsidP="00A436D7">
            <w:pPr>
              <w:pStyle w:val="TableText"/>
              <w:rPr>
                <w:b/>
                <w:bCs/>
              </w:rPr>
            </w:pPr>
            <w:r w:rsidRPr="00A87467">
              <w:rPr>
                <w:b/>
                <w:bCs/>
              </w:rPr>
              <w:t>If quantitative, measurement definitions</w:t>
            </w:r>
          </w:p>
        </w:tc>
        <w:tc>
          <w:tcPr>
            <w:tcW w:w="5386" w:type="dxa"/>
          </w:tcPr>
          <w:p w14:paraId="3A5B3551" w14:textId="77777777" w:rsidR="00A436D7" w:rsidRDefault="00A436D7" w:rsidP="00A436D7">
            <w:pPr>
              <w:pStyle w:val="TableText"/>
            </w:pPr>
            <w:r w:rsidRPr="0078258D">
              <w:t xml:space="preserve">For identified Māori health providers (Māori owned/governed organisations), the amount of service funding received from health funding entities from Vote Health, </w:t>
            </w:r>
            <w:r>
              <w:t xml:space="preserve">including </w:t>
            </w:r>
            <w:r w:rsidRPr="0078258D">
              <w:t>as a percentage of Vote Health</w:t>
            </w:r>
          </w:p>
        </w:tc>
      </w:tr>
      <w:tr w:rsidR="00A436D7" w14:paraId="648A851F" w14:textId="77777777" w:rsidTr="00206C29">
        <w:tc>
          <w:tcPr>
            <w:tcW w:w="3261" w:type="dxa"/>
            <w:shd w:val="clear" w:color="auto" w:fill="D9D9D9" w:themeFill="background1" w:themeFillShade="D9"/>
          </w:tcPr>
          <w:p w14:paraId="59CFFB62" w14:textId="77777777" w:rsidR="00A436D7" w:rsidRPr="00A87467" w:rsidRDefault="00A436D7" w:rsidP="00A436D7">
            <w:pPr>
              <w:pStyle w:val="TableText"/>
              <w:rPr>
                <w:b/>
                <w:bCs/>
              </w:rPr>
            </w:pPr>
            <w:r w:rsidRPr="00A87467">
              <w:rPr>
                <w:b/>
                <w:bCs/>
              </w:rPr>
              <w:t>Data period</w:t>
            </w:r>
          </w:p>
        </w:tc>
        <w:tc>
          <w:tcPr>
            <w:tcW w:w="5386" w:type="dxa"/>
          </w:tcPr>
          <w:p w14:paraId="1AEBD657" w14:textId="77777777" w:rsidR="00A436D7" w:rsidRDefault="00A436D7" w:rsidP="00A436D7">
            <w:pPr>
              <w:pStyle w:val="TableText"/>
            </w:pPr>
            <w:r w:rsidRPr="0078258D">
              <w:t>For a 12-month financial year</w:t>
            </w:r>
          </w:p>
        </w:tc>
      </w:tr>
      <w:tr w:rsidR="00A436D7" w14:paraId="254B062F" w14:textId="77777777" w:rsidTr="00206C29">
        <w:tc>
          <w:tcPr>
            <w:tcW w:w="3261" w:type="dxa"/>
            <w:shd w:val="clear" w:color="auto" w:fill="D9D9D9" w:themeFill="background1" w:themeFillShade="D9"/>
          </w:tcPr>
          <w:p w14:paraId="3121D4F9" w14:textId="77777777" w:rsidR="00A436D7" w:rsidRPr="00A87467" w:rsidRDefault="00A436D7" w:rsidP="00A436D7">
            <w:pPr>
              <w:pStyle w:val="TableText"/>
              <w:rPr>
                <w:b/>
                <w:bCs/>
              </w:rPr>
            </w:pPr>
            <w:r w:rsidRPr="00A87467">
              <w:rPr>
                <w:b/>
                <w:bCs/>
              </w:rPr>
              <w:t>Frequency that data is available</w:t>
            </w:r>
          </w:p>
        </w:tc>
        <w:tc>
          <w:tcPr>
            <w:tcW w:w="5386" w:type="dxa"/>
          </w:tcPr>
          <w:p w14:paraId="79F41EB5" w14:textId="77777777" w:rsidR="00A436D7" w:rsidRDefault="00A436D7" w:rsidP="00A436D7">
            <w:pPr>
              <w:pStyle w:val="TableText"/>
            </w:pPr>
            <w:r w:rsidRPr="0078258D">
              <w:t>Available annually</w:t>
            </w:r>
            <w:r>
              <w:t xml:space="preserve"> 6 months</w:t>
            </w:r>
            <w:r w:rsidRPr="0078258D">
              <w:t xml:space="preserve"> after the close of the financial year</w:t>
            </w:r>
          </w:p>
        </w:tc>
      </w:tr>
      <w:tr w:rsidR="00A436D7" w14:paraId="78AC85C6" w14:textId="77777777" w:rsidTr="00206C29">
        <w:tc>
          <w:tcPr>
            <w:tcW w:w="3261" w:type="dxa"/>
            <w:shd w:val="clear" w:color="auto" w:fill="D9D9D9" w:themeFill="background1" w:themeFillShade="D9"/>
          </w:tcPr>
          <w:p w14:paraId="4A38F970"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06C618A7" w14:textId="77777777" w:rsidR="00A436D7" w:rsidRDefault="00A436D7" w:rsidP="00A436D7">
            <w:pPr>
              <w:pStyle w:val="TableText"/>
            </w:pPr>
            <w:r w:rsidRPr="0078258D">
              <w:t>Data disaggregated by funder (for example HNZ and MHA) and some key service lines</w:t>
            </w:r>
          </w:p>
        </w:tc>
      </w:tr>
      <w:tr w:rsidR="00A436D7" w14:paraId="51DDE653" w14:textId="77777777" w:rsidTr="00206C29">
        <w:tc>
          <w:tcPr>
            <w:tcW w:w="3261" w:type="dxa"/>
            <w:shd w:val="clear" w:color="auto" w:fill="D9D9D9" w:themeFill="background1" w:themeFillShade="D9"/>
          </w:tcPr>
          <w:p w14:paraId="0D94E53C"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242ADC48" w14:textId="77777777" w:rsidR="00A436D7" w:rsidRPr="00983446" w:rsidRDefault="00A436D7" w:rsidP="00A436D7">
            <w:pPr>
              <w:pStyle w:val="TableText"/>
            </w:pPr>
            <w:proofErr w:type="spellStart"/>
            <w:r w:rsidRPr="00983446">
              <w:t>Whakamaua</w:t>
            </w:r>
            <w:proofErr w:type="spellEnd"/>
            <w:r w:rsidRPr="00983446">
              <w:t xml:space="preserve"> measure 1.1</w:t>
            </w:r>
          </w:p>
          <w:p w14:paraId="1B517373" w14:textId="072350FB" w:rsidR="00A436D7" w:rsidRPr="00576490" w:rsidRDefault="009861B6" w:rsidP="00A436D7">
            <w:pPr>
              <w:pStyle w:val="TableText"/>
              <w:rPr>
                <w:szCs w:val="18"/>
              </w:rPr>
            </w:pPr>
            <w:hyperlink r:id="rId32" w:history="1">
              <w:r>
                <w:rPr>
                  <w:b/>
                  <w:color w:val="595959"/>
                </w:rPr>
                <w:t>https://www.health.govt.nz/maori-health/whakamaua-maori-health-action-plan-2020-2025</w:t>
              </w:r>
            </w:hyperlink>
          </w:p>
          <w:p w14:paraId="1EC6CC96" w14:textId="77777777" w:rsidR="00A436D7" w:rsidRPr="00983446" w:rsidRDefault="00A436D7" w:rsidP="00A436D7">
            <w:pPr>
              <w:pStyle w:val="TableText"/>
              <w:rPr>
                <w:highlight w:val="yellow"/>
              </w:rPr>
            </w:pPr>
            <w:r w:rsidRPr="007A18AE">
              <w:t>Latest published report:</w:t>
            </w:r>
          </w:p>
          <w:p w14:paraId="4BA346BF" w14:textId="741E8191" w:rsidR="00A436D7" w:rsidRPr="00983446" w:rsidRDefault="0099739D" w:rsidP="00A436D7">
            <w:pPr>
              <w:pStyle w:val="TableText"/>
              <w:rPr>
                <w:szCs w:val="18"/>
                <w:highlight w:val="yellow"/>
              </w:rPr>
            </w:pPr>
            <w:hyperlink r:id="rId33" w:history="1">
              <w:r w:rsidRPr="0099739D">
                <w:rPr>
                  <w:rStyle w:val="Hyperlink"/>
                  <w:szCs w:val="18"/>
                </w:rPr>
                <w:t>https://www.health.govt.nz/publications/funding-to-maori-health-providers-201718-to-202122</w:t>
              </w:r>
            </w:hyperlink>
          </w:p>
        </w:tc>
      </w:tr>
    </w:tbl>
    <w:p w14:paraId="71624D4C"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2.2</w:t>
      </w:r>
      <w:r w:rsidRPr="00A436D7">
        <w:rPr>
          <w:rStyle w:val="Heading3Char"/>
          <w:sz w:val="24"/>
          <w:szCs w:val="24"/>
        </w:rPr>
        <w:tab/>
        <w:t>Experience of health services for Māori as measured by the primary health care and adult inpatient patient experience surveys</w:t>
      </w:r>
    </w:p>
    <w:p w14:paraId="1C3A7AE6" w14:textId="77777777" w:rsidR="00A436D7" w:rsidRDefault="00A436D7" w:rsidP="00A436D7">
      <w:r w:rsidRPr="00FD73EA">
        <w:t>Initially, this will reflect two of the current Health System Indicators ‘People report they can get primary care when they need it’ and ‘People report being involved in the decisions about their care and treatment’. The definition below reflects the existing measure.</w:t>
      </w:r>
    </w:p>
    <w:p w14:paraId="0A899AEE" w14:textId="77777777" w:rsidR="00A436D7" w:rsidRDefault="00A436D7" w:rsidP="00A436D7"/>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0613EDAA" w14:textId="77777777" w:rsidTr="00206C29">
        <w:tc>
          <w:tcPr>
            <w:tcW w:w="3261" w:type="dxa"/>
            <w:shd w:val="clear" w:color="auto" w:fill="D9D9D9" w:themeFill="background1" w:themeFillShade="D9"/>
          </w:tcPr>
          <w:p w14:paraId="5C0959FA" w14:textId="77777777" w:rsidR="00A436D7" w:rsidRPr="00A87467" w:rsidRDefault="00A436D7" w:rsidP="00A436D7">
            <w:pPr>
              <w:pStyle w:val="TableText"/>
              <w:rPr>
                <w:b/>
                <w:bCs/>
              </w:rPr>
            </w:pPr>
            <w:r w:rsidRPr="00A87467">
              <w:rPr>
                <w:b/>
                <w:bCs/>
              </w:rPr>
              <w:t>Expectation for July 2022 – June 2024</w:t>
            </w:r>
          </w:p>
        </w:tc>
        <w:tc>
          <w:tcPr>
            <w:tcW w:w="5386" w:type="dxa"/>
          </w:tcPr>
          <w:p w14:paraId="6DCDAA87" w14:textId="77777777" w:rsidR="00A436D7" w:rsidRDefault="00A436D7" w:rsidP="00A436D7">
            <w:pPr>
              <w:pStyle w:val="TableText"/>
            </w:pPr>
            <w:r w:rsidRPr="00A8487E">
              <w:t>Improvement in results from June 2021 (baseline used in Health System Indicators)</w:t>
            </w:r>
          </w:p>
        </w:tc>
      </w:tr>
      <w:tr w:rsidR="00A436D7" w14:paraId="7D158B9A" w14:textId="77777777" w:rsidTr="00206C29">
        <w:tc>
          <w:tcPr>
            <w:tcW w:w="3261" w:type="dxa"/>
            <w:shd w:val="clear" w:color="auto" w:fill="D9D9D9" w:themeFill="background1" w:themeFillShade="D9"/>
          </w:tcPr>
          <w:p w14:paraId="45914689" w14:textId="77777777" w:rsidR="00A436D7" w:rsidRPr="00A87467" w:rsidRDefault="00A436D7" w:rsidP="00A436D7">
            <w:pPr>
              <w:pStyle w:val="TableText"/>
              <w:rPr>
                <w:b/>
                <w:bCs/>
              </w:rPr>
            </w:pPr>
            <w:r w:rsidRPr="00A87467">
              <w:rPr>
                <w:b/>
                <w:bCs/>
              </w:rPr>
              <w:t>Data source</w:t>
            </w:r>
          </w:p>
        </w:tc>
        <w:tc>
          <w:tcPr>
            <w:tcW w:w="5386" w:type="dxa"/>
          </w:tcPr>
          <w:p w14:paraId="714BBCF3" w14:textId="77777777" w:rsidR="00A436D7" w:rsidRDefault="00A436D7" w:rsidP="00A436D7">
            <w:pPr>
              <w:pStyle w:val="TableText"/>
            </w:pPr>
            <w:r w:rsidRPr="00A8487E">
              <w:t xml:space="preserve">Health Quality &amp; Safety Commission </w:t>
            </w:r>
            <w:r>
              <w:t xml:space="preserve">patient experience </w:t>
            </w:r>
            <w:r w:rsidRPr="00A8487E">
              <w:t>survey results</w:t>
            </w:r>
          </w:p>
          <w:p w14:paraId="019CA58D" w14:textId="77777777" w:rsidR="00A436D7" w:rsidRPr="002666D4" w:rsidRDefault="00A436D7" w:rsidP="00A436D7">
            <w:pPr>
              <w:pStyle w:val="TableText"/>
            </w:pPr>
            <w:r w:rsidRPr="002666D4">
              <w:t xml:space="preserve">Adult primary care patient experience for ‘People report they can get primary care when they need it.’ </w:t>
            </w:r>
          </w:p>
          <w:p w14:paraId="7187BBA8" w14:textId="77777777" w:rsidR="00A436D7" w:rsidRPr="002666D4" w:rsidRDefault="00A436D7" w:rsidP="00A436D7">
            <w:pPr>
              <w:pStyle w:val="TableText"/>
            </w:pPr>
            <w:r w:rsidRPr="002666D4">
              <w:t>Adult hospital inpatient experience for ‘People report being involved in the decisions about their care and treatment.’</w:t>
            </w:r>
          </w:p>
          <w:p w14:paraId="7F370707" w14:textId="77777777" w:rsidR="00A436D7" w:rsidRPr="00094185" w:rsidRDefault="00000000" w:rsidP="00A436D7">
            <w:pPr>
              <w:pStyle w:val="TableText"/>
              <w:rPr>
                <w:b/>
              </w:rPr>
            </w:pPr>
            <w:hyperlink r:id="rId34" w:history="1">
              <w:r w:rsidR="00A436D7" w:rsidRPr="00094185">
                <w:rPr>
                  <w:b/>
                  <w:color w:val="595959"/>
                </w:rPr>
                <w:t>https://www.hqsc.govt.nz/our-data/patient-reported-measures/patient-experience/</w:t>
              </w:r>
            </w:hyperlink>
          </w:p>
        </w:tc>
      </w:tr>
      <w:tr w:rsidR="00A436D7" w14:paraId="6E2D7AF2" w14:textId="77777777" w:rsidTr="00206C29">
        <w:tc>
          <w:tcPr>
            <w:tcW w:w="3261" w:type="dxa"/>
            <w:shd w:val="clear" w:color="auto" w:fill="D9D9D9" w:themeFill="background1" w:themeFillShade="D9"/>
          </w:tcPr>
          <w:p w14:paraId="3E99A116" w14:textId="77777777" w:rsidR="00A436D7" w:rsidRPr="00A87467" w:rsidRDefault="00A436D7" w:rsidP="00A436D7">
            <w:pPr>
              <w:pStyle w:val="TableText"/>
              <w:rPr>
                <w:b/>
                <w:bCs/>
              </w:rPr>
            </w:pPr>
            <w:r w:rsidRPr="00A87467">
              <w:rPr>
                <w:b/>
                <w:bCs/>
              </w:rPr>
              <w:lastRenderedPageBreak/>
              <w:t>If quantitative, measurement definitions</w:t>
            </w:r>
          </w:p>
        </w:tc>
        <w:tc>
          <w:tcPr>
            <w:tcW w:w="5386" w:type="dxa"/>
          </w:tcPr>
          <w:p w14:paraId="26C59280" w14:textId="77777777" w:rsidR="00A436D7" w:rsidRDefault="00A436D7" w:rsidP="00A436D7">
            <w:pPr>
              <w:pStyle w:val="TableText"/>
            </w:pPr>
            <w:r>
              <w:t>Numerator: Number of Māori respondents who answered yes to the question</w:t>
            </w:r>
          </w:p>
          <w:p w14:paraId="0491F33F" w14:textId="77777777" w:rsidR="00A436D7" w:rsidRDefault="00A436D7" w:rsidP="00A436D7">
            <w:pPr>
              <w:pStyle w:val="TableText"/>
            </w:pPr>
            <w:r>
              <w:t>Denominator: Number of Māori respondents who answered the question</w:t>
            </w:r>
          </w:p>
        </w:tc>
      </w:tr>
      <w:tr w:rsidR="00A436D7" w14:paraId="009EE656" w14:textId="77777777" w:rsidTr="00206C29">
        <w:tc>
          <w:tcPr>
            <w:tcW w:w="3261" w:type="dxa"/>
            <w:shd w:val="clear" w:color="auto" w:fill="D9D9D9" w:themeFill="background1" w:themeFillShade="D9"/>
          </w:tcPr>
          <w:p w14:paraId="61D2858E" w14:textId="77777777" w:rsidR="00A436D7" w:rsidRPr="00A87467" w:rsidRDefault="00A436D7" w:rsidP="00A436D7">
            <w:pPr>
              <w:pStyle w:val="TableText"/>
              <w:rPr>
                <w:b/>
                <w:bCs/>
              </w:rPr>
            </w:pPr>
            <w:r w:rsidRPr="00A87467">
              <w:rPr>
                <w:b/>
                <w:bCs/>
              </w:rPr>
              <w:t>Data period</w:t>
            </w:r>
          </w:p>
        </w:tc>
        <w:tc>
          <w:tcPr>
            <w:tcW w:w="5386" w:type="dxa"/>
          </w:tcPr>
          <w:p w14:paraId="645A8B4D" w14:textId="77777777" w:rsidR="00A436D7" w:rsidRDefault="00A436D7" w:rsidP="00A436D7">
            <w:pPr>
              <w:pStyle w:val="TableText"/>
            </w:pPr>
            <w:r w:rsidRPr="002120B3">
              <w:t>Quarterly</w:t>
            </w:r>
          </w:p>
        </w:tc>
      </w:tr>
      <w:tr w:rsidR="00A436D7" w14:paraId="46ECEEBB" w14:textId="77777777" w:rsidTr="00206C29">
        <w:tc>
          <w:tcPr>
            <w:tcW w:w="3261" w:type="dxa"/>
            <w:shd w:val="clear" w:color="auto" w:fill="D9D9D9" w:themeFill="background1" w:themeFillShade="D9"/>
          </w:tcPr>
          <w:p w14:paraId="6AF73127" w14:textId="77777777" w:rsidR="00A436D7" w:rsidRPr="00A87467" w:rsidRDefault="00A436D7" w:rsidP="00A436D7">
            <w:pPr>
              <w:pStyle w:val="TableText"/>
              <w:rPr>
                <w:b/>
                <w:bCs/>
              </w:rPr>
            </w:pPr>
            <w:r w:rsidRPr="00A87467">
              <w:rPr>
                <w:b/>
                <w:bCs/>
              </w:rPr>
              <w:t>Frequency that data is available</w:t>
            </w:r>
          </w:p>
        </w:tc>
        <w:tc>
          <w:tcPr>
            <w:tcW w:w="5386" w:type="dxa"/>
          </w:tcPr>
          <w:p w14:paraId="2825A30D" w14:textId="77777777" w:rsidR="00A436D7" w:rsidRDefault="00A436D7" w:rsidP="00A436D7">
            <w:pPr>
              <w:pStyle w:val="TableText"/>
            </w:pPr>
            <w:r w:rsidRPr="002120B3">
              <w:t>Quarterly</w:t>
            </w:r>
          </w:p>
        </w:tc>
      </w:tr>
      <w:tr w:rsidR="00A436D7" w14:paraId="7E67B50A" w14:textId="77777777" w:rsidTr="00206C29">
        <w:tc>
          <w:tcPr>
            <w:tcW w:w="3261" w:type="dxa"/>
            <w:shd w:val="clear" w:color="auto" w:fill="D9D9D9" w:themeFill="background1" w:themeFillShade="D9"/>
          </w:tcPr>
          <w:p w14:paraId="0A8F60F1"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3986AB55" w14:textId="77777777" w:rsidR="00A436D7" w:rsidRDefault="00A436D7" w:rsidP="00A436D7">
            <w:pPr>
              <w:pStyle w:val="TableText"/>
            </w:pPr>
            <w:r>
              <w:t>A</w:t>
            </w:r>
            <w:r w:rsidRPr="002120B3">
              <w:t xml:space="preserve">ge, gender, </w:t>
            </w:r>
            <w:r>
              <w:t>e</w:t>
            </w:r>
            <w:r w:rsidRPr="002120B3">
              <w:t>thnicity</w:t>
            </w:r>
          </w:p>
        </w:tc>
      </w:tr>
      <w:tr w:rsidR="00A436D7" w14:paraId="12BE696F" w14:textId="77777777" w:rsidTr="00206C29">
        <w:tc>
          <w:tcPr>
            <w:tcW w:w="3261" w:type="dxa"/>
            <w:shd w:val="clear" w:color="auto" w:fill="D9D9D9" w:themeFill="background1" w:themeFillShade="D9"/>
          </w:tcPr>
          <w:p w14:paraId="6B9946AD"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72395966" w14:textId="77777777" w:rsidR="00A436D7" w:rsidRDefault="00A436D7" w:rsidP="00A436D7">
            <w:pPr>
              <w:pStyle w:val="TableText"/>
            </w:pPr>
            <w:proofErr w:type="spellStart"/>
            <w:r>
              <w:t>Whakamaua</w:t>
            </w:r>
            <w:proofErr w:type="spellEnd"/>
            <w:r>
              <w:t xml:space="preserve"> measure 2.1</w:t>
            </w:r>
          </w:p>
          <w:p w14:paraId="1D279651" w14:textId="5C7012EF" w:rsidR="00A436D7" w:rsidRPr="00094185" w:rsidRDefault="009861B6" w:rsidP="00A436D7">
            <w:pPr>
              <w:pStyle w:val="TableText"/>
              <w:rPr>
                <w:b/>
              </w:rPr>
            </w:pPr>
            <w:hyperlink r:id="rId35" w:history="1">
              <w:r>
                <w:rPr>
                  <w:b/>
                  <w:color w:val="595959"/>
                </w:rPr>
                <w:t>https://www.health.govt.nz/maori-health/whakamaua-maori-health-action-plan-2020-2025</w:t>
              </w:r>
            </w:hyperlink>
            <w:r w:rsidR="00A436D7" w:rsidRPr="00094185">
              <w:rPr>
                <w:b/>
                <w:color w:val="595959"/>
              </w:rPr>
              <w:t xml:space="preserve"> </w:t>
            </w:r>
          </w:p>
        </w:tc>
      </w:tr>
    </w:tbl>
    <w:p w14:paraId="3C4C33AC"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2.3</w:t>
      </w:r>
      <w:r w:rsidRPr="00A436D7">
        <w:rPr>
          <w:rStyle w:val="Heading3Char"/>
          <w:sz w:val="24"/>
          <w:szCs w:val="24"/>
        </w:rPr>
        <w:tab/>
        <w:t xml:space="preserve">Geographical coverage and utilisation of </w:t>
      </w:r>
      <w:proofErr w:type="spellStart"/>
      <w:r w:rsidRPr="00A436D7">
        <w:rPr>
          <w:rStyle w:val="Heading3Char"/>
          <w:sz w:val="24"/>
          <w:szCs w:val="24"/>
        </w:rPr>
        <w:t>rongoā</w:t>
      </w:r>
      <w:proofErr w:type="spellEnd"/>
      <w:r w:rsidRPr="00A436D7">
        <w:rPr>
          <w:rStyle w:val="Heading3Char"/>
          <w:sz w:val="24"/>
          <w:szCs w:val="24"/>
        </w:rPr>
        <w:t xml:space="preserve"> Māori services</w:t>
      </w:r>
    </w:p>
    <w:p w14:paraId="57658EF7" w14:textId="77777777" w:rsidR="00A436D7" w:rsidRDefault="00A436D7" w:rsidP="00A436D7">
      <w:r w:rsidRPr="00FD73EA">
        <w:t>The definition below reflects the existing measure.</w:t>
      </w:r>
    </w:p>
    <w:p w14:paraId="6E2A80E7" w14:textId="77777777" w:rsidR="00A436D7" w:rsidRDefault="00A436D7" w:rsidP="00A436D7"/>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54B94717" w14:textId="77777777" w:rsidTr="00206C29">
        <w:tc>
          <w:tcPr>
            <w:tcW w:w="3261" w:type="dxa"/>
            <w:shd w:val="clear" w:color="auto" w:fill="D9D9D9" w:themeFill="background1" w:themeFillShade="D9"/>
          </w:tcPr>
          <w:p w14:paraId="6FA022B0" w14:textId="77777777" w:rsidR="00A436D7" w:rsidRPr="00A87467" w:rsidRDefault="00A436D7" w:rsidP="00A436D7">
            <w:pPr>
              <w:pStyle w:val="TableText"/>
              <w:rPr>
                <w:b/>
                <w:bCs/>
              </w:rPr>
            </w:pPr>
            <w:r w:rsidRPr="00A87467">
              <w:rPr>
                <w:b/>
                <w:bCs/>
              </w:rPr>
              <w:t>Expectation for July 2022 – June 2024</w:t>
            </w:r>
          </w:p>
        </w:tc>
        <w:tc>
          <w:tcPr>
            <w:tcW w:w="5386" w:type="dxa"/>
          </w:tcPr>
          <w:p w14:paraId="6D5FB50B" w14:textId="77777777" w:rsidR="00A436D7" w:rsidRDefault="00A436D7" w:rsidP="00A436D7">
            <w:pPr>
              <w:pStyle w:val="TableText"/>
            </w:pPr>
            <w:r>
              <w:t xml:space="preserve">An increase in </w:t>
            </w:r>
            <w:proofErr w:type="spellStart"/>
            <w:r>
              <w:t>rongoā</w:t>
            </w:r>
            <w:proofErr w:type="spellEnd"/>
            <w:r>
              <w:t xml:space="preserve"> consultations provided in terms of both total volumes and spread across the country</w:t>
            </w:r>
          </w:p>
          <w:p w14:paraId="0BB1519F" w14:textId="77777777" w:rsidR="00A436D7" w:rsidRPr="00983446" w:rsidRDefault="00A436D7" w:rsidP="00A436D7">
            <w:pPr>
              <w:pStyle w:val="TableText"/>
              <w:rPr>
                <w:highlight w:val="yellow"/>
              </w:rPr>
            </w:pPr>
            <w:r w:rsidRPr="007A18AE">
              <w:t xml:space="preserve">Baseline: </w:t>
            </w:r>
            <w:proofErr w:type="spellStart"/>
            <w:r w:rsidRPr="007A18AE">
              <w:t>Whakamaua</w:t>
            </w:r>
            <w:proofErr w:type="spellEnd"/>
            <w:r w:rsidRPr="007A18AE">
              <w:t xml:space="preserve"> Dashboard</w:t>
            </w:r>
            <w:r w:rsidRPr="00983446">
              <w:rPr>
                <w:highlight w:val="yellow"/>
              </w:rPr>
              <w:t xml:space="preserve"> </w:t>
            </w:r>
          </w:p>
          <w:p w14:paraId="2C950685" w14:textId="4B382569" w:rsidR="00A436D7" w:rsidRPr="00094185" w:rsidRDefault="007A18AE" w:rsidP="00A436D7">
            <w:pPr>
              <w:pStyle w:val="TableText"/>
              <w:rPr>
                <w:b/>
                <w:color w:val="595959"/>
              </w:rPr>
            </w:pPr>
            <w:hyperlink r:id="rId36" w:history="1">
              <w:r w:rsidRPr="007A18AE">
                <w:rPr>
                  <w:rStyle w:val="Hyperlink"/>
                </w:rPr>
                <w:t>https://www.health.govt.nz/publications/whakamaua-quantitative-dashboard-year-three</w:t>
              </w:r>
            </w:hyperlink>
            <w:r w:rsidR="00A436D7" w:rsidRPr="00094185">
              <w:rPr>
                <w:b/>
                <w:color w:val="595959"/>
              </w:rPr>
              <w:t xml:space="preserve"> </w:t>
            </w:r>
          </w:p>
          <w:p w14:paraId="6C27FA46" w14:textId="77777777" w:rsidR="00A436D7" w:rsidRDefault="00A436D7" w:rsidP="00A436D7">
            <w:pPr>
              <w:pStyle w:val="TableText"/>
            </w:pPr>
            <w:r>
              <w:t>Baseline will be available for 2019/20–20/21</w:t>
            </w:r>
          </w:p>
        </w:tc>
      </w:tr>
      <w:tr w:rsidR="00A436D7" w14:paraId="74D30C89" w14:textId="77777777" w:rsidTr="00206C29">
        <w:tc>
          <w:tcPr>
            <w:tcW w:w="3261" w:type="dxa"/>
            <w:shd w:val="clear" w:color="auto" w:fill="D9D9D9" w:themeFill="background1" w:themeFillShade="D9"/>
          </w:tcPr>
          <w:p w14:paraId="62E91A57" w14:textId="77777777" w:rsidR="00A436D7" w:rsidRPr="00A87467" w:rsidRDefault="00A436D7" w:rsidP="00A436D7">
            <w:pPr>
              <w:pStyle w:val="TableText"/>
              <w:rPr>
                <w:b/>
                <w:bCs/>
              </w:rPr>
            </w:pPr>
            <w:r w:rsidRPr="00A87467">
              <w:rPr>
                <w:b/>
                <w:bCs/>
              </w:rPr>
              <w:t>Data source</w:t>
            </w:r>
          </w:p>
        </w:tc>
        <w:tc>
          <w:tcPr>
            <w:tcW w:w="5386" w:type="dxa"/>
          </w:tcPr>
          <w:p w14:paraId="23A46568" w14:textId="77777777" w:rsidR="00A436D7" w:rsidRDefault="00A436D7" w:rsidP="00A436D7">
            <w:pPr>
              <w:pStyle w:val="TableText"/>
            </w:pPr>
            <w:r w:rsidRPr="00E5079E">
              <w:t xml:space="preserve">Compiled from </w:t>
            </w:r>
            <w:proofErr w:type="spellStart"/>
            <w:r w:rsidRPr="00E5079E">
              <w:t>rongoā</w:t>
            </w:r>
            <w:proofErr w:type="spellEnd"/>
            <w:r w:rsidRPr="00E5079E">
              <w:t xml:space="preserve"> provider reporting received by </w:t>
            </w:r>
            <w:proofErr w:type="spellStart"/>
            <w:r w:rsidRPr="00E5079E">
              <w:t>Te</w:t>
            </w:r>
            <w:proofErr w:type="spellEnd"/>
            <w:r w:rsidRPr="00E5079E">
              <w:t xml:space="preserve"> Aka </w:t>
            </w:r>
            <w:proofErr w:type="spellStart"/>
            <w:r w:rsidRPr="00E5079E">
              <w:t>Whai</w:t>
            </w:r>
            <w:proofErr w:type="spellEnd"/>
            <w:r w:rsidRPr="00E5079E">
              <w:t xml:space="preserve"> Ora and reported on </w:t>
            </w:r>
            <w:proofErr w:type="spellStart"/>
            <w:r w:rsidRPr="00E5079E">
              <w:t>Whakamaua</w:t>
            </w:r>
            <w:proofErr w:type="spellEnd"/>
            <w:r w:rsidRPr="00E5079E">
              <w:t xml:space="preserve"> dashboard</w:t>
            </w:r>
          </w:p>
        </w:tc>
      </w:tr>
      <w:tr w:rsidR="00A436D7" w14:paraId="72F7E01A" w14:textId="77777777" w:rsidTr="00206C29">
        <w:tc>
          <w:tcPr>
            <w:tcW w:w="3261" w:type="dxa"/>
            <w:shd w:val="clear" w:color="auto" w:fill="D9D9D9" w:themeFill="background1" w:themeFillShade="D9"/>
          </w:tcPr>
          <w:p w14:paraId="5F94E817" w14:textId="77777777" w:rsidR="00A436D7" w:rsidRPr="00A87467" w:rsidRDefault="00A436D7" w:rsidP="00A436D7">
            <w:pPr>
              <w:pStyle w:val="TableText"/>
              <w:rPr>
                <w:b/>
                <w:bCs/>
              </w:rPr>
            </w:pPr>
            <w:r w:rsidRPr="00A87467">
              <w:rPr>
                <w:b/>
                <w:bCs/>
              </w:rPr>
              <w:t>If quantitative, measurement definitions</w:t>
            </w:r>
          </w:p>
        </w:tc>
        <w:tc>
          <w:tcPr>
            <w:tcW w:w="5386" w:type="dxa"/>
          </w:tcPr>
          <w:p w14:paraId="6E98B22A" w14:textId="77777777" w:rsidR="00A436D7" w:rsidRDefault="00A436D7" w:rsidP="00A436D7">
            <w:pPr>
              <w:pStyle w:val="TableText"/>
            </w:pPr>
            <w:proofErr w:type="spellStart"/>
            <w:r w:rsidRPr="000437CD">
              <w:t>Rongoā</w:t>
            </w:r>
            <w:proofErr w:type="spellEnd"/>
            <w:r w:rsidRPr="000437CD">
              <w:t xml:space="preserve"> consultation volumes delivered</w:t>
            </w:r>
          </w:p>
        </w:tc>
      </w:tr>
      <w:tr w:rsidR="00A436D7" w14:paraId="55A5A0C4" w14:textId="77777777" w:rsidTr="00206C29">
        <w:tc>
          <w:tcPr>
            <w:tcW w:w="3261" w:type="dxa"/>
            <w:shd w:val="clear" w:color="auto" w:fill="D9D9D9" w:themeFill="background1" w:themeFillShade="D9"/>
          </w:tcPr>
          <w:p w14:paraId="2A5D468C" w14:textId="77777777" w:rsidR="00A436D7" w:rsidRPr="00A87467" w:rsidRDefault="00A436D7" w:rsidP="00A436D7">
            <w:pPr>
              <w:pStyle w:val="TableText"/>
              <w:rPr>
                <w:b/>
                <w:bCs/>
              </w:rPr>
            </w:pPr>
            <w:r w:rsidRPr="00A87467">
              <w:rPr>
                <w:b/>
                <w:bCs/>
              </w:rPr>
              <w:t>Data period</w:t>
            </w:r>
          </w:p>
        </w:tc>
        <w:tc>
          <w:tcPr>
            <w:tcW w:w="5386" w:type="dxa"/>
          </w:tcPr>
          <w:p w14:paraId="57684180" w14:textId="77777777" w:rsidR="00A436D7" w:rsidRDefault="00A436D7" w:rsidP="00A436D7">
            <w:pPr>
              <w:pStyle w:val="TableText"/>
            </w:pPr>
            <w:r w:rsidRPr="000437CD">
              <w:t>12-monthly for each financial year</w:t>
            </w:r>
          </w:p>
        </w:tc>
      </w:tr>
      <w:tr w:rsidR="00A436D7" w14:paraId="7D1B51ED" w14:textId="77777777" w:rsidTr="00206C29">
        <w:tc>
          <w:tcPr>
            <w:tcW w:w="3261" w:type="dxa"/>
            <w:shd w:val="clear" w:color="auto" w:fill="D9D9D9" w:themeFill="background1" w:themeFillShade="D9"/>
          </w:tcPr>
          <w:p w14:paraId="4E15742A" w14:textId="77777777" w:rsidR="00A436D7" w:rsidRPr="00A87467" w:rsidRDefault="00A436D7" w:rsidP="00A436D7">
            <w:pPr>
              <w:pStyle w:val="TableText"/>
              <w:rPr>
                <w:b/>
                <w:bCs/>
              </w:rPr>
            </w:pPr>
            <w:r w:rsidRPr="00A87467">
              <w:rPr>
                <w:b/>
                <w:bCs/>
              </w:rPr>
              <w:t>Frequency that data is available</w:t>
            </w:r>
          </w:p>
        </w:tc>
        <w:tc>
          <w:tcPr>
            <w:tcW w:w="5386" w:type="dxa"/>
          </w:tcPr>
          <w:p w14:paraId="28165DDB" w14:textId="77777777" w:rsidR="00A436D7" w:rsidRDefault="00A436D7" w:rsidP="00A436D7">
            <w:pPr>
              <w:pStyle w:val="TableText"/>
            </w:pPr>
            <w:r w:rsidRPr="000437CD">
              <w:t>Annual (financial year)</w:t>
            </w:r>
          </w:p>
        </w:tc>
      </w:tr>
      <w:tr w:rsidR="00A436D7" w14:paraId="12DD3605" w14:textId="77777777" w:rsidTr="00206C29">
        <w:tc>
          <w:tcPr>
            <w:tcW w:w="3261" w:type="dxa"/>
            <w:shd w:val="clear" w:color="auto" w:fill="D9D9D9" w:themeFill="background1" w:themeFillShade="D9"/>
          </w:tcPr>
          <w:p w14:paraId="1C22FA38"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04E5F969" w14:textId="77777777" w:rsidR="00A436D7" w:rsidRDefault="00A436D7" w:rsidP="00A436D7">
            <w:pPr>
              <w:pStyle w:val="TableText"/>
            </w:pPr>
            <w:r>
              <w:t xml:space="preserve">Age, location of </w:t>
            </w:r>
            <w:proofErr w:type="spellStart"/>
            <w:r>
              <w:t>rongoā</w:t>
            </w:r>
            <w:proofErr w:type="spellEnd"/>
            <w:r>
              <w:t xml:space="preserve"> provider, type of </w:t>
            </w:r>
            <w:proofErr w:type="spellStart"/>
            <w:r>
              <w:t>rongoā</w:t>
            </w:r>
            <w:proofErr w:type="spellEnd"/>
            <w:r>
              <w:t xml:space="preserve"> service provided</w:t>
            </w:r>
          </w:p>
          <w:p w14:paraId="059DD411" w14:textId="77777777" w:rsidR="00A436D7" w:rsidRDefault="00A436D7" w:rsidP="00A436D7">
            <w:pPr>
              <w:pStyle w:val="TableText"/>
            </w:pPr>
            <w:r>
              <w:t xml:space="preserve">Funding of </w:t>
            </w:r>
            <w:proofErr w:type="spellStart"/>
            <w:r>
              <w:t>rongoā</w:t>
            </w:r>
            <w:proofErr w:type="spellEnd"/>
            <w:r>
              <w:t xml:space="preserve"> provider (total amount) will be published as a sub-measure of this (data will be sourced from </w:t>
            </w:r>
            <w:proofErr w:type="spellStart"/>
            <w:r>
              <w:t>Whakamaua</w:t>
            </w:r>
            <w:proofErr w:type="spellEnd"/>
            <w:r>
              <w:t xml:space="preserve"> measure 1.1)</w:t>
            </w:r>
          </w:p>
        </w:tc>
      </w:tr>
      <w:tr w:rsidR="00A436D7" w14:paraId="47379DE1" w14:textId="77777777" w:rsidTr="00206C29">
        <w:tc>
          <w:tcPr>
            <w:tcW w:w="3261" w:type="dxa"/>
            <w:shd w:val="clear" w:color="auto" w:fill="D9D9D9" w:themeFill="background1" w:themeFillShade="D9"/>
          </w:tcPr>
          <w:p w14:paraId="4B6E06E0"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570AADE5" w14:textId="77777777" w:rsidR="00A436D7" w:rsidRDefault="00A436D7" w:rsidP="00A436D7">
            <w:pPr>
              <w:pStyle w:val="TableText"/>
            </w:pPr>
            <w:r>
              <w:t xml:space="preserve">Current </w:t>
            </w:r>
            <w:proofErr w:type="spellStart"/>
            <w:r>
              <w:t>Whakamaua</w:t>
            </w:r>
            <w:proofErr w:type="spellEnd"/>
            <w:r>
              <w:t xml:space="preserve"> measure 1.2.</w:t>
            </w:r>
          </w:p>
          <w:p w14:paraId="4FBE00F5" w14:textId="74F209F7" w:rsidR="00A436D7" w:rsidRPr="007E56E2" w:rsidRDefault="009861B6" w:rsidP="00A436D7">
            <w:pPr>
              <w:pStyle w:val="TableText"/>
              <w:rPr>
                <w:szCs w:val="18"/>
              </w:rPr>
            </w:pPr>
            <w:hyperlink r:id="rId37" w:history="1">
              <w:r>
                <w:rPr>
                  <w:b/>
                  <w:color w:val="595959"/>
                </w:rPr>
                <w:t>https://www.health.govt.nz/maori-health/whakamaua-maori-health-action-plan-2020-2025</w:t>
              </w:r>
            </w:hyperlink>
            <w:r w:rsidR="00A436D7" w:rsidRPr="007E56E2">
              <w:rPr>
                <w:rStyle w:val="Hyperlink"/>
                <w:szCs w:val="18"/>
              </w:rPr>
              <w:t xml:space="preserve"> </w:t>
            </w:r>
          </w:p>
        </w:tc>
      </w:tr>
    </w:tbl>
    <w:p w14:paraId="63525319"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2.4</w:t>
      </w:r>
      <w:r w:rsidRPr="00A436D7">
        <w:rPr>
          <w:rStyle w:val="Heading3Char"/>
          <w:sz w:val="24"/>
          <w:szCs w:val="24"/>
        </w:rPr>
        <w:tab/>
        <w:t>Feedback from the Iwi-Māori Partnership Boards (IMPBs) on how they are fulfilling their role and whether they are receiving the support they require</w:t>
      </w:r>
    </w:p>
    <w:p w14:paraId="1A7D26B2" w14:textId="77777777" w:rsidR="00A436D7" w:rsidRPr="006F3352" w:rsidRDefault="00A436D7" w:rsidP="00A436D7">
      <w:r w:rsidRPr="006F3352">
        <w:t>Work to establish all IMPBs is continuing before a survey is developed and this measure will be considered as part of the development of the GPS 2024</w:t>
      </w:r>
      <w:r>
        <w:t>–</w:t>
      </w:r>
      <w:r w:rsidRPr="006F3352">
        <w:t>27.</w:t>
      </w:r>
    </w:p>
    <w:p w14:paraId="4E424837" w14:textId="77777777" w:rsidR="00A436D7" w:rsidRDefault="00A436D7" w:rsidP="00A436D7"/>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244"/>
      </w:tblGrid>
      <w:tr w:rsidR="00A436D7" w14:paraId="44ED48DE" w14:textId="77777777" w:rsidTr="00A436D7">
        <w:tc>
          <w:tcPr>
            <w:tcW w:w="3261" w:type="dxa"/>
            <w:shd w:val="clear" w:color="auto" w:fill="D9D9D9" w:themeFill="background1" w:themeFillShade="D9"/>
          </w:tcPr>
          <w:p w14:paraId="5FD93FBE" w14:textId="77777777" w:rsidR="00A436D7" w:rsidRPr="00A87467" w:rsidRDefault="00A436D7" w:rsidP="00A436D7">
            <w:pPr>
              <w:pStyle w:val="TableText"/>
              <w:rPr>
                <w:b/>
                <w:bCs/>
              </w:rPr>
            </w:pPr>
            <w:r w:rsidRPr="00A87467">
              <w:rPr>
                <w:b/>
                <w:bCs/>
              </w:rPr>
              <w:lastRenderedPageBreak/>
              <w:t>Expectation for July 2022 – June 2024</w:t>
            </w:r>
          </w:p>
        </w:tc>
        <w:tc>
          <w:tcPr>
            <w:tcW w:w="5244" w:type="dxa"/>
          </w:tcPr>
          <w:p w14:paraId="2C6F4D17" w14:textId="77777777" w:rsidR="00A436D7" w:rsidRDefault="00A436D7" w:rsidP="00A436D7">
            <w:pPr>
              <w:pStyle w:val="TableText"/>
            </w:pPr>
          </w:p>
        </w:tc>
      </w:tr>
      <w:tr w:rsidR="00A436D7" w14:paraId="0EAFFF84" w14:textId="77777777" w:rsidTr="00A436D7">
        <w:tc>
          <w:tcPr>
            <w:tcW w:w="3261" w:type="dxa"/>
            <w:shd w:val="clear" w:color="auto" w:fill="D9D9D9" w:themeFill="background1" w:themeFillShade="D9"/>
          </w:tcPr>
          <w:p w14:paraId="5E113A7F" w14:textId="77777777" w:rsidR="00A436D7" w:rsidRPr="00A87467" w:rsidRDefault="00A436D7" w:rsidP="00A436D7">
            <w:pPr>
              <w:pStyle w:val="TableText"/>
              <w:rPr>
                <w:b/>
                <w:bCs/>
              </w:rPr>
            </w:pPr>
            <w:r w:rsidRPr="00A87467">
              <w:rPr>
                <w:b/>
                <w:bCs/>
              </w:rPr>
              <w:t>Data source</w:t>
            </w:r>
          </w:p>
        </w:tc>
        <w:tc>
          <w:tcPr>
            <w:tcW w:w="5244" w:type="dxa"/>
          </w:tcPr>
          <w:p w14:paraId="55FE0FC6" w14:textId="77777777" w:rsidR="00A436D7" w:rsidRDefault="00A436D7" w:rsidP="00A436D7">
            <w:pPr>
              <w:pStyle w:val="TableText"/>
            </w:pPr>
          </w:p>
        </w:tc>
      </w:tr>
      <w:tr w:rsidR="00A436D7" w14:paraId="092A31B3" w14:textId="77777777" w:rsidTr="00A436D7">
        <w:tc>
          <w:tcPr>
            <w:tcW w:w="3261" w:type="dxa"/>
            <w:shd w:val="clear" w:color="auto" w:fill="D9D9D9" w:themeFill="background1" w:themeFillShade="D9"/>
          </w:tcPr>
          <w:p w14:paraId="10EA239A" w14:textId="77777777" w:rsidR="00A436D7" w:rsidRPr="00A87467" w:rsidRDefault="00A436D7" w:rsidP="00A436D7">
            <w:pPr>
              <w:pStyle w:val="TableText"/>
              <w:rPr>
                <w:b/>
                <w:bCs/>
              </w:rPr>
            </w:pPr>
            <w:r w:rsidRPr="00A87467">
              <w:rPr>
                <w:b/>
                <w:bCs/>
              </w:rPr>
              <w:t>If quantitative, measurement definitions</w:t>
            </w:r>
          </w:p>
        </w:tc>
        <w:tc>
          <w:tcPr>
            <w:tcW w:w="5244" w:type="dxa"/>
          </w:tcPr>
          <w:p w14:paraId="01648AB7" w14:textId="77777777" w:rsidR="00A436D7" w:rsidRDefault="00A436D7" w:rsidP="00A436D7">
            <w:pPr>
              <w:pStyle w:val="TableText"/>
            </w:pPr>
          </w:p>
        </w:tc>
      </w:tr>
      <w:tr w:rsidR="00A436D7" w14:paraId="16802D89" w14:textId="77777777" w:rsidTr="00A436D7">
        <w:tc>
          <w:tcPr>
            <w:tcW w:w="3261" w:type="dxa"/>
            <w:shd w:val="clear" w:color="auto" w:fill="D9D9D9" w:themeFill="background1" w:themeFillShade="D9"/>
          </w:tcPr>
          <w:p w14:paraId="32C161BE" w14:textId="77777777" w:rsidR="00A436D7" w:rsidRPr="00A87467" w:rsidRDefault="00A436D7" w:rsidP="00A436D7">
            <w:pPr>
              <w:pStyle w:val="TableText"/>
              <w:rPr>
                <w:b/>
                <w:bCs/>
              </w:rPr>
            </w:pPr>
            <w:r w:rsidRPr="00A87467">
              <w:rPr>
                <w:b/>
                <w:bCs/>
              </w:rPr>
              <w:t>Data period</w:t>
            </w:r>
          </w:p>
        </w:tc>
        <w:tc>
          <w:tcPr>
            <w:tcW w:w="5244" w:type="dxa"/>
          </w:tcPr>
          <w:p w14:paraId="3FCF8077" w14:textId="77777777" w:rsidR="00A436D7" w:rsidRDefault="00A436D7" w:rsidP="00A436D7">
            <w:pPr>
              <w:pStyle w:val="TableText"/>
            </w:pPr>
          </w:p>
        </w:tc>
      </w:tr>
      <w:tr w:rsidR="00A436D7" w14:paraId="42D0FFBE" w14:textId="77777777" w:rsidTr="00A436D7">
        <w:tc>
          <w:tcPr>
            <w:tcW w:w="3261" w:type="dxa"/>
            <w:shd w:val="clear" w:color="auto" w:fill="D9D9D9" w:themeFill="background1" w:themeFillShade="D9"/>
          </w:tcPr>
          <w:p w14:paraId="4E5FA9E6" w14:textId="77777777" w:rsidR="00A436D7" w:rsidRPr="00A87467" w:rsidRDefault="00A436D7" w:rsidP="00A436D7">
            <w:pPr>
              <w:pStyle w:val="TableText"/>
              <w:rPr>
                <w:b/>
                <w:bCs/>
              </w:rPr>
            </w:pPr>
            <w:r w:rsidRPr="00A87467">
              <w:rPr>
                <w:b/>
                <w:bCs/>
              </w:rPr>
              <w:t>Frequency that data is available</w:t>
            </w:r>
          </w:p>
        </w:tc>
        <w:tc>
          <w:tcPr>
            <w:tcW w:w="5244" w:type="dxa"/>
          </w:tcPr>
          <w:p w14:paraId="4705C12F" w14:textId="77777777" w:rsidR="00A436D7" w:rsidRDefault="00A436D7" w:rsidP="00A436D7">
            <w:pPr>
              <w:pStyle w:val="TableText"/>
            </w:pPr>
          </w:p>
        </w:tc>
      </w:tr>
      <w:tr w:rsidR="00A436D7" w14:paraId="19F9FF4B" w14:textId="77777777" w:rsidTr="00A436D7">
        <w:tc>
          <w:tcPr>
            <w:tcW w:w="3261" w:type="dxa"/>
            <w:shd w:val="clear" w:color="auto" w:fill="D9D9D9" w:themeFill="background1" w:themeFillShade="D9"/>
          </w:tcPr>
          <w:p w14:paraId="66EFE36E" w14:textId="77777777" w:rsidR="00A436D7" w:rsidRPr="00A87467" w:rsidRDefault="00A436D7" w:rsidP="00A436D7">
            <w:pPr>
              <w:pStyle w:val="TableText"/>
              <w:rPr>
                <w:b/>
                <w:bCs/>
              </w:rPr>
            </w:pPr>
            <w:r w:rsidRPr="00A87467">
              <w:rPr>
                <w:b/>
                <w:bCs/>
              </w:rPr>
              <w:t>Level of disaggregation of data available</w:t>
            </w:r>
          </w:p>
        </w:tc>
        <w:tc>
          <w:tcPr>
            <w:tcW w:w="5244" w:type="dxa"/>
          </w:tcPr>
          <w:p w14:paraId="1BF4D0C6" w14:textId="77777777" w:rsidR="00A436D7" w:rsidRDefault="00A436D7" w:rsidP="00A436D7">
            <w:pPr>
              <w:pStyle w:val="TableText"/>
            </w:pPr>
          </w:p>
        </w:tc>
      </w:tr>
      <w:tr w:rsidR="00A436D7" w14:paraId="0902939F" w14:textId="77777777" w:rsidTr="00A436D7">
        <w:tc>
          <w:tcPr>
            <w:tcW w:w="3261" w:type="dxa"/>
            <w:shd w:val="clear" w:color="auto" w:fill="D9D9D9" w:themeFill="background1" w:themeFillShade="D9"/>
          </w:tcPr>
          <w:p w14:paraId="26C39F0A" w14:textId="77777777" w:rsidR="00A436D7" w:rsidRPr="00A87467" w:rsidRDefault="00A436D7" w:rsidP="00A436D7">
            <w:pPr>
              <w:pStyle w:val="TableText"/>
              <w:rPr>
                <w:b/>
                <w:bCs/>
              </w:rPr>
            </w:pPr>
            <w:r w:rsidRPr="00A87467">
              <w:rPr>
                <w:b/>
                <w:bCs/>
              </w:rPr>
              <w:t>Related or prior performance measure code</w:t>
            </w:r>
          </w:p>
        </w:tc>
        <w:tc>
          <w:tcPr>
            <w:tcW w:w="5244" w:type="dxa"/>
          </w:tcPr>
          <w:p w14:paraId="39B8FE5A" w14:textId="77777777" w:rsidR="00A436D7" w:rsidRDefault="00A436D7" w:rsidP="00A436D7">
            <w:pPr>
              <w:pStyle w:val="TableText"/>
            </w:pPr>
          </w:p>
        </w:tc>
      </w:tr>
    </w:tbl>
    <w:p w14:paraId="42E5F4D5" w14:textId="77777777" w:rsidR="00A436D7" w:rsidRDefault="00A436D7" w:rsidP="00A436D7"/>
    <w:p w14:paraId="12ECE0AB" w14:textId="77777777" w:rsidR="00A436D7" w:rsidRDefault="00A436D7" w:rsidP="00A436D7">
      <w:pPr>
        <w:sectPr w:rsidR="00A436D7" w:rsidSect="00A436D7">
          <w:pgSz w:w="11906" w:h="16838" w:code="9"/>
          <w:pgMar w:top="1418" w:right="1416" w:bottom="1134" w:left="1560" w:header="284" w:footer="425" w:gutter="284"/>
          <w:cols w:space="720"/>
          <w:docGrid w:linePitch="286"/>
        </w:sectPr>
      </w:pPr>
    </w:p>
    <w:p w14:paraId="7827AEE4" w14:textId="77777777" w:rsidR="00A436D7" w:rsidRPr="00A436D7" w:rsidRDefault="00A436D7" w:rsidP="00A72706">
      <w:pPr>
        <w:pStyle w:val="Heading2"/>
        <w:spacing w:before="0"/>
      </w:pPr>
      <w:bookmarkStart w:id="10" w:name="_Toc166488691"/>
      <w:r w:rsidRPr="00A436D7">
        <w:lastRenderedPageBreak/>
        <w:t>Priority 3: Keeping people well in their communities</w:t>
      </w:r>
      <w:bookmarkEnd w:id="10"/>
    </w:p>
    <w:p w14:paraId="71B45044" w14:textId="3A1A16D6" w:rsidR="00A436D7" w:rsidRPr="00F87540" w:rsidRDefault="00A436D7" w:rsidP="00F87540">
      <w:pPr>
        <w:pStyle w:val="Heading3"/>
        <w:ind w:left="564" w:hanging="564"/>
        <w:rPr>
          <w:sz w:val="24"/>
          <w:szCs w:val="24"/>
        </w:rPr>
      </w:pPr>
      <w:r w:rsidRPr="00A436D7">
        <w:rPr>
          <w:rStyle w:val="Heading3Char"/>
          <w:sz w:val="24"/>
          <w:szCs w:val="24"/>
        </w:rPr>
        <w:t>3.1</w:t>
      </w:r>
      <w:r w:rsidRPr="00A436D7">
        <w:rPr>
          <w:rStyle w:val="Heading3Char"/>
          <w:sz w:val="24"/>
          <w:szCs w:val="24"/>
        </w:rPr>
        <w:tab/>
        <w:t>Proportion of people reporting unmet need for primary health care, reported by ethnicity and geographic area</w:t>
      </w: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6A0C7473" w14:textId="77777777" w:rsidTr="00A436D7">
        <w:tc>
          <w:tcPr>
            <w:tcW w:w="3261" w:type="dxa"/>
            <w:shd w:val="clear" w:color="auto" w:fill="D9D9D9" w:themeFill="background1" w:themeFillShade="D9"/>
          </w:tcPr>
          <w:p w14:paraId="2D783B23" w14:textId="77777777" w:rsidR="00A436D7" w:rsidRPr="00A87467" w:rsidRDefault="00A436D7" w:rsidP="00A436D7">
            <w:pPr>
              <w:pStyle w:val="TableText"/>
              <w:rPr>
                <w:b/>
                <w:bCs/>
              </w:rPr>
            </w:pPr>
            <w:r w:rsidRPr="00A87467">
              <w:rPr>
                <w:b/>
                <w:bCs/>
              </w:rPr>
              <w:t>Expectation for July 2022 – June 2024</w:t>
            </w:r>
          </w:p>
        </w:tc>
        <w:tc>
          <w:tcPr>
            <w:tcW w:w="5386" w:type="dxa"/>
          </w:tcPr>
          <w:p w14:paraId="7881800F" w14:textId="77777777" w:rsidR="00A436D7" w:rsidRDefault="00A436D7" w:rsidP="00A436D7">
            <w:pPr>
              <w:pStyle w:val="TableText"/>
            </w:pPr>
            <w:r>
              <w:t>A decrease from the 12 months to 30 June 2019 (baseline)</w:t>
            </w:r>
          </w:p>
          <w:p w14:paraId="1B1AB131" w14:textId="77777777" w:rsidR="00A436D7" w:rsidRDefault="00A436D7" w:rsidP="00A436D7">
            <w:pPr>
              <w:pStyle w:val="TableText"/>
            </w:pPr>
            <w:r>
              <w:t xml:space="preserve">Note: As part of the New Zealand Health Survey programme, this measure is due to be replaced in 2023. </w:t>
            </w:r>
            <w:r w:rsidRPr="00E83269">
              <w:t>Unmet need for GP due to cost in the past 12 months is now used.</w:t>
            </w:r>
            <w:r>
              <w:t xml:space="preserve"> </w:t>
            </w:r>
          </w:p>
        </w:tc>
      </w:tr>
      <w:tr w:rsidR="00A436D7" w14:paraId="3C8C245A" w14:textId="77777777" w:rsidTr="00A436D7">
        <w:tc>
          <w:tcPr>
            <w:tcW w:w="3261" w:type="dxa"/>
            <w:shd w:val="clear" w:color="auto" w:fill="D9D9D9" w:themeFill="background1" w:themeFillShade="D9"/>
          </w:tcPr>
          <w:p w14:paraId="7ADC3CD6" w14:textId="77777777" w:rsidR="00A436D7" w:rsidRPr="00A87467" w:rsidRDefault="00A436D7" w:rsidP="00A436D7">
            <w:pPr>
              <w:pStyle w:val="TableText"/>
              <w:rPr>
                <w:b/>
                <w:bCs/>
              </w:rPr>
            </w:pPr>
            <w:r w:rsidRPr="00A87467">
              <w:rPr>
                <w:b/>
                <w:bCs/>
              </w:rPr>
              <w:t>Data source</w:t>
            </w:r>
          </w:p>
        </w:tc>
        <w:tc>
          <w:tcPr>
            <w:tcW w:w="5386" w:type="dxa"/>
          </w:tcPr>
          <w:p w14:paraId="6E16CE82" w14:textId="77777777" w:rsidR="00A436D7" w:rsidRDefault="00A436D7" w:rsidP="00A436D7">
            <w:pPr>
              <w:pStyle w:val="TableText"/>
            </w:pPr>
            <w:r w:rsidRPr="00DA1B92">
              <w:t>New Zealand Health Survey</w:t>
            </w:r>
            <w:r>
              <w:t xml:space="preserve"> (NZHS)</w:t>
            </w:r>
          </w:p>
          <w:p w14:paraId="7BFD394C" w14:textId="0260714D" w:rsidR="00A436D7" w:rsidRPr="007E56E2" w:rsidRDefault="00F05581" w:rsidP="00A436D7">
            <w:pPr>
              <w:pStyle w:val="TableText"/>
              <w:rPr>
                <w:szCs w:val="18"/>
              </w:rPr>
            </w:pPr>
            <w:hyperlink r:id="rId38" w:history="1">
              <w:r w:rsidRPr="00F05581">
                <w:rPr>
                  <w:rStyle w:val="Hyperlink"/>
                  <w:szCs w:val="18"/>
                </w:rPr>
                <w:t>https://www.health.govt.nz/statistics-research/surveys/new-zealand-health-survey</w:t>
              </w:r>
            </w:hyperlink>
          </w:p>
        </w:tc>
      </w:tr>
      <w:tr w:rsidR="00A436D7" w14:paraId="15EAE0C8" w14:textId="77777777" w:rsidTr="00A436D7">
        <w:tc>
          <w:tcPr>
            <w:tcW w:w="3261" w:type="dxa"/>
            <w:shd w:val="clear" w:color="auto" w:fill="D9D9D9" w:themeFill="background1" w:themeFillShade="D9"/>
          </w:tcPr>
          <w:p w14:paraId="675B6164" w14:textId="77777777" w:rsidR="00A436D7" w:rsidRPr="00A87467" w:rsidRDefault="00A436D7" w:rsidP="00A436D7">
            <w:pPr>
              <w:pStyle w:val="TableText"/>
              <w:rPr>
                <w:b/>
                <w:bCs/>
              </w:rPr>
            </w:pPr>
            <w:r w:rsidRPr="00A87467">
              <w:rPr>
                <w:b/>
                <w:bCs/>
              </w:rPr>
              <w:t>If quantitative, measurement definitions</w:t>
            </w:r>
          </w:p>
        </w:tc>
        <w:tc>
          <w:tcPr>
            <w:tcW w:w="5386" w:type="dxa"/>
          </w:tcPr>
          <w:p w14:paraId="37B42B38" w14:textId="77777777" w:rsidR="00A436D7" w:rsidRDefault="00A436D7" w:rsidP="00A436D7">
            <w:pPr>
              <w:pStyle w:val="TableText"/>
            </w:pPr>
            <w:r w:rsidRPr="00DA1B92">
              <w:t>Pr</w:t>
            </w:r>
            <w:r>
              <w:t>evalence</w:t>
            </w:r>
            <w:r w:rsidRPr="00DA1B92">
              <w:t xml:space="preserve"> of </w:t>
            </w:r>
            <w:r>
              <w:t xml:space="preserve">adults (15+ years) </w:t>
            </w:r>
            <w:r w:rsidRPr="00DA1B92">
              <w:t xml:space="preserve">indicating unmet need for </w:t>
            </w:r>
            <w:r w:rsidRPr="00E83269">
              <w:t>GP due to cost in the past 12 months, unadjusted prevalence</w:t>
            </w:r>
          </w:p>
        </w:tc>
      </w:tr>
      <w:tr w:rsidR="00A436D7" w14:paraId="609C4F53" w14:textId="77777777" w:rsidTr="00A436D7">
        <w:tc>
          <w:tcPr>
            <w:tcW w:w="3261" w:type="dxa"/>
            <w:shd w:val="clear" w:color="auto" w:fill="D9D9D9" w:themeFill="background1" w:themeFillShade="D9"/>
          </w:tcPr>
          <w:p w14:paraId="6EBE1F89" w14:textId="77777777" w:rsidR="00A436D7" w:rsidRPr="00A87467" w:rsidRDefault="00A436D7" w:rsidP="00A436D7">
            <w:pPr>
              <w:pStyle w:val="TableText"/>
              <w:rPr>
                <w:b/>
                <w:bCs/>
              </w:rPr>
            </w:pPr>
            <w:r w:rsidRPr="00A87467">
              <w:rPr>
                <w:b/>
                <w:bCs/>
              </w:rPr>
              <w:t>Data period</w:t>
            </w:r>
          </w:p>
        </w:tc>
        <w:tc>
          <w:tcPr>
            <w:tcW w:w="5386" w:type="dxa"/>
          </w:tcPr>
          <w:p w14:paraId="0ECCC488" w14:textId="77777777" w:rsidR="00A436D7" w:rsidRDefault="00A436D7" w:rsidP="00A436D7">
            <w:pPr>
              <w:pStyle w:val="TableText"/>
            </w:pPr>
            <w:r w:rsidRPr="00DA1B92">
              <w:t>Annually (financial year), collected as part of the NZ</w:t>
            </w:r>
            <w:r>
              <w:t>HS</w:t>
            </w:r>
          </w:p>
        </w:tc>
      </w:tr>
      <w:tr w:rsidR="00A436D7" w14:paraId="588716F0" w14:textId="77777777" w:rsidTr="00A436D7">
        <w:tc>
          <w:tcPr>
            <w:tcW w:w="3261" w:type="dxa"/>
            <w:shd w:val="clear" w:color="auto" w:fill="D9D9D9" w:themeFill="background1" w:themeFillShade="D9"/>
          </w:tcPr>
          <w:p w14:paraId="679C0CA6" w14:textId="77777777" w:rsidR="00A436D7" w:rsidRPr="00A87467" w:rsidRDefault="00A436D7" w:rsidP="00A436D7">
            <w:pPr>
              <w:pStyle w:val="TableText"/>
              <w:rPr>
                <w:b/>
                <w:bCs/>
              </w:rPr>
            </w:pPr>
            <w:r w:rsidRPr="00A87467">
              <w:rPr>
                <w:b/>
                <w:bCs/>
              </w:rPr>
              <w:t>Frequency that data is available</w:t>
            </w:r>
          </w:p>
        </w:tc>
        <w:tc>
          <w:tcPr>
            <w:tcW w:w="5386" w:type="dxa"/>
          </w:tcPr>
          <w:p w14:paraId="689E32EA" w14:textId="77777777" w:rsidR="00A436D7" w:rsidRDefault="00A436D7" w:rsidP="00A436D7">
            <w:pPr>
              <w:pStyle w:val="TableText"/>
            </w:pPr>
            <w:r w:rsidRPr="00DA1B92">
              <w:t xml:space="preserve">As per release of the </w:t>
            </w:r>
            <w:r>
              <w:t>NZHS</w:t>
            </w:r>
          </w:p>
          <w:p w14:paraId="18142974" w14:textId="77777777" w:rsidR="00A436D7" w:rsidRDefault="00A436D7" w:rsidP="00A436D7">
            <w:pPr>
              <w:pStyle w:val="TableText"/>
            </w:pPr>
          </w:p>
        </w:tc>
      </w:tr>
      <w:tr w:rsidR="00A436D7" w14:paraId="5B83FD55" w14:textId="77777777" w:rsidTr="00A436D7">
        <w:tc>
          <w:tcPr>
            <w:tcW w:w="3261" w:type="dxa"/>
            <w:shd w:val="clear" w:color="auto" w:fill="D9D9D9" w:themeFill="background1" w:themeFillShade="D9"/>
          </w:tcPr>
          <w:p w14:paraId="5187E02F"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64B05399" w14:textId="77777777" w:rsidR="00A436D7" w:rsidRDefault="00A436D7" w:rsidP="00A436D7">
            <w:pPr>
              <w:pStyle w:val="TableText"/>
            </w:pPr>
            <w:r w:rsidRPr="00FD73EA">
              <w:t>Ethnicity, gender, age</w:t>
            </w:r>
          </w:p>
        </w:tc>
      </w:tr>
      <w:tr w:rsidR="00A436D7" w14:paraId="367ED34D" w14:textId="77777777" w:rsidTr="00A436D7">
        <w:tc>
          <w:tcPr>
            <w:tcW w:w="3261" w:type="dxa"/>
            <w:shd w:val="clear" w:color="auto" w:fill="D9D9D9" w:themeFill="background1" w:themeFillShade="D9"/>
          </w:tcPr>
          <w:p w14:paraId="719A7D2B"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4EC0CBE9" w14:textId="77777777" w:rsidR="00A436D7" w:rsidRDefault="00A436D7" w:rsidP="00A436D7">
            <w:pPr>
              <w:pStyle w:val="TableText"/>
            </w:pPr>
            <w:r>
              <w:t xml:space="preserve">Current </w:t>
            </w:r>
            <w:proofErr w:type="spellStart"/>
            <w:r>
              <w:t>Whakamaua</w:t>
            </w:r>
            <w:proofErr w:type="spellEnd"/>
            <w:r>
              <w:t xml:space="preserve"> measure 1.3</w:t>
            </w:r>
          </w:p>
          <w:p w14:paraId="555B9C0F" w14:textId="77777777" w:rsidR="00A436D7" w:rsidRDefault="00000000" w:rsidP="00A436D7">
            <w:pPr>
              <w:pStyle w:val="TableText"/>
            </w:pPr>
            <w:hyperlink r:id="rId39" w:history="1">
              <w:r w:rsidR="00A436D7" w:rsidRPr="00BC65F4">
                <w:rPr>
                  <w:rStyle w:val="Hyperlink"/>
                </w:rPr>
                <w:t>https://www.health.govt.nz/our-work/populations/maori-health/whakamaua-maori-health-action-plan-2020-2025</w:t>
              </w:r>
            </w:hyperlink>
          </w:p>
        </w:tc>
      </w:tr>
    </w:tbl>
    <w:p w14:paraId="6D857BF6"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3.2</w:t>
      </w:r>
      <w:r w:rsidRPr="00A436D7">
        <w:rPr>
          <w:rStyle w:val="Heading3Char"/>
          <w:sz w:val="24"/>
          <w:szCs w:val="24"/>
        </w:rPr>
        <w:tab/>
        <w:t>Proportion of people waiting for planned specialist care who receive it within four months, reported by ethnicity and geographic area</w:t>
      </w:r>
    </w:p>
    <w:p w14:paraId="2E99D22B" w14:textId="77777777" w:rsidR="00A436D7" w:rsidRDefault="00A436D7" w:rsidP="00A436D7">
      <w:r w:rsidRPr="009A1077">
        <w:t>Initially, this will reflect two existing measures - Elective Services Patient Flow Indicator (ESPI) 2 and 5. The definitions below reflects the existing measure definitions.</w:t>
      </w:r>
    </w:p>
    <w:p w14:paraId="5E208918" w14:textId="77777777" w:rsidR="00A436D7" w:rsidRDefault="00A436D7" w:rsidP="00A436D7"/>
    <w:p w14:paraId="213856E1" w14:textId="77777777" w:rsidR="00A436D7" w:rsidRDefault="00A436D7" w:rsidP="00A436D7">
      <w:pPr>
        <w:rPr>
          <w:b/>
          <w:bCs/>
        </w:rPr>
      </w:pPr>
      <w:r w:rsidRPr="00D64ACA">
        <w:rPr>
          <w:b/>
          <w:bCs/>
        </w:rPr>
        <w:t>ESPI 2</w:t>
      </w:r>
    </w:p>
    <w:p w14:paraId="0969C491" w14:textId="77777777" w:rsidR="00A436D7" w:rsidRPr="00D64ACA" w:rsidRDefault="00A436D7" w:rsidP="00A436D7">
      <w:pPr>
        <w:rPr>
          <w:b/>
          <w:bCs/>
        </w:rPr>
      </w:pP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5193DBAF" w14:textId="77777777" w:rsidTr="00A436D7">
        <w:tc>
          <w:tcPr>
            <w:tcW w:w="3261" w:type="dxa"/>
            <w:shd w:val="clear" w:color="auto" w:fill="D9D9D9" w:themeFill="background1" w:themeFillShade="D9"/>
          </w:tcPr>
          <w:p w14:paraId="39A6A573" w14:textId="77777777" w:rsidR="00A436D7" w:rsidRPr="00A87467" w:rsidRDefault="00A436D7" w:rsidP="00A436D7">
            <w:pPr>
              <w:pStyle w:val="TableText"/>
              <w:rPr>
                <w:b/>
                <w:bCs/>
              </w:rPr>
            </w:pPr>
            <w:r w:rsidRPr="00A87467">
              <w:rPr>
                <w:b/>
                <w:bCs/>
              </w:rPr>
              <w:t>Expectation for July 2022 – June 2024</w:t>
            </w:r>
          </w:p>
        </w:tc>
        <w:tc>
          <w:tcPr>
            <w:tcW w:w="5386" w:type="dxa"/>
          </w:tcPr>
          <w:p w14:paraId="4925FE26" w14:textId="77777777" w:rsidR="00A436D7" w:rsidRDefault="00A436D7" w:rsidP="00A436D7">
            <w:pPr>
              <w:pStyle w:val="TableText"/>
            </w:pPr>
            <w:r w:rsidRPr="001609BE">
              <w:t>No patients waiting for an FSA wait longer than four months</w:t>
            </w:r>
          </w:p>
        </w:tc>
      </w:tr>
      <w:tr w:rsidR="00A436D7" w14:paraId="2ACA36FF" w14:textId="77777777" w:rsidTr="00A436D7">
        <w:tc>
          <w:tcPr>
            <w:tcW w:w="3261" w:type="dxa"/>
            <w:shd w:val="clear" w:color="auto" w:fill="D9D9D9" w:themeFill="background1" w:themeFillShade="D9"/>
          </w:tcPr>
          <w:p w14:paraId="305FA749" w14:textId="77777777" w:rsidR="00A436D7" w:rsidRPr="00A87467" w:rsidRDefault="00A436D7" w:rsidP="00A436D7">
            <w:pPr>
              <w:pStyle w:val="TableText"/>
              <w:rPr>
                <w:b/>
                <w:bCs/>
              </w:rPr>
            </w:pPr>
            <w:r w:rsidRPr="00A87467">
              <w:rPr>
                <w:b/>
                <w:bCs/>
              </w:rPr>
              <w:t>Data source</w:t>
            </w:r>
          </w:p>
        </w:tc>
        <w:tc>
          <w:tcPr>
            <w:tcW w:w="5386" w:type="dxa"/>
          </w:tcPr>
          <w:p w14:paraId="60A165C6" w14:textId="77777777" w:rsidR="00A436D7" w:rsidRDefault="00A436D7" w:rsidP="00A436D7">
            <w:pPr>
              <w:pStyle w:val="TableText"/>
            </w:pPr>
            <w:r w:rsidRPr="001609BE">
              <w:t>National Collections – National</w:t>
            </w:r>
            <w:r>
              <w:t xml:space="preserve"> </w:t>
            </w:r>
            <w:r w:rsidRPr="001609BE">
              <w:t>Booking Reporting System (NBRS)</w:t>
            </w:r>
            <w:r>
              <w:t xml:space="preserve"> KPI</w:t>
            </w:r>
          </w:p>
        </w:tc>
      </w:tr>
      <w:tr w:rsidR="00A436D7" w14:paraId="3276CEA3" w14:textId="77777777" w:rsidTr="00A436D7">
        <w:tc>
          <w:tcPr>
            <w:tcW w:w="3261" w:type="dxa"/>
            <w:shd w:val="clear" w:color="auto" w:fill="D9D9D9" w:themeFill="background1" w:themeFillShade="D9"/>
          </w:tcPr>
          <w:p w14:paraId="2AAC94DA" w14:textId="77777777" w:rsidR="00A436D7" w:rsidRPr="00A87467" w:rsidRDefault="00A436D7" w:rsidP="00A436D7">
            <w:pPr>
              <w:pStyle w:val="TableText"/>
              <w:rPr>
                <w:b/>
                <w:bCs/>
              </w:rPr>
            </w:pPr>
            <w:r w:rsidRPr="00A87467">
              <w:rPr>
                <w:b/>
                <w:bCs/>
              </w:rPr>
              <w:t>If quantitative, measurement definitions</w:t>
            </w:r>
          </w:p>
        </w:tc>
        <w:tc>
          <w:tcPr>
            <w:tcW w:w="5386" w:type="dxa"/>
          </w:tcPr>
          <w:p w14:paraId="39D73C39" w14:textId="77777777" w:rsidR="00A436D7" w:rsidRDefault="00A436D7" w:rsidP="00A436D7">
            <w:pPr>
              <w:pStyle w:val="TableText"/>
            </w:pPr>
            <w:r>
              <w:t>Numerator: Number of patients waiting more than four calendar months for FSA</w:t>
            </w:r>
          </w:p>
          <w:p w14:paraId="112E260F" w14:textId="77777777" w:rsidR="00A436D7" w:rsidRDefault="00A436D7" w:rsidP="00A436D7">
            <w:pPr>
              <w:pStyle w:val="TableText"/>
            </w:pPr>
            <w:r>
              <w:t>Denominator: Total number of patients waiting at month end for FSA</w:t>
            </w:r>
          </w:p>
        </w:tc>
      </w:tr>
      <w:tr w:rsidR="00A436D7" w14:paraId="141C7D57" w14:textId="77777777" w:rsidTr="00A436D7">
        <w:tc>
          <w:tcPr>
            <w:tcW w:w="3261" w:type="dxa"/>
            <w:shd w:val="clear" w:color="auto" w:fill="D9D9D9" w:themeFill="background1" w:themeFillShade="D9"/>
          </w:tcPr>
          <w:p w14:paraId="12E21E1B" w14:textId="77777777" w:rsidR="00A436D7" w:rsidRPr="00A87467" w:rsidRDefault="00A436D7" w:rsidP="00A436D7">
            <w:pPr>
              <w:pStyle w:val="TableText"/>
              <w:rPr>
                <w:b/>
                <w:bCs/>
              </w:rPr>
            </w:pPr>
            <w:r w:rsidRPr="00A87467">
              <w:rPr>
                <w:b/>
                <w:bCs/>
              </w:rPr>
              <w:t>Data period</w:t>
            </w:r>
          </w:p>
        </w:tc>
        <w:tc>
          <w:tcPr>
            <w:tcW w:w="5386" w:type="dxa"/>
          </w:tcPr>
          <w:p w14:paraId="07A9B1F3" w14:textId="77777777" w:rsidR="00A436D7" w:rsidRDefault="00A436D7" w:rsidP="00A436D7">
            <w:pPr>
              <w:pStyle w:val="TableText"/>
            </w:pPr>
            <w:r w:rsidRPr="00B01E83">
              <w:t>Monthly</w:t>
            </w:r>
          </w:p>
        </w:tc>
      </w:tr>
      <w:tr w:rsidR="00A436D7" w14:paraId="2922CBA8" w14:textId="77777777" w:rsidTr="00A436D7">
        <w:tc>
          <w:tcPr>
            <w:tcW w:w="3261" w:type="dxa"/>
            <w:shd w:val="clear" w:color="auto" w:fill="D9D9D9" w:themeFill="background1" w:themeFillShade="D9"/>
          </w:tcPr>
          <w:p w14:paraId="24011FB7" w14:textId="77777777" w:rsidR="00A436D7" w:rsidRPr="00A87467" w:rsidRDefault="00A436D7" w:rsidP="00A436D7">
            <w:pPr>
              <w:pStyle w:val="TableText"/>
              <w:rPr>
                <w:b/>
                <w:bCs/>
              </w:rPr>
            </w:pPr>
            <w:r w:rsidRPr="00A87467">
              <w:rPr>
                <w:b/>
                <w:bCs/>
              </w:rPr>
              <w:t>Frequency that data is available</w:t>
            </w:r>
          </w:p>
        </w:tc>
        <w:tc>
          <w:tcPr>
            <w:tcW w:w="5386" w:type="dxa"/>
          </w:tcPr>
          <w:p w14:paraId="5A2A704B" w14:textId="77777777" w:rsidR="00A436D7" w:rsidRDefault="00A436D7" w:rsidP="00A436D7">
            <w:pPr>
              <w:pStyle w:val="TableText"/>
            </w:pPr>
            <w:r w:rsidRPr="00B01E83">
              <w:t>Monthly, about 6-8 weeks in arrears</w:t>
            </w:r>
          </w:p>
        </w:tc>
      </w:tr>
      <w:tr w:rsidR="00A436D7" w14:paraId="37B56B66" w14:textId="77777777" w:rsidTr="00A436D7">
        <w:tc>
          <w:tcPr>
            <w:tcW w:w="3261" w:type="dxa"/>
            <w:shd w:val="clear" w:color="auto" w:fill="D9D9D9" w:themeFill="background1" w:themeFillShade="D9"/>
          </w:tcPr>
          <w:p w14:paraId="36EBC0C7" w14:textId="77777777" w:rsidR="00A436D7" w:rsidRPr="00A87467" w:rsidRDefault="00A436D7" w:rsidP="00A436D7">
            <w:pPr>
              <w:pStyle w:val="TableText"/>
              <w:rPr>
                <w:b/>
                <w:bCs/>
              </w:rPr>
            </w:pPr>
            <w:r w:rsidRPr="00A87467">
              <w:rPr>
                <w:b/>
                <w:bCs/>
              </w:rPr>
              <w:lastRenderedPageBreak/>
              <w:t>Level of disaggregation of data available</w:t>
            </w:r>
          </w:p>
        </w:tc>
        <w:tc>
          <w:tcPr>
            <w:tcW w:w="5386" w:type="dxa"/>
          </w:tcPr>
          <w:p w14:paraId="0D4F567B" w14:textId="77777777" w:rsidR="00A436D7" w:rsidRDefault="00A436D7" w:rsidP="00A436D7">
            <w:pPr>
              <w:pStyle w:val="TableText"/>
            </w:pPr>
            <w:r w:rsidRPr="00B01E83">
              <w:t xml:space="preserve">Geographic area, specialty </w:t>
            </w:r>
          </w:p>
        </w:tc>
      </w:tr>
      <w:tr w:rsidR="00A436D7" w14:paraId="3C5A22D1" w14:textId="77777777" w:rsidTr="00A436D7">
        <w:tc>
          <w:tcPr>
            <w:tcW w:w="3261" w:type="dxa"/>
            <w:shd w:val="clear" w:color="auto" w:fill="D9D9D9" w:themeFill="background1" w:themeFillShade="D9"/>
          </w:tcPr>
          <w:p w14:paraId="45E6032B"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24145DAB" w14:textId="77777777" w:rsidR="00A436D7" w:rsidRDefault="00A436D7" w:rsidP="00A436D7">
            <w:pPr>
              <w:pStyle w:val="TableText"/>
            </w:pPr>
            <w:r w:rsidRPr="00B01E83">
              <w:t>ESPI 2 (also part of previous DHB non-financial monitoring framework and performance measures – SS07)</w:t>
            </w:r>
          </w:p>
        </w:tc>
      </w:tr>
    </w:tbl>
    <w:p w14:paraId="68F68085" w14:textId="77777777" w:rsidR="00A436D7" w:rsidRDefault="00A436D7" w:rsidP="00A436D7"/>
    <w:p w14:paraId="53AD4AED" w14:textId="77777777" w:rsidR="00A436D7" w:rsidRDefault="00A436D7" w:rsidP="00A436D7">
      <w:pPr>
        <w:rPr>
          <w:b/>
          <w:bCs/>
        </w:rPr>
      </w:pPr>
      <w:r w:rsidRPr="00D64ACA">
        <w:rPr>
          <w:b/>
          <w:bCs/>
        </w:rPr>
        <w:t>ESPI 5</w:t>
      </w:r>
    </w:p>
    <w:p w14:paraId="3A20536B" w14:textId="77777777" w:rsidR="00A436D7" w:rsidRPr="00D64ACA" w:rsidRDefault="00A436D7" w:rsidP="00A436D7">
      <w:pPr>
        <w:rPr>
          <w:b/>
          <w:bCs/>
        </w:rPr>
      </w:pP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77137001" w14:textId="77777777" w:rsidTr="00A436D7">
        <w:tc>
          <w:tcPr>
            <w:tcW w:w="3261" w:type="dxa"/>
            <w:shd w:val="clear" w:color="auto" w:fill="D9D9D9" w:themeFill="background1" w:themeFillShade="D9"/>
          </w:tcPr>
          <w:p w14:paraId="052D0A3D" w14:textId="77777777" w:rsidR="00A436D7" w:rsidRPr="00A87467" w:rsidRDefault="00A436D7" w:rsidP="00A436D7">
            <w:pPr>
              <w:pStyle w:val="TableText"/>
              <w:rPr>
                <w:b/>
                <w:bCs/>
              </w:rPr>
            </w:pPr>
            <w:r w:rsidRPr="00A87467">
              <w:rPr>
                <w:b/>
                <w:bCs/>
              </w:rPr>
              <w:t>Expectation for July 2022 – June 2024</w:t>
            </w:r>
          </w:p>
        </w:tc>
        <w:tc>
          <w:tcPr>
            <w:tcW w:w="5386" w:type="dxa"/>
          </w:tcPr>
          <w:p w14:paraId="2BEE7BE3" w14:textId="77777777" w:rsidR="00A436D7" w:rsidRDefault="00A436D7" w:rsidP="00A436D7">
            <w:pPr>
              <w:pStyle w:val="TableText"/>
            </w:pPr>
            <w:r w:rsidRPr="00372FC9">
              <w:t>No patients are given a commitment to treatment and are not treated in within four months</w:t>
            </w:r>
          </w:p>
        </w:tc>
      </w:tr>
      <w:tr w:rsidR="00A436D7" w14:paraId="05B24EB7" w14:textId="77777777" w:rsidTr="00A436D7">
        <w:tc>
          <w:tcPr>
            <w:tcW w:w="3261" w:type="dxa"/>
            <w:shd w:val="clear" w:color="auto" w:fill="D9D9D9" w:themeFill="background1" w:themeFillShade="D9"/>
          </w:tcPr>
          <w:p w14:paraId="3FBCCD93" w14:textId="77777777" w:rsidR="00A436D7" w:rsidRPr="00A87467" w:rsidRDefault="00A436D7" w:rsidP="00A436D7">
            <w:pPr>
              <w:pStyle w:val="TableText"/>
              <w:rPr>
                <w:b/>
                <w:bCs/>
              </w:rPr>
            </w:pPr>
            <w:r w:rsidRPr="00A87467">
              <w:rPr>
                <w:b/>
                <w:bCs/>
              </w:rPr>
              <w:t>Data source</w:t>
            </w:r>
          </w:p>
        </w:tc>
        <w:tc>
          <w:tcPr>
            <w:tcW w:w="5386" w:type="dxa"/>
          </w:tcPr>
          <w:p w14:paraId="492759F1" w14:textId="77777777" w:rsidR="00A436D7" w:rsidRDefault="00A436D7" w:rsidP="00A436D7">
            <w:pPr>
              <w:pStyle w:val="TableText"/>
            </w:pPr>
            <w:r w:rsidRPr="00372FC9">
              <w:t>National Collections – NBRS</w:t>
            </w:r>
          </w:p>
        </w:tc>
      </w:tr>
      <w:tr w:rsidR="00A436D7" w14:paraId="6F9AFCC6" w14:textId="77777777" w:rsidTr="00A436D7">
        <w:tc>
          <w:tcPr>
            <w:tcW w:w="3261" w:type="dxa"/>
            <w:shd w:val="clear" w:color="auto" w:fill="D9D9D9" w:themeFill="background1" w:themeFillShade="D9"/>
          </w:tcPr>
          <w:p w14:paraId="248285FE" w14:textId="77777777" w:rsidR="00A436D7" w:rsidRPr="00A87467" w:rsidRDefault="00A436D7" w:rsidP="00A436D7">
            <w:pPr>
              <w:pStyle w:val="TableText"/>
              <w:rPr>
                <w:b/>
                <w:bCs/>
              </w:rPr>
            </w:pPr>
            <w:r w:rsidRPr="00A87467">
              <w:rPr>
                <w:b/>
                <w:bCs/>
              </w:rPr>
              <w:t>If quantitative, measurement definitions</w:t>
            </w:r>
          </w:p>
        </w:tc>
        <w:tc>
          <w:tcPr>
            <w:tcW w:w="5386" w:type="dxa"/>
          </w:tcPr>
          <w:p w14:paraId="3E5B2E00" w14:textId="77777777" w:rsidR="00A436D7" w:rsidRPr="0012410C" w:rsidRDefault="00A436D7" w:rsidP="00A436D7">
            <w:pPr>
              <w:pStyle w:val="TableText"/>
            </w:pPr>
            <w:r w:rsidRPr="0012410C">
              <w:t>Numerator: Number of patients with an Assured status waiting more than 120 days</w:t>
            </w:r>
          </w:p>
          <w:p w14:paraId="4B008FD7" w14:textId="77777777" w:rsidR="00A436D7" w:rsidRDefault="00A436D7" w:rsidP="00A436D7">
            <w:pPr>
              <w:pStyle w:val="TableText"/>
            </w:pPr>
            <w:r w:rsidRPr="0012410C">
              <w:t>Denominator: Total number of patients waiting with an Assured status</w:t>
            </w:r>
          </w:p>
        </w:tc>
      </w:tr>
      <w:tr w:rsidR="00A436D7" w14:paraId="240C1E19" w14:textId="77777777" w:rsidTr="00A436D7">
        <w:tc>
          <w:tcPr>
            <w:tcW w:w="3261" w:type="dxa"/>
            <w:shd w:val="clear" w:color="auto" w:fill="D9D9D9" w:themeFill="background1" w:themeFillShade="D9"/>
          </w:tcPr>
          <w:p w14:paraId="27E037AF" w14:textId="77777777" w:rsidR="00A436D7" w:rsidRPr="00A87467" w:rsidRDefault="00A436D7" w:rsidP="00A436D7">
            <w:pPr>
              <w:pStyle w:val="TableText"/>
              <w:rPr>
                <w:b/>
                <w:bCs/>
              </w:rPr>
            </w:pPr>
            <w:r w:rsidRPr="00A87467">
              <w:rPr>
                <w:b/>
                <w:bCs/>
              </w:rPr>
              <w:t>Data period</w:t>
            </w:r>
          </w:p>
        </w:tc>
        <w:tc>
          <w:tcPr>
            <w:tcW w:w="5386" w:type="dxa"/>
          </w:tcPr>
          <w:p w14:paraId="5FC502DF" w14:textId="77777777" w:rsidR="00A436D7" w:rsidRDefault="00A436D7" w:rsidP="00A436D7">
            <w:pPr>
              <w:pStyle w:val="TableText"/>
            </w:pPr>
            <w:r w:rsidRPr="00784179">
              <w:t>Monthly</w:t>
            </w:r>
          </w:p>
        </w:tc>
      </w:tr>
      <w:tr w:rsidR="00A436D7" w14:paraId="0E802A91" w14:textId="77777777" w:rsidTr="00A436D7">
        <w:tc>
          <w:tcPr>
            <w:tcW w:w="3261" w:type="dxa"/>
            <w:shd w:val="clear" w:color="auto" w:fill="D9D9D9" w:themeFill="background1" w:themeFillShade="D9"/>
          </w:tcPr>
          <w:p w14:paraId="7FEB6CEF" w14:textId="77777777" w:rsidR="00A436D7" w:rsidRPr="00A87467" w:rsidRDefault="00A436D7" w:rsidP="00A436D7">
            <w:pPr>
              <w:pStyle w:val="TableText"/>
              <w:rPr>
                <w:b/>
                <w:bCs/>
              </w:rPr>
            </w:pPr>
            <w:r w:rsidRPr="00A87467">
              <w:rPr>
                <w:b/>
                <w:bCs/>
              </w:rPr>
              <w:t>Frequency that data is available</w:t>
            </w:r>
          </w:p>
        </w:tc>
        <w:tc>
          <w:tcPr>
            <w:tcW w:w="5386" w:type="dxa"/>
          </w:tcPr>
          <w:p w14:paraId="05BF1473" w14:textId="77777777" w:rsidR="00A436D7" w:rsidRDefault="00A436D7" w:rsidP="00A436D7">
            <w:pPr>
              <w:pStyle w:val="TableText"/>
            </w:pPr>
            <w:r w:rsidRPr="00784179">
              <w:t>Monthly and about 6–8 weeks in arrears</w:t>
            </w:r>
          </w:p>
        </w:tc>
      </w:tr>
      <w:tr w:rsidR="00A436D7" w14:paraId="12B7AC5A" w14:textId="77777777" w:rsidTr="00A436D7">
        <w:tc>
          <w:tcPr>
            <w:tcW w:w="3261" w:type="dxa"/>
            <w:shd w:val="clear" w:color="auto" w:fill="D9D9D9" w:themeFill="background1" w:themeFillShade="D9"/>
          </w:tcPr>
          <w:p w14:paraId="65EDA549"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68EACC97" w14:textId="77777777" w:rsidR="00A436D7" w:rsidRDefault="00A436D7" w:rsidP="00A436D7">
            <w:pPr>
              <w:pStyle w:val="TableText"/>
            </w:pPr>
            <w:r w:rsidRPr="00784179">
              <w:t xml:space="preserve">Ethnicity, geographic area, age </w:t>
            </w:r>
          </w:p>
        </w:tc>
      </w:tr>
      <w:tr w:rsidR="00A436D7" w14:paraId="675AC7AD" w14:textId="77777777" w:rsidTr="00A436D7">
        <w:tc>
          <w:tcPr>
            <w:tcW w:w="3261" w:type="dxa"/>
            <w:shd w:val="clear" w:color="auto" w:fill="D9D9D9" w:themeFill="background1" w:themeFillShade="D9"/>
          </w:tcPr>
          <w:p w14:paraId="2B5BB6F6"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7886D308" w14:textId="77777777" w:rsidR="00A436D7" w:rsidRDefault="00A436D7" w:rsidP="00A436D7">
            <w:pPr>
              <w:pStyle w:val="TableText"/>
            </w:pPr>
            <w:r w:rsidRPr="00784179">
              <w:t>ESPI 5 (also part of previous DHB non-financial monitoring framework and performance measures – SS07)</w:t>
            </w:r>
          </w:p>
        </w:tc>
      </w:tr>
    </w:tbl>
    <w:p w14:paraId="2D5EB629"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3.3</w:t>
      </w:r>
      <w:r w:rsidRPr="00A436D7">
        <w:rPr>
          <w:rStyle w:val="Heading3Char"/>
          <w:sz w:val="24"/>
          <w:szCs w:val="24"/>
        </w:rPr>
        <w:tab/>
        <w:t>Uptake of immunisations for key age groups, reported by ethnicity and geographic area</w:t>
      </w:r>
    </w:p>
    <w:p w14:paraId="1408FD50" w14:textId="77777777" w:rsidR="00A436D7" w:rsidRDefault="00A436D7" w:rsidP="00A436D7">
      <w:pPr>
        <w:rPr>
          <w:b/>
          <w:bCs/>
        </w:rPr>
      </w:pPr>
      <w:r w:rsidRPr="00D64ACA">
        <w:rPr>
          <w:b/>
          <w:bCs/>
        </w:rPr>
        <w:t>Eight-month-olds</w:t>
      </w:r>
    </w:p>
    <w:p w14:paraId="37EAB1E4" w14:textId="77777777" w:rsidR="00A436D7" w:rsidRPr="00D64ACA" w:rsidRDefault="00A436D7" w:rsidP="00A436D7">
      <w:pPr>
        <w:rPr>
          <w:b/>
          <w:bCs/>
        </w:rPr>
      </w:pP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6A55DD31" w14:textId="77777777" w:rsidTr="00A436D7">
        <w:tc>
          <w:tcPr>
            <w:tcW w:w="3261" w:type="dxa"/>
            <w:shd w:val="clear" w:color="auto" w:fill="D9D9D9" w:themeFill="background1" w:themeFillShade="D9"/>
          </w:tcPr>
          <w:p w14:paraId="41B74AC6" w14:textId="77777777" w:rsidR="00A436D7" w:rsidRPr="00A87467" w:rsidRDefault="00A436D7" w:rsidP="00A436D7">
            <w:pPr>
              <w:pStyle w:val="TableText"/>
              <w:rPr>
                <w:b/>
                <w:bCs/>
              </w:rPr>
            </w:pPr>
            <w:r w:rsidRPr="00A87467">
              <w:rPr>
                <w:b/>
                <w:bCs/>
              </w:rPr>
              <w:t>Expectation for July 2022 – June 2024</w:t>
            </w:r>
          </w:p>
        </w:tc>
        <w:tc>
          <w:tcPr>
            <w:tcW w:w="5386" w:type="dxa"/>
          </w:tcPr>
          <w:p w14:paraId="2FBC6AB1" w14:textId="77777777" w:rsidR="00A436D7" w:rsidRDefault="00A436D7" w:rsidP="00A436D7">
            <w:pPr>
              <w:pStyle w:val="TableText"/>
            </w:pPr>
            <w:r w:rsidRPr="000C7807">
              <w:t>95% of eligible children fully immunised at eight months of age for Māori, Pacific and Total populations</w:t>
            </w:r>
          </w:p>
        </w:tc>
      </w:tr>
      <w:tr w:rsidR="00A436D7" w14:paraId="4A9A23D8" w14:textId="77777777" w:rsidTr="00A436D7">
        <w:tc>
          <w:tcPr>
            <w:tcW w:w="3261" w:type="dxa"/>
            <w:shd w:val="clear" w:color="auto" w:fill="D9D9D9" w:themeFill="background1" w:themeFillShade="D9"/>
          </w:tcPr>
          <w:p w14:paraId="7B139948" w14:textId="77777777" w:rsidR="00A436D7" w:rsidRPr="00A87467" w:rsidRDefault="00A436D7" w:rsidP="00A436D7">
            <w:pPr>
              <w:pStyle w:val="TableText"/>
              <w:rPr>
                <w:b/>
                <w:bCs/>
              </w:rPr>
            </w:pPr>
            <w:r w:rsidRPr="00A87467">
              <w:rPr>
                <w:b/>
                <w:bCs/>
              </w:rPr>
              <w:t>Data source</w:t>
            </w:r>
          </w:p>
        </w:tc>
        <w:tc>
          <w:tcPr>
            <w:tcW w:w="5386" w:type="dxa"/>
          </w:tcPr>
          <w:p w14:paraId="39EC625B" w14:textId="77777777" w:rsidR="00A436D7" w:rsidRPr="0012413B" w:rsidRDefault="00A436D7" w:rsidP="00A436D7">
            <w:pPr>
              <w:pStyle w:val="TableText"/>
            </w:pPr>
            <w:r w:rsidRPr="0012413B">
              <w:t xml:space="preserve">National Collections – National Immunisation Register (NIR) (Year One) </w:t>
            </w:r>
          </w:p>
          <w:p w14:paraId="3C8618FF" w14:textId="77777777" w:rsidR="00A436D7" w:rsidRDefault="00000000" w:rsidP="00A436D7">
            <w:pPr>
              <w:pStyle w:val="TableText"/>
              <w:rPr>
                <w:sz w:val="16"/>
              </w:rPr>
            </w:pPr>
            <w:hyperlink r:id="rId40" w:history="1">
              <w:r w:rsidR="00A436D7" w:rsidRPr="0012410C">
                <w:rPr>
                  <w:rStyle w:val="Hyperlink"/>
                </w:rPr>
                <w:t>https://www.tewhatuora.govt.nz/for-the-health-sector/vaccine-information/immunisation-coverage/</w:t>
              </w:r>
            </w:hyperlink>
            <w:r w:rsidR="00A436D7" w:rsidRPr="0012410C">
              <w:rPr>
                <w:rStyle w:val="Hyperlink"/>
              </w:rPr>
              <w:t xml:space="preserve"> </w:t>
            </w:r>
          </w:p>
          <w:p w14:paraId="7F79C39A" w14:textId="77777777" w:rsidR="00A436D7" w:rsidRPr="0012413B" w:rsidRDefault="00A436D7" w:rsidP="00A436D7">
            <w:pPr>
              <w:pStyle w:val="TableText"/>
            </w:pPr>
            <w:r w:rsidRPr="0012413B">
              <w:t xml:space="preserve">In Year 2 (2023/24) the data source will be the Aotearoa Immunisation Register. </w:t>
            </w:r>
          </w:p>
          <w:p w14:paraId="7D51EA65" w14:textId="77777777" w:rsidR="00A436D7" w:rsidRPr="00D245C2" w:rsidRDefault="00000000" w:rsidP="00A436D7">
            <w:pPr>
              <w:pStyle w:val="TableText"/>
              <w:rPr>
                <w:szCs w:val="18"/>
              </w:rPr>
            </w:pPr>
            <w:hyperlink r:id="rId41" w:history="1">
              <w:r w:rsidR="00A436D7" w:rsidRPr="00D245C2">
                <w:rPr>
                  <w:rStyle w:val="Hyperlink"/>
                  <w:color w:val="595959"/>
                  <w:szCs w:val="18"/>
                </w:rPr>
                <w:t>https://www.tewhatuora.govt.nz/our-health-system/digital-health/the-aotearoa-immunisation-register-air/</w:t>
              </w:r>
            </w:hyperlink>
          </w:p>
        </w:tc>
      </w:tr>
      <w:tr w:rsidR="00A436D7" w14:paraId="3AA519B1" w14:textId="77777777" w:rsidTr="00A436D7">
        <w:tc>
          <w:tcPr>
            <w:tcW w:w="3261" w:type="dxa"/>
            <w:shd w:val="clear" w:color="auto" w:fill="D9D9D9" w:themeFill="background1" w:themeFillShade="D9"/>
          </w:tcPr>
          <w:p w14:paraId="165DF8C0" w14:textId="77777777" w:rsidR="00A436D7" w:rsidRPr="00A87467" w:rsidRDefault="00A436D7" w:rsidP="00A436D7">
            <w:pPr>
              <w:pStyle w:val="TableText"/>
              <w:rPr>
                <w:b/>
                <w:bCs/>
              </w:rPr>
            </w:pPr>
            <w:r w:rsidRPr="00A87467">
              <w:rPr>
                <w:b/>
                <w:bCs/>
              </w:rPr>
              <w:t>If quantitative, measurement definitions</w:t>
            </w:r>
          </w:p>
        </w:tc>
        <w:tc>
          <w:tcPr>
            <w:tcW w:w="5386" w:type="dxa"/>
          </w:tcPr>
          <w:p w14:paraId="2E1CAB14" w14:textId="77777777" w:rsidR="00A436D7" w:rsidRPr="0012413B" w:rsidRDefault="00A436D7" w:rsidP="00A436D7">
            <w:pPr>
              <w:pStyle w:val="TableText"/>
            </w:pPr>
            <w:r w:rsidRPr="0012413B">
              <w:t>Numerator: Number of eligible children enrolled on the NIR who have turned eight months of age during the quarter and who are recorded as fully immunised on the end of the day that they turn the milestone age</w:t>
            </w:r>
          </w:p>
          <w:p w14:paraId="1CDBE321" w14:textId="77777777" w:rsidR="00A436D7" w:rsidRDefault="00A436D7" w:rsidP="00A436D7">
            <w:pPr>
              <w:pStyle w:val="TableText"/>
            </w:pPr>
            <w:r w:rsidRPr="0012413B">
              <w:t>Denominator: Number of eligible children enrolled on the NIR who have turned eight months of age during the quarter. Those who decline vaccines or who have opted off their information being recorded on the NIR are included in the denominator</w:t>
            </w:r>
          </w:p>
        </w:tc>
      </w:tr>
      <w:tr w:rsidR="00A436D7" w14:paraId="09B12A6D" w14:textId="77777777" w:rsidTr="00A436D7">
        <w:tc>
          <w:tcPr>
            <w:tcW w:w="3261" w:type="dxa"/>
            <w:shd w:val="clear" w:color="auto" w:fill="D9D9D9" w:themeFill="background1" w:themeFillShade="D9"/>
          </w:tcPr>
          <w:p w14:paraId="6AD777AF" w14:textId="77777777" w:rsidR="00A436D7" w:rsidRPr="00A87467" w:rsidRDefault="00A436D7" w:rsidP="00A436D7">
            <w:pPr>
              <w:pStyle w:val="TableText"/>
              <w:rPr>
                <w:b/>
                <w:bCs/>
              </w:rPr>
            </w:pPr>
            <w:r w:rsidRPr="00A87467">
              <w:rPr>
                <w:b/>
                <w:bCs/>
              </w:rPr>
              <w:t>Data period</w:t>
            </w:r>
          </w:p>
        </w:tc>
        <w:tc>
          <w:tcPr>
            <w:tcW w:w="5386" w:type="dxa"/>
          </w:tcPr>
          <w:p w14:paraId="6717735A" w14:textId="77777777" w:rsidR="00A436D7" w:rsidRDefault="00A436D7" w:rsidP="00A436D7">
            <w:pPr>
              <w:pStyle w:val="TableText"/>
            </w:pPr>
            <w:r w:rsidRPr="00206F9B">
              <w:t>Quarterly</w:t>
            </w:r>
          </w:p>
        </w:tc>
      </w:tr>
      <w:tr w:rsidR="00A436D7" w14:paraId="60E6BA3A" w14:textId="77777777" w:rsidTr="00A436D7">
        <w:tc>
          <w:tcPr>
            <w:tcW w:w="3261" w:type="dxa"/>
            <w:shd w:val="clear" w:color="auto" w:fill="D9D9D9" w:themeFill="background1" w:themeFillShade="D9"/>
          </w:tcPr>
          <w:p w14:paraId="6CB54C32" w14:textId="77777777" w:rsidR="00A436D7" w:rsidRPr="00A87467" w:rsidRDefault="00A436D7" w:rsidP="00A436D7">
            <w:pPr>
              <w:pStyle w:val="TableText"/>
              <w:rPr>
                <w:b/>
                <w:bCs/>
              </w:rPr>
            </w:pPr>
            <w:r w:rsidRPr="00A87467">
              <w:rPr>
                <w:b/>
                <w:bCs/>
              </w:rPr>
              <w:lastRenderedPageBreak/>
              <w:t>Frequency that data is available</w:t>
            </w:r>
          </w:p>
        </w:tc>
        <w:tc>
          <w:tcPr>
            <w:tcW w:w="5386" w:type="dxa"/>
          </w:tcPr>
          <w:p w14:paraId="023907A3" w14:textId="2ECB2A86" w:rsidR="00A436D7" w:rsidRDefault="00FA7D23" w:rsidP="00A436D7">
            <w:pPr>
              <w:pStyle w:val="TableText"/>
            </w:pPr>
            <w:r w:rsidRPr="00206F9B">
              <w:t>Quarterly</w:t>
            </w:r>
          </w:p>
        </w:tc>
      </w:tr>
      <w:tr w:rsidR="00A436D7" w14:paraId="42FB1DB1" w14:textId="77777777" w:rsidTr="00A436D7">
        <w:tc>
          <w:tcPr>
            <w:tcW w:w="3261" w:type="dxa"/>
            <w:shd w:val="clear" w:color="auto" w:fill="D9D9D9" w:themeFill="background1" w:themeFillShade="D9"/>
          </w:tcPr>
          <w:p w14:paraId="0E831DE4"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571E5DA3" w14:textId="20A32B91" w:rsidR="00A436D7" w:rsidRDefault="00FA7D23" w:rsidP="00A436D7">
            <w:pPr>
              <w:pStyle w:val="TableText"/>
            </w:pPr>
            <w:r w:rsidRPr="00206F9B">
              <w:t>Ethnicity, geographic area, deprivation level</w:t>
            </w:r>
          </w:p>
        </w:tc>
      </w:tr>
      <w:tr w:rsidR="00A436D7" w14:paraId="056A80C8" w14:textId="77777777" w:rsidTr="00A436D7">
        <w:tc>
          <w:tcPr>
            <w:tcW w:w="3261" w:type="dxa"/>
            <w:shd w:val="clear" w:color="auto" w:fill="D9D9D9" w:themeFill="background1" w:themeFillShade="D9"/>
          </w:tcPr>
          <w:p w14:paraId="36AEE339"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6E4FC5F7" w14:textId="77777777" w:rsidR="00A436D7" w:rsidRDefault="00A436D7" w:rsidP="00A436D7">
            <w:pPr>
              <w:pStyle w:val="TableText"/>
            </w:pPr>
            <w:r w:rsidRPr="00206F9B">
              <w:t>Part of previous DHB non-financial monitoring framework and performance measures – CW05</w:t>
            </w:r>
          </w:p>
        </w:tc>
      </w:tr>
    </w:tbl>
    <w:p w14:paraId="61DB296F" w14:textId="77777777" w:rsidR="00A436D7" w:rsidRDefault="00A436D7" w:rsidP="00A436D7"/>
    <w:p w14:paraId="2FD16AAE" w14:textId="77777777" w:rsidR="00A436D7" w:rsidRDefault="00A436D7" w:rsidP="00A436D7">
      <w:pPr>
        <w:rPr>
          <w:b/>
          <w:bCs/>
        </w:rPr>
      </w:pPr>
      <w:r w:rsidRPr="00D64ACA">
        <w:rPr>
          <w:b/>
          <w:bCs/>
        </w:rPr>
        <w:t>Two-year-olds</w:t>
      </w:r>
    </w:p>
    <w:p w14:paraId="0FF66982" w14:textId="77777777" w:rsidR="00A436D7" w:rsidRPr="00D64ACA" w:rsidRDefault="00A436D7" w:rsidP="00A436D7">
      <w:pPr>
        <w:rPr>
          <w:b/>
          <w:bCs/>
        </w:rPr>
      </w:pP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5C675FEC" w14:textId="77777777" w:rsidTr="00A436D7">
        <w:tc>
          <w:tcPr>
            <w:tcW w:w="3261" w:type="dxa"/>
            <w:shd w:val="clear" w:color="auto" w:fill="D9D9D9" w:themeFill="background1" w:themeFillShade="D9"/>
          </w:tcPr>
          <w:p w14:paraId="7B3A60F6" w14:textId="77777777" w:rsidR="00A436D7" w:rsidRPr="00A87467" w:rsidRDefault="00A436D7" w:rsidP="00A436D7">
            <w:pPr>
              <w:pStyle w:val="TableText"/>
              <w:rPr>
                <w:b/>
                <w:bCs/>
              </w:rPr>
            </w:pPr>
            <w:r w:rsidRPr="00A87467">
              <w:rPr>
                <w:b/>
                <w:bCs/>
              </w:rPr>
              <w:t>Expectation for July 2022 – June 2024</w:t>
            </w:r>
          </w:p>
        </w:tc>
        <w:tc>
          <w:tcPr>
            <w:tcW w:w="5386" w:type="dxa"/>
          </w:tcPr>
          <w:p w14:paraId="09A6BB2D" w14:textId="77777777" w:rsidR="00A436D7" w:rsidRDefault="00A436D7" w:rsidP="00A436D7">
            <w:pPr>
              <w:pStyle w:val="TableText"/>
            </w:pPr>
            <w:r w:rsidRPr="00F26218">
              <w:t>95% of eligible children fully immunised at two years of age for Māori, Pacific and Total populations</w:t>
            </w:r>
          </w:p>
        </w:tc>
      </w:tr>
      <w:tr w:rsidR="00A436D7" w14:paraId="5D3FCADE" w14:textId="77777777" w:rsidTr="00A436D7">
        <w:tc>
          <w:tcPr>
            <w:tcW w:w="3261" w:type="dxa"/>
            <w:shd w:val="clear" w:color="auto" w:fill="D9D9D9" w:themeFill="background1" w:themeFillShade="D9"/>
          </w:tcPr>
          <w:p w14:paraId="04D7D1E1" w14:textId="77777777" w:rsidR="00A436D7" w:rsidRPr="00A87467" w:rsidRDefault="00A436D7" w:rsidP="00A436D7">
            <w:pPr>
              <w:pStyle w:val="TableText"/>
              <w:rPr>
                <w:b/>
                <w:bCs/>
              </w:rPr>
            </w:pPr>
            <w:r w:rsidRPr="00A87467">
              <w:rPr>
                <w:b/>
                <w:bCs/>
              </w:rPr>
              <w:t>Data source</w:t>
            </w:r>
          </w:p>
        </w:tc>
        <w:tc>
          <w:tcPr>
            <w:tcW w:w="5386" w:type="dxa"/>
          </w:tcPr>
          <w:p w14:paraId="669B62DA" w14:textId="77777777" w:rsidR="00A436D7" w:rsidRPr="0012413B" w:rsidRDefault="00A436D7" w:rsidP="00A436D7">
            <w:pPr>
              <w:pStyle w:val="TableText"/>
            </w:pPr>
            <w:r w:rsidRPr="0012413B">
              <w:t xml:space="preserve">National Collections – (NIR) (Year One) </w:t>
            </w:r>
          </w:p>
          <w:p w14:paraId="722C3549" w14:textId="77777777" w:rsidR="00A436D7" w:rsidRDefault="00000000" w:rsidP="00A436D7">
            <w:pPr>
              <w:pStyle w:val="TableText"/>
              <w:rPr>
                <w:sz w:val="16"/>
              </w:rPr>
            </w:pPr>
            <w:hyperlink r:id="rId42" w:history="1">
              <w:r w:rsidR="00A436D7" w:rsidRPr="0012410C">
                <w:rPr>
                  <w:rStyle w:val="Hyperlink"/>
                </w:rPr>
                <w:t>https://www.tewhatuora.govt.nz/for-the-health-sector/vaccine-information/immunisation-coverage/</w:t>
              </w:r>
            </w:hyperlink>
            <w:r w:rsidR="00A436D7" w:rsidRPr="0012410C">
              <w:rPr>
                <w:rStyle w:val="Hyperlink"/>
              </w:rPr>
              <w:t xml:space="preserve"> </w:t>
            </w:r>
          </w:p>
          <w:p w14:paraId="25052789" w14:textId="77777777" w:rsidR="00A436D7" w:rsidRPr="0012413B" w:rsidRDefault="00A436D7" w:rsidP="00A436D7">
            <w:pPr>
              <w:pStyle w:val="TableText"/>
            </w:pPr>
            <w:r w:rsidRPr="0012413B">
              <w:t xml:space="preserve">In Year 2 (2023/24) the data source will be the Aotearoa Immunisation Register. </w:t>
            </w:r>
          </w:p>
          <w:p w14:paraId="51CA698B" w14:textId="77777777" w:rsidR="00A436D7" w:rsidRDefault="00000000" w:rsidP="00A436D7">
            <w:pPr>
              <w:pStyle w:val="TableText"/>
            </w:pPr>
            <w:hyperlink r:id="rId43" w:history="1">
              <w:r w:rsidR="00A436D7" w:rsidRPr="00D245C2">
                <w:rPr>
                  <w:rStyle w:val="Hyperlink"/>
                  <w:color w:val="595959"/>
                  <w:szCs w:val="18"/>
                </w:rPr>
                <w:t>https://www.tewhatuora.govt.nz/our-health-system/digital-health/the-aotearoa-immunisation-register-air/</w:t>
              </w:r>
            </w:hyperlink>
          </w:p>
        </w:tc>
      </w:tr>
      <w:tr w:rsidR="00A436D7" w14:paraId="28386137" w14:textId="77777777" w:rsidTr="00A436D7">
        <w:tc>
          <w:tcPr>
            <w:tcW w:w="3261" w:type="dxa"/>
            <w:shd w:val="clear" w:color="auto" w:fill="D9D9D9" w:themeFill="background1" w:themeFillShade="D9"/>
          </w:tcPr>
          <w:p w14:paraId="73568A86" w14:textId="77777777" w:rsidR="00A436D7" w:rsidRPr="00A87467" w:rsidRDefault="00A436D7" w:rsidP="00A436D7">
            <w:pPr>
              <w:pStyle w:val="TableText"/>
              <w:rPr>
                <w:b/>
                <w:bCs/>
              </w:rPr>
            </w:pPr>
            <w:r w:rsidRPr="00A87467">
              <w:rPr>
                <w:b/>
                <w:bCs/>
              </w:rPr>
              <w:t>If quantitative, measurement definitions</w:t>
            </w:r>
          </w:p>
        </w:tc>
        <w:tc>
          <w:tcPr>
            <w:tcW w:w="5386" w:type="dxa"/>
          </w:tcPr>
          <w:p w14:paraId="5A0D3BC0" w14:textId="77777777" w:rsidR="00A436D7" w:rsidRPr="00957642" w:rsidRDefault="00A436D7" w:rsidP="00A436D7">
            <w:pPr>
              <w:pStyle w:val="TableText"/>
            </w:pPr>
            <w:r w:rsidRPr="00957642">
              <w:t>Numerator: Number of eligible children enrolled on the NIR who have turned two years of age during the quarter and who are recorded as fully immunised on the end of the day that they turn the milestone age</w:t>
            </w:r>
          </w:p>
          <w:p w14:paraId="48BA255E" w14:textId="77777777" w:rsidR="00A436D7" w:rsidRDefault="00A436D7" w:rsidP="00A436D7">
            <w:pPr>
              <w:pStyle w:val="TableText"/>
            </w:pPr>
            <w:r w:rsidRPr="00957642">
              <w:t>Denominator: Number of eligible children enrolled on the NIR who have turned two years of age during the quarter. Those who decline vaccines or who have opted off their information being recorded on the NIR are included in the denominator</w:t>
            </w:r>
          </w:p>
        </w:tc>
      </w:tr>
      <w:tr w:rsidR="00A436D7" w14:paraId="0178B927" w14:textId="77777777" w:rsidTr="00A436D7">
        <w:tc>
          <w:tcPr>
            <w:tcW w:w="3261" w:type="dxa"/>
            <w:shd w:val="clear" w:color="auto" w:fill="D9D9D9" w:themeFill="background1" w:themeFillShade="D9"/>
          </w:tcPr>
          <w:p w14:paraId="15F63B32" w14:textId="77777777" w:rsidR="00A436D7" w:rsidRPr="00A87467" w:rsidRDefault="00A436D7" w:rsidP="00A436D7">
            <w:pPr>
              <w:pStyle w:val="TableText"/>
              <w:rPr>
                <w:b/>
                <w:bCs/>
              </w:rPr>
            </w:pPr>
            <w:r w:rsidRPr="00A87467">
              <w:rPr>
                <w:b/>
                <w:bCs/>
              </w:rPr>
              <w:t>Data period</w:t>
            </w:r>
          </w:p>
        </w:tc>
        <w:tc>
          <w:tcPr>
            <w:tcW w:w="5386" w:type="dxa"/>
          </w:tcPr>
          <w:p w14:paraId="2249BA31" w14:textId="77777777" w:rsidR="00A436D7" w:rsidRDefault="00A436D7" w:rsidP="00A436D7">
            <w:pPr>
              <w:pStyle w:val="TableText"/>
            </w:pPr>
            <w:r w:rsidRPr="00BE6C2B">
              <w:t>Quarterly</w:t>
            </w:r>
          </w:p>
        </w:tc>
      </w:tr>
      <w:tr w:rsidR="00A436D7" w14:paraId="58D15CEB" w14:textId="77777777" w:rsidTr="00A436D7">
        <w:tc>
          <w:tcPr>
            <w:tcW w:w="3261" w:type="dxa"/>
            <w:shd w:val="clear" w:color="auto" w:fill="D9D9D9" w:themeFill="background1" w:themeFillShade="D9"/>
          </w:tcPr>
          <w:p w14:paraId="0F63CE5C" w14:textId="77777777" w:rsidR="00A436D7" w:rsidRPr="00A87467" w:rsidRDefault="00A436D7" w:rsidP="00A436D7">
            <w:pPr>
              <w:pStyle w:val="TableText"/>
              <w:rPr>
                <w:b/>
                <w:bCs/>
              </w:rPr>
            </w:pPr>
            <w:r w:rsidRPr="00A87467">
              <w:rPr>
                <w:b/>
                <w:bCs/>
              </w:rPr>
              <w:t>Frequency that data is available</w:t>
            </w:r>
          </w:p>
        </w:tc>
        <w:tc>
          <w:tcPr>
            <w:tcW w:w="5386" w:type="dxa"/>
          </w:tcPr>
          <w:p w14:paraId="02F053F4" w14:textId="1A6AC4D9" w:rsidR="00A436D7" w:rsidRDefault="00FA7D23" w:rsidP="00A436D7">
            <w:pPr>
              <w:pStyle w:val="TableText"/>
            </w:pPr>
            <w:r w:rsidRPr="00BE6C2B">
              <w:t>Quarterly</w:t>
            </w:r>
          </w:p>
        </w:tc>
      </w:tr>
      <w:tr w:rsidR="00A436D7" w14:paraId="32216D46" w14:textId="77777777" w:rsidTr="00A436D7">
        <w:tc>
          <w:tcPr>
            <w:tcW w:w="3261" w:type="dxa"/>
            <w:shd w:val="clear" w:color="auto" w:fill="D9D9D9" w:themeFill="background1" w:themeFillShade="D9"/>
          </w:tcPr>
          <w:p w14:paraId="72E67814"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0E99821E" w14:textId="6AE2D0A2" w:rsidR="00A436D7" w:rsidRDefault="00FA7D23" w:rsidP="00A436D7">
            <w:pPr>
              <w:pStyle w:val="TableText"/>
            </w:pPr>
            <w:r w:rsidRPr="00BE6C2B">
              <w:t>Ethnicity, geographic area, deprivation level</w:t>
            </w:r>
          </w:p>
        </w:tc>
      </w:tr>
      <w:tr w:rsidR="00A436D7" w14:paraId="0BC28181" w14:textId="77777777" w:rsidTr="00A436D7">
        <w:tc>
          <w:tcPr>
            <w:tcW w:w="3261" w:type="dxa"/>
            <w:shd w:val="clear" w:color="auto" w:fill="D9D9D9" w:themeFill="background1" w:themeFillShade="D9"/>
          </w:tcPr>
          <w:p w14:paraId="4769EEFF"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46027AF0" w14:textId="77777777" w:rsidR="00A436D7" w:rsidRDefault="00A436D7" w:rsidP="00A436D7">
            <w:pPr>
              <w:pStyle w:val="TableText"/>
            </w:pPr>
            <w:r>
              <w:t>Current Health System Indicator</w:t>
            </w:r>
          </w:p>
          <w:p w14:paraId="68331BE8" w14:textId="77777777" w:rsidR="00A436D7" w:rsidRDefault="00A436D7" w:rsidP="00A436D7">
            <w:pPr>
              <w:pStyle w:val="TableText"/>
            </w:pPr>
            <w:r>
              <w:t>Part of previous DHB non-financial monitoring framework and performance measures – CW08</w:t>
            </w:r>
          </w:p>
        </w:tc>
      </w:tr>
    </w:tbl>
    <w:p w14:paraId="3FEEECC2" w14:textId="77777777" w:rsidR="00A436D7" w:rsidRDefault="00A436D7" w:rsidP="00A436D7"/>
    <w:p w14:paraId="4BFD9F79" w14:textId="77777777" w:rsidR="00A436D7" w:rsidRDefault="00A436D7" w:rsidP="00A436D7">
      <w:pPr>
        <w:rPr>
          <w:b/>
          <w:bCs/>
        </w:rPr>
      </w:pPr>
      <w:r w:rsidRPr="00D64ACA">
        <w:rPr>
          <w:b/>
          <w:bCs/>
        </w:rPr>
        <w:t>Five-year-olds</w:t>
      </w:r>
    </w:p>
    <w:p w14:paraId="5BDBCC5B" w14:textId="77777777" w:rsidR="00A436D7" w:rsidRPr="00D64ACA" w:rsidRDefault="00A436D7" w:rsidP="00A436D7">
      <w:pPr>
        <w:rPr>
          <w:b/>
          <w:bCs/>
        </w:rPr>
      </w:pP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75A00A48" w14:textId="77777777" w:rsidTr="00A436D7">
        <w:tc>
          <w:tcPr>
            <w:tcW w:w="3261" w:type="dxa"/>
            <w:shd w:val="clear" w:color="auto" w:fill="D9D9D9" w:themeFill="background1" w:themeFillShade="D9"/>
          </w:tcPr>
          <w:p w14:paraId="1A3BB260" w14:textId="77777777" w:rsidR="00A436D7" w:rsidRPr="00A87467" w:rsidRDefault="00A436D7" w:rsidP="00A436D7">
            <w:pPr>
              <w:pStyle w:val="TableText"/>
              <w:rPr>
                <w:b/>
                <w:bCs/>
              </w:rPr>
            </w:pPr>
            <w:r w:rsidRPr="00A87467">
              <w:rPr>
                <w:b/>
                <w:bCs/>
              </w:rPr>
              <w:t>Expectation for July 2022 – June 2024</w:t>
            </w:r>
          </w:p>
        </w:tc>
        <w:tc>
          <w:tcPr>
            <w:tcW w:w="5386" w:type="dxa"/>
          </w:tcPr>
          <w:p w14:paraId="7F36D541" w14:textId="77777777" w:rsidR="00A436D7" w:rsidRDefault="00A436D7" w:rsidP="00A436D7">
            <w:pPr>
              <w:pStyle w:val="TableText"/>
            </w:pPr>
            <w:r w:rsidRPr="00121FBF">
              <w:t>95% of eligible children fully immunised at five years of age for Māori, Pacific and Total populations</w:t>
            </w:r>
          </w:p>
        </w:tc>
      </w:tr>
      <w:tr w:rsidR="00A436D7" w14:paraId="62E64A9C" w14:textId="77777777" w:rsidTr="00A436D7">
        <w:tc>
          <w:tcPr>
            <w:tcW w:w="3261" w:type="dxa"/>
            <w:shd w:val="clear" w:color="auto" w:fill="D9D9D9" w:themeFill="background1" w:themeFillShade="D9"/>
          </w:tcPr>
          <w:p w14:paraId="17B76D1C" w14:textId="77777777" w:rsidR="00A436D7" w:rsidRPr="00A87467" w:rsidRDefault="00A436D7" w:rsidP="00A436D7">
            <w:pPr>
              <w:pStyle w:val="TableText"/>
              <w:rPr>
                <w:b/>
                <w:bCs/>
              </w:rPr>
            </w:pPr>
            <w:r w:rsidRPr="00A87467">
              <w:rPr>
                <w:b/>
                <w:bCs/>
              </w:rPr>
              <w:t>Data source</w:t>
            </w:r>
          </w:p>
        </w:tc>
        <w:tc>
          <w:tcPr>
            <w:tcW w:w="5386" w:type="dxa"/>
          </w:tcPr>
          <w:p w14:paraId="72E195DF" w14:textId="77777777" w:rsidR="00A436D7" w:rsidRPr="0012413B" w:rsidRDefault="00A436D7" w:rsidP="00A436D7">
            <w:pPr>
              <w:pStyle w:val="TableText"/>
            </w:pPr>
            <w:r w:rsidRPr="0012413B">
              <w:t xml:space="preserve">National Collections – (NIR) (Year One) </w:t>
            </w:r>
          </w:p>
          <w:p w14:paraId="533F8FE2" w14:textId="77777777" w:rsidR="00A436D7" w:rsidRDefault="00000000" w:rsidP="00A436D7">
            <w:pPr>
              <w:pStyle w:val="TableText"/>
              <w:rPr>
                <w:sz w:val="16"/>
              </w:rPr>
            </w:pPr>
            <w:hyperlink r:id="rId44" w:history="1">
              <w:r w:rsidR="00A436D7" w:rsidRPr="0012410C">
                <w:rPr>
                  <w:rStyle w:val="Hyperlink"/>
                </w:rPr>
                <w:t>https://www.tewhatuora.govt.nz/for-the-health-sector/vaccine-information/immunisation-coverage/</w:t>
              </w:r>
            </w:hyperlink>
            <w:r w:rsidR="00A436D7" w:rsidRPr="0012410C">
              <w:rPr>
                <w:rStyle w:val="Hyperlink"/>
              </w:rPr>
              <w:t xml:space="preserve"> </w:t>
            </w:r>
          </w:p>
          <w:p w14:paraId="487FC551" w14:textId="77777777" w:rsidR="00A436D7" w:rsidRPr="0012413B" w:rsidRDefault="00A436D7" w:rsidP="00A436D7">
            <w:pPr>
              <w:pStyle w:val="TableText"/>
            </w:pPr>
            <w:r w:rsidRPr="0012413B">
              <w:t xml:space="preserve">In Year 2 (2023/24) the data source will be the Aotearoa Immunisation Register. </w:t>
            </w:r>
          </w:p>
          <w:p w14:paraId="68C183B3" w14:textId="77777777" w:rsidR="00A436D7" w:rsidRPr="00B83FC9" w:rsidRDefault="00000000" w:rsidP="00A436D7">
            <w:pPr>
              <w:pStyle w:val="TableText"/>
              <w:rPr>
                <w:b/>
                <w:color w:val="595959"/>
                <w:szCs w:val="18"/>
              </w:rPr>
            </w:pPr>
            <w:hyperlink r:id="rId45" w:history="1">
              <w:r w:rsidR="00A436D7" w:rsidRPr="00D245C2">
                <w:rPr>
                  <w:rStyle w:val="Hyperlink"/>
                  <w:color w:val="595959"/>
                  <w:szCs w:val="18"/>
                </w:rPr>
                <w:t>https://www.tewhatuora.govt.nz/our-health-system/digital-health/the-aotearoa-immunisation-register-air/</w:t>
              </w:r>
            </w:hyperlink>
          </w:p>
        </w:tc>
      </w:tr>
      <w:tr w:rsidR="00A436D7" w14:paraId="12EBC027" w14:textId="77777777" w:rsidTr="00A436D7">
        <w:tc>
          <w:tcPr>
            <w:tcW w:w="3261" w:type="dxa"/>
            <w:shd w:val="clear" w:color="auto" w:fill="D9D9D9" w:themeFill="background1" w:themeFillShade="D9"/>
          </w:tcPr>
          <w:p w14:paraId="37C921AF" w14:textId="77777777" w:rsidR="00A436D7" w:rsidRPr="00A87467" w:rsidRDefault="00A436D7" w:rsidP="00A436D7">
            <w:pPr>
              <w:pStyle w:val="TableText"/>
              <w:rPr>
                <w:b/>
                <w:bCs/>
              </w:rPr>
            </w:pPr>
            <w:r w:rsidRPr="00A87467">
              <w:rPr>
                <w:b/>
                <w:bCs/>
              </w:rPr>
              <w:lastRenderedPageBreak/>
              <w:t>If quantitative, measurement definitions</w:t>
            </w:r>
          </w:p>
        </w:tc>
        <w:tc>
          <w:tcPr>
            <w:tcW w:w="5386" w:type="dxa"/>
          </w:tcPr>
          <w:p w14:paraId="3A1DF657" w14:textId="77777777" w:rsidR="00A436D7" w:rsidRPr="00957642" w:rsidRDefault="00A436D7" w:rsidP="00A436D7">
            <w:pPr>
              <w:pStyle w:val="TableText"/>
            </w:pPr>
            <w:r w:rsidRPr="00957642">
              <w:t>Numerator: Number of eligible children enrolled on the NIR who have turned five years of age during the quarter and who are recorded as fully immunised on the end of the day that they turn the milestone age</w:t>
            </w:r>
          </w:p>
          <w:p w14:paraId="2A803130" w14:textId="77777777" w:rsidR="00A436D7" w:rsidRDefault="00A436D7" w:rsidP="00A436D7">
            <w:pPr>
              <w:pStyle w:val="TableText"/>
            </w:pPr>
            <w:r w:rsidRPr="00957642">
              <w:t>Denominator: Number of eligible children enrolled on the NIR who have turned five years of age during the quarter. Those who decline vaccines or who have opted off their information being recorded on the NIR are included in the denominator</w:t>
            </w:r>
          </w:p>
        </w:tc>
      </w:tr>
      <w:tr w:rsidR="00A436D7" w14:paraId="66480BC5" w14:textId="77777777" w:rsidTr="00A436D7">
        <w:tc>
          <w:tcPr>
            <w:tcW w:w="3261" w:type="dxa"/>
            <w:shd w:val="clear" w:color="auto" w:fill="D9D9D9" w:themeFill="background1" w:themeFillShade="D9"/>
          </w:tcPr>
          <w:p w14:paraId="7937571B" w14:textId="77777777" w:rsidR="00A436D7" w:rsidRPr="00A87467" w:rsidRDefault="00A436D7" w:rsidP="00A436D7">
            <w:pPr>
              <w:pStyle w:val="TableText"/>
              <w:rPr>
                <w:b/>
                <w:bCs/>
              </w:rPr>
            </w:pPr>
            <w:r w:rsidRPr="00A87467">
              <w:rPr>
                <w:b/>
                <w:bCs/>
              </w:rPr>
              <w:t>Data period</w:t>
            </w:r>
          </w:p>
        </w:tc>
        <w:tc>
          <w:tcPr>
            <w:tcW w:w="5386" w:type="dxa"/>
          </w:tcPr>
          <w:p w14:paraId="5B1596D3" w14:textId="77777777" w:rsidR="00A436D7" w:rsidRDefault="00A436D7" w:rsidP="00A436D7">
            <w:pPr>
              <w:pStyle w:val="TableText"/>
            </w:pPr>
            <w:r w:rsidRPr="00BF7DB2">
              <w:t>Quarterly</w:t>
            </w:r>
          </w:p>
        </w:tc>
      </w:tr>
      <w:tr w:rsidR="00A436D7" w14:paraId="48AA75B9" w14:textId="77777777" w:rsidTr="00A436D7">
        <w:tc>
          <w:tcPr>
            <w:tcW w:w="3261" w:type="dxa"/>
            <w:shd w:val="clear" w:color="auto" w:fill="D9D9D9" w:themeFill="background1" w:themeFillShade="D9"/>
          </w:tcPr>
          <w:p w14:paraId="74F86CB7" w14:textId="77777777" w:rsidR="00A436D7" w:rsidRPr="00A87467" w:rsidRDefault="00A436D7" w:rsidP="00A436D7">
            <w:pPr>
              <w:pStyle w:val="TableText"/>
              <w:rPr>
                <w:b/>
                <w:bCs/>
              </w:rPr>
            </w:pPr>
            <w:r w:rsidRPr="00A87467">
              <w:rPr>
                <w:b/>
                <w:bCs/>
              </w:rPr>
              <w:t>Frequency that data is available</w:t>
            </w:r>
          </w:p>
        </w:tc>
        <w:tc>
          <w:tcPr>
            <w:tcW w:w="5386" w:type="dxa"/>
          </w:tcPr>
          <w:p w14:paraId="796F94C0" w14:textId="77777777" w:rsidR="00A436D7" w:rsidRDefault="00A436D7" w:rsidP="00A436D7">
            <w:pPr>
              <w:pStyle w:val="TableText"/>
            </w:pPr>
            <w:r w:rsidRPr="00BF7DB2">
              <w:t>Quarterly</w:t>
            </w:r>
          </w:p>
        </w:tc>
      </w:tr>
      <w:tr w:rsidR="00A436D7" w14:paraId="152E6083" w14:textId="77777777" w:rsidTr="00A436D7">
        <w:tc>
          <w:tcPr>
            <w:tcW w:w="3261" w:type="dxa"/>
            <w:shd w:val="clear" w:color="auto" w:fill="D9D9D9" w:themeFill="background1" w:themeFillShade="D9"/>
          </w:tcPr>
          <w:p w14:paraId="4E730A4E"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2E5F32D8" w14:textId="77777777" w:rsidR="00A436D7" w:rsidRDefault="00A436D7" w:rsidP="00A436D7">
            <w:pPr>
              <w:pStyle w:val="TableText"/>
            </w:pPr>
            <w:r w:rsidRPr="00BF7DB2">
              <w:t>Ethnicity, geographic area, deprivation level</w:t>
            </w:r>
          </w:p>
        </w:tc>
      </w:tr>
      <w:tr w:rsidR="00A436D7" w14:paraId="68D85A46" w14:textId="77777777" w:rsidTr="00A436D7">
        <w:tc>
          <w:tcPr>
            <w:tcW w:w="3261" w:type="dxa"/>
            <w:shd w:val="clear" w:color="auto" w:fill="D9D9D9" w:themeFill="background1" w:themeFillShade="D9"/>
          </w:tcPr>
          <w:p w14:paraId="2F39457A"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432B2286" w14:textId="77777777" w:rsidR="00A436D7" w:rsidRDefault="00A436D7" w:rsidP="00A436D7">
            <w:pPr>
              <w:pStyle w:val="TableText"/>
            </w:pPr>
            <w:r w:rsidRPr="00BF7DB2">
              <w:t>Part of previous DHB non-financial monitoring framework and performance measures – CW05</w:t>
            </w:r>
          </w:p>
        </w:tc>
      </w:tr>
    </w:tbl>
    <w:p w14:paraId="4F0C2956" w14:textId="77777777" w:rsidR="00A436D7" w:rsidRDefault="00A436D7" w:rsidP="00A436D7"/>
    <w:p w14:paraId="209AB664" w14:textId="77777777" w:rsidR="00A436D7" w:rsidRDefault="00A436D7" w:rsidP="00A436D7">
      <w:pPr>
        <w:rPr>
          <w:b/>
          <w:bCs/>
        </w:rPr>
      </w:pPr>
      <w:r w:rsidRPr="00D64ACA">
        <w:rPr>
          <w:b/>
          <w:bCs/>
        </w:rPr>
        <w:t>Human Papillomavirus (HPV) vaccination</w:t>
      </w:r>
    </w:p>
    <w:p w14:paraId="6A53CE40" w14:textId="77777777" w:rsidR="00A436D7" w:rsidRPr="00D64ACA" w:rsidRDefault="00A436D7" w:rsidP="00A436D7">
      <w:pPr>
        <w:rPr>
          <w:b/>
          <w:bCs/>
        </w:rPr>
      </w:pP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3F2D11D7" w14:textId="77777777" w:rsidTr="002B0938">
        <w:tc>
          <w:tcPr>
            <w:tcW w:w="3261" w:type="dxa"/>
            <w:shd w:val="clear" w:color="auto" w:fill="D9D9D9" w:themeFill="background1" w:themeFillShade="D9"/>
          </w:tcPr>
          <w:p w14:paraId="2C1C68BC" w14:textId="77777777" w:rsidR="00A436D7" w:rsidRPr="00A87467" w:rsidRDefault="00A436D7" w:rsidP="00A436D7">
            <w:pPr>
              <w:pStyle w:val="TableText"/>
              <w:rPr>
                <w:b/>
                <w:bCs/>
              </w:rPr>
            </w:pPr>
            <w:r w:rsidRPr="00A87467">
              <w:rPr>
                <w:b/>
                <w:bCs/>
              </w:rPr>
              <w:t>Expectation for July 2022 – June 2024</w:t>
            </w:r>
          </w:p>
        </w:tc>
        <w:tc>
          <w:tcPr>
            <w:tcW w:w="5386" w:type="dxa"/>
          </w:tcPr>
          <w:p w14:paraId="58EAB4F5" w14:textId="77777777" w:rsidR="00A436D7" w:rsidRDefault="00A436D7" w:rsidP="00A436D7">
            <w:pPr>
              <w:pStyle w:val="TableText"/>
            </w:pPr>
            <w:r w:rsidRPr="003446AA">
              <w:t>75% of eligible boys and girls fully immunised with HPV vaccine for Māori, Pacific and Total populations</w:t>
            </w:r>
          </w:p>
        </w:tc>
      </w:tr>
      <w:tr w:rsidR="00A436D7" w14:paraId="42BCED1D" w14:textId="77777777" w:rsidTr="002B0938">
        <w:tc>
          <w:tcPr>
            <w:tcW w:w="3261" w:type="dxa"/>
            <w:shd w:val="clear" w:color="auto" w:fill="D9D9D9" w:themeFill="background1" w:themeFillShade="D9"/>
          </w:tcPr>
          <w:p w14:paraId="3F124218" w14:textId="77777777" w:rsidR="00A436D7" w:rsidRPr="00A87467" w:rsidRDefault="00A436D7" w:rsidP="00A436D7">
            <w:pPr>
              <w:pStyle w:val="TableText"/>
              <w:rPr>
                <w:b/>
                <w:bCs/>
              </w:rPr>
            </w:pPr>
            <w:r w:rsidRPr="00A87467">
              <w:rPr>
                <w:b/>
                <w:bCs/>
              </w:rPr>
              <w:t>Data source</w:t>
            </w:r>
          </w:p>
        </w:tc>
        <w:tc>
          <w:tcPr>
            <w:tcW w:w="5386" w:type="dxa"/>
          </w:tcPr>
          <w:p w14:paraId="3A7E5628" w14:textId="77777777" w:rsidR="00A436D7" w:rsidRDefault="00A436D7" w:rsidP="00A436D7">
            <w:pPr>
              <w:pStyle w:val="TableText"/>
            </w:pPr>
            <w:r w:rsidRPr="0012413B">
              <w:t xml:space="preserve">National Collections – (NIR) (Year One) </w:t>
            </w:r>
          </w:p>
          <w:p w14:paraId="1BBC024B" w14:textId="77777777" w:rsidR="00A436D7" w:rsidRPr="00B83FC9" w:rsidRDefault="00000000" w:rsidP="00A436D7">
            <w:pPr>
              <w:pStyle w:val="TableText"/>
              <w:rPr>
                <w:rStyle w:val="Hyperlink"/>
              </w:rPr>
            </w:pPr>
            <w:hyperlink r:id="rId46" w:history="1">
              <w:r w:rsidR="00A436D7" w:rsidRPr="00B83FC9">
                <w:rPr>
                  <w:rStyle w:val="Hyperlink"/>
                </w:rPr>
                <w:t>https://www.tewhatuora.govt.nz/for-the-health-sector/vaccine-information/hpv-immunisation-programme/</w:t>
              </w:r>
            </w:hyperlink>
            <w:r w:rsidR="00A436D7" w:rsidRPr="00B83FC9">
              <w:rPr>
                <w:rStyle w:val="Hyperlink"/>
              </w:rPr>
              <w:t xml:space="preserve"> </w:t>
            </w:r>
          </w:p>
          <w:p w14:paraId="16B0AED9" w14:textId="77777777" w:rsidR="00A436D7" w:rsidRPr="0012413B" w:rsidRDefault="00A436D7" w:rsidP="00A436D7">
            <w:pPr>
              <w:pStyle w:val="TableText"/>
            </w:pPr>
            <w:r w:rsidRPr="0012413B">
              <w:t xml:space="preserve">In Year 2 (2023/24) the data source will be the Aotearoa Immunisation Register. </w:t>
            </w:r>
          </w:p>
          <w:p w14:paraId="133065C5" w14:textId="77777777" w:rsidR="00A436D7" w:rsidRDefault="00000000" w:rsidP="00A436D7">
            <w:pPr>
              <w:pStyle w:val="TableText"/>
            </w:pPr>
            <w:hyperlink r:id="rId47" w:history="1">
              <w:r w:rsidR="00A436D7" w:rsidRPr="00D245C2">
                <w:rPr>
                  <w:rStyle w:val="Hyperlink"/>
                  <w:color w:val="595959"/>
                  <w:szCs w:val="18"/>
                </w:rPr>
                <w:t>https://www.tewhatuora.govt.nz/our-health-system/digital-health/the-aotearoa-immunisation-register-air/</w:t>
              </w:r>
            </w:hyperlink>
          </w:p>
        </w:tc>
      </w:tr>
      <w:tr w:rsidR="00A436D7" w14:paraId="7D5C4CCE" w14:textId="77777777" w:rsidTr="002B0938">
        <w:tc>
          <w:tcPr>
            <w:tcW w:w="3261" w:type="dxa"/>
            <w:shd w:val="clear" w:color="auto" w:fill="D9D9D9" w:themeFill="background1" w:themeFillShade="D9"/>
          </w:tcPr>
          <w:p w14:paraId="64E1545D" w14:textId="77777777" w:rsidR="00A436D7" w:rsidRPr="00A87467" w:rsidRDefault="00A436D7" w:rsidP="00A436D7">
            <w:pPr>
              <w:pStyle w:val="TableText"/>
              <w:rPr>
                <w:b/>
                <w:bCs/>
              </w:rPr>
            </w:pPr>
            <w:r w:rsidRPr="00A87467">
              <w:rPr>
                <w:b/>
                <w:bCs/>
              </w:rPr>
              <w:t>If quantitative, measurement definitions</w:t>
            </w:r>
          </w:p>
        </w:tc>
        <w:tc>
          <w:tcPr>
            <w:tcW w:w="5386" w:type="dxa"/>
          </w:tcPr>
          <w:p w14:paraId="336E6407" w14:textId="77777777" w:rsidR="00A436D7" w:rsidRPr="007C2600" w:rsidRDefault="00A436D7" w:rsidP="00A436D7">
            <w:pPr>
              <w:pStyle w:val="TableText"/>
            </w:pPr>
            <w:r w:rsidRPr="007C2600">
              <w:t>Numerator: Number of girls and boys born in the relevant birth cohort who have completed their HPV immunisation course as per Schedule and recorded on the NIR. The report includes all HPV vaccines given at any time up until 30 June of the finalised reporting year.</w:t>
            </w:r>
          </w:p>
          <w:p w14:paraId="2D003E21" w14:textId="77777777" w:rsidR="00A436D7" w:rsidRDefault="00A436D7" w:rsidP="00A436D7">
            <w:pPr>
              <w:pStyle w:val="TableText"/>
            </w:pPr>
            <w:r w:rsidRPr="007C2600">
              <w:t>Denominator: For those born from 2006 onwards, the denominator is the eligible population enrolled on the NIR. For those born in 2005 or earlier, the denominator is the estimated from the census population projection denominator for the relevant birth cohort</w:t>
            </w:r>
          </w:p>
        </w:tc>
      </w:tr>
      <w:tr w:rsidR="00A436D7" w14:paraId="6DAE5706" w14:textId="77777777" w:rsidTr="002B0938">
        <w:tc>
          <w:tcPr>
            <w:tcW w:w="3261" w:type="dxa"/>
            <w:shd w:val="clear" w:color="auto" w:fill="D9D9D9" w:themeFill="background1" w:themeFillShade="D9"/>
          </w:tcPr>
          <w:p w14:paraId="58FB6C5A" w14:textId="77777777" w:rsidR="00A436D7" w:rsidRPr="00A87467" w:rsidRDefault="00A436D7" w:rsidP="00A436D7">
            <w:pPr>
              <w:pStyle w:val="TableText"/>
              <w:rPr>
                <w:b/>
                <w:bCs/>
              </w:rPr>
            </w:pPr>
            <w:r w:rsidRPr="00A87467">
              <w:rPr>
                <w:b/>
                <w:bCs/>
              </w:rPr>
              <w:t>Data period</w:t>
            </w:r>
          </w:p>
        </w:tc>
        <w:tc>
          <w:tcPr>
            <w:tcW w:w="5386" w:type="dxa"/>
          </w:tcPr>
          <w:p w14:paraId="407899BA" w14:textId="77777777" w:rsidR="00A436D7" w:rsidRDefault="00A436D7" w:rsidP="00A436D7">
            <w:pPr>
              <w:pStyle w:val="TableText"/>
            </w:pPr>
            <w:r w:rsidRPr="007C2600">
              <w:t>12 months to 30 June</w:t>
            </w:r>
          </w:p>
        </w:tc>
      </w:tr>
      <w:tr w:rsidR="00A436D7" w14:paraId="2FACB2D7" w14:textId="77777777" w:rsidTr="002B0938">
        <w:tc>
          <w:tcPr>
            <w:tcW w:w="3261" w:type="dxa"/>
            <w:shd w:val="clear" w:color="auto" w:fill="D9D9D9" w:themeFill="background1" w:themeFillShade="D9"/>
          </w:tcPr>
          <w:p w14:paraId="544D74F1" w14:textId="77777777" w:rsidR="00A436D7" w:rsidRPr="00A87467" w:rsidRDefault="00A436D7" w:rsidP="00A436D7">
            <w:pPr>
              <w:pStyle w:val="TableText"/>
              <w:rPr>
                <w:b/>
                <w:bCs/>
              </w:rPr>
            </w:pPr>
            <w:r w:rsidRPr="00A87467">
              <w:rPr>
                <w:b/>
                <w:bCs/>
              </w:rPr>
              <w:t>Frequency that data is available</w:t>
            </w:r>
          </w:p>
        </w:tc>
        <w:tc>
          <w:tcPr>
            <w:tcW w:w="5386" w:type="dxa"/>
          </w:tcPr>
          <w:p w14:paraId="3A8C33D1" w14:textId="77777777" w:rsidR="00A436D7" w:rsidRDefault="00A436D7" w:rsidP="00A436D7">
            <w:pPr>
              <w:pStyle w:val="TableText"/>
            </w:pPr>
            <w:r w:rsidRPr="007C2600">
              <w:t>Annual (data available around July)</w:t>
            </w:r>
          </w:p>
        </w:tc>
      </w:tr>
      <w:tr w:rsidR="00A436D7" w14:paraId="3B0E29A2" w14:textId="77777777" w:rsidTr="002B0938">
        <w:tc>
          <w:tcPr>
            <w:tcW w:w="3261" w:type="dxa"/>
            <w:shd w:val="clear" w:color="auto" w:fill="D9D9D9" w:themeFill="background1" w:themeFillShade="D9"/>
          </w:tcPr>
          <w:p w14:paraId="0F55BAC0"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66EA06A7" w14:textId="7D4F6B84" w:rsidR="00A436D7" w:rsidRDefault="00A436D7" w:rsidP="00A436D7">
            <w:pPr>
              <w:pStyle w:val="TableText"/>
            </w:pPr>
            <w:r w:rsidRPr="00957642">
              <w:t>Ethnicity</w:t>
            </w:r>
            <w:r w:rsidR="00B115F3">
              <w:t xml:space="preserve">, geographical </w:t>
            </w:r>
          </w:p>
        </w:tc>
      </w:tr>
      <w:tr w:rsidR="00A436D7" w14:paraId="2FD87D8B" w14:textId="77777777" w:rsidTr="002B0938">
        <w:tc>
          <w:tcPr>
            <w:tcW w:w="3261" w:type="dxa"/>
            <w:shd w:val="clear" w:color="auto" w:fill="D9D9D9" w:themeFill="background1" w:themeFillShade="D9"/>
          </w:tcPr>
          <w:p w14:paraId="295FF416"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6123A75D" w14:textId="77777777" w:rsidR="00A436D7" w:rsidRDefault="00A436D7" w:rsidP="00A436D7">
            <w:pPr>
              <w:pStyle w:val="TableText"/>
            </w:pPr>
            <w:r w:rsidRPr="008A6DFC">
              <w:t>Part of previous DHB non-financial monitoring framework and performance measures – CW05</w:t>
            </w:r>
          </w:p>
        </w:tc>
      </w:tr>
    </w:tbl>
    <w:p w14:paraId="1F550069" w14:textId="5B0E8BE3" w:rsidR="00A436D7" w:rsidRDefault="00A436D7" w:rsidP="00A436D7"/>
    <w:p w14:paraId="58196133" w14:textId="480E85BF" w:rsidR="002B0938" w:rsidRDefault="002B0938" w:rsidP="00A436D7"/>
    <w:p w14:paraId="702DC162" w14:textId="2660B401" w:rsidR="00D53CAE" w:rsidRDefault="00D53CAE" w:rsidP="00A436D7"/>
    <w:p w14:paraId="66E65750" w14:textId="77777777" w:rsidR="00D53CAE" w:rsidRDefault="00D53CAE" w:rsidP="00A436D7"/>
    <w:p w14:paraId="1AFD777E" w14:textId="77777777" w:rsidR="00A436D7" w:rsidRDefault="00A436D7" w:rsidP="00A436D7">
      <w:pPr>
        <w:rPr>
          <w:b/>
          <w:bCs/>
        </w:rPr>
      </w:pPr>
      <w:r w:rsidRPr="00D64ACA">
        <w:rPr>
          <w:b/>
          <w:bCs/>
        </w:rPr>
        <w:lastRenderedPageBreak/>
        <w:t>Influenza for 65+ years</w:t>
      </w:r>
    </w:p>
    <w:p w14:paraId="08DDCADC" w14:textId="77777777" w:rsidR="00A436D7" w:rsidRPr="00D64ACA" w:rsidRDefault="00A436D7" w:rsidP="00A436D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244"/>
      </w:tblGrid>
      <w:tr w:rsidR="00A436D7" w14:paraId="047DBE41" w14:textId="77777777" w:rsidTr="002B0938">
        <w:tc>
          <w:tcPr>
            <w:tcW w:w="3261" w:type="dxa"/>
            <w:shd w:val="clear" w:color="auto" w:fill="D9D9D9" w:themeFill="background1" w:themeFillShade="D9"/>
          </w:tcPr>
          <w:p w14:paraId="3FBC023C" w14:textId="77777777" w:rsidR="00A436D7" w:rsidRPr="00A87467" w:rsidRDefault="00A436D7" w:rsidP="00A436D7">
            <w:pPr>
              <w:pStyle w:val="TableText"/>
              <w:rPr>
                <w:b/>
                <w:bCs/>
              </w:rPr>
            </w:pPr>
            <w:r w:rsidRPr="00A87467">
              <w:rPr>
                <w:b/>
                <w:bCs/>
              </w:rPr>
              <w:t>Expectation for July 2022 – June 2024</w:t>
            </w:r>
          </w:p>
        </w:tc>
        <w:tc>
          <w:tcPr>
            <w:tcW w:w="5244" w:type="dxa"/>
          </w:tcPr>
          <w:p w14:paraId="2AAE86FF" w14:textId="77777777" w:rsidR="00A436D7" w:rsidRDefault="00A436D7" w:rsidP="00A436D7">
            <w:pPr>
              <w:pStyle w:val="TableText"/>
            </w:pPr>
            <w:r w:rsidRPr="0027114E">
              <w:t>75% of eligible population aged 65 years and over immunised against influenza (annual immunisation) for Māori, Pacific and Total populations</w:t>
            </w:r>
          </w:p>
        </w:tc>
      </w:tr>
      <w:tr w:rsidR="00A436D7" w14:paraId="75601B3A" w14:textId="77777777" w:rsidTr="002B0938">
        <w:tc>
          <w:tcPr>
            <w:tcW w:w="3261" w:type="dxa"/>
            <w:shd w:val="clear" w:color="auto" w:fill="D9D9D9" w:themeFill="background1" w:themeFillShade="D9"/>
          </w:tcPr>
          <w:p w14:paraId="66F88061" w14:textId="77777777" w:rsidR="00A436D7" w:rsidRPr="00A87467" w:rsidRDefault="00A436D7" w:rsidP="00A436D7">
            <w:pPr>
              <w:pStyle w:val="TableText"/>
              <w:rPr>
                <w:b/>
                <w:bCs/>
              </w:rPr>
            </w:pPr>
            <w:r w:rsidRPr="00A87467">
              <w:rPr>
                <w:b/>
                <w:bCs/>
              </w:rPr>
              <w:t>Data source</w:t>
            </w:r>
          </w:p>
        </w:tc>
        <w:tc>
          <w:tcPr>
            <w:tcW w:w="5244" w:type="dxa"/>
          </w:tcPr>
          <w:p w14:paraId="6661EEFD" w14:textId="77777777" w:rsidR="00A436D7" w:rsidRPr="007C2600" w:rsidRDefault="00A436D7" w:rsidP="00A436D7">
            <w:pPr>
              <w:pStyle w:val="TableText"/>
            </w:pPr>
            <w:r w:rsidRPr="007C2600">
              <w:t>National Collections – National Immunisation Register, COVID Immunisation Register, Aotearoa Immunisation Register</w:t>
            </w:r>
          </w:p>
          <w:p w14:paraId="561A5360" w14:textId="77777777" w:rsidR="00A436D7" w:rsidRPr="007C2600" w:rsidRDefault="00A436D7" w:rsidP="00A436D7">
            <w:pPr>
              <w:pStyle w:val="TableText"/>
            </w:pPr>
            <w:r w:rsidRPr="007C2600">
              <w:t>Health System User population</w:t>
            </w:r>
          </w:p>
          <w:p w14:paraId="4AFD6031" w14:textId="77777777" w:rsidR="00A436D7" w:rsidRPr="007C2600" w:rsidRDefault="00000000" w:rsidP="00A436D7">
            <w:pPr>
              <w:pStyle w:val="TableText"/>
              <w:rPr>
                <w:szCs w:val="18"/>
              </w:rPr>
            </w:pPr>
            <w:hyperlink r:id="rId48" w:history="1">
              <w:r w:rsidR="00A436D7" w:rsidRPr="007C2600">
                <w:rPr>
                  <w:rStyle w:val="Hyperlink"/>
                  <w:szCs w:val="18"/>
                </w:rPr>
                <w:t>https://www.tewhatuora.govt.nz/our-health-system/data-and-statistics/national-influenza-vaccine-data/</w:t>
              </w:r>
            </w:hyperlink>
          </w:p>
        </w:tc>
      </w:tr>
      <w:tr w:rsidR="00A436D7" w14:paraId="2E544BAE" w14:textId="77777777" w:rsidTr="002B0938">
        <w:tc>
          <w:tcPr>
            <w:tcW w:w="3261" w:type="dxa"/>
            <w:shd w:val="clear" w:color="auto" w:fill="D9D9D9" w:themeFill="background1" w:themeFillShade="D9"/>
          </w:tcPr>
          <w:p w14:paraId="030181B3" w14:textId="77777777" w:rsidR="00A436D7" w:rsidRPr="00A87467" w:rsidRDefault="00A436D7" w:rsidP="00A436D7">
            <w:pPr>
              <w:pStyle w:val="TableText"/>
              <w:rPr>
                <w:b/>
                <w:bCs/>
              </w:rPr>
            </w:pPr>
            <w:r w:rsidRPr="00A87467">
              <w:rPr>
                <w:b/>
                <w:bCs/>
              </w:rPr>
              <w:t>If quantitative, measurement definitions</w:t>
            </w:r>
          </w:p>
        </w:tc>
        <w:tc>
          <w:tcPr>
            <w:tcW w:w="5244" w:type="dxa"/>
          </w:tcPr>
          <w:p w14:paraId="6BD96CCB" w14:textId="77777777" w:rsidR="00A436D7" w:rsidRPr="007C2600" w:rsidRDefault="00A436D7" w:rsidP="00A436D7">
            <w:pPr>
              <w:pStyle w:val="TableText"/>
            </w:pPr>
            <w:r w:rsidRPr="007C2600">
              <w:t>Numerator: Number of eligible people aged 65 years and over enrolled on the NIR who have completed at least one influenza vaccination for the given vaccination year</w:t>
            </w:r>
          </w:p>
          <w:p w14:paraId="0F2F8D81" w14:textId="77777777" w:rsidR="00A436D7" w:rsidRDefault="00A436D7" w:rsidP="00A436D7">
            <w:pPr>
              <w:pStyle w:val="TableText"/>
            </w:pPr>
            <w:r w:rsidRPr="007C2600">
              <w:t>Denominator: Statistics New Zealand population projections derived from the estimated resident population, by prioritised ethnicity, sex and geographic area, for those aged 65 years and over</w:t>
            </w:r>
          </w:p>
        </w:tc>
      </w:tr>
      <w:tr w:rsidR="00A436D7" w14:paraId="46B6B65B" w14:textId="77777777" w:rsidTr="002B0938">
        <w:tc>
          <w:tcPr>
            <w:tcW w:w="3261" w:type="dxa"/>
            <w:shd w:val="clear" w:color="auto" w:fill="D9D9D9" w:themeFill="background1" w:themeFillShade="D9"/>
          </w:tcPr>
          <w:p w14:paraId="72E8266D" w14:textId="77777777" w:rsidR="00A436D7" w:rsidRPr="00A87467" w:rsidRDefault="00A436D7" w:rsidP="00A436D7">
            <w:pPr>
              <w:pStyle w:val="TableText"/>
              <w:rPr>
                <w:b/>
                <w:bCs/>
              </w:rPr>
            </w:pPr>
            <w:r w:rsidRPr="00A87467">
              <w:rPr>
                <w:b/>
                <w:bCs/>
              </w:rPr>
              <w:t>Data period</w:t>
            </w:r>
          </w:p>
        </w:tc>
        <w:tc>
          <w:tcPr>
            <w:tcW w:w="5244" w:type="dxa"/>
          </w:tcPr>
          <w:p w14:paraId="4F172A18" w14:textId="77777777" w:rsidR="00A436D7" w:rsidRDefault="00A436D7" w:rsidP="00A436D7">
            <w:pPr>
              <w:pStyle w:val="TableText"/>
            </w:pPr>
            <w:r w:rsidRPr="007949A5">
              <w:t xml:space="preserve">1 March – 30 September to capture the time from when the seasonal influenza vaccine for that year becomes available until the anticipated end of the influenza season </w:t>
            </w:r>
          </w:p>
        </w:tc>
      </w:tr>
      <w:tr w:rsidR="00A436D7" w14:paraId="49D2FF42" w14:textId="77777777" w:rsidTr="002B0938">
        <w:tc>
          <w:tcPr>
            <w:tcW w:w="3261" w:type="dxa"/>
            <w:shd w:val="clear" w:color="auto" w:fill="D9D9D9" w:themeFill="background1" w:themeFillShade="D9"/>
          </w:tcPr>
          <w:p w14:paraId="6A7EA084" w14:textId="77777777" w:rsidR="00A436D7" w:rsidRPr="00A87467" w:rsidRDefault="00A436D7" w:rsidP="00A436D7">
            <w:pPr>
              <w:pStyle w:val="TableText"/>
              <w:rPr>
                <w:b/>
                <w:bCs/>
              </w:rPr>
            </w:pPr>
            <w:r w:rsidRPr="00A87467">
              <w:rPr>
                <w:b/>
                <w:bCs/>
              </w:rPr>
              <w:t>Frequency that data is available</w:t>
            </w:r>
          </w:p>
        </w:tc>
        <w:tc>
          <w:tcPr>
            <w:tcW w:w="5244" w:type="dxa"/>
          </w:tcPr>
          <w:p w14:paraId="16E0D188" w14:textId="77777777" w:rsidR="00A436D7" w:rsidRDefault="00A436D7" w:rsidP="00A436D7">
            <w:pPr>
              <w:pStyle w:val="TableText"/>
            </w:pPr>
            <w:r w:rsidRPr="007949A5">
              <w:t>Annual (data available around October)</w:t>
            </w:r>
          </w:p>
        </w:tc>
      </w:tr>
      <w:tr w:rsidR="00A436D7" w14:paraId="529BDDEB" w14:textId="77777777" w:rsidTr="002B0938">
        <w:tc>
          <w:tcPr>
            <w:tcW w:w="3261" w:type="dxa"/>
            <w:shd w:val="clear" w:color="auto" w:fill="D9D9D9" w:themeFill="background1" w:themeFillShade="D9"/>
          </w:tcPr>
          <w:p w14:paraId="3E97714D" w14:textId="77777777" w:rsidR="00A436D7" w:rsidRPr="00A87467" w:rsidRDefault="00A436D7" w:rsidP="00A436D7">
            <w:pPr>
              <w:pStyle w:val="TableText"/>
              <w:rPr>
                <w:b/>
                <w:bCs/>
              </w:rPr>
            </w:pPr>
            <w:r w:rsidRPr="00A87467">
              <w:rPr>
                <w:b/>
                <w:bCs/>
              </w:rPr>
              <w:t>Level of disaggregation of data available</w:t>
            </w:r>
          </w:p>
        </w:tc>
        <w:tc>
          <w:tcPr>
            <w:tcW w:w="5244" w:type="dxa"/>
          </w:tcPr>
          <w:p w14:paraId="52E26725" w14:textId="77777777" w:rsidR="00A436D7" w:rsidRDefault="00A436D7" w:rsidP="00A436D7">
            <w:pPr>
              <w:pStyle w:val="TableText"/>
            </w:pPr>
            <w:r w:rsidRPr="007949A5">
              <w:t xml:space="preserve">Ethnicity, geographic area </w:t>
            </w:r>
          </w:p>
        </w:tc>
      </w:tr>
      <w:tr w:rsidR="00A436D7" w14:paraId="118991EA" w14:textId="77777777" w:rsidTr="002B0938">
        <w:tc>
          <w:tcPr>
            <w:tcW w:w="3261" w:type="dxa"/>
            <w:shd w:val="clear" w:color="auto" w:fill="D9D9D9" w:themeFill="background1" w:themeFillShade="D9"/>
          </w:tcPr>
          <w:p w14:paraId="409D544B" w14:textId="77777777" w:rsidR="00A436D7" w:rsidRPr="00A87467" w:rsidRDefault="00A436D7" w:rsidP="00A436D7">
            <w:pPr>
              <w:pStyle w:val="TableText"/>
              <w:rPr>
                <w:b/>
                <w:bCs/>
              </w:rPr>
            </w:pPr>
            <w:r w:rsidRPr="00A87467">
              <w:rPr>
                <w:b/>
                <w:bCs/>
              </w:rPr>
              <w:t>Related or prior performance measure code</w:t>
            </w:r>
          </w:p>
        </w:tc>
        <w:tc>
          <w:tcPr>
            <w:tcW w:w="5244" w:type="dxa"/>
          </w:tcPr>
          <w:p w14:paraId="6EB78581" w14:textId="77777777" w:rsidR="00A436D7" w:rsidRDefault="00A436D7" w:rsidP="00A436D7">
            <w:pPr>
              <w:pStyle w:val="TableText"/>
            </w:pPr>
            <w:r w:rsidRPr="007949A5">
              <w:t>Part of previous DHB non-financial monitoring framework and performance measures – CW05</w:t>
            </w:r>
          </w:p>
        </w:tc>
      </w:tr>
    </w:tbl>
    <w:p w14:paraId="48FA4F2B" w14:textId="77777777" w:rsidR="00A436D7" w:rsidRDefault="00A436D7" w:rsidP="00A436D7"/>
    <w:p w14:paraId="45BC0BB9" w14:textId="77777777" w:rsidR="00A436D7" w:rsidRDefault="00A436D7" w:rsidP="00A436D7">
      <w:pPr>
        <w:rPr>
          <w:b/>
          <w:bCs/>
        </w:rPr>
      </w:pPr>
      <w:r w:rsidRPr="00D64ACA">
        <w:rPr>
          <w:b/>
          <w:bCs/>
        </w:rPr>
        <w:t>COVID-19 vaccination</w:t>
      </w:r>
    </w:p>
    <w:p w14:paraId="5A1A8FA6" w14:textId="77777777" w:rsidR="00A436D7" w:rsidRDefault="00A436D7" w:rsidP="00A436D7">
      <w:pPr>
        <w:rPr>
          <w:b/>
          <w:bCs/>
        </w:rPr>
      </w:pPr>
    </w:p>
    <w:p w14:paraId="4805AC2B" w14:textId="77777777" w:rsidR="00A436D7" w:rsidRPr="007C2600" w:rsidRDefault="00A436D7" w:rsidP="00A436D7">
      <w:r w:rsidRPr="007C2600">
        <w:t>The COVID-19 Protection Framework and COVID-19 public health requirements have been removed, therefore this measure is removed.</w:t>
      </w:r>
    </w:p>
    <w:p w14:paraId="1CAAD7CC" w14:textId="77777777" w:rsidR="00A436D7" w:rsidRPr="00D64ACA" w:rsidRDefault="00A436D7" w:rsidP="00A436D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A436D7" w14:paraId="0E959D1C" w14:textId="77777777" w:rsidTr="00A436D7">
        <w:tc>
          <w:tcPr>
            <w:tcW w:w="3261" w:type="dxa"/>
            <w:shd w:val="clear" w:color="auto" w:fill="D9D9D9" w:themeFill="background1" w:themeFillShade="D9"/>
          </w:tcPr>
          <w:p w14:paraId="61256F58" w14:textId="77777777" w:rsidR="00A436D7" w:rsidRPr="00A87467" w:rsidRDefault="00A436D7" w:rsidP="00A436D7">
            <w:pPr>
              <w:pStyle w:val="TableText"/>
              <w:rPr>
                <w:b/>
                <w:bCs/>
              </w:rPr>
            </w:pPr>
            <w:r w:rsidRPr="00A87467">
              <w:rPr>
                <w:b/>
                <w:bCs/>
              </w:rPr>
              <w:t>Expectation for July 2022 – June 2024</w:t>
            </w:r>
          </w:p>
        </w:tc>
        <w:tc>
          <w:tcPr>
            <w:tcW w:w="4817" w:type="dxa"/>
          </w:tcPr>
          <w:p w14:paraId="742D72AF" w14:textId="77777777" w:rsidR="00A436D7" w:rsidRDefault="00A436D7" w:rsidP="00A436D7">
            <w:pPr>
              <w:pStyle w:val="TableText"/>
            </w:pPr>
          </w:p>
        </w:tc>
      </w:tr>
      <w:tr w:rsidR="00A436D7" w14:paraId="0F16D83A" w14:textId="77777777" w:rsidTr="00A436D7">
        <w:tc>
          <w:tcPr>
            <w:tcW w:w="3261" w:type="dxa"/>
            <w:shd w:val="clear" w:color="auto" w:fill="D9D9D9" w:themeFill="background1" w:themeFillShade="D9"/>
          </w:tcPr>
          <w:p w14:paraId="1CB906A1" w14:textId="77777777" w:rsidR="00A436D7" w:rsidRPr="00A87467" w:rsidRDefault="00A436D7" w:rsidP="00A436D7">
            <w:pPr>
              <w:pStyle w:val="TableText"/>
              <w:rPr>
                <w:b/>
                <w:bCs/>
              </w:rPr>
            </w:pPr>
            <w:r w:rsidRPr="00A87467">
              <w:rPr>
                <w:b/>
                <w:bCs/>
              </w:rPr>
              <w:t>Data source</w:t>
            </w:r>
          </w:p>
        </w:tc>
        <w:tc>
          <w:tcPr>
            <w:tcW w:w="4817" w:type="dxa"/>
          </w:tcPr>
          <w:p w14:paraId="013FFE99" w14:textId="77777777" w:rsidR="00A436D7" w:rsidRDefault="00A436D7" w:rsidP="00A436D7">
            <w:pPr>
              <w:pStyle w:val="TableText"/>
            </w:pPr>
          </w:p>
        </w:tc>
      </w:tr>
      <w:tr w:rsidR="00A436D7" w14:paraId="2033AB02" w14:textId="77777777" w:rsidTr="00A436D7">
        <w:tc>
          <w:tcPr>
            <w:tcW w:w="3261" w:type="dxa"/>
            <w:shd w:val="clear" w:color="auto" w:fill="D9D9D9" w:themeFill="background1" w:themeFillShade="D9"/>
          </w:tcPr>
          <w:p w14:paraId="7A71D5BA" w14:textId="77777777" w:rsidR="00A436D7" w:rsidRPr="00A87467" w:rsidRDefault="00A436D7" w:rsidP="00A436D7">
            <w:pPr>
              <w:pStyle w:val="TableText"/>
              <w:rPr>
                <w:b/>
                <w:bCs/>
              </w:rPr>
            </w:pPr>
            <w:r w:rsidRPr="00A87467">
              <w:rPr>
                <w:b/>
                <w:bCs/>
              </w:rPr>
              <w:t>If quantitative, measurement definitions</w:t>
            </w:r>
          </w:p>
        </w:tc>
        <w:tc>
          <w:tcPr>
            <w:tcW w:w="4817" w:type="dxa"/>
          </w:tcPr>
          <w:p w14:paraId="7C212FCC" w14:textId="77777777" w:rsidR="00A436D7" w:rsidRDefault="00A436D7" w:rsidP="00A436D7">
            <w:pPr>
              <w:pStyle w:val="TableText"/>
            </w:pPr>
          </w:p>
        </w:tc>
      </w:tr>
      <w:tr w:rsidR="00A436D7" w14:paraId="3A342F9D" w14:textId="77777777" w:rsidTr="00A436D7">
        <w:tc>
          <w:tcPr>
            <w:tcW w:w="3261" w:type="dxa"/>
            <w:shd w:val="clear" w:color="auto" w:fill="D9D9D9" w:themeFill="background1" w:themeFillShade="D9"/>
          </w:tcPr>
          <w:p w14:paraId="793435FA" w14:textId="77777777" w:rsidR="00A436D7" w:rsidRPr="00A87467" w:rsidRDefault="00A436D7" w:rsidP="00A436D7">
            <w:pPr>
              <w:pStyle w:val="TableText"/>
              <w:rPr>
                <w:b/>
                <w:bCs/>
              </w:rPr>
            </w:pPr>
            <w:r w:rsidRPr="00A87467">
              <w:rPr>
                <w:b/>
                <w:bCs/>
              </w:rPr>
              <w:t>Data period</w:t>
            </w:r>
          </w:p>
        </w:tc>
        <w:tc>
          <w:tcPr>
            <w:tcW w:w="4817" w:type="dxa"/>
          </w:tcPr>
          <w:p w14:paraId="6307B83F" w14:textId="77777777" w:rsidR="00A436D7" w:rsidRDefault="00A436D7" w:rsidP="00A436D7">
            <w:pPr>
              <w:pStyle w:val="TableText"/>
            </w:pPr>
          </w:p>
        </w:tc>
      </w:tr>
      <w:tr w:rsidR="00A436D7" w14:paraId="42E71C2F" w14:textId="77777777" w:rsidTr="00A436D7">
        <w:tc>
          <w:tcPr>
            <w:tcW w:w="3261" w:type="dxa"/>
            <w:shd w:val="clear" w:color="auto" w:fill="D9D9D9" w:themeFill="background1" w:themeFillShade="D9"/>
          </w:tcPr>
          <w:p w14:paraId="7F1374FF" w14:textId="77777777" w:rsidR="00A436D7" w:rsidRPr="00A87467" w:rsidRDefault="00A436D7" w:rsidP="00A436D7">
            <w:pPr>
              <w:pStyle w:val="TableText"/>
              <w:rPr>
                <w:b/>
                <w:bCs/>
              </w:rPr>
            </w:pPr>
            <w:r w:rsidRPr="00A87467">
              <w:rPr>
                <w:b/>
                <w:bCs/>
              </w:rPr>
              <w:t>Frequency that data is available</w:t>
            </w:r>
          </w:p>
        </w:tc>
        <w:tc>
          <w:tcPr>
            <w:tcW w:w="4817" w:type="dxa"/>
          </w:tcPr>
          <w:p w14:paraId="287C481C" w14:textId="77777777" w:rsidR="00A436D7" w:rsidRDefault="00A436D7" w:rsidP="00A436D7">
            <w:pPr>
              <w:pStyle w:val="TableText"/>
            </w:pPr>
          </w:p>
        </w:tc>
      </w:tr>
      <w:tr w:rsidR="00A436D7" w14:paraId="2F00F72E" w14:textId="77777777" w:rsidTr="00A436D7">
        <w:tc>
          <w:tcPr>
            <w:tcW w:w="3261" w:type="dxa"/>
            <w:shd w:val="clear" w:color="auto" w:fill="D9D9D9" w:themeFill="background1" w:themeFillShade="D9"/>
          </w:tcPr>
          <w:p w14:paraId="373111E3" w14:textId="77777777" w:rsidR="00A436D7" w:rsidRPr="00A87467" w:rsidRDefault="00A436D7" w:rsidP="00A436D7">
            <w:pPr>
              <w:pStyle w:val="TableText"/>
              <w:rPr>
                <w:b/>
                <w:bCs/>
              </w:rPr>
            </w:pPr>
            <w:r w:rsidRPr="00A87467">
              <w:rPr>
                <w:b/>
                <w:bCs/>
              </w:rPr>
              <w:t>Level of disaggregation of data available</w:t>
            </w:r>
          </w:p>
        </w:tc>
        <w:tc>
          <w:tcPr>
            <w:tcW w:w="4817" w:type="dxa"/>
          </w:tcPr>
          <w:p w14:paraId="708810FF" w14:textId="77777777" w:rsidR="00A436D7" w:rsidRDefault="00A436D7" w:rsidP="00A436D7">
            <w:pPr>
              <w:pStyle w:val="TableText"/>
            </w:pPr>
          </w:p>
        </w:tc>
      </w:tr>
      <w:tr w:rsidR="00A436D7" w14:paraId="70FEAF33" w14:textId="77777777" w:rsidTr="00A436D7">
        <w:tc>
          <w:tcPr>
            <w:tcW w:w="3261" w:type="dxa"/>
            <w:shd w:val="clear" w:color="auto" w:fill="D9D9D9" w:themeFill="background1" w:themeFillShade="D9"/>
          </w:tcPr>
          <w:p w14:paraId="531772F5" w14:textId="77777777" w:rsidR="00A436D7" w:rsidRPr="00A87467" w:rsidRDefault="00A436D7" w:rsidP="00A436D7">
            <w:pPr>
              <w:pStyle w:val="TableText"/>
              <w:rPr>
                <w:b/>
                <w:bCs/>
              </w:rPr>
            </w:pPr>
            <w:r w:rsidRPr="00A87467">
              <w:rPr>
                <w:b/>
                <w:bCs/>
              </w:rPr>
              <w:t>Related or prior performance measure code</w:t>
            </w:r>
          </w:p>
        </w:tc>
        <w:tc>
          <w:tcPr>
            <w:tcW w:w="4817" w:type="dxa"/>
          </w:tcPr>
          <w:p w14:paraId="45A1F346" w14:textId="77777777" w:rsidR="00A436D7" w:rsidRDefault="00A436D7" w:rsidP="00A436D7">
            <w:pPr>
              <w:pStyle w:val="TableText"/>
            </w:pPr>
          </w:p>
        </w:tc>
      </w:tr>
    </w:tbl>
    <w:p w14:paraId="0F0A08DA" w14:textId="77777777" w:rsidR="00A436D7" w:rsidRPr="00A436D7" w:rsidRDefault="00A436D7" w:rsidP="0028570E">
      <w:pPr>
        <w:pStyle w:val="Heading3"/>
        <w:spacing w:before="0"/>
        <w:ind w:left="564" w:hanging="564"/>
        <w:rPr>
          <w:rStyle w:val="Heading3Char"/>
          <w:sz w:val="24"/>
          <w:szCs w:val="24"/>
        </w:rPr>
      </w:pPr>
      <w:r w:rsidRPr="00A436D7">
        <w:rPr>
          <w:rStyle w:val="Heading3Char"/>
          <w:sz w:val="24"/>
          <w:szCs w:val="24"/>
        </w:rPr>
        <w:lastRenderedPageBreak/>
        <w:t>3.4</w:t>
      </w:r>
      <w:r w:rsidRPr="00A436D7">
        <w:rPr>
          <w:rStyle w:val="Heading3Char"/>
          <w:sz w:val="24"/>
          <w:szCs w:val="24"/>
        </w:rPr>
        <w:tab/>
        <w:t>Rate of hospital admissions for an illness that might have been prevented or better managed in the community, reported by key age groups</w:t>
      </w:r>
    </w:p>
    <w:p w14:paraId="65C2A1A1" w14:textId="77777777" w:rsidR="00A436D7" w:rsidRDefault="00A436D7" w:rsidP="00A436D7">
      <w:r w:rsidRPr="0034251D">
        <w:t>Initially, this will reflect two existing measures that are part of the Health System Indicators framework – A</w:t>
      </w:r>
      <w:r>
        <w:t xml:space="preserve">mbulatory </w:t>
      </w:r>
      <w:r w:rsidRPr="0034251D">
        <w:t>S</w:t>
      </w:r>
      <w:r>
        <w:t xml:space="preserve">ensitive </w:t>
      </w:r>
      <w:r w:rsidRPr="0034251D">
        <w:t>H</w:t>
      </w:r>
      <w:r>
        <w:t>ospitalisation (ASH)</w:t>
      </w:r>
      <w:r w:rsidRPr="0034251D">
        <w:t xml:space="preserve"> rates for 0-4 year olds and for 45-64 year olds. The definitions below reflects the existing measure definitions.</w:t>
      </w:r>
    </w:p>
    <w:p w14:paraId="76BF8017" w14:textId="77777777" w:rsidR="00A436D7" w:rsidRDefault="00A436D7" w:rsidP="00A436D7"/>
    <w:p w14:paraId="2BA1F40F" w14:textId="77777777" w:rsidR="00A436D7" w:rsidRPr="00D64ACA" w:rsidRDefault="00A436D7" w:rsidP="00A436D7">
      <w:pPr>
        <w:rPr>
          <w:b/>
          <w:bCs/>
        </w:rPr>
      </w:pPr>
      <w:r w:rsidRPr="00D64ACA">
        <w:rPr>
          <w:b/>
          <w:bCs/>
        </w:rPr>
        <w:t>0- to 4-year-olds</w:t>
      </w:r>
    </w:p>
    <w:p w14:paraId="7F1CA71B" w14:textId="77777777" w:rsidR="00A436D7" w:rsidRDefault="00A436D7" w:rsidP="00A436D7"/>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7165C1C4" w14:textId="77777777" w:rsidTr="002B0938">
        <w:tc>
          <w:tcPr>
            <w:tcW w:w="3261" w:type="dxa"/>
            <w:shd w:val="clear" w:color="auto" w:fill="D9D9D9" w:themeFill="background1" w:themeFillShade="D9"/>
          </w:tcPr>
          <w:p w14:paraId="0943B7D7" w14:textId="77777777" w:rsidR="00A436D7" w:rsidRPr="00A87467" w:rsidRDefault="00A436D7" w:rsidP="00A436D7">
            <w:pPr>
              <w:pStyle w:val="TableText"/>
              <w:rPr>
                <w:b/>
                <w:bCs/>
              </w:rPr>
            </w:pPr>
            <w:r w:rsidRPr="00A87467">
              <w:rPr>
                <w:b/>
                <w:bCs/>
              </w:rPr>
              <w:t>Expectation for July 2022 – June 2024</w:t>
            </w:r>
          </w:p>
        </w:tc>
        <w:tc>
          <w:tcPr>
            <w:tcW w:w="5386" w:type="dxa"/>
          </w:tcPr>
          <w:p w14:paraId="05F05E7E" w14:textId="77777777" w:rsidR="00A436D7" w:rsidRDefault="00A436D7" w:rsidP="00A436D7">
            <w:pPr>
              <w:pStyle w:val="TableText"/>
            </w:pPr>
            <w:r w:rsidRPr="0023770C">
              <w:t>The rate (per 100,000) of hospital admissions for children under five years of age for an illness that might have been prevented or better managed in the community reduces (baseline of results 12 months to December 2019 used in Health System Indicators) and/or the equity gap between Māori and Pacific people</w:t>
            </w:r>
            <w:r>
              <w:t>s</w:t>
            </w:r>
            <w:r w:rsidRPr="0023770C">
              <w:t xml:space="preserve"> and non-Māori, non-Pacific peoples also reduces.</w:t>
            </w:r>
          </w:p>
        </w:tc>
      </w:tr>
      <w:tr w:rsidR="00A436D7" w14:paraId="319A5C65" w14:textId="77777777" w:rsidTr="002B0938">
        <w:tc>
          <w:tcPr>
            <w:tcW w:w="3261" w:type="dxa"/>
            <w:shd w:val="clear" w:color="auto" w:fill="D9D9D9" w:themeFill="background1" w:themeFillShade="D9"/>
          </w:tcPr>
          <w:p w14:paraId="67C76CAB" w14:textId="77777777" w:rsidR="00A436D7" w:rsidRPr="00A87467" w:rsidRDefault="00A436D7" w:rsidP="00A436D7">
            <w:pPr>
              <w:pStyle w:val="TableText"/>
              <w:rPr>
                <w:b/>
                <w:bCs/>
              </w:rPr>
            </w:pPr>
            <w:r w:rsidRPr="00A87467">
              <w:rPr>
                <w:b/>
                <w:bCs/>
              </w:rPr>
              <w:t>Data source</w:t>
            </w:r>
          </w:p>
        </w:tc>
        <w:tc>
          <w:tcPr>
            <w:tcW w:w="5386" w:type="dxa"/>
          </w:tcPr>
          <w:p w14:paraId="68A0CEAF" w14:textId="77777777" w:rsidR="00A436D7" w:rsidRPr="0023770C" w:rsidRDefault="00A436D7" w:rsidP="00A436D7">
            <w:pPr>
              <w:pStyle w:val="TableText"/>
            </w:pPr>
            <w:r w:rsidRPr="0023770C">
              <w:t xml:space="preserve">National Collections – NMDS </w:t>
            </w:r>
          </w:p>
          <w:p w14:paraId="7C26055C" w14:textId="77777777" w:rsidR="00A436D7" w:rsidRPr="0023770C" w:rsidRDefault="00A436D7" w:rsidP="00A436D7">
            <w:pPr>
              <w:pStyle w:val="TableText"/>
            </w:pPr>
            <w:r w:rsidRPr="0023770C">
              <w:t>Stats NZ population projections</w:t>
            </w:r>
          </w:p>
          <w:p w14:paraId="59A888F1" w14:textId="7C9A71DF" w:rsidR="00A436D7" w:rsidRDefault="00DD6B81" w:rsidP="00A436D7">
            <w:pPr>
              <w:pStyle w:val="TableText"/>
            </w:pPr>
            <w:hyperlink r:id="rId49" w:history="1">
              <w:r w:rsidR="00F05581" w:rsidRPr="00F74C4C">
                <w:rPr>
                  <w:rStyle w:val="Hyperlink"/>
                  <w:spacing w:val="-1"/>
                  <w:szCs w:val="22"/>
                </w:rPr>
                <w:t>https://www.health.govt.nz/statistics-research/system-monitoring/planning-and-performance-data/ambulatory-sensitive-hospital-admissions-ash</w:t>
              </w:r>
            </w:hyperlink>
          </w:p>
        </w:tc>
      </w:tr>
      <w:tr w:rsidR="00A436D7" w14:paraId="11514054" w14:textId="77777777" w:rsidTr="002B0938">
        <w:tc>
          <w:tcPr>
            <w:tcW w:w="3261" w:type="dxa"/>
            <w:shd w:val="clear" w:color="auto" w:fill="D9D9D9" w:themeFill="background1" w:themeFillShade="D9"/>
          </w:tcPr>
          <w:p w14:paraId="09D7562D" w14:textId="77777777" w:rsidR="00A436D7" w:rsidRPr="00A87467" w:rsidRDefault="00A436D7" w:rsidP="00A436D7">
            <w:pPr>
              <w:pStyle w:val="TableText"/>
              <w:rPr>
                <w:b/>
                <w:bCs/>
              </w:rPr>
            </w:pPr>
            <w:r w:rsidRPr="00A87467">
              <w:rPr>
                <w:b/>
                <w:bCs/>
              </w:rPr>
              <w:t>If quantitative, measurement definitions</w:t>
            </w:r>
          </w:p>
        </w:tc>
        <w:tc>
          <w:tcPr>
            <w:tcW w:w="5386" w:type="dxa"/>
          </w:tcPr>
          <w:p w14:paraId="2511BAC4" w14:textId="77777777" w:rsidR="00A436D7" w:rsidRDefault="00A436D7" w:rsidP="00A436D7">
            <w:pPr>
              <w:pStyle w:val="TableText"/>
            </w:pPr>
            <w:r>
              <w:t>Numerator: Number of inpatient ambulatory sensitive hospitalisation (ASH) events for 0–4-year-olds from the NMDS. NMDS is used to identify ASH events by applying a list of conditions that has been developed by a clinical panel.</w:t>
            </w:r>
          </w:p>
          <w:p w14:paraId="3436B072" w14:textId="77777777" w:rsidR="00A436D7" w:rsidRDefault="00A436D7" w:rsidP="00A436D7">
            <w:pPr>
              <w:pStyle w:val="TableText"/>
            </w:pPr>
            <w:r>
              <w:t>Denominator: Domiciled population for 0- to 4-year-olds based on Stats NZ projections (based on Health Sector Indicator technical document)</w:t>
            </w:r>
          </w:p>
          <w:p w14:paraId="311BC494" w14:textId="77777777" w:rsidR="00A436D7" w:rsidRDefault="00A436D7" w:rsidP="00A436D7">
            <w:pPr>
              <w:pStyle w:val="TableText"/>
            </w:pPr>
            <w:r w:rsidRPr="0023770C">
              <w:t>Only crude rate is calculated for this age group.</w:t>
            </w:r>
          </w:p>
        </w:tc>
      </w:tr>
      <w:tr w:rsidR="00A436D7" w14:paraId="57DD3A67" w14:textId="77777777" w:rsidTr="002B0938">
        <w:tc>
          <w:tcPr>
            <w:tcW w:w="3261" w:type="dxa"/>
            <w:shd w:val="clear" w:color="auto" w:fill="D9D9D9" w:themeFill="background1" w:themeFillShade="D9"/>
          </w:tcPr>
          <w:p w14:paraId="751D92D4" w14:textId="77777777" w:rsidR="00A436D7" w:rsidRPr="00A87467" w:rsidRDefault="00A436D7" w:rsidP="00A436D7">
            <w:pPr>
              <w:pStyle w:val="TableText"/>
              <w:rPr>
                <w:b/>
                <w:bCs/>
              </w:rPr>
            </w:pPr>
            <w:r w:rsidRPr="00A87467">
              <w:rPr>
                <w:b/>
                <w:bCs/>
              </w:rPr>
              <w:t>Data period</w:t>
            </w:r>
          </w:p>
        </w:tc>
        <w:tc>
          <w:tcPr>
            <w:tcW w:w="5386" w:type="dxa"/>
          </w:tcPr>
          <w:p w14:paraId="0A96D7B0" w14:textId="77777777" w:rsidR="00A436D7" w:rsidRDefault="00A436D7" w:rsidP="00A436D7">
            <w:pPr>
              <w:pStyle w:val="TableText"/>
            </w:pPr>
            <w:r w:rsidRPr="00EC2A2E">
              <w:t xml:space="preserve">12-month </w:t>
            </w:r>
            <w:r>
              <w:t xml:space="preserve">rolling, one </w:t>
            </w:r>
            <w:r w:rsidRPr="00EC2A2E">
              <w:t>quarter in arrears</w:t>
            </w:r>
          </w:p>
        </w:tc>
      </w:tr>
      <w:tr w:rsidR="00A436D7" w14:paraId="22D2141D" w14:textId="77777777" w:rsidTr="002B0938">
        <w:tc>
          <w:tcPr>
            <w:tcW w:w="3261" w:type="dxa"/>
            <w:shd w:val="clear" w:color="auto" w:fill="D9D9D9" w:themeFill="background1" w:themeFillShade="D9"/>
          </w:tcPr>
          <w:p w14:paraId="5D16557C" w14:textId="77777777" w:rsidR="00A436D7" w:rsidRPr="00A87467" w:rsidRDefault="00A436D7" w:rsidP="00A436D7">
            <w:pPr>
              <w:pStyle w:val="TableText"/>
              <w:rPr>
                <w:b/>
                <w:bCs/>
              </w:rPr>
            </w:pPr>
            <w:r w:rsidRPr="00A87467">
              <w:rPr>
                <w:b/>
                <w:bCs/>
              </w:rPr>
              <w:t>Frequency that data is available</w:t>
            </w:r>
          </w:p>
        </w:tc>
        <w:tc>
          <w:tcPr>
            <w:tcW w:w="5386" w:type="dxa"/>
          </w:tcPr>
          <w:p w14:paraId="3CDA6E9B" w14:textId="77777777" w:rsidR="00A436D7" w:rsidRDefault="00A436D7" w:rsidP="00A436D7">
            <w:pPr>
              <w:pStyle w:val="TableText"/>
            </w:pPr>
            <w:r w:rsidRPr="00EC2A2E">
              <w:t>Quarterly</w:t>
            </w:r>
          </w:p>
        </w:tc>
      </w:tr>
      <w:tr w:rsidR="00A436D7" w14:paraId="782CC975" w14:textId="77777777" w:rsidTr="002B0938">
        <w:tc>
          <w:tcPr>
            <w:tcW w:w="3261" w:type="dxa"/>
            <w:shd w:val="clear" w:color="auto" w:fill="D9D9D9" w:themeFill="background1" w:themeFillShade="D9"/>
          </w:tcPr>
          <w:p w14:paraId="705A7446"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592B962B" w14:textId="77777777" w:rsidR="00A436D7" w:rsidRDefault="00A436D7" w:rsidP="00A436D7">
            <w:pPr>
              <w:pStyle w:val="TableText"/>
            </w:pPr>
            <w:r w:rsidRPr="00EC2A2E">
              <w:t>Ethnicity, geographic area, by ASH condition</w:t>
            </w:r>
          </w:p>
        </w:tc>
      </w:tr>
      <w:tr w:rsidR="00A436D7" w14:paraId="184015D1" w14:textId="77777777" w:rsidTr="002B0938">
        <w:tc>
          <w:tcPr>
            <w:tcW w:w="3261" w:type="dxa"/>
            <w:shd w:val="clear" w:color="auto" w:fill="D9D9D9" w:themeFill="background1" w:themeFillShade="D9"/>
          </w:tcPr>
          <w:p w14:paraId="69398589"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5EC4D8AC" w14:textId="77777777" w:rsidR="00A436D7" w:rsidRDefault="00A436D7" w:rsidP="00A436D7">
            <w:pPr>
              <w:pStyle w:val="TableText"/>
            </w:pPr>
            <w:proofErr w:type="spellStart"/>
            <w:r>
              <w:t>Whakamaua</w:t>
            </w:r>
            <w:proofErr w:type="spellEnd"/>
            <w:r>
              <w:t xml:space="preserve"> measure 3.1</w:t>
            </w:r>
          </w:p>
          <w:p w14:paraId="40B91AA5" w14:textId="7017B43D" w:rsidR="00A436D7" w:rsidRPr="007E56E2" w:rsidRDefault="009861B6" w:rsidP="00A436D7">
            <w:pPr>
              <w:pStyle w:val="TableText"/>
              <w:rPr>
                <w:szCs w:val="18"/>
              </w:rPr>
            </w:pPr>
            <w:hyperlink r:id="rId50" w:history="1">
              <w:r>
                <w:rPr>
                  <w:b/>
                  <w:color w:val="595959"/>
                </w:rPr>
                <w:t>https://www.health.govt.nz/maori-health/whakamaua-maori-health-action-plan-2020-2025</w:t>
              </w:r>
            </w:hyperlink>
          </w:p>
        </w:tc>
      </w:tr>
    </w:tbl>
    <w:p w14:paraId="6D91BFA6" w14:textId="77777777" w:rsidR="00A436D7" w:rsidRDefault="00A436D7" w:rsidP="00A436D7"/>
    <w:p w14:paraId="0B724383" w14:textId="77777777" w:rsidR="00A436D7" w:rsidRPr="00D64ACA" w:rsidRDefault="00A436D7" w:rsidP="00A436D7">
      <w:pPr>
        <w:rPr>
          <w:b/>
          <w:bCs/>
        </w:rPr>
      </w:pPr>
      <w:r w:rsidRPr="00D64ACA">
        <w:rPr>
          <w:b/>
          <w:bCs/>
        </w:rPr>
        <w:t>45- to 64-year-olds</w:t>
      </w:r>
    </w:p>
    <w:p w14:paraId="3994A3F9" w14:textId="77777777" w:rsidR="00A436D7" w:rsidRDefault="00A436D7" w:rsidP="00A436D7"/>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56530A08" w14:textId="77777777" w:rsidTr="002B0938">
        <w:tc>
          <w:tcPr>
            <w:tcW w:w="3261" w:type="dxa"/>
            <w:shd w:val="clear" w:color="auto" w:fill="D9D9D9" w:themeFill="background1" w:themeFillShade="D9"/>
          </w:tcPr>
          <w:p w14:paraId="166367D1" w14:textId="77777777" w:rsidR="00A436D7" w:rsidRPr="00A87467" w:rsidRDefault="00A436D7" w:rsidP="00A436D7">
            <w:pPr>
              <w:pStyle w:val="TableText"/>
              <w:rPr>
                <w:b/>
                <w:bCs/>
              </w:rPr>
            </w:pPr>
            <w:r w:rsidRPr="00A87467">
              <w:rPr>
                <w:b/>
                <w:bCs/>
              </w:rPr>
              <w:t>Expectation for July 2022 – June 2024</w:t>
            </w:r>
          </w:p>
        </w:tc>
        <w:tc>
          <w:tcPr>
            <w:tcW w:w="5386" w:type="dxa"/>
          </w:tcPr>
          <w:p w14:paraId="7E928707" w14:textId="77777777" w:rsidR="00A436D7" w:rsidRDefault="00A436D7" w:rsidP="00A436D7">
            <w:pPr>
              <w:pStyle w:val="TableText"/>
            </w:pPr>
            <w:r w:rsidRPr="0023770C">
              <w:t>The rate (per 100,000) of hospital admissions for people aged 45–64 years for an illness that might have been prevented or better managed in the community reduces (baseline of results 12 months to December 2019 used in Health System Indicators) and/or the equity gap between Māori and Pacific people</w:t>
            </w:r>
            <w:r>
              <w:t>s</w:t>
            </w:r>
            <w:r w:rsidRPr="0023770C">
              <w:t xml:space="preserve"> and non-Māori, non-Pacific peoples also reduces</w:t>
            </w:r>
          </w:p>
        </w:tc>
      </w:tr>
      <w:tr w:rsidR="00A436D7" w14:paraId="2BA12DA2" w14:textId="77777777" w:rsidTr="002B0938">
        <w:tc>
          <w:tcPr>
            <w:tcW w:w="3261" w:type="dxa"/>
            <w:shd w:val="clear" w:color="auto" w:fill="D9D9D9" w:themeFill="background1" w:themeFillShade="D9"/>
          </w:tcPr>
          <w:p w14:paraId="4AB4C3BA" w14:textId="77777777" w:rsidR="00A436D7" w:rsidRPr="00A87467" w:rsidRDefault="00A436D7" w:rsidP="00A436D7">
            <w:pPr>
              <w:pStyle w:val="TableText"/>
              <w:rPr>
                <w:b/>
                <w:bCs/>
              </w:rPr>
            </w:pPr>
            <w:r w:rsidRPr="00A87467">
              <w:rPr>
                <w:b/>
                <w:bCs/>
              </w:rPr>
              <w:t>Data source</w:t>
            </w:r>
          </w:p>
        </w:tc>
        <w:tc>
          <w:tcPr>
            <w:tcW w:w="5386" w:type="dxa"/>
          </w:tcPr>
          <w:p w14:paraId="13C582DA" w14:textId="77777777" w:rsidR="00A436D7" w:rsidRPr="0023770C" w:rsidRDefault="00A436D7" w:rsidP="00A436D7">
            <w:pPr>
              <w:pStyle w:val="TableText"/>
            </w:pPr>
            <w:r w:rsidRPr="0023770C">
              <w:t>National Collections – NMDS</w:t>
            </w:r>
          </w:p>
          <w:p w14:paraId="1B39953A" w14:textId="77777777" w:rsidR="00A436D7" w:rsidRPr="0023770C" w:rsidRDefault="00A436D7" w:rsidP="00A436D7">
            <w:pPr>
              <w:pStyle w:val="TableText"/>
            </w:pPr>
            <w:r w:rsidRPr="0023770C">
              <w:t xml:space="preserve">Stats NZ population projections </w:t>
            </w:r>
          </w:p>
          <w:p w14:paraId="0B1E961C" w14:textId="456A68FF" w:rsidR="00A436D7" w:rsidRPr="0023770C" w:rsidRDefault="00A436D7" w:rsidP="00A436D7">
            <w:pPr>
              <w:pStyle w:val="TableText"/>
            </w:pPr>
            <w:r w:rsidRPr="0023770C">
              <w:t xml:space="preserve">World Health </w:t>
            </w:r>
            <w:r w:rsidRPr="0023770C">
              <w:t>Organi</w:t>
            </w:r>
            <w:r w:rsidR="00B90605">
              <w:t>z</w:t>
            </w:r>
            <w:r w:rsidRPr="0023770C">
              <w:t xml:space="preserve">ation </w:t>
            </w:r>
            <w:r w:rsidRPr="0023770C">
              <w:t>Standard population</w:t>
            </w:r>
          </w:p>
          <w:p w14:paraId="2F7160F4" w14:textId="257C0C13" w:rsidR="00A436D7" w:rsidRPr="007E56E2" w:rsidRDefault="001E18A6" w:rsidP="00A436D7">
            <w:pPr>
              <w:pStyle w:val="TableText"/>
            </w:pPr>
            <w:hyperlink r:id="rId51" w:history="1">
              <w:r w:rsidRPr="001E18A6">
                <w:rPr>
                  <w:rStyle w:val="Hyperlink"/>
                  <w:szCs w:val="18"/>
                </w:rPr>
                <w:t>https://www.health.govt.nz/statistics-research/system-monitoring/planning-and-performance-data/ambulatory-sensitive-hospital-admissions-ash</w:t>
              </w:r>
              <w:r w:rsidRPr="001E18A6">
                <w:rPr>
                  <w:rStyle w:val="Hyperlink"/>
                  <w:szCs w:val="18"/>
                  <w:highlight w:val="yellow"/>
                </w:rPr>
                <w:t xml:space="preserve"> </w:t>
              </w:r>
            </w:hyperlink>
          </w:p>
        </w:tc>
      </w:tr>
      <w:tr w:rsidR="00A436D7" w14:paraId="2D2F9DE6" w14:textId="77777777" w:rsidTr="002B0938">
        <w:tc>
          <w:tcPr>
            <w:tcW w:w="3261" w:type="dxa"/>
            <w:shd w:val="clear" w:color="auto" w:fill="D9D9D9" w:themeFill="background1" w:themeFillShade="D9"/>
          </w:tcPr>
          <w:p w14:paraId="61607425" w14:textId="77777777" w:rsidR="00A436D7" w:rsidRPr="00A87467" w:rsidRDefault="00A436D7" w:rsidP="00A436D7">
            <w:pPr>
              <w:pStyle w:val="TableText"/>
              <w:rPr>
                <w:b/>
                <w:bCs/>
              </w:rPr>
            </w:pPr>
            <w:r w:rsidRPr="00A87467">
              <w:rPr>
                <w:b/>
                <w:bCs/>
              </w:rPr>
              <w:t>If quantitative, measurement definitions</w:t>
            </w:r>
          </w:p>
        </w:tc>
        <w:tc>
          <w:tcPr>
            <w:tcW w:w="5386" w:type="dxa"/>
          </w:tcPr>
          <w:p w14:paraId="4C54968B" w14:textId="77777777" w:rsidR="00A436D7" w:rsidRPr="0023770C" w:rsidRDefault="00A436D7" w:rsidP="00A436D7">
            <w:pPr>
              <w:pStyle w:val="TableText"/>
            </w:pPr>
            <w:r w:rsidRPr="0023770C">
              <w:t>Numerator: Number of hospital inpatient ASH events for 45- to 64-year-olds from the NMDS. The NMDS is used to identify ASH events by applying a list of conditions developed by a clinical panel</w:t>
            </w:r>
          </w:p>
          <w:p w14:paraId="642029EF" w14:textId="77777777" w:rsidR="00A436D7" w:rsidRPr="0023770C" w:rsidRDefault="00A436D7" w:rsidP="00A436D7">
            <w:pPr>
              <w:pStyle w:val="TableText"/>
            </w:pPr>
            <w:r w:rsidRPr="0023770C">
              <w:t>Denominator: Domicile population for 45- to 64-year-olds based on Stats NZ population projections and age-standardised to the WHO Standard Population (based on Health System Indicators technical document)</w:t>
            </w:r>
          </w:p>
          <w:p w14:paraId="40F5B50D" w14:textId="17B569BA" w:rsidR="00A436D7" w:rsidRDefault="00A436D7" w:rsidP="00A436D7">
            <w:pPr>
              <w:pStyle w:val="TableText"/>
            </w:pPr>
            <w:r w:rsidRPr="0023770C">
              <w:t>The World Health Organi</w:t>
            </w:r>
            <w:r w:rsidR="0087510D">
              <w:t>z</w:t>
            </w:r>
            <w:r w:rsidRPr="0023770C">
              <w:t>ation (WHO) standard world population is used as the standard population to calculate direct age-standardised rates.</w:t>
            </w:r>
          </w:p>
        </w:tc>
      </w:tr>
      <w:tr w:rsidR="00A436D7" w14:paraId="1B5FCB9E" w14:textId="77777777" w:rsidTr="002B0938">
        <w:tc>
          <w:tcPr>
            <w:tcW w:w="3261" w:type="dxa"/>
            <w:shd w:val="clear" w:color="auto" w:fill="D9D9D9" w:themeFill="background1" w:themeFillShade="D9"/>
          </w:tcPr>
          <w:p w14:paraId="16C942CB" w14:textId="77777777" w:rsidR="00A436D7" w:rsidRPr="00A87467" w:rsidRDefault="00A436D7" w:rsidP="00A436D7">
            <w:pPr>
              <w:pStyle w:val="TableText"/>
              <w:rPr>
                <w:b/>
                <w:bCs/>
              </w:rPr>
            </w:pPr>
            <w:r w:rsidRPr="00A87467">
              <w:rPr>
                <w:b/>
                <w:bCs/>
              </w:rPr>
              <w:t>Data period</w:t>
            </w:r>
          </w:p>
        </w:tc>
        <w:tc>
          <w:tcPr>
            <w:tcW w:w="5386" w:type="dxa"/>
          </w:tcPr>
          <w:p w14:paraId="42142F1A" w14:textId="77777777" w:rsidR="00A436D7" w:rsidRDefault="00A436D7" w:rsidP="00A436D7">
            <w:pPr>
              <w:pStyle w:val="TableText"/>
            </w:pPr>
            <w:r w:rsidRPr="0023770C">
              <w:t>12-months rolling and one quarter in arrears</w:t>
            </w:r>
          </w:p>
        </w:tc>
      </w:tr>
      <w:tr w:rsidR="00A436D7" w14:paraId="53F87CFB" w14:textId="77777777" w:rsidTr="002B0938">
        <w:tc>
          <w:tcPr>
            <w:tcW w:w="3261" w:type="dxa"/>
            <w:shd w:val="clear" w:color="auto" w:fill="D9D9D9" w:themeFill="background1" w:themeFillShade="D9"/>
          </w:tcPr>
          <w:p w14:paraId="451337B4" w14:textId="77777777" w:rsidR="00A436D7" w:rsidRPr="00A87467" w:rsidRDefault="00A436D7" w:rsidP="00A436D7">
            <w:pPr>
              <w:pStyle w:val="TableText"/>
              <w:rPr>
                <w:b/>
                <w:bCs/>
              </w:rPr>
            </w:pPr>
            <w:r w:rsidRPr="00A87467">
              <w:rPr>
                <w:b/>
                <w:bCs/>
              </w:rPr>
              <w:t>Frequency that data is available</w:t>
            </w:r>
          </w:p>
        </w:tc>
        <w:tc>
          <w:tcPr>
            <w:tcW w:w="5386" w:type="dxa"/>
          </w:tcPr>
          <w:p w14:paraId="0D4CBCED" w14:textId="77777777" w:rsidR="00A436D7" w:rsidRDefault="00A436D7" w:rsidP="00A436D7">
            <w:pPr>
              <w:pStyle w:val="TableText"/>
            </w:pPr>
            <w:r w:rsidRPr="00542EB0">
              <w:t>Quarterly</w:t>
            </w:r>
          </w:p>
        </w:tc>
      </w:tr>
      <w:tr w:rsidR="00A436D7" w14:paraId="54C013B4" w14:textId="77777777" w:rsidTr="002B0938">
        <w:tc>
          <w:tcPr>
            <w:tcW w:w="3261" w:type="dxa"/>
            <w:shd w:val="clear" w:color="auto" w:fill="D9D9D9" w:themeFill="background1" w:themeFillShade="D9"/>
          </w:tcPr>
          <w:p w14:paraId="7EDF7B74" w14:textId="77777777" w:rsidR="00A436D7" w:rsidRPr="00A87467" w:rsidRDefault="00A436D7" w:rsidP="00A436D7">
            <w:pPr>
              <w:pStyle w:val="TableText"/>
              <w:rPr>
                <w:b/>
                <w:bCs/>
              </w:rPr>
            </w:pPr>
            <w:r w:rsidRPr="00A87467">
              <w:rPr>
                <w:b/>
                <w:bCs/>
              </w:rPr>
              <w:t>Level of disaggregation of data available</w:t>
            </w:r>
          </w:p>
        </w:tc>
        <w:tc>
          <w:tcPr>
            <w:tcW w:w="5386" w:type="dxa"/>
          </w:tcPr>
          <w:p w14:paraId="5E8FFBE9" w14:textId="77777777" w:rsidR="00A436D7" w:rsidRDefault="00A436D7" w:rsidP="00A436D7">
            <w:pPr>
              <w:pStyle w:val="TableText"/>
            </w:pPr>
            <w:r w:rsidRPr="00542EB0">
              <w:t>Ethnicity, geographic area, by ASH condition</w:t>
            </w:r>
          </w:p>
        </w:tc>
      </w:tr>
      <w:tr w:rsidR="00A436D7" w14:paraId="7D889435" w14:textId="77777777" w:rsidTr="002B0938">
        <w:tc>
          <w:tcPr>
            <w:tcW w:w="3261" w:type="dxa"/>
            <w:shd w:val="clear" w:color="auto" w:fill="D9D9D9" w:themeFill="background1" w:themeFillShade="D9"/>
          </w:tcPr>
          <w:p w14:paraId="67C0B61B" w14:textId="77777777" w:rsidR="00A436D7" w:rsidRPr="00A87467" w:rsidRDefault="00A436D7" w:rsidP="00A436D7">
            <w:pPr>
              <w:pStyle w:val="TableText"/>
              <w:rPr>
                <w:b/>
                <w:bCs/>
              </w:rPr>
            </w:pPr>
            <w:r w:rsidRPr="00A87467">
              <w:rPr>
                <w:b/>
                <w:bCs/>
              </w:rPr>
              <w:t>Related or prior performance measure code</w:t>
            </w:r>
          </w:p>
        </w:tc>
        <w:tc>
          <w:tcPr>
            <w:tcW w:w="5386" w:type="dxa"/>
          </w:tcPr>
          <w:p w14:paraId="67172237" w14:textId="77777777" w:rsidR="00A436D7" w:rsidRDefault="00A436D7" w:rsidP="00A436D7">
            <w:pPr>
              <w:pStyle w:val="TableText"/>
            </w:pPr>
            <w:r w:rsidRPr="00542EB0">
              <w:t>Current Health System Indicator. Part of previous DHB non-financial monitoring framework and measures – SS05</w:t>
            </w:r>
          </w:p>
        </w:tc>
      </w:tr>
    </w:tbl>
    <w:p w14:paraId="74B031B7"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3.5</w:t>
      </w:r>
      <w:r w:rsidRPr="00A436D7">
        <w:rPr>
          <w:rStyle w:val="Heading3Char"/>
          <w:sz w:val="24"/>
          <w:szCs w:val="24"/>
        </w:rPr>
        <w:tab/>
        <w:t>Complete roll-out of the Access and Choice programme for primary mental health and addiction support services so that access is available for 325,000 people per year by the end of June 2024</w:t>
      </w:r>
    </w:p>
    <w:p w14:paraId="37EC3C92" w14:textId="77777777" w:rsidR="00A436D7" w:rsidRDefault="00A436D7" w:rsidP="00A436D7">
      <w:r w:rsidRPr="0034251D">
        <w:t xml:space="preserve">These measures do not overtake the expectation for existing, similar measurements to continue outside of the </w:t>
      </w:r>
      <w:proofErr w:type="spellStart"/>
      <w:r w:rsidRPr="0034251D">
        <w:t>iGPS</w:t>
      </w:r>
      <w:proofErr w:type="spellEnd"/>
      <w:r w:rsidRPr="0034251D">
        <w:t xml:space="preserve"> framework.</w:t>
      </w:r>
    </w:p>
    <w:p w14:paraId="7CDC7438" w14:textId="77777777" w:rsidR="00A436D7" w:rsidRDefault="00A436D7" w:rsidP="00A436D7"/>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12178361" w14:textId="77777777" w:rsidTr="002B0938">
        <w:tc>
          <w:tcPr>
            <w:tcW w:w="3261" w:type="dxa"/>
            <w:shd w:val="clear" w:color="auto" w:fill="D9D9D9" w:themeFill="background1" w:themeFillShade="D9"/>
          </w:tcPr>
          <w:p w14:paraId="3063779D" w14:textId="77777777" w:rsidR="00A436D7" w:rsidRPr="00A87467" w:rsidRDefault="00A436D7" w:rsidP="00A436D7">
            <w:pPr>
              <w:pStyle w:val="TableText"/>
              <w:rPr>
                <w:b/>
                <w:bCs/>
              </w:rPr>
            </w:pPr>
            <w:r w:rsidRPr="00A87467">
              <w:rPr>
                <w:b/>
                <w:bCs/>
              </w:rPr>
              <w:t>Expectation for July 2022 – June 2024</w:t>
            </w:r>
          </w:p>
        </w:tc>
        <w:tc>
          <w:tcPr>
            <w:tcW w:w="5386" w:type="dxa"/>
          </w:tcPr>
          <w:p w14:paraId="72F091D5" w14:textId="77777777" w:rsidR="00A436D7" w:rsidRDefault="00A436D7" w:rsidP="00A436D7">
            <w:pPr>
              <w:pStyle w:val="TableText"/>
            </w:pPr>
            <w:r w:rsidRPr="0023770C">
              <w:t>Expectation of an estimated 325,000 annual access level based on fourth quarter access in 2023/24</w:t>
            </w:r>
          </w:p>
        </w:tc>
      </w:tr>
      <w:tr w:rsidR="00A436D7" w14:paraId="3949F521" w14:textId="77777777" w:rsidTr="002B0938">
        <w:tc>
          <w:tcPr>
            <w:tcW w:w="3261" w:type="dxa"/>
            <w:shd w:val="clear" w:color="auto" w:fill="D9D9D9" w:themeFill="background1" w:themeFillShade="D9"/>
          </w:tcPr>
          <w:p w14:paraId="2B17E267" w14:textId="77777777" w:rsidR="00A436D7" w:rsidRPr="00A87467" w:rsidRDefault="00A436D7" w:rsidP="00A436D7">
            <w:pPr>
              <w:pStyle w:val="TableText"/>
              <w:rPr>
                <w:b/>
                <w:bCs/>
              </w:rPr>
            </w:pPr>
            <w:r w:rsidRPr="00A87467">
              <w:rPr>
                <w:b/>
                <w:bCs/>
              </w:rPr>
              <w:t>Data source</w:t>
            </w:r>
          </w:p>
        </w:tc>
        <w:tc>
          <w:tcPr>
            <w:tcW w:w="5386" w:type="dxa"/>
          </w:tcPr>
          <w:p w14:paraId="4E554BCE" w14:textId="77777777" w:rsidR="00A436D7" w:rsidRPr="00F74F42" w:rsidRDefault="00A436D7" w:rsidP="00A436D7">
            <w:pPr>
              <w:pStyle w:val="TableText"/>
              <w:rPr>
                <w:b/>
                <w:bCs/>
              </w:rPr>
            </w:pPr>
            <w:r w:rsidRPr="0023770C">
              <w:t xml:space="preserve">Combination of (1) NHI-based </w:t>
            </w:r>
            <w:r w:rsidRPr="00F74F42">
              <w:t>Integrated Primary Mental Health and Addiction Services</w:t>
            </w:r>
            <w:r>
              <w:t xml:space="preserve"> (IPMHA)</w:t>
            </w:r>
            <w:r w:rsidRPr="0023770C">
              <w:t xml:space="preserve"> reporting and (2) summary level reporting by Kaupapa Māori, Pacific and Youth services in the Access and Choice primary mental health and addiction programme.</w:t>
            </w:r>
          </w:p>
        </w:tc>
      </w:tr>
      <w:tr w:rsidR="00A436D7" w14:paraId="5FC02916" w14:textId="77777777" w:rsidTr="002B0938">
        <w:tc>
          <w:tcPr>
            <w:tcW w:w="3261" w:type="dxa"/>
            <w:shd w:val="clear" w:color="auto" w:fill="D9D9D9" w:themeFill="background1" w:themeFillShade="D9"/>
          </w:tcPr>
          <w:p w14:paraId="654DBDEA" w14:textId="77777777" w:rsidR="00A436D7" w:rsidRPr="00A87467" w:rsidRDefault="00A436D7" w:rsidP="00A436D7">
            <w:pPr>
              <w:pStyle w:val="TableText"/>
              <w:rPr>
                <w:b/>
                <w:bCs/>
              </w:rPr>
            </w:pPr>
            <w:r w:rsidRPr="00A87467">
              <w:rPr>
                <w:b/>
                <w:bCs/>
              </w:rPr>
              <w:t>If quantitative, measurement definitions</w:t>
            </w:r>
          </w:p>
        </w:tc>
        <w:tc>
          <w:tcPr>
            <w:tcW w:w="5386" w:type="dxa"/>
          </w:tcPr>
          <w:p w14:paraId="727BAC6C" w14:textId="77777777" w:rsidR="00A436D7" w:rsidRPr="0023770C" w:rsidRDefault="00A436D7" w:rsidP="00A436D7">
            <w:pPr>
              <w:pStyle w:val="TableText"/>
            </w:pPr>
            <w:r>
              <w:t>(</w:t>
            </w:r>
            <w:r w:rsidRPr="0023770C">
              <w:t>1</w:t>
            </w:r>
            <w:r>
              <w:t>)</w:t>
            </w:r>
            <w:r w:rsidRPr="0023770C">
              <w:t xml:space="preserve"> Estimated annual access (number of people seen in the year if quarterly access continues at current rate): total number of individuals seen this quarter multiplied by four and by an adjustment factor</w:t>
            </w:r>
            <w:r w:rsidRPr="0023770C">
              <w:rPr>
                <w:vertAlign w:val="superscript"/>
              </w:rPr>
              <w:footnoteReference w:id="2"/>
            </w:r>
            <w:r w:rsidRPr="0023770C">
              <w:t xml:space="preserve"> to eliminate people seen across multiple quarters in the year, and</w:t>
            </w:r>
          </w:p>
          <w:p w14:paraId="0D929317" w14:textId="77777777" w:rsidR="00A436D7" w:rsidRPr="0023770C" w:rsidRDefault="00A436D7" w:rsidP="00A436D7">
            <w:pPr>
              <w:pStyle w:val="TableText"/>
            </w:pPr>
            <w:r w:rsidRPr="0023770C">
              <w:t>(2).</w:t>
            </w:r>
          </w:p>
          <w:p w14:paraId="4B21838A" w14:textId="77777777" w:rsidR="00A436D7" w:rsidRDefault="00A436D7" w:rsidP="00A436D7">
            <w:pPr>
              <w:pStyle w:val="TableText"/>
            </w:pPr>
            <w:r w:rsidRPr="0023770C">
              <w:lastRenderedPageBreak/>
              <w:t xml:space="preserve">Priority population access (proportion of new people seen in the quarter by Kaupapa Māori services, Pacific services and </w:t>
            </w:r>
            <w:r>
              <w:t>Y</w:t>
            </w:r>
            <w:r w:rsidRPr="0023770C">
              <w:t>outh services</w:t>
            </w:r>
            <w:r w:rsidRPr="0023770C">
              <w:rPr>
                <w:vertAlign w:val="superscript"/>
              </w:rPr>
              <w:footnoteReference w:id="3"/>
            </w:r>
            <w:r w:rsidRPr="0023770C">
              <w:t>)</w:t>
            </w:r>
          </w:p>
        </w:tc>
      </w:tr>
      <w:tr w:rsidR="00A436D7" w14:paraId="3D99A9D6" w14:textId="77777777" w:rsidTr="002B0938">
        <w:tc>
          <w:tcPr>
            <w:tcW w:w="3261" w:type="dxa"/>
            <w:shd w:val="clear" w:color="auto" w:fill="D9D9D9" w:themeFill="background1" w:themeFillShade="D9"/>
          </w:tcPr>
          <w:p w14:paraId="69F516AB" w14:textId="77777777" w:rsidR="00A436D7" w:rsidRPr="0034251D" w:rsidRDefault="00A436D7" w:rsidP="00A436D7">
            <w:pPr>
              <w:pStyle w:val="TableText"/>
              <w:rPr>
                <w:b/>
                <w:bCs/>
              </w:rPr>
            </w:pPr>
            <w:r w:rsidRPr="0034251D">
              <w:rPr>
                <w:b/>
                <w:bCs/>
              </w:rPr>
              <w:t>Frequency that data is available</w:t>
            </w:r>
          </w:p>
        </w:tc>
        <w:tc>
          <w:tcPr>
            <w:tcW w:w="5386" w:type="dxa"/>
          </w:tcPr>
          <w:p w14:paraId="7A738A9D" w14:textId="77777777" w:rsidR="00A436D7" w:rsidRDefault="00A436D7" w:rsidP="00A436D7">
            <w:pPr>
              <w:pStyle w:val="TableText"/>
            </w:pPr>
            <w:r w:rsidRPr="00AE7140">
              <w:t>Quarterly (</w:t>
            </w:r>
            <w:r>
              <w:t>5-6</w:t>
            </w:r>
            <w:r w:rsidRPr="00AE7140">
              <w:t xml:space="preserve"> weeks after the quarter ends)</w:t>
            </w:r>
          </w:p>
        </w:tc>
      </w:tr>
      <w:tr w:rsidR="00A436D7" w14:paraId="78551D4D" w14:textId="77777777" w:rsidTr="002B0938">
        <w:tc>
          <w:tcPr>
            <w:tcW w:w="3261" w:type="dxa"/>
            <w:shd w:val="clear" w:color="auto" w:fill="D9D9D9" w:themeFill="background1" w:themeFillShade="D9"/>
          </w:tcPr>
          <w:p w14:paraId="4B1559DF" w14:textId="77777777" w:rsidR="00A436D7" w:rsidRPr="0034251D" w:rsidRDefault="00A436D7" w:rsidP="00A436D7">
            <w:pPr>
              <w:pStyle w:val="TableText"/>
              <w:rPr>
                <w:b/>
                <w:bCs/>
              </w:rPr>
            </w:pPr>
            <w:r w:rsidRPr="0034251D">
              <w:rPr>
                <w:b/>
                <w:bCs/>
              </w:rPr>
              <w:t>Level of disaggregation of data available</w:t>
            </w:r>
          </w:p>
        </w:tc>
        <w:tc>
          <w:tcPr>
            <w:tcW w:w="5386" w:type="dxa"/>
          </w:tcPr>
          <w:p w14:paraId="0D25A5C5" w14:textId="77777777" w:rsidR="00A436D7" w:rsidRDefault="00A436D7" w:rsidP="00A436D7">
            <w:pPr>
              <w:pStyle w:val="TableText"/>
            </w:pPr>
            <w:r w:rsidRPr="0023770C">
              <w:t>Access and Choice priority populations: number and proportion of people seen during the quarter who are Māori, Pacific and youth (ages 12 to 24 years). New patients only.</w:t>
            </w:r>
          </w:p>
        </w:tc>
      </w:tr>
      <w:tr w:rsidR="00A436D7" w14:paraId="3313636C" w14:textId="77777777" w:rsidTr="002B0938">
        <w:tc>
          <w:tcPr>
            <w:tcW w:w="3261" w:type="dxa"/>
            <w:shd w:val="clear" w:color="auto" w:fill="D9D9D9" w:themeFill="background1" w:themeFillShade="D9"/>
          </w:tcPr>
          <w:p w14:paraId="74520FA7" w14:textId="77777777" w:rsidR="00A436D7" w:rsidRPr="0034251D" w:rsidRDefault="00A436D7" w:rsidP="00A436D7">
            <w:pPr>
              <w:pStyle w:val="TableText"/>
              <w:rPr>
                <w:b/>
                <w:bCs/>
              </w:rPr>
            </w:pPr>
            <w:r w:rsidRPr="0034251D">
              <w:rPr>
                <w:b/>
                <w:bCs/>
              </w:rPr>
              <w:t>Data period</w:t>
            </w:r>
          </w:p>
        </w:tc>
        <w:tc>
          <w:tcPr>
            <w:tcW w:w="5386" w:type="dxa"/>
          </w:tcPr>
          <w:p w14:paraId="0B2F5D1A" w14:textId="77777777" w:rsidR="00A436D7" w:rsidRDefault="00A436D7" w:rsidP="00A436D7">
            <w:pPr>
              <w:pStyle w:val="TableText"/>
            </w:pPr>
            <w:r w:rsidRPr="00AE7140">
              <w:t>Quarterly</w:t>
            </w:r>
          </w:p>
        </w:tc>
      </w:tr>
      <w:tr w:rsidR="00A436D7" w14:paraId="0188C945" w14:textId="77777777" w:rsidTr="002B0938">
        <w:tc>
          <w:tcPr>
            <w:tcW w:w="3261" w:type="dxa"/>
            <w:shd w:val="clear" w:color="auto" w:fill="D9D9D9" w:themeFill="background1" w:themeFillShade="D9"/>
          </w:tcPr>
          <w:p w14:paraId="09D9E9D3" w14:textId="77777777" w:rsidR="00A436D7" w:rsidRPr="0034251D" w:rsidRDefault="00A436D7" w:rsidP="00A436D7">
            <w:pPr>
              <w:pStyle w:val="TableText"/>
              <w:rPr>
                <w:b/>
                <w:bCs/>
              </w:rPr>
            </w:pPr>
            <w:r w:rsidRPr="0034251D">
              <w:rPr>
                <w:b/>
                <w:bCs/>
              </w:rPr>
              <w:t>Related or prior performance measure code</w:t>
            </w:r>
          </w:p>
        </w:tc>
        <w:tc>
          <w:tcPr>
            <w:tcW w:w="5386" w:type="dxa"/>
          </w:tcPr>
          <w:p w14:paraId="07EBF0FD" w14:textId="77777777" w:rsidR="00A436D7" w:rsidRDefault="00A436D7" w:rsidP="00A436D7">
            <w:pPr>
              <w:pStyle w:val="TableText"/>
            </w:pPr>
            <w:r w:rsidRPr="00AE7140">
              <w:t>Health System Indicator in development: Improving mental wellbeing – Access to primary mental health and addiction services over past twelve months</w:t>
            </w:r>
          </w:p>
        </w:tc>
      </w:tr>
    </w:tbl>
    <w:p w14:paraId="049C269F"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3.6</w:t>
      </w:r>
      <w:r w:rsidRPr="00A436D7">
        <w:rPr>
          <w:rStyle w:val="Heading3Char"/>
          <w:sz w:val="24"/>
          <w:szCs w:val="24"/>
        </w:rPr>
        <w:tab/>
        <w:t>Enrolment with a primary maternity care provider in the first trimester of pregnancy, reported by ethnicity and geographic area</w:t>
      </w:r>
    </w:p>
    <w:p w14:paraId="26B33850" w14:textId="77777777" w:rsidR="00A436D7" w:rsidRDefault="00A436D7" w:rsidP="00A436D7">
      <w:r w:rsidRPr="00D64ACA">
        <w:t xml:space="preserve">Initially this measure will reflect Indicator 1 ‘Registration with an LMC </w:t>
      </w:r>
      <w:r>
        <w:t>(</w:t>
      </w:r>
      <w:r w:rsidRPr="00D64ACA">
        <w:t>lead maternity carer</w:t>
      </w:r>
      <w:r>
        <w:t>)</w:t>
      </w:r>
      <w:r w:rsidRPr="00D64ACA">
        <w:t xml:space="preserve"> in the first trimester of pregnancy’ in the New Zealand Maternity Clinical Indicators. The definition below reflects the existing measure definition.</w:t>
      </w:r>
    </w:p>
    <w:p w14:paraId="4484211D" w14:textId="77777777" w:rsidR="00A436D7" w:rsidRDefault="00A436D7" w:rsidP="00A436D7"/>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A436D7" w14:paraId="0EF1F8CE" w14:textId="77777777" w:rsidTr="002B0938">
        <w:tc>
          <w:tcPr>
            <w:tcW w:w="3261" w:type="dxa"/>
            <w:shd w:val="clear" w:color="auto" w:fill="D9D9D9" w:themeFill="background1" w:themeFillShade="D9"/>
          </w:tcPr>
          <w:p w14:paraId="1BF73D63" w14:textId="77777777" w:rsidR="00A436D7" w:rsidRPr="00A87467" w:rsidRDefault="00A436D7" w:rsidP="00A436D7">
            <w:pPr>
              <w:pStyle w:val="TableText"/>
              <w:rPr>
                <w:b/>
                <w:bCs/>
              </w:rPr>
            </w:pPr>
            <w:r w:rsidRPr="00A87467">
              <w:rPr>
                <w:b/>
                <w:bCs/>
              </w:rPr>
              <w:t>Expectation for July 2022 – June 2024</w:t>
            </w:r>
          </w:p>
        </w:tc>
        <w:tc>
          <w:tcPr>
            <w:tcW w:w="5386" w:type="dxa"/>
          </w:tcPr>
          <w:p w14:paraId="76FACF5C" w14:textId="77777777" w:rsidR="00A436D7" w:rsidRDefault="00A436D7" w:rsidP="00A436D7">
            <w:pPr>
              <w:pStyle w:val="TableText"/>
            </w:pPr>
            <w:r w:rsidRPr="00670B36">
              <w:t>An increase in percentage enrolled within first trimester from the 12 months to Dec 2019 (baseline)</w:t>
            </w:r>
          </w:p>
        </w:tc>
      </w:tr>
      <w:tr w:rsidR="00A436D7" w14:paraId="4282C53F" w14:textId="77777777" w:rsidTr="002B0938">
        <w:tc>
          <w:tcPr>
            <w:tcW w:w="3261" w:type="dxa"/>
            <w:shd w:val="clear" w:color="auto" w:fill="D9D9D9" w:themeFill="background1" w:themeFillShade="D9"/>
          </w:tcPr>
          <w:p w14:paraId="73E2BE64" w14:textId="77777777" w:rsidR="00A436D7" w:rsidRPr="00A87467" w:rsidRDefault="00A436D7" w:rsidP="00A436D7">
            <w:pPr>
              <w:pStyle w:val="TableText"/>
              <w:rPr>
                <w:b/>
                <w:bCs/>
              </w:rPr>
            </w:pPr>
            <w:r w:rsidRPr="00A87467">
              <w:rPr>
                <w:b/>
                <w:bCs/>
              </w:rPr>
              <w:t>Data source</w:t>
            </w:r>
          </w:p>
        </w:tc>
        <w:tc>
          <w:tcPr>
            <w:tcW w:w="5386" w:type="dxa"/>
          </w:tcPr>
          <w:p w14:paraId="5CAEEE13" w14:textId="77777777" w:rsidR="00A436D7" w:rsidRDefault="00A436D7" w:rsidP="00A436D7">
            <w:pPr>
              <w:pStyle w:val="TableText"/>
            </w:pPr>
            <w:r>
              <w:t>National Maternity Collection</w:t>
            </w:r>
          </w:p>
          <w:p w14:paraId="3DF03089" w14:textId="77777777" w:rsidR="00A436D7" w:rsidRDefault="00000000" w:rsidP="00A436D7">
            <w:pPr>
              <w:pStyle w:val="TableText"/>
            </w:pPr>
            <w:hyperlink r:id="rId52" w:history="1">
              <w:r w:rsidR="00A436D7" w:rsidRPr="00670B36">
                <w:rPr>
                  <w:rStyle w:val="Hyperlink"/>
                  <w:szCs w:val="18"/>
                </w:rPr>
                <w:t>https://www.tewhatuora.govt.nz/our-health-system/data-and-statistics/maternity-clinical-indicators/</w:t>
              </w:r>
            </w:hyperlink>
            <w:r w:rsidR="00A436D7" w:rsidRPr="00670B36">
              <w:rPr>
                <w:rStyle w:val="Hyperlink"/>
                <w:szCs w:val="18"/>
              </w:rPr>
              <w:t xml:space="preserve"> </w:t>
            </w:r>
          </w:p>
        </w:tc>
      </w:tr>
      <w:tr w:rsidR="00A436D7" w14:paraId="6B4C633F" w14:textId="77777777" w:rsidTr="002B0938">
        <w:tc>
          <w:tcPr>
            <w:tcW w:w="3261" w:type="dxa"/>
            <w:shd w:val="clear" w:color="auto" w:fill="D9D9D9" w:themeFill="background1" w:themeFillShade="D9"/>
          </w:tcPr>
          <w:p w14:paraId="2DD5D4AF" w14:textId="77777777" w:rsidR="00A436D7" w:rsidRPr="00A87467" w:rsidRDefault="00A436D7" w:rsidP="00A436D7">
            <w:pPr>
              <w:pStyle w:val="TableText"/>
              <w:rPr>
                <w:b/>
                <w:bCs/>
              </w:rPr>
            </w:pPr>
            <w:r w:rsidRPr="00A87467">
              <w:rPr>
                <w:b/>
                <w:bCs/>
              </w:rPr>
              <w:t>If quantitative, measurement definitions</w:t>
            </w:r>
          </w:p>
        </w:tc>
        <w:tc>
          <w:tcPr>
            <w:tcW w:w="5386" w:type="dxa"/>
          </w:tcPr>
          <w:p w14:paraId="7F4D0C65" w14:textId="77777777" w:rsidR="00A436D7" w:rsidRPr="00670B36" w:rsidRDefault="00A436D7" w:rsidP="00A436D7">
            <w:pPr>
              <w:pStyle w:val="TableText"/>
            </w:pPr>
            <w:r w:rsidRPr="00670B36">
              <w:t>Numerator: Total number of pregnant people who register with an LMC in the first trimester of their pregnancy</w:t>
            </w:r>
          </w:p>
          <w:p w14:paraId="49E18231" w14:textId="77777777" w:rsidR="00A436D7" w:rsidRDefault="00A436D7" w:rsidP="00A436D7">
            <w:pPr>
              <w:pStyle w:val="TableText"/>
            </w:pPr>
            <w:r w:rsidRPr="00670B36">
              <w:t>Denominator: Total number of pregnant people who register with an LMC</w:t>
            </w:r>
            <w:r>
              <w:t xml:space="preserve"> </w:t>
            </w:r>
          </w:p>
        </w:tc>
      </w:tr>
      <w:tr w:rsidR="00A436D7" w14:paraId="19921EEA" w14:textId="77777777" w:rsidTr="002B0938">
        <w:tc>
          <w:tcPr>
            <w:tcW w:w="3261" w:type="dxa"/>
            <w:shd w:val="clear" w:color="auto" w:fill="D9D9D9" w:themeFill="background1" w:themeFillShade="D9"/>
          </w:tcPr>
          <w:p w14:paraId="6C8852BB" w14:textId="77777777" w:rsidR="00A436D7" w:rsidRPr="0034251D" w:rsidRDefault="00A436D7" w:rsidP="00A436D7">
            <w:pPr>
              <w:pStyle w:val="TableText"/>
              <w:rPr>
                <w:b/>
                <w:bCs/>
              </w:rPr>
            </w:pPr>
            <w:r w:rsidRPr="0034251D">
              <w:rPr>
                <w:b/>
                <w:bCs/>
              </w:rPr>
              <w:t>Frequency that data is available</w:t>
            </w:r>
          </w:p>
        </w:tc>
        <w:tc>
          <w:tcPr>
            <w:tcW w:w="5386" w:type="dxa"/>
          </w:tcPr>
          <w:p w14:paraId="44DAD109" w14:textId="77777777" w:rsidR="00A436D7" w:rsidRDefault="00A436D7" w:rsidP="00A436D7">
            <w:pPr>
              <w:pStyle w:val="TableText"/>
            </w:pPr>
            <w:r w:rsidRPr="00670B36">
              <w:t>Annual, approximately 18 months after the end of the calendar year</w:t>
            </w:r>
          </w:p>
        </w:tc>
      </w:tr>
      <w:tr w:rsidR="00A436D7" w14:paraId="116CB8E8" w14:textId="77777777" w:rsidTr="002B0938">
        <w:tc>
          <w:tcPr>
            <w:tcW w:w="3261" w:type="dxa"/>
            <w:shd w:val="clear" w:color="auto" w:fill="D9D9D9" w:themeFill="background1" w:themeFillShade="D9"/>
          </w:tcPr>
          <w:p w14:paraId="15B8A5EA" w14:textId="77777777" w:rsidR="00A436D7" w:rsidRPr="0034251D" w:rsidRDefault="00A436D7" w:rsidP="00A436D7">
            <w:pPr>
              <w:pStyle w:val="TableText"/>
              <w:rPr>
                <w:b/>
                <w:bCs/>
              </w:rPr>
            </w:pPr>
            <w:r w:rsidRPr="0034251D">
              <w:rPr>
                <w:b/>
                <w:bCs/>
              </w:rPr>
              <w:t>Level of disaggregation of data available</w:t>
            </w:r>
          </w:p>
        </w:tc>
        <w:tc>
          <w:tcPr>
            <w:tcW w:w="5386" w:type="dxa"/>
          </w:tcPr>
          <w:p w14:paraId="67C1D09B" w14:textId="77777777" w:rsidR="00A436D7" w:rsidRDefault="00A436D7" w:rsidP="00A436D7">
            <w:pPr>
              <w:pStyle w:val="TableText"/>
            </w:pPr>
            <w:r w:rsidRPr="00CA3D06">
              <w:t>Ethnicity, geographic area</w:t>
            </w:r>
          </w:p>
        </w:tc>
      </w:tr>
      <w:tr w:rsidR="00A436D7" w14:paraId="326EE883" w14:textId="77777777" w:rsidTr="002B0938">
        <w:tc>
          <w:tcPr>
            <w:tcW w:w="3261" w:type="dxa"/>
            <w:shd w:val="clear" w:color="auto" w:fill="D9D9D9" w:themeFill="background1" w:themeFillShade="D9"/>
          </w:tcPr>
          <w:p w14:paraId="12FE53A8" w14:textId="77777777" w:rsidR="00A436D7" w:rsidRPr="0034251D" w:rsidRDefault="00A436D7" w:rsidP="00A436D7">
            <w:pPr>
              <w:pStyle w:val="TableText"/>
              <w:rPr>
                <w:b/>
                <w:bCs/>
              </w:rPr>
            </w:pPr>
            <w:r w:rsidRPr="0034251D">
              <w:rPr>
                <w:b/>
                <w:bCs/>
              </w:rPr>
              <w:t>Data period</w:t>
            </w:r>
          </w:p>
        </w:tc>
        <w:tc>
          <w:tcPr>
            <w:tcW w:w="5386" w:type="dxa"/>
          </w:tcPr>
          <w:p w14:paraId="41DC106C" w14:textId="77777777" w:rsidR="00A436D7" w:rsidRDefault="00A436D7" w:rsidP="00A436D7">
            <w:pPr>
              <w:pStyle w:val="TableText"/>
            </w:pPr>
            <w:r w:rsidRPr="00CA3D06">
              <w:t>Calendar year</w:t>
            </w:r>
          </w:p>
        </w:tc>
      </w:tr>
      <w:tr w:rsidR="00A436D7" w14:paraId="2F777A39" w14:textId="77777777" w:rsidTr="002B0938">
        <w:tc>
          <w:tcPr>
            <w:tcW w:w="3261" w:type="dxa"/>
            <w:shd w:val="clear" w:color="auto" w:fill="D9D9D9" w:themeFill="background1" w:themeFillShade="D9"/>
          </w:tcPr>
          <w:p w14:paraId="63DAA4EE" w14:textId="77777777" w:rsidR="00A436D7" w:rsidRPr="0034251D" w:rsidRDefault="00A436D7" w:rsidP="00A436D7">
            <w:pPr>
              <w:pStyle w:val="TableText"/>
              <w:rPr>
                <w:b/>
                <w:bCs/>
              </w:rPr>
            </w:pPr>
            <w:r w:rsidRPr="0034251D">
              <w:rPr>
                <w:b/>
                <w:bCs/>
              </w:rPr>
              <w:t>Related or prior performance measure code</w:t>
            </w:r>
          </w:p>
        </w:tc>
        <w:tc>
          <w:tcPr>
            <w:tcW w:w="5386" w:type="dxa"/>
          </w:tcPr>
          <w:p w14:paraId="55F63944" w14:textId="77777777" w:rsidR="00A436D7" w:rsidRPr="00670B36" w:rsidRDefault="00A436D7" w:rsidP="00A436D7">
            <w:pPr>
              <w:pStyle w:val="TableText"/>
            </w:pPr>
            <w:r w:rsidRPr="00670B36">
              <w:t>Indicator 1 from Maternity Clinical Indicators</w:t>
            </w:r>
          </w:p>
          <w:p w14:paraId="61FFDABD" w14:textId="77777777" w:rsidR="00A436D7" w:rsidRPr="007E56E2" w:rsidRDefault="00000000" w:rsidP="00A436D7">
            <w:pPr>
              <w:pStyle w:val="TableText"/>
              <w:rPr>
                <w:sz w:val="16"/>
              </w:rPr>
            </w:pPr>
            <w:hyperlink r:id="rId53" w:history="1">
              <w:r w:rsidR="00A436D7" w:rsidRPr="007E56E2">
                <w:rPr>
                  <w:rStyle w:val="Hyperlink"/>
                  <w:szCs w:val="18"/>
                </w:rPr>
                <w:t>https://www.tewhatuora.govt.nz/our-health-system/data-and-statistics/maternity-clinical-indicators/</w:t>
              </w:r>
            </w:hyperlink>
            <w:r w:rsidR="00A436D7" w:rsidRPr="007E56E2">
              <w:t xml:space="preserve"> </w:t>
            </w:r>
          </w:p>
        </w:tc>
      </w:tr>
    </w:tbl>
    <w:p w14:paraId="2D21FF20" w14:textId="77777777" w:rsidR="00A436D7" w:rsidRPr="00A436D7" w:rsidRDefault="00A436D7" w:rsidP="00A436D7">
      <w:pPr>
        <w:pStyle w:val="Heading3"/>
        <w:ind w:left="564" w:hanging="564"/>
        <w:rPr>
          <w:rStyle w:val="Heading3Char"/>
          <w:sz w:val="24"/>
          <w:szCs w:val="24"/>
        </w:rPr>
      </w:pPr>
      <w:r w:rsidRPr="00A436D7">
        <w:rPr>
          <w:rStyle w:val="Heading3Char"/>
          <w:sz w:val="24"/>
          <w:szCs w:val="24"/>
        </w:rPr>
        <w:t>3.7</w:t>
      </w:r>
      <w:r w:rsidRPr="00A436D7">
        <w:rPr>
          <w:rStyle w:val="Heading3Char"/>
          <w:sz w:val="24"/>
          <w:szCs w:val="24"/>
        </w:rPr>
        <w:tab/>
        <w:t>Standardised rate of acute readmissions within 28 days of discharge, reported by ethnicity and geographic area</w:t>
      </w:r>
    </w:p>
    <w:p w14:paraId="571124E3" w14:textId="3AE6E5AD" w:rsidR="00A436D7" w:rsidRPr="007E56E2" w:rsidRDefault="00A436D7" w:rsidP="00A436D7">
      <w:pPr>
        <w:rPr>
          <w:szCs w:val="21"/>
        </w:rPr>
      </w:pPr>
      <w:r w:rsidRPr="00D64ACA">
        <w:t xml:space="preserve">Initially this measure will reflect the measure included in the acute re-admission report published </w:t>
      </w:r>
      <w:r w:rsidRPr="007E56E2">
        <w:rPr>
          <w:szCs w:val="21"/>
        </w:rPr>
        <w:t xml:space="preserve">on </w:t>
      </w:r>
      <w:hyperlink r:id="rId54" w:history="1">
        <w:r w:rsidR="00D204B1" w:rsidRPr="0036475E">
          <w:rPr>
            <w:rStyle w:val="Hyperlink"/>
            <w:spacing w:val="-12"/>
            <w:szCs w:val="21"/>
          </w:rPr>
          <w:t>https://www.health.govt.nz/statistics-research/system-monitoring/planning-and-performance-data/acute-readmissions-to-hospitals</w:t>
        </w:r>
      </w:hyperlink>
      <w:r w:rsidRPr="007E56E2">
        <w:rPr>
          <w:rStyle w:val="Hyperlink"/>
          <w:spacing w:val="-12"/>
          <w:szCs w:val="21"/>
        </w:rPr>
        <w:t xml:space="preserve"> </w:t>
      </w:r>
    </w:p>
    <w:p w14:paraId="518C5B74" w14:textId="77777777" w:rsidR="00A436D7" w:rsidRDefault="00A436D7" w:rsidP="00A436D7">
      <w:r w:rsidRPr="00D64ACA">
        <w:lastRenderedPageBreak/>
        <w:t xml:space="preserve">These measures do not overtake the expectation for existing, similar measurements to continue outside of the </w:t>
      </w:r>
      <w:proofErr w:type="spellStart"/>
      <w:r w:rsidRPr="00D64ACA">
        <w:t>iGPS</w:t>
      </w:r>
      <w:proofErr w:type="spellEnd"/>
      <w:r w:rsidRPr="00D64ACA">
        <w:t xml:space="preserve"> framework, such as measurement of mental health acute readmissions.</w:t>
      </w:r>
    </w:p>
    <w:p w14:paraId="109D5420" w14:textId="77777777" w:rsidR="00A436D7" w:rsidRDefault="00A436D7" w:rsidP="00A436D7"/>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244"/>
      </w:tblGrid>
      <w:tr w:rsidR="00A436D7" w14:paraId="07730582" w14:textId="77777777" w:rsidTr="002B0938">
        <w:tc>
          <w:tcPr>
            <w:tcW w:w="3261" w:type="dxa"/>
            <w:shd w:val="clear" w:color="auto" w:fill="D9D9D9" w:themeFill="background1" w:themeFillShade="D9"/>
          </w:tcPr>
          <w:p w14:paraId="7EB10113" w14:textId="77777777" w:rsidR="00A436D7" w:rsidRPr="00A87467" w:rsidRDefault="00A436D7" w:rsidP="00A436D7">
            <w:pPr>
              <w:pStyle w:val="TableText"/>
              <w:rPr>
                <w:b/>
                <w:bCs/>
              </w:rPr>
            </w:pPr>
            <w:r w:rsidRPr="00A87467">
              <w:rPr>
                <w:b/>
                <w:bCs/>
              </w:rPr>
              <w:t>Expectation for July 2022 – June 2024</w:t>
            </w:r>
          </w:p>
        </w:tc>
        <w:tc>
          <w:tcPr>
            <w:tcW w:w="5244" w:type="dxa"/>
          </w:tcPr>
          <w:p w14:paraId="6783319B" w14:textId="77777777" w:rsidR="00A436D7" w:rsidRDefault="00A436D7" w:rsidP="00A436D7">
            <w:pPr>
              <w:pStyle w:val="TableText"/>
            </w:pPr>
            <w:r>
              <w:t>Establish a baseline in year one, and this baseline will inform the expectation for year two</w:t>
            </w:r>
          </w:p>
          <w:p w14:paraId="2F130351" w14:textId="77777777" w:rsidR="00A436D7" w:rsidRDefault="00A436D7" w:rsidP="00A436D7">
            <w:pPr>
              <w:pStyle w:val="TableText"/>
            </w:pPr>
            <w:r>
              <w:t>Note: Acute readmission rate within 7 days will be a sub-component.</w:t>
            </w:r>
          </w:p>
        </w:tc>
      </w:tr>
      <w:tr w:rsidR="00A436D7" w14:paraId="73297A85" w14:textId="77777777" w:rsidTr="002B0938">
        <w:tc>
          <w:tcPr>
            <w:tcW w:w="3261" w:type="dxa"/>
            <w:shd w:val="clear" w:color="auto" w:fill="D9D9D9" w:themeFill="background1" w:themeFillShade="D9"/>
          </w:tcPr>
          <w:p w14:paraId="62A6FFDA" w14:textId="77777777" w:rsidR="00A436D7" w:rsidRPr="00A87467" w:rsidRDefault="00A436D7" w:rsidP="00A436D7">
            <w:pPr>
              <w:pStyle w:val="TableText"/>
              <w:rPr>
                <w:b/>
                <w:bCs/>
              </w:rPr>
            </w:pPr>
            <w:r w:rsidRPr="00A87467">
              <w:rPr>
                <w:b/>
                <w:bCs/>
              </w:rPr>
              <w:t>Data source</w:t>
            </w:r>
          </w:p>
        </w:tc>
        <w:tc>
          <w:tcPr>
            <w:tcW w:w="5244" w:type="dxa"/>
          </w:tcPr>
          <w:p w14:paraId="3BB22DCE" w14:textId="77777777" w:rsidR="00A436D7" w:rsidRDefault="00A436D7" w:rsidP="00A436D7">
            <w:pPr>
              <w:pStyle w:val="TableText"/>
            </w:pPr>
            <w:r w:rsidRPr="00D64ACA">
              <w:t xml:space="preserve">National Collections – NMDS </w:t>
            </w:r>
          </w:p>
          <w:p w14:paraId="3D9408FC" w14:textId="77777777" w:rsidR="00A436D7" w:rsidRDefault="00A436D7" w:rsidP="00A436D7">
            <w:pPr>
              <w:pStyle w:val="TableText"/>
            </w:pPr>
            <w:r w:rsidRPr="00D64ACA">
              <w:t>Stats NZ</w:t>
            </w:r>
          </w:p>
        </w:tc>
      </w:tr>
      <w:tr w:rsidR="00A436D7" w14:paraId="2CF176E9" w14:textId="77777777" w:rsidTr="002B0938">
        <w:tc>
          <w:tcPr>
            <w:tcW w:w="3261" w:type="dxa"/>
            <w:shd w:val="clear" w:color="auto" w:fill="D9D9D9" w:themeFill="background1" w:themeFillShade="D9"/>
          </w:tcPr>
          <w:p w14:paraId="194E2B64" w14:textId="77777777" w:rsidR="00A436D7" w:rsidRPr="00A87467" w:rsidRDefault="00A436D7" w:rsidP="00A436D7">
            <w:pPr>
              <w:pStyle w:val="TableText"/>
              <w:rPr>
                <w:b/>
                <w:bCs/>
              </w:rPr>
            </w:pPr>
            <w:r w:rsidRPr="00A87467">
              <w:rPr>
                <w:b/>
                <w:bCs/>
              </w:rPr>
              <w:t>If quantitative, measurement definitions</w:t>
            </w:r>
          </w:p>
        </w:tc>
        <w:tc>
          <w:tcPr>
            <w:tcW w:w="5244" w:type="dxa"/>
          </w:tcPr>
          <w:p w14:paraId="66E36488" w14:textId="77777777" w:rsidR="00A436D7" w:rsidRDefault="00A436D7" w:rsidP="00A436D7">
            <w:pPr>
              <w:pStyle w:val="TableText"/>
            </w:pPr>
            <w:r w:rsidRPr="00D64ACA">
              <w:t xml:space="preserve">Refer to technical definition document at </w:t>
            </w:r>
          </w:p>
          <w:p w14:paraId="3C94A101" w14:textId="55F182E9" w:rsidR="00A436D7" w:rsidRDefault="00D204B1" w:rsidP="00A436D7">
            <w:pPr>
              <w:pStyle w:val="TableText"/>
            </w:pPr>
            <w:hyperlink r:id="rId55" w:history="1">
              <w:r w:rsidRPr="00D204B1">
                <w:rPr>
                  <w:rStyle w:val="Hyperlink"/>
                  <w:szCs w:val="18"/>
                </w:rPr>
                <w:t>https://www.health.govt.nz/statistics-research/system-monitoring/planning-and-performance-data/acute-readmissions-to-hospitals</w:t>
              </w:r>
            </w:hyperlink>
          </w:p>
        </w:tc>
      </w:tr>
      <w:tr w:rsidR="00A436D7" w14:paraId="6D86FC95" w14:textId="77777777" w:rsidTr="002B0938">
        <w:tc>
          <w:tcPr>
            <w:tcW w:w="3261" w:type="dxa"/>
            <w:shd w:val="clear" w:color="auto" w:fill="D9D9D9" w:themeFill="background1" w:themeFillShade="D9"/>
          </w:tcPr>
          <w:p w14:paraId="466B906D" w14:textId="77777777" w:rsidR="00A436D7" w:rsidRPr="0034251D" w:rsidRDefault="00A436D7" w:rsidP="00A436D7">
            <w:pPr>
              <w:pStyle w:val="TableText"/>
              <w:rPr>
                <w:b/>
                <w:bCs/>
              </w:rPr>
            </w:pPr>
            <w:r w:rsidRPr="0034251D">
              <w:rPr>
                <w:b/>
                <w:bCs/>
              </w:rPr>
              <w:t>Frequency that data is available</w:t>
            </w:r>
          </w:p>
        </w:tc>
        <w:tc>
          <w:tcPr>
            <w:tcW w:w="5244" w:type="dxa"/>
          </w:tcPr>
          <w:p w14:paraId="27907FE3" w14:textId="77777777" w:rsidR="00A436D7" w:rsidRDefault="00A436D7" w:rsidP="00A436D7">
            <w:pPr>
              <w:pStyle w:val="TableText"/>
            </w:pPr>
            <w:r w:rsidRPr="00E94587">
              <w:t>Quarterly</w:t>
            </w:r>
          </w:p>
        </w:tc>
      </w:tr>
      <w:tr w:rsidR="00A436D7" w14:paraId="5E5A554B" w14:textId="77777777" w:rsidTr="002B0938">
        <w:tc>
          <w:tcPr>
            <w:tcW w:w="3261" w:type="dxa"/>
            <w:shd w:val="clear" w:color="auto" w:fill="D9D9D9" w:themeFill="background1" w:themeFillShade="D9"/>
          </w:tcPr>
          <w:p w14:paraId="6E94C727" w14:textId="77777777" w:rsidR="00A436D7" w:rsidRPr="0034251D" w:rsidRDefault="00A436D7" w:rsidP="00A436D7">
            <w:pPr>
              <w:pStyle w:val="TableText"/>
              <w:rPr>
                <w:b/>
                <w:bCs/>
              </w:rPr>
            </w:pPr>
            <w:r w:rsidRPr="0034251D">
              <w:rPr>
                <w:b/>
                <w:bCs/>
              </w:rPr>
              <w:t>Level of disaggregation of data available</w:t>
            </w:r>
          </w:p>
        </w:tc>
        <w:tc>
          <w:tcPr>
            <w:tcW w:w="5244" w:type="dxa"/>
          </w:tcPr>
          <w:p w14:paraId="5CA91A14" w14:textId="77777777" w:rsidR="00A436D7" w:rsidRDefault="00A436D7" w:rsidP="00A436D7">
            <w:pPr>
              <w:pStyle w:val="TableText"/>
            </w:pPr>
            <w:r w:rsidRPr="00E94587">
              <w:t>Ethnicity, geographic area, age</w:t>
            </w:r>
          </w:p>
        </w:tc>
      </w:tr>
      <w:tr w:rsidR="00A436D7" w14:paraId="246966B5" w14:textId="77777777" w:rsidTr="002B0938">
        <w:tc>
          <w:tcPr>
            <w:tcW w:w="3261" w:type="dxa"/>
            <w:shd w:val="clear" w:color="auto" w:fill="D9D9D9" w:themeFill="background1" w:themeFillShade="D9"/>
          </w:tcPr>
          <w:p w14:paraId="4A870AE4" w14:textId="77777777" w:rsidR="00A436D7" w:rsidRPr="0034251D" w:rsidRDefault="00A436D7" w:rsidP="00A436D7">
            <w:pPr>
              <w:pStyle w:val="TableText"/>
              <w:rPr>
                <w:b/>
                <w:bCs/>
              </w:rPr>
            </w:pPr>
            <w:r w:rsidRPr="0034251D">
              <w:rPr>
                <w:b/>
                <w:bCs/>
              </w:rPr>
              <w:t>Data period</w:t>
            </w:r>
          </w:p>
        </w:tc>
        <w:tc>
          <w:tcPr>
            <w:tcW w:w="5244" w:type="dxa"/>
          </w:tcPr>
          <w:p w14:paraId="39B9B534" w14:textId="77777777" w:rsidR="00A436D7" w:rsidRDefault="00A436D7" w:rsidP="00A436D7">
            <w:pPr>
              <w:pStyle w:val="TableText"/>
            </w:pPr>
            <w:r w:rsidRPr="00E94587">
              <w:t>12 months rolling, one quarter in arrears</w:t>
            </w:r>
          </w:p>
        </w:tc>
      </w:tr>
      <w:tr w:rsidR="00A436D7" w14:paraId="2BB7630A" w14:textId="77777777" w:rsidTr="002B0938">
        <w:tc>
          <w:tcPr>
            <w:tcW w:w="3261" w:type="dxa"/>
            <w:shd w:val="clear" w:color="auto" w:fill="D9D9D9" w:themeFill="background1" w:themeFillShade="D9"/>
          </w:tcPr>
          <w:p w14:paraId="7A95E6EC" w14:textId="77777777" w:rsidR="00A436D7" w:rsidRPr="0034251D" w:rsidRDefault="00A436D7" w:rsidP="00A436D7">
            <w:pPr>
              <w:pStyle w:val="TableText"/>
              <w:rPr>
                <w:b/>
                <w:bCs/>
              </w:rPr>
            </w:pPr>
            <w:r w:rsidRPr="0034251D">
              <w:rPr>
                <w:b/>
                <w:bCs/>
              </w:rPr>
              <w:t>Related or prior performance measure code</w:t>
            </w:r>
          </w:p>
        </w:tc>
        <w:tc>
          <w:tcPr>
            <w:tcW w:w="5244" w:type="dxa"/>
          </w:tcPr>
          <w:p w14:paraId="63C8DC46" w14:textId="77777777" w:rsidR="00A436D7" w:rsidRDefault="00A436D7" w:rsidP="00A436D7">
            <w:pPr>
              <w:pStyle w:val="TableText"/>
            </w:pPr>
            <w:r w:rsidRPr="00E94587">
              <w:t>Part of previous DHB non-financial monitoring framework and performance measures - SS07</w:t>
            </w:r>
          </w:p>
        </w:tc>
      </w:tr>
    </w:tbl>
    <w:p w14:paraId="355F48E8" w14:textId="77777777" w:rsidR="00A436D7" w:rsidRDefault="00A436D7" w:rsidP="00A436D7"/>
    <w:p w14:paraId="74BD9233" w14:textId="1C9ECB60" w:rsidR="00A436D7" w:rsidRPr="00A436D7" w:rsidRDefault="00A436D7" w:rsidP="00A436D7">
      <w:pPr>
        <w:sectPr w:rsidR="00A436D7" w:rsidRPr="00A436D7" w:rsidSect="00A436D7">
          <w:pgSz w:w="11906" w:h="16838" w:code="9"/>
          <w:pgMar w:top="1418" w:right="1416" w:bottom="1134" w:left="1560" w:header="284" w:footer="425" w:gutter="284"/>
          <w:cols w:space="720"/>
          <w:docGrid w:linePitch="286"/>
        </w:sectPr>
      </w:pPr>
    </w:p>
    <w:p w14:paraId="2BFE2E23" w14:textId="77777777" w:rsidR="002B0938" w:rsidRPr="002B0938" w:rsidRDefault="002B0938" w:rsidP="00A72706">
      <w:pPr>
        <w:pStyle w:val="Heading2"/>
        <w:spacing w:before="0"/>
      </w:pPr>
      <w:bookmarkStart w:id="11" w:name="_Toc166488692"/>
      <w:bookmarkEnd w:id="7"/>
      <w:r w:rsidRPr="002B0938">
        <w:lastRenderedPageBreak/>
        <w:t>Priority 4: Developing the health workforce of the future</w:t>
      </w:r>
      <w:bookmarkEnd w:id="11"/>
    </w:p>
    <w:p w14:paraId="2251ABD7" w14:textId="0C01BF71" w:rsidR="002B0938" w:rsidRPr="00F87540" w:rsidRDefault="002B0938" w:rsidP="00F87540">
      <w:pPr>
        <w:pStyle w:val="Heading3"/>
        <w:ind w:left="564" w:hanging="564"/>
        <w:rPr>
          <w:sz w:val="24"/>
          <w:szCs w:val="24"/>
        </w:rPr>
      </w:pPr>
      <w:r w:rsidRPr="002B0938">
        <w:rPr>
          <w:rStyle w:val="Heading3Char"/>
          <w:sz w:val="24"/>
          <w:szCs w:val="24"/>
        </w:rPr>
        <w:t>4.1</w:t>
      </w:r>
      <w:r w:rsidRPr="002B0938">
        <w:rPr>
          <w:rStyle w:val="Heading3Char"/>
          <w:sz w:val="24"/>
          <w:szCs w:val="24"/>
        </w:rPr>
        <w:tab/>
        <w:t>Staff engagement survey on culture and shift towards a ‘one team’ ethos (measure will be in development as work to build data collection)</w:t>
      </w: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19FA2615" w14:textId="77777777" w:rsidTr="0028570E">
        <w:tc>
          <w:tcPr>
            <w:tcW w:w="3261" w:type="dxa"/>
            <w:shd w:val="clear" w:color="auto" w:fill="D9D9D9" w:themeFill="background1" w:themeFillShade="D9"/>
          </w:tcPr>
          <w:p w14:paraId="323A2688" w14:textId="77777777" w:rsidR="002B0938" w:rsidRPr="00D64ACA" w:rsidRDefault="002B0938" w:rsidP="00577C3E">
            <w:pPr>
              <w:pStyle w:val="TableText"/>
              <w:rPr>
                <w:b/>
                <w:bCs/>
              </w:rPr>
            </w:pPr>
            <w:r w:rsidRPr="00D64ACA">
              <w:rPr>
                <w:b/>
                <w:bCs/>
              </w:rPr>
              <w:t>Expectation for July 2022 – June 2024</w:t>
            </w:r>
          </w:p>
        </w:tc>
        <w:tc>
          <w:tcPr>
            <w:tcW w:w="5386" w:type="dxa"/>
          </w:tcPr>
          <w:p w14:paraId="7BE4F78F" w14:textId="77777777" w:rsidR="002B0938" w:rsidRDefault="002B0938" w:rsidP="00577C3E">
            <w:pPr>
              <w:pStyle w:val="TableText"/>
            </w:pPr>
            <w:r w:rsidRPr="007608DD">
              <w:t xml:space="preserve">Health NZ | </w:t>
            </w:r>
            <w:proofErr w:type="spellStart"/>
            <w:r w:rsidRPr="007608DD">
              <w:t>Te</w:t>
            </w:r>
            <w:proofErr w:type="spellEnd"/>
            <w:r w:rsidRPr="007608DD">
              <w:t xml:space="preserve"> </w:t>
            </w:r>
            <w:proofErr w:type="spellStart"/>
            <w:r w:rsidRPr="007608DD">
              <w:t>Whatu</w:t>
            </w:r>
            <w:proofErr w:type="spellEnd"/>
            <w:r w:rsidRPr="007608DD">
              <w:t xml:space="preserve"> Ora staff engagement survey has been completed</w:t>
            </w:r>
          </w:p>
        </w:tc>
      </w:tr>
      <w:tr w:rsidR="002B0938" w14:paraId="5354BAD0" w14:textId="77777777" w:rsidTr="0028570E">
        <w:tc>
          <w:tcPr>
            <w:tcW w:w="3261" w:type="dxa"/>
            <w:shd w:val="clear" w:color="auto" w:fill="D9D9D9" w:themeFill="background1" w:themeFillShade="D9"/>
          </w:tcPr>
          <w:p w14:paraId="2C93B44B" w14:textId="77777777" w:rsidR="002B0938" w:rsidRPr="00D64ACA" w:rsidRDefault="002B0938" w:rsidP="00577C3E">
            <w:pPr>
              <w:pStyle w:val="TableText"/>
              <w:rPr>
                <w:b/>
                <w:bCs/>
              </w:rPr>
            </w:pPr>
            <w:r w:rsidRPr="00D64ACA">
              <w:rPr>
                <w:b/>
                <w:bCs/>
              </w:rPr>
              <w:t>Data source</w:t>
            </w:r>
          </w:p>
        </w:tc>
        <w:tc>
          <w:tcPr>
            <w:tcW w:w="5386" w:type="dxa"/>
          </w:tcPr>
          <w:p w14:paraId="397871B8" w14:textId="77777777" w:rsidR="002B0938" w:rsidRPr="007608DD" w:rsidRDefault="002B0938" w:rsidP="00577C3E">
            <w:pPr>
              <w:pStyle w:val="TableText"/>
            </w:pPr>
            <w:r w:rsidRPr="007608DD">
              <w:t>Published reports on Health NZ website</w:t>
            </w:r>
          </w:p>
          <w:p w14:paraId="5CAF7CD4" w14:textId="77777777" w:rsidR="002B0938" w:rsidRDefault="00000000" w:rsidP="00577C3E">
            <w:pPr>
              <w:pStyle w:val="TableText"/>
            </w:pPr>
            <w:hyperlink r:id="rId56" w:history="1">
              <w:r w:rsidR="002B0938" w:rsidRPr="007E56E2">
                <w:rPr>
                  <w:b/>
                  <w:color w:val="595959"/>
                </w:rPr>
                <w:t>https://www.tewhatuora.govt.nz/publications/</w:t>
              </w:r>
            </w:hyperlink>
          </w:p>
        </w:tc>
      </w:tr>
      <w:tr w:rsidR="002B0938" w14:paraId="714F6537" w14:textId="77777777" w:rsidTr="0028570E">
        <w:tc>
          <w:tcPr>
            <w:tcW w:w="3261" w:type="dxa"/>
            <w:shd w:val="clear" w:color="auto" w:fill="D9D9D9" w:themeFill="background1" w:themeFillShade="D9"/>
          </w:tcPr>
          <w:p w14:paraId="748FA9AE" w14:textId="77777777" w:rsidR="002B0938" w:rsidRPr="00D64ACA" w:rsidRDefault="002B0938" w:rsidP="00577C3E">
            <w:pPr>
              <w:pStyle w:val="TableText"/>
              <w:rPr>
                <w:b/>
                <w:bCs/>
              </w:rPr>
            </w:pPr>
            <w:r w:rsidRPr="00D64ACA">
              <w:rPr>
                <w:b/>
                <w:bCs/>
              </w:rPr>
              <w:t>If quantitative, measurement definitions</w:t>
            </w:r>
          </w:p>
        </w:tc>
        <w:tc>
          <w:tcPr>
            <w:tcW w:w="5386" w:type="dxa"/>
          </w:tcPr>
          <w:p w14:paraId="466D7C89" w14:textId="77777777" w:rsidR="002B0938" w:rsidRDefault="002B0938" w:rsidP="00577C3E">
            <w:pPr>
              <w:pStyle w:val="TableText"/>
            </w:pPr>
            <w:r w:rsidRPr="007608DD">
              <w:t>As per Health NZ staff engagement survey programme</w:t>
            </w:r>
          </w:p>
        </w:tc>
      </w:tr>
      <w:tr w:rsidR="002B0938" w14:paraId="5092E8AE" w14:textId="77777777" w:rsidTr="0028570E">
        <w:tc>
          <w:tcPr>
            <w:tcW w:w="3261" w:type="dxa"/>
            <w:shd w:val="clear" w:color="auto" w:fill="D9D9D9" w:themeFill="background1" w:themeFillShade="D9"/>
          </w:tcPr>
          <w:p w14:paraId="0DEAD9D5" w14:textId="77777777" w:rsidR="002B0938" w:rsidRPr="00D64ACA" w:rsidRDefault="002B0938" w:rsidP="00577C3E">
            <w:pPr>
              <w:pStyle w:val="TableText"/>
              <w:rPr>
                <w:b/>
                <w:bCs/>
              </w:rPr>
            </w:pPr>
            <w:r w:rsidRPr="00D64ACA">
              <w:rPr>
                <w:b/>
                <w:bCs/>
              </w:rPr>
              <w:t>Frequency that data is available</w:t>
            </w:r>
          </w:p>
        </w:tc>
        <w:tc>
          <w:tcPr>
            <w:tcW w:w="5386" w:type="dxa"/>
          </w:tcPr>
          <w:p w14:paraId="05B374C2" w14:textId="77777777" w:rsidR="002B0938" w:rsidRDefault="002B0938" w:rsidP="00577C3E">
            <w:pPr>
              <w:pStyle w:val="TableText"/>
            </w:pPr>
            <w:r w:rsidRPr="007608DD">
              <w:t>As per Health NZ staff engagement survey programme</w:t>
            </w:r>
          </w:p>
        </w:tc>
      </w:tr>
      <w:tr w:rsidR="002B0938" w14:paraId="3BDD19EB" w14:textId="77777777" w:rsidTr="0028570E">
        <w:tc>
          <w:tcPr>
            <w:tcW w:w="3261" w:type="dxa"/>
            <w:shd w:val="clear" w:color="auto" w:fill="D9D9D9" w:themeFill="background1" w:themeFillShade="D9"/>
          </w:tcPr>
          <w:p w14:paraId="2EF52983" w14:textId="77777777" w:rsidR="002B0938" w:rsidRPr="00D64ACA" w:rsidRDefault="002B0938" w:rsidP="00577C3E">
            <w:pPr>
              <w:pStyle w:val="TableText"/>
              <w:rPr>
                <w:b/>
                <w:bCs/>
              </w:rPr>
            </w:pPr>
            <w:r w:rsidRPr="00D64ACA">
              <w:rPr>
                <w:b/>
                <w:bCs/>
              </w:rPr>
              <w:t>Data period</w:t>
            </w:r>
          </w:p>
        </w:tc>
        <w:tc>
          <w:tcPr>
            <w:tcW w:w="5386" w:type="dxa"/>
          </w:tcPr>
          <w:p w14:paraId="0E465950" w14:textId="77777777" w:rsidR="002B0938" w:rsidRDefault="002B0938" w:rsidP="00577C3E">
            <w:pPr>
              <w:pStyle w:val="TableText"/>
            </w:pPr>
            <w:r w:rsidRPr="007608DD">
              <w:t>Current survey undertaken in 2022/23</w:t>
            </w:r>
          </w:p>
        </w:tc>
      </w:tr>
      <w:tr w:rsidR="002B0938" w14:paraId="37A55E73" w14:textId="77777777" w:rsidTr="0028570E">
        <w:tc>
          <w:tcPr>
            <w:tcW w:w="3261" w:type="dxa"/>
            <w:shd w:val="clear" w:color="auto" w:fill="D9D9D9" w:themeFill="background1" w:themeFillShade="D9"/>
          </w:tcPr>
          <w:p w14:paraId="2C382DA1" w14:textId="77777777" w:rsidR="002B0938" w:rsidRPr="00D64ACA" w:rsidRDefault="002B0938" w:rsidP="00577C3E">
            <w:pPr>
              <w:pStyle w:val="TableText"/>
              <w:rPr>
                <w:b/>
                <w:bCs/>
              </w:rPr>
            </w:pPr>
            <w:r w:rsidRPr="00D64ACA">
              <w:rPr>
                <w:b/>
                <w:bCs/>
              </w:rPr>
              <w:t>Level of disaggregation of data available</w:t>
            </w:r>
          </w:p>
        </w:tc>
        <w:tc>
          <w:tcPr>
            <w:tcW w:w="5386" w:type="dxa"/>
          </w:tcPr>
          <w:p w14:paraId="023B4A7D" w14:textId="77777777" w:rsidR="002B0938" w:rsidRDefault="002B0938" w:rsidP="00577C3E">
            <w:pPr>
              <w:pStyle w:val="TableText"/>
            </w:pPr>
            <w:r w:rsidRPr="007608DD">
              <w:t>n/a</w:t>
            </w:r>
          </w:p>
        </w:tc>
      </w:tr>
      <w:tr w:rsidR="002B0938" w14:paraId="3B195508" w14:textId="77777777" w:rsidTr="0028570E">
        <w:tc>
          <w:tcPr>
            <w:tcW w:w="3261" w:type="dxa"/>
            <w:shd w:val="clear" w:color="auto" w:fill="D9D9D9" w:themeFill="background1" w:themeFillShade="D9"/>
          </w:tcPr>
          <w:p w14:paraId="5E252EBB" w14:textId="77777777" w:rsidR="002B0938" w:rsidRPr="00D64ACA" w:rsidRDefault="002B0938" w:rsidP="00577C3E">
            <w:pPr>
              <w:pStyle w:val="TableText"/>
              <w:rPr>
                <w:b/>
                <w:bCs/>
              </w:rPr>
            </w:pPr>
            <w:r w:rsidRPr="00D64ACA">
              <w:rPr>
                <w:b/>
                <w:bCs/>
              </w:rPr>
              <w:t>Related or prior performance measure code</w:t>
            </w:r>
          </w:p>
        </w:tc>
        <w:tc>
          <w:tcPr>
            <w:tcW w:w="5386" w:type="dxa"/>
          </w:tcPr>
          <w:p w14:paraId="537E9B51" w14:textId="77777777" w:rsidR="002B0938" w:rsidRDefault="002B0938" w:rsidP="00577C3E">
            <w:pPr>
              <w:pStyle w:val="TableText"/>
            </w:pPr>
            <w:r w:rsidRPr="007608DD">
              <w:t>n/a</w:t>
            </w:r>
          </w:p>
        </w:tc>
      </w:tr>
    </w:tbl>
    <w:p w14:paraId="4F2D80A7" w14:textId="77777777" w:rsidR="002B0938" w:rsidRPr="002B0938" w:rsidRDefault="002B0938" w:rsidP="002B0938">
      <w:pPr>
        <w:pStyle w:val="Heading3"/>
        <w:ind w:left="564" w:hanging="564"/>
        <w:rPr>
          <w:rStyle w:val="Heading3Char"/>
          <w:sz w:val="24"/>
          <w:szCs w:val="24"/>
        </w:rPr>
      </w:pPr>
      <w:r w:rsidRPr="002B0938">
        <w:rPr>
          <w:rStyle w:val="Heading3Char"/>
          <w:sz w:val="24"/>
          <w:szCs w:val="24"/>
        </w:rPr>
        <w:t>4.2</w:t>
      </w:r>
      <w:r w:rsidRPr="002B0938">
        <w:rPr>
          <w:rStyle w:val="Heading3Char"/>
          <w:sz w:val="24"/>
          <w:szCs w:val="24"/>
        </w:rPr>
        <w:tab/>
        <w:t>Proportion of Māori and other under-represented groups in the regulated and unregulated health workforce, compared with the proportion of the total population</w:t>
      </w:r>
    </w:p>
    <w:p w14:paraId="58BE1403" w14:textId="77777777" w:rsidR="002B0938" w:rsidRDefault="002B0938" w:rsidP="002B0938">
      <w:pPr>
        <w:rPr>
          <w:b/>
          <w:bCs/>
        </w:rPr>
      </w:pPr>
      <w:r w:rsidRPr="00D64ACA">
        <w:rPr>
          <w:b/>
          <w:bCs/>
        </w:rPr>
        <w:t>Regulated workforce</w:t>
      </w:r>
    </w:p>
    <w:p w14:paraId="0F128CF6" w14:textId="77777777" w:rsidR="002B0938" w:rsidRDefault="002B0938" w:rsidP="002B0938">
      <w:pPr>
        <w:rPr>
          <w:b/>
          <w:bCs/>
        </w:rPr>
      </w:pPr>
    </w:p>
    <w:p w14:paraId="55B672FC" w14:textId="77777777" w:rsidR="002B0938" w:rsidRPr="007608DD" w:rsidRDefault="002B0938" w:rsidP="002B0938">
      <w:r w:rsidRPr="007608DD">
        <w:t xml:space="preserve">Initially this will focus on the professions of doctors, midwives and nurses as reported in </w:t>
      </w:r>
      <w:proofErr w:type="spellStart"/>
      <w:r w:rsidRPr="007608DD">
        <w:t>Whakamaua</w:t>
      </w:r>
      <w:proofErr w:type="spellEnd"/>
      <w:r w:rsidRPr="007608DD">
        <w:t xml:space="preserve"> 2.3</w:t>
      </w:r>
      <w:r>
        <w:t>.</w:t>
      </w:r>
    </w:p>
    <w:p w14:paraId="53662189" w14:textId="77777777" w:rsidR="002B0938" w:rsidRPr="007608DD" w:rsidRDefault="002B0938" w:rsidP="002B0938"/>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32BEC761" w14:textId="77777777" w:rsidTr="0028570E">
        <w:tc>
          <w:tcPr>
            <w:tcW w:w="3261" w:type="dxa"/>
            <w:shd w:val="clear" w:color="auto" w:fill="D9D9D9" w:themeFill="background1" w:themeFillShade="D9"/>
          </w:tcPr>
          <w:p w14:paraId="10216581" w14:textId="77777777" w:rsidR="002B0938" w:rsidRPr="00D64ACA" w:rsidRDefault="002B0938" w:rsidP="00577C3E">
            <w:pPr>
              <w:pStyle w:val="TableText"/>
              <w:rPr>
                <w:b/>
                <w:bCs/>
              </w:rPr>
            </w:pPr>
            <w:r w:rsidRPr="00D64ACA">
              <w:rPr>
                <w:b/>
                <w:bCs/>
              </w:rPr>
              <w:t>Expectation for July 2022 – June 2024</w:t>
            </w:r>
          </w:p>
        </w:tc>
        <w:tc>
          <w:tcPr>
            <w:tcW w:w="5386" w:type="dxa"/>
          </w:tcPr>
          <w:p w14:paraId="6C3FCC72" w14:textId="77777777" w:rsidR="002B0938" w:rsidRPr="007608DD" w:rsidRDefault="002B0938" w:rsidP="00577C3E">
            <w:pPr>
              <w:pStyle w:val="TableText"/>
            </w:pPr>
            <w:r w:rsidRPr="007608DD">
              <w:t xml:space="preserve">An increase from data collected at a specific point in time during the calendar year 2021(baseline). (The point in time during the year is different for each profession.) </w:t>
            </w:r>
          </w:p>
          <w:p w14:paraId="66930F4C" w14:textId="77777777" w:rsidR="002B0938" w:rsidRDefault="002B0938" w:rsidP="00577C3E">
            <w:pPr>
              <w:pStyle w:val="TableText"/>
            </w:pPr>
            <w:r w:rsidRPr="007608DD">
              <w:t>The representative proportion for Māori is 17.4%, the proportion of the Māori population in 2022.</w:t>
            </w:r>
          </w:p>
        </w:tc>
      </w:tr>
      <w:tr w:rsidR="002B0938" w14:paraId="4322107F" w14:textId="77777777" w:rsidTr="0028570E">
        <w:tc>
          <w:tcPr>
            <w:tcW w:w="3261" w:type="dxa"/>
            <w:shd w:val="clear" w:color="auto" w:fill="D9D9D9" w:themeFill="background1" w:themeFillShade="D9"/>
          </w:tcPr>
          <w:p w14:paraId="5BF395E0" w14:textId="77777777" w:rsidR="002B0938" w:rsidRPr="00D64ACA" w:rsidRDefault="002B0938" w:rsidP="00577C3E">
            <w:pPr>
              <w:pStyle w:val="TableText"/>
              <w:rPr>
                <w:b/>
                <w:bCs/>
              </w:rPr>
            </w:pPr>
            <w:r w:rsidRPr="00D64ACA">
              <w:rPr>
                <w:b/>
                <w:bCs/>
              </w:rPr>
              <w:t>Data source</w:t>
            </w:r>
          </w:p>
        </w:tc>
        <w:tc>
          <w:tcPr>
            <w:tcW w:w="5386" w:type="dxa"/>
          </w:tcPr>
          <w:p w14:paraId="2AC990B6" w14:textId="77777777" w:rsidR="002B0938" w:rsidRDefault="002B0938" w:rsidP="00577C3E">
            <w:pPr>
              <w:pStyle w:val="TableText"/>
            </w:pPr>
            <w:r w:rsidRPr="009836DA">
              <w:t>Registration data from professional councils</w:t>
            </w:r>
          </w:p>
          <w:p w14:paraId="11C163E5" w14:textId="77777777" w:rsidR="002B0938" w:rsidRDefault="002B0938" w:rsidP="00577C3E">
            <w:pPr>
              <w:pStyle w:val="TableText"/>
            </w:pPr>
            <w:r w:rsidRPr="007608DD">
              <w:t>Statistics New Zealand annual Māori population estimates</w:t>
            </w:r>
          </w:p>
        </w:tc>
      </w:tr>
      <w:tr w:rsidR="002B0938" w14:paraId="20DE7309" w14:textId="77777777" w:rsidTr="0028570E">
        <w:tc>
          <w:tcPr>
            <w:tcW w:w="3261" w:type="dxa"/>
            <w:shd w:val="clear" w:color="auto" w:fill="D9D9D9" w:themeFill="background1" w:themeFillShade="D9"/>
          </w:tcPr>
          <w:p w14:paraId="0CDFBCD8" w14:textId="77777777" w:rsidR="002B0938" w:rsidRPr="00D64ACA" w:rsidRDefault="002B0938" w:rsidP="00577C3E">
            <w:pPr>
              <w:pStyle w:val="TableText"/>
              <w:rPr>
                <w:b/>
                <w:bCs/>
              </w:rPr>
            </w:pPr>
            <w:r w:rsidRPr="00D64ACA">
              <w:rPr>
                <w:b/>
                <w:bCs/>
              </w:rPr>
              <w:t>If quantitative, measurement definitions</w:t>
            </w:r>
          </w:p>
        </w:tc>
        <w:tc>
          <w:tcPr>
            <w:tcW w:w="5386" w:type="dxa"/>
          </w:tcPr>
          <w:p w14:paraId="7E5C62BD" w14:textId="77777777" w:rsidR="002B0938" w:rsidRPr="007608DD" w:rsidRDefault="002B0938" w:rsidP="00577C3E">
            <w:pPr>
              <w:pStyle w:val="TableText"/>
            </w:pPr>
            <w:r w:rsidRPr="007608DD">
              <w:t>Numerator: Number of Māori or number of other under-represented groups across regulated professions of doctors, midwives and nurses.</w:t>
            </w:r>
          </w:p>
          <w:p w14:paraId="3944D64F" w14:textId="77777777" w:rsidR="002B0938" w:rsidRDefault="002B0938" w:rsidP="00577C3E">
            <w:pPr>
              <w:pStyle w:val="TableText"/>
            </w:pPr>
            <w:r w:rsidRPr="007608DD">
              <w:t>Denominator: Total number in each regulated profession of midwives, nurses and doctors</w:t>
            </w:r>
          </w:p>
        </w:tc>
      </w:tr>
      <w:tr w:rsidR="002B0938" w14:paraId="1A820077" w14:textId="77777777" w:rsidTr="0028570E">
        <w:tc>
          <w:tcPr>
            <w:tcW w:w="3261" w:type="dxa"/>
            <w:shd w:val="clear" w:color="auto" w:fill="D9D9D9" w:themeFill="background1" w:themeFillShade="D9"/>
          </w:tcPr>
          <w:p w14:paraId="10EFEE0C" w14:textId="77777777" w:rsidR="002B0938" w:rsidRPr="00D64ACA" w:rsidRDefault="002B0938" w:rsidP="00577C3E">
            <w:pPr>
              <w:pStyle w:val="TableText"/>
              <w:rPr>
                <w:b/>
                <w:bCs/>
              </w:rPr>
            </w:pPr>
            <w:r w:rsidRPr="00D64ACA">
              <w:rPr>
                <w:b/>
                <w:bCs/>
              </w:rPr>
              <w:t>Data period</w:t>
            </w:r>
          </w:p>
        </w:tc>
        <w:tc>
          <w:tcPr>
            <w:tcW w:w="5386" w:type="dxa"/>
          </w:tcPr>
          <w:p w14:paraId="5F8C0AAA" w14:textId="77777777" w:rsidR="002B0938" w:rsidRDefault="002B0938" w:rsidP="00577C3E">
            <w:pPr>
              <w:pStyle w:val="TableText"/>
            </w:pPr>
            <w:r w:rsidRPr="00370EFF">
              <w:t>Annual – starting date of 12-month period variable between professional councils</w:t>
            </w:r>
          </w:p>
        </w:tc>
      </w:tr>
      <w:tr w:rsidR="002B0938" w14:paraId="59EAFCFD" w14:textId="77777777" w:rsidTr="0028570E">
        <w:tc>
          <w:tcPr>
            <w:tcW w:w="3261" w:type="dxa"/>
            <w:shd w:val="clear" w:color="auto" w:fill="D9D9D9" w:themeFill="background1" w:themeFillShade="D9"/>
          </w:tcPr>
          <w:p w14:paraId="08588D81" w14:textId="77777777" w:rsidR="002B0938" w:rsidRPr="00D64ACA" w:rsidRDefault="002B0938" w:rsidP="00577C3E">
            <w:pPr>
              <w:pStyle w:val="TableText"/>
              <w:rPr>
                <w:b/>
                <w:bCs/>
              </w:rPr>
            </w:pPr>
            <w:r w:rsidRPr="00D64ACA">
              <w:rPr>
                <w:b/>
                <w:bCs/>
              </w:rPr>
              <w:lastRenderedPageBreak/>
              <w:t>Frequency that data is available</w:t>
            </w:r>
          </w:p>
        </w:tc>
        <w:tc>
          <w:tcPr>
            <w:tcW w:w="5386" w:type="dxa"/>
          </w:tcPr>
          <w:p w14:paraId="48395126" w14:textId="77777777" w:rsidR="002B0938" w:rsidRDefault="002B0938" w:rsidP="00577C3E">
            <w:pPr>
              <w:pStyle w:val="TableText"/>
            </w:pPr>
            <w:r w:rsidRPr="00370EFF">
              <w:t>Annual – starting date of 12-month period variable between professional councils</w:t>
            </w:r>
          </w:p>
        </w:tc>
      </w:tr>
      <w:tr w:rsidR="002B0938" w14:paraId="154E2A96" w14:textId="77777777" w:rsidTr="0028570E">
        <w:tc>
          <w:tcPr>
            <w:tcW w:w="3261" w:type="dxa"/>
            <w:shd w:val="clear" w:color="auto" w:fill="D9D9D9" w:themeFill="background1" w:themeFillShade="D9"/>
          </w:tcPr>
          <w:p w14:paraId="26F85C1D" w14:textId="77777777" w:rsidR="002B0938" w:rsidRPr="00D64ACA" w:rsidRDefault="002B0938" w:rsidP="00577C3E">
            <w:pPr>
              <w:pStyle w:val="TableText"/>
              <w:rPr>
                <w:b/>
                <w:bCs/>
              </w:rPr>
            </w:pPr>
            <w:r w:rsidRPr="00D64ACA">
              <w:rPr>
                <w:b/>
                <w:bCs/>
              </w:rPr>
              <w:t>Level of disaggregation of data available</w:t>
            </w:r>
          </w:p>
        </w:tc>
        <w:tc>
          <w:tcPr>
            <w:tcW w:w="5386" w:type="dxa"/>
          </w:tcPr>
          <w:p w14:paraId="20F29516" w14:textId="77777777" w:rsidR="002B0938" w:rsidRDefault="002B0938" w:rsidP="00577C3E">
            <w:pPr>
              <w:pStyle w:val="TableText"/>
            </w:pPr>
            <w:r w:rsidRPr="00370EFF">
              <w:t>Ethnicity</w:t>
            </w:r>
            <w:r>
              <w:t>, profession</w:t>
            </w:r>
          </w:p>
        </w:tc>
      </w:tr>
      <w:tr w:rsidR="002B0938" w14:paraId="7DFEAB8D" w14:textId="77777777" w:rsidTr="0028570E">
        <w:tc>
          <w:tcPr>
            <w:tcW w:w="3261" w:type="dxa"/>
            <w:shd w:val="clear" w:color="auto" w:fill="D9D9D9" w:themeFill="background1" w:themeFillShade="D9"/>
          </w:tcPr>
          <w:p w14:paraId="72C47BCE" w14:textId="77777777" w:rsidR="002B0938" w:rsidRPr="00D64ACA" w:rsidRDefault="002B0938" w:rsidP="00577C3E">
            <w:pPr>
              <w:pStyle w:val="TableText"/>
              <w:rPr>
                <w:b/>
                <w:bCs/>
              </w:rPr>
            </w:pPr>
            <w:r w:rsidRPr="00D64ACA">
              <w:rPr>
                <w:b/>
                <w:bCs/>
              </w:rPr>
              <w:t>Related or prior performance measure code</w:t>
            </w:r>
          </w:p>
        </w:tc>
        <w:tc>
          <w:tcPr>
            <w:tcW w:w="5386" w:type="dxa"/>
          </w:tcPr>
          <w:p w14:paraId="76CE7A54" w14:textId="77777777" w:rsidR="002B0938" w:rsidRDefault="002B0938" w:rsidP="00577C3E">
            <w:pPr>
              <w:pStyle w:val="TableText"/>
            </w:pPr>
            <w:proofErr w:type="spellStart"/>
            <w:r>
              <w:t>Whakamaua</w:t>
            </w:r>
            <w:proofErr w:type="spellEnd"/>
            <w:r>
              <w:t xml:space="preserve"> measure 2.3</w:t>
            </w:r>
          </w:p>
          <w:p w14:paraId="6A37E951" w14:textId="52D5569C" w:rsidR="002B0938" w:rsidRPr="007E56E2" w:rsidRDefault="00000000" w:rsidP="00577C3E">
            <w:pPr>
              <w:pStyle w:val="TableText"/>
              <w:rPr>
                <w:szCs w:val="18"/>
              </w:rPr>
            </w:pPr>
            <w:hyperlink r:id="rId57" w:history="1">
              <w:r w:rsidR="0087510D">
                <w:rPr>
                  <w:rStyle w:val="Hyperlink"/>
                  <w:szCs w:val="18"/>
                </w:rPr>
                <w:t>https://www.health.govt.nz/maori-health/whakamaua-maori-health-action-plan-2020-2025</w:t>
              </w:r>
            </w:hyperlink>
          </w:p>
        </w:tc>
      </w:tr>
    </w:tbl>
    <w:p w14:paraId="2E084C57" w14:textId="77777777" w:rsidR="002B0938" w:rsidRDefault="002B0938" w:rsidP="002B0938"/>
    <w:p w14:paraId="0F6572DC" w14:textId="77777777" w:rsidR="002B0938" w:rsidRDefault="002B0938" w:rsidP="002B0938">
      <w:pPr>
        <w:rPr>
          <w:b/>
          <w:bCs/>
        </w:rPr>
      </w:pPr>
      <w:r w:rsidRPr="007430AD">
        <w:rPr>
          <w:b/>
          <w:bCs/>
        </w:rPr>
        <w:t>Unregulated workforce</w:t>
      </w:r>
    </w:p>
    <w:p w14:paraId="41F41FD0" w14:textId="77777777" w:rsidR="002B0938" w:rsidRPr="007430AD" w:rsidRDefault="002B0938" w:rsidP="002B0938">
      <w:pPr>
        <w:rPr>
          <w:b/>
          <w:bCs/>
        </w:rPr>
      </w:pPr>
    </w:p>
    <w:p w14:paraId="4D7549C0" w14:textId="77777777" w:rsidR="002B0938" w:rsidRDefault="002B0938" w:rsidP="002B0938">
      <w:r>
        <w:t>Initially this will focus on unregulated Health NZ (HNZ) employed workforce.</w:t>
      </w:r>
    </w:p>
    <w:p w14:paraId="279B26C4" w14:textId="77777777" w:rsidR="002B0938" w:rsidRDefault="002B0938" w:rsidP="002B0938"/>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6CE5006D" w14:textId="77777777" w:rsidTr="0028570E">
        <w:tc>
          <w:tcPr>
            <w:tcW w:w="3261" w:type="dxa"/>
            <w:shd w:val="clear" w:color="auto" w:fill="D9D9D9" w:themeFill="background1" w:themeFillShade="D9"/>
          </w:tcPr>
          <w:p w14:paraId="062AE2C8" w14:textId="77777777" w:rsidR="002B0938" w:rsidRPr="00D64ACA" w:rsidRDefault="002B0938" w:rsidP="00577C3E">
            <w:pPr>
              <w:pStyle w:val="TableText"/>
              <w:rPr>
                <w:b/>
                <w:bCs/>
              </w:rPr>
            </w:pPr>
            <w:r w:rsidRPr="00D64ACA">
              <w:rPr>
                <w:b/>
                <w:bCs/>
              </w:rPr>
              <w:t>Expectation for July 2022 – June 2024</w:t>
            </w:r>
          </w:p>
        </w:tc>
        <w:tc>
          <w:tcPr>
            <w:tcW w:w="5386" w:type="dxa"/>
          </w:tcPr>
          <w:p w14:paraId="364AC143" w14:textId="77777777" w:rsidR="002B0938" w:rsidRDefault="002B0938" w:rsidP="00577C3E">
            <w:pPr>
              <w:pStyle w:val="TableText"/>
            </w:pPr>
            <w:r w:rsidRPr="00F746AF">
              <w:t>An increase from the 12 months to 30 June 2022 (baseline)</w:t>
            </w:r>
          </w:p>
        </w:tc>
      </w:tr>
      <w:tr w:rsidR="002B0938" w14:paraId="5F810F78" w14:textId="77777777" w:rsidTr="0028570E">
        <w:tc>
          <w:tcPr>
            <w:tcW w:w="3261" w:type="dxa"/>
            <w:shd w:val="clear" w:color="auto" w:fill="D9D9D9" w:themeFill="background1" w:themeFillShade="D9"/>
          </w:tcPr>
          <w:p w14:paraId="284E54AE" w14:textId="77777777" w:rsidR="002B0938" w:rsidRPr="00D64ACA" w:rsidRDefault="002B0938" w:rsidP="00577C3E">
            <w:pPr>
              <w:pStyle w:val="TableText"/>
              <w:rPr>
                <w:b/>
                <w:bCs/>
              </w:rPr>
            </w:pPr>
            <w:r w:rsidRPr="00D64ACA">
              <w:rPr>
                <w:b/>
                <w:bCs/>
              </w:rPr>
              <w:t>Data source</w:t>
            </w:r>
          </w:p>
        </w:tc>
        <w:tc>
          <w:tcPr>
            <w:tcW w:w="5386" w:type="dxa"/>
          </w:tcPr>
          <w:p w14:paraId="60134D15" w14:textId="77777777" w:rsidR="002B0938" w:rsidRDefault="002B0938" w:rsidP="00577C3E">
            <w:pPr>
              <w:pStyle w:val="TableText"/>
            </w:pPr>
            <w:r w:rsidRPr="00F746AF">
              <w:t>Initially Health</w:t>
            </w:r>
            <w:r>
              <w:t xml:space="preserve"> </w:t>
            </w:r>
            <w:r w:rsidRPr="00034567">
              <w:t>Workforce Information Programme (HWIP) data will be used.</w:t>
            </w:r>
          </w:p>
        </w:tc>
      </w:tr>
      <w:tr w:rsidR="002B0938" w14:paraId="2A6C63D7" w14:textId="77777777" w:rsidTr="0028570E">
        <w:tc>
          <w:tcPr>
            <w:tcW w:w="3261" w:type="dxa"/>
            <w:shd w:val="clear" w:color="auto" w:fill="D9D9D9" w:themeFill="background1" w:themeFillShade="D9"/>
          </w:tcPr>
          <w:p w14:paraId="753B5D8F" w14:textId="77777777" w:rsidR="002B0938" w:rsidRPr="00D64ACA" w:rsidRDefault="002B0938" w:rsidP="00577C3E">
            <w:pPr>
              <w:pStyle w:val="TableText"/>
              <w:rPr>
                <w:b/>
                <w:bCs/>
              </w:rPr>
            </w:pPr>
            <w:r w:rsidRPr="00D64ACA">
              <w:rPr>
                <w:b/>
                <w:bCs/>
              </w:rPr>
              <w:t>If quantitative, measurement definitions</w:t>
            </w:r>
          </w:p>
        </w:tc>
        <w:tc>
          <w:tcPr>
            <w:tcW w:w="5386" w:type="dxa"/>
          </w:tcPr>
          <w:p w14:paraId="01813788" w14:textId="77777777" w:rsidR="002B0938" w:rsidRPr="00E94F1E" w:rsidRDefault="002B0938" w:rsidP="00577C3E">
            <w:pPr>
              <w:pStyle w:val="TableText"/>
            </w:pPr>
            <w:r w:rsidRPr="00E94F1E">
              <w:t>Common Chart of Accounts occupation groupings of ‘Support Personnel’, and ‘Management and Administration’ will be used in the interim.</w:t>
            </w:r>
          </w:p>
          <w:p w14:paraId="553C0431" w14:textId="77777777" w:rsidR="002B0938" w:rsidRPr="00E94F1E" w:rsidRDefault="002B0938" w:rsidP="00577C3E">
            <w:pPr>
              <w:pStyle w:val="TableText"/>
            </w:pPr>
            <w:r w:rsidRPr="00E94F1E">
              <w:t xml:space="preserve">Numerator: Total number FTE of Māori and Pacific across unregulated professions of Support Personnel, and Management and Administration employed by HNZ </w:t>
            </w:r>
          </w:p>
          <w:p w14:paraId="7A79B6F2" w14:textId="77777777" w:rsidR="002B0938" w:rsidRDefault="002B0938" w:rsidP="00577C3E">
            <w:pPr>
              <w:pStyle w:val="TableText"/>
            </w:pPr>
            <w:r w:rsidRPr="00E94F1E">
              <w:t>Denominator: Total number FTE in unregulated professions of Support Personnel, and Management and Administration employed by HNZ</w:t>
            </w:r>
          </w:p>
        </w:tc>
      </w:tr>
      <w:tr w:rsidR="002B0938" w14:paraId="46149EA2" w14:textId="77777777" w:rsidTr="0028570E">
        <w:tc>
          <w:tcPr>
            <w:tcW w:w="3261" w:type="dxa"/>
            <w:shd w:val="clear" w:color="auto" w:fill="D9D9D9" w:themeFill="background1" w:themeFillShade="D9"/>
          </w:tcPr>
          <w:p w14:paraId="1B3F07C0" w14:textId="77777777" w:rsidR="002B0938" w:rsidRPr="00D64ACA" w:rsidRDefault="002B0938" w:rsidP="00577C3E">
            <w:pPr>
              <w:pStyle w:val="TableText"/>
              <w:rPr>
                <w:b/>
                <w:bCs/>
              </w:rPr>
            </w:pPr>
            <w:r w:rsidRPr="00D64ACA">
              <w:rPr>
                <w:b/>
                <w:bCs/>
              </w:rPr>
              <w:t>Data period</w:t>
            </w:r>
          </w:p>
        </w:tc>
        <w:tc>
          <w:tcPr>
            <w:tcW w:w="5386" w:type="dxa"/>
          </w:tcPr>
          <w:p w14:paraId="5C18FFA7" w14:textId="77777777" w:rsidR="002B0938" w:rsidRDefault="002B0938" w:rsidP="00577C3E">
            <w:pPr>
              <w:pStyle w:val="TableText"/>
            </w:pPr>
            <w:r>
              <w:t>Quarterly</w:t>
            </w:r>
          </w:p>
        </w:tc>
      </w:tr>
      <w:tr w:rsidR="002B0938" w14:paraId="6160C68A" w14:textId="77777777" w:rsidTr="0028570E">
        <w:tc>
          <w:tcPr>
            <w:tcW w:w="3261" w:type="dxa"/>
            <w:shd w:val="clear" w:color="auto" w:fill="D9D9D9" w:themeFill="background1" w:themeFillShade="D9"/>
          </w:tcPr>
          <w:p w14:paraId="20167516" w14:textId="77777777" w:rsidR="002B0938" w:rsidRPr="00D64ACA" w:rsidRDefault="002B0938" w:rsidP="00577C3E">
            <w:pPr>
              <w:pStyle w:val="TableText"/>
              <w:rPr>
                <w:b/>
                <w:bCs/>
              </w:rPr>
            </w:pPr>
            <w:r w:rsidRPr="00D64ACA">
              <w:rPr>
                <w:b/>
                <w:bCs/>
              </w:rPr>
              <w:t>Frequency that data is available</w:t>
            </w:r>
          </w:p>
        </w:tc>
        <w:tc>
          <w:tcPr>
            <w:tcW w:w="5386" w:type="dxa"/>
          </w:tcPr>
          <w:p w14:paraId="1896845E" w14:textId="77777777" w:rsidR="002B0938" w:rsidRDefault="002B0938" w:rsidP="00577C3E">
            <w:pPr>
              <w:pStyle w:val="TableText"/>
            </w:pPr>
            <w:r>
              <w:t>Quarterly</w:t>
            </w:r>
          </w:p>
        </w:tc>
      </w:tr>
      <w:tr w:rsidR="002B0938" w14:paraId="248F37DB" w14:textId="77777777" w:rsidTr="0028570E">
        <w:tc>
          <w:tcPr>
            <w:tcW w:w="3261" w:type="dxa"/>
            <w:shd w:val="clear" w:color="auto" w:fill="D9D9D9" w:themeFill="background1" w:themeFillShade="D9"/>
          </w:tcPr>
          <w:p w14:paraId="58AD8568" w14:textId="77777777" w:rsidR="002B0938" w:rsidRPr="00D64ACA" w:rsidRDefault="002B0938" w:rsidP="00577C3E">
            <w:pPr>
              <w:pStyle w:val="TableText"/>
              <w:rPr>
                <w:b/>
                <w:bCs/>
              </w:rPr>
            </w:pPr>
            <w:r w:rsidRPr="00D64ACA">
              <w:rPr>
                <w:b/>
                <w:bCs/>
              </w:rPr>
              <w:t>Level of disaggregation of data available</w:t>
            </w:r>
          </w:p>
        </w:tc>
        <w:tc>
          <w:tcPr>
            <w:tcW w:w="5386" w:type="dxa"/>
          </w:tcPr>
          <w:p w14:paraId="13E3C87E" w14:textId="77777777" w:rsidR="002B0938" w:rsidRDefault="002B0938" w:rsidP="00577C3E">
            <w:pPr>
              <w:pStyle w:val="TableText"/>
            </w:pPr>
            <w:r w:rsidRPr="00F746AF">
              <w:t>Ethnicity</w:t>
            </w:r>
          </w:p>
        </w:tc>
      </w:tr>
      <w:tr w:rsidR="002B0938" w14:paraId="031CDF41" w14:textId="77777777" w:rsidTr="0028570E">
        <w:tc>
          <w:tcPr>
            <w:tcW w:w="3261" w:type="dxa"/>
            <w:shd w:val="clear" w:color="auto" w:fill="D9D9D9" w:themeFill="background1" w:themeFillShade="D9"/>
          </w:tcPr>
          <w:p w14:paraId="255E9B3C" w14:textId="77777777" w:rsidR="002B0938" w:rsidRPr="00D64ACA" w:rsidRDefault="002B0938" w:rsidP="00577C3E">
            <w:pPr>
              <w:pStyle w:val="TableText"/>
              <w:rPr>
                <w:b/>
                <w:bCs/>
              </w:rPr>
            </w:pPr>
            <w:r w:rsidRPr="00D64ACA">
              <w:rPr>
                <w:b/>
                <w:bCs/>
              </w:rPr>
              <w:t>Related or prior performance measure code</w:t>
            </w:r>
          </w:p>
        </w:tc>
        <w:tc>
          <w:tcPr>
            <w:tcW w:w="5386" w:type="dxa"/>
          </w:tcPr>
          <w:p w14:paraId="39761BFF" w14:textId="77777777" w:rsidR="002B0938" w:rsidRDefault="002B0938" w:rsidP="00577C3E">
            <w:pPr>
              <w:pStyle w:val="TableText"/>
            </w:pPr>
            <w:r w:rsidRPr="00D64ACA">
              <w:t>n/a</w:t>
            </w:r>
          </w:p>
        </w:tc>
      </w:tr>
    </w:tbl>
    <w:p w14:paraId="027060A6" w14:textId="1EC1CDD2" w:rsidR="002B0938" w:rsidRPr="00F87540" w:rsidRDefault="002B0938" w:rsidP="00F87540">
      <w:pPr>
        <w:pStyle w:val="Heading3"/>
        <w:ind w:left="564" w:hanging="564"/>
        <w:rPr>
          <w:sz w:val="24"/>
          <w:szCs w:val="24"/>
        </w:rPr>
      </w:pPr>
      <w:r w:rsidRPr="002B0938">
        <w:rPr>
          <w:rStyle w:val="Heading3Char"/>
          <w:sz w:val="24"/>
          <w:szCs w:val="24"/>
        </w:rPr>
        <w:t>4.3</w:t>
      </w:r>
      <w:r w:rsidRPr="002B0938">
        <w:rPr>
          <w:rStyle w:val="Heading3Char"/>
          <w:sz w:val="24"/>
          <w:szCs w:val="24"/>
        </w:rPr>
        <w:tab/>
        <w:t>Number and proportion of graduates of health training programmes from demographic groups under-represented in the health workforce, compared with the proportion of the total population</w:t>
      </w: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0E5D6D21" w14:textId="77777777" w:rsidTr="0028570E">
        <w:tc>
          <w:tcPr>
            <w:tcW w:w="3261" w:type="dxa"/>
            <w:shd w:val="clear" w:color="auto" w:fill="D9D9D9" w:themeFill="background1" w:themeFillShade="D9"/>
          </w:tcPr>
          <w:p w14:paraId="2C3881F2" w14:textId="77777777" w:rsidR="002B0938" w:rsidRPr="007430AD" w:rsidRDefault="002B0938" w:rsidP="00577C3E">
            <w:pPr>
              <w:pStyle w:val="TableText"/>
              <w:rPr>
                <w:b/>
                <w:bCs/>
              </w:rPr>
            </w:pPr>
            <w:r w:rsidRPr="007430AD">
              <w:rPr>
                <w:b/>
                <w:bCs/>
              </w:rPr>
              <w:t>Expectation for July 2022 – June 2024</w:t>
            </w:r>
          </w:p>
        </w:tc>
        <w:tc>
          <w:tcPr>
            <w:tcW w:w="5386" w:type="dxa"/>
          </w:tcPr>
          <w:p w14:paraId="0EDDD8E4" w14:textId="77777777" w:rsidR="002B0938" w:rsidRPr="004578A4" w:rsidRDefault="002B0938" w:rsidP="00577C3E">
            <w:pPr>
              <w:pStyle w:val="TableText"/>
            </w:pPr>
            <w:r w:rsidRPr="004578A4">
              <w:t>Establish a baseline in year one, and this baseline will inform the expectation for year two</w:t>
            </w:r>
          </w:p>
          <w:p w14:paraId="6FD6613E" w14:textId="77777777" w:rsidR="002B0938" w:rsidRDefault="002B0938" w:rsidP="00577C3E">
            <w:pPr>
              <w:pStyle w:val="TableText"/>
            </w:pPr>
            <w:r w:rsidRPr="004578A4">
              <w:t xml:space="preserve">Baseline for year two: An increase from 2022 calendar year </w:t>
            </w:r>
          </w:p>
        </w:tc>
      </w:tr>
      <w:tr w:rsidR="002B0938" w14:paraId="3384FA41" w14:textId="77777777" w:rsidTr="0028570E">
        <w:tc>
          <w:tcPr>
            <w:tcW w:w="3261" w:type="dxa"/>
            <w:shd w:val="clear" w:color="auto" w:fill="D9D9D9" w:themeFill="background1" w:themeFillShade="D9"/>
          </w:tcPr>
          <w:p w14:paraId="31304A27" w14:textId="77777777" w:rsidR="002B0938" w:rsidRPr="007430AD" w:rsidRDefault="002B0938" w:rsidP="00577C3E">
            <w:pPr>
              <w:pStyle w:val="TableText"/>
              <w:rPr>
                <w:b/>
                <w:bCs/>
              </w:rPr>
            </w:pPr>
            <w:r w:rsidRPr="007430AD">
              <w:rPr>
                <w:b/>
                <w:bCs/>
              </w:rPr>
              <w:t>Data source</w:t>
            </w:r>
          </w:p>
        </w:tc>
        <w:tc>
          <w:tcPr>
            <w:tcW w:w="5386" w:type="dxa"/>
          </w:tcPr>
          <w:p w14:paraId="249998BB" w14:textId="77777777" w:rsidR="002B0938" w:rsidRDefault="002B0938" w:rsidP="00577C3E">
            <w:pPr>
              <w:pStyle w:val="TableText"/>
            </w:pPr>
            <w:r w:rsidRPr="004578A4">
              <w:t>Ministry of Education</w:t>
            </w:r>
          </w:p>
        </w:tc>
      </w:tr>
      <w:tr w:rsidR="002B0938" w14:paraId="4E3F25EA" w14:textId="77777777" w:rsidTr="0028570E">
        <w:tc>
          <w:tcPr>
            <w:tcW w:w="3261" w:type="dxa"/>
            <w:shd w:val="clear" w:color="auto" w:fill="D9D9D9" w:themeFill="background1" w:themeFillShade="D9"/>
          </w:tcPr>
          <w:p w14:paraId="0F814B8F" w14:textId="77777777" w:rsidR="002B0938" w:rsidRPr="007430AD" w:rsidRDefault="002B0938" w:rsidP="00577C3E">
            <w:pPr>
              <w:pStyle w:val="TableText"/>
              <w:rPr>
                <w:b/>
                <w:bCs/>
              </w:rPr>
            </w:pPr>
            <w:r w:rsidRPr="007430AD">
              <w:rPr>
                <w:b/>
                <w:bCs/>
              </w:rPr>
              <w:t>If quantitative, measurement definitions</w:t>
            </w:r>
          </w:p>
        </w:tc>
        <w:tc>
          <w:tcPr>
            <w:tcW w:w="5386" w:type="dxa"/>
          </w:tcPr>
          <w:p w14:paraId="6E3C6C69" w14:textId="77777777" w:rsidR="002B0938" w:rsidRPr="004578A4" w:rsidRDefault="002B0938" w:rsidP="00577C3E">
            <w:pPr>
              <w:pStyle w:val="TableText"/>
            </w:pPr>
            <w:r w:rsidRPr="004578A4">
              <w:t>Numerator: Number of Māori domestic students that graduated with relevant health qualifications in New Zealand</w:t>
            </w:r>
          </w:p>
          <w:p w14:paraId="1F17F294" w14:textId="77777777" w:rsidR="002B0938" w:rsidRPr="004578A4" w:rsidRDefault="002B0938" w:rsidP="00577C3E">
            <w:pPr>
              <w:pStyle w:val="TableText"/>
            </w:pPr>
            <w:r w:rsidRPr="004578A4">
              <w:t>Denominator: Total number of domestic students that graduated with relevant health qualifications in New Zealand</w:t>
            </w:r>
          </w:p>
          <w:p w14:paraId="74C1EA1C" w14:textId="77777777" w:rsidR="002B0938" w:rsidRDefault="002B0938" w:rsidP="00577C3E">
            <w:pPr>
              <w:pStyle w:val="TableText"/>
            </w:pPr>
            <w:r w:rsidRPr="004578A4">
              <w:lastRenderedPageBreak/>
              <w:t>For study in: Counselling, Dentistry, Medical Imaging Technology, Medicine, Midwifery, Nursing (Enrolled, Registered), Occupational Therapy, Pharmacy, Occupational Therapy, Oral Health Therapy,</w:t>
            </w:r>
            <w:r>
              <w:t xml:space="preserve"> </w:t>
            </w:r>
            <w:r w:rsidRPr="004578A4">
              <w:t>Physiotherapy, Social work and Other (</w:t>
            </w:r>
            <w:proofErr w:type="spellStart"/>
            <w:r w:rsidRPr="004578A4">
              <w:t>eg</w:t>
            </w:r>
            <w:proofErr w:type="spellEnd"/>
            <w:r w:rsidRPr="004578A4">
              <w:t>, Optometry, Podiatry)</w:t>
            </w:r>
          </w:p>
        </w:tc>
      </w:tr>
      <w:tr w:rsidR="002B0938" w14:paraId="49789E1F" w14:textId="77777777" w:rsidTr="0028570E">
        <w:tc>
          <w:tcPr>
            <w:tcW w:w="3261" w:type="dxa"/>
            <w:shd w:val="clear" w:color="auto" w:fill="D9D9D9" w:themeFill="background1" w:themeFillShade="D9"/>
          </w:tcPr>
          <w:p w14:paraId="679E51A8" w14:textId="77777777" w:rsidR="002B0938" w:rsidRPr="007430AD" w:rsidRDefault="002B0938" w:rsidP="00577C3E">
            <w:pPr>
              <w:pStyle w:val="TableText"/>
              <w:rPr>
                <w:b/>
                <w:bCs/>
              </w:rPr>
            </w:pPr>
            <w:r w:rsidRPr="007430AD">
              <w:rPr>
                <w:b/>
                <w:bCs/>
              </w:rPr>
              <w:t>Frequency that data is available</w:t>
            </w:r>
          </w:p>
        </w:tc>
        <w:tc>
          <w:tcPr>
            <w:tcW w:w="5386" w:type="dxa"/>
          </w:tcPr>
          <w:p w14:paraId="3FAF7718" w14:textId="77777777" w:rsidR="002B0938" w:rsidRDefault="002B0938" w:rsidP="00577C3E">
            <w:pPr>
              <w:pStyle w:val="TableText"/>
            </w:pPr>
            <w:r w:rsidRPr="004578A4">
              <w:t>Annually, for a year in arrears</w:t>
            </w:r>
          </w:p>
        </w:tc>
      </w:tr>
      <w:tr w:rsidR="002B0938" w14:paraId="2694CDA0" w14:textId="77777777" w:rsidTr="0028570E">
        <w:tc>
          <w:tcPr>
            <w:tcW w:w="3261" w:type="dxa"/>
            <w:shd w:val="clear" w:color="auto" w:fill="D9D9D9" w:themeFill="background1" w:themeFillShade="D9"/>
          </w:tcPr>
          <w:p w14:paraId="3356F343" w14:textId="77777777" w:rsidR="002B0938" w:rsidRPr="007430AD" w:rsidRDefault="002B0938" w:rsidP="00577C3E">
            <w:pPr>
              <w:pStyle w:val="TableText"/>
              <w:rPr>
                <w:b/>
                <w:bCs/>
              </w:rPr>
            </w:pPr>
            <w:r w:rsidRPr="007430AD">
              <w:rPr>
                <w:b/>
                <w:bCs/>
              </w:rPr>
              <w:t>Data period</w:t>
            </w:r>
          </w:p>
        </w:tc>
        <w:tc>
          <w:tcPr>
            <w:tcW w:w="5386" w:type="dxa"/>
          </w:tcPr>
          <w:p w14:paraId="29BF2FAD" w14:textId="77777777" w:rsidR="002B0938" w:rsidRDefault="002B0938" w:rsidP="00577C3E">
            <w:pPr>
              <w:pStyle w:val="TableText"/>
            </w:pPr>
            <w:r w:rsidRPr="004578A4">
              <w:t xml:space="preserve">Calendar year </w:t>
            </w:r>
          </w:p>
        </w:tc>
      </w:tr>
      <w:tr w:rsidR="002B0938" w14:paraId="7A388B64" w14:textId="77777777" w:rsidTr="0028570E">
        <w:tc>
          <w:tcPr>
            <w:tcW w:w="3261" w:type="dxa"/>
            <w:shd w:val="clear" w:color="auto" w:fill="D9D9D9" w:themeFill="background1" w:themeFillShade="D9"/>
          </w:tcPr>
          <w:p w14:paraId="35A13B6F" w14:textId="77777777" w:rsidR="002B0938" w:rsidRPr="007430AD" w:rsidRDefault="002B0938" w:rsidP="00577C3E">
            <w:pPr>
              <w:pStyle w:val="TableText"/>
              <w:rPr>
                <w:b/>
                <w:bCs/>
              </w:rPr>
            </w:pPr>
            <w:r w:rsidRPr="007430AD">
              <w:rPr>
                <w:b/>
                <w:bCs/>
              </w:rPr>
              <w:t>Level of disaggregation of data available</w:t>
            </w:r>
          </w:p>
        </w:tc>
        <w:tc>
          <w:tcPr>
            <w:tcW w:w="5386" w:type="dxa"/>
          </w:tcPr>
          <w:p w14:paraId="0571CFAB" w14:textId="77777777" w:rsidR="002B0938" w:rsidRDefault="002B0938" w:rsidP="00577C3E">
            <w:pPr>
              <w:pStyle w:val="TableText"/>
            </w:pPr>
            <w:r w:rsidRPr="004578A4">
              <w:t xml:space="preserve">Field of study, ethnicity (total response) </w:t>
            </w:r>
          </w:p>
        </w:tc>
      </w:tr>
      <w:tr w:rsidR="002B0938" w14:paraId="23046C02" w14:textId="77777777" w:rsidTr="0028570E">
        <w:tc>
          <w:tcPr>
            <w:tcW w:w="3261" w:type="dxa"/>
            <w:shd w:val="clear" w:color="auto" w:fill="D9D9D9" w:themeFill="background1" w:themeFillShade="D9"/>
          </w:tcPr>
          <w:p w14:paraId="664864FA" w14:textId="77777777" w:rsidR="002B0938" w:rsidRPr="007430AD" w:rsidRDefault="002B0938" w:rsidP="00577C3E">
            <w:pPr>
              <w:pStyle w:val="TableText"/>
              <w:rPr>
                <w:b/>
                <w:bCs/>
              </w:rPr>
            </w:pPr>
            <w:r w:rsidRPr="007430AD">
              <w:rPr>
                <w:b/>
                <w:bCs/>
              </w:rPr>
              <w:t>Related or prior performance measure code</w:t>
            </w:r>
          </w:p>
        </w:tc>
        <w:tc>
          <w:tcPr>
            <w:tcW w:w="5386" w:type="dxa"/>
          </w:tcPr>
          <w:p w14:paraId="0256A929" w14:textId="77777777" w:rsidR="002B0938" w:rsidRPr="004578A4" w:rsidRDefault="002B0938" w:rsidP="00577C3E">
            <w:pPr>
              <w:pStyle w:val="TableText"/>
            </w:pPr>
            <w:proofErr w:type="spellStart"/>
            <w:r w:rsidRPr="004578A4">
              <w:t>Whakamaua</w:t>
            </w:r>
            <w:proofErr w:type="spellEnd"/>
            <w:r w:rsidRPr="004578A4">
              <w:t xml:space="preserve"> measure 2.3 Māori in the regulated workforce, supplementary published data</w:t>
            </w:r>
          </w:p>
          <w:p w14:paraId="51A4314E" w14:textId="77777777" w:rsidR="002B0938" w:rsidRPr="007E56E2" w:rsidRDefault="00000000" w:rsidP="00577C3E">
            <w:pPr>
              <w:pStyle w:val="TableText"/>
              <w:rPr>
                <w:color w:val="595959"/>
              </w:rPr>
            </w:pPr>
            <w:hyperlink r:id="rId58" w:history="1">
              <w:r w:rsidR="002B0938" w:rsidRPr="007E56E2">
                <w:rPr>
                  <w:b/>
                  <w:color w:val="595959"/>
                </w:rPr>
                <w:t>https://www.health.govt.nz/our-work/populations/maori-health/whakamaua-maori-health-action-plan-2020-2025</w:t>
              </w:r>
            </w:hyperlink>
          </w:p>
        </w:tc>
      </w:tr>
    </w:tbl>
    <w:p w14:paraId="51466402" w14:textId="1EB4F258" w:rsidR="002B0938" w:rsidRPr="00F87540" w:rsidRDefault="002B0938" w:rsidP="00F87540">
      <w:pPr>
        <w:pStyle w:val="Heading3"/>
        <w:ind w:left="564" w:hanging="564"/>
        <w:rPr>
          <w:sz w:val="24"/>
          <w:szCs w:val="24"/>
        </w:rPr>
      </w:pPr>
      <w:r w:rsidRPr="002B0938">
        <w:rPr>
          <w:rStyle w:val="Heading3Char"/>
          <w:sz w:val="24"/>
          <w:szCs w:val="24"/>
        </w:rPr>
        <w:t>4.4</w:t>
      </w:r>
      <w:r w:rsidRPr="002B0938">
        <w:rPr>
          <w:rStyle w:val="Heading3Char"/>
          <w:sz w:val="24"/>
          <w:szCs w:val="24"/>
        </w:rPr>
        <w:tab/>
        <w:t>Proportion of Māori and Pacific people in leadership and governance roles across the Ministry of Health and health entities</w:t>
      </w: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687300BA" w14:textId="77777777" w:rsidTr="0028570E">
        <w:tc>
          <w:tcPr>
            <w:tcW w:w="3261" w:type="dxa"/>
            <w:shd w:val="clear" w:color="auto" w:fill="D9D9D9" w:themeFill="background1" w:themeFillShade="D9"/>
          </w:tcPr>
          <w:p w14:paraId="147777B9" w14:textId="77777777" w:rsidR="002B0938" w:rsidRPr="009F22EE" w:rsidRDefault="002B0938" w:rsidP="00577C3E">
            <w:pPr>
              <w:pStyle w:val="TableText"/>
              <w:rPr>
                <w:b/>
                <w:bCs/>
              </w:rPr>
            </w:pPr>
            <w:r w:rsidRPr="009F22EE">
              <w:rPr>
                <w:b/>
                <w:bCs/>
              </w:rPr>
              <w:t>Expectation for July 2022 – June 2024</w:t>
            </w:r>
          </w:p>
        </w:tc>
        <w:tc>
          <w:tcPr>
            <w:tcW w:w="5386" w:type="dxa"/>
          </w:tcPr>
          <w:p w14:paraId="4638A343" w14:textId="77777777" w:rsidR="002B0938" w:rsidRPr="004578A4" w:rsidRDefault="002B0938" w:rsidP="00577C3E">
            <w:pPr>
              <w:pStyle w:val="TableText"/>
            </w:pPr>
            <w:r w:rsidRPr="004578A4">
              <w:t xml:space="preserve">Establish a baseline in year one, and this baseline will inform the expectation for year two. </w:t>
            </w:r>
          </w:p>
          <w:p w14:paraId="05DC1DE1" w14:textId="77777777" w:rsidR="002B0938" w:rsidRDefault="002B0938" w:rsidP="00577C3E">
            <w:pPr>
              <w:pStyle w:val="TableText"/>
            </w:pPr>
            <w:r w:rsidRPr="004578A4">
              <w:t xml:space="preserve">Baseline for year two: Increase in Māori and Pacific percentage from ‘as at December </w:t>
            </w:r>
            <w:r w:rsidRPr="004578A4" w:rsidDel="006406BF">
              <w:t>2022’</w:t>
            </w:r>
            <w:r w:rsidRPr="004578A4">
              <w:t>.</w:t>
            </w:r>
          </w:p>
        </w:tc>
      </w:tr>
      <w:tr w:rsidR="002B0938" w14:paraId="33544A8A" w14:textId="77777777" w:rsidTr="0028570E">
        <w:tc>
          <w:tcPr>
            <w:tcW w:w="3261" w:type="dxa"/>
            <w:shd w:val="clear" w:color="auto" w:fill="D9D9D9" w:themeFill="background1" w:themeFillShade="D9"/>
          </w:tcPr>
          <w:p w14:paraId="1EEFBE0F" w14:textId="77777777" w:rsidR="002B0938" w:rsidRPr="009F22EE" w:rsidRDefault="002B0938" w:rsidP="00577C3E">
            <w:pPr>
              <w:pStyle w:val="TableText"/>
              <w:rPr>
                <w:b/>
                <w:bCs/>
              </w:rPr>
            </w:pPr>
            <w:r w:rsidRPr="009F22EE">
              <w:rPr>
                <w:b/>
                <w:bCs/>
              </w:rPr>
              <w:t>Data source</w:t>
            </w:r>
          </w:p>
        </w:tc>
        <w:tc>
          <w:tcPr>
            <w:tcW w:w="5386" w:type="dxa"/>
          </w:tcPr>
          <w:p w14:paraId="6E5AFACC" w14:textId="77777777" w:rsidR="002B0938" w:rsidRDefault="002B0938" w:rsidP="00577C3E">
            <w:pPr>
              <w:pStyle w:val="TableText"/>
            </w:pPr>
            <w:r w:rsidRPr="004578A4">
              <w:t>Initially using reporting from health statutory appointees</w:t>
            </w:r>
          </w:p>
        </w:tc>
      </w:tr>
      <w:tr w:rsidR="002B0938" w14:paraId="17BE82A0" w14:textId="77777777" w:rsidTr="0028570E">
        <w:tc>
          <w:tcPr>
            <w:tcW w:w="3261" w:type="dxa"/>
            <w:shd w:val="clear" w:color="auto" w:fill="D9D9D9" w:themeFill="background1" w:themeFillShade="D9"/>
          </w:tcPr>
          <w:p w14:paraId="43BC4F4C" w14:textId="77777777" w:rsidR="002B0938" w:rsidRPr="009F22EE" w:rsidRDefault="002B0938" w:rsidP="00577C3E">
            <w:pPr>
              <w:pStyle w:val="TableText"/>
              <w:rPr>
                <w:b/>
                <w:bCs/>
              </w:rPr>
            </w:pPr>
            <w:r w:rsidRPr="009F22EE">
              <w:rPr>
                <w:b/>
                <w:bCs/>
              </w:rPr>
              <w:t>If quantitative, measurement definitions</w:t>
            </w:r>
          </w:p>
        </w:tc>
        <w:tc>
          <w:tcPr>
            <w:tcW w:w="5386" w:type="dxa"/>
          </w:tcPr>
          <w:p w14:paraId="2A3AF52C" w14:textId="77777777" w:rsidR="002B0938" w:rsidRPr="004578A4" w:rsidRDefault="002B0938" w:rsidP="00577C3E">
            <w:pPr>
              <w:pStyle w:val="TableText"/>
            </w:pPr>
            <w:r w:rsidRPr="004578A4">
              <w:t>Numerator: Number of Māori and Pacific peoples who are a statutory appointee</w:t>
            </w:r>
          </w:p>
          <w:p w14:paraId="32DC554E" w14:textId="77777777" w:rsidR="002B0938" w:rsidRPr="004578A4" w:rsidRDefault="002B0938" w:rsidP="00577C3E">
            <w:pPr>
              <w:pStyle w:val="TableText"/>
            </w:pPr>
            <w:r w:rsidRPr="004578A4">
              <w:t>Denominator: Total number of statutory appointees</w:t>
            </w:r>
          </w:p>
          <w:p w14:paraId="49C14D47" w14:textId="77777777" w:rsidR="002B0938" w:rsidRDefault="002B0938" w:rsidP="00577C3E">
            <w:pPr>
              <w:pStyle w:val="TableText"/>
            </w:pPr>
            <w:r w:rsidRPr="004578A4">
              <w:t>Note: The total number of appointees can fluctuate from reporting period to reporting period as new statutory roles are established or disestablished, and roles become vacant or are filled.</w:t>
            </w:r>
          </w:p>
        </w:tc>
      </w:tr>
      <w:tr w:rsidR="002B0938" w14:paraId="08CC3D36" w14:textId="77777777" w:rsidTr="0028570E">
        <w:tc>
          <w:tcPr>
            <w:tcW w:w="3261" w:type="dxa"/>
            <w:shd w:val="clear" w:color="auto" w:fill="D9D9D9" w:themeFill="background1" w:themeFillShade="D9"/>
          </w:tcPr>
          <w:p w14:paraId="02A5E1D6" w14:textId="77777777" w:rsidR="002B0938" w:rsidRPr="009F22EE" w:rsidRDefault="002B0938" w:rsidP="00577C3E">
            <w:pPr>
              <w:pStyle w:val="TableText"/>
              <w:rPr>
                <w:b/>
                <w:bCs/>
              </w:rPr>
            </w:pPr>
            <w:r w:rsidRPr="009F22EE">
              <w:rPr>
                <w:b/>
                <w:bCs/>
              </w:rPr>
              <w:t>Data period</w:t>
            </w:r>
          </w:p>
        </w:tc>
        <w:tc>
          <w:tcPr>
            <w:tcW w:w="5386" w:type="dxa"/>
          </w:tcPr>
          <w:p w14:paraId="30D57A94" w14:textId="77777777" w:rsidR="002B0938" w:rsidRDefault="002B0938" w:rsidP="00577C3E">
            <w:pPr>
              <w:pStyle w:val="TableText"/>
            </w:pPr>
            <w:r w:rsidRPr="004578A4">
              <w:t>Six months ending June and December</w:t>
            </w:r>
          </w:p>
        </w:tc>
      </w:tr>
      <w:tr w:rsidR="002B0938" w14:paraId="23635337" w14:textId="77777777" w:rsidTr="0028570E">
        <w:tc>
          <w:tcPr>
            <w:tcW w:w="3261" w:type="dxa"/>
            <w:shd w:val="clear" w:color="auto" w:fill="D9D9D9" w:themeFill="background1" w:themeFillShade="D9"/>
          </w:tcPr>
          <w:p w14:paraId="1E550900" w14:textId="77777777" w:rsidR="002B0938" w:rsidRPr="009F22EE" w:rsidRDefault="002B0938" w:rsidP="00577C3E">
            <w:pPr>
              <w:pStyle w:val="TableText"/>
              <w:rPr>
                <w:b/>
                <w:bCs/>
              </w:rPr>
            </w:pPr>
            <w:r w:rsidRPr="009F22EE">
              <w:rPr>
                <w:b/>
                <w:bCs/>
              </w:rPr>
              <w:t>Frequency that data is available</w:t>
            </w:r>
          </w:p>
        </w:tc>
        <w:tc>
          <w:tcPr>
            <w:tcW w:w="5386" w:type="dxa"/>
          </w:tcPr>
          <w:p w14:paraId="3F470A4F" w14:textId="77777777" w:rsidR="002B0938" w:rsidRDefault="002B0938" w:rsidP="00577C3E">
            <w:pPr>
              <w:pStyle w:val="TableText"/>
            </w:pPr>
            <w:r w:rsidRPr="004578A4">
              <w:t>Six-monthly</w:t>
            </w:r>
          </w:p>
        </w:tc>
      </w:tr>
      <w:tr w:rsidR="002B0938" w14:paraId="3D067A1F" w14:textId="77777777" w:rsidTr="0028570E">
        <w:tc>
          <w:tcPr>
            <w:tcW w:w="3261" w:type="dxa"/>
            <w:shd w:val="clear" w:color="auto" w:fill="D9D9D9" w:themeFill="background1" w:themeFillShade="D9"/>
          </w:tcPr>
          <w:p w14:paraId="347C28A4" w14:textId="77777777" w:rsidR="002B0938" w:rsidRPr="009F22EE" w:rsidRDefault="002B0938" w:rsidP="00577C3E">
            <w:pPr>
              <w:pStyle w:val="TableText"/>
              <w:rPr>
                <w:b/>
                <w:bCs/>
              </w:rPr>
            </w:pPr>
            <w:r w:rsidRPr="009F22EE">
              <w:rPr>
                <w:b/>
                <w:bCs/>
              </w:rPr>
              <w:t>Level of disaggregation of data available</w:t>
            </w:r>
          </w:p>
        </w:tc>
        <w:tc>
          <w:tcPr>
            <w:tcW w:w="5386" w:type="dxa"/>
          </w:tcPr>
          <w:p w14:paraId="1A2FF63E" w14:textId="77777777" w:rsidR="002B0938" w:rsidRDefault="002B0938" w:rsidP="00577C3E">
            <w:pPr>
              <w:pStyle w:val="TableText"/>
            </w:pPr>
            <w:r w:rsidRPr="002562E4">
              <w:t>Ethnicity</w:t>
            </w:r>
            <w:r>
              <w:t xml:space="preserve"> (total response ethnicity)</w:t>
            </w:r>
          </w:p>
        </w:tc>
      </w:tr>
      <w:tr w:rsidR="002B0938" w14:paraId="6A1B9D08" w14:textId="77777777" w:rsidTr="0028570E">
        <w:tc>
          <w:tcPr>
            <w:tcW w:w="3261" w:type="dxa"/>
            <w:shd w:val="clear" w:color="auto" w:fill="D9D9D9" w:themeFill="background1" w:themeFillShade="D9"/>
          </w:tcPr>
          <w:p w14:paraId="3C87C9AF" w14:textId="77777777" w:rsidR="002B0938" w:rsidRPr="009F22EE" w:rsidRDefault="002B0938" w:rsidP="00577C3E">
            <w:pPr>
              <w:pStyle w:val="TableText"/>
              <w:rPr>
                <w:b/>
                <w:bCs/>
              </w:rPr>
            </w:pPr>
            <w:r w:rsidRPr="009F22EE">
              <w:rPr>
                <w:b/>
                <w:bCs/>
              </w:rPr>
              <w:t>Related or prior performance measure code</w:t>
            </w:r>
          </w:p>
        </w:tc>
        <w:tc>
          <w:tcPr>
            <w:tcW w:w="5386" w:type="dxa"/>
          </w:tcPr>
          <w:p w14:paraId="405110EC" w14:textId="77777777" w:rsidR="002B0938" w:rsidRDefault="002B0938" w:rsidP="00577C3E">
            <w:pPr>
              <w:pStyle w:val="TableText"/>
            </w:pPr>
            <w:proofErr w:type="spellStart"/>
            <w:r>
              <w:t>Whakamaua</w:t>
            </w:r>
            <w:proofErr w:type="spellEnd"/>
            <w:r>
              <w:t xml:space="preserve"> measure 4.3</w:t>
            </w:r>
          </w:p>
          <w:p w14:paraId="0102F91E" w14:textId="0D9D227B" w:rsidR="002B0938" w:rsidRDefault="00000000" w:rsidP="00577C3E">
            <w:pPr>
              <w:pStyle w:val="TableText"/>
            </w:pPr>
            <w:hyperlink r:id="rId59" w:history="1">
              <w:r w:rsidR="0087510D">
                <w:rPr>
                  <w:b/>
                  <w:color w:val="595959"/>
                </w:rPr>
                <w:t>https://www.health.govt.nz/maori-health/whakamaua-maori-health-action-plan-2020-2025</w:t>
              </w:r>
            </w:hyperlink>
          </w:p>
        </w:tc>
      </w:tr>
    </w:tbl>
    <w:p w14:paraId="40643165" w14:textId="77777777" w:rsidR="002B0938" w:rsidRDefault="002B0938" w:rsidP="002B0938">
      <w:bookmarkStart w:id="12" w:name="_Toc108422559"/>
    </w:p>
    <w:p w14:paraId="322F10B5" w14:textId="77777777" w:rsidR="002B0938" w:rsidRPr="002B0938" w:rsidRDefault="002B0938" w:rsidP="00A72706">
      <w:pPr>
        <w:pStyle w:val="Heading2"/>
      </w:pPr>
      <w:bookmarkStart w:id="13" w:name="_Toc166488693"/>
      <w:r w:rsidRPr="002B0938">
        <w:lastRenderedPageBreak/>
        <w:t>Priority 5: Ensuring a financially sustainable health sector</w:t>
      </w:r>
      <w:bookmarkEnd w:id="12"/>
      <w:bookmarkEnd w:id="13"/>
    </w:p>
    <w:p w14:paraId="52A0C46C" w14:textId="77777777" w:rsidR="002B0938" w:rsidRPr="002B0938" w:rsidRDefault="002B0938" w:rsidP="002B0938">
      <w:pPr>
        <w:pStyle w:val="Heading3"/>
        <w:ind w:left="564" w:hanging="564"/>
        <w:rPr>
          <w:rStyle w:val="Heading3Char"/>
          <w:sz w:val="24"/>
          <w:szCs w:val="24"/>
        </w:rPr>
      </w:pPr>
      <w:r w:rsidRPr="002B0938">
        <w:rPr>
          <w:rStyle w:val="Heading3Char"/>
          <w:sz w:val="24"/>
          <w:szCs w:val="24"/>
        </w:rPr>
        <w:t>5.1</w:t>
      </w:r>
      <w:r w:rsidRPr="002B0938">
        <w:rPr>
          <w:rStyle w:val="Heading3Char"/>
          <w:sz w:val="24"/>
          <w:szCs w:val="24"/>
        </w:rPr>
        <w:tab/>
        <w:t>Actual expenditure is consistent with budgeted and there is overall balance in both budgeted and actual revenue to expenditure ratios</w:t>
      </w:r>
    </w:p>
    <w:p w14:paraId="125582C4" w14:textId="77777777" w:rsidR="002B0938" w:rsidRPr="00AD17E2" w:rsidRDefault="002B0938" w:rsidP="002B0938">
      <w:r w:rsidRPr="00AD17E2">
        <w:t xml:space="preserve">For the interim period this measure focuses on financial reporting by Health NZ only. </w:t>
      </w:r>
    </w:p>
    <w:p w14:paraId="75864D93" w14:textId="77777777" w:rsidR="002B0938" w:rsidRDefault="002B0938" w:rsidP="002B0938"/>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02A87D61" w14:textId="77777777" w:rsidTr="00206C29">
        <w:tc>
          <w:tcPr>
            <w:tcW w:w="3261" w:type="dxa"/>
            <w:shd w:val="clear" w:color="auto" w:fill="D9D9D9" w:themeFill="background1" w:themeFillShade="D9"/>
          </w:tcPr>
          <w:p w14:paraId="3C5AFF55" w14:textId="77777777" w:rsidR="002B0938" w:rsidRPr="009F22EE" w:rsidRDefault="002B0938" w:rsidP="00577C3E">
            <w:pPr>
              <w:pStyle w:val="TableText"/>
              <w:rPr>
                <w:b/>
                <w:bCs/>
              </w:rPr>
            </w:pPr>
            <w:r w:rsidRPr="009F22EE">
              <w:rPr>
                <w:b/>
                <w:bCs/>
              </w:rPr>
              <w:t>Expectation for July 2022 – June 2024</w:t>
            </w:r>
          </w:p>
        </w:tc>
        <w:tc>
          <w:tcPr>
            <w:tcW w:w="5386" w:type="dxa"/>
          </w:tcPr>
          <w:p w14:paraId="0A022E55" w14:textId="77777777" w:rsidR="002B0938" w:rsidRDefault="002B0938" w:rsidP="00577C3E">
            <w:pPr>
              <w:pStyle w:val="TableBullet"/>
            </w:pPr>
            <w:r>
              <w:t>Actual expenditure is well managed through the year to ensure the full-year forecast expenditure expectations do not exceed the approved budget or funding received</w:t>
            </w:r>
          </w:p>
          <w:p w14:paraId="10B82D2D" w14:textId="77777777" w:rsidR="002B0938" w:rsidRDefault="002B0938" w:rsidP="00577C3E">
            <w:pPr>
              <w:pStyle w:val="TableBullet"/>
            </w:pPr>
            <w:r>
              <w:t>When budgeting, expenditure is expected to be realistically proportioned to the funding signals</w:t>
            </w:r>
          </w:p>
          <w:p w14:paraId="04A9D6F7" w14:textId="77777777" w:rsidR="002B0938" w:rsidRDefault="002B0938" w:rsidP="00577C3E">
            <w:pPr>
              <w:pStyle w:val="TableBullet"/>
            </w:pPr>
            <w:r>
              <w:t>Expenditure will also be managed against the multi-year financial plan and cost pressures to ensure financial sustainability goals are achieved</w:t>
            </w:r>
          </w:p>
        </w:tc>
      </w:tr>
      <w:tr w:rsidR="002B0938" w14:paraId="22127D7D" w14:textId="77777777" w:rsidTr="00206C29">
        <w:tc>
          <w:tcPr>
            <w:tcW w:w="3261" w:type="dxa"/>
            <w:shd w:val="clear" w:color="auto" w:fill="D9D9D9" w:themeFill="background1" w:themeFillShade="D9"/>
          </w:tcPr>
          <w:p w14:paraId="14DE95D5" w14:textId="77777777" w:rsidR="002B0938" w:rsidRPr="009F22EE" w:rsidRDefault="002B0938" w:rsidP="00577C3E">
            <w:pPr>
              <w:pStyle w:val="TableText"/>
              <w:rPr>
                <w:b/>
                <w:bCs/>
              </w:rPr>
            </w:pPr>
            <w:r w:rsidRPr="009F22EE">
              <w:rPr>
                <w:b/>
                <w:bCs/>
              </w:rPr>
              <w:t>Data source</w:t>
            </w:r>
          </w:p>
        </w:tc>
        <w:tc>
          <w:tcPr>
            <w:tcW w:w="5386" w:type="dxa"/>
          </w:tcPr>
          <w:p w14:paraId="3A26CA93" w14:textId="77777777" w:rsidR="002B0938" w:rsidRDefault="002B0938" w:rsidP="00577C3E">
            <w:pPr>
              <w:pStyle w:val="TableBullet"/>
            </w:pPr>
            <w:r w:rsidRPr="00A0191C">
              <w:t>Financial reporting submitted by Health New Zealand for both Actuals and Annual Plan</w:t>
            </w:r>
          </w:p>
          <w:p w14:paraId="7D362ABD" w14:textId="77777777" w:rsidR="002B0938" w:rsidRDefault="002B0938" w:rsidP="00577C3E">
            <w:pPr>
              <w:pStyle w:val="TableBullet"/>
            </w:pPr>
            <w:r>
              <w:t xml:space="preserve">Supplementary data Budget Assumptions for cost reductions and efficiency goals, both in-year and multi-year submitted by Health New Zealand </w:t>
            </w:r>
          </w:p>
        </w:tc>
      </w:tr>
      <w:tr w:rsidR="002B0938" w14:paraId="1A958F63" w14:textId="77777777" w:rsidTr="00206C29">
        <w:tc>
          <w:tcPr>
            <w:tcW w:w="3261" w:type="dxa"/>
            <w:shd w:val="clear" w:color="auto" w:fill="D9D9D9" w:themeFill="background1" w:themeFillShade="D9"/>
          </w:tcPr>
          <w:p w14:paraId="3A64DC62" w14:textId="77777777" w:rsidR="002B0938" w:rsidRPr="009F22EE" w:rsidRDefault="002B0938" w:rsidP="00577C3E">
            <w:pPr>
              <w:pStyle w:val="TableText"/>
              <w:rPr>
                <w:b/>
                <w:bCs/>
              </w:rPr>
            </w:pPr>
            <w:r w:rsidRPr="009F22EE">
              <w:rPr>
                <w:b/>
                <w:bCs/>
              </w:rPr>
              <w:t>If quantitative, measurement definitions</w:t>
            </w:r>
          </w:p>
        </w:tc>
        <w:tc>
          <w:tcPr>
            <w:tcW w:w="5386" w:type="dxa"/>
          </w:tcPr>
          <w:p w14:paraId="4A676960" w14:textId="77777777" w:rsidR="002B0938" w:rsidRPr="008C5639" w:rsidRDefault="002B0938" w:rsidP="00577C3E">
            <w:pPr>
              <w:pStyle w:val="TableText"/>
            </w:pPr>
            <w:r w:rsidRPr="008C5639">
              <w:t>Expenditure variance as a percentage of budget or revenue for the following sub-measures:</w:t>
            </w:r>
          </w:p>
          <w:p w14:paraId="7C42768A" w14:textId="77777777" w:rsidR="002B0938" w:rsidRPr="008C5639" w:rsidRDefault="002B0938" w:rsidP="00577C3E">
            <w:pPr>
              <w:pStyle w:val="TableText"/>
            </w:pPr>
            <w:r w:rsidRPr="008C5639">
              <w:t>Part a:</w:t>
            </w:r>
          </w:p>
          <w:p w14:paraId="1CCA9734" w14:textId="77777777" w:rsidR="002B0938" w:rsidRPr="00810535" w:rsidRDefault="002B0938" w:rsidP="00577C3E">
            <w:pPr>
              <w:pStyle w:val="TableBullet"/>
            </w:pPr>
            <w:r w:rsidRPr="00810535">
              <w:t>Numerator: Actual expenditure against key line items (Personnel, Primary &amp; Community Services) and Total for time period to date</w:t>
            </w:r>
          </w:p>
          <w:p w14:paraId="23175E2A" w14:textId="77777777" w:rsidR="002B0938" w:rsidRPr="00810535" w:rsidRDefault="002B0938" w:rsidP="00577C3E">
            <w:pPr>
              <w:pStyle w:val="TableBullet"/>
            </w:pPr>
            <w:r w:rsidRPr="00810535">
              <w:t>Denominator: Budget equivalent for the comparative time period to date</w:t>
            </w:r>
          </w:p>
          <w:p w14:paraId="5284348B" w14:textId="77777777" w:rsidR="002B0938" w:rsidRPr="008C5639" w:rsidRDefault="002B0938" w:rsidP="00577C3E">
            <w:pPr>
              <w:pStyle w:val="TableText"/>
            </w:pPr>
            <w:r w:rsidRPr="008C5639">
              <w:t>Part b:</w:t>
            </w:r>
          </w:p>
          <w:p w14:paraId="34E096AF" w14:textId="77777777" w:rsidR="002B0938" w:rsidRPr="00FF264C" w:rsidRDefault="002B0938" w:rsidP="00577C3E">
            <w:pPr>
              <w:pStyle w:val="TableBullet"/>
            </w:pPr>
            <w:r w:rsidRPr="00FF264C">
              <w:t>Numerator: Total Actual expenditure relevant to the period to date</w:t>
            </w:r>
          </w:p>
          <w:p w14:paraId="2701776A" w14:textId="77777777" w:rsidR="002B0938" w:rsidRPr="00FF264C" w:rsidRDefault="002B0938" w:rsidP="00577C3E">
            <w:pPr>
              <w:pStyle w:val="TableBullet"/>
            </w:pPr>
            <w:r w:rsidRPr="00FF264C">
              <w:t>Denominator: Total Actual Revenue relevant to the period to date</w:t>
            </w:r>
          </w:p>
          <w:p w14:paraId="7E4EEE0D" w14:textId="77777777" w:rsidR="002B0938" w:rsidRPr="008C5639" w:rsidRDefault="002B0938" w:rsidP="00577C3E">
            <w:pPr>
              <w:pStyle w:val="TableText"/>
            </w:pPr>
            <w:r w:rsidRPr="008C5639">
              <w:t>Part c:</w:t>
            </w:r>
          </w:p>
          <w:p w14:paraId="350F730B" w14:textId="77777777" w:rsidR="002B0938" w:rsidRPr="00FF264C" w:rsidRDefault="002B0938" w:rsidP="00577C3E">
            <w:pPr>
              <w:pStyle w:val="TableBullet"/>
            </w:pPr>
            <w:r w:rsidRPr="00FF264C">
              <w:t>Numerator: Expenditure expectations within Annual Plans</w:t>
            </w:r>
          </w:p>
          <w:p w14:paraId="2CBD2C76" w14:textId="77777777" w:rsidR="002B0938" w:rsidRPr="00FF264C" w:rsidRDefault="002B0938" w:rsidP="00577C3E">
            <w:pPr>
              <w:pStyle w:val="TableBullet"/>
            </w:pPr>
            <w:r w:rsidRPr="00FF264C">
              <w:t>Denominator: Revenue recognised within Annual Plans</w:t>
            </w:r>
          </w:p>
          <w:p w14:paraId="705F7EEF" w14:textId="77777777" w:rsidR="002B0938" w:rsidRDefault="002B0938" w:rsidP="00577C3E">
            <w:pPr>
              <w:pStyle w:val="TableText"/>
            </w:pPr>
            <w:r w:rsidRPr="008C5639">
              <w:t>When revenue is under budget the variance is negative whereas if expenditure is under budget or revenue the variance is positive.</w:t>
            </w:r>
          </w:p>
        </w:tc>
      </w:tr>
      <w:tr w:rsidR="002B0938" w14:paraId="25BA1BF3" w14:textId="77777777" w:rsidTr="00206C29">
        <w:tc>
          <w:tcPr>
            <w:tcW w:w="3261" w:type="dxa"/>
            <w:shd w:val="clear" w:color="auto" w:fill="D9D9D9" w:themeFill="background1" w:themeFillShade="D9"/>
          </w:tcPr>
          <w:p w14:paraId="76AA867A" w14:textId="77777777" w:rsidR="002B0938" w:rsidRPr="009F22EE" w:rsidRDefault="002B0938" w:rsidP="00577C3E">
            <w:pPr>
              <w:pStyle w:val="TableText"/>
              <w:rPr>
                <w:b/>
                <w:bCs/>
              </w:rPr>
            </w:pPr>
            <w:r w:rsidRPr="009F22EE">
              <w:rPr>
                <w:b/>
                <w:bCs/>
              </w:rPr>
              <w:t>Frequency that data is available</w:t>
            </w:r>
          </w:p>
        </w:tc>
        <w:tc>
          <w:tcPr>
            <w:tcW w:w="5386" w:type="dxa"/>
          </w:tcPr>
          <w:p w14:paraId="06F5FB66" w14:textId="77777777" w:rsidR="002B0938" w:rsidRDefault="002B0938" w:rsidP="00577C3E">
            <w:pPr>
              <w:pStyle w:val="TableText"/>
            </w:pPr>
            <w:r w:rsidRPr="007059AE">
              <w:t>Monthly – Actuals, Annually – Annual Plan and Budget Assumptions</w:t>
            </w:r>
          </w:p>
        </w:tc>
      </w:tr>
      <w:tr w:rsidR="002B0938" w14:paraId="17E92B29" w14:textId="77777777" w:rsidTr="00206C29">
        <w:tc>
          <w:tcPr>
            <w:tcW w:w="3261" w:type="dxa"/>
            <w:shd w:val="clear" w:color="auto" w:fill="D9D9D9" w:themeFill="background1" w:themeFillShade="D9"/>
          </w:tcPr>
          <w:p w14:paraId="6FCEECFA" w14:textId="77777777" w:rsidR="002B0938" w:rsidRPr="009F22EE" w:rsidRDefault="002B0938" w:rsidP="00577C3E">
            <w:pPr>
              <w:pStyle w:val="TableText"/>
              <w:rPr>
                <w:b/>
                <w:bCs/>
              </w:rPr>
            </w:pPr>
            <w:r w:rsidRPr="009F22EE">
              <w:rPr>
                <w:b/>
                <w:bCs/>
              </w:rPr>
              <w:t>Level of disaggregation of data available</w:t>
            </w:r>
          </w:p>
        </w:tc>
        <w:tc>
          <w:tcPr>
            <w:tcW w:w="5386" w:type="dxa"/>
          </w:tcPr>
          <w:p w14:paraId="70661965" w14:textId="77777777" w:rsidR="002B0938" w:rsidRDefault="002B0938" w:rsidP="00577C3E">
            <w:pPr>
              <w:pStyle w:val="TableText"/>
            </w:pPr>
            <w:r w:rsidRPr="008C5639">
              <w:t>Summarised set of accounts by Cost Pool, Region, and where possible, Provider (Hospital and Specialist, Primary Care and Commissioning, Corporate)</w:t>
            </w:r>
          </w:p>
        </w:tc>
      </w:tr>
      <w:tr w:rsidR="002B0938" w14:paraId="0CBE627F" w14:textId="77777777" w:rsidTr="00206C29">
        <w:tc>
          <w:tcPr>
            <w:tcW w:w="3261" w:type="dxa"/>
            <w:shd w:val="clear" w:color="auto" w:fill="D9D9D9" w:themeFill="background1" w:themeFillShade="D9"/>
          </w:tcPr>
          <w:p w14:paraId="672973EC" w14:textId="77777777" w:rsidR="002B0938" w:rsidRPr="009F22EE" w:rsidRDefault="002B0938" w:rsidP="00577C3E">
            <w:pPr>
              <w:pStyle w:val="TableText"/>
              <w:rPr>
                <w:b/>
                <w:bCs/>
              </w:rPr>
            </w:pPr>
            <w:r w:rsidRPr="009F22EE">
              <w:rPr>
                <w:b/>
                <w:bCs/>
              </w:rPr>
              <w:lastRenderedPageBreak/>
              <w:t>Data period</w:t>
            </w:r>
          </w:p>
        </w:tc>
        <w:tc>
          <w:tcPr>
            <w:tcW w:w="5386" w:type="dxa"/>
          </w:tcPr>
          <w:p w14:paraId="3C510F22" w14:textId="77777777" w:rsidR="002B0938" w:rsidRDefault="002B0938" w:rsidP="00577C3E">
            <w:pPr>
              <w:pStyle w:val="TableText"/>
            </w:pPr>
            <w:r w:rsidRPr="008C5639">
              <w:t>Financial year-to-date at each quarter</w:t>
            </w:r>
          </w:p>
        </w:tc>
      </w:tr>
      <w:tr w:rsidR="002B0938" w14:paraId="119B3656" w14:textId="77777777" w:rsidTr="00206C29">
        <w:tc>
          <w:tcPr>
            <w:tcW w:w="3261" w:type="dxa"/>
            <w:shd w:val="clear" w:color="auto" w:fill="D9D9D9" w:themeFill="background1" w:themeFillShade="D9"/>
          </w:tcPr>
          <w:p w14:paraId="7ED55F20" w14:textId="77777777" w:rsidR="002B0938" w:rsidRPr="009F22EE" w:rsidRDefault="002B0938" w:rsidP="00577C3E">
            <w:pPr>
              <w:pStyle w:val="TableText"/>
              <w:rPr>
                <w:b/>
                <w:bCs/>
              </w:rPr>
            </w:pPr>
            <w:r w:rsidRPr="009F22EE">
              <w:rPr>
                <w:b/>
                <w:bCs/>
              </w:rPr>
              <w:t>Related or prior performance measure code</w:t>
            </w:r>
          </w:p>
        </w:tc>
        <w:tc>
          <w:tcPr>
            <w:tcW w:w="5386" w:type="dxa"/>
          </w:tcPr>
          <w:p w14:paraId="5AAF4948" w14:textId="77777777" w:rsidR="002B0938" w:rsidRDefault="002B0938" w:rsidP="00577C3E">
            <w:pPr>
              <w:pStyle w:val="TableText"/>
            </w:pPr>
            <w:r w:rsidRPr="008C5639">
              <w:t>Part of a Health System Indicator (Variance between planned budget and year end actuals)</w:t>
            </w:r>
          </w:p>
        </w:tc>
      </w:tr>
    </w:tbl>
    <w:p w14:paraId="6F7904AC" w14:textId="77777777" w:rsidR="002B0938" w:rsidRPr="002B0938" w:rsidRDefault="002B0938" w:rsidP="002B0938">
      <w:pPr>
        <w:pStyle w:val="Heading3"/>
        <w:ind w:left="564" w:hanging="564"/>
        <w:rPr>
          <w:rStyle w:val="Heading3Char"/>
          <w:sz w:val="24"/>
          <w:szCs w:val="24"/>
        </w:rPr>
      </w:pPr>
      <w:r w:rsidRPr="002B0938">
        <w:rPr>
          <w:rStyle w:val="Heading3Char"/>
          <w:sz w:val="24"/>
          <w:szCs w:val="24"/>
        </w:rPr>
        <w:t>5.2</w:t>
      </w:r>
      <w:r w:rsidRPr="002B0938">
        <w:rPr>
          <w:rStyle w:val="Heading3Char"/>
          <w:sz w:val="24"/>
          <w:szCs w:val="24"/>
        </w:rPr>
        <w:tab/>
        <w:t>Develop agreed measures of quality-adjusted, system-level productivity</w:t>
      </w:r>
    </w:p>
    <w:p w14:paraId="0F8E723F" w14:textId="77777777" w:rsidR="002B0938" w:rsidRPr="00FF264C" w:rsidRDefault="002B0938" w:rsidP="002B0938">
      <w:r w:rsidRPr="00FF264C">
        <w:t>Measures of productivity will be determined and may include matters such as: hospital theatre utilisation, length of stay, FTEs per case-weighted hospital discharge, use of (clinical and non-clinical) workforces.</w:t>
      </w:r>
    </w:p>
    <w:p w14:paraId="66C1884B" w14:textId="77777777" w:rsidR="002B0938" w:rsidRDefault="002B0938" w:rsidP="002B0938"/>
    <w:p w14:paraId="299681EF" w14:textId="77777777" w:rsidR="002B0938" w:rsidRPr="00FF264C" w:rsidRDefault="002B0938" w:rsidP="002B0938">
      <w:r w:rsidRPr="00FF264C">
        <w:t>This measure will be considered as part of the development of the GPS 2024</w:t>
      </w:r>
      <w:r>
        <w:t>–</w:t>
      </w:r>
      <w:r w:rsidRPr="00FF264C">
        <w:t>27.</w:t>
      </w:r>
    </w:p>
    <w:p w14:paraId="0E037BC1" w14:textId="77777777" w:rsidR="002B0938" w:rsidRDefault="002B0938" w:rsidP="002B0938"/>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1AF3E1AF" w14:textId="77777777" w:rsidTr="00F87540">
        <w:tc>
          <w:tcPr>
            <w:tcW w:w="3261" w:type="dxa"/>
            <w:shd w:val="clear" w:color="auto" w:fill="D9D9D9" w:themeFill="background1" w:themeFillShade="D9"/>
          </w:tcPr>
          <w:p w14:paraId="36AF4AFE" w14:textId="77777777" w:rsidR="002B0938" w:rsidRPr="009F22EE" w:rsidRDefault="002B0938" w:rsidP="00577C3E">
            <w:pPr>
              <w:pStyle w:val="TableText"/>
              <w:rPr>
                <w:b/>
                <w:bCs/>
              </w:rPr>
            </w:pPr>
            <w:r w:rsidRPr="009F22EE">
              <w:rPr>
                <w:b/>
                <w:bCs/>
              </w:rPr>
              <w:t>Expectation for July 2022 – June 2024</w:t>
            </w:r>
          </w:p>
        </w:tc>
        <w:tc>
          <w:tcPr>
            <w:tcW w:w="5386" w:type="dxa"/>
          </w:tcPr>
          <w:p w14:paraId="7DDCCEBB" w14:textId="77777777" w:rsidR="002B0938" w:rsidRDefault="002B0938" w:rsidP="00577C3E">
            <w:pPr>
              <w:pStyle w:val="TableText"/>
            </w:pPr>
          </w:p>
        </w:tc>
      </w:tr>
      <w:tr w:rsidR="002B0938" w14:paraId="581A792E" w14:textId="77777777" w:rsidTr="00F87540">
        <w:tc>
          <w:tcPr>
            <w:tcW w:w="3261" w:type="dxa"/>
            <w:shd w:val="clear" w:color="auto" w:fill="D9D9D9" w:themeFill="background1" w:themeFillShade="D9"/>
          </w:tcPr>
          <w:p w14:paraId="1925B2E5" w14:textId="77777777" w:rsidR="002B0938" w:rsidRPr="009F22EE" w:rsidRDefault="002B0938" w:rsidP="00577C3E">
            <w:pPr>
              <w:pStyle w:val="TableText"/>
              <w:rPr>
                <w:b/>
                <w:bCs/>
              </w:rPr>
            </w:pPr>
            <w:r w:rsidRPr="009F22EE">
              <w:rPr>
                <w:b/>
                <w:bCs/>
              </w:rPr>
              <w:t>Data source</w:t>
            </w:r>
          </w:p>
        </w:tc>
        <w:tc>
          <w:tcPr>
            <w:tcW w:w="5386" w:type="dxa"/>
          </w:tcPr>
          <w:p w14:paraId="564CB722" w14:textId="77777777" w:rsidR="002B0938" w:rsidRDefault="002B0938" w:rsidP="00577C3E">
            <w:pPr>
              <w:pStyle w:val="TableText"/>
            </w:pPr>
          </w:p>
        </w:tc>
      </w:tr>
      <w:tr w:rsidR="002B0938" w14:paraId="0F14C601" w14:textId="77777777" w:rsidTr="00F87540">
        <w:tc>
          <w:tcPr>
            <w:tcW w:w="3261" w:type="dxa"/>
            <w:shd w:val="clear" w:color="auto" w:fill="D9D9D9" w:themeFill="background1" w:themeFillShade="D9"/>
          </w:tcPr>
          <w:p w14:paraId="0AA7ADC9" w14:textId="77777777" w:rsidR="002B0938" w:rsidRPr="009F22EE" w:rsidRDefault="002B0938" w:rsidP="00577C3E">
            <w:pPr>
              <w:pStyle w:val="TableText"/>
              <w:rPr>
                <w:b/>
                <w:bCs/>
              </w:rPr>
            </w:pPr>
            <w:r w:rsidRPr="009F22EE">
              <w:rPr>
                <w:b/>
                <w:bCs/>
              </w:rPr>
              <w:t>If quantitative, measurement definitions</w:t>
            </w:r>
          </w:p>
        </w:tc>
        <w:tc>
          <w:tcPr>
            <w:tcW w:w="5386" w:type="dxa"/>
          </w:tcPr>
          <w:p w14:paraId="5DC2A3DA" w14:textId="77777777" w:rsidR="002B0938" w:rsidRDefault="002B0938" w:rsidP="00577C3E">
            <w:pPr>
              <w:pStyle w:val="TableText"/>
            </w:pPr>
          </w:p>
        </w:tc>
      </w:tr>
      <w:tr w:rsidR="002B0938" w14:paraId="728C9ABE" w14:textId="77777777" w:rsidTr="00F87540">
        <w:tc>
          <w:tcPr>
            <w:tcW w:w="3261" w:type="dxa"/>
            <w:shd w:val="clear" w:color="auto" w:fill="D9D9D9" w:themeFill="background1" w:themeFillShade="D9"/>
          </w:tcPr>
          <w:p w14:paraId="2AFCC5BE" w14:textId="77777777" w:rsidR="002B0938" w:rsidRPr="009F22EE" w:rsidRDefault="002B0938" w:rsidP="00577C3E">
            <w:pPr>
              <w:pStyle w:val="TableText"/>
              <w:rPr>
                <w:b/>
                <w:bCs/>
              </w:rPr>
            </w:pPr>
            <w:r w:rsidRPr="009F22EE">
              <w:rPr>
                <w:b/>
                <w:bCs/>
              </w:rPr>
              <w:t>Frequency that data is available</w:t>
            </w:r>
          </w:p>
        </w:tc>
        <w:tc>
          <w:tcPr>
            <w:tcW w:w="5386" w:type="dxa"/>
          </w:tcPr>
          <w:p w14:paraId="3E3AD866" w14:textId="77777777" w:rsidR="002B0938" w:rsidRDefault="002B0938" w:rsidP="00577C3E">
            <w:pPr>
              <w:pStyle w:val="TableText"/>
            </w:pPr>
          </w:p>
        </w:tc>
      </w:tr>
      <w:tr w:rsidR="002B0938" w14:paraId="4C1589AB" w14:textId="77777777" w:rsidTr="00F87540">
        <w:tc>
          <w:tcPr>
            <w:tcW w:w="3261" w:type="dxa"/>
            <w:shd w:val="clear" w:color="auto" w:fill="D9D9D9" w:themeFill="background1" w:themeFillShade="D9"/>
          </w:tcPr>
          <w:p w14:paraId="17195520" w14:textId="77777777" w:rsidR="002B0938" w:rsidRPr="009F22EE" w:rsidRDefault="002B0938" w:rsidP="00577C3E">
            <w:pPr>
              <w:pStyle w:val="TableText"/>
              <w:rPr>
                <w:b/>
                <w:bCs/>
              </w:rPr>
            </w:pPr>
            <w:r w:rsidRPr="009F22EE">
              <w:rPr>
                <w:b/>
                <w:bCs/>
              </w:rPr>
              <w:t>Level of disaggregation of data available</w:t>
            </w:r>
          </w:p>
        </w:tc>
        <w:tc>
          <w:tcPr>
            <w:tcW w:w="5386" w:type="dxa"/>
          </w:tcPr>
          <w:p w14:paraId="41E367E5" w14:textId="77777777" w:rsidR="002B0938" w:rsidRDefault="002B0938" w:rsidP="00577C3E">
            <w:pPr>
              <w:pStyle w:val="TableText"/>
            </w:pPr>
          </w:p>
        </w:tc>
      </w:tr>
      <w:tr w:rsidR="002B0938" w14:paraId="1837B84D" w14:textId="77777777" w:rsidTr="00F87540">
        <w:trPr>
          <w:trHeight w:val="85"/>
        </w:trPr>
        <w:tc>
          <w:tcPr>
            <w:tcW w:w="3261" w:type="dxa"/>
            <w:shd w:val="clear" w:color="auto" w:fill="D9D9D9" w:themeFill="background1" w:themeFillShade="D9"/>
          </w:tcPr>
          <w:p w14:paraId="714F37EA" w14:textId="77777777" w:rsidR="002B0938" w:rsidRPr="009F22EE" w:rsidRDefault="002B0938" w:rsidP="00577C3E">
            <w:pPr>
              <w:pStyle w:val="TableText"/>
              <w:rPr>
                <w:b/>
                <w:bCs/>
              </w:rPr>
            </w:pPr>
            <w:r w:rsidRPr="009F22EE">
              <w:rPr>
                <w:b/>
                <w:bCs/>
              </w:rPr>
              <w:t>Data period</w:t>
            </w:r>
          </w:p>
        </w:tc>
        <w:tc>
          <w:tcPr>
            <w:tcW w:w="5386" w:type="dxa"/>
          </w:tcPr>
          <w:p w14:paraId="07210133" w14:textId="77777777" w:rsidR="002B0938" w:rsidRDefault="002B0938" w:rsidP="00577C3E">
            <w:pPr>
              <w:pStyle w:val="TableText"/>
            </w:pPr>
          </w:p>
        </w:tc>
      </w:tr>
      <w:tr w:rsidR="002B0938" w14:paraId="219D558B" w14:textId="77777777" w:rsidTr="00F87540">
        <w:tc>
          <w:tcPr>
            <w:tcW w:w="3261" w:type="dxa"/>
            <w:shd w:val="clear" w:color="auto" w:fill="D9D9D9" w:themeFill="background1" w:themeFillShade="D9"/>
          </w:tcPr>
          <w:p w14:paraId="2CA63359" w14:textId="77777777" w:rsidR="002B0938" w:rsidRPr="009F22EE" w:rsidRDefault="002B0938" w:rsidP="00577C3E">
            <w:pPr>
              <w:pStyle w:val="TableText"/>
              <w:rPr>
                <w:b/>
                <w:bCs/>
              </w:rPr>
            </w:pPr>
            <w:r w:rsidRPr="009F22EE">
              <w:rPr>
                <w:b/>
                <w:bCs/>
              </w:rPr>
              <w:t>Related or prior performance measure code</w:t>
            </w:r>
          </w:p>
        </w:tc>
        <w:tc>
          <w:tcPr>
            <w:tcW w:w="5386" w:type="dxa"/>
          </w:tcPr>
          <w:p w14:paraId="7F0C9AD8" w14:textId="77777777" w:rsidR="002B0938" w:rsidRDefault="002B0938" w:rsidP="00577C3E">
            <w:pPr>
              <w:pStyle w:val="TableText"/>
            </w:pPr>
          </w:p>
        </w:tc>
      </w:tr>
    </w:tbl>
    <w:p w14:paraId="496A8C24" w14:textId="77777777" w:rsidR="002B0938" w:rsidRPr="002B0938" w:rsidRDefault="002B0938" w:rsidP="002B0938">
      <w:pPr>
        <w:pStyle w:val="Heading3"/>
        <w:ind w:left="564" w:hanging="564"/>
        <w:rPr>
          <w:rStyle w:val="Heading3Char"/>
          <w:sz w:val="24"/>
          <w:szCs w:val="24"/>
        </w:rPr>
      </w:pPr>
      <w:r w:rsidRPr="002B0938">
        <w:rPr>
          <w:rStyle w:val="Heading3Char"/>
          <w:sz w:val="24"/>
          <w:szCs w:val="24"/>
        </w:rPr>
        <w:t>5.3</w:t>
      </w:r>
      <w:r w:rsidRPr="002B0938">
        <w:rPr>
          <w:rStyle w:val="Heading3Char"/>
          <w:sz w:val="24"/>
          <w:szCs w:val="24"/>
        </w:rPr>
        <w:tab/>
        <w:t>At a system level, monitor the proportion of total expenditure directed to mental health and addiction, public health, and primary and community services and initiatives</w:t>
      </w:r>
    </w:p>
    <w:p w14:paraId="661FD107" w14:textId="77777777" w:rsidR="002B0938" w:rsidRPr="007E56E2" w:rsidRDefault="002B0938" w:rsidP="002B0938">
      <w:r w:rsidRPr="00FF264C">
        <w:t>This measure will be considered as part of the development of the GPS 2024</w:t>
      </w:r>
      <w:r>
        <w:t>–</w:t>
      </w:r>
      <w:r w:rsidRPr="00FF264C">
        <w:t>27.</w:t>
      </w:r>
    </w:p>
    <w:p w14:paraId="6DA2DCF8" w14:textId="77777777" w:rsidR="002B0938" w:rsidRDefault="002B0938" w:rsidP="002B0938"/>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2773C636" w14:textId="77777777" w:rsidTr="00F87540">
        <w:tc>
          <w:tcPr>
            <w:tcW w:w="3261" w:type="dxa"/>
            <w:shd w:val="clear" w:color="auto" w:fill="D9D9D9" w:themeFill="background1" w:themeFillShade="D9"/>
          </w:tcPr>
          <w:p w14:paraId="1C0417B9" w14:textId="77777777" w:rsidR="002B0938" w:rsidRPr="009F22EE" w:rsidRDefault="002B0938" w:rsidP="00577C3E">
            <w:pPr>
              <w:pStyle w:val="TableText"/>
              <w:rPr>
                <w:b/>
                <w:bCs/>
              </w:rPr>
            </w:pPr>
            <w:r w:rsidRPr="009F22EE">
              <w:rPr>
                <w:b/>
                <w:bCs/>
              </w:rPr>
              <w:t>Expectation for July 2022 – June 2024</w:t>
            </w:r>
          </w:p>
        </w:tc>
        <w:tc>
          <w:tcPr>
            <w:tcW w:w="5386" w:type="dxa"/>
          </w:tcPr>
          <w:p w14:paraId="640ED0F9" w14:textId="77777777" w:rsidR="002B0938" w:rsidRDefault="002B0938" w:rsidP="00577C3E">
            <w:pPr>
              <w:pStyle w:val="TableText"/>
            </w:pPr>
          </w:p>
        </w:tc>
      </w:tr>
      <w:tr w:rsidR="002B0938" w14:paraId="2E050F53" w14:textId="77777777" w:rsidTr="00F87540">
        <w:tc>
          <w:tcPr>
            <w:tcW w:w="3261" w:type="dxa"/>
            <w:shd w:val="clear" w:color="auto" w:fill="D9D9D9" w:themeFill="background1" w:themeFillShade="D9"/>
          </w:tcPr>
          <w:p w14:paraId="1F87D2B9" w14:textId="77777777" w:rsidR="002B0938" w:rsidRPr="009F22EE" w:rsidRDefault="002B0938" w:rsidP="00577C3E">
            <w:pPr>
              <w:pStyle w:val="TableText"/>
              <w:rPr>
                <w:b/>
                <w:bCs/>
              </w:rPr>
            </w:pPr>
            <w:r w:rsidRPr="009F22EE">
              <w:rPr>
                <w:b/>
                <w:bCs/>
              </w:rPr>
              <w:t>Data source</w:t>
            </w:r>
          </w:p>
        </w:tc>
        <w:tc>
          <w:tcPr>
            <w:tcW w:w="5386" w:type="dxa"/>
          </w:tcPr>
          <w:p w14:paraId="38ABB329" w14:textId="77777777" w:rsidR="002B0938" w:rsidRDefault="002B0938" w:rsidP="00577C3E">
            <w:pPr>
              <w:pStyle w:val="TableText"/>
            </w:pPr>
          </w:p>
        </w:tc>
      </w:tr>
      <w:tr w:rsidR="002B0938" w14:paraId="58DD523A" w14:textId="77777777" w:rsidTr="00F87540">
        <w:tc>
          <w:tcPr>
            <w:tcW w:w="3261" w:type="dxa"/>
            <w:shd w:val="clear" w:color="auto" w:fill="D9D9D9" w:themeFill="background1" w:themeFillShade="D9"/>
          </w:tcPr>
          <w:p w14:paraId="1329BE6B" w14:textId="77777777" w:rsidR="002B0938" w:rsidRPr="009F22EE" w:rsidRDefault="002B0938" w:rsidP="00577C3E">
            <w:pPr>
              <w:pStyle w:val="TableText"/>
              <w:rPr>
                <w:b/>
                <w:bCs/>
              </w:rPr>
            </w:pPr>
            <w:r w:rsidRPr="009F22EE">
              <w:rPr>
                <w:b/>
                <w:bCs/>
              </w:rPr>
              <w:t>If quantitative, measurement definitions</w:t>
            </w:r>
          </w:p>
        </w:tc>
        <w:tc>
          <w:tcPr>
            <w:tcW w:w="5386" w:type="dxa"/>
          </w:tcPr>
          <w:p w14:paraId="437ACB7D" w14:textId="77777777" w:rsidR="002B0938" w:rsidRDefault="002B0938" w:rsidP="00577C3E">
            <w:pPr>
              <w:pStyle w:val="TableText"/>
            </w:pPr>
          </w:p>
        </w:tc>
      </w:tr>
      <w:tr w:rsidR="002B0938" w14:paraId="14056B61" w14:textId="77777777" w:rsidTr="00F87540">
        <w:tc>
          <w:tcPr>
            <w:tcW w:w="3261" w:type="dxa"/>
            <w:shd w:val="clear" w:color="auto" w:fill="D9D9D9" w:themeFill="background1" w:themeFillShade="D9"/>
          </w:tcPr>
          <w:p w14:paraId="3DA8506A" w14:textId="77777777" w:rsidR="002B0938" w:rsidRPr="009F22EE" w:rsidRDefault="002B0938" w:rsidP="00577C3E">
            <w:pPr>
              <w:pStyle w:val="TableText"/>
              <w:rPr>
                <w:b/>
                <w:bCs/>
              </w:rPr>
            </w:pPr>
            <w:r w:rsidRPr="009F22EE">
              <w:rPr>
                <w:b/>
                <w:bCs/>
              </w:rPr>
              <w:t>Frequency that data is available</w:t>
            </w:r>
          </w:p>
        </w:tc>
        <w:tc>
          <w:tcPr>
            <w:tcW w:w="5386" w:type="dxa"/>
          </w:tcPr>
          <w:p w14:paraId="7D21C813" w14:textId="77777777" w:rsidR="002B0938" w:rsidRDefault="002B0938" w:rsidP="00577C3E">
            <w:pPr>
              <w:pStyle w:val="TableText"/>
            </w:pPr>
          </w:p>
        </w:tc>
      </w:tr>
      <w:tr w:rsidR="002B0938" w14:paraId="663A6837" w14:textId="77777777" w:rsidTr="00F87540">
        <w:tc>
          <w:tcPr>
            <w:tcW w:w="3261" w:type="dxa"/>
            <w:shd w:val="clear" w:color="auto" w:fill="D9D9D9" w:themeFill="background1" w:themeFillShade="D9"/>
          </w:tcPr>
          <w:p w14:paraId="2EF52010" w14:textId="77777777" w:rsidR="002B0938" w:rsidRPr="009F22EE" w:rsidRDefault="002B0938" w:rsidP="00577C3E">
            <w:pPr>
              <w:pStyle w:val="TableText"/>
              <w:rPr>
                <w:b/>
                <w:bCs/>
              </w:rPr>
            </w:pPr>
            <w:r w:rsidRPr="009F22EE">
              <w:rPr>
                <w:b/>
                <w:bCs/>
              </w:rPr>
              <w:t>Level of disaggregation of data available</w:t>
            </w:r>
          </w:p>
        </w:tc>
        <w:tc>
          <w:tcPr>
            <w:tcW w:w="5386" w:type="dxa"/>
          </w:tcPr>
          <w:p w14:paraId="0CDBC5A8" w14:textId="77777777" w:rsidR="002B0938" w:rsidRDefault="002B0938" w:rsidP="00577C3E">
            <w:pPr>
              <w:pStyle w:val="TableText"/>
            </w:pPr>
          </w:p>
        </w:tc>
      </w:tr>
      <w:tr w:rsidR="002B0938" w14:paraId="0B2E2A00" w14:textId="77777777" w:rsidTr="00F87540">
        <w:trPr>
          <w:trHeight w:val="85"/>
        </w:trPr>
        <w:tc>
          <w:tcPr>
            <w:tcW w:w="3261" w:type="dxa"/>
            <w:shd w:val="clear" w:color="auto" w:fill="D9D9D9" w:themeFill="background1" w:themeFillShade="D9"/>
          </w:tcPr>
          <w:p w14:paraId="69BCE9EF" w14:textId="77777777" w:rsidR="002B0938" w:rsidRPr="009F22EE" w:rsidRDefault="002B0938" w:rsidP="00577C3E">
            <w:pPr>
              <w:pStyle w:val="TableText"/>
              <w:rPr>
                <w:b/>
                <w:bCs/>
              </w:rPr>
            </w:pPr>
            <w:r w:rsidRPr="009F22EE">
              <w:rPr>
                <w:b/>
                <w:bCs/>
              </w:rPr>
              <w:t>Data period</w:t>
            </w:r>
          </w:p>
        </w:tc>
        <w:tc>
          <w:tcPr>
            <w:tcW w:w="5386" w:type="dxa"/>
          </w:tcPr>
          <w:p w14:paraId="0F675B81" w14:textId="77777777" w:rsidR="002B0938" w:rsidRDefault="002B0938" w:rsidP="00577C3E">
            <w:pPr>
              <w:pStyle w:val="TableText"/>
            </w:pPr>
          </w:p>
        </w:tc>
      </w:tr>
      <w:tr w:rsidR="002B0938" w14:paraId="163EAACB" w14:textId="77777777" w:rsidTr="00F87540">
        <w:tc>
          <w:tcPr>
            <w:tcW w:w="3261" w:type="dxa"/>
            <w:shd w:val="clear" w:color="auto" w:fill="D9D9D9" w:themeFill="background1" w:themeFillShade="D9"/>
          </w:tcPr>
          <w:p w14:paraId="050DF614" w14:textId="77777777" w:rsidR="002B0938" w:rsidRPr="009F22EE" w:rsidRDefault="002B0938" w:rsidP="00577C3E">
            <w:pPr>
              <w:pStyle w:val="TableText"/>
              <w:rPr>
                <w:b/>
                <w:bCs/>
              </w:rPr>
            </w:pPr>
            <w:r w:rsidRPr="009F22EE">
              <w:rPr>
                <w:b/>
                <w:bCs/>
              </w:rPr>
              <w:t>Related or prior performance measure code</w:t>
            </w:r>
          </w:p>
        </w:tc>
        <w:tc>
          <w:tcPr>
            <w:tcW w:w="5386" w:type="dxa"/>
          </w:tcPr>
          <w:p w14:paraId="03A619F6" w14:textId="77777777" w:rsidR="002B0938" w:rsidRDefault="002B0938" w:rsidP="00577C3E">
            <w:pPr>
              <w:pStyle w:val="TableText"/>
            </w:pPr>
          </w:p>
        </w:tc>
      </w:tr>
    </w:tbl>
    <w:p w14:paraId="1AAE0258" w14:textId="4E333CEB" w:rsidR="002B0938" w:rsidRPr="00F87540" w:rsidRDefault="002B0938" w:rsidP="00F87540">
      <w:pPr>
        <w:pStyle w:val="Heading3"/>
        <w:ind w:left="564" w:hanging="564"/>
        <w:rPr>
          <w:sz w:val="24"/>
          <w:szCs w:val="24"/>
        </w:rPr>
      </w:pPr>
      <w:r w:rsidRPr="002B0938">
        <w:rPr>
          <w:rStyle w:val="Heading3Char"/>
          <w:sz w:val="24"/>
          <w:szCs w:val="24"/>
        </w:rPr>
        <w:lastRenderedPageBreak/>
        <w:t>5.4</w:t>
      </w:r>
      <w:r w:rsidRPr="002B0938">
        <w:rPr>
          <w:rStyle w:val="Heading3Char"/>
          <w:sz w:val="24"/>
          <w:szCs w:val="24"/>
        </w:rPr>
        <w:tab/>
        <w:t>Develop an Investment Strategy and National Asset Management Strategy by December 2023</w:t>
      </w: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6A392C9E" w14:textId="77777777" w:rsidTr="00F87540">
        <w:tc>
          <w:tcPr>
            <w:tcW w:w="3261" w:type="dxa"/>
            <w:shd w:val="clear" w:color="auto" w:fill="D9D9D9" w:themeFill="background1" w:themeFillShade="D9"/>
          </w:tcPr>
          <w:p w14:paraId="209CA790" w14:textId="77777777" w:rsidR="002B0938" w:rsidRPr="009F22EE" w:rsidRDefault="002B0938" w:rsidP="00577C3E">
            <w:pPr>
              <w:pStyle w:val="TableText"/>
              <w:rPr>
                <w:b/>
                <w:bCs/>
              </w:rPr>
            </w:pPr>
            <w:r w:rsidRPr="009F22EE">
              <w:rPr>
                <w:b/>
                <w:bCs/>
              </w:rPr>
              <w:t>Expectation for July 2022 – June 2024</w:t>
            </w:r>
          </w:p>
        </w:tc>
        <w:tc>
          <w:tcPr>
            <w:tcW w:w="5386" w:type="dxa"/>
          </w:tcPr>
          <w:p w14:paraId="34D4FEA1" w14:textId="77777777" w:rsidR="002B0938" w:rsidRDefault="002B0938" w:rsidP="00577C3E">
            <w:pPr>
              <w:pStyle w:val="TableText"/>
            </w:pPr>
            <w:r w:rsidRPr="005D6D71">
              <w:t>Develop an Investment Strategy and National Asset Management Strategy by December 2023</w:t>
            </w:r>
          </w:p>
        </w:tc>
      </w:tr>
      <w:tr w:rsidR="002B0938" w14:paraId="3562B7EA" w14:textId="77777777" w:rsidTr="00F87540">
        <w:tc>
          <w:tcPr>
            <w:tcW w:w="3261" w:type="dxa"/>
            <w:shd w:val="clear" w:color="auto" w:fill="D9D9D9" w:themeFill="background1" w:themeFillShade="D9"/>
          </w:tcPr>
          <w:p w14:paraId="2E71AA34" w14:textId="77777777" w:rsidR="002B0938" w:rsidRPr="009F22EE" w:rsidRDefault="002B0938" w:rsidP="00577C3E">
            <w:pPr>
              <w:pStyle w:val="TableText"/>
              <w:rPr>
                <w:b/>
                <w:bCs/>
              </w:rPr>
            </w:pPr>
            <w:r w:rsidRPr="009F22EE">
              <w:rPr>
                <w:b/>
                <w:bCs/>
              </w:rPr>
              <w:t>Data source</w:t>
            </w:r>
          </w:p>
        </w:tc>
        <w:tc>
          <w:tcPr>
            <w:tcW w:w="5386" w:type="dxa"/>
          </w:tcPr>
          <w:p w14:paraId="599B4995" w14:textId="77777777" w:rsidR="002B0938" w:rsidRPr="005D6D71" w:rsidRDefault="002B0938" w:rsidP="00577C3E">
            <w:pPr>
              <w:pStyle w:val="TableText"/>
            </w:pPr>
            <w:r w:rsidRPr="005D6D71">
              <w:t xml:space="preserve">Investment Strategy and National Asset Management   Strategy document received by the Ministry. </w:t>
            </w:r>
          </w:p>
        </w:tc>
      </w:tr>
      <w:tr w:rsidR="002B0938" w14:paraId="790127D3" w14:textId="77777777" w:rsidTr="00F87540">
        <w:tc>
          <w:tcPr>
            <w:tcW w:w="3261" w:type="dxa"/>
            <w:shd w:val="clear" w:color="auto" w:fill="D9D9D9" w:themeFill="background1" w:themeFillShade="D9"/>
          </w:tcPr>
          <w:p w14:paraId="27365D3B" w14:textId="77777777" w:rsidR="002B0938" w:rsidRPr="009F22EE" w:rsidRDefault="002B0938" w:rsidP="00577C3E">
            <w:pPr>
              <w:pStyle w:val="TableText"/>
              <w:rPr>
                <w:b/>
                <w:bCs/>
              </w:rPr>
            </w:pPr>
            <w:r w:rsidRPr="009F22EE">
              <w:rPr>
                <w:b/>
                <w:bCs/>
              </w:rPr>
              <w:t>If quantitative, measurement definitions</w:t>
            </w:r>
          </w:p>
        </w:tc>
        <w:tc>
          <w:tcPr>
            <w:tcW w:w="5386" w:type="dxa"/>
          </w:tcPr>
          <w:p w14:paraId="6BA37660" w14:textId="77777777" w:rsidR="002B0938" w:rsidRDefault="002B0938" w:rsidP="00577C3E">
            <w:pPr>
              <w:pStyle w:val="TableText"/>
            </w:pPr>
            <w:r w:rsidRPr="00597812">
              <w:t>n/a</w:t>
            </w:r>
          </w:p>
        </w:tc>
      </w:tr>
      <w:tr w:rsidR="002B0938" w14:paraId="46A1404F" w14:textId="77777777" w:rsidTr="00F87540">
        <w:tc>
          <w:tcPr>
            <w:tcW w:w="3261" w:type="dxa"/>
            <w:shd w:val="clear" w:color="auto" w:fill="D9D9D9" w:themeFill="background1" w:themeFillShade="D9"/>
          </w:tcPr>
          <w:p w14:paraId="3C61B9AC" w14:textId="77777777" w:rsidR="002B0938" w:rsidRPr="009F22EE" w:rsidRDefault="002B0938" w:rsidP="00577C3E">
            <w:pPr>
              <w:pStyle w:val="TableText"/>
              <w:rPr>
                <w:b/>
                <w:bCs/>
              </w:rPr>
            </w:pPr>
            <w:r w:rsidRPr="009F22EE">
              <w:rPr>
                <w:b/>
                <w:bCs/>
              </w:rPr>
              <w:t>Frequency that data is available</w:t>
            </w:r>
          </w:p>
        </w:tc>
        <w:tc>
          <w:tcPr>
            <w:tcW w:w="5386" w:type="dxa"/>
          </w:tcPr>
          <w:p w14:paraId="0C1CC43E" w14:textId="77777777" w:rsidR="002B0938" w:rsidRDefault="002B0938" w:rsidP="00577C3E">
            <w:pPr>
              <w:pStyle w:val="TableText"/>
            </w:pPr>
            <w:r w:rsidRPr="00597812">
              <w:t>n/a</w:t>
            </w:r>
          </w:p>
        </w:tc>
      </w:tr>
      <w:tr w:rsidR="002B0938" w14:paraId="52530C54" w14:textId="77777777" w:rsidTr="00F87540">
        <w:tc>
          <w:tcPr>
            <w:tcW w:w="3261" w:type="dxa"/>
            <w:shd w:val="clear" w:color="auto" w:fill="D9D9D9" w:themeFill="background1" w:themeFillShade="D9"/>
          </w:tcPr>
          <w:p w14:paraId="332D02F9" w14:textId="77777777" w:rsidR="002B0938" w:rsidRPr="009F22EE" w:rsidRDefault="002B0938" w:rsidP="00577C3E">
            <w:pPr>
              <w:pStyle w:val="TableText"/>
              <w:rPr>
                <w:b/>
                <w:bCs/>
              </w:rPr>
            </w:pPr>
            <w:r w:rsidRPr="009F22EE">
              <w:rPr>
                <w:b/>
                <w:bCs/>
              </w:rPr>
              <w:t>Level of disaggregation of data available</w:t>
            </w:r>
          </w:p>
        </w:tc>
        <w:tc>
          <w:tcPr>
            <w:tcW w:w="5386" w:type="dxa"/>
          </w:tcPr>
          <w:p w14:paraId="60D7CFFD" w14:textId="77777777" w:rsidR="002B0938" w:rsidRDefault="002B0938" w:rsidP="00577C3E">
            <w:pPr>
              <w:pStyle w:val="TableText"/>
            </w:pPr>
            <w:r w:rsidRPr="00597812">
              <w:t>n/a</w:t>
            </w:r>
          </w:p>
        </w:tc>
      </w:tr>
      <w:tr w:rsidR="002B0938" w14:paraId="58AC47BF" w14:textId="77777777" w:rsidTr="00F87540">
        <w:trPr>
          <w:trHeight w:val="85"/>
        </w:trPr>
        <w:tc>
          <w:tcPr>
            <w:tcW w:w="3261" w:type="dxa"/>
            <w:shd w:val="clear" w:color="auto" w:fill="D9D9D9" w:themeFill="background1" w:themeFillShade="D9"/>
          </w:tcPr>
          <w:p w14:paraId="570CD02D" w14:textId="77777777" w:rsidR="002B0938" w:rsidRPr="009F22EE" w:rsidRDefault="002B0938" w:rsidP="00577C3E">
            <w:pPr>
              <w:pStyle w:val="TableText"/>
              <w:rPr>
                <w:b/>
                <w:bCs/>
              </w:rPr>
            </w:pPr>
            <w:r w:rsidRPr="009F22EE">
              <w:rPr>
                <w:b/>
                <w:bCs/>
              </w:rPr>
              <w:t>Data period</w:t>
            </w:r>
          </w:p>
        </w:tc>
        <w:tc>
          <w:tcPr>
            <w:tcW w:w="5386" w:type="dxa"/>
          </w:tcPr>
          <w:p w14:paraId="219B2A23" w14:textId="77777777" w:rsidR="002B0938" w:rsidRDefault="002B0938" w:rsidP="00577C3E">
            <w:pPr>
              <w:pStyle w:val="TableText"/>
            </w:pPr>
            <w:r w:rsidRPr="00597812">
              <w:t>n/a</w:t>
            </w:r>
          </w:p>
        </w:tc>
      </w:tr>
      <w:tr w:rsidR="002B0938" w14:paraId="47814D7B" w14:textId="77777777" w:rsidTr="00F87540">
        <w:tc>
          <w:tcPr>
            <w:tcW w:w="3261" w:type="dxa"/>
            <w:shd w:val="clear" w:color="auto" w:fill="D9D9D9" w:themeFill="background1" w:themeFillShade="D9"/>
          </w:tcPr>
          <w:p w14:paraId="64494BB7" w14:textId="77777777" w:rsidR="002B0938" w:rsidRPr="009F22EE" w:rsidRDefault="002B0938" w:rsidP="00577C3E">
            <w:pPr>
              <w:pStyle w:val="TableText"/>
              <w:rPr>
                <w:b/>
                <w:bCs/>
              </w:rPr>
            </w:pPr>
            <w:r w:rsidRPr="009F22EE">
              <w:rPr>
                <w:b/>
                <w:bCs/>
              </w:rPr>
              <w:t>Related or prior performance measure code</w:t>
            </w:r>
          </w:p>
        </w:tc>
        <w:tc>
          <w:tcPr>
            <w:tcW w:w="5386" w:type="dxa"/>
          </w:tcPr>
          <w:p w14:paraId="6AEAA9CF" w14:textId="77777777" w:rsidR="002B0938" w:rsidRDefault="002B0938" w:rsidP="00577C3E">
            <w:pPr>
              <w:pStyle w:val="TableText"/>
            </w:pPr>
            <w:r w:rsidRPr="00597812">
              <w:t>n/a</w:t>
            </w:r>
          </w:p>
        </w:tc>
      </w:tr>
    </w:tbl>
    <w:p w14:paraId="46863516" w14:textId="77777777" w:rsidR="002B0938" w:rsidRDefault="002B0938" w:rsidP="002B0938">
      <w:pPr>
        <w:pStyle w:val="Heading2"/>
        <w:sectPr w:rsidR="002B0938" w:rsidSect="00577C3E">
          <w:pgSz w:w="11907" w:h="16834" w:code="9"/>
          <w:pgMar w:top="1418" w:right="1701" w:bottom="1134" w:left="1843" w:header="284" w:footer="425" w:gutter="284"/>
          <w:cols w:space="720"/>
        </w:sectPr>
      </w:pPr>
    </w:p>
    <w:p w14:paraId="25AF58D2" w14:textId="77777777" w:rsidR="002B0938" w:rsidRPr="002B0938" w:rsidRDefault="002B0938" w:rsidP="00A72706">
      <w:pPr>
        <w:pStyle w:val="Heading2"/>
        <w:spacing w:before="0"/>
      </w:pPr>
      <w:bookmarkStart w:id="14" w:name="_Toc108422560"/>
      <w:bookmarkStart w:id="15" w:name="_Toc166488694"/>
      <w:r w:rsidRPr="002B0938">
        <w:lastRenderedPageBreak/>
        <w:t>Priority 6: Laying the foundations for the ongoing success of the health sector</w:t>
      </w:r>
      <w:bookmarkEnd w:id="14"/>
      <w:bookmarkEnd w:id="15"/>
    </w:p>
    <w:p w14:paraId="3FF3318F" w14:textId="15EADFD8" w:rsidR="002B0938" w:rsidRPr="00F87540" w:rsidRDefault="002B0938" w:rsidP="00F87540">
      <w:pPr>
        <w:pStyle w:val="Heading3"/>
        <w:ind w:left="564" w:hanging="564"/>
        <w:rPr>
          <w:sz w:val="24"/>
          <w:szCs w:val="24"/>
        </w:rPr>
      </w:pPr>
      <w:r w:rsidRPr="002B0938">
        <w:rPr>
          <w:rStyle w:val="Heading3Char"/>
          <w:sz w:val="24"/>
          <w:szCs w:val="24"/>
        </w:rPr>
        <w:t>6.1</w:t>
      </w:r>
      <w:r w:rsidRPr="002B0938">
        <w:rPr>
          <w:rStyle w:val="Heading3Char"/>
          <w:sz w:val="24"/>
          <w:szCs w:val="24"/>
        </w:rPr>
        <w:tab/>
        <w:t>Health entities are clear about their own and other entities’ roles and responsibilities, and are delivering to these</w:t>
      </w:r>
    </w:p>
    <w:tbl>
      <w:tblPr>
        <w:tblStyle w:val="TableGrid"/>
        <w:tblW w:w="850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244"/>
      </w:tblGrid>
      <w:tr w:rsidR="002B0938" w14:paraId="2755B4B2" w14:textId="77777777" w:rsidTr="00F87540">
        <w:tc>
          <w:tcPr>
            <w:tcW w:w="3261" w:type="dxa"/>
            <w:shd w:val="clear" w:color="auto" w:fill="D9D9D9" w:themeFill="background1" w:themeFillShade="D9"/>
          </w:tcPr>
          <w:p w14:paraId="6FC10FD7" w14:textId="77777777" w:rsidR="002B0938" w:rsidRPr="009F22EE" w:rsidRDefault="002B0938" w:rsidP="00577C3E">
            <w:pPr>
              <w:pStyle w:val="TableText"/>
              <w:rPr>
                <w:b/>
                <w:bCs/>
              </w:rPr>
            </w:pPr>
            <w:r w:rsidRPr="009F22EE">
              <w:rPr>
                <w:b/>
                <w:bCs/>
              </w:rPr>
              <w:t>Expectation for July 2022 – June 2024</w:t>
            </w:r>
          </w:p>
        </w:tc>
        <w:tc>
          <w:tcPr>
            <w:tcW w:w="5244" w:type="dxa"/>
          </w:tcPr>
          <w:p w14:paraId="5C89A397" w14:textId="77777777" w:rsidR="002B0938" w:rsidRDefault="002B0938" w:rsidP="00577C3E">
            <w:pPr>
              <w:pStyle w:val="TableText"/>
            </w:pPr>
            <w:r w:rsidRPr="003B680A">
              <w:t>Statement of Intent (SOI) and Statement of Performance Expectations (SPE) are finalised and published.</w:t>
            </w:r>
          </w:p>
        </w:tc>
      </w:tr>
      <w:tr w:rsidR="002B0938" w14:paraId="5F4F4C30" w14:textId="77777777" w:rsidTr="00F87540">
        <w:tc>
          <w:tcPr>
            <w:tcW w:w="3261" w:type="dxa"/>
            <w:shd w:val="clear" w:color="auto" w:fill="D9D9D9" w:themeFill="background1" w:themeFillShade="D9"/>
          </w:tcPr>
          <w:p w14:paraId="1E01C62A" w14:textId="77777777" w:rsidR="002B0938" w:rsidRPr="009F22EE" w:rsidRDefault="002B0938" w:rsidP="00577C3E">
            <w:pPr>
              <w:pStyle w:val="TableText"/>
              <w:rPr>
                <w:b/>
                <w:bCs/>
              </w:rPr>
            </w:pPr>
            <w:r w:rsidRPr="009F22EE">
              <w:rPr>
                <w:b/>
                <w:bCs/>
              </w:rPr>
              <w:t>Data source</w:t>
            </w:r>
          </w:p>
        </w:tc>
        <w:tc>
          <w:tcPr>
            <w:tcW w:w="5244" w:type="dxa"/>
          </w:tcPr>
          <w:p w14:paraId="451C0742" w14:textId="77777777" w:rsidR="002B0938" w:rsidRDefault="002B0938" w:rsidP="00577C3E">
            <w:pPr>
              <w:pStyle w:val="TableText"/>
            </w:pPr>
            <w:r w:rsidRPr="003B680A">
              <w:t>Statement of Intent and Statement of Performance Expectations from each health Crown entity</w:t>
            </w:r>
          </w:p>
        </w:tc>
      </w:tr>
      <w:tr w:rsidR="002B0938" w14:paraId="084A08D0" w14:textId="77777777" w:rsidTr="00F87540">
        <w:tc>
          <w:tcPr>
            <w:tcW w:w="3261" w:type="dxa"/>
            <w:shd w:val="clear" w:color="auto" w:fill="D9D9D9" w:themeFill="background1" w:themeFillShade="D9"/>
          </w:tcPr>
          <w:p w14:paraId="002AA5C8" w14:textId="77777777" w:rsidR="002B0938" w:rsidRPr="009F22EE" w:rsidRDefault="002B0938" w:rsidP="00577C3E">
            <w:pPr>
              <w:pStyle w:val="TableText"/>
              <w:rPr>
                <w:b/>
                <w:bCs/>
              </w:rPr>
            </w:pPr>
            <w:r w:rsidRPr="009F22EE">
              <w:rPr>
                <w:b/>
                <w:bCs/>
              </w:rPr>
              <w:t>If quantitative, measurement definitions</w:t>
            </w:r>
          </w:p>
        </w:tc>
        <w:tc>
          <w:tcPr>
            <w:tcW w:w="5244" w:type="dxa"/>
          </w:tcPr>
          <w:p w14:paraId="7F26A30C" w14:textId="77777777" w:rsidR="002B0938" w:rsidRDefault="002B0938" w:rsidP="00577C3E">
            <w:pPr>
              <w:pStyle w:val="TableText"/>
            </w:pPr>
          </w:p>
        </w:tc>
      </w:tr>
      <w:tr w:rsidR="002B0938" w14:paraId="0C0B9082" w14:textId="77777777" w:rsidTr="00F87540">
        <w:tc>
          <w:tcPr>
            <w:tcW w:w="3261" w:type="dxa"/>
            <w:shd w:val="clear" w:color="auto" w:fill="D9D9D9" w:themeFill="background1" w:themeFillShade="D9"/>
          </w:tcPr>
          <w:p w14:paraId="1B40C265" w14:textId="77777777" w:rsidR="002B0938" w:rsidRPr="009F22EE" w:rsidRDefault="002B0938" w:rsidP="00577C3E">
            <w:pPr>
              <w:pStyle w:val="TableText"/>
              <w:rPr>
                <w:b/>
                <w:bCs/>
              </w:rPr>
            </w:pPr>
            <w:r w:rsidRPr="009F22EE">
              <w:rPr>
                <w:b/>
                <w:bCs/>
              </w:rPr>
              <w:t>Frequency that data is available</w:t>
            </w:r>
          </w:p>
        </w:tc>
        <w:tc>
          <w:tcPr>
            <w:tcW w:w="5244" w:type="dxa"/>
          </w:tcPr>
          <w:p w14:paraId="1E6E6453" w14:textId="77777777" w:rsidR="002B0938" w:rsidRDefault="002B0938" w:rsidP="00577C3E">
            <w:pPr>
              <w:pStyle w:val="TableText"/>
            </w:pPr>
            <w:r w:rsidRPr="003B680A">
              <w:t>Published at the beginning of the relevant financial year</w:t>
            </w:r>
          </w:p>
        </w:tc>
      </w:tr>
      <w:tr w:rsidR="002B0938" w14:paraId="74875D0F" w14:textId="77777777" w:rsidTr="00F87540">
        <w:tc>
          <w:tcPr>
            <w:tcW w:w="3261" w:type="dxa"/>
            <w:shd w:val="clear" w:color="auto" w:fill="D9D9D9" w:themeFill="background1" w:themeFillShade="D9"/>
          </w:tcPr>
          <w:p w14:paraId="32B3823A" w14:textId="77777777" w:rsidR="002B0938" w:rsidRPr="009F22EE" w:rsidRDefault="002B0938" w:rsidP="00577C3E">
            <w:pPr>
              <w:pStyle w:val="TableText"/>
              <w:rPr>
                <w:b/>
                <w:bCs/>
              </w:rPr>
            </w:pPr>
            <w:r w:rsidRPr="009F22EE">
              <w:rPr>
                <w:b/>
                <w:bCs/>
              </w:rPr>
              <w:t>Level of disaggregation of data available</w:t>
            </w:r>
          </w:p>
        </w:tc>
        <w:tc>
          <w:tcPr>
            <w:tcW w:w="5244" w:type="dxa"/>
          </w:tcPr>
          <w:p w14:paraId="2B97AAFC" w14:textId="77777777" w:rsidR="002B0938" w:rsidRDefault="002B0938" w:rsidP="00577C3E">
            <w:pPr>
              <w:pStyle w:val="TableText"/>
            </w:pPr>
            <w:r w:rsidRPr="003B680A">
              <w:t>n/a</w:t>
            </w:r>
          </w:p>
        </w:tc>
      </w:tr>
      <w:tr w:rsidR="002B0938" w14:paraId="3BB59A1F" w14:textId="77777777" w:rsidTr="00F87540">
        <w:trPr>
          <w:trHeight w:val="85"/>
        </w:trPr>
        <w:tc>
          <w:tcPr>
            <w:tcW w:w="3261" w:type="dxa"/>
            <w:shd w:val="clear" w:color="auto" w:fill="D9D9D9" w:themeFill="background1" w:themeFillShade="D9"/>
          </w:tcPr>
          <w:p w14:paraId="080A0EA6" w14:textId="77777777" w:rsidR="002B0938" w:rsidRPr="009F22EE" w:rsidRDefault="002B0938" w:rsidP="00577C3E">
            <w:pPr>
              <w:pStyle w:val="TableText"/>
              <w:rPr>
                <w:b/>
                <w:bCs/>
              </w:rPr>
            </w:pPr>
            <w:r w:rsidRPr="009F22EE">
              <w:rPr>
                <w:b/>
                <w:bCs/>
              </w:rPr>
              <w:t>Data period</w:t>
            </w:r>
          </w:p>
        </w:tc>
        <w:tc>
          <w:tcPr>
            <w:tcW w:w="5244" w:type="dxa"/>
          </w:tcPr>
          <w:p w14:paraId="04E0B613" w14:textId="77777777" w:rsidR="002B0938" w:rsidRDefault="002B0938" w:rsidP="00577C3E">
            <w:pPr>
              <w:pStyle w:val="TableText"/>
            </w:pPr>
            <w:r w:rsidRPr="003B680A">
              <w:t>As per SOI and SPE</w:t>
            </w:r>
          </w:p>
        </w:tc>
      </w:tr>
      <w:tr w:rsidR="002B0938" w14:paraId="1C185B7F" w14:textId="77777777" w:rsidTr="00F87540">
        <w:tc>
          <w:tcPr>
            <w:tcW w:w="3261" w:type="dxa"/>
            <w:shd w:val="clear" w:color="auto" w:fill="D9D9D9" w:themeFill="background1" w:themeFillShade="D9"/>
          </w:tcPr>
          <w:p w14:paraId="40E658F9" w14:textId="77777777" w:rsidR="002B0938" w:rsidRPr="009F22EE" w:rsidRDefault="002B0938" w:rsidP="00577C3E">
            <w:pPr>
              <w:pStyle w:val="TableText"/>
              <w:rPr>
                <w:b/>
                <w:bCs/>
              </w:rPr>
            </w:pPr>
            <w:r w:rsidRPr="009F22EE">
              <w:rPr>
                <w:b/>
                <w:bCs/>
              </w:rPr>
              <w:t>Related or prior performance measure code</w:t>
            </w:r>
          </w:p>
        </w:tc>
        <w:tc>
          <w:tcPr>
            <w:tcW w:w="5244" w:type="dxa"/>
          </w:tcPr>
          <w:p w14:paraId="5FF02DC2" w14:textId="77777777" w:rsidR="002B0938" w:rsidRDefault="002B0938" w:rsidP="00577C3E">
            <w:pPr>
              <w:pStyle w:val="TableText"/>
            </w:pPr>
            <w:r w:rsidRPr="003B680A">
              <w:t>n/a</w:t>
            </w:r>
          </w:p>
        </w:tc>
      </w:tr>
    </w:tbl>
    <w:p w14:paraId="16CD9A47" w14:textId="77777777" w:rsidR="002B0938" w:rsidRPr="002B0938" w:rsidRDefault="002B0938" w:rsidP="002B0938">
      <w:pPr>
        <w:pStyle w:val="Heading3"/>
        <w:ind w:left="564" w:hanging="564"/>
        <w:rPr>
          <w:rStyle w:val="Heading3Char"/>
          <w:sz w:val="24"/>
          <w:szCs w:val="24"/>
        </w:rPr>
      </w:pPr>
      <w:r w:rsidRPr="002B0938">
        <w:rPr>
          <w:rStyle w:val="Heading3Char"/>
          <w:sz w:val="24"/>
          <w:szCs w:val="24"/>
        </w:rPr>
        <w:t>6.2</w:t>
      </w:r>
      <w:r w:rsidRPr="002B0938">
        <w:rPr>
          <w:rStyle w:val="Heading3Char"/>
          <w:sz w:val="24"/>
          <w:szCs w:val="24"/>
        </w:rPr>
        <w:tab/>
        <w:t>Experience of primary health care and adult inpatient health services measured across demographic groups using patient experience surveys</w:t>
      </w:r>
    </w:p>
    <w:p w14:paraId="054D6332" w14:textId="77777777" w:rsidR="002B0938" w:rsidRDefault="002B0938" w:rsidP="002B0938">
      <w:r w:rsidRPr="004C6D7E">
        <w:t>Initially, this will reflect two of the current Health System Indicators ‘People report they can get primary care when they need it’ and ‘People report being involved in the decisions about their care and treatment’. The definition below reflects the existing measure</w:t>
      </w:r>
      <w:r>
        <w:t>s</w:t>
      </w:r>
      <w:r w:rsidRPr="004C6D7E">
        <w:t>.</w:t>
      </w:r>
    </w:p>
    <w:p w14:paraId="04E31B15" w14:textId="77777777" w:rsidR="002B0938" w:rsidRDefault="002B0938" w:rsidP="002B0938"/>
    <w:tbl>
      <w:tblPr>
        <w:tblStyle w:val="TableGrid"/>
        <w:tblW w:w="850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244"/>
      </w:tblGrid>
      <w:tr w:rsidR="002B0938" w14:paraId="4094721A" w14:textId="77777777" w:rsidTr="00F87540">
        <w:tc>
          <w:tcPr>
            <w:tcW w:w="3261" w:type="dxa"/>
            <w:shd w:val="clear" w:color="auto" w:fill="D9D9D9" w:themeFill="background1" w:themeFillShade="D9"/>
          </w:tcPr>
          <w:p w14:paraId="1792A4A9" w14:textId="77777777" w:rsidR="002B0938" w:rsidRPr="004C6D7E" w:rsidRDefault="002B0938" w:rsidP="00577C3E">
            <w:pPr>
              <w:pStyle w:val="TableText"/>
              <w:rPr>
                <w:b/>
                <w:bCs/>
              </w:rPr>
            </w:pPr>
            <w:r w:rsidRPr="004C6D7E">
              <w:rPr>
                <w:b/>
                <w:bCs/>
              </w:rPr>
              <w:t>Expectation for July 2022 – June 2024</w:t>
            </w:r>
          </w:p>
        </w:tc>
        <w:tc>
          <w:tcPr>
            <w:tcW w:w="5244" w:type="dxa"/>
          </w:tcPr>
          <w:p w14:paraId="6FC3AB6D" w14:textId="77777777" w:rsidR="002B0938" w:rsidRDefault="002B0938" w:rsidP="00577C3E">
            <w:pPr>
              <w:pStyle w:val="TableText"/>
            </w:pPr>
            <w:r w:rsidRPr="00B02459">
              <w:t>Improvement on results from June 2021 (baseline used in Health System Indicators)</w:t>
            </w:r>
          </w:p>
        </w:tc>
      </w:tr>
      <w:tr w:rsidR="002B0938" w14:paraId="1D353D9D" w14:textId="77777777" w:rsidTr="00F87540">
        <w:tc>
          <w:tcPr>
            <w:tcW w:w="3261" w:type="dxa"/>
            <w:shd w:val="clear" w:color="auto" w:fill="D9D9D9" w:themeFill="background1" w:themeFillShade="D9"/>
          </w:tcPr>
          <w:p w14:paraId="19EA32E1" w14:textId="77777777" w:rsidR="002B0938" w:rsidRPr="004C6D7E" w:rsidRDefault="002B0938" w:rsidP="00577C3E">
            <w:pPr>
              <w:pStyle w:val="TableText"/>
              <w:rPr>
                <w:b/>
                <w:bCs/>
              </w:rPr>
            </w:pPr>
            <w:r w:rsidRPr="004C6D7E">
              <w:rPr>
                <w:b/>
                <w:bCs/>
              </w:rPr>
              <w:t>Data source</w:t>
            </w:r>
          </w:p>
        </w:tc>
        <w:tc>
          <w:tcPr>
            <w:tcW w:w="5244" w:type="dxa"/>
          </w:tcPr>
          <w:p w14:paraId="48AE96A3" w14:textId="77777777" w:rsidR="002B0938" w:rsidRPr="00120416" w:rsidRDefault="002B0938" w:rsidP="00577C3E">
            <w:pPr>
              <w:pStyle w:val="TableText"/>
            </w:pPr>
            <w:r w:rsidRPr="00120416">
              <w:t>Health Quality &amp; Safety Commission (HQSC) patient experience survey results</w:t>
            </w:r>
          </w:p>
          <w:p w14:paraId="6CD5CE31" w14:textId="77777777" w:rsidR="002B0938" w:rsidRPr="00120416" w:rsidRDefault="002B0938" w:rsidP="00577C3E">
            <w:pPr>
              <w:pStyle w:val="TableText"/>
            </w:pPr>
            <w:r w:rsidRPr="00120416">
              <w:t xml:space="preserve">Adult primary care patient experience for ‘People report they can get primary care when they need it.’ </w:t>
            </w:r>
          </w:p>
          <w:p w14:paraId="61542BFA" w14:textId="77777777" w:rsidR="002B0938" w:rsidRPr="00120416" w:rsidRDefault="002B0938" w:rsidP="00577C3E">
            <w:pPr>
              <w:pStyle w:val="TableText"/>
            </w:pPr>
            <w:r w:rsidRPr="00120416">
              <w:t>Adult hospital inpatient experience for ‘People report being involved in the decisions about their care and treatment.’</w:t>
            </w:r>
          </w:p>
          <w:p w14:paraId="75281186" w14:textId="77777777" w:rsidR="002B0938" w:rsidRDefault="00000000" w:rsidP="00577C3E">
            <w:pPr>
              <w:pStyle w:val="TableText"/>
            </w:pPr>
            <w:hyperlink r:id="rId60" w:history="1">
              <w:r w:rsidR="002B0938" w:rsidRPr="00CD7C77">
                <w:rPr>
                  <w:b/>
                  <w:color w:val="595959"/>
                </w:rPr>
                <w:t>https://www.hqsc.govt.nz/our-data/patient-reported-measures/patient-experience/</w:t>
              </w:r>
            </w:hyperlink>
          </w:p>
        </w:tc>
      </w:tr>
      <w:tr w:rsidR="002B0938" w14:paraId="5059B294" w14:textId="77777777" w:rsidTr="00F87540">
        <w:tc>
          <w:tcPr>
            <w:tcW w:w="3261" w:type="dxa"/>
            <w:shd w:val="clear" w:color="auto" w:fill="D9D9D9" w:themeFill="background1" w:themeFillShade="D9"/>
          </w:tcPr>
          <w:p w14:paraId="1E89744C" w14:textId="77777777" w:rsidR="002B0938" w:rsidRPr="004C6D7E" w:rsidRDefault="002B0938" w:rsidP="00577C3E">
            <w:pPr>
              <w:pStyle w:val="TableText"/>
              <w:rPr>
                <w:b/>
                <w:bCs/>
              </w:rPr>
            </w:pPr>
            <w:r w:rsidRPr="004C6D7E">
              <w:rPr>
                <w:b/>
                <w:bCs/>
              </w:rPr>
              <w:t>If quantitative, measurement definitions</w:t>
            </w:r>
          </w:p>
        </w:tc>
        <w:tc>
          <w:tcPr>
            <w:tcW w:w="5244" w:type="dxa"/>
          </w:tcPr>
          <w:p w14:paraId="1A3F4D4C" w14:textId="77777777" w:rsidR="002B0938" w:rsidRPr="00120416" w:rsidRDefault="002B0938" w:rsidP="00577C3E">
            <w:pPr>
              <w:pStyle w:val="TableText"/>
            </w:pPr>
            <w:r w:rsidRPr="00120416">
              <w:t>Numerator: Number of respondents who answered yes to the question.</w:t>
            </w:r>
          </w:p>
          <w:p w14:paraId="09850D3E" w14:textId="77777777" w:rsidR="002B0938" w:rsidRDefault="002B0938" w:rsidP="00577C3E">
            <w:pPr>
              <w:pStyle w:val="TableText"/>
            </w:pPr>
            <w:r w:rsidRPr="00120416">
              <w:t>Denominator: Number of respondents who answered the question.</w:t>
            </w:r>
          </w:p>
        </w:tc>
      </w:tr>
      <w:tr w:rsidR="002B0938" w14:paraId="114F52A4" w14:textId="77777777" w:rsidTr="00F87540">
        <w:tc>
          <w:tcPr>
            <w:tcW w:w="3261" w:type="dxa"/>
            <w:shd w:val="clear" w:color="auto" w:fill="D9D9D9" w:themeFill="background1" w:themeFillShade="D9"/>
          </w:tcPr>
          <w:p w14:paraId="1C24B44E" w14:textId="77777777" w:rsidR="002B0938" w:rsidRPr="004C6D7E" w:rsidRDefault="002B0938" w:rsidP="00577C3E">
            <w:pPr>
              <w:pStyle w:val="TableText"/>
              <w:rPr>
                <w:b/>
                <w:bCs/>
              </w:rPr>
            </w:pPr>
            <w:r w:rsidRPr="004C6D7E">
              <w:rPr>
                <w:b/>
                <w:bCs/>
              </w:rPr>
              <w:lastRenderedPageBreak/>
              <w:t>Data period</w:t>
            </w:r>
          </w:p>
        </w:tc>
        <w:tc>
          <w:tcPr>
            <w:tcW w:w="5244" w:type="dxa"/>
          </w:tcPr>
          <w:p w14:paraId="4725D453" w14:textId="77777777" w:rsidR="002B0938" w:rsidRDefault="002B0938" w:rsidP="00577C3E">
            <w:pPr>
              <w:pStyle w:val="TableText"/>
            </w:pPr>
            <w:r w:rsidRPr="000639DA">
              <w:t>Quarterly</w:t>
            </w:r>
          </w:p>
        </w:tc>
      </w:tr>
      <w:tr w:rsidR="002B0938" w14:paraId="1E7D9E23" w14:textId="77777777" w:rsidTr="00F87540">
        <w:tc>
          <w:tcPr>
            <w:tcW w:w="3261" w:type="dxa"/>
            <w:shd w:val="clear" w:color="auto" w:fill="D9D9D9" w:themeFill="background1" w:themeFillShade="D9"/>
          </w:tcPr>
          <w:p w14:paraId="2B2212EE" w14:textId="77777777" w:rsidR="002B0938" w:rsidRPr="004C6D7E" w:rsidRDefault="002B0938" w:rsidP="00577C3E">
            <w:pPr>
              <w:pStyle w:val="TableText"/>
              <w:rPr>
                <w:b/>
                <w:bCs/>
              </w:rPr>
            </w:pPr>
            <w:r w:rsidRPr="004C6D7E">
              <w:rPr>
                <w:b/>
                <w:bCs/>
              </w:rPr>
              <w:t>Frequency that data is available</w:t>
            </w:r>
          </w:p>
        </w:tc>
        <w:tc>
          <w:tcPr>
            <w:tcW w:w="5244" w:type="dxa"/>
          </w:tcPr>
          <w:p w14:paraId="553CF486" w14:textId="77777777" w:rsidR="002B0938" w:rsidRDefault="002B0938" w:rsidP="00577C3E">
            <w:pPr>
              <w:pStyle w:val="TableText"/>
            </w:pPr>
            <w:r w:rsidRPr="000639DA">
              <w:t>Quarterly</w:t>
            </w:r>
          </w:p>
        </w:tc>
      </w:tr>
      <w:tr w:rsidR="002B0938" w14:paraId="07EC8FA1" w14:textId="77777777" w:rsidTr="00F87540">
        <w:trPr>
          <w:trHeight w:val="85"/>
        </w:trPr>
        <w:tc>
          <w:tcPr>
            <w:tcW w:w="3261" w:type="dxa"/>
            <w:shd w:val="clear" w:color="auto" w:fill="D9D9D9" w:themeFill="background1" w:themeFillShade="D9"/>
          </w:tcPr>
          <w:p w14:paraId="542855F1" w14:textId="77777777" w:rsidR="002B0938" w:rsidRPr="004C6D7E" w:rsidRDefault="002B0938" w:rsidP="00577C3E">
            <w:pPr>
              <w:pStyle w:val="TableText"/>
              <w:rPr>
                <w:b/>
                <w:bCs/>
              </w:rPr>
            </w:pPr>
            <w:r w:rsidRPr="004C6D7E">
              <w:rPr>
                <w:b/>
                <w:bCs/>
              </w:rPr>
              <w:t>Level of disaggregation of data available</w:t>
            </w:r>
          </w:p>
        </w:tc>
        <w:tc>
          <w:tcPr>
            <w:tcW w:w="5244" w:type="dxa"/>
          </w:tcPr>
          <w:p w14:paraId="2A75E55B" w14:textId="77777777" w:rsidR="002B0938" w:rsidRDefault="002B0938" w:rsidP="00577C3E">
            <w:pPr>
              <w:pStyle w:val="TableText"/>
            </w:pPr>
            <w:r w:rsidRPr="000639DA">
              <w:t>Ethnicity, age, gender, geographic area</w:t>
            </w:r>
          </w:p>
        </w:tc>
      </w:tr>
      <w:tr w:rsidR="002B0938" w14:paraId="1C71F067" w14:textId="77777777" w:rsidTr="00F87540">
        <w:tc>
          <w:tcPr>
            <w:tcW w:w="3261" w:type="dxa"/>
            <w:shd w:val="clear" w:color="auto" w:fill="D9D9D9" w:themeFill="background1" w:themeFillShade="D9"/>
          </w:tcPr>
          <w:p w14:paraId="194ED67A" w14:textId="77777777" w:rsidR="002B0938" w:rsidRPr="004C6D7E" w:rsidRDefault="002B0938" w:rsidP="00577C3E">
            <w:pPr>
              <w:pStyle w:val="TableText"/>
              <w:rPr>
                <w:b/>
                <w:bCs/>
              </w:rPr>
            </w:pPr>
            <w:r w:rsidRPr="004C6D7E">
              <w:rPr>
                <w:b/>
                <w:bCs/>
              </w:rPr>
              <w:t>Related or prior performance measure code</w:t>
            </w:r>
          </w:p>
        </w:tc>
        <w:tc>
          <w:tcPr>
            <w:tcW w:w="5244" w:type="dxa"/>
          </w:tcPr>
          <w:p w14:paraId="0086C8A3" w14:textId="77777777" w:rsidR="002B0938" w:rsidRDefault="002B0938" w:rsidP="00577C3E">
            <w:pPr>
              <w:pStyle w:val="TableText"/>
            </w:pPr>
            <w:proofErr w:type="spellStart"/>
            <w:r>
              <w:t>Whakamaua</w:t>
            </w:r>
            <w:proofErr w:type="spellEnd"/>
            <w:r>
              <w:t xml:space="preserve"> measure 2.1</w:t>
            </w:r>
          </w:p>
          <w:p w14:paraId="4DCBBF2D" w14:textId="77777777" w:rsidR="002B0938" w:rsidRPr="001C05EB" w:rsidRDefault="00000000" w:rsidP="00577C3E">
            <w:pPr>
              <w:pStyle w:val="TableText"/>
              <w:rPr>
                <w:szCs w:val="18"/>
              </w:rPr>
            </w:pPr>
            <w:hyperlink r:id="rId61" w:history="1">
              <w:r w:rsidR="002B0938" w:rsidRPr="001C05EB">
                <w:rPr>
                  <w:rStyle w:val="Hyperlink"/>
                </w:rPr>
                <w:t>https://www.health.govt.nz/our-work/populations/maori-health/whakamaua-maori-health-action-plan-2020-2025</w:t>
              </w:r>
            </w:hyperlink>
          </w:p>
        </w:tc>
      </w:tr>
    </w:tbl>
    <w:p w14:paraId="71957AC5" w14:textId="5CE81324" w:rsidR="002B0938" w:rsidRPr="00F87540" w:rsidRDefault="002B0938" w:rsidP="00F87540">
      <w:pPr>
        <w:pStyle w:val="Heading3"/>
        <w:ind w:left="564" w:hanging="564"/>
        <w:rPr>
          <w:sz w:val="24"/>
          <w:szCs w:val="24"/>
        </w:rPr>
      </w:pPr>
      <w:r w:rsidRPr="002B0938">
        <w:rPr>
          <w:rStyle w:val="Heading3Char"/>
          <w:sz w:val="24"/>
          <w:szCs w:val="24"/>
        </w:rPr>
        <w:t>6.3</w:t>
      </w:r>
      <w:r w:rsidRPr="002B0938">
        <w:rPr>
          <w:rStyle w:val="Heading3Char"/>
          <w:sz w:val="24"/>
          <w:szCs w:val="24"/>
        </w:rPr>
        <w:tab/>
        <w:t>Proportion of entities that have been assessed against the Consumer Engagement Quality and Safety Marker; and of those, the proportion that have been assessed at Level 3 or 4</w:t>
      </w:r>
    </w:p>
    <w:tbl>
      <w:tblPr>
        <w:tblStyle w:val="TableGrid"/>
        <w:tblW w:w="850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244"/>
      </w:tblGrid>
      <w:tr w:rsidR="002B0938" w14:paraId="7A660AEA" w14:textId="77777777" w:rsidTr="00F87540">
        <w:tc>
          <w:tcPr>
            <w:tcW w:w="3261" w:type="dxa"/>
            <w:shd w:val="clear" w:color="auto" w:fill="D9D9D9" w:themeFill="background1" w:themeFillShade="D9"/>
          </w:tcPr>
          <w:p w14:paraId="0E93D560" w14:textId="77777777" w:rsidR="002B0938" w:rsidRPr="004C6D7E" w:rsidRDefault="002B0938" w:rsidP="00577C3E">
            <w:pPr>
              <w:pStyle w:val="TableText"/>
              <w:rPr>
                <w:b/>
                <w:bCs/>
              </w:rPr>
            </w:pPr>
            <w:r w:rsidRPr="004C6D7E">
              <w:rPr>
                <w:b/>
                <w:bCs/>
              </w:rPr>
              <w:t>Expectation for July 2022 – June 2024</w:t>
            </w:r>
          </w:p>
        </w:tc>
        <w:tc>
          <w:tcPr>
            <w:tcW w:w="5244" w:type="dxa"/>
          </w:tcPr>
          <w:p w14:paraId="586D7673" w14:textId="77777777" w:rsidR="002B0938" w:rsidRDefault="002B0938" w:rsidP="00577C3E">
            <w:pPr>
              <w:pStyle w:val="TableText"/>
            </w:pPr>
            <w:r w:rsidRPr="00361D6D">
              <w:t>Increasing participation of health entities and their local or regional offices, as agreed, that have been assessed against the Consumer Engagement Quality and Safety Marker from April 2022 – October 2023.</w:t>
            </w:r>
          </w:p>
        </w:tc>
      </w:tr>
      <w:tr w:rsidR="002B0938" w14:paraId="2100D257" w14:textId="77777777" w:rsidTr="00F87540">
        <w:tc>
          <w:tcPr>
            <w:tcW w:w="3261" w:type="dxa"/>
            <w:shd w:val="clear" w:color="auto" w:fill="D9D9D9" w:themeFill="background1" w:themeFillShade="D9"/>
          </w:tcPr>
          <w:p w14:paraId="37BDBDDA" w14:textId="77777777" w:rsidR="002B0938" w:rsidRPr="004C6D7E" w:rsidRDefault="002B0938" w:rsidP="00577C3E">
            <w:pPr>
              <w:pStyle w:val="TableText"/>
              <w:rPr>
                <w:b/>
                <w:bCs/>
              </w:rPr>
            </w:pPr>
            <w:r w:rsidRPr="004C6D7E">
              <w:rPr>
                <w:b/>
                <w:bCs/>
              </w:rPr>
              <w:t>Data source</w:t>
            </w:r>
          </w:p>
        </w:tc>
        <w:tc>
          <w:tcPr>
            <w:tcW w:w="5244" w:type="dxa"/>
          </w:tcPr>
          <w:p w14:paraId="05291E01" w14:textId="77777777" w:rsidR="002B0938" w:rsidRPr="00361D6D" w:rsidRDefault="002B0938" w:rsidP="00577C3E">
            <w:pPr>
              <w:pStyle w:val="TableText"/>
            </w:pPr>
            <w:r w:rsidRPr="00361D6D">
              <w:t>Health Quality &amp; Safety Commission based on entities’ self- assessment ratings, submitted examples from entity or service, selected questions from adult inpatient and primary health care patient experience surveys</w:t>
            </w:r>
          </w:p>
          <w:p w14:paraId="1570BC9F" w14:textId="77777777" w:rsidR="002B0938" w:rsidRPr="001C05EB" w:rsidRDefault="00000000" w:rsidP="00577C3E">
            <w:pPr>
              <w:pStyle w:val="TableText"/>
              <w:rPr>
                <w:szCs w:val="18"/>
              </w:rPr>
            </w:pPr>
            <w:hyperlink r:id="rId62" w:history="1">
              <w:r w:rsidR="002B0938" w:rsidRPr="001C05EB">
                <w:rPr>
                  <w:rStyle w:val="Hyperlink"/>
                </w:rPr>
                <w:t>https://www.hqsc.govt.nz/consumer-hub/engaging-consumers-and-whanau/consumer-engagement-quality-and-safety-marker/</w:t>
              </w:r>
            </w:hyperlink>
          </w:p>
        </w:tc>
      </w:tr>
      <w:tr w:rsidR="002B0938" w14:paraId="13F1A06B" w14:textId="77777777" w:rsidTr="00F87540">
        <w:tc>
          <w:tcPr>
            <w:tcW w:w="3261" w:type="dxa"/>
            <w:shd w:val="clear" w:color="auto" w:fill="D9D9D9" w:themeFill="background1" w:themeFillShade="D9"/>
          </w:tcPr>
          <w:p w14:paraId="37921E62" w14:textId="77777777" w:rsidR="002B0938" w:rsidRPr="004C6D7E" w:rsidRDefault="002B0938" w:rsidP="00577C3E">
            <w:pPr>
              <w:pStyle w:val="TableText"/>
              <w:rPr>
                <w:b/>
                <w:bCs/>
              </w:rPr>
            </w:pPr>
            <w:r w:rsidRPr="004C6D7E">
              <w:rPr>
                <w:b/>
                <w:bCs/>
              </w:rPr>
              <w:t>If quantitative, measurement definitions</w:t>
            </w:r>
          </w:p>
        </w:tc>
        <w:tc>
          <w:tcPr>
            <w:tcW w:w="5244" w:type="dxa"/>
          </w:tcPr>
          <w:p w14:paraId="7BA47A14" w14:textId="77777777" w:rsidR="002B0938" w:rsidRPr="00361D6D" w:rsidRDefault="002B0938" w:rsidP="00577C3E">
            <w:pPr>
              <w:pStyle w:val="TableText"/>
            </w:pPr>
            <w:r w:rsidRPr="00361D6D">
              <w:t>Part a:</w:t>
            </w:r>
          </w:p>
          <w:p w14:paraId="6FEC415B" w14:textId="77777777" w:rsidR="002B0938" w:rsidRPr="00361D6D" w:rsidRDefault="002B0938" w:rsidP="00577C3E">
            <w:pPr>
              <w:pStyle w:val="TableText"/>
            </w:pPr>
            <w:r w:rsidRPr="00361D6D">
              <w:t>Numerator: Number of districts that have been assessed against the Consumer Engagement Quality and Safety marker</w:t>
            </w:r>
          </w:p>
          <w:p w14:paraId="55943612" w14:textId="77777777" w:rsidR="002B0938" w:rsidRPr="00361D6D" w:rsidRDefault="002B0938" w:rsidP="00577C3E">
            <w:pPr>
              <w:pStyle w:val="TableText"/>
            </w:pPr>
            <w:r w:rsidRPr="00361D6D">
              <w:t xml:space="preserve">Denominator: Total number of districts </w:t>
            </w:r>
          </w:p>
          <w:p w14:paraId="31EB2DAD" w14:textId="77777777" w:rsidR="002B0938" w:rsidRPr="00361D6D" w:rsidRDefault="002B0938" w:rsidP="00577C3E">
            <w:pPr>
              <w:pStyle w:val="TableText"/>
            </w:pPr>
            <w:r w:rsidRPr="00361D6D">
              <w:t>Part b:</w:t>
            </w:r>
          </w:p>
          <w:p w14:paraId="26441739" w14:textId="77777777" w:rsidR="002B0938" w:rsidRPr="00361D6D" w:rsidRDefault="002B0938" w:rsidP="00577C3E">
            <w:pPr>
              <w:pStyle w:val="TableText"/>
            </w:pPr>
            <w:r w:rsidRPr="00361D6D">
              <w:t xml:space="preserve">Numerator: Number of districts that have scored at Level 3 or 4 across the three self-assessment areas. </w:t>
            </w:r>
          </w:p>
          <w:p w14:paraId="1D3BA33A" w14:textId="77777777" w:rsidR="002B0938" w:rsidRDefault="002B0938" w:rsidP="00577C3E">
            <w:pPr>
              <w:pStyle w:val="TableText"/>
            </w:pPr>
            <w:r w:rsidRPr="00361D6D">
              <w:t>Denominator: Number of districts who completed the self-assessment</w:t>
            </w:r>
          </w:p>
        </w:tc>
      </w:tr>
      <w:tr w:rsidR="002B0938" w14:paraId="162F0284" w14:textId="77777777" w:rsidTr="00F87540">
        <w:tc>
          <w:tcPr>
            <w:tcW w:w="3261" w:type="dxa"/>
            <w:shd w:val="clear" w:color="auto" w:fill="D9D9D9" w:themeFill="background1" w:themeFillShade="D9"/>
          </w:tcPr>
          <w:p w14:paraId="37A3F320" w14:textId="77777777" w:rsidR="002B0938" w:rsidRPr="004C6D7E" w:rsidRDefault="002B0938" w:rsidP="00577C3E">
            <w:pPr>
              <w:pStyle w:val="TableText"/>
              <w:rPr>
                <w:b/>
                <w:bCs/>
              </w:rPr>
            </w:pPr>
            <w:r w:rsidRPr="004C6D7E">
              <w:rPr>
                <w:b/>
                <w:bCs/>
              </w:rPr>
              <w:t>Frequency that data is available</w:t>
            </w:r>
          </w:p>
        </w:tc>
        <w:tc>
          <w:tcPr>
            <w:tcW w:w="5244" w:type="dxa"/>
          </w:tcPr>
          <w:p w14:paraId="27B2ECB1" w14:textId="77777777" w:rsidR="002B0938" w:rsidRDefault="002B0938" w:rsidP="00577C3E">
            <w:pPr>
              <w:pStyle w:val="TableText"/>
            </w:pPr>
            <w:r w:rsidRPr="00361D6D">
              <w:t>Six-monthly</w:t>
            </w:r>
          </w:p>
        </w:tc>
      </w:tr>
      <w:tr w:rsidR="002B0938" w14:paraId="0CCDC2F6" w14:textId="77777777" w:rsidTr="00F87540">
        <w:tc>
          <w:tcPr>
            <w:tcW w:w="3261" w:type="dxa"/>
            <w:shd w:val="clear" w:color="auto" w:fill="D9D9D9" w:themeFill="background1" w:themeFillShade="D9"/>
          </w:tcPr>
          <w:p w14:paraId="24804EFB" w14:textId="77777777" w:rsidR="002B0938" w:rsidRPr="004C6D7E" w:rsidRDefault="002B0938" w:rsidP="00577C3E">
            <w:pPr>
              <w:pStyle w:val="TableText"/>
              <w:rPr>
                <w:b/>
                <w:bCs/>
              </w:rPr>
            </w:pPr>
            <w:r w:rsidRPr="004C6D7E">
              <w:rPr>
                <w:b/>
                <w:bCs/>
              </w:rPr>
              <w:t>Level of disaggregation of data available</w:t>
            </w:r>
          </w:p>
        </w:tc>
        <w:tc>
          <w:tcPr>
            <w:tcW w:w="5244" w:type="dxa"/>
          </w:tcPr>
          <w:p w14:paraId="6962C288" w14:textId="77777777" w:rsidR="002B0938" w:rsidRDefault="002B0938" w:rsidP="00577C3E">
            <w:pPr>
              <w:pStyle w:val="TableText"/>
            </w:pPr>
            <w:r w:rsidRPr="00361D6D">
              <w:t>By health entity</w:t>
            </w:r>
          </w:p>
        </w:tc>
      </w:tr>
      <w:tr w:rsidR="002B0938" w14:paraId="7E4552EF" w14:textId="77777777" w:rsidTr="00F87540">
        <w:trPr>
          <w:trHeight w:val="85"/>
        </w:trPr>
        <w:tc>
          <w:tcPr>
            <w:tcW w:w="3261" w:type="dxa"/>
            <w:shd w:val="clear" w:color="auto" w:fill="D9D9D9" w:themeFill="background1" w:themeFillShade="D9"/>
          </w:tcPr>
          <w:p w14:paraId="4CBD0BE4" w14:textId="77777777" w:rsidR="002B0938" w:rsidRPr="004C6D7E" w:rsidRDefault="002B0938" w:rsidP="00577C3E">
            <w:pPr>
              <w:pStyle w:val="TableText"/>
              <w:rPr>
                <w:b/>
                <w:bCs/>
              </w:rPr>
            </w:pPr>
            <w:r w:rsidRPr="004C6D7E">
              <w:rPr>
                <w:b/>
                <w:bCs/>
              </w:rPr>
              <w:t>Data period</w:t>
            </w:r>
          </w:p>
        </w:tc>
        <w:tc>
          <w:tcPr>
            <w:tcW w:w="5244" w:type="dxa"/>
          </w:tcPr>
          <w:p w14:paraId="0B7E1055" w14:textId="77777777" w:rsidR="002B0938" w:rsidRDefault="002B0938" w:rsidP="00577C3E">
            <w:pPr>
              <w:pStyle w:val="TableText"/>
            </w:pPr>
            <w:r w:rsidRPr="00361D6D">
              <w:t>October - March, April - September</w:t>
            </w:r>
          </w:p>
        </w:tc>
      </w:tr>
      <w:tr w:rsidR="002B0938" w14:paraId="68C30767" w14:textId="77777777" w:rsidTr="00F87540">
        <w:tc>
          <w:tcPr>
            <w:tcW w:w="3261" w:type="dxa"/>
            <w:shd w:val="clear" w:color="auto" w:fill="D9D9D9" w:themeFill="background1" w:themeFillShade="D9"/>
          </w:tcPr>
          <w:p w14:paraId="448B94A8" w14:textId="77777777" w:rsidR="002B0938" w:rsidRPr="004C6D7E" w:rsidRDefault="002B0938" w:rsidP="00577C3E">
            <w:pPr>
              <w:pStyle w:val="TableText"/>
              <w:rPr>
                <w:b/>
                <w:bCs/>
              </w:rPr>
            </w:pPr>
            <w:r w:rsidRPr="004C6D7E">
              <w:rPr>
                <w:b/>
                <w:bCs/>
              </w:rPr>
              <w:t>Related or prior performance measure code</w:t>
            </w:r>
          </w:p>
        </w:tc>
        <w:tc>
          <w:tcPr>
            <w:tcW w:w="5244" w:type="dxa"/>
          </w:tcPr>
          <w:p w14:paraId="39D2D85C" w14:textId="77777777" w:rsidR="002B0938" w:rsidRDefault="002B0938" w:rsidP="00577C3E">
            <w:pPr>
              <w:pStyle w:val="TableText"/>
            </w:pPr>
            <w:r w:rsidRPr="00361D6D">
              <w:t>n/a</w:t>
            </w:r>
          </w:p>
        </w:tc>
      </w:tr>
    </w:tbl>
    <w:p w14:paraId="1CF6949E" w14:textId="3F19D408" w:rsidR="002B0938" w:rsidRPr="00F87540" w:rsidRDefault="002B0938" w:rsidP="00F87540">
      <w:pPr>
        <w:pStyle w:val="Heading3"/>
        <w:ind w:left="564" w:hanging="564"/>
        <w:rPr>
          <w:sz w:val="24"/>
          <w:szCs w:val="24"/>
        </w:rPr>
      </w:pPr>
      <w:r w:rsidRPr="002B0938">
        <w:rPr>
          <w:rStyle w:val="Heading3Char"/>
          <w:sz w:val="24"/>
          <w:szCs w:val="24"/>
        </w:rPr>
        <w:lastRenderedPageBreak/>
        <w:t>6.4</w:t>
      </w:r>
      <w:r w:rsidRPr="002B0938">
        <w:rPr>
          <w:rStyle w:val="Heading3Char"/>
          <w:sz w:val="24"/>
          <w:szCs w:val="24"/>
        </w:rPr>
        <w:tab/>
        <w:t>Proportion of medical appointments completed through digital channels (initially outpatients and expanding to include general practitioner appointments when data is available)</w:t>
      </w:r>
    </w:p>
    <w:tbl>
      <w:tblPr>
        <w:tblStyle w:val="TableGrid"/>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5386"/>
      </w:tblGrid>
      <w:tr w:rsidR="002B0938" w14:paraId="3FF5EABB" w14:textId="77777777" w:rsidTr="00F87540">
        <w:tc>
          <w:tcPr>
            <w:tcW w:w="3261" w:type="dxa"/>
            <w:shd w:val="clear" w:color="auto" w:fill="D9D9D9" w:themeFill="background1" w:themeFillShade="D9"/>
          </w:tcPr>
          <w:p w14:paraId="3AB023D4" w14:textId="77777777" w:rsidR="002B0938" w:rsidRPr="004C6D7E" w:rsidRDefault="002B0938" w:rsidP="00577C3E">
            <w:pPr>
              <w:pStyle w:val="TableText"/>
              <w:rPr>
                <w:b/>
                <w:bCs/>
              </w:rPr>
            </w:pPr>
            <w:r w:rsidRPr="004C6D7E">
              <w:rPr>
                <w:b/>
                <w:bCs/>
              </w:rPr>
              <w:t>Expectation for July 2022 – June 2024</w:t>
            </w:r>
          </w:p>
        </w:tc>
        <w:tc>
          <w:tcPr>
            <w:tcW w:w="5386" w:type="dxa"/>
          </w:tcPr>
          <w:p w14:paraId="125B445D" w14:textId="77777777" w:rsidR="002B0938" w:rsidRPr="00167B27" w:rsidRDefault="002B0938" w:rsidP="00577C3E">
            <w:pPr>
              <w:pStyle w:val="TableText"/>
            </w:pPr>
            <w:r w:rsidRPr="00167B27">
              <w:t>This measure will initially focus on outpatient services – first specialist assessment (FSA) and follow ups</w:t>
            </w:r>
          </w:p>
          <w:p w14:paraId="525A5264" w14:textId="0D0E8530" w:rsidR="002B0938" w:rsidRDefault="002B0938" w:rsidP="00577C3E">
            <w:pPr>
              <w:pStyle w:val="TableText"/>
            </w:pPr>
            <w:r w:rsidRPr="00167B27">
              <w:t xml:space="preserve">Establish a baseline for </w:t>
            </w:r>
            <w:r w:rsidR="00B115F3">
              <w:t xml:space="preserve">percentage of </w:t>
            </w:r>
            <w:r w:rsidRPr="00167B27">
              <w:t xml:space="preserve">FSAs and follow ups </w:t>
            </w:r>
            <w:r w:rsidR="00B115F3">
              <w:t xml:space="preserve">through digital channels </w:t>
            </w:r>
            <w:r w:rsidRPr="00167B27">
              <w:t xml:space="preserve">in year one </w:t>
            </w:r>
          </w:p>
          <w:p w14:paraId="6E179F6A" w14:textId="77777777" w:rsidR="002B0938" w:rsidRPr="00167B27" w:rsidRDefault="002B0938" w:rsidP="00577C3E">
            <w:pPr>
              <w:pStyle w:val="TableText"/>
            </w:pPr>
            <w:r w:rsidRPr="00167B27">
              <w:t>The baseline will inform an expectation for year two</w:t>
            </w:r>
          </w:p>
          <w:p w14:paraId="1B4BA497" w14:textId="77777777" w:rsidR="002B0938" w:rsidRDefault="002B0938" w:rsidP="00577C3E">
            <w:pPr>
              <w:pStyle w:val="TableText"/>
            </w:pPr>
            <w:r w:rsidRPr="00167B27">
              <w:t>Baseline for year two: 12 months to June 2023</w:t>
            </w:r>
          </w:p>
        </w:tc>
      </w:tr>
      <w:tr w:rsidR="002B0938" w14:paraId="171633C0" w14:textId="77777777" w:rsidTr="00F87540">
        <w:tc>
          <w:tcPr>
            <w:tcW w:w="3261" w:type="dxa"/>
            <w:shd w:val="clear" w:color="auto" w:fill="D9D9D9" w:themeFill="background1" w:themeFillShade="D9"/>
          </w:tcPr>
          <w:p w14:paraId="583AD269" w14:textId="77777777" w:rsidR="002B0938" w:rsidRPr="004C6D7E" w:rsidRDefault="002B0938" w:rsidP="00577C3E">
            <w:pPr>
              <w:pStyle w:val="TableText"/>
              <w:rPr>
                <w:b/>
                <w:bCs/>
              </w:rPr>
            </w:pPr>
            <w:r w:rsidRPr="004C6D7E">
              <w:rPr>
                <w:b/>
                <w:bCs/>
              </w:rPr>
              <w:t>Data source</w:t>
            </w:r>
          </w:p>
        </w:tc>
        <w:tc>
          <w:tcPr>
            <w:tcW w:w="5386" w:type="dxa"/>
          </w:tcPr>
          <w:p w14:paraId="63A6F51D" w14:textId="77777777" w:rsidR="002B0938" w:rsidRDefault="002B0938" w:rsidP="00577C3E">
            <w:pPr>
              <w:pStyle w:val="TableText"/>
            </w:pPr>
            <w:r w:rsidRPr="004C6D7E">
              <w:t xml:space="preserve">National Collections – </w:t>
            </w:r>
            <w:r>
              <w:t>NNPAC</w:t>
            </w:r>
          </w:p>
        </w:tc>
      </w:tr>
      <w:tr w:rsidR="002B0938" w14:paraId="3FE3536A" w14:textId="77777777" w:rsidTr="00F87540">
        <w:tc>
          <w:tcPr>
            <w:tcW w:w="3261" w:type="dxa"/>
            <w:shd w:val="clear" w:color="auto" w:fill="D9D9D9" w:themeFill="background1" w:themeFillShade="D9"/>
          </w:tcPr>
          <w:p w14:paraId="49CC1AE6" w14:textId="77777777" w:rsidR="002B0938" w:rsidRPr="004C6D7E" w:rsidRDefault="002B0938" w:rsidP="00577C3E">
            <w:pPr>
              <w:pStyle w:val="TableText"/>
              <w:rPr>
                <w:b/>
                <w:bCs/>
              </w:rPr>
            </w:pPr>
            <w:r w:rsidRPr="004C6D7E">
              <w:rPr>
                <w:b/>
                <w:bCs/>
              </w:rPr>
              <w:t>If quantitative, measurement definitions</w:t>
            </w:r>
          </w:p>
        </w:tc>
        <w:tc>
          <w:tcPr>
            <w:tcW w:w="5386" w:type="dxa"/>
          </w:tcPr>
          <w:p w14:paraId="3630D4B4" w14:textId="77777777" w:rsidR="002B0938" w:rsidRDefault="002B0938" w:rsidP="00577C3E">
            <w:pPr>
              <w:pStyle w:val="TableText"/>
            </w:pPr>
            <w:r>
              <w:t>Outpatient appointments</w:t>
            </w:r>
          </w:p>
          <w:p w14:paraId="0A5CCD7E" w14:textId="77777777" w:rsidR="002B0938" w:rsidRPr="00167B27" w:rsidRDefault="002B0938" w:rsidP="00577C3E">
            <w:pPr>
              <w:pStyle w:val="TableText"/>
            </w:pPr>
            <w:r w:rsidRPr="00167B27">
              <w:t>Numerator: Number of patients receiving an FSA or follow-up where the mode of delivery does not involve the patient being physically present with the clinical staff.</w:t>
            </w:r>
          </w:p>
          <w:p w14:paraId="254414EB" w14:textId="77777777" w:rsidR="002B0938" w:rsidRDefault="002B0938" w:rsidP="00577C3E">
            <w:pPr>
              <w:pStyle w:val="TableText"/>
            </w:pPr>
            <w:r w:rsidRPr="00167B27">
              <w:t>Denominator: Total number of FSA and follow-ups</w:t>
            </w:r>
          </w:p>
        </w:tc>
      </w:tr>
      <w:tr w:rsidR="002B0938" w14:paraId="248A90CA" w14:textId="77777777" w:rsidTr="00F87540">
        <w:tc>
          <w:tcPr>
            <w:tcW w:w="3261" w:type="dxa"/>
            <w:shd w:val="clear" w:color="auto" w:fill="D9D9D9" w:themeFill="background1" w:themeFillShade="D9"/>
          </w:tcPr>
          <w:p w14:paraId="0F03CD65" w14:textId="77777777" w:rsidR="002B0938" w:rsidRPr="004C6D7E" w:rsidRDefault="002B0938" w:rsidP="00577C3E">
            <w:pPr>
              <w:pStyle w:val="TableText"/>
              <w:rPr>
                <w:b/>
                <w:bCs/>
              </w:rPr>
            </w:pPr>
            <w:r w:rsidRPr="004C6D7E">
              <w:rPr>
                <w:b/>
                <w:bCs/>
              </w:rPr>
              <w:t>Frequency that data is available</w:t>
            </w:r>
          </w:p>
        </w:tc>
        <w:tc>
          <w:tcPr>
            <w:tcW w:w="5386" w:type="dxa"/>
          </w:tcPr>
          <w:p w14:paraId="1FEB64E6" w14:textId="77777777" w:rsidR="002B0938" w:rsidRDefault="002B0938" w:rsidP="00577C3E">
            <w:pPr>
              <w:pStyle w:val="TableText"/>
            </w:pPr>
            <w:r w:rsidRPr="00E02864">
              <w:t>Monthly</w:t>
            </w:r>
            <w:r>
              <w:t>, a</w:t>
            </w:r>
            <w:r w:rsidRPr="00E02864">
              <w:t xml:space="preserve">bout six-eight weeks </w:t>
            </w:r>
            <w:r>
              <w:t>after the month ends</w:t>
            </w:r>
          </w:p>
        </w:tc>
      </w:tr>
      <w:tr w:rsidR="002B0938" w14:paraId="615E36F6" w14:textId="77777777" w:rsidTr="00F87540">
        <w:tc>
          <w:tcPr>
            <w:tcW w:w="3261" w:type="dxa"/>
            <w:shd w:val="clear" w:color="auto" w:fill="D9D9D9" w:themeFill="background1" w:themeFillShade="D9"/>
          </w:tcPr>
          <w:p w14:paraId="72E168ED" w14:textId="77777777" w:rsidR="002B0938" w:rsidRPr="004C6D7E" w:rsidRDefault="002B0938" w:rsidP="00577C3E">
            <w:pPr>
              <w:pStyle w:val="TableText"/>
              <w:rPr>
                <w:b/>
                <w:bCs/>
              </w:rPr>
            </w:pPr>
            <w:r w:rsidRPr="004C6D7E">
              <w:rPr>
                <w:b/>
                <w:bCs/>
              </w:rPr>
              <w:t>Level of disaggregation of data available</w:t>
            </w:r>
          </w:p>
        </w:tc>
        <w:tc>
          <w:tcPr>
            <w:tcW w:w="5386" w:type="dxa"/>
          </w:tcPr>
          <w:p w14:paraId="4C833A3E" w14:textId="77777777" w:rsidR="002B0938" w:rsidRDefault="002B0938" w:rsidP="00577C3E">
            <w:pPr>
              <w:pStyle w:val="TableText"/>
            </w:pPr>
            <w:r w:rsidRPr="00E02864">
              <w:t>Ethnicity, age, gender, geographic</w:t>
            </w:r>
          </w:p>
        </w:tc>
      </w:tr>
      <w:tr w:rsidR="002B0938" w14:paraId="1C86751E" w14:textId="77777777" w:rsidTr="00F87540">
        <w:trPr>
          <w:trHeight w:val="85"/>
        </w:trPr>
        <w:tc>
          <w:tcPr>
            <w:tcW w:w="3261" w:type="dxa"/>
            <w:shd w:val="clear" w:color="auto" w:fill="D9D9D9" w:themeFill="background1" w:themeFillShade="D9"/>
          </w:tcPr>
          <w:p w14:paraId="766F5E6B" w14:textId="77777777" w:rsidR="002B0938" w:rsidRPr="004C6D7E" w:rsidRDefault="002B0938" w:rsidP="00577C3E">
            <w:pPr>
              <w:pStyle w:val="TableText"/>
              <w:rPr>
                <w:b/>
                <w:bCs/>
              </w:rPr>
            </w:pPr>
            <w:r w:rsidRPr="004C6D7E">
              <w:rPr>
                <w:b/>
                <w:bCs/>
              </w:rPr>
              <w:t>Data period</w:t>
            </w:r>
          </w:p>
        </w:tc>
        <w:tc>
          <w:tcPr>
            <w:tcW w:w="5386" w:type="dxa"/>
          </w:tcPr>
          <w:p w14:paraId="29863405" w14:textId="77777777" w:rsidR="002B0938" w:rsidRDefault="002B0938" w:rsidP="00577C3E">
            <w:pPr>
              <w:pStyle w:val="TableText"/>
            </w:pPr>
            <w:r>
              <w:t>Monthly</w:t>
            </w:r>
          </w:p>
        </w:tc>
      </w:tr>
      <w:tr w:rsidR="002B0938" w14:paraId="707538D7" w14:textId="77777777" w:rsidTr="00F87540">
        <w:tc>
          <w:tcPr>
            <w:tcW w:w="3261" w:type="dxa"/>
            <w:shd w:val="clear" w:color="auto" w:fill="D9D9D9" w:themeFill="background1" w:themeFillShade="D9"/>
          </w:tcPr>
          <w:p w14:paraId="6D47B672" w14:textId="77777777" w:rsidR="002B0938" w:rsidRPr="004C6D7E" w:rsidRDefault="002B0938" w:rsidP="00577C3E">
            <w:pPr>
              <w:pStyle w:val="TableText"/>
              <w:rPr>
                <w:b/>
                <w:bCs/>
              </w:rPr>
            </w:pPr>
            <w:r w:rsidRPr="004C6D7E">
              <w:rPr>
                <w:b/>
                <w:bCs/>
              </w:rPr>
              <w:t>Related or prior performance measure code</w:t>
            </w:r>
          </w:p>
        </w:tc>
        <w:tc>
          <w:tcPr>
            <w:tcW w:w="5386" w:type="dxa"/>
          </w:tcPr>
          <w:p w14:paraId="732F163E" w14:textId="77777777" w:rsidR="002B0938" w:rsidRDefault="002B0938" w:rsidP="00577C3E">
            <w:pPr>
              <w:pStyle w:val="TableText"/>
            </w:pPr>
            <w:r w:rsidRPr="00E02864">
              <w:t>n/a</w:t>
            </w:r>
          </w:p>
        </w:tc>
      </w:tr>
    </w:tbl>
    <w:p w14:paraId="5C1274BC" w14:textId="77777777" w:rsidR="002B0938" w:rsidRDefault="002B0938" w:rsidP="002B0938"/>
    <w:sectPr w:rsidR="002B0938" w:rsidSect="002B0938">
      <w:headerReference w:type="default" r:id="rId63"/>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641A" w14:textId="77777777" w:rsidR="001B688C" w:rsidRDefault="001B688C">
      <w:r>
        <w:separator/>
      </w:r>
    </w:p>
    <w:p w14:paraId="38821289" w14:textId="77777777" w:rsidR="001B688C" w:rsidRDefault="001B688C"/>
  </w:endnote>
  <w:endnote w:type="continuationSeparator" w:id="0">
    <w:p w14:paraId="3DE97349" w14:textId="77777777" w:rsidR="001B688C" w:rsidRDefault="001B688C">
      <w:r>
        <w:continuationSeparator/>
      </w:r>
    </w:p>
    <w:p w14:paraId="3FF88213" w14:textId="77777777" w:rsidR="001B688C" w:rsidRDefault="001B688C"/>
  </w:endnote>
  <w:endnote w:type="continuationNotice" w:id="1">
    <w:p w14:paraId="72D73869" w14:textId="77777777" w:rsidR="001B688C" w:rsidRDefault="001B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20C0BC6F" w:rsidR="00577C3E" w:rsidRPr="00581136" w:rsidRDefault="00577C3E"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577C3E" w:rsidRPr="005A79E5" w:rsidRDefault="00577C3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577C3E" w:rsidRDefault="00577C3E"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577C3E" w:rsidRDefault="00577C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577C3E" w14:paraId="4C3A3BF7" w14:textId="77777777" w:rsidTr="00D662F8">
      <w:trPr>
        <w:cantSplit/>
      </w:trPr>
      <w:tc>
        <w:tcPr>
          <w:tcW w:w="709" w:type="dxa"/>
          <w:vAlign w:val="center"/>
        </w:tcPr>
        <w:p w14:paraId="28F87ED7" w14:textId="77777777" w:rsidR="00577C3E" w:rsidRPr="00931466" w:rsidRDefault="00577C3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48BA6651" w14:textId="77777777" w:rsidR="00577C3E" w:rsidRDefault="00577C3E" w:rsidP="00AA7B55">
          <w:pPr>
            <w:pStyle w:val="RectoFooter"/>
            <w:jc w:val="left"/>
          </w:pPr>
          <w:r>
            <w:t>2024 Addendum to the Interim Government Policy Statement on Health 2022-2024:</w:t>
          </w:r>
        </w:p>
        <w:p w14:paraId="6026D159" w14:textId="7B5DF5FE" w:rsidR="00577C3E" w:rsidRDefault="00577C3E" w:rsidP="00AA7B55">
          <w:pPr>
            <w:pStyle w:val="RectoFooter"/>
            <w:jc w:val="left"/>
          </w:pPr>
          <w:r>
            <w:t>Appendix 3: Summary data definitions for the measures in the iGPS</w:t>
          </w:r>
        </w:p>
      </w:tc>
    </w:tr>
  </w:tbl>
  <w:p w14:paraId="711B5D80" w14:textId="77777777" w:rsidR="00577C3E" w:rsidRPr="00571223" w:rsidRDefault="00577C3E"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577C3E" w14:paraId="58AAB149" w14:textId="77777777" w:rsidTr="00D662F8">
      <w:trPr>
        <w:cantSplit/>
      </w:trPr>
      <w:tc>
        <w:tcPr>
          <w:tcW w:w="8080" w:type="dxa"/>
          <w:vAlign w:val="center"/>
        </w:tcPr>
        <w:p w14:paraId="1EC2930F" w14:textId="77777777" w:rsidR="00577C3E" w:rsidRDefault="00577C3E" w:rsidP="00AA7B55">
          <w:pPr>
            <w:pStyle w:val="RectoFooter"/>
          </w:pPr>
          <w:r>
            <w:t>2024 Addendum to the Interim Government Policy Statement on Health 2022-2024:</w:t>
          </w:r>
        </w:p>
        <w:p w14:paraId="20E2F0CC" w14:textId="23F8D233" w:rsidR="00577C3E" w:rsidRDefault="00577C3E" w:rsidP="00AA7B55">
          <w:pPr>
            <w:pStyle w:val="RectoFooter"/>
          </w:pPr>
          <w:r>
            <w:t>Appendix 3: Summary data definitions for the measures in the iGPS</w:t>
          </w:r>
        </w:p>
      </w:tc>
      <w:tc>
        <w:tcPr>
          <w:tcW w:w="709" w:type="dxa"/>
          <w:vAlign w:val="center"/>
        </w:tcPr>
        <w:p w14:paraId="3D3C9847" w14:textId="77777777" w:rsidR="00577C3E" w:rsidRPr="00931466" w:rsidRDefault="00577C3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577C3E" w:rsidRPr="00581EB8" w:rsidRDefault="00577C3E"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4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80"/>
    </w:tblGrid>
    <w:tr w:rsidR="00577C3E" w14:paraId="7E2AF418" w14:textId="77777777" w:rsidTr="00A436D7">
      <w:tc>
        <w:tcPr>
          <w:tcW w:w="567" w:type="dxa"/>
        </w:tcPr>
        <w:p w14:paraId="279E922F" w14:textId="77777777" w:rsidR="00577C3E" w:rsidRPr="00A51875" w:rsidRDefault="00577C3E" w:rsidP="00A436D7">
          <w:pPr>
            <w:pStyle w:val="Footer"/>
            <w:rPr>
              <w:rStyle w:val="PageNumber"/>
              <w:noProof/>
            </w:rPr>
          </w:pPr>
          <w:r w:rsidRPr="00A51875">
            <w:rPr>
              <w:rStyle w:val="PageNumber"/>
              <w:noProof/>
            </w:rPr>
            <w:fldChar w:fldCharType="begin"/>
          </w:r>
          <w:r w:rsidRPr="00A51875">
            <w:rPr>
              <w:rStyle w:val="PageNumber"/>
              <w:noProof/>
            </w:rPr>
            <w:instrText xml:space="preserve"> PAGE   \* MERGEFORMAT </w:instrText>
          </w:r>
          <w:r w:rsidRPr="00A51875">
            <w:rPr>
              <w:rStyle w:val="PageNumber"/>
              <w:noProof/>
            </w:rPr>
            <w:fldChar w:fldCharType="separate"/>
          </w:r>
          <w:r w:rsidRPr="00A51875">
            <w:rPr>
              <w:rStyle w:val="PageNumber"/>
            </w:rPr>
            <w:t>1</w:t>
          </w:r>
          <w:r w:rsidRPr="00A51875">
            <w:rPr>
              <w:rStyle w:val="PageNumber"/>
            </w:rPr>
            <w:fldChar w:fldCharType="end"/>
          </w:r>
        </w:p>
      </w:tc>
      <w:tc>
        <w:tcPr>
          <w:tcW w:w="8080" w:type="dxa"/>
          <w:vAlign w:val="center"/>
        </w:tcPr>
        <w:p w14:paraId="226FBDB1" w14:textId="77777777" w:rsidR="00577C3E" w:rsidRDefault="00577C3E" w:rsidP="00A436D7">
          <w:pPr>
            <w:pStyle w:val="RectoFooter"/>
            <w:ind w:right="-106"/>
            <w:jc w:val="left"/>
          </w:pPr>
          <w:r>
            <w:t>2024 ADDENDUM TO THE INTERIM GOVERNMENT POLICY STATEMENT ON HEALTH 2022-2024:</w:t>
          </w:r>
        </w:p>
        <w:p w14:paraId="095ADF08" w14:textId="33CD004D" w:rsidR="00577C3E" w:rsidRDefault="00577C3E" w:rsidP="00A436D7">
          <w:pPr>
            <w:pStyle w:val="RectoFooter"/>
            <w:ind w:right="-106"/>
            <w:jc w:val="left"/>
            <w:rPr>
              <w:szCs w:val="15"/>
            </w:rPr>
          </w:pPr>
          <w:r>
            <w:t>APPENDIX 3: SUMMARY DATA DEFINITIONS FOR THE MEASURES IN THE IGPS</w:t>
          </w:r>
        </w:p>
      </w:tc>
    </w:tr>
  </w:tbl>
  <w:p w14:paraId="50E333C7" w14:textId="77777777" w:rsidR="00577C3E" w:rsidRPr="00A436D7" w:rsidRDefault="00577C3E" w:rsidP="00A436D7">
    <w:pPr>
      <w:pStyle w:val="Footer"/>
      <w:ind w:right="7227"/>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577C3E" w14:paraId="2581AC8F" w14:textId="77777777" w:rsidTr="00D662F8">
      <w:trPr>
        <w:cantSplit/>
      </w:trPr>
      <w:tc>
        <w:tcPr>
          <w:tcW w:w="8080" w:type="dxa"/>
          <w:vAlign w:val="center"/>
        </w:tcPr>
        <w:p w14:paraId="6C49BF63" w14:textId="77777777" w:rsidR="00577C3E" w:rsidRDefault="00577C3E" w:rsidP="00A436D7">
          <w:pPr>
            <w:pStyle w:val="RectoFooter"/>
          </w:pPr>
          <w:r>
            <w:t>2024 ADDENDUM TO THE INTERIM GOVERNMENT POLICY STATEMENT ON HEALTH 2022-2024:</w:t>
          </w:r>
        </w:p>
        <w:p w14:paraId="1EC20762" w14:textId="6440399D" w:rsidR="00577C3E" w:rsidRDefault="00577C3E" w:rsidP="00A436D7">
          <w:pPr>
            <w:pStyle w:val="RectoFooter"/>
          </w:pPr>
          <w:r>
            <w:t>APPENDIX 3: SUMMARY DATA DEFINITIONS FOR THE MEASURES IN THE IGPS</w:t>
          </w:r>
        </w:p>
      </w:tc>
      <w:tc>
        <w:tcPr>
          <w:tcW w:w="709" w:type="dxa"/>
          <w:vAlign w:val="center"/>
        </w:tcPr>
        <w:p w14:paraId="14A1FD5E" w14:textId="77777777" w:rsidR="00577C3E" w:rsidRPr="00931466" w:rsidRDefault="00577C3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AC5A045" w14:textId="77777777" w:rsidR="00577C3E" w:rsidRPr="00581EB8" w:rsidRDefault="00577C3E"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B0C8" w14:textId="77777777" w:rsidR="001B688C" w:rsidRPr="00A26E6B" w:rsidRDefault="001B688C" w:rsidP="00A26E6B"/>
  </w:footnote>
  <w:footnote w:type="continuationSeparator" w:id="0">
    <w:p w14:paraId="29001D2F" w14:textId="77777777" w:rsidR="001B688C" w:rsidRDefault="001B688C">
      <w:r>
        <w:continuationSeparator/>
      </w:r>
    </w:p>
    <w:p w14:paraId="046C51F8" w14:textId="77777777" w:rsidR="001B688C" w:rsidRDefault="001B688C"/>
  </w:footnote>
  <w:footnote w:type="continuationNotice" w:id="1">
    <w:p w14:paraId="431A5262" w14:textId="77777777" w:rsidR="001B688C" w:rsidRDefault="001B688C"/>
  </w:footnote>
  <w:footnote w:id="2">
    <w:p w14:paraId="237CB0B1" w14:textId="77777777" w:rsidR="00577C3E" w:rsidRPr="00476151" w:rsidRDefault="00577C3E" w:rsidP="00A436D7">
      <w:pPr>
        <w:pStyle w:val="FootnoteText"/>
      </w:pPr>
      <w:r>
        <w:rPr>
          <w:rStyle w:val="FootnoteReference"/>
        </w:rPr>
        <w:footnoteRef/>
      </w:r>
      <w:r>
        <w:t xml:space="preserve"> </w:t>
      </w:r>
      <w:r w:rsidRPr="002B0938">
        <w:t>Adjustment factor for IPMHA services will be sourced from analysis of reported NHI-based data for the full 2021/22 year: number of individuals seen during the year divided by sum of the people seen each quarter</w:t>
      </w:r>
      <w:r>
        <w:rPr>
          <w:rFonts w:cs="Segoe UI"/>
          <w:i/>
          <w:iCs/>
          <w:sz w:val="18"/>
          <w:szCs w:val="18"/>
        </w:rPr>
        <w:t>.</w:t>
      </w:r>
    </w:p>
  </w:footnote>
  <w:footnote w:id="3">
    <w:p w14:paraId="019349ED" w14:textId="77777777" w:rsidR="00577C3E" w:rsidRPr="00C254FC" w:rsidRDefault="00577C3E" w:rsidP="00A436D7">
      <w:pPr>
        <w:pStyle w:val="FootnoteText"/>
      </w:pPr>
      <w:r>
        <w:rPr>
          <w:rStyle w:val="FootnoteReference"/>
        </w:rPr>
        <w:footnoteRef/>
      </w:r>
      <w:r>
        <w:t xml:space="preserve"> </w:t>
      </w:r>
      <w:r w:rsidRPr="002B0938">
        <w:t>New people seen’ for Kaupapa Māori, Pacific and Youth services counts the number of people who have been seen during a month and who have not been seen in the eleven preceding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77C3E" w14:paraId="11530A0D" w14:textId="77777777" w:rsidTr="008F2B72">
      <w:trPr>
        <w:cantSplit/>
      </w:trPr>
      <w:tc>
        <w:tcPr>
          <w:tcW w:w="5210" w:type="dxa"/>
          <w:vAlign w:val="center"/>
        </w:tcPr>
        <w:p w14:paraId="2BDE3162" w14:textId="4E67EED4" w:rsidR="00577C3E" w:rsidRDefault="00577C3E" w:rsidP="00B26F0F">
          <w:pPr>
            <w:pStyle w:val="Header"/>
          </w:pPr>
          <w:bookmarkStart w:id="0" w:name="_Hlk110933925"/>
          <w:r>
            <w:rPr>
              <w:noProof/>
              <w:lang w:eastAsia="en-NZ"/>
            </w:rPr>
            <w:drawing>
              <wp:inline distT="0" distB="0" distL="0" distR="0" wp14:anchorId="04421456" wp14:editId="7A27A45C">
                <wp:extent cx="2294626" cy="542925"/>
                <wp:effectExtent l="0" t="0" r="0" b="0"/>
                <wp:docPr id="1" name="Picture 1" descr="NZ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Z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77C3E" w:rsidRDefault="00577C3E" w:rsidP="00A436D7">
          <w:pPr>
            <w:pStyle w:val="Header"/>
            <w:jc w:val="right"/>
          </w:pPr>
          <w:r>
            <w:rPr>
              <w:noProof/>
            </w:rPr>
            <w:drawing>
              <wp:anchor distT="0" distB="0" distL="114300" distR="114300" simplePos="0" relativeHeight="251658240" behindDoc="0" locked="0" layoutInCell="1" allowOverlap="1" wp14:anchorId="1D75C094" wp14:editId="0A84D2CC">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577C3E" w:rsidRDefault="00577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577C3E" w:rsidRDefault="00577C3E"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577C3E" w:rsidRDefault="00577C3E"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577C3E" w:rsidRDefault="00577C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1"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6"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8"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1"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50704260">
    <w:abstractNumId w:val="29"/>
  </w:num>
  <w:num w:numId="2" w16cid:durableId="506213099">
    <w:abstractNumId w:val="22"/>
  </w:num>
  <w:num w:numId="3" w16cid:durableId="1980958787">
    <w:abstractNumId w:val="15"/>
  </w:num>
  <w:num w:numId="4" w16cid:durableId="321934555">
    <w:abstractNumId w:val="16"/>
  </w:num>
  <w:num w:numId="5" w16cid:durableId="2057504510">
    <w:abstractNumId w:val="0"/>
  </w:num>
  <w:num w:numId="6" w16cid:durableId="1646082994">
    <w:abstractNumId w:val="31"/>
  </w:num>
  <w:num w:numId="7" w16cid:durableId="891964337">
    <w:abstractNumId w:val="12"/>
  </w:num>
  <w:num w:numId="8" w16cid:durableId="601450554">
    <w:abstractNumId w:val="2"/>
  </w:num>
  <w:num w:numId="9" w16cid:durableId="237444649">
    <w:abstractNumId w:val="28"/>
  </w:num>
  <w:num w:numId="10" w16cid:durableId="660233086">
    <w:abstractNumId w:val="1"/>
  </w:num>
  <w:num w:numId="11" w16cid:durableId="556283076">
    <w:abstractNumId w:val="26"/>
  </w:num>
  <w:num w:numId="12" w16cid:durableId="725567848">
    <w:abstractNumId w:val="3"/>
  </w:num>
  <w:num w:numId="13" w16cid:durableId="1069888360">
    <w:abstractNumId w:val="7"/>
  </w:num>
  <w:num w:numId="14" w16cid:durableId="1854494160">
    <w:abstractNumId w:val="5"/>
  </w:num>
  <w:num w:numId="15" w16cid:durableId="1042824240">
    <w:abstractNumId w:val="8"/>
  </w:num>
  <w:num w:numId="16" w16cid:durableId="1508254886">
    <w:abstractNumId w:val="19"/>
  </w:num>
  <w:num w:numId="17" w16cid:durableId="2116245439">
    <w:abstractNumId w:val="10"/>
  </w:num>
  <w:num w:numId="18" w16cid:durableId="1895385857">
    <w:abstractNumId w:val="24"/>
  </w:num>
  <w:num w:numId="19" w16cid:durableId="695468953">
    <w:abstractNumId w:val="11"/>
  </w:num>
  <w:num w:numId="20" w16cid:durableId="1970745760">
    <w:abstractNumId w:val="18"/>
  </w:num>
  <w:num w:numId="21" w16cid:durableId="336621578">
    <w:abstractNumId w:val="6"/>
  </w:num>
  <w:num w:numId="22" w16cid:durableId="1240598218">
    <w:abstractNumId w:val="4"/>
  </w:num>
  <w:num w:numId="23" w16cid:durableId="2113356611">
    <w:abstractNumId w:val="21"/>
  </w:num>
  <w:num w:numId="24" w16cid:durableId="535193758">
    <w:abstractNumId w:val="20"/>
  </w:num>
  <w:num w:numId="25" w16cid:durableId="910695639">
    <w:abstractNumId w:val="30"/>
  </w:num>
  <w:num w:numId="26" w16cid:durableId="1741515346">
    <w:abstractNumId w:val="13"/>
  </w:num>
  <w:num w:numId="27" w16cid:durableId="1916427562">
    <w:abstractNumId w:val="25"/>
  </w:num>
  <w:num w:numId="28" w16cid:durableId="1432045801">
    <w:abstractNumId w:val="23"/>
  </w:num>
  <w:num w:numId="29" w16cid:durableId="816189340">
    <w:abstractNumId w:val="17"/>
  </w:num>
  <w:num w:numId="30" w16cid:durableId="846793970">
    <w:abstractNumId w:val="9"/>
  </w:num>
  <w:num w:numId="31" w16cid:durableId="1616909534">
    <w:abstractNumId w:val="27"/>
  </w:num>
  <w:num w:numId="32" w16cid:durableId="40287842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6748F"/>
    <w:rsid w:val="00072BD6"/>
    <w:rsid w:val="00075B78"/>
    <w:rsid w:val="000763E9"/>
    <w:rsid w:val="00082CD6"/>
    <w:rsid w:val="0008437D"/>
    <w:rsid w:val="00085AFE"/>
    <w:rsid w:val="00094800"/>
    <w:rsid w:val="000A41ED"/>
    <w:rsid w:val="000B0730"/>
    <w:rsid w:val="000C0A66"/>
    <w:rsid w:val="000D19F4"/>
    <w:rsid w:val="000D58DD"/>
    <w:rsid w:val="000F2AE2"/>
    <w:rsid w:val="000F2BFF"/>
    <w:rsid w:val="000F67FB"/>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54F59"/>
    <w:rsid w:val="00161C0A"/>
    <w:rsid w:val="0016304B"/>
    <w:rsid w:val="0016468A"/>
    <w:rsid w:val="00165244"/>
    <w:rsid w:val="001842DC"/>
    <w:rsid w:val="0018662D"/>
    <w:rsid w:val="00197427"/>
    <w:rsid w:val="001A21B4"/>
    <w:rsid w:val="001A5CF5"/>
    <w:rsid w:val="001B39D2"/>
    <w:rsid w:val="001B4BF8"/>
    <w:rsid w:val="001B688C"/>
    <w:rsid w:val="001C3DCE"/>
    <w:rsid w:val="001C4326"/>
    <w:rsid w:val="001C665E"/>
    <w:rsid w:val="001D3541"/>
    <w:rsid w:val="001D3E4E"/>
    <w:rsid w:val="001E18A6"/>
    <w:rsid w:val="001E254A"/>
    <w:rsid w:val="001E7386"/>
    <w:rsid w:val="001F378F"/>
    <w:rsid w:val="001F45A7"/>
    <w:rsid w:val="00200D22"/>
    <w:rsid w:val="00201A01"/>
    <w:rsid w:val="00206C29"/>
    <w:rsid w:val="0020754B"/>
    <w:rsid w:val="002104D3"/>
    <w:rsid w:val="00213A33"/>
    <w:rsid w:val="0021763B"/>
    <w:rsid w:val="00233683"/>
    <w:rsid w:val="00246DB1"/>
    <w:rsid w:val="002476B5"/>
    <w:rsid w:val="002520CC"/>
    <w:rsid w:val="00253ECF"/>
    <w:rsid w:val="002546A1"/>
    <w:rsid w:val="0026123B"/>
    <w:rsid w:val="002628F4"/>
    <w:rsid w:val="00275D08"/>
    <w:rsid w:val="0028570E"/>
    <w:rsid w:val="002858E3"/>
    <w:rsid w:val="00286A2A"/>
    <w:rsid w:val="0029190A"/>
    <w:rsid w:val="00292C5A"/>
    <w:rsid w:val="00295241"/>
    <w:rsid w:val="002A1BAB"/>
    <w:rsid w:val="002A4DFC"/>
    <w:rsid w:val="002B047D"/>
    <w:rsid w:val="002B0938"/>
    <w:rsid w:val="002B2390"/>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5B80"/>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37F5F"/>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47CF6"/>
    <w:rsid w:val="00550256"/>
    <w:rsid w:val="00550BCB"/>
    <w:rsid w:val="00553165"/>
    <w:rsid w:val="00553958"/>
    <w:rsid w:val="00556BB7"/>
    <w:rsid w:val="0055763D"/>
    <w:rsid w:val="00561516"/>
    <w:rsid w:val="005621F2"/>
    <w:rsid w:val="005665FD"/>
    <w:rsid w:val="00567B58"/>
    <w:rsid w:val="00571223"/>
    <w:rsid w:val="0057418E"/>
    <w:rsid w:val="00574625"/>
    <w:rsid w:val="005763E0"/>
    <w:rsid w:val="00576490"/>
    <w:rsid w:val="00577C3E"/>
    <w:rsid w:val="00581136"/>
    <w:rsid w:val="00581EB8"/>
    <w:rsid w:val="005923CF"/>
    <w:rsid w:val="005A27CA"/>
    <w:rsid w:val="005A43BD"/>
    <w:rsid w:val="005A79E5"/>
    <w:rsid w:val="005D034C"/>
    <w:rsid w:val="005E226E"/>
    <w:rsid w:val="005E2636"/>
    <w:rsid w:val="005F77FC"/>
    <w:rsid w:val="006015D7"/>
    <w:rsid w:val="00601B21"/>
    <w:rsid w:val="006041F0"/>
    <w:rsid w:val="00605C6D"/>
    <w:rsid w:val="006120CA"/>
    <w:rsid w:val="00622D24"/>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44B4"/>
    <w:rsid w:val="00686D80"/>
    <w:rsid w:val="00694895"/>
    <w:rsid w:val="00697E2E"/>
    <w:rsid w:val="006A25A2"/>
    <w:rsid w:val="006A3B87"/>
    <w:rsid w:val="006B0E73"/>
    <w:rsid w:val="006B1E3D"/>
    <w:rsid w:val="006B4A4D"/>
    <w:rsid w:val="006B5695"/>
    <w:rsid w:val="006B7B2E"/>
    <w:rsid w:val="006C78EB"/>
    <w:rsid w:val="006D1660"/>
    <w:rsid w:val="006D63E5"/>
    <w:rsid w:val="006E135B"/>
    <w:rsid w:val="006E1753"/>
    <w:rsid w:val="006E3911"/>
    <w:rsid w:val="006F1B67"/>
    <w:rsid w:val="006F4D9C"/>
    <w:rsid w:val="0070091D"/>
    <w:rsid w:val="00702854"/>
    <w:rsid w:val="0071741C"/>
    <w:rsid w:val="00742B90"/>
    <w:rsid w:val="0074434D"/>
    <w:rsid w:val="0075636B"/>
    <w:rsid w:val="007570C4"/>
    <w:rsid w:val="00757928"/>
    <w:rsid w:val="007605B8"/>
    <w:rsid w:val="00771B1E"/>
    <w:rsid w:val="00772730"/>
    <w:rsid w:val="00773C95"/>
    <w:rsid w:val="0078171E"/>
    <w:rsid w:val="0078658E"/>
    <w:rsid w:val="007920E2"/>
    <w:rsid w:val="0079566E"/>
    <w:rsid w:val="00795B34"/>
    <w:rsid w:val="007A067F"/>
    <w:rsid w:val="007A18AE"/>
    <w:rsid w:val="007A3962"/>
    <w:rsid w:val="007B1770"/>
    <w:rsid w:val="007B1C0B"/>
    <w:rsid w:val="007B4D3E"/>
    <w:rsid w:val="007B7C70"/>
    <w:rsid w:val="007B7DEB"/>
    <w:rsid w:val="007C0449"/>
    <w:rsid w:val="007D0971"/>
    <w:rsid w:val="007D2151"/>
    <w:rsid w:val="007D29C9"/>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73DCE"/>
    <w:rsid w:val="0087510D"/>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36FFA"/>
    <w:rsid w:val="00944647"/>
    <w:rsid w:val="0095565C"/>
    <w:rsid w:val="00964AB6"/>
    <w:rsid w:val="00966F9A"/>
    <w:rsid w:val="00977B8A"/>
    <w:rsid w:val="00982971"/>
    <w:rsid w:val="00983446"/>
    <w:rsid w:val="009845AD"/>
    <w:rsid w:val="00984835"/>
    <w:rsid w:val="00985D3B"/>
    <w:rsid w:val="009861B6"/>
    <w:rsid w:val="0098639B"/>
    <w:rsid w:val="009933EF"/>
    <w:rsid w:val="00995BA0"/>
    <w:rsid w:val="0099739D"/>
    <w:rsid w:val="009A418B"/>
    <w:rsid w:val="009A426F"/>
    <w:rsid w:val="009A42D5"/>
    <w:rsid w:val="009A4473"/>
    <w:rsid w:val="009B05C9"/>
    <w:rsid w:val="009B286C"/>
    <w:rsid w:val="009B2F9F"/>
    <w:rsid w:val="009C151C"/>
    <w:rsid w:val="009C440A"/>
    <w:rsid w:val="009C6437"/>
    <w:rsid w:val="009D39E6"/>
    <w:rsid w:val="009D5125"/>
    <w:rsid w:val="009D60B8"/>
    <w:rsid w:val="009D7D4B"/>
    <w:rsid w:val="009E0A8D"/>
    <w:rsid w:val="009E36ED"/>
    <w:rsid w:val="009E3C8C"/>
    <w:rsid w:val="009E6B77"/>
    <w:rsid w:val="009F460A"/>
    <w:rsid w:val="00A043FB"/>
    <w:rsid w:val="00A06BE4"/>
    <w:rsid w:val="00A0729C"/>
    <w:rsid w:val="00A07779"/>
    <w:rsid w:val="00A1166A"/>
    <w:rsid w:val="00A16FB3"/>
    <w:rsid w:val="00A20B2E"/>
    <w:rsid w:val="00A24F33"/>
    <w:rsid w:val="00A25069"/>
    <w:rsid w:val="00A26E6B"/>
    <w:rsid w:val="00A3068F"/>
    <w:rsid w:val="00A3145B"/>
    <w:rsid w:val="00A339D0"/>
    <w:rsid w:val="00A3647B"/>
    <w:rsid w:val="00A41002"/>
    <w:rsid w:val="00A4201A"/>
    <w:rsid w:val="00A436D7"/>
    <w:rsid w:val="00A5465D"/>
    <w:rsid w:val="00A553CE"/>
    <w:rsid w:val="00A5677A"/>
    <w:rsid w:val="00A56DCC"/>
    <w:rsid w:val="00A625E8"/>
    <w:rsid w:val="00A634A6"/>
    <w:rsid w:val="00A63DFF"/>
    <w:rsid w:val="00A6490D"/>
    <w:rsid w:val="00A72706"/>
    <w:rsid w:val="00A73AD9"/>
    <w:rsid w:val="00A7415D"/>
    <w:rsid w:val="00A80363"/>
    <w:rsid w:val="00A80939"/>
    <w:rsid w:val="00A83E9D"/>
    <w:rsid w:val="00A87C05"/>
    <w:rsid w:val="00A9169D"/>
    <w:rsid w:val="00AA240C"/>
    <w:rsid w:val="00AA7B55"/>
    <w:rsid w:val="00AC101C"/>
    <w:rsid w:val="00AC4CA5"/>
    <w:rsid w:val="00AD4CF1"/>
    <w:rsid w:val="00AD5988"/>
    <w:rsid w:val="00AD6293"/>
    <w:rsid w:val="00AF1BA8"/>
    <w:rsid w:val="00AF7800"/>
    <w:rsid w:val="00B00CF5"/>
    <w:rsid w:val="00B072E0"/>
    <w:rsid w:val="00B1007E"/>
    <w:rsid w:val="00B115F3"/>
    <w:rsid w:val="00B253F6"/>
    <w:rsid w:val="00B26675"/>
    <w:rsid w:val="00B26F0F"/>
    <w:rsid w:val="00B305DB"/>
    <w:rsid w:val="00B332F8"/>
    <w:rsid w:val="00B3492B"/>
    <w:rsid w:val="00B4646F"/>
    <w:rsid w:val="00B55C7D"/>
    <w:rsid w:val="00B61563"/>
    <w:rsid w:val="00B63038"/>
    <w:rsid w:val="00B64BD8"/>
    <w:rsid w:val="00B701D1"/>
    <w:rsid w:val="00B73AF2"/>
    <w:rsid w:val="00B7551A"/>
    <w:rsid w:val="00B773F1"/>
    <w:rsid w:val="00B77796"/>
    <w:rsid w:val="00B86AB1"/>
    <w:rsid w:val="00B90605"/>
    <w:rsid w:val="00B97F07"/>
    <w:rsid w:val="00BA7EBA"/>
    <w:rsid w:val="00BB2A06"/>
    <w:rsid w:val="00BB2CBB"/>
    <w:rsid w:val="00BB4198"/>
    <w:rsid w:val="00BC03EE"/>
    <w:rsid w:val="00BC546A"/>
    <w:rsid w:val="00BC59F1"/>
    <w:rsid w:val="00BF3DE1"/>
    <w:rsid w:val="00BF4843"/>
    <w:rsid w:val="00BF5205"/>
    <w:rsid w:val="00C0479A"/>
    <w:rsid w:val="00C05132"/>
    <w:rsid w:val="00C12508"/>
    <w:rsid w:val="00C23728"/>
    <w:rsid w:val="00C25DAB"/>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4480"/>
    <w:rsid w:val="00CB6427"/>
    <w:rsid w:val="00CC0FBE"/>
    <w:rsid w:val="00CD2119"/>
    <w:rsid w:val="00CD237A"/>
    <w:rsid w:val="00CD2DB7"/>
    <w:rsid w:val="00CD36AC"/>
    <w:rsid w:val="00CE13A3"/>
    <w:rsid w:val="00CE36BC"/>
    <w:rsid w:val="00CF1747"/>
    <w:rsid w:val="00CF2B3F"/>
    <w:rsid w:val="00CF60ED"/>
    <w:rsid w:val="00D045AE"/>
    <w:rsid w:val="00D05D74"/>
    <w:rsid w:val="00D204B1"/>
    <w:rsid w:val="00D20C59"/>
    <w:rsid w:val="00D23323"/>
    <w:rsid w:val="00D2392A"/>
    <w:rsid w:val="00D25FFE"/>
    <w:rsid w:val="00D30BBE"/>
    <w:rsid w:val="00D37D80"/>
    <w:rsid w:val="00D4476F"/>
    <w:rsid w:val="00D50573"/>
    <w:rsid w:val="00D53CAE"/>
    <w:rsid w:val="00D54D50"/>
    <w:rsid w:val="00D560B4"/>
    <w:rsid w:val="00D662F8"/>
    <w:rsid w:val="00D66797"/>
    <w:rsid w:val="00D67C52"/>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D6B81"/>
    <w:rsid w:val="00DE3B20"/>
    <w:rsid w:val="00DE6C94"/>
    <w:rsid w:val="00DE6E89"/>
    <w:rsid w:val="00DE6FD7"/>
    <w:rsid w:val="00E23271"/>
    <w:rsid w:val="00E24F80"/>
    <w:rsid w:val="00E259F3"/>
    <w:rsid w:val="00E30985"/>
    <w:rsid w:val="00E33238"/>
    <w:rsid w:val="00E376B7"/>
    <w:rsid w:val="00E41330"/>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4E3B"/>
    <w:rsid w:val="00EE5CB7"/>
    <w:rsid w:val="00F024FE"/>
    <w:rsid w:val="00F05581"/>
    <w:rsid w:val="00F05AD4"/>
    <w:rsid w:val="00F10EB6"/>
    <w:rsid w:val="00F13F07"/>
    <w:rsid w:val="00F140B2"/>
    <w:rsid w:val="00F25970"/>
    <w:rsid w:val="00F311A9"/>
    <w:rsid w:val="00F33D52"/>
    <w:rsid w:val="00F5180D"/>
    <w:rsid w:val="00F63781"/>
    <w:rsid w:val="00F67496"/>
    <w:rsid w:val="00F74C4C"/>
    <w:rsid w:val="00F75ADA"/>
    <w:rsid w:val="00F801BA"/>
    <w:rsid w:val="00F84188"/>
    <w:rsid w:val="00F87540"/>
    <w:rsid w:val="00F9366A"/>
    <w:rsid w:val="00F946C9"/>
    <w:rsid w:val="00FA0EA5"/>
    <w:rsid w:val="00FA74EE"/>
    <w:rsid w:val="00FA7D23"/>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F87540"/>
    <w:pPr>
      <w:keepNext/>
      <w:spacing w:before="360" w:after="24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F87540"/>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CommentReference">
    <w:name w:val="annotation reference"/>
    <w:basedOn w:val="DefaultParagraphFont"/>
    <w:uiPriority w:val="99"/>
    <w:semiHidden/>
    <w:unhideWhenUsed/>
    <w:rsid w:val="00A73AD9"/>
    <w:rPr>
      <w:sz w:val="16"/>
      <w:szCs w:val="16"/>
    </w:rPr>
  </w:style>
  <w:style w:type="paragraph" w:styleId="CommentText">
    <w:name w:val="annotation text"/>
    <w:basedOn w:val="Normal"/>
    <w:link w:val="CommentTextChar"/>
    <w:uiPriority w:val="99"/>
    <w:unhideWhenUsed/>
    <w:rsid w:val="00A73AD9"/>
    <w:rPr>
      <w:sz w:val="20"/>
    </w:rPr>
  </w:style>
  <w:style w:type="character" w:customStyle="1" w:styleId="CommentTextChar">
    <w:name w:val="Comment Text Char"/>
    <w:basedOn w:val="DefaultParagraphFont"/>
    <w:link w:val="CommentText"/>
    <w:uiPriority w:val="99"/>
    <w:rsid w:val="00A73AD9"/>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A73AD9"/>
    <w:rPr>
      <w:b/>
      <w:bCs/>
    </w:rPr>
  </w:style>
  <w:style w:type="character" w:customStyle="1" w:styleId="CommentSubjectChar">
    <w:name w:val="Comment Subject Char"/>
    <w:basedOn w:val="CommentTextChar"/>
    <w:link w:val="CommentSubject"/>
    <w:uiPriority w:val="99"/>
    <w:semiHidden/>
    <w:rsid w:val="00A73AD9"/>
    <w:rPr>
      <w:rFonts w:ascii="Segoe UI" w:hAnsi="Segoe UI"/>
      <w:b/>
      <w:bCs/>
      <w:lang w:eastAsia="en-GB"/>
    </w:rPr>
  </w:style>
  <w:style w:type="character" w:styleId="FollowedHyperlink">
    <w:name w:val="FollowedHyperlink"/>
    <w:basedOn w:val="DefaultParagraphFont"/>
    <w:uiPriority w:val="99"/>
    <w:semiHidden/>
    <w:unhideWhenUsed/>
    <w:rsid w:val="00FA7D23"/>
    <w:rPr>
      <w:color w:val="800080" w:themeColor="followedHyperlink"/>
      <w:u w:val="single"/>
    </w:rPr>
  </w:style>
  <w:style w:type="character" w:styleId="UnresolvedMention">
    <w:name w:val="Unresolved Mention"/>
    <w:basedOn w:val="DefaultParagraphFont"/>
    <w:uiPriority w:val="99"/>
    <w:semiHidden/>
    <w:unhideWhenUsed/>
    <w:rsid w:val="0068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health.govt.nz/maori-health/whakamaua-maori-health-action-plan-2020-2025" TargetMode="External"/><Relationship Id="rId39" Type="http://schemas.openxmlformats.org/officeDocument/2006/relationships/hyperlink" Target="https://www.health.govt.nz/our-work/populations/maori-health/whakamaua-maori-health-action-plan-2020-2025" TargetMode="External"/><Relationship Id="rId21" Type="http://schemas.openxmlformats.org/officeDocument/2006/relationships/footer" Target="footer5.xml"/><Relationship Id="rId34" Type="http://schemas.openxmlformats.org/officeDocument/2006/relationships/hyperlink" Target="https://www.hqsc.govt.nz/our-data/patient-reported-measures/patient-experience/" TargetMode="External"/><Relationship Id="rId42" Type="http://schemas.openxmlformats.org/officeDocument/2006/relationships/hyperlink" Target="https://www.tewhatuora.govt.nz/for-the-health-sector/vaccine-information/immunisation-coverage/" TargetMode="External"/><Relationship Id="rId47" Type="http://schemas.openxmlformats.org/officeDocument/2006/relationships/hyperlink" Target="https://www.tewhatuora.govt.nz/our-health-system/digital-health/the-aotearoa-immunisation-register-air/" TargetMode="External"/><Relationship Id="rId50" Type="http://schemas.openxmlformats.org/officeDocument/2006/relationships/hyperlink" Target="https://www.health.govt.nz/maori-health/whakamaua-maori-health-action-plan-2020-2025" TargetMode="External"/><Relationship Id="rId55" Type="http://schemas.openxmlformats.org/officeDocument/2006/relationships/hyperlink" Target="https://www.health.govt.nz/statistics-research/system-monitoring/planning-and-performance-data/acute-readmissions-to-hospitals" TargetMode="External"/><Relationship Id="rId63"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health.govt.nz/maori-health/whakamaua-maori-health-action-plan-2020-2025" TargetMode="External"/><Relationship Id="rId41" Type="http://schemas.openxmlformats.org/officeDocument/2006/relationships/hyperlink" Target="https://www.tewhatuora.govt.nz/our-health-system/digital-health/the-aotearoa-immunisation-register-air/" TargetMode="External"/><Relationship Id="rId54" Type="http://schemas.openxmlformats.org/officeDocument/2006/relationships/hyperlink" Target="https://www.health.govt.nz/statistics-research/system-monitoring/planning-and-performance-data/acute-readmissions-to-hospitals" TargetMode="External"/><Relationship Id="rId62" Type="http://schemas.openxmlformats.org/officeDocument/2006/relationships/hyperlink" Target="https://www.hqsc.govt.nz/consumer-hub/engaging-consumers-and-whanau/consumer-engagement-quality-and-safety-mark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whatuora.govt.nz/our-health-system/data-and-statistics/nz-health-statistics/data-references/data-dictionaries/" TargetMode="External"/><Relationship Id="rId32" Type="http://schemas.openxmlformats.org/officeDocument/2006/relationships/hyperlink" Target="https://www.health.govt.nz/maori-health/whakamaua-maori-health-action-plan-2020-2025" TargetMode="External"/><Relationship Id="rId37" Type="http://schemas.openxmlformats.org/officeDocument/2006/relationships/hyperlink" Target="https://www.health.govt.nz/maori-health/whakamaua-maori-health-action-plan-2020-2025" TargetMode="External"/><Relationship Id="rId40" Type="http://schemas.openxmlformats.org/officeDocument/2006/relationships/hyperlink" Target="https://www.tewhatuora.govt.nz/for-the-health-sector/vaccine-information/immunisation-coverage/" TargetMode="External"/><Relationship Id="rId45" Type="http://schemas.openxmlformats.org/officeDocument/2006/relationships/hyperlink" Target="https://www.tewhatuora.govt.nz/our-health-system/digital-health/the-aotearoa-immunisation-register-air/" TargetMode="External"/><Relationship Id="rId53" Type="http://schemas.openxmlformats.org/officeDocument/2006/relationships/hyperlink" Target="https://www.tewhatuora.govt.nz/our-health-system/data-and-statistics/maternity-clinical-indicators/" TargetMode="External"/><Relationship Id="rId58" Type="http://schemas.openxmlformats.org/officeDocument/2006/relationships/hyperlink" Target="https://www.health.govt.nz/our-work/populations/maori-health/whakamaua-maori-health-action-plan-2020-2025"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hyperlink" Target="https://www.tewhatuora.govt.nz/our-health-system/data-and-statistics/virtual-diabetes-tool/" TargetMode="External"/><Relationship Id="rId36" Type="http://schemas.openxmlformats.org/officeDocument/2006/relationships/hyperlink" Target="https://www.health.govt.nz/publications/whakamaua-quantitative-dashboard-year-three" TargetMode="External"/><Relationship Id="rId49" Type="http://schemas.openxmlformats.org/officeDocument/2006/relationships/hyperlink" Target="https://www.health.govt.nz/statistics-research/system-monitoring/planning-and-performance-data/ambulatory-sensitive-hospital-admissions-ash" TargetMode="External"/><Relationship Id="rId57" Type="http://schemas.openxmlformats.org/officeDocument/2006/relationships/hyperlink" Target="https://www.health.govt.nz/maori-health/whakamaua-maori-health-action-plan-2020-2025" TargetMode="External"/><Relationship Id="rId61" Type="http://schemas.openxmlformats.org/officeDocument/2006/relationships/hyperlink" Target="https://www.health.govt.nz/our-work/populations/maori-health/whakamaua-maori-health-action-plan-2020-2025"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health.govt.nz/maori-health/whakamaua-maori-health-action-plan-2020-2025" TargetMode="External"/><Relationship Id="rId44" Type="http://schemas.openxmlformats.org/officeDocument/2006/relationships/hyperlink" Target="https://www.tewhatuora.govt.nz/for-the-health-sector/vaccine-information/immunisation-coverage/" TargetMode="External"/><Relationship Id="rId52" Type="http://schemas.openxmlformats.org/officeDocument/2006/relationships/hyperlink" Target="https://www.tewhatuora.govt.nz/our-health-system/data-and-statistics/maternity-clinical-indicators/" TargetMode="External"/><Relationship Id="rId60" Type="http://schemas.openxmlformats.org/officeDocument/2006/relationships/hyperlink" Target="https://www.hqsc.govt.nz/our-data/patient-reported-measures/patient-experience/"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hyperlink" Target="https://www.health.govt.nz/maori-health/whakamaua-maori-health-action-plan-2020-2025" TargetMode="External"/><Relationship Id="rId30" Type="http://schemas.openxmlformats.org/officeDocument/2006/relationships/hyperlink" Target="https://www.tewhatuora.govt.nz/our-health-system/data-and-statistics/virtual-diabetes-tool/" TargetMode="External"/><Relationship Id="rId35" Type="http://schemas.openxmlformats.org/officeDocument/2006/relationships/hyperlink" Target="https://www.health.govt.nz/maori-health/whakamaua-maori-health-action-plan-2020-2025" TargetMode="External"/><Relationship Id="rId43" Type="http://schemas.openxmlformats.org/officeDocument/2006/relationships/hyperlink" Target="https://www.tewhatuora.govt.nz/our-health-system/digital-health/the-aotearoa-immunisation-register-air/" TargetMode="External"/><Relationship Id="rId48" Type="http://schemas.openxmlformats.org/officeDocument/2006/relationships/hyperlink" Target="https://www.tewhatuora.govt.nz/our-health-system/data-and-statistics/national-influenza-vaccine-data/" TargetMode="External"/><Relationship Id="rId56" Type="http://schemas.openxmlformats.org/officeDocument/2006/relationships/hyperlink" Target="https://www.tewhatuora.govt.nz/publications/"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health.govt.nz/statistics-research/system-monitoring/planning-and-performance-data/ambulatory-sensitive-hospital-admissions-ash"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whatuora.govt.nz/our-health-system/data-and-statistics/nz-health-statistics/data-references/data-dictionaries/" TargetMode="External"/><Relationship Id="rId33" Type="http://schemas.openxmlformats.org/officeDocument/2006/relationships/hyperlink" Target="https://www.health.govt.nz/publications/funding-to-maori-health-providers-201718-to-202122" TargetMode="External"/><Relationship Id="rId38" Type="http://schemas.openxmlformats.org/officeDocument/2006/relationships/hyperlink" Target="https://www.health.govt.nz/statistics-research/surveys/new-zealand-health-survey" TargetMode="External"/><Relationship Id="rId46" Type="http://schemas.openxmlformats.org/officeDocument/2006/relationships/hyperlink" Target="https://www.tewhatuora.govt.nz/for-the-health-sector/vaccine-information/hpv-immunisation-programme/" TargetMode="External"/><Relationship Id="rId59" Type="http://schemas.openxmlformats.org/officeDocument/2006/relationships/hyperlink" Target="https://www.health.govt.nz/maori-health/whakamaua-maori-health-action-plan-2020-20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Mail" ma:contentTypeID="0x01010050E2721BAD4B1A4384CB7B3D4B379D70006A8D486E55B14847B233DD99E7477DDA" ma:contentTypeVersion="217" ma:contentTypeDescription="Create a new document." ma:contentTypeScope="" ma:versionID="e5f3a527dc4dcf605e4ba658724da6b3">
  <xsd:schema xmlns:xsd="http://www.w3.org/2001/XMLSchema" xmlns:xs="http://www.w3.org/2001/XMLSchema" xmlns:p="http://schemas.microsoft.com/office/2006/metadata/properties" xmlns:ns1="http://schemas.microsoft.com/sharepoint/v3" xmlns:ns2="aa914787-9415-4bb8-ac97-be8d7f851ee5" xmlns:ns3="c91a514c-9034-4fa3-897a-8352025b26ed" xmlns:ns4="4f9c820c-e7e2-444d-97ee-45f2b3485c1d" xmlns:ns5="15ffb055-6eb4-45a1-bc20-bf2ac0d420da" xmlns:ns6="725c79e5-42ce-4aa0-ac78-b6418001f0d2" xmlns:ns7="d0b61010-d6f3-4072-b934-7bbb13e97771" xmlns:ns8="184c05c4-c568-455d-94a4-7e009b164348" xmlns:ns9="07dc404e-7045-47a0-b10c-334f356a490d" targetNamespace="http://schemas.microsoft.com/office/2006/metadata/properties" ma:root="true" ma:fieldsID="cc89d4472d1ec1ea45b694478f392199" ns1:_="" ns2:_="" ns3:_="" ns4:_="" ns5:_="" ns6:_="" ns7:_="" ns8:_="" ns9:_="">
    <xsd:import namespace="http://schemas.microsoft.com/sharepoint/v3"/>
    <xsd:import namespace="aa914787-9415-4bb8-ac97-be8d7f851ee5"/>
    <xsd:import namespace="c91a514c-9034-4fa3-897a-8352025b26ed"/>
    <xsd:import namespace="4f9c820c-e7e2-444d-97ee-45f2b3485c1d"/>
    <xsd:import namespace="15ffb055-6eb4-45a1-bc20-bf2ac0d420da"/>
    <xsd:import namespace="725c79e5-42ce-4aa0-ac78-b6418001f0d2"/>
    <xsd:import namespace="d0b61010-d6f3-4072-b934-7bbb13e97771"/>
    <xsd:import namespace="184c05c4-c568-455d-94a4-7e009b164348"/>
    <xsd:import namespace="07dc404e-7045-47a0-b10c-334f356a490d"/>
    <xsd:element name="properties">
      <xsd:complexType>
        <xsd:sequence>
          <xsd:element name="documentManagement">
            <xsd:complexType>
              <xsd:all>
                <xsd:element ref="ns2:_dlc_DocId" minOccurs="0"/>
                <xsd:element ref="ns2:_dlc_DocIdUrl" minOccurs="0"/>
                <xsd:element ref="ns2:_dlc_DocIdPersistId" minOccurs="0"/>
                <xsd:element ref="ns4:To" minOccurs="0"/>
                <xsd:element ref="ns3:ILFrom" minOccurs="0"/>
                <xsd:element ref="ns5:Received" minOccurs="0"/>
                <xsd:element ref="ns4:Sent" minOccurs="0"/>
                <xsd:element ref="ns4:DocumentType" minOccurs="0"/>
                <xsd:element ref="ns4:OriginalSubject" minOccurs="0"/>
                <xsd:element ref="ns5:SecurityClassification" minOccurs="0"/>
                <xsd:element ref="ns6:AggregationNarrative" minOccurs="0"/>
                <xsd:element ref="ns4:RelatedPeople" minOccurs="0"/>
                <xsd:element ref="ns4:Case" minOccurs="0"/>
                <xsd:element ref="ns4:Function" minOccurs="0"/>
                <xsd:element ref="ns4:Project" minOccurs="0"/>
                <xsd:element ref="ns4:CategoryName"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CategoryValue" minOccurs="0"/>
                <xsd:element ref="ns4:BusinessValue" minOccurs="0"/>
                <xsd:element ref="ns4:FunctionGroup" minOccurs="0"/>
                <xsd:element ref="ns5:MailPreviewData" minOccurs="0"/>
                <xsd:element ref="ns4:Subactivity" minOccurs="0"/>
                <xsd:element ref="ns3:Channel" minOccurs="0"/>
                <xsd:element ref="ns3:Team" minOccurs="0"/>
                <xsd:element ref="ns4:Narrative" minOccurs="0"/>
                <xsd:element ref="ns5:KeyWords" minOccurs="0"/>
                <xsd:element ref="ns3:Level2" minOccurs="0"/>
                <xsd:element ref="ns3:Level3" minOccurs="0"/>
                <xsd:element ref="ns3:Year" minOccurs="0"/>
                <xsd:element ref="ns7:CC" minOccurs="0"/>
                <xsd:element ref="ns1:_ExtendedDescription" minOccurs="0"/>
                <xsd:element ref="ns5:HarmonieUIHidden" minOccurs="0"/>
                <xsd:element ref="ns7:OverrideLabel" minOccurs="0"/>
                <xsd:element ref="ns7:SetLabel" minOccurs="0"/>
                <xsd:element ref="ns8:HasNHI" minOccurs="0"/>
                <xsd:element ref="ns8:zLegacy" minOccurs="0"/>
                <xsd:element ref="ns8:zLegacyID" minOccurs="0"/>
                <xsd:element ref="ns8:zLegacyJSON" minOccurs="0"/>
                <xsd:element ref="ns8:CopiedFrom" minOccurs="0"/>
                <xsd:element ref="ns8:Endorsements" minOccurs="0"/>
                <xsd:element ref="ns9:lcf76f155ced4ddcb4097134ff3c332f" minOccurs="0"/>
                <xsd:element ref="ns2:TaxCatchAll" minOccurs="0"/>
                <xsd:element ref="ns9:Attachment" minOccurs="0"/>
                <xsd:element ref="ns9:FolderDescription" minOccurs="0"/>
                <xsd:element ref="ns9:P_x0101_tengirestructuringwork" minOccurs="0"/>
                <xsd:element ref="ns9:Restructuring" minOccurs="0"/>
                <xsd:element ref="ns9:Link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50" nillable="true" ma:displayName="Description" ma:hidden="true" ma:internalName="_Extended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914787-9415-4bb8-ac97-be8d7f851e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62" nillable="true" ma:displayName="Taxonomy Catch All Column" ma:hidden="true" ma:list="{9c142dee-17a4-4282-8fdc-142fd3965391}" ma:internalName="TaxCatchAll" ma:showField="CatchAllData" ma:web="aa914787-9415-4bb8-ac97-be8d7f851e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13" nillable="true" ma:displayName="From" ma:internalName="ILFrom" ma:readOnly="false">
      <xsd:simpleType>
        <xsd:restriction base="dms:Text">
          <xsd:maxLength value="255"/>
        </xsd:restriction>
      </xsd:simpleType>
    </xsd:element>
    <xsd:element name="Channel" ma:index="42" nillable="true" ma:displayName="Channel" ma:default="NA" ma:hidden="true" ma:internalName="Channel" ma:readOnly="false">
      <xsd:simpleType>
        <xsd:restriction base="dms:Text">
          <xsd:maxLength value="255"/>
        </xsd:restriction>
      </xsd:simpleType>
    </xsd:element>
    <xsd:element name="Team" ma:index="43" nillable="true" ma:displayName="Team" ma:default="Performance Monitoring and Reporting" ma:hidden="true" ma:internalName="Team" ma:readOnly="false">
      <xsd:simpleType>
        <xsd:restriction base="dms:Text">
          <xsd:maxLength value="255"/>
        </xsd:restriction>
      </xsd:simpleType>
    </xsd:element>
    <xsd:element name="Level2" ma:index="46" nillable="true" ma:displayName="Level 2" ma:default="NA" ma:hidden="true" ma:internalName="Level2" ma:readOnly="false">
      <xsd:simpleType>
        <xsd:restriction base="dms:Text">
          <xsd:maxLength value="255"/>
        </xsd:restriction>
      </xsd:simpleType>
    </xsd:element>
    <xsd:element name="Level3" ma:index="47" nillable="true" ma:displayName="Level 3" ma:default="NA" ma:hidden="true" ma:internalName="Level3" ma:readOnly="false">
      <xsd:simpleType>
        <xsd:restriction base="dms:Text">
          <xsd:maxLength value="255"/>
        </xsd:restriction>
      </xsd:simpleType>
    </xsd:element>
    <xsd:element name="Year" ma:index="48"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To" ma:index="12" nillable="true" ma:displayName="To" ma:internalName="To" ma:readOnly="false">
      <xsd:simpleType>
        <xsd:restriction base="dms:Text">
          <xsd:maxLength value="255"/>
        </xsd:restriction>
      </xsd:simpleType>
    </xsd:element>
    <xsd:element name="Sent" ma:index="15" nillable="true" ma:displayName="Sent" ma:format="DateTime" ma:internalName="Sent" ma:readOnly="false">
      <xsd:simpleType>
        <xsd:restriction base="dms:DateTime"/>
      </xsd:simpleType>
    </xsd:element>
    <xsd:element name="DocumentType" ma:index="16"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OriginalSubject" ma:index="17" nillable="true" ma:displayName="Original Subject" ma:internalName="OriginalSubject" ma:readOnly="false">
      <xsd:simpleType>
        <xsd:restriction base="dms:Text">
          <xsd:maxLength value="255"/>
        </xsd:restriction>
      </xsd:simpleType>
    </xsd:element>
    <xsd:element name="RelatedPeople" ma:index="20"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 ma:index="21" nillable="true" ma:displayName="Case" ma:default="NA" ma:hidden="true" ma:internalName="Case" ma:readOnly="false">
      <xsd:simpleType>
        <xsd:restriction base="dms:Text">
          <xsd:maxLength value="255"/>
        </xsd:restriction>
      </xsd:simpleType>
    </xsd:element>
    <xsd:element name="Function" ma:index="22" nillable="true" ma:displayName="Function" ma:default="Performance Monitoring and Reporting" ma:hidden="true" ma:internalName="Function" ma:readOnly="false">
      <xsd:simpleType>
        <xsd:restriction base="dms:Text">
          <xsd:maxLength value="255"/>
        </xsd:restriction>
      </xsd:simpleType>
    </xsd:element>
    <xsd:element name="Project" ma:index="23" nillable="true" ma:displayName="Project" ma:default="NA" ma:hidden="true" ma:internalName="Project" ma:readOnly="false">
      <xsd:simpleType>
        <xsd:restriction base="dms:Text">
          <xsd:maxLength value="255"/>
        </xsd:restriction>
      </xsd:simpleType>
    </xsd:element>
    <xsd:element name="CategoryName" ma:index="24" nillable="true" ma:displayName="Category 1" ma:default="NA" ma:hidden="true" ma:internalName="CategoryName" ma:readOnly="false">
      <xsd:simpleType>
        <xsd:restriction base="dms:Text">
          <xsd:maxLength value="255"/>
        </xsd:restriction>
      </xsd:simpleType>
    </xsd:element>
    <xsd:element name="PRAType" ma:index="25" nillable="true" ma:displayName="PRA Type" ma:default="Doc" ma:hidden="true" ma:indexed="true" ma:internalName="PRAType" ma:readOnly="false">
      <xsd:simpleType>
        <xsd:restriction base="dms:Text">
          <xsd:maxLength value="255"/>
        </xsd:restriction>
      </xsd:simpleType>
    </xsd:element>
    <xsd:element name="PRADate1" ma:index="26" nillable="true" ma:displayName="PRA Date 1" ma:format="DateOnly" ma:hidden="true" ma:internalName="PRADate1" ma:readOnly="false">
      <xsd:simpleType>
        <xsd:restriction base="dms:DateTime"/>
      </xsd:simpleType>
    </xsd:element>
    <xsd:element name="PRADate2" ma:index="27" nillable="true" ma:displayName="PRA Date 2" ma:format="DateOnly" ma:hidden="true" ma:internalName="PRADate2" ma:readOnly="false">
      <xsd:simpleType>
        <xsd:restriction base="dms:DateTime"/>
      </xsd:simpleType>
    </xsd:element>
    <xsd:element name="PRADate3" ma:index="28" nillable="true" ma:displayName="PRA Date 3" ma:format="DateOnly" ma:hidden="true" ma:internalName="PRADate3" ma:readOnly="false">
      <xsd:simpleType>
        <xsd:restriction base="dms:DateTime"/>
      </xsd:simpleType>
    </xsd:element>
    <xsd:element name="PRADateDisposal" ma:index="29" nillable="true" ma:displayName="PRA Date Disposal" ma:format="DateOnly" ma:hidden="true" ma:internalName="PRADateDisposal" ma:readOnly="false">
      <xsd:simpleType>
        <xsd:restriction base="dms:DateTime"/>
      </xsd:simpleType>
    </xsd:element>
    <xsd:element name="PRADateTrigger" ma:index="30" nillable="true" ma:displayName="PRA Date Trigger" ma:format="DateOnly" ma:hidden="true" ma:internalName="PRADateTrigger" ma:readOnly="false">
      <xsd:simpleType>
        <xsd:restriction base="dms:DateTime"/>
      </xsd:simpleType>
    </xsd:element>
    <xsd:element name="PRAText1" ma:index="31" nillable="true" ma:displayName="PRA Text 1" ma:hidden="true" ma:internalName="PRAText1" ma:readOnly="false">
      <xsd:simpleType>
        <xsd:restriction base="dms:Text">
          <xsd:maxLength value="255"/>
        </xsd:restriction>
      </xsd:simpleType>
    </xsd:element>
    <xsd:element name="PRAText2" ma:index="32" nillable="true" ma:displayName="PRA Text 2" ma:hidden="true" ma:internalName="PRAText2" ma:readOnly="false">
      <xsd:simpleType>
        <xsd:restriction base="dms:Text">
          <xsd:maxLength value="255"/>
        </xsd:restriction>
      </xsd:simpleType>
    </xsd:element>
    <xsd:element name="PRAText3" ma:index="33" nillable="true" ma:displayName="PRA Text 3" ma:hidden="true" ma:internalName="PRAText3" ma:readOnly="false">
      <xsd:simpleType>
        <xsd:restriction base="dms:Text">
          <xsd:maxLength value="255"/>
        </xsd:restriction>
      </xsd:simpleType>
    </xsd:element>
    <xsd:element name="PRAText4" ma:index="34" nillable="true" ma:displayName="PRA Text 4" ma:hidden="true" ma:internalName="PRAText4" ma:readOnly="false">
      <xsd:simpleType>
        <xsd:restriction base="dms:Text">
          <xsd:maxLength value="255"/>
        </xsd:restriction>
      </xsd:simpleType>
    </xsd:element>
    <xsd:element name="PRAText5" ma:index="35" nillable="true" ma:displayName="PRA Text 5" ma:hidden="true" ma:internalName="PRAText5" ma:readOnly="false">
      <xsd:simpleType>
        <xsd:restriction base="dms:Text">
          <xsd:maxLength value="255"/>
        </xsd:restriction>
      </xsd:simpleType>
    </xsd:element>
    <xsd:element name="AggregationStatus" ma:index="3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CategoryValue" ma:index="37" nillable="true" ma:displayName="Category 2" ma:default="NA" ma:hidden="true" ma:internalName="CategoryValue" ma:readOnly="false">
      <xsd:simpleType>
        <xsd:restriction base="dms:Text">
          <xsd:maxLength value="255"/>
        </xsd:restriction>
      </xsd:simpleType>
    </xsd:element>
    <xsd:element name="BusinessValue" ma:index="38" nillable="true" ma:displayName="Business Value" ma:hidden="true" ma:internalName="BusinessValue" ma:readOnly="false">
      <xsd:simpleType>
        <xsd:restriction base="dms:Text">
          <xsd:maxLength value="255"/>
        </xsd:restriction>
      </xsd:simpleType>
    </xsd:element>
    <xsd:element name="FunctionGroup" ma:index="39" nillable="true" ma:displayName="Function Group" ma:default="Monitor and Support Health System" ma:hidden="true" ma:internalName="FunctionGroup" ma:readOnly="false">
      <xsd:simpleType>
        <xsd:restriction base="dms:Text">
          <xsd:maxLength value="255"/>
        </xsd:restriction>
      </xsd:simpleType>
    </xsd:element>
    <xsd:element name="Subactivity" ma:index="41" nillable="true" ma:displayName="Subactivity" ma:default="NA" ma:hidden="true" ma:internalName="Subactivity" ma:readOnly="false">
      <xsd:simpleType>
        <xsd:restriction base="dms:Text">
          <xsd:maxLength value="255"/>
        </xsd:restriction>
      </xsd:simpleType>
    </xsd:element>
    <xsd:element name="Narrative" ma:index="44" nillable="true" ma:displayName="Narrative" ma:hidden="true" ma:internalName="Narrativ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14" nillable="true" ma:displayName="Received" ma:format="DateOnly" ma:internalName="Received" ma:readOnly="false">
      <xsd:simpleType>
        <xsd:restriction base="dms:DateTime"/>
      </xsd:simpleType>
    </xsd:element>
    <xsd:element name="SecurityClassification" ma:index="18"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element name="MailPreviewData" ma:index="40" nillable="true" ma:displayName="MailPreviewData" ma:hidden="true" ma:internalName="MailPreviewData" ma:readOnly="false">
      <xsd:simpleType>
        <xsd:restriction base="dms:Note"/>
      </xsd:simpleType>
    </xsd:element>
    <xsd:element name="KeyWords" ma:index="45" nillable="true" ma:displayName="Key Words" ma:hidden="true" ma:internalName="KeyWords" ma:readOnly="false">
      <xsd:simpleType>
        <xsd:restriction base="dms:Note"/>
      </xsd:simpleType>
    </xsd:element>
    <xsd:element name="HarmonieUIHidden" ma:index="51" nillable="true" ma:displayName="HarmonieUIHidden" ma:hidden="true" ma:internalName="HarmonieUIHidd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9"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CC" ma:index="49" nillable="true" ma:displayName="CC" ma:internalName="CC" ma:readOnly="false">
      <xsd:simpleType>
        <xsd:restriction base="dms:Text">
          <xsd:maxLength value="255"/>
        </xsd:restriction>
      </xsd:simpleType>
    </xsd:element>
    <xsd:element name="OverrideLabel" ma:index="52" nillable="true" ma:displayName="Override Label" ma:hidden="true" ma:indexed="true" ma:internalName="OverrideLabel" ma:readOnly="false">
      <xsd:simpleType>
        <xsd:restriction base="dms:Text">
          <xsd:maxLength value="255"/>
        </xsd:restriction>
      </xsd:simpleType>
    </xsd:element>
    <xsd:element name="SetLabel" ma:index="53" nillable="true" ma:displayName="Set Label" ma:default="Retain"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54" nillable="true" ma:displayName="Has NHI" ma:default="0" ma:internalName="HasNHI" ma:readOnly="false">
      <xsd:simpleType>
        <xsd:restriction base="dms:Boolean"/>
      </xsd:simpleType>
    </xsd:element>
    <xsd:element name="zLegacy" ma:index="55" nillable="true" ma:displayName="zLegacy" ma:hidden="true" ma:internalName="zLegacy" ma:readOnly="false">
      <xsd:simpleType>
        <xsd:restriction base="dms:Note"/>
      </xsd:simpleType>
    </xsd:element>
    <xsd:element name="zLegacyID" ma:index="56" nillable="true" ma:displayName="zLegacyID" ma:hidden="true" ma:indexed="true" ma:internalName="zLegacyID" ma:readOnly="false">
      <xsd:simpleType>
        <xsd:restriction base="dms:Text">
          <xsd:maxLength value="255"/>
        </xsd:restriction>
      </xsd:simpleType>
    </xsd:element>
    <xsd:element name="zLegacyJSON" ma:index="57" nillable="true" ma:displayName="zLegacyJSON" ma:hidden="true" ma:internalName="zLegacyJSON" ma:readOnly="false">
      <xsd:simpleType>
        <xsd:restriction base="dms:Note"/>
      </xsd:simpleType>
    </xsd:element>
    <xsd:element name="CopiedFrom" ma:index="58" nillable="true" ma:displayName="Copied From" ma:hidden="true" ma:internalName="CopiedFrom" ma:readOnly="false">
      <xsd:simpleType>
        <xsd:restriction base="dms:Text">
          <xsd:maxLength value="255"/>
        </xsd:restriction>
      </xsd:simpleType>
    </xsd:element>
    <xsd:element name="Endorsements" ma:index="5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7dc404e-7045-47a0-b10c-334f356a490d" elementFormDefault="qualified">
    <xsd:import namespace="http://schemas.microsoft.com/office/2006/documentManagement/types"/>
    <xsd:import namespace="http://schemas.microsoft.com/office/infopath/2007/PartnerControls"/>
    <xsd:element name="lcf76f155ced4ddcb4097134ff3c332f" ma:index="61" nillable="true" ma:displayName="Image Tags_0" ma:hidden="true" ma:internalName="lcf76f155ced4ddcb4097134ff3c332f">
      <xsd:simpleType>
        <xsd:restriction base="dms:Note"/>
      </xsd:simpleType>
    </xsd:element>
    <xsd:element name="Attachment" ma:index="63" nillable="true" ma:displayName="Attachment" ma:internalName="Attachment">
      <xsd:simpleType>
        <xsd:restriction base="dms:Note">
          <xsd:maxLength value="255"/>
        </xsd:restriction>
      </xsd:simpleType>
    </xsd:element>
    <xsd:element name="FolderDescription" ma:index="64" nillable="true" ma:displayName="Folder Description" ma:format="Dropdown" ma:internalName="FolderDescription">
      <xsd:simpleType>
        <xsd:restriction base="dms:Note">
          <xsd:maxLength value="255"/>
        </xsd:restriction>
      </xsd:simpleType>
    </xsd:element>
    <xsd:element name="P_x0101_tengirestructuringwork" ma:index="65" nillable="true" ma:displayName="Pātengi restructuring work " ma:format="Dropdown" ma:internalName="P_x0101_tengirestructuringwork">
      <xsd:simpleType>
        <xsd:restriction base="dms:Choice">
          <xsd:enumeration value="Being moved"/>
          <xsd:enumeration value="Change of name required"/>
          <xsd:enumeration value="Dispersed"/>
          <xsd:enumeration value="Should this be moved"/>
        </xsd:restriction>
      </xsd:simpleType>
    </xsd:element>
    <xsd:element name="Restructuring" ma:index="66" nillable="true" ma:displayName="Restructuring" ma:format="Dropdown" ma:internalName="Restructuring">
      <xsd:simpleType>
        <xsd:restriction base="dms:Choice">
          <xsd:enumeration value="PSEUDOFOLDER"/>
        </xsd:restriction>
      </xsd:simpleType>
    </xsd:element>
    <xsd:element name="LinkTest" ma:index="67" nillable="true" ma:displayName="Link Test" ma:description="https://mohgovtnz.sharepoint.com/:f:/r/sites/moh-ecm-PMReport/Shared%20Documents/Engagement?csf=1&amp;web=1&amp;e=a7p8Wz" ma:format="Hyperlink" ma:internalName="LinkTes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ADateDisposal xmlns="4f9c820c-e7e2-444d-97ee-45f2b3485c1d" xsi:nil="true"/>
    <BusinessValue xmlns="4f9c820c-e7e2-444d-97ee-45f2b3485c1d" xsi:nil="true"/>
    <Subactivity xmlns="4f9c820c-e7e2-444d-97ee-45f2b3485c1d">NA</Subactivity>
    <OriginalSubject xmlns="4f9c820c-e7e2-444d-97ee-45f2b3485c1d" xsi:nil="true"/>
    <SecurityClassification xmlns="15ffb055-6eb4-45a1-bc20-bf2ac0d420da">UNCLASSIFIED</SecurityClassification>
    <KeyWords xmlns="15ffb055-6eb4-45a1-bc20-bf2ac0d420da" xsi:nil="true"/>
    <P_x0101_tengirestructuringwork xmlns="07dc404e-7045-47a0-b10c-334f356a490d" xsi:nil="true"/>
    <PRADate3 xmlns="4f9c820c-e7e2-444d-97ee-45f2b3485c1d" xsi:nil="true"/>
    <PRAText5 xmlns="4f9c820c-e7e2-444d-97ee-45f2b3485c1d" xsi:nil="true"/>
    <Level2 xmlns="c91a514c-9034-4fa3-897a-8352025b26ed">NA</Level2>
    <CopiedFrom xmlns="184c05c4-c568-455d-94a4-7e009b164348" xsi:nil="true"/>
    <TaxCatchAll xmlns="aa914787-9415-4bb8-ac97-be8d7f851ee5" xsi:nil="true"/>
    <ILFrom xmlns="c91a514c-9034-4fa3-897a-8352025b26ed" xsi:nil="true"/>
    <AggregationStatus xmlns="4f9c820c-e7e2-444d-97ee-45f2b3485c1d">Normal</AggregationStatus>
    <OverrideLabel xmlns="d0b61010-d6f3-4072-b934-7bbb13e97771" xsi:nil="true"/>
    <Sent xmlns="4f9c820c-e7e2-444d-97ee-45f2b3485c1d" xsi:nil="true"/>
    <PRADate2 xmlns="4f9c820c-e7e2-444d-97ee-45f2b3485c1d" xsi:nil="true"/>
    <CategoryValue xmlns="4f9c820c-e7e2-444d-97ee-45f2b3485c1d">Reporting 2023-24 results</CategoryValue>
    <zLegacyJSON xmlns="184c05c4-c568-455d-94a4-7e009b164348" xsi:nil="true"/>
    <FolderDescription xmlns="07dc404e-7045-47a0-b10c-334f356a490d"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Performance Monitoring and Reporting</Team>
    <Project xmlns="4f9c820c-e7e2-444d-97ee-45f2b3485c1d">NA</Project>
    <_ExtendedDescription xmlns="http://schemas.microsoft.com/sharepoint/v3" xsi:nil="true"/>
    <Attachment xmlns="07dc404e-7045-47a0-b10c-334f356a490d" xsi:nil="true"/>
    <LinkTest xmlns="07dc404e-7045-47a0-b10c-334f356a490d">
      <Url xsi:nil="true"/>
      <Description xsi:nil="true"/>
    </LinkTest>
    <HasNHI xmlns="184c05c4-c568-455d-94a4-7e009b164348">false</HasNHI>
    <Function xmlns="4f9c820c-e7e2-444d-97ee-45f2b3485c1d">Performance Monitoring and Reporting</Function>
    <FunctionGroup xmlns="4f9c820c-e7e2-444d-97ee-45f2b3485c1d">Monitor and Support Health System</FunctionGroup>
    <SetLabel xmlns="d0b61010-d6f3-4072-b934-7bbb13e97771">Retain</SetLabel>
    <lcf76f155ced4ddcb4097134ff3c332f xmlns="07dc404e-7045-47a0-b10c-334f356a490d" xsi:nil="true"/>
    <Received xmlns="15ffb055-6eb4-45a1-bc20-bf2ac0d420da" xsi:nil="true"/>
    <AggregationNarrative xmlns="725c79e5-42ce-4aa0-ac78-b6418001f0d2" xsi:nil="true"/>
    <RelatedPeople xmlns="4f9c820c-e7e2-444d-97ee-45f2b3485c1d">
      <UserInfo>
        <DisplayName/>
        <AccountId xsi:nil="true"/>
        <AccountType/>
      </UserInfo>
    </RelatedPeople>
    <Channel xmlns="c91a514c-9034-4fa3-897a-8352025b26ed">System Performance</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CC xmlns="d0b61010-d6f3-4072-b934-7bbb13e97771" xsi:nil="true"/>
    <HarmonieUIHidden xmlns="15ffb055-6eb4-45a1-bc20-bf2ac0d420da" xsi:nil="true"/>
    <Restructuring xmlns="07dc404e-7045-47a0-b10c-334f356a490d" xsi:nil="true"/>
    <Year xmlns="c91a514c-9034-4fa3-897a-8352025b26ed">NA</Year>
    <CategoryName xmlns="4f9c820c-e7e2-444d-97ee-45f2b3485c1d">interim Government Policy Statement-iGPS</CategoryName>
    <PRADateTrigger xmlns="4f9c820c-e7e2-444d-97ee-45f2b3485c1d" xsi:nil="true"/>
    <Narrative xmlns="4f9c820c-e7e2-444d-97ee-45f2b3485c1d" xsi:nil="true"/>
    <To xmlns="4f9c820c-e7e2-444d-97ee-45f2b3485c1d" xsi:nil="true"/>
    <PRAText2 xmlns="4f9c820c-e7e2-444d-97ee-45f2b3485c1d" xsi:nil="true"/>
    <MailPreviewData xmlns="15ffb055-6eb4-45a1-bc20-bf2ac0d420da" xsi:nil="true"/>
    <zLegacyID xmlns="184c05c4-c568-455d-94a4-7e009b164348" xsi:nil="true"/>
    <_dlc_DocId xmlns="aa914787-9415-4bb8-ac97-be8d7f851ee5">MOHECM-1014093653-7277</_dlc_DocId>
    <_dlc_DocIdUrl xmlns="aa914787-9415-4bb8-ac97-be8d7f851ee5">
      <Url>https://mohgovtnz.sharepoint.com/sites/moh-ecm-PMReport/_layouts/15/DocIdRedir.aspx?ID=MOHECM-1014093653-7277</Url>
      <Description>MOHECM-1014093653-7277</Description>
    </_dlc_DocIdUrl>
  </documentManagement>
</p:properties>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7CB87965-4F83-4D00-B9C7-B0140BAF314F}">
  <ds:schemaRefs>
    <ds:schemaRef ds:uri="http://schemas.microsoft.com/sharepoint/events"/>
  </ds:schemaRefs>
</ds:datastoreItem>
</file>

<file path=customXml/itemProps3.xml><?xml version="1.0" encoding="utf-8"?>
<ds:datastoreItem xmlns:ds="http://schemas.openxmlformats.org/officeDocument/2006/customXml" ds:itemID="{0DE2F4BB-8453-4150-967B-D1BADB0A6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914787-9415-4bb8-ac97-be8d7f851ee5"/>
    <ds:schemaRef ds:uri="c91a514c-9034-4fa3-897a-8352025b26ed"/>
    <ds:schemaRef ds:uri="4f9c820c-e7e2-444d-97ee-45f2b3485c1d"/>
    <ds:schemaRef ds:uri="15ffb055-6eb4-45a1-bc20-bf2ac0d420da"/>
    <ds:schemaRef ds:uri="725c79e5-42ce-4aa0-ac78-b6418001f0d2"/>
    <ds:schemaRef ds:uri="d0b61010-d6f3-4072-b934-7bbb13e97771"/>
    <ds:schemaRef ds:uri="184c05c4-c568-455d-94a4-7e009b164348"/>
    <ds:schemaRef ds:uri="07dc404e-7045-47a0-b10c-334f356a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5.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07dc404e-7045-47a0-b10c-334f356a490d"/>
    <ds:schemaRef ds:uri="c91a514c-9034-4fa3-897a-8352025b26ed"/>
    <ds:schemaRef ds:uri="184c05c4-c568-455d-94a4-7e009b164348"/>
    <ds:schemaRef ds:uri="aa914787-9415-4bb8-ac97-be8d7f851ee5"/>
    <ds:schemaRef ds:uri="d0b61010-d6f3-4072-b934-7bbb13e97771"/>
    <ds:schemaRef ds:uri="http://schemas.microsoft.com/sharepoint/v3"/>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33</Pages>
  <Words>8299</Words>
  <Characters>47310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2024 Addendum to the Interim Government Policy Statement on Health 2022-2024</vt:lpstr>
    </vt:vector>
  </TitlesOfParts>
  <Company>Microsoft</Company>
  <LinksUpToDate>false</LinksUpToDate>
  <CharactersWithSpaces>55499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Addendum to the Interim Government Policy Statement on Health 2022-2024</dc:title>
  <dc:creator>Ministry of Health</dc:creator>
  <cp:lastModifiedBy>Ministry of Health</cp:lastModifiedBy>
  <cp:revision>3</cp:revision>
  <cp:lastPrinted>2024-12-04T03:15:00Z</cp:lastPrinted>
  <dcterms:created xsi:type="dcterms:W3CDTF">2024-12-04T03:15:00Z</dcterms:created>
  <dcterms:modified xsi:type="dcterms:W3CDTF">2024-12-04T03:15:00Z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0x01010050E2721BAD4B1A4384CB7B3D4B379D70006A8D486E55B14847B233DD99E7477DDA</vt:lpwstr>
  </property>
  <property fmtid="{D5CDD505-2E9C-101B-9397-08002B2CF9AE}" pid="3" name="_dlc_DocIdItemGuid">
    <vt:lpwstr>867cc751-6714-4eca-9a98-042775354a51</vt:lpwstr>
  </property>
  <property fmtid="{D5CDD505-2E9C-101B-9397-08002B2CF9AE}" pid="4" name="MediaServiceImageTags">
    <vt:lpwstr/>
  </property>
</Properties>
</file>