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D2FC" w14:textId="7A7AB3BD" w:rsidR="001A239C" w:rsidRPr="00941242" w:rsidRDefault="42E76D37" w:rsidP="00941242">
      <w:pPr>
        <w:pStyle w:val="H1"/>
        <w:rPr>
          <w:rFonts w:eastAsia="Poppins"/>
        </w:rPr>
      </w:pPr>
      <w:r w:rsidRPr="00941242">
        <w:rPr>
          <w:rFonts w:eastAsia="Poppins"/>
        </w:rPr>
        <w:t>Public Health Advisory Committee</w:t>
      </w:r>
    </w:p>
    <w:p w14:paraId="1EAACBDD" w14:textId="2651F989" w:rsidR="001A239C" w:rsidRPr="00941242" w:rsidRDefault="00B17266" w:rsidP="00C55F86">
      <w:pPr>
        <w:pStyle w:val="H1"/>
      </w:pPr>
      <w:r w:rsidRPr="00941242">
        <w:t xml:space="preserve">Position statement on </w:t>
      </w:r>
      <w:r w:rsidR="000668AF" w:rsidRPr="00941242">
        <w:t xml:space="preserve">Equity, </w:t>
      </w:r>
      <w:proofErr w:type="spellStart"/>
      <w:r w:rsidR="000668AF" w:rsidRPr="00941242">
        <w:t>Te</w:t>
      </w:r>
      <w:proofErr w:type="spellEnd"/>
      <w:r w:rsidR="000668AF" w:rsidRPr="00941242">
        <w:t xml:space="preserve"> </w:t>
      </w:r>
      <w:proofErr w:type="spellStart"/>
      <w:r w:rsidR="000668AF" w:rsidRPr="00941242">
        <w:t>Tiriti</w:t>
      </w:r>
      <w:proofErr w:type="spellEnd"/>
      <w:r w:rsidR="00C644E5" w:rsidRPr="00941242">
        <w:t xml:space="preserve"> o Waita</w:t>
      </w:r>
      <w:r w:rsidR="00B54553" w:rsidRPr="00941242">
        <w:t>ngi</w:t>
      </w:r>
      <w:r w:rsidR="000668AF" w:rsidRPr="00941242">
        <w:t>, and Māori Health</w:t>
      </w:r>
    </w:p>
    <w:p w14:paraId="6A17EBA3" w14:textId="5F18015A" w:rsidR="001A239C" w:rsidRPr="003518AB" w:rsidRDefault="00A96830" w:rsidP="00B67D8E">
      <w:pPr>
        <w:pBdr>
          <w:bottom w:val="single" w:sz="4" w:space="6" w:color="000000" w:themeColor="text1"/>
        </w:pBdr>
        <w:spacing w:before="120" w:after="120" w:line="240" w:lineRule="auto"/>
        <w:jc w:val="both"/>
        <w:rPr>
          <w:rFonts w:ascii="Segoe UI" w:eastAsia="Poppins" w:hAnsi="Segoe UI" w:cs="Segoe UI"/>
          <w:sz w:val="20"/>
          <w:szCs w:val="20"/>
          <w:lang w:val="en-NZ"/>
        </w:rPr>
      </w:pPr>
      <w:r w:rsidRPr="003518AB">
        <w:rPr>
          <w:rFonts w:ascii="Segoe UI" w:eastAsia="Poppins" w:hAnsi="Segoe UI" w:cs="Segoe UI"/>
          <w:sz w:val="20"/>
          <w:szCs w:val="20"/>
          <w:lang w:val="en-NZ"/>
        </w:rPr>
        <w:t>September 2023</w:t>
      </w:r>
    </w:p>
    <w:p w14:paraId="0754EA6F" w14:textId="77777777" w:rsidR="001D0EAB" w:rsidRPr="00C210C5" w:rsidRDefault="001D0EAB" w:rsidP="001D0EAB">
      <w:pPr>
        <w:spacing w:after="0" w:line="240" w:lineRule="auto"/>
        <w:jc w:val="both"/>
        <w:rPr>
          <w:rFonts w:ascii="Segoe UI" w:eastAsia="Poppins" w:hAnsi="Segoe UI" w:cs="Segoe UI"/>
          <w:lang w:val="en-NZ"/>
        </w:rPr>
      </w:pPr>
    </w:p>
    <w:p w14:paraId="32B7BE68" w14:textId="77777777" w:rsidR="001A239C" w:rsidRPr="00EA29BA" w:rsidRDefault="000D48CD" w:rsidP="00941242">
      <w:pPr>
        <w:pStyle w:val="H2"/>
      </w:pPr>
      <w:r w:rsidRPr="00EA29BA">
        <w:t>Purpose of this statement</w:t>
      </w:r>
    </w:p>
    <w:p w14:paraId="6774B254" w14:textId="16FD83A5" w:rsidR="00CD409F" w:rsidRPr="001E52D5" w:rsidRDefault="00C65DAC" w:rsidP="009B7A57">
      <w:pPr>
        <w:pStyle w:val="Numbers"/>
        <w:rPr>
          <w:rFonts w:eastAsia="Poppins"/>
        </w:rPr>
      </w:pPr>
      <w:r w:rsidRPr="001E52D5">
        <w:rPr>
          <w:rFonts w:eastAsia="Poppins"/>
        </w:rPr>
        <w:t>There is an active public and political debate over measures intended to improve Māori health outcomes. The Public Health Advisory Committee (PHAC), established under the Pae Ora (Healthy Futures) Act 2022,</w:t>
      </w:r>
      <w:r w:rsidR="003F6F69" w:rsidRPr="001E52D5">
        <w:rPr>
          <w:rFonts w:eastAsia="Poppins"/>
        </w:rPr>
        <w:fldChar w:fldCharType="begin"/>
      </w:r>
      <w:r w:rsidR="003F6F69" w:rsidRPr="001E52D5">
        <w:rPr>
          <w:rFonts w:eastAsia="Poppins"/>
        </w:rPr>
        <w:instrText xml:space="preserve"> ADDIN EN.CITE &lt;EndNote&gt;&lt;Cite&gt;&lt;Author&gt;New Zealand Government&lt;/Author&gt;&lt;Year&gt;2022&lt;/Year&gt;&lt;RecNum&gt;2880&lt;/RecNum&gt;&lt;DisplayText&gt;&lt;style face="superscript"&gt;1&lt;/style&gt;&lt;/DisplayText&gt;&lt;record&gt;&lt;rec-number&gt;2880&lt;/rec-number&gt;&lt;foreign-keys&gt;&lt;key app="EN" db-id="29925pxvs9tv00e00z5xtds2fravt5zt9f02" timestamp="1694025982"&gt;2880&lt;/key&gt;&lt;/foreign-keys&gt;&lt;ref-type name="Web Page"&gt;12&lt;/ref-type&gt;&lt;contributors&gt;&lt;authors&gt;&lt;author&gt;New Zealand Government,&lt;/author&gt;&lt;/authors&gt;&lt;/contributors&gt;&lt;titles&gt;&lt;title&gt;Pae Ora (Healthy Futures) Act 2022&lt;/title&gt;&lt;/titles&gt;&lt;dates&gt;&lt;year&gt;2022&lt;/year&gt;&lt;/dates&gt;&lt;pub-location&gt;Wellington&lt;/pub-location&gt;&lt;urls&gt;&lt;related-urls&gt;&lt;url&gt;https://www.legislation.govt.nz/act/public/2022/0030/latest/LMS575405.html&lt;/url&gt;&lt;/related-urls&gt;&lt;/urls&gt;&lt;/record&gt;&lt;/Cite&gt;&lt;/EndNote&gt;</w:instrText>
      </w:r>
      <w:r w:rsidR="003F6F69" w:rsidRPr="001E52D5">
        <w:rPr>
          <w:rFonts w:eastAsia="Poppins"/>
        </w:rPr>
        <w:fldChar w:fldCharType="separate"/>
      </w:r>
      <w:r w:rsidR="003F6F69" w:rsidRPr="001E52D5">
        <w:rPr>
          <w:rFonts w:eastAsia="Poppins"/>
          <w:vertAlign w:val="superscript"/>
        </w:rPr>
        <w:t>1</w:t>
      </w:r>
      <w:r w:rsidR="003F6F69" w:rsidRPr="001E52D5">
        <w:rPr>
          <w:rFonts w:eastAsia="Poppins"/>
        </w:rPr>
        <w:fldChar w:fldCharType="end"/>
      </w:r>
      <w:r w:rsidRPr="001E52D5">
        <w:rPr>
          <w:rFonts w:eastAsia="Poppins"/>
        </w:rPr>
        <w:t xml:space="preserve"> provides independent public health advice to the Minister and Associate Ministers of Health, as well as other government agencies.  </w:t>
      </w:r>
    </w:p>
    <w:p w14:paraId="2EE045B2" w14:textId="026E4F24" w:rsidR="00DB1379" w:rsidRPr="001E52D5" w:rsidRDefault="00C65DAC" w:rsidP="009B7A57">
      <w:pPr>
        <w:pStyle w:val="Numbers"/>
        <w:rPr>
          <w:rFonts w:eastAsia="Poppins"/>
        </w:rPr>
      </w:pPr>
      <w:r w:rsidRPr="001E52D5">
        <w:rPr>
          <w:rFonts w:eastAsia="Poppins"/>
        </w:rPr>
        <w:t xml:space="preserve">Public health has important perspectives on the causes of disparities in health outcomes and on effective solutions. It is, therefore, appropriate for PHAC to provide advice on </w:t>
      </w:r>
      <w:r w:rsidR="000A1A70">
        <w:rPr>
          <w:rFonts w:eastAsia="Poppins"/>
        </w:rPr>
        <w:br/>
      </w:r>
      <w:r w:rsidRPr="001E52D5">
        <w:rPr>
          <w:rFonts w:eastAsia="Poppins"/>
        </w:rPr>
        <w:t>this topic</w:t>
      </w:r>
      <w:r w:rsidR="00DB1379" w:rsidRPr="001E52D5">
        <w:rPr>
          <w:rFonts w:eastAsia="Poppins"/>
        </w:rPr>
        <w:t xml:space="preserve">. </w:t>
      </w:r>
    </w:p>
    <w:p w14:paraId="228B7CD1" w14:textId="77777777" w:rsidR="001E52D5" w:rsidRDefault="00DB1379" w:rsidP="009B7A57">
      <w:pPr>
        <w:pStyle w:val="Numbers"/>
        <w:rPr>
          <w:rFonts w:eastAsia="Poppins"/>
        </w:rPr>
      </w:pPr>
      <w:r w:rsidRPr="001E52D5">
        <w:rPr>
          <w:rFonts w:eastAsia="Poppins"/>
        </w:rPr>
        <w:t>T</w:t>
      </w:r>
      <w:r w:rsidR="00C65DAC" w:rsidRPr="001E52D5">
        <w:rPr>
          <w:rFonts w:eastAsia="Poppins"/>
        </w:rPr>
        <w:t>his statement summarises that advice.</w:t>
      </w:r>
    </w:p>
    <w:p w14:paraId="16368874" w14:textId="77777777" w:rsidR="001E52D5" w:rsidRDefault="001E52D5" w:rsidP="002B08D8">
      <w:pPr>
        <w:pStyle w:val="TableText"/>
        <w:spacing w:before="0" w:after="0"/>
        <w:ind w:left="567" w:hanging="567"/>
        <w:rPr>
          <w:rFonts w:ascii="Segoe UI" w:hAnsi="Segoe UI" w:cs="Segoe UI"/>
          <w:b/>
          <w:sz w:val="22"/>
          <w:szCs w:val="22"/>
          <w:lang w:val="en-NZ" w:eastAsia="en-NZ"/>
        </w:rPr>
      </w:pPr>
    </w:p>
    <w:p w14:paraId="28EEBFC7" w14:textId="1C3E1EF6" w:rsidR="001E52D5" w:rsidRPr="00EA29BA" w:rsidRDefault="001E52D5" w:rsidP="00941242">
      <w:pPr>
        <w:pStyle w:val="H2"/>
      </w:pPr>
      <w:r w:rsidRPr="00EA29BA">
        <w:t>Equity as a public health issue</w:t>
      </w:r>
    </w:p>
    <w:p w14:paraId="008F9DD8" w14:textId="4D24DB97" w:rsidR="002B08D8" w:rsidRPr="002B08D8" w:rsidRDefault="7BA59477" w:rsidP="009B7A57">
      <w:pPr>
        <w:pStyle w:val="Numbers"/>
        <w:rPr>
          <w:rFonts w:eastAsia="Poppins"/>
        </w:rPr>
      </w:pPr>
      <w:r w:rsidRPr="001E52D5">
        <w:t xml:space="preserve">Equal access to the determinants of good health is a fundamental human right, supported by the United Nations (UN) Universal Declaration of Human Rights </w:t>
      </w:r>
      <w:r w:rsidR="003329B2" w:rsidRPr="001E52D5">
        <w:fldChar w:fldCharType="begin"/>
      </w:r>
      <w:r w:rsidR="003329B2" w:rsidRPr="001E52D5">
        <w:instrText xml:space="preserve"> ADDIN EN.CITE &lt;EndNote&gt;&lt;Cite&gt;&lt;Author&gt;United Nations&lt;/Author&gt;&lt;Year&gt;1948&lt;/Year&gt;&lt;RecNum&gt;2877&lt;/RecNum&gt;&lt;DisplayText&gt;&lt;style face="superscript"&gt;2&lt;/style&gt;&lt;/DisplayText&gt;&lt;record&gt;&lt;rec-number&gt;2877&lt;/rec-number&gt;&lt;foreign-keys&gt;&lt;key app="EN" db-id="29925pxvs9tv00e00z5xtds2fravt5zt9f02" timestamp="1694023660"&gt;2877&lt;/key&gt;&lt;/foreign-keys&gt;&lt;ref-type name="Report"&gt;27&lt;/ref-type&gt;&lt;contributors&gt;&lt;authors&gt;&lt;author&gt;United Nations,&lt;/author&gt;&lt;/authors&gt;&lt;/contributors&gt;&lt;titles&gt;&lt;title&gt;Universal Declaration of Human Rights&lt;/title&gt;&lt;/titles&gt;&lt;dates&gt;&lt;year&gt;1948&lt;/year&gt;&lt;/dates&gt;&lt;pub-location&gt;Geneva, Switzerland&lt;/pub-location&gt;&lt;publisher&gt;United Nations&lt;/publisher&gt;&lt;urls&gt;&lt;related-urls&gt;&lt;url&gt;https://www.un.org/en/about-us/universal-declaration-of-human-rights&lt;/url&gt;&lt;/related-urls&gt;&lt;/urls&gt;&lt;/record&gt;&lt;/Cite&gt;&lt;/EndNote&gt;</w:instrText>
      </w:r>
      <w:r w:rsidR="003329B2" w:rsidRPr="001E52D5">
        <w:fldChar w:fldCharType="separate"/>
      </w:r>
      <w:r w:rsidRPr="001E52D5">
        <w:rPr>
          <w:vertAlign w:val="superscript"/>
        </w:rPr>
        <w:t>2</w:t>
      </w:r>
      <w:r w:rsidR="003329B2" w:rsidRPr="001E52D5">
        <w:fldChar w:fldCharType="end"/>
      </w:r>
      <w:r w:rsidRPr="001E52D5">
        <w:t xml:space="preserve"> and enforceable under international law.</w:t>
      </w:r>
      <w:r w:rsidR="003329B2" w:rsidRPr="001E52D5">
        <w:fldChar w:fldCharType="begin"/>
      </w:r>
      <w:r w:rsidR="003329B2" w:rsidRPr="001E52D5">
        <w:instrText xml:space="preserve"> ADDIN EN.CITE &lt;EndNote&gt;&lt;Cite&gt;&lt;Author&gt;United Nations&lt;/Author&gt;&lt;Year&gt;1966&lt;/Year&gt;&lt;RecNum&gt;2878&lt;/RecNum&gt;&lt;DisplayText&gt;&lt;style face="superscript"&gt;3&lt;/style&gt;&lt;/DisplayText&gt;&lt;record&gt;&lt;rec-number&gt;2878&lt;/rec-number&gt;&lt;foreign-keys&gt;&lt;key app="EN" db-id="29925pxvs9tv00e00z5xtds2fravt5zt9f02" timestamp="1694023815"&gt;2878&lt;/key&gt;&lt;/foreign-keys&gt;&lt;ref-type name="Report"&gt;27&lt;/ref-type&gt;&lt;contributors&gt;&lt;authors&gt;&lt;author&gt;United Nations,&lt;/author&gt;&lt;/authors&gt;&lt;/contributors&gt;&lt;titles&gt;&lt;title&gt;International Covenant on Economic Social and Cultural Rights (ICESCR), and the International Covenant on Civil and Political Rights (ICCPR)&lt;/title&gt;&lt;/titles&gt;&lt;dates&gt;&lt;year&gt;1966&lt;/year&gt;&lt;/dates&gt;&lt;pub-location&gt;Geneva, Switzerland&lt;/pub-location&gt;&lt;publisher&gt;United Nations&lt;/publisher&gt;&lt;urls&gt;&lt;related-urls&gt;&lt;url&gt;https://www.ohchr.org/en/what-are-human-rights/international-bill-human-rights&lt;/url&gt;&lt;/related-urls&gt;&lt;/urls&gt;&lt;/record&gt;&lt;/Cite&gt;&lt;/EndNote&gt;</w:instrText>
      </w:r>
      <w:r w:rsidR="003329B2" w:rsidRPr="001E52D5">
        <w:fldChar w:fldCharType="separate"/>
      </w:r>
      <w:r w:rsidRPr="001E52D5">
        <w:rPr>
          <w:vertAlign w:val="superscript"/>
        </w:rPr>
        <w:t>3</w:t>
      </w:r>
      <w:r w:rsidR="003329B2" w:rsidRPr="001E52D5">
        <w:fldChar w:fldCharType="end"/>
      </w:r>
      <w:r w:rsidRPr="001E52D5">
        <w:t xml:space="preserve"> As such, all New Zealanders deserve, and are entitled to, an equal opportunity to enjoy a long and healthy life. Our health is a resource that we can use for everyday living</w:t>
      </w:r>
      <w:r w:rsidR="00A95E9F">
        <w:t>.</w:t>
      </w:r>
      <w:r w:rsidR="003329B2" w:rsidRPr="001E52D5">
        <w:fldChar w:fldCharType="begin"/>
      </w:r>
      <w:r w:rsidR="003329B2" w:rsidRPr="001E52D5">
        <w:instrText xml:space="preserve"> ADDIN EN.CITE &lt;EndNote&gt;&lt;Cite&gt;&lt;Author&gt;World Health Organisation&lt;/Author&gt;&lt;Year&gt;1986&lt;/Year&gt;&lt;RecNum&gt;2719&lt;/RecNum&gt;&lt;DisplayText&gt;&lt;style face="superscript"&gt;4&lt;/style&gt;&lt;/DisplayText&gt;&lt;record&gt;&lt;rec-number&gt;2719&lt;/rec-number&gt;&lt;foreign-keys&gt;&lt;key app="EN" db-id="29925pxvs9tv00e00z5xtds2fravt5zt9f02" timestamp="0"&gt;2719&lt;/key&gt;&lt;/foreign-keys&gt;&lt;ref-type name="Journal Article"&gt;17&lt;/ref-type&gt;&lt;contributors&gt;&lt;authors&gt;&lt;author&gt;World Health Organisation,&lt;/author&gt;&lt;/authors&gt;&lt;/contributors&gt;&lt;titles&gt;&lt;title&gt;Ottawa Charter for Health Promotion&lt;/title&gt;&lt;/titles&gt;&lt;dates&gt;&lt;year&gt;1986&lt;/year&gt;&lt;/dates&gt;&lt;urls&gt;&lt;related-urls&gt;&lt;url&gt;https://www.who.int/teams/health-promotion/enhanced-wellbeing/first-global-conference&lt;/url&gt;&lt;/related-urls&gt;&lt;/urls&gt;&lt;/record&gt;&lt;/Cite&gt;&lt;/EndNote&gt;</w:instrText>
      </w:r>
      <w:r w:rsidR="003329B2" w:rsidRPr="001E52D5">
        <w:fldChar w:fldCharType="separate"/>
      </w:r>
      <w:r w:rsidRPr="001E52D5">
        <w:rPr>
          <w:vertAlign w:val="superscript"/>
        </w:rPr>
        <w:t>4</w:t>
      </w:r>
      <w:r w:rsidR="003329B2" w:rsidRPr="001E52D5">
        <w:fldChar w:fldCharType="end"/>
      </w:r>
    </w:p>
    <w:p w14:paraId="5071C07F" w14:textId="77777777" w:rsidR="002B08D8" w:rsidRPr="002B08D8" w:rsidRDefault="00DB1379" w:rsidP="009B7A57">
      <w:pPr>
        <w:pStyle w:val="Numbers"/>
        <w:rPr>
          <w:rFonts w:eastAsia="Poppins"/>
        </w:rPr>
      </w:pPr>
      <w:r w:rsidRPr="002B08D8">
        <w:t>A</w:t>
      </w:r>
      <w:r w:rsidR="7BA59477" w:rsidRPr="002B08D8">
        <w:t xml:space="preserve"> society that counts fairness, equality and egalitarianism as foundational values,</w:t>
      </w:r>
      <w:r w:rsidR="003329B2" w:rsidRPr="002B08D8">
        <w:fldChar w:fldCharType="begin"/>
      </w:r>
      <w:r w:rsidR="003329B2" w:rsidRPr="002B08D8">
        <w:instrText xml:space="preserve"> ADDIN EN.CITE &lt;EndNote&gt;&lt;Cite&gt;&lt;Author&gt;Royal Society of New Zealand&lt;/Author&gt;&lt;Year&gt;2020&lt;/Year&gt;&lt;RecNum&gt;2866&lt;/RecNum&gt;&lt;DisplayText&gt;&lt;style face="superscript"&gt;5&lt;/style&gt;&lt;/DisplayText&gt;&lt;record&gt;&lt;rec-number&gt;2866&lt;/rec-number&gt;&lt;foreign-keys&gt;&lt;key app="EN" db-id="29925pxvs9tv00e00z5xtds2fravt5zt9f02" timestamp="1692230633"&gt;2866&lt;/key&gt;&lt;/foreign-keys&gt;&lt;ref-type name="Report"&gt;27&lt;/ref-type&gt;&lt;contributors&gt;&lt;authors&gt;&lt;author&gt;Royal Society of New Zealand,&lt;/author&gt;&lt;/authors&gt;&lt;/contributors&gt;&lt;titles&gt;&lt;title&gt;Te Tapeke: Fair Futures in Aotearoa&lt;/title&gt;&lt;/titles&gt;&lt;dates&gt;&lt;year&gt;2020&lt;/year&gt;&lt;/dates&gt;&lt;pub-location&gt;Wellington, New Zealand&lt;/pub-location&gt;&lt;urls&gt;&lt;related-urls&gt;&lt;url&gt;https://www.royalsociety.org.nz/assets/Te-Tapeke-Fair-Futures-in-Aotearoa-key-concepts.pdf&lt;/url&gt;&lt;/related-urls&gt;&lt;/urls&gt;&lt;/record&gt;&lt;/Cite&gt;&lt;/EndNote&gt;</w:instrText>
      </w:r>
      <w:r w:rsidR="003329B2" w:rsidRPr="002B08D8">
        <w:fldChar w:fldCharType="separate"/>
      </w:r>
      <w:r w:rsidR="7BA59477" w:rsidRPr="002B08D8">
        <w:rPr>
          <w:vertAlign w:val="superscript"/>
        </w:rPr>
        <w:t>5</w:t>
      </w:r>
      <w:r w:rsidR="003329B2" w:rsidRPr="002B08D8">
        <w:fldChar w:fldCharType="end"/>
      </w:r>
      <w:r w:rsidR="7BA59477" w:rsidRPr="002B08D8">
        <w:t xml:space="preserve"> Aotearoa New Zealand is </w:t>
      </w:r>
      <w:bookmarkStart w:id="0" w:name="_Int_eOXyH1eK"/>
      <w:r w:rsidR="7BA59477" w:rsidRPr="002B08D8">
        <w:t>in a position</w:t>
      </w:r>
      <w:bookmarkEnd w:id="0"/>
      <w:r w:rsidR="7BA59477" w:rsidRPr="002B08D8">
        <w:t xml:space="preserve"> to find ways to ensure that </w:t>
      </w:r>
      <w:bookmarkStart w:id="1" w:name="_Int_nW644y7y"/>
      <w:r w:rsidR="7BA59477" w:rsidRPr="002B08D8">
        <w:t>all of</w:t>
      </w:r>
      <w:bookmarkEnd w:id="1"/>
      <w:r w:rsidR="7BA59477" w:rsidRPr="002B08D8">
        <w:t xml:space="preserve"> its citizens have the same level of health resource available to use throughout their lives.  </w:t>
      </w:r>
    </w:p>
    <w:p w14:paraId="0BDCFD58" w14:textId="77777777" w:rsidR="002B08D8" w:rsidRPr="002B08D8" w:rsidRDefault="003329B2" w:rsidP="009B7A57">
      <w:pPr>
        <w:pStyle w:val="Numbers"/>
        <w:rPr>
          <w:rFonts w:eastAsia="Poppins"/>
        </w:rPr>
      </w:pPr>
      <w:r w:rsidRPr="002B08D8">
        <w:t>However, the determinants of good health are not evenly distributed within our population</w:t>
      </w:r>
      <w:r w:rsidR="002274F6" w:rsidRPr="002B08D8">
        <w:t xml:space="preserve">. This </w:t>
      </w:r>
      <w:r w:rsidRPr="002B08D8">
        <w:t>disadvantage does not occur randomly. While strongly patterned by sociodemographic factors</w:t>
      </w:r>
      <w:r w:rsidR="00774FD4" w:rsidRPr="002B08D8">
        <w:t>,</w:t>
      </w:r>
      <w:r w:rsidRPr="002B08D8">
        <w:t xml:space="preserve"> including socioeconomic deprivation and rurality, the strongest patterning of disadvantage occurs by ethnicity. The Indigenous Māori population experiences among the poorest health outcomes in our country</w:t>
      </w:r>
      <w:r w:rsidR="00A3015B" w:rsidRPr="002B08D8">
        <w:t>.</w:t>
      </w:r>
      <w:r w:rsidR="00774FD4" w:rsidRPr="002B08D8">
        <w:t xml:space="preserve"> </w:t>
      </w:r>
      <w:r w:rsidR="00A3015B" w:rsidRPr="002B08D8">
        <w:t>T</w:t>
      </w:r>
      <w:r w:rsidRPr="002B08D8">
        <w:t xml:space="preserve">hese are the cumulative result of generations of social, political and structural inequity, starting with the rapid colonisation that followed the signing of </w:t>
      </w:r>
      <w:proofErr w:type="spellStart"/>
      <w:r w:rsidRPr="002B08D8">
        <w:t>Te</w:t>
      </w:r>
      <w:proofErr w:type="spellEnd"/>
      <w:r w:rsidRPr="002B08D8">
        <w:t xml:space="preserve"> </w:t>
      </w:r>
      <w:proofErr w:type="spellStart"/>
      <w:r w:rsidRPr="002B08D8">
        <w:t>Tiriti</w:t>
      </w:r>
      <w:proofErr w:type="spellEnd"/>
      <w:r w:rsidRPr="002B08D8">
        <w:t xml:space="preserve"> o Waitangi in 1840.</w:t>
      </w:r>
      <w:r w:rsidRPr="002B08D8">
        <w:fldChar w:fldCharType="begin"/>
      </w:r>
      <w:r w:rsidRPr="002B08D8">
        <w:instrText xml:space="preserve"> ADDIN EN.CITE &lt;EndNote&gt;&lt;Cite&gt;&lt;Author&gt;Reid&lt;/Author&gt;&lt;Year&gt;2007&lt;/Year&gt;&lt;RecNum&gt;1753&lt;/RecNum&gt;&lt;DisplayText&gt;&lt;style face="superscript"&gt;6&lt;/style&gt;&lt;/DisplayText&gt;&lt;record&gt;&lt;rec-number&gt;1753&lt;/rec-number&gt;&lt;foreign-keys&gt;&lt;key app="EN" db-id="29925pxvs9tv00e00z5xtds2fravt5zt9f02" timestamp="0"&gt;1753&lt;/key&gt;&lt;/foreign-keys&gt;&lt;ref-type name="Book Section"&gt;5&lt;/ref-type&gt;&lt;contributors&gt;&lt;authors&gt;&lt;author&gt;Reid, P.&lt;/author&gt;&lt;author&gt;Robson, B.&lt;/author&gt;&lt;/authors&gt;&lt;secondary-authors&gt;&lt;author&gt;Robson, B.,&lt;/author&gt;&lt;author&gt;Harris, R.&lt;/author&gt;&lt;/secondary-authors&gt;&lt;/contributors&gt;&lt;titles&gt;&lt;title&gt;Understanding health inequities&lt;/title&gt;&lt;secondary-title&gt;&lt;style face="normal" font="default" size="100%"&gt;Hauora: M&lt;/style&gt;&lt;style face="normal" font="default" charset="238" size="100%"&gt;āori standards of health IV: A study of the years 2000-2005&lt;/style&gt;&lt;/secondary-title&gt;&lt;/titles&gt;&lt;dates&gt;&lt;year&gt;2007&lt;/year&gt;&lt;/dates&gt;&lt;pub-location&gt;&lt;style face="normal" font="default" charset="238" size="100%"&gt;Wellington, New Zealand&lt;/style&gt;&lt;/pub-location&gt;&lt;publisher&gt;&lt;style face="normal" font="default" charset="238" size="100%"&gt;Te Rōpū Rangahau Hauora a Eru Pōmare, University of Otago&lt;/style&gt;&lt;/publisher&gt;&lt;urls&gt;&lt;/urls&gt;&lt;/record&gt;&lt;/Cite&gt;&lt;/EndNote&gt;</w:instrText>
      </w:r>
      <w:r w:rsidRPr="002B08D8">
        <w:fldChar w:fldCharType="separate"/>
      </w:r>
      <w:r w:rsidRPr="002B08D8">
        <w:rPr>
          <w:vertAlign w:val="superscript"/>
        </w:rPr>
        <w:t>6</w:t>
      </w:r>
      <w:r w:rsidRPr="002B08D8">
        <w:fldChar w:fldCharType="end"/>
      </w:r>
    </w:p>
    <w:p w14:paraId="0699D68C" w14:textId="77777777" w:rsidR="002B08D8" w:rsidRDefault="002B08D8" w:rsidP="002B08D8">
      <w:pPr>
        <w:spacing w:after="0" w:line="240" w:lineRule="auto"/>
        <w:rPr>
          <w:rFonts w:ascii="Segoe UI" w:eastAsia="Poppins" w:hAnsi="Segoe UI" w:cs="Segoe UI"/>
          <w:sz w:val="20"/>
          <w:szCs w:val="20"/>
          <w:lang w:val="en-NZ"/>
        </w:rPr>
      </w:pPr>
    </w:p>
    <w:p w14:paraId="76475274" w14:textId="662B46D6" w:rsidR="002B08D8" w:rsidRPr="00EA29BA" w:rsidRDefault="002B08D8" w:rsidP="00941242">
      <w:pPr>
        <w:pStyle w:val="H2"/>
      </w:pPr>
      <w:r w:rsidRPr="00EA29BA">
        <w:t xml:space="preserve">The relationship between equity, </w:t>
      </w:r>
      <w:proofErr w:type="spellStart"/>
      <w:r w:rsidRPr="00EA29BA">
        <w:t>Te</w:t>
      </w:r>
      <w:proofErr w:type="spellEnd"/>
      <w:r w:rsidRPr="00EA29BA">
        <w:t xml:space="preserve"> </w:t>
      </w:r>
      <w:proofErr w:type="spellStart"/>
      <w:r w:rsidRPr="00EA29BA">
        <w:t>Tiriti</w:t>
      </w:r>
      <w:proofErr w:type="spellEnd"/>
      <w:r w:rsidRPr="00EA29BA">
        <w:t xml:space="preserve"> o Waitangi, and </w:t>
      </w:r>
      <w:r w:rsidR="00207C3D">
        <w:br/>
      </w:r>
      <w:r w:rsidRPr="00EA29BA">
        <w:t xml:space="preserve">Māori health </w:t>
      </w:r>
    </w:p>
    <w:p w14:paraId="1222DB3A" w14:textId="77777777" w:rsidR="002B08D8" w:rsidRPr="002B08D8" w:rsidRDefault="7BA59477" w:rsidP="004C0BF5">
      <w:pPr>
        <w:pStyle w:val="Numbers"/>
        <w:rPr>
          <w:rFonts w:eastAsia="Poppins"/>
        </w:rPr>
      </w:pPr>
      <w:r w:rsidRPr="002B08D8">
        <w:t>The government recognises that the inequities in health outcomes experienced by Māori are not only avoidable, but they are also unfair and unjust.</w:t>
      </w:r>
      <w:r w:rsidR="00CD409F" w:rsidRPr="002B08D8">
        <w:fldChar w:fldCharType="begin"/>
      </w:r>
      <w:r w:rsidR="00CD409F" w:rsidRPr="002B08D8">
        <w:instrText xml:space="preserve"> ADDIN EN.CITE &lt;EndNote&gt;&lt;Cite&gt;&lt;Author&gt;Ministry of Health&lt;/Author&gt;&lt;Year&gt;2019&lt;/Year&gt;&lt;RecNum&gt;2867&lt;/RecNum&gt;&lt;DisplayText&gt;&lt;style face="superscript"&gt;7&lt;/style&gt;&lt;/DisplayText&gt;&lt;record&gt;&lt;rec-number&gt;2867&lt;/rec-number&gt;&lt;foreign-keys&gt;&lt;key app="EN" db-id="29925pxvs9tv00e00z5xtds2fravt5zt9f02" timestamp="1692246680"&gt;2867&lt;/key&gt;&lt;/foreign-keys&gt;&lt;ref-type name="Web Page"&gt;12&lt;/ref-type&gt;&lt;contributors&gt;&lt;authors&gt;&lt;author&gt;Ministry of Health,&lt;/author&gt;&lt;/authors&gt;&lt;/contributors&gt;&lt;titles&gt;&lt;title&gt;Achieving equity&lt;/title&gt;&lt;/titles&gt;&lt;dates&gt;&lt;year&gt;2019&lt;/year&gt;&lt;/dates&gt;&lt;pub-location&gt;Wellington, New Zealand&lt;/pub-location&gt;&lt;publisher&gt;Ministry of Health&lt;/publisher&gt;&lt;urls&gt;&lt;related-urls&gt;&lt;url&gt;https://www.health.govt.nz/about-ministry/what-we-do/achieving-equity&lt;/url&gt;&lt;/related-urls&gt;&lt;/urls&gt;&lt;/record&gt;&lt;/Cite&gt;&lt;/EndNote&gt;</w:instrText>
      </w:r>
      <w:r w:rsidR="00CD409F" w:rsidRPr="002B08D8">
        <w:fldChar w:fldCharType="separate"/>
      </w:r>
      <w:r w:rsidRPr="002B08D8">
        <w:rPr>
          <w:vertAlign w:val="superscript"/>
        </w:rPr>
        <w:t>7</w:t>
      </w:r>
      <w:r w:rsidR="00CD409F" w:rsidRPr="002B08D8">
        <w:fldChar w:fldCharType="end"/>
      </w:r>
      <w:r w:rsidRPr="002B08D8">
        <w:t xml:space="preserve"> Addressing the inequities faced by Māori and other minority populations in Aotearoa New Zealand requires us, as a society, to accept that a disproportionate investment of resources is required to ensure that all New Zealanders enjoy equal health outcomes.</w:t>
      </w:r>
      <w:r w:rsidR="00CD409F" w:rsidRPr="002B08D8">
        <w:fldChar w:fldCharType="begin"/>
      </w:r>
      <w:r w:rsidR="00CD409F" w:rsidRPr="002B08D8">
        <w:instrText xml:space="preserve"> ADDIN EN.CITE &lt;EndNote&gt;&lt;Cite&gt;&lt;Author&gt;Reid&lt;/Author&gt;&lt;Year&gt;2007&lt;/Year&gt;&lt;RecNum&gt;1753&lt;/RecNum&gt;&lt;DisplayText&gt;&lt;style face="superscript"&gt;6&lt;/style&gt;&lt;/DisplayText&gt;&lt;record&gt;&lt;rec-number&gt;1753&lt;/rec-number&gt;&lt;foreign-keys&gt;&lt;key app="EN" db-id="29925pxvs9tv00e00z5xtds2fravt5zt9f02" timestamp="0"&gt;1753&lt;/key&gt;&lt;/foreign-keys&gt;&lt;ref-type name="Book Section"&gt;5&lt;/ref-type&gt;&lt;contributors&gt;&lt;authors&gt;&lt;author&gt;Reid, P.&lt;/author&gt;&lt;author&gt;Robson, B.&lt;/author&gt;&lt;/authors&gt;&lt;secondary-authors&gt;&lt;author&gt;Robson, B.,&lt;/author&gt;&lt;author&gt;Harris, R.&lt;/author&gt;&lt;/secondary-authors&gt;&lt;/contributors&gt;&lt;titles&gt;&lt;title&gt;Understanding health inequities&lt;/title&gt;&lt;secondary-title&gt;&lt;style face="normal" font="default" size="100%"&gt;Hauora: M&lt;/style&gt;&lt;style face="normal" font="default" charset="238" size="100%"&gt;āori standards of health IV: A study of the years 2000-2005&lt;/style&gt;&lt;/secondary-title&gt;&lt;/titles&gt;&lt;dates&gt;&lt;year&gt;2007&lt;/year&gt;&lt;/dates&gt;&lt;pub-location&gt;&lt;style face="normal" font="default" charset="238" size="100%"&gt;Wellington, New Zealand&lt;/style&gt;&lt;/pub-location&gt;&lt;publisher&gt;&lt;style face="normal" font="default" charset="238" size="100%"&gt;Te Rōpū Rangahau Hauora a Eru Pōmare, University of Otago&lt;/style&gt;&lt;/publisher&gt;&lt;urls&gt;&lt;/urls&gt;&lt;/record&gt;&lt;/Cite&gt;&lt;/EndNote&gt;</w:instrText>
      </w:r>
      <w:r w:rsidR="00CD409F" w:rsidRPr="002B08D8">
        <w:fldChar w:fldCharType="separate"/>
      </w:r>
      <w:r w:rsidRPr="002B08D8">
        <w:rPr>
          <w:vertAlign w:val="superscript"/>
        </w:rPr>
        <w:t>6</w:t>
      </w:r>
      <w:r w:rsidR="00CD409F" w:rsidRPr="002B08D8">
        <w:fldChar w:fldCharType="end"/>
      </w:r>
      <w:r w:rsidRPr="002B08D8">
        <w:t xml:space="preserve"> </w:t>
      </w:r>
    </w:p>
    <w:p w14:paraId="62359DFE" w14:textId="5CDD9A0F" w:rsidR="002B08D8" w:rsidRPr="002B08D8" w:rsidRDefault="7BA59477" w:rsidP="008F0330">
      <w:pPr>
        <w:pStyle w:val="Numbers"/>
        <w:keepNext/>
        <w:keepLines/>
        <w:ind w:right="-284"/>
        <w:rPr>
          <w:rFonts w:eastAsia="Poppins"/>
        </w:rPr>
      </w:pPr>
      <w:proofErr w:type="spellStart"/>
      <w:r w:rsidRPr="002B08D8">
        <w:lastRenderedPageBreak/>
        <w:t>Te</w:t>
      </w:r>
      <w:proofErr w:type="spellEnd"/>
      <w:r w:rsidRPr="002B08D8">
        <w:t xml:space="preserve"> </w:t>
      </w:r>
      <w:proofErr w:type="spellStart"/>
      <w:r w:rsidRPr="002B08D8">
        <w:t>Tiriti</w:t>
      </w:r>
      <w:proofErr w:type="spellEnd"/>
      <w:r w:rsidRPr="002B08D8">
        <w:t xml:space="preserve"> o Waitangi is Aotearoa New Zealand’s founding document.</w:t>
      </w:r>
      <w:r w:rsidR="00CD409F" w:rsidRPr="002B08D8">
        <w:fldChar w:fldCharType="begin"/>
      </w:r>
      <w:r w:rsidR="00CD409F" w:rsidRPr="002B08D8">
        <w:instrText xml:space="preserve"> ADDIN EN.CITE &lt;EndNote&gt;&lt;Cite&gt;&lt;Year&gt;1840&lt;/Year&gt;&lt;RecNum&gt;2872&lt;/RecNum&gt;&lt;DisplayText&gt;&lt;style face="superscript"&gt;8&lt;/style&gt;&lt;/DisplayText&gt;&lt;record&gt;&lt;rec-number&gt;2872&lt;/rec-number&gt;&lt;foreign-keys&gt;&lt;key app="EN" db-id="29925pxvs9tv00e00z5xtds2fravt5zt9f02" timestamp="1693454702"&gt;2872&lt;/key&gt;&lt;/foreign-keys&gt;&lt;ref-type name="Web Page"&gt;12&lt;/ref-type&gt;&lt;contributors&gt;&lt;/contributors&gt;&lt;titles&gt;&lt;title&gt;Te Tiriti o Waitangi: The Treaty of Waitangi&lt;/title&gt;&lt;/titles&gt;&lt;dates&gt;&lt;year&gt;1840&lt;/year&gt;&lt;/dates&gt;&lt;pub-location&gt;Wellington, New Zealand&lt;/pub-location&gt;&lt;urls&gt;&lt;related-urls&gt;&lt;url&gt;https://www.archives.govt.nz/discover-our-stories/the-treaty-of-waitangi&lt;/url&gt;&lt;/related-urls&gt;&lt;/urls&gt;&lt;/record&gt;&lt;/Cite&gt;&lt;/EndNote&gt;</w:instrText>
      </w:r>
      <w:r w:rsidR="00CD409F" w:rsidRPr="002B08D8">
        <w:fldChar w:fldCharType="separate"/>
      </w:r>
      <w:r w:rsidRPr="002B08D8">
        <w:rPr>
          <w:vertAlign w:val="superscript"/>
        </w:rPr>
        <w:t>8</w:t>
      </w:r>
      <w:r w:rsidR="00CD409F" w:rsidRPr="002B08D8">
        <w:fldChar w:fldCharType="end"/>
      </w:r>
      <w:r w:rsidRPr="002B08D8">
        <w:t xml:space="preserve"> </w:t>
      </w:r>
      <w:proofErr w:type="spellStart"/>
      <w:r w:rsidRPr="002B08D8">
        <w:t>Te</w:t>
      </w:r>
      <w:proofErr w:type="spellEnd"/>
      <w:r w:rsidRPr="002B08D8">
        <w:t xml:space="preserve"> </w:t>
      </w:r>
      <w:proofErr w:type="spellStart"/>
      <w:r w:rsidRPr="002B08D8">
        <w:t>Tiriti</w:t>
      </w:r>
      <w:proofErr w:type="spellEnd"/>
      <w:r w:rsidRPr="002B08D8">
        <w:t xml:space="preserve"> </w:t>
      </w:r>
      <w:r w:rsidR="00DD7323" w:rsidRPr="002B08D8">
        <w:t xml:space="preserve">o Waitangi </w:t>
      </w:r>
      <w:r w:rsidRPr="002B08D8">
        <w:t>forms part of our constitution – the basic principles that drive our system of government.</w:t>
      </w:r>
      <w:r w:rsidR="00CD409F" w:rsidRPr="002B08D8">
        <w:fldChar w:fldCharType="begin"/>
      </w:r>
      <w:r w:rsidR="00CD409F" w:rsidRPr="002B08D8">
        <w:instrText xml:space="preserve"> ADDIN EN.CITE &lt;EndNote&gt;&lt;Cite&gt;&lt;Author&gt;Keith&lt;/Author&gt;&lt;Year&gt;1990&lt;/Year&gt;&lt;RecNum&gt;2879&lt;/RecNum&gt;&lt;DisplayText&gt;&lt;style face="superscript"&gt;9&lt;/style&gt;&lt;/DisplayText&gt;&lt;record&gt;&lt;rec-number&gt;2879&lt;/rec-number&gt;&lt;foreign-keys&gt;&lt;key app="EN" db-id="29925pxvs9tv00e00z5xtds2fravt5zt9f02" timestamp="1694024063"&gt;2879&lt;/key&gt;&lt;/foreign-keys&gt;&lt;ref-type name="Web Page"&gt;12&lt;/ref-type&gt;&lt;contributors&gt;&lt;authors&gt;&lt;author&gt;Keith, K.&lt;/author&gt;&lt;/authors&gt;&lt;/contributors&gt;&lt;titles&gt;&lt;title&gt;On the Constitution of New Zealand: An Introduction to the Foundations of the Current Form of Government&lt;/title&gt;&lt;/titles&gt;&lt;dates&gt;&lt;year&gt;1990&lt;/year&gt;&lt;/dates&gt;&lt;pub-location&gt;Wellington&lt;/pub-location&gt;&lt;urls&gt;&lt;related-urls&gt;&lt;url&gt;https://gg.govt.nz/office-governor-general/roles-and-functions-governor-general/constitutional-role/constitution&lt;/url&gt;&lt;/related-urls&gt;&lt;/urls&gt;&lt;/record&gt;&lt;/Cite&gt;&lt;/EndNote&gt;</w:instrText>
      </w:r>
      <w:r w:rsidR="00CD409F" w:rsidRPr="002B08D8">
        <w:fldChar w:fldCharType="separate"/>
      </w:r>
      <w:r w:rsidRPr="002B08D8">
        <w:rPr>
          <w:vertAlign w:val="superscript"/>
        </w:rPr>
        <w:t>9</w:t>
      </w:r>
      <w:r w:rsidR="00CD409F" w:rsidRPr="002B08D8">
        <w:fldChar w:fldCharType="end"/>
      </w:r>
      <w:r w:rsidRPr="002B08D8">
        <w:t xml:space="preserve">  </w:t>
      </w:r>
      <w:proofErr w:type="spellStart"/>
      <w:r w:rsidRPr="002B08D8">
        <w:t>Te</w:t>
      </w:r>
      <w:proofErr w:type="spellEnd"/>
      <w:r w:rsidRPr="002B08D8">
        <w:t xml:space="preserve"> </w:t>
      </w:r>
      <w:proofErr w:type="spellStart"/>
      <w:r w:rsidRPr="002B08D8">
        <w:t>Tiriti</w:t>
      </w:r>
      <w:proofErr w:type="spellEnd"/>
      <w:r w:rsidRPr="002B08D8">
        <w:t xml:space="preserve"> </w:t>
      </w:r>
      <w:r w:rsidR="000513E6" w:rsidRPr="002B08D8">
        <w:t xml:space="preserve">o Waitangi </w:t>
      </w:r>
      <w:r w:rsidRPr="002B08D8">
        <w:t>guarantees that Māori would receive ‘</w:t>
      </w:r>
      <w:proofErr w:type="spellStart"/>
      <w:r w:rsidRPr="002B08D8">
        <w:t>nga</w:t>
      </w:r>
      <w:proofErr w:type="spellEnd"/>
      <w:r w:rsidRPr="002B08D8">
        <w:t xml:space="preserve"> tikanga </w:t>
      </w:r>
      <w:proofErr w:type="spellStart"/>
      <w:r w:rsidRPr="002B08D8">
        <w:t>katoa</w:t>
      </w:r>
      <w:proofErr w:type="spellEnd"/>
      <w:r w:rsidRPr="002B08D8">
        <w:t xml:space="preserve"> rite </w:t>
      </w:r>
      <w:proofErr w:type="spellStart"/>
      <w:r w:rsidRPr="002B08D8">
        <w:t>tahi</w:t>
      </w:r>
      <w:proofErr w:type="spellEnd"/>
      <w:r w:rsidRPr="002B08D8">
        <w:t xml:space="preserve"> ki ana </w:t>
      </w:r>
      <w:proofErr w:type="spellStart"/>
      <w:r w:rsidRPr="002B08D8">
        <w:t>mea</w:t>
      </w:r>
      <w:proofErr w:type="spellEnd"/>
      <w:r w:rsidRPr="002B08D8">
        <w:t xml:space="preserve"> ki </w:t>
      </w:r>
      <w:proofErr w:type="spellStart"/>
      <w:r w:rsidRPr="002B08D8">
        <w:t>nga</w:t>
      </w:r>
      <w:proofErr w:type="spellEnd"/>
      <w:r w:rsidRPr="002B08D8">
        <w:t xml:space="preserve"> </w:t>
      </w:r>
      <w:proofErr w:type="spellStart"/>
      <w:r w:rsidRPr="002B08D8">
        <w:t>tangata</w:t>
      </w:r>
      <w:proofErr w:type="spellEnd"/>
      <w:r w:rsidRPr="002B08D8">
        <w:t xml:space="preserve"> o </w:t>
      </w:r>
      <w:proofErr w:type="spellStart"/>
      <w:r w:rsidRPr="002B08D8">
        <w:t>Ingarani</w:t>
      </w:r>
      <w:proofErr w:type="spellEnd"/>
      <w:r w:rsidRPr="002B08D8">
        <w:t>’ (English version: ‘all the rights and privileges of British subjects’),</w:t>
      </w:r>
      <w:r w:rsidR="00CD409F" w:rsidRPr="002B08D8">
        <w:fldChar w:fldCharType="begin"/>
      </w:r>
      <w:r w:rsidR="00CD409F" w:rsidRPr="002B08D8">
        <w:instrText xml:space="preserve"> ADDIN EN.CITE &lt;EndNote&gt;&lt;Cite&gt;&lt;Year&gt;1840&lt;/Year&gt;&lt;RecNum&gt;2872&lt;/RecNum&gt;&lt;DisplayText&gt;&lt;style face="superscript"&gt;8&lt;/style&gt;&lt;/DisplayText&gt;&lt;record&gt;&lt;rec-number&gt;2872&lt;/rec-number&gt;&lt;foreign-keys&gt;&lt;key app="EN" db-id="29925pxvs9tv00e00z5xtds2fravt5zt9f02" timestamp="1693454702"&gt;2872&lt;/key&gt;&lt;/foreign-keys&gt;&lt;ref-type name="Web Page"&gt;12&lt;/ref-type&gt;&lt;contributors&gt;&lt;/contributors&gt;&lt;titles&gt;&lt;title&gt;Te Tiriti o Waitangi: The Treaty of Waitangi&lt;/title&gt;&lt;/titles&gt;&lt;dates&gt;&lt;year&gt;1840&lt;/year&gt;&lt;/dates&gt;&lt;pub-location&gt;Wellington, New Zealand&lt;/pub-location&gt;&lt;urls&gt;&lt;related-urls&gt;&lt;url&gt;https://www.archives.govt.nz/discover-our-stories/the-treaty-of-waitangi&lt;/url&gt;&lt;/related-urls&gt;&lt;/urls&gt;&lt;/record&gt;&lt;/Cite&gt;&lt;/EndNote&gt;</w:instrText>
      </w:r>
      <w:r w:rsidR="00CD409F" w:rsidRPr="002B08D8">
        <w:fldChar w:fldCharType="separate"/>
      </w:r>
      <w:r w:rsidRPr="002B08D8">
        <w:rPr>
          <w:vertAlign w:val="superscript"/>
        </w:rPr>
        <w:t>8</w:t>
      </w:r>
      <w:r w:rsidR="00CD409F" w:rsidRPr="002B08D8">
        <w:fldChar w:fldCharType="end"/>
      </w:r>
      <w:r w:rsidRPr="002B08D8">
        <w:rPr>
          <w:rStyle w:val="CommentReference"/>
          <w:sz w:val="20"/>
          <w:szCs w:val="20"/>
        </w:rPr>
        <w:t xml:space="preserve"> and requires the government to take active measures to restore balance</w:t>
      </w:r>
      <w:r w:rsidR="00407728" w:rsidRPr="002B08D8">
        <w:rPr>
          <w:rStyle w:val="CommentReference"/>
          <w:sz w:val="20"/>
          <w:szCs w:val="20"/>
        </w:rPr>
        <w:t xml:space="preserve"> when</w:t>
      </w:r>
      <w:r w:rsidRPr="002B08D8">
        <w:rPr>
          <w:rStyle w:val="CommentReference"/>
          <w:sz w:val="20"/>
          <w:szCs w:val="20"/>
        </w:rPr>
        <w:t xml:space="preserve"> Māori have been disadvantaged.</w:t>
      </w:r>
      <w:r w:rsidR="00CD409F" w:rsidRPr="002B08D8">
        <w:fldChar w:fldCharType="begin"/>
      </w:r>
      <w:r w:rsidR="00CD409F" w:rsidRPr="002B08D8">
        <w:instrText xml:space="preserve"> ADDIN EN.CITE &lt;EndNote&gt;&lt;Cite&gt;&lt;Author&gt;Reid&lt;/Author&gt;&lt;Year&gt;2017&lt;/Year&gt;&lt;RecNum&gt;1755&lt;/RecNum&gt;&lt;DisplayText&gt;&lt;style face="superscript"&gt;10&lt;/style&gt;&lt;/DisplayText&gt;&lt;record&gt;&lt;rec-number&gt;1755&lt;/rec-number&gt;&lt;foreign-keys&gt;&lt;key app="EN" db-id="a9aea2ppjd0926esxt3xxaaqvverderp99wx" timestamp="1549591335"&gt;1755&lt;/key&gt;&lt;/foreign-keys&gt;&lt;ref-type name="Journal Article"&gt;17&lt;/ref-type&gt;&lt;contributors&gt;&lt;authors&gt;&lt;author&gt;Reid, P.&lt;/author&gt;&lt;author&gt;Paine, S. J.&lt;/author&gt;&lt;author&gt;Curtis, E.&lt;/author&gt;&lt;author&gt;Jones, R.&lt;/author&gt;&lt;author&gt;Anderson, A.&lt;/author&gt;&lt;author&gt;Willing, E.&lt;/author&gt;&lt;author&gt;Harwood, M.&lt;/author&gt;&lt;/authors&gt;&lt;/contributors&gt;&lt;titles&gt;&lt;title&gt;Achieving health equity in aotearoa: Strengthening responsiveness to Maori in health research&lt;/title&gt;&lt;secondary-title&gt;New Zealand Medical Journal&lt;/secondary-title&gt;&lt;/titles&gt;&lt;periodical&gt;&lt;full-title&gt;New Zealand Medical Journal&lt;/full-title&gt;&lt;/periodical&gt;&lt;pages&gt;96-103&lt;/pages&gt;&lt;volume&gt;130&lt;/volume&gt;&lt;number&gt;1465&lt;/number&gt;&lt;dates&gt;&lt;year&gt;2017&lt;/year&gt;&lt;/dates&gt;&lt;work-type&gt;Article&lt;/work-type&gt;&lt;urls&gt;&lt;related-urls&gt;&lt;url&gt;https://www.scopus.com/inward/record.uri?eid=2-s2.0-85034417542&amp;amp;partnerID=40&amp;amp;md5=02be45ec64849233dac555bd768eb886&lt;/url&gt;&lt;/related-urls&gt;&lt;/urls&gt;&lt;remote-database-name&gt;Scopus&lt;/remote-database-name&gt;&lt;/record&gt;&lt;/Cite&gt;&lt;/EndNote&gt;</w:instrText>
      </w:r>
      <w:r w:rsidR="00CD409F" w:rsidRPr="002B08D8">
        <w:fldChar w:fldCharType="separate"/>
      </w:r>
      <w:r w:rsidRPr="002B08D8">
        <w:rPr>
          <w:vertAlign w:val="superscript"/>
        </w:rPr>
        <w:t>10</w:t>
      </w:r>
      <w:r w:rsidR="00CD409F" w:rsidRPr="002B08D8">
        <w:fldChar w:fldCharType="end"/>
      </w:r>
      <w:r w:rsidRPr="002B08D8">
        <w:t xml:space="preserve"> As such, the substantial inequities in health experienced by Māori represent breaches of our founding document.</w:t>
      </w:r>
      <w:r w:rsidR="00CD409F" w:rsidRPr="002B08D8">
        <w:fldChar w:fldCharType="begin"/>
      </w:r>
      <w:r w:rsidR="00CD409F" w:rsidRPr="002B08D8">
        <w:instrText xml:space="preserve"> ADDIN EN.CITE &lt;EndNote&gt;&lt;Cite&gt;&lt;Author&gt;Waitangi Tribunal&lt;/Author&gt;&lt;Year&gt;2019&lt;/Year&gt;&lt;RecNum&gt;1817&lt;/RecNum&gt;&lt;DisplayText&gt;&lt;style face="superscript"&gt;11&lt;/style&gt;&lt;/DisplayText&gt;&lt;record&gt;&lt;rec-number&gt;1817&lt;/rec-number&gt;&lt;foreign-keys&gt;&lt;key app="EN" db-id="29925pxvs9tv00e00z5xtds2fravt5zt9f02" timestamp="0"&gt;1817&lt;/key&gt;&lt;/foreign-keys&gt;&lt;ref-type name="Report"&gt;27&lt;/ref-type&gt;&lt;contributors&gt;&lt;authors&gt;&lt;author&gt;Waitangi Tribunal,&lt;/author&gt;&lt;/authors&gt;&lt;/contributors&gt;&lt;titles&gt;&lt;title&gt;HAUORA: Report on Stage One of the Health Services and Outcomes Kaupapa Inquiry - WAI 2575&lt;/title&gt;&lt;/titles&gt;&lt;dates&gt;&lt;year&gt;2019&lt;/year&gt;&lt;/dates&gt;&lt;pub-location&gt;Lower Hutt, New Zealand&lt;/pub-location&gt;&lt;urls&gt;&lt;related-urls&gt;&lt;url&gt;https://forms.justice.govt.nz/search/Documents/WT/wt_DOC_152801817/Hauora%20W.pdf&lt;/url&gt;&lt;/related-urls&gt;&lt;/urls&gt;&lt;/record&gt;&lt;/Cite&gt;&lt;/EndNote&gt;</w:instrText>
      </w:r>
      <w:r w:rsidR="00CD409F" w:rsidRPr="002B08D8">
        <w:fldChar w:fldCharType="separate"/>
      </w:r>
      <w:r w:rsidRPr="002B08D8">
        <w:rPr>
          <w:vertAlign w:val="superscript"/>
        </w:rPr>
        <w:t>11</w:t>
      </w:r>
      <w:r w:rsidR="00CD409F" w:rsidRPr="002B08D8">
        <w:fldChar w:fldCharType="end"/>
      </w:r>
      <w:r w:rsidRPr="002B08D8">
        <w:t xml:space="preserve"> However, </w:t>
      </w:r>
      <w:proofErr w:type="spellStart"/>
      <w:r w:rsidRPr="002B08D8">
        <w:t>Te</w:t>
      </w:r>
      <w:proofErr w:type="spellEnd"/>
      <w:r w:rsidRPr="002B08D8">
        <w:t xml:space="preserve"> </w:t>
      </w:r>
      <w:proofErr w:type="spellStart"/>
      <w:r w:rsidRPr="002B08D8">
        <w:t>Tiriti</w:t>
      </w:r>
      <w:proofErr w:type="spellEnd"/>
      <w:r w:rsidRPr="002B08D8">
        <w:t xml:space="preserve"> </w:t>
      </w:r>
      <w:r w:rsidR="000513E6" w:rsidRPr="002B08D8">
        <w:t xml:space="preserve">o Waitangi </w:t>
      </w:r>
      <w:r w:rsidRPr="002B08D8">
        <w:t>also provides us with the impetus and structure for enacting the kind of change that will be required to right one of our most significant wrongs.</w:t>
      </w:r>
      <w:r w:rsidR="00CD409F" w:rsidRPr="002B08D8">
        <w:fldChar w:fldCharType="begin"/>
      </w:r>
      <w:r w:rsidR="00CD409F" w:rsidRPr="002B08D8">
        <w:instrText xml:space="preserve"> ADDIN EN.CITE &lt;EndNote&gt;&lt;Cite&gt;&lt;Author&gt;Crampton&lt;/Author&gt;&lt;Year&gt;2020&lt;/Year&gt;&lt;RecNum&gt;2360&lt;/RecNum&gt;&lt;DisplayText&gt;&lt;style face="superscript"&gt;12&lt;/style&gt;&lt;/DisplayText&gt;&lt;record&gt;&lt;rec-number&gt;2360&lt;/rec-number&gt;&lt;foreign-keys&gt;&lt;key app="EN" db-id="29925pxvs9tv00e00z5xtds2fravt5zt9f02" timestamp="0"&gt;2360&lt;/key&gt;&lt;/foreign-keys&gt;&lt;ref-type name="Journal Article"&gt;17&lt;/ref-type&gt;&lt;contributors&gt;&lt;authors&gt;&lt;author&gt;Crampton, P.&lt;/author&gt;&lt;/authors&gt;&lt;/contributors&gt;&lt;titles&gt;&lt;title&gt;Oh my&lt;/title&gt;&lt;secondary-title&gt;New Zealand Medical Journal&lt;/secondary-title&gt;&lt;/titles&gt;&lt;pages&gt;8-10&lt;/pages&gt;&lt;volume&gt;133&lt;/volume&gt;&lt;number&gt;1524&lt;/number&gt;&lt;dates&gt;&lt;year&gt;2020&lt;/year&gt;&lt;/dates&gt;&lt;urls&gt;&lt;/urls&gt;&lt;/record&gt;&lt;/Cite&gt;&lt;/EndNote&gt;</w:instrText>
      </w:r>
      <w:r w:rsidR="00CD409F" w:rsidRPr="002B08D8">
        <w:fldChar w:fldCharType="separate"/>
      </w:r>
      <w:r w:rsidRPr="002B08D8">
        <w:rPr>
          <w:vertAlign w:val="superscript"/>
        </w:rPr>
        <w:t>12</w:t>
      </w:r>
      <w:r w:rsidR="00CD409F" w:rsidRPr="002B08D8">
        <w:fldChar w:fldCharType="end"/>
      </w:r>
    </w:p>
    <w:p w14:paraId="607863C1" w14:textId="77777777" w:rsidR="002B08D8" w:rsidRDefault="002B08D8" w:rsidP="002B08D8">
      <w:pPr>
        <w:spacing w:after="0" w:line="240" w:lineRule="auto"/>
        <w:ind w:left="567" w:hanging="567"/>
        <w:rPr>
          <w:rFonts w:ascii="Segoe UI" w:eastAsia="Poppins" w:hAnsi="Segoe UI" w:cs="Segoe UI"/>
          <w:sz w:val="20"/>
          <w:szCs w:val="20"/>
          <w:lang w:val="en-NZ"/>
        </w:rPr>
      </w:pPr>
    </w:p>
    <w:p w14:paraId="404A5347" w14:textId="77777777" w:rsidR="002B08D8" w:rsidRPr="00EA29BA" w:rsidRDefault="002B08D8" w:rsidP="00941242">
      <w:pPr>
        <w:pStyle w:val="H2"/>
      </w:pPr>
      <w:r w:rsidRPr="00EA29BA">
        <w:t>The Problem</w:t>
      </w:r>
    </w:p>
    <w:p w14:paraId="129E3326" w14:textId="41A1756A" w:rsidR="002B08D8" w:rsidRPr="002B08D8" w:rsidRDefault="00EE6DE2" w:rsidP="008F0330">
      <w:pPr>
        <w:pStyle w:val="Numbers"/>
        <w:ind w:right="-170"/>
        <w:rPr>
          <w:rFonts w:eastAsia="Poppins"/>
        </w:rPr>
      </w:pPr>
      <w:r w:rsidRPr="002B08D8">
        <w:t xml:space="preserve">Because of the substantial disadvantages faced by Māori in access to the determinants of good health, a Māori child born in Aotearoa New Zealand will, on average, experience poorer overall health and live </w:t>
      </w:r>
      <w:r w:rsidR="00503EF6">
        <w:t xml:space="preserve">nearly </w:t>
      </w:r>
      <w:r w:rsidRPr="002B08D8">
        <w:t>8 fewer years than a Pākehā child.</w:t>
      </w:r>
      <w:r w:rsidRPr="002B08D8">
        <w:fldChar w:fldCharType="begin"/>
      </w:r>
      <w:r w:rsidRPr="002B08D8">
        <w:instrText xml:space="preserve"> ADDIN EN.CITE &lt;EndNote&gt;&lt;Cite&gt;&lt;Author&gt;Statistics New Zealand&lt;/Author&gt;&lt;Year&gt;2021&lt;/Year&gt;&lt;RecNum&gt;2873&lt;/RecNum&gt;&lt;DisplayText&gt;&lt;style face="superscript"&gt;13&lt;/style&gt;&lt;/DisplayText&gt;&lt;record&gt;&lt;rec-number&gt;2873&lt;/rec-number&gt;&lt;foreign-keys&gt;&lt;key app="EN" db-id="29925pxvs9tv00e00z5xtds2fravt5zt9f02" timestamp="1693458495"&gt;2873&lt;/key&gt;&lt;/foreign-keys&gt;&lt;ref-type name="Web Page"&gt;12&lt;/ref-type&gt;&lt;contributors&gt;&lt;authors&gt;&lt;author&gt;Statistics New Zealand,&lt;/author&gt;&lt;/authors&gt;&lt;/contributors&gt;&lt;titles&gt;&lt;title&gt;National and subnational period life tables: 2017–2019&lt;/title&gt;&lt;/titles&gt;&lt;dates&gt;&lt;year&gt;2021&lt;/year&gt;&lt;/dates&gt;&lt;pub-location&gt;Wellington, New Zealand&lt;/pub-location&gt;&lt;urls&gt;&lt;related-urls&gt;&lt;url&gt;https://www.stats.govt.nz/information-releases/national-and-subnational-period-life-tables-2017-2019&lt;/url&gt;&lt;/related-urls&gt;&lt;/urls&gt;&lt;/record&gt;&lt;/Cite&gt;&lt;/EndNote&gt;</w:instrText>
      </w:r>
      <w:r w:rsidRPr="002B08D8">
        <w:fldChar w:fldCharType="separate"/>
      </w:r>
      <w:r w:rsidRPr="002B08D8">
        <w:rPr>
          <w:vertAlign w:val="superscript"/>
        </w:rPr>
        <w:t>13</w:t>
      </w:r>
      <w:r w:rsidRPr="002B08D8">
        <w:fldChar w:fldCharType="end"/>
      </w:r>
      <w:r w:rsidRPr="002B08D8">
        <w:t xml:space="preserve"> During their life, the Māori child will be more likely to develop cancers with a poor prognosis (</w:t>
      </w:r>
      <w:bookmarkStart w:id="2" w:name="_Int_8a11uqVT"/>
      <w:r w:rsidRPr="002B08D8">
        <w:t>e.g.</w:t>
      </w:r>
      <w:bookmarkEnd w:id="2"/>
      <w:r w:rsidRPr="002B08D8">
        <w:t xml:space="preserve"> stomach, liver and lung cancers),</w:t>
      </w:r>
      <w:r w:rsidRPr="002B08D8">
        <w:fldChar w:fldCharType="begin"/>
      </w:r>
      <w:r w:rsidRPr="002B08D8">
        <w:instrText xml:space="preserve"> ADDIN EN.CITE &lt;EndNote&gt;&lt;Cite&gt;&lt;Author&gt;Gurney&lt;/Author&gt;&lt;Year&gt;2020&lt;/Year&gt;&lt;RecNum&gt;2130&lt;/RecNum&gt;&lt;DisplayText&gt;&lt;style face="superscript"&gt;14&lt;/style&gt;&lt;/DisplayText&gt;&lt;record&gt;&lt;rec-number&gt;2130&lt;/rec-number&gt;&lt;foreign-keys&gt;&lt;key app="EN" db-id="29925pxvs9tv00e00z5xtds2fravt5zt9f02" timestamp="0"&gt;2130&lt;/key&gt;&lt;/foreign-keys&gt;&lt;ref-type name="Journal Article"&gt;17&lt;/ref-type&gt;&lt;contributors&gt;&lt;authors&gt;&lt;author&gt;Gurney, J.,&lt;/author&gt;&lt;author&gt;Robson, B., &lt;/author&gt;&lt;author&gt;Koea, J.&lt;/author&gt;&lt;author&gt;Scott, N.,&lt;/author&gt;&lt;author&gt;Stanley, J.&lt;/author&gt;&lt;author&gt;Sarfati, D.&lt;/author&gt;&lt;/authors&gt;&lt;/contributors&gt;&lt;titles&gt;&lt;title&gt;The most commonly diagnosed and most common causes of cancer death for Maori New Zealanders&lt;/title&gt;&lt;secondary-title&gt;New Zealand Medical Journal&lt;/secondary-title&gt;&lt;/titles&gt;&lt;pages&gt;77-96&lt;/pages&gt;&lt;volume&gt;133&lt;/volume&gt;&lt;dates&gt;&lt;year&gt;2020&lt;/year&gt;&lt;/dates&gt;&lt;urls&gt;&lt;/urls&gt;&lt;/record&gt;&lt;/Cite&gt;&lt;/EndNote&gt;</w:instrText>
      </w:r>
      <w:r w:rsidRPr="002B08D8">
        <w:fldChar w:fldCharType="separate"/>
      </w:r>
      <w:r w:rsidRPr="002B08D8">
        <w:rPr>
          <w:vertAlign w:val="superscript"/>
        </w:rPr>
        <w:t>14</w:t>
      </w:r>
      <w:r w:rsidRPr="002B08D8">
        <w:fldChar w:fldCharType="end"/>
      </w:r>
      <w:r w:rsidRPr="002B08D8">
        <w:t xml:space="preserve"> and have poorer survival outcomes once diagnosed.</w:t>
      </w:r>
      <w:r w:rsidRPr="002B08D8">
        <w:fldChar w:fldCharType="begin"/>
      </w:r>
      <w:r w:rsidRPr="002B08D8">
        <w:instrText xml:space="preserve"> ADDIN EN.CITE &lt;EndNote&gt;&lt;Cite&gt;&lt;Author&gt;Gurney&lt;/Author&gt;&lt;Year&gt;2020&lt;/Year&gt;&lt;RecNum&gt;1977&lt;/RecNum&gt;&lt;DisplayText&gt;&lt;style face="superscript"&gt;15&lt;/style&gt;&lt;/DisplayText&gt;&lt;record&gt;&lt;rec-number&gt;1977&lt;/rec-number&gt;&lt;foreign-keys&gt;&lt;key app="EN" db-id="29925pxvs9tv00e00z5xtds2fravt5zt9f02" timestamp="0"&gt;1977&lt;/key&gt;&lt;/foreign-keys&gt;&lt;ref-type name="Journal Article"&gt;17&lt;/ref-type&gt;&lt;contributors&gt;&lt;authors&gt;&lt;author&gt;Gurney, J.&lt;/author&gt;&lt;author&gt;Stanley, J.&lt;/author&gt;&lt;author&gt;McLeod, M.&lt;/author&gt;&lt;author&gt;Koea, J.&lt;/author&gt;&lt;author&gt;Jackson, C.&lt;/author&gt;&lt;author&gt;Sarfati, D.&lt;/author&gt;&lt;/authors&gt;&lt;/contributors&gt;&lt;auth-address&gt;Cancer and Chronic Conditions Research Group, Department of Public Health, University of Otago, Wellington, New Zealand.&amp;#xD;Waitemata District Health Board, Auckland, New Zealand.&amp;#xD;Southern District Health Board, Dunedin, New Zealand.&amp;#xD;Cancer Society of New Zealand, Wellington, New Zealand.&lt;/auth-address&gt;&lt;titles&gt;&lt;title&gt;Disparities in Cancer-Specific Survival Between Māori and Non-Māori New Zealanders, 2007-2016&lt;/title&gt;&lt;secondary-title&gt;JCO Global Oncology&lt;/secondary-title&gt;&lt;alt-title&gt;JCO global oncology&lt;/alt-title&gt;&lt;/titles&gt;&lt;pages&gt;766-774&lt;/pages&gt;&lt;volume&gt;6&lt;/volume&gt;&lt;edition&gt;2020/06/09&lt;/edition&gt;&lt;dates&gt;&lt;year&gt;2020&lt;/year&gt;&lt;pub-dates&gt;&lt;date&gt;Jun&lt;/date&gt;&lt;/pub-dates&gt;&lt;/dates&gt;&lt;isbn&gt;2687-8941&lt;/isbn&gt;&lt;accession-num&gt;32511067&lt;/accession-num&gt;&lt;urls&gt;&lt;/urls&gt;&lt;electronic-resource-num&gt;10.1200/go.20.00028&lt;/electronic-resource-num&gt;&lt;remote-database-provider&gt;NLM&lt;/remote-database-provider&gt;&lt;language&gt;eng&lt;/language&gt;&lt;/record&gt;&lt;/Cite&gt;&lt;/EndNote&gt;</w:instrText>
      </w:r>
      <w:r w:rsidRPr="002B08D8">
        <w:fldChar w:fldCharType="separate"/>
      </w:r>
      <w:r w:rsidRPr="002B08D8">
        <w:rPr>
          <w:vertAlign w:val="superscript"/>
        </w:rPr>
        <w:t>15</w:t>
      </w:r>
      <w:r w:rsidRPr="002B08D8">
        <w:fldChar w:fldCharType="end"/>
      </w:r>
      <w:r w:rsidRPr="002B08D8">
        <w:t xml:space="preserve">  They will be more likely to suffer a stroke,</w:t>
      </w:r>
      <w:r w:rsidRPr="002B08D8">
        <w:fldChar w:fldCharType="begin"/>
      </w:r>
      <w:r w:rsidRPr="002B08D8">
        <w:instrText xml:space="preserve"> ADDIN EN.CITE &lt;EndNote&gt;&lt;Cite&gt;&lt;Author&gt;Feigin&lt;/Author&gt;&lt;Year&gt;2015&lt;/Year&gt;&lt;RecNum&gt;2686&lt;/RecNum&gt;&lt;DisplayText&gt;&lt;style face="superscript"&gt;16&lt;/style&gt;&lt;/DisplayText&gt;&lt;record&gt;&lt;rec-number&gt;2686&lt;/rec-number&gt;&lt;foreign-keys&gt;&lt;key app="EN" db-id="29925pxvs9tv00e00z5xtds2fravt5zt9f02" timestamp="0"&gt;2686&lt;/key&gt;&lt;/foreign-keys&gt;&lt;ref-type name="Journal Article"&gt;17&lt;/ref-type&gt;&lt;contributors&gt;&lt;authors&gt;&lt;author&gt;Feigin, Valery L.&lt;/author&gt;&lt;author&gt;Krishnamurthi, Rita V.&lt;/author&gt;&lt;author&gt;Barker-Collo, Suzanne&lt;/author&gt;&lt;author&gt;McPherson, Kathryn M.&lt;/author&gt;&lt;author&gt;Barber, P. Alan&lt;/author&gt;&lt;author&gt;Parag, Varsha&lt;/author&gt;&lt;author&gt;Arroll, Bruce&lt;/author&gt;&lt;author&gt;Bennett, Derrick A.&lt;/author&gt;&lt;author&gt;Tobias, Martin&lt;/author&gt;&lt;author&gt;Jones, Amy&lt;/author&gt;&lt;author&gt;Witt, Emma&lt;/author&gt;&lt;author&gt;Brown, Paul&lt;/author&gt;&lt;author&gt;Abbott, Max&lt;/author&gt;&lt;author&gt;Bhattacharjee, Rohit&lt;/author&gt;&lt;author&gt;Rush, Elaine&lt;/author&gt;&lt;author&gt;Suh, Flora Minsun&lt;/author&gt;&lt;author&gt;Theadom, Alice&lt;/author&gt;&lt;author&gt;Rathnasabapathy, Yogini&lt;/author&gt;&lt;author&gt;Te Ao, Braden&lt;/author&gt;&lt;author&gt;Parmar, Priya G.&lt;/author&gt;&lt;author&gt;Anderson, Craig&lt;/author&gt;&lt;author&gt;Bonita, Ruth&lt;/author&gt;&lt;author&gt;Arcos Iv Group&lt;/author&gt;&lt;/authors&gt;&lt;/contributors&gt;&lt;titles&gt;&lt;title&gt;30-Year Trends in Stroke Rates and Outcome in Auckland, New Zealand (1981-2012): A Multi-Ethnic Population-Based Series of Studies&lt;/title&gt;&lt;secondary-title&gt;PLOS ONE&lt;/secondary-title&gt;&lt;/titles&gt;&lt;periodical&gt;&lt;full-title&gt;PLOS ONE&lt;/full-title&gt;&lt;/periodical&gt;&lt;pages&gt;e0134609&lt;/pages&gt;&lt;volume&gt;10&lt;/volume&gt;&lt;number&gt;8&lt;/number&gt;&lt;dates&gt;&lt;year&gt;2015&lt;/year&gt;&lt;/dates&gt;&lt;publisher&gt;Public Library of Science&lt;/publisher&gt;&lt;urls&gt;&lt;related-urls&gt;&lt;url&gt;https://doi.org/10.1371/journal.pone.0134609&lt;/url&gt;&lt;/related-urls&gt;&lt;/urls&gt;&lt;electronic-resource-num&gt;10.1371/journal.pone.0134609&lt;/electronic-resource-num&gt;&lt;/record&gt;&lt;/Cite&gt;&lt;/EndNote&gt;</w:instrText>
      </w:r>
      <w:r w:rsidRPr="002B08D8">
        <w:fldChar w:fldCharType="separate"/>
      </w:r>
      <w:r w:rsidRPr="002B08D8">
        <w:rPr>
          <w:vertAlign w:val="superscript"/>
        </w:rPr>
        <w:t>16</w:t>
      </w:r>
      <w:r w:rsidRPr="002B08D8">
        <w:fldChar w:fldCharType="end"/>
      </w:r>
      <w:r w:rsidRPr="002B08D8">
        <w:t xml:space="preserve"> have cardiovascular disease</w:t>
      </w:r>
      <w:r w:rsidR="00E71368">
        <w:t>,</w:t>
      </w:r>
      <w:r w:rsidRPr="002B08D8">
        <w:t xml:space="preserve"> </w:t>
      </w:r>
      <w:r w:rsidRPr="002B08D8">
        <w:fldChar w:fldCharType="begin">
          <w:fldData xml:space="preserve">PEVuZE5vdGU+PENpdGU+PEF1dGhvcj5HdXJuZXk8L0F1dGhvcj48WWVhcj4yMDIwPC9ZZWFyPjxS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</w:fldData>
        </w:fldChar>
      </w:r>
      <w:r w:rsidRPr="002B08D8">
        <w:instrText xml:space="preserve"> ADDIN EN.CITE </w:instrText>
      </w:r>
      <w:r w:rsidRPr="002B08D8">
        <w:fldChar w:fldCharType="begin">
          <w:fldData xml:space="preserve">PEVuZE5vdGU+PENpdGU+PEF1dGhvcj5HdXJuZXk8L0F1dGhvcj48WWVhcj4yMDIwPC9ZZWFyPjxS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</w:fldData>
        </w:fldChar>
      </w:r>
      <w:r w:rsidRPr="002B08D8">
        <w:instrText xml:space="preserve"> ADDIN EN.CITE.DATA </w:instrText>
      </w:r>
      <w:r w:rsidRPr="002B08D8">
        <w:fldChar w:fldCharType="end"/>
      </w:r>
      <w:r w:rsidRPr="002B08D8">
        <w:fldChar w:fldCharType="separate"/>
      </w:r>
      <w:r w:rsidRPr="002B08D8">
        <w:rPr>
          <w:vertAlign w:val="superscript"/>
        </w:rPr>
        <w:t>17-19</w:t>
      </w:r>
      <w:r w:rsidRPr="002B08D8">
        <w:fldChar w:fldCharType="end"/>
      </w:r>
      <w:r w:rsidRPr="002B08D8">
        <w:t xml:space="preserve"> Type-2 diabetes mellitus,</w:t>
      </w:r>
      <w:r w:rsidRPr="002B08D8">
        <w:fldChar w:fldCharType="begin">
          <w:fldData xml:space="preserve">PEVuZE5vdGU+PENpdGU+PEF1dGhvcj5UZSBXaGF0dSBPcmEgfCBIZWFsdGggTlo8L0F1dGhvcj48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</w:fldData>
        </w:fldChar>
      </w:r>
      <w:r w:rsidRPr="002B08D8">
        <w:instrText xml:space="preserve"> ADDIN EN.CITE </w:instrText>
      </w:r>
      <w:r w:rsidRPr="002B08D8">
        <w:fldChar w:fldCharType="begin">
          <w:fldData xml:space="preserve">PEVuZE5vdGU+PENpdGU+PEF1dGhvcj5UZSBXaGF0dSBPcmEgfCBIZWFsdGggTlo8L0F1dGhvcj48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</w:fldData>
        </w:fldChar>
      </w:r>
      <w:r w:rsidRPr="002B08D8">
        <w:instrText xml:space="preserve"> ADDIN EN.CITE.DATA </w:instrText>
      </w:r>
      <w:r w:rsidRPr="002B08D8">
        <w:fldChar w:fldCharType="end"/>
      </w:r>
      <w:r w:rsidRPr="002B08D8">
        <w:fldChar w:fldCharType="separate"/>
      </w:r>
      <w:r w:rsidRPr="002B08D8">
        <w:rPr>
          <w:vertAlign w:val="superscript"/>
        </w:rPr>
        <w:t>20,21</w:t>
      </w:r>
      <w:r w:rsidRPr="002B08D8">
        <w:fldChar w:fldCharType="end"/>
      </w:r>
      <w:r w:rsidRPr="002B08D8">
        <w:t xml:space="preserve"> renal disease or failure,</w:t>
      </w:r>
      <w:r w:rsidRPr="002B08D8">
        <w:fldChar w:fldCharType="begin"/>
      </w:r>
      <w:r w:rsidRPr="002B08D8">
        <w:instrText xml:space="preserve"> ADDIN EN.CITE &lt;EndNote&gt;&lt;Cite&gt;&lt;Author&gt;Gurney&lt;/Author&gt;&lt;Year&gt;2020&lt;/Year&gt;&lt;RecNum&gt;2358&lt;/RecNum&gt;&lt;DisplayText&gt;&lt;style face="superscript"&gt;22&lt;/style&gt;&lt;/DisplayText&gt;&lt;record&gt;&lt;rec-number&gt;2358&lt;/rec-number&gt;&lt;foreign-keys&gt;&lt;key app="EN" db-id="29925pxvs9tv00e00z5xtds2fravt5zt9f02" timestamp="0"&gt;2358&lt;/key&gt;&lt;/foreign-keys&gt;&lt;ref-type name="Journal Article"&gt;17&lt;/ref-type&gt;&lt;contributors&gt;&lt;authors&gt;&lt;author&gt;Gurney, Jason&lt;/author&gt;&lt;author&gt;Stanley, James&lt;/author&gt;&lt;author&gt;Sarfati, Diana&lt;/author&gt;&lt;/authors&gt;&lt;/contributors&gt;&lt;titles&gt;&lt;title&gt;The inequity of morbidity: Disparities in the prevalence of morbidity between ethnic groups in New Zealand&lt;/title&gt;&lt;secondary-title&gt;Journal of Comorbidity&lt;/secondary-title&gt;&lt;/titles&gt;&lt;pages&gt;2235042X20971168&lt;/pages&gt;&lt;volume&gt;10&lt;/volume&gt;&lt;keywords&gt;&lt;keyword&gt;Morbidity,comorbidity,ethnicity,Māori&lt;/keyword&gt;&lt;/keywords&gt;&lt;dates&gt;&lt;year&gt;2020&lt;/year&gt;&lt;/dates&gt;&lt;accession-num&gt;33224894&lt;/accession-num&gt;&lt;urls&gt;&lt;related-urls&gt;&lt;url&gt;https://journals.sagepub.com/doi/abs/10.1177/2235042X20971168&lt;/url&gt;&lt;/related-urls&gt;&lt;/urls&gt;&lt;electronic-resource-num&gt;10.1177/2235042x20971168&lt;/electronic-resource-num&gt;&lt;/record&gt;&lt;/Cite&gt;&lt;/EndNote&gt;</w:instrText>
      </w:r>
      <w:r w:rsidRPr="002B08D8">
        <w:fldChar w:fldCharType="separate"/>
      </w:r>
      <w:r w:rsidRPr="002B08D8">
        <w:rPr>
          <w:vertAlign w:val="superscript"/>
        </w:rPr>
        <w:t>22</w:t>
      </w:r>
      <w:r w:rsidRPr="002B08D8">
        <w:fldChar w:fldCharType="end"/>
      </w:r>
      <w:r w:rsidRPr="002B08D8">
        <w:t xml:space="preserve"> or a mental health disorder.</w:t>
      </w:r>
      <w:r w:rsidRPr="002B08D8">
        <w:fldChar w:fldCharType="begin">
          <w:fldData xml:space="preserve">PEVuZE5vdGU+PENpdGU+PEF1dGhvcj5CYXh0ZXI8L0F1dGhvcj48WWVhcj4yMDA2PC9ZZWFyPjxS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</w:fldData>
        </w:fldChar>
      </w:r>
      <w:r w:rsidRPr="002B08D8">
        <w:instrText xml:space="preserve"> ADDIN EN.CITE </w:instrText>
      </w:r>
      <w:r w:rsidRPr="002B08D8">
        <w:fldChar w:fldCharType="begin">
          <w:fldData xml:space="preserve">PEVuZE5vdGU+PENpdGU+PEF1dGhvcj5CYXh0ZXI8L0F1dGhvcj48WWVhcj4yMDA2PC9ZZWFyPjxS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</w:fldData>
        </w:fldChar>
      </w:r>
      <w:r w:rsidRPr="002B08D8">
        <w:instrText xml:space="preserve"> ADDIN EN.CITE.DATA </w:instrText>
      </w:r>
      <w:r w:rsidRPr="002B08D8">
        <w:fldChar w:fldCharType="end"/>
      </w:r>
      <w:r w:rsidRPr="002B08D8">
        <w:fldChar w:fldCharType="separate"/>
      </w:r>
      <w:r w:rsidRPr="002B08D8">
        <w:rPr>
          <w:vertAlign w:val="superscript"/>
        </w:rPr>
        <w:t>23,24</w:t>
      </w:r>
      <w:r w:rsidRPr="002B08D8">
        <w:fldChar w:fldCharType="end"/>
      </w:r>
      <w:r w:rsidRPr="002B08D8">
        <w:t xml:space="preserve"> An important driver of these stark inequities is </w:t>
      </w:r>
      <w:r w:rsidRPr="002B08D8">
        <w:rPr>
          <w:b/>
          <w:bCs/>
        </w:rPr>
        <w:t>socioeconomic deprivation</w:t>
      </w:r>
      <w:r w:rsidR="00761D41" w:rsidRPr="002B08D8">
        <w:rPr>
          <w:b/>
          <w:bCs/>
        </w:rPr>
        <w:t xml:space="preserve"> </w:t>
      </w:r>
      <w:r w:rsidR="00761D41" w:rsidRPr="002B08D8">
        <w:t>(Figure 1)</w:t>
      </w:r>
      <w:r w:rsidRPr="002B08D8">
        <w:t xml:space="preserve">.  </w:t>
      </w:r>
    </w:p>
    <w:p w14:paraId="16250C96" w14:textId="377B80D1" w:rsidR="002B08D8" w:rsidRPr="00C210C5" w:rsidRDefault="008F0330" w:rsidP="002B08D8">
      <w:pPr>
        <w:spacing w:after="0"/>
        <w:ind w:left="567" w:hanging="567"/>
        <w:jc w:val="center"/>
        <w:rPr>
          <w:rFonts w:ascii="Segoe UI" w:hAnsi="Segoe UI" w:cs="Segoe UI"/>
          <w:sz w:val="20"/>
          <w:szCs w:val="20"/>
          <w:lang w:val="en-NZ"/>
        </w:rPr>
      </w:pPr>
      <w:r w:rsidRPr="00C210C5">
        <w:rPr>
          <w:rFonts w:ascii="Segoe UI" w:hAnsi="Segoe UI" w:cs="Segoe UI"/>
          <w:noProof/>
          <w:sz w:val="20"/>
          <w:szCs w:val="20"/>
          <w:lang w:val="en-NZ"/>
        </w:rPr>
        <w:drawing>
          <wp:anchor distT="0" distB="0" distL="114300" distR="114300" simplePos="0" relativeHeight="251658240" behindDoc="0" locked="0" layoutInCell="1" allowOverlap="1" wp14:anchorId="3E7F830C" wp14:editId="423F89EC">
            <wp:simplePos x="0" y="0"/>
            <wp:positionH relativeFrom="column">
              <wp:posOffset>440690</wp:posOffset>
            </wp:positionH>
            <wp:positionV relativeFrom="paragraph">
              <wp:posOffset>201930</wp:posOffset>
            </wp:positionV>
            <wp:extent cx="4874895" cy="3539490"/>
            <wp:effectExtent l="0" t="0" r="1905" b="381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referRelativeResize="0">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4895" cy="3539490"/>
                    </a:xfrm>
                    <a:prstGeom prst="rect">
                      <a:avLst/>
                    </a:prstGeom>
                    <a:noFill/>
                  </pic:spPr>
                </pic:pic>
              </a:graphicData>
            </a:graphic>
          </wp:anchor>
        </w:drawing>
      </w:r>
    </w:p>
    <w:p w14:paraId="26608F24" w14:textId="77777777" w:rsidR="002B08D8" w:rsidRPr="00C210C5" w:rsidRDefault="002B08D8" w:rsidP="002B08D8">
      <w:pPr>
        <w:spacing w:after="0"/>
        <w:ind w:left="567" w:hanging="567"/>
        <w:rPr>
          <w:rFonts w:ascii="Segoe UI" w:hAnsi="Segoe UI" w:cs="Segoe UI"/>
          <w:sz w:val="20"/>
          <w:szCs w:val="20"/>
          <w:lang w:val="en-NZ"/>
        </w:rPr>
      </w:pPr>
    </w:p>
    <w:p w14:paraId="616017D7" w14:textId="77777777" w:rsidR="002B08D8" w:rsidRPr="00C210C5" w:rsidRDefault="002B08D8" w:rsidP="002B08D8">
      <w:pPr>
        <w:spacing w:before="120" w:after="0"/>
        <w:ind w:left="567" w:hanging="567"/>
        <w:rPr>
          <w:rFonts w:ascii="Segoe UI" w:hAnsi="Segoe UI" w:cs="Segoe UI"/>
          <w:sz w:val="20"/>
          <w:szCs w:val="20"/>
          <w:lang w:val="en-NZ"/>
        </w:rPr>
      </w:pPr>
      <w:r w:rsidRPr="00C210C5">
        <w:rPr>
          <w:rFonts w:ascii="Segoe UI" w:hAnsi="Segoe UI" w:cs="Segoe UI"/>
          <w:sz w:val="20"/>
          <w:szCs w:val="20"/>
          <w:lang w:val="en-NZ"/>
        </w:rPr>
        <w:t xml:space="preserve">Figure 1: Māori and NZ European ethic groups by </w:t>
      </w:r>
      <w:proofErr w:type="spellStart"/>
      <w:r w:rsidRPr="00C210C5">
        <w:rPr>
          <w:rFonts w:ascii="Segoe UI" w:hAnsi="Segoe UI" w:cs="Segoe UI"/>
          <w:sz w:val="20"/>
          <w:szCs w:val="20"/>
          <w:lang w:val="en-NZ"/>
        </w:rPr>
        <w:t>NZDep</w:t>
      </w:r>
      <w:proofErr w:type="spellEnd"/>
      <w:r w:rsidRPr="00C210C5">
        <w:rPr>
          <w:rFonts w:ascii="Segoe UI" w:hAnsi="Segoe UI" w:cs="Segoe UI"/>
          <w:sz w:val="20"/>
          <w:szCs w:val="20"/>
          <w:lang w:val="en-NZ"/>
        </w:rPr>
        <w:t xml:space="preserve"> 2018</w:t>
      </w:r>
      <w:r w:rsidRPr="00C210C5">
        <w:rPr>
          <w:rStyle w:val="FootnoteReference"/>
          <w:rFonts w:ascii="Segoe UI" w:hAnsi="Segoe UI" w:cs="Segoe UI"/>
          <w:sz w:val="20"/>
          <w:szCs w:val="20"/>
          <w:lang w:val="en-NZ"/>
        </w:rPr>
        <w:footnoteReference w:id="2"/>
      </w:r>
    </w:p>
    <w:p w14:paraId="253C8848" w14:textId="77777777" w:rsidR="002B08D8" w:rsidRDefault="002B08D8" w:rsidP="002B08D8">
      <w:pPr>
        <w:spacing w:after="0" w:line="240" w:lineRule="auto"/>
        <w:ind w:left="567" w:hanging="567"/>
        <w:rPr>
          <w:rFonts w:ascii="Segoe UI" w:eastAsia="Poppins" w:hAnsi="Segoe UI" w:cs="Segoe UI"/>
          <w:sz w:val="20"/>
          <w:szCs w:val="20"/>
          <w:lang w:val="en-NZ"/>
        </w:rPr>
      </w:pPr>
    </w:p>
    <w:p w14:paraId="10212FB6" w14:textId="7A491669" w:rsidR="002B08D8" w:rsidRPr="00D53A88" w:rsidRDefault="00EE6DE2" w:rsidP="00D53A88">
      <w:pPr>
        <w:pStyle w:val="Numbers"/>
        <w:rPr>
          <w:rFonts w:eastAsia="Poppins"/>
        </w:rPr>
      </w:pPr>
      <w:r w:rsidRPr="002B08D8">
        <w:lastRenderedPageBreak/>
        <w:t>Māori are much more likely to live in conditions of socioeconomic deprivation than Pākehā, with around 25% of Māori living in the most extremely deprived decile compared to around 5% of</w:t>
      </w:r>
      <w:r w:rsidR="004C3A5C" w:rsidRPr="002B08D8">
        <w:t xml:space="preserve"> </w:t>
      </w:r>
      <w:r w:rsidRPr="002B08D8">
        <w:t>Pākehā.</w:t>
      </w:r>
      <w:r w:rsidRPr="002B08D8">
        <w:fldChar w:fldCharType="begin"/>
      </w:r>
      <w:r w:rsidR="004F34BE" w:rsidRPr="002B08D8">
        <w:instrText xml:space="preserve"> ADDIN EN.CITE &lt;EndNote&gt;&lt;Cite&gt;&lt;Author&gt;Atkinson&lt;/Author&gt;&lt;Year&gt;2019&lt;/Year&gt;&lt;RecNum&gt;2868&lt;/RecNum&gt;&lt;DisplayText&gt;&lt;style face="superscript"&gt;12,25&lt;/style&gt;&lt;/DisplayText&gt;&lt;record&gt;&lt;rec-number&gt;2868&lt;/rec-number&gt;&lt;foreign-keys&gt;&lt;key app="EN" db-id="29925pxvs9tv00e00z5xtds2fravt5zt9f02" timestamp="1692311334"&gt;2868&lt;/key&gt;&lt;/foreign-keys&gt;&lt;ref-type name="Report"&gt;27&lt;/ref-type&gt;&lt;contributors&gt;&lt;authors&gt;&lt;author&gt;Atkinson, J.&lt;/author&gt;&lt;author&gt;Salmond, C.&lt;/author&gt;&lt;author&gt;Crampton, P.&lt;/author&gt;&lt;/authors&gt;&lt;/contributors&gt;&lt;titles&gt;&lt;title&gt;NZDep2018 Index of Deprivation, Final Research Report&lt;/title&gt;&lt;/titles&gt;&lt;dates&gt;&lt;year&gt;2019&lt;/year&gt;&lt;/dates&gt;&lt;pub-location&gt;Wellington&lt;/pub-location&gt;&lt;publisher&gt;University of Otago&lt;/publisher&gt;&lt;urls&gt;&lt;/urls&gt;&lt;/record&gt;&lt;/Cite&gt;&lt;Cite&gt;&lt;Author&gt;Crampton&lt;/Author&gt;&lt;Year&gt;2020&lt;/Year&gt;&lt;RecNum&gt;2360&lt;/RecNum&gt;&lt;record&gt;&lt;rec-number&gt;2360&lt;/rec-number&gt;&lt;foreign-keys&gt;&lt;key app="EN" db-id="29925pxvs9tv00e00z5xtds2fravt5zt9f02" timestamp="0"&gt;2360&lt;/key&gt;&lt;/foreign-keys&gt;&lt;ref-type name="Journal Article"&gt;17&lt;/ref-type&gt;&lt;contributors&gt;&lt;authors&gt;&lt;author&gt;Crampton, P.&lt;/author&gt;&lt;/authors&gt;&lt;/contributors&gt;&lt;titles&gt;&lt;title&gt;Oh my&lt;/title&gt;&lt;secondary-title&gt;New Zealand Medical Journal&lt;/secondary-title&gt;&lt;/titles&gt;&lt;pages&gt;8-10&lt;/pages&gt;&lt;volume&gt;133&lt;/volume&gt;&lt;number&gt;1524&lt;/number&gt;&lt;dates&gt;&lt;year&gt;2020&lt;/year&gt;&lt;/dates&gt;&lt;urls&gt;&lt;/urls&gt;&lt;/record&gt;&lt;/Cite&gt;&lt;/EndNote&gt;</w:instrText>
      </w:r>
      <w:r w:rsidRPr="002B08D8">
        <w:fldChar w:fldCharType="separate"/>
      </w:r>
      <w:r w:rsidR="004F34BE" w:rsidRPr="00D53A88">
        <w:rPr>
          <w:noProof/>
          <w:vertAlign w:val="superscript"/>
        </w:rPr>
        <w:t>12,25</w:t>
      </w:r>
      <w:r w:rsidRPr="002B08D8">
        <w:fldChar w:fldCharType="end"/>
      </w:r>
      <w:r w:rsidRPr="002B08D8">
        <w:t xml:space="preserve"> </w:t>
      </w:r>
      <w:r w:rsidR="003B055A" w:rsidRPr="002B08D8">
        <w:t xml:space="preserve">An important marker of </w:t>
      </w:r>
      <w:r w:rsidR="7BA59477" w:rsidRPr="002B08D8">
        <w:t>socioeconomic deprivation is the proportio</w:t>
      </w:r>
      <w:r w:rsidR="00E10688" w:rsidRPr="002B08D8">
        <w:t>n</w:t>
      </w:r>
      <w:r w:rsidR="7BA59477" w:rsidRPr="002B08D8">
        <w:t xml:space="preserve"> </w:t>
      </w:r>
      <w:r w:rsidR="003E7CA8" w:rsidRPr="002B08D8">
        <w:t xml:space="preserve">of children living in </w:t>
      </w:r>
      <w:r w:rsidR="0016487A" w:rsidRPr="002B08D8">
        <w:t>poverty</w:t>
      </w:r>
      <w:r w:rsidR="00A13C8D" w:rsidRPr="002B08D8">
        <w:t>. L</w:t>
      </w:r>
      <w:r w:rsidR="00EF1772" w:rsidRPr="002B08D8">
        <w:t xml:space="preserve">atest evidence suggests that around 20% of Māori children live in material hardship, compared to </w:t>
      </w:r>
      <w:r w:rsidR="00C07EEF" w:rsidRPr="002B08D8">
        <w:t>around 8% of</w:t>
      </w:r>
      <w:r w:rsidR="00EF1772" w:rsidRPr="002B08D8">
        <w:t xml:space="preserve"> Pākehā children.</w:t>
      </w:r>
      <w:r w:rsidR="007D0FB9" w:rsidRPr="002B08D8">
        <w:fldChar w:fldCharType="begin"/>
      </w:r>
      <w:r w:rsidR="004F34BE" w:rsidRPr="002B08D8">
        <w:instrText xml:space="preserve"> ADDIN EN.CITE &lt;EndNote&gt;&lt;Cite&gt;&lt;Author&gt;Statistics New Zealand&lt;/Author&gt;&lt;Year&gt;2023&lt;/Year&gt;&lt;RecNum&gt;2881&lt;/RecNum&gt;&lt;DisplayText&gt;&lt;style face="superscript"&gt;26&lt;/style&gt;&lt;/DisplayText&gt;&lt;record&gt;&lt;rec-number&gt;2881&lt;/rec-number&gt;&lt;foreign-keys&gt;&lt;key app="EN" db-id="29925pxvs9tv00e00z5xtds2fravt5zt9f02" timestamp="1694141142"&gt;2881&lt;/key&gt;&lt;/foreign-keys&gt;&lt;ref-type name="Web Page"&gt;12&lt;/ref-type&gt;&lt;contributors&gt;&lt;authors&gt;&lt;author&gt;Statistics New Zealand,&lt;/author&gt;&lt;/authors&gt;&lt;/contributors&gt;&lt;titles&gt;&lt;title&gt;Child poverty statistics: Year ended June 2022&lt;/title&gt;&lt;/titles&gt;&lt;dates&gt;&lt;year&gt;2023&lt;/year&gt;&lt;/dates&gt;&lt;pub-location&gt;Wellington, New Zealand&lt;/pub-location&gt;&lt;urls&gt;&lt;related-urls&gt;&lt;url&gt;https://www.stats.govt.nz/information-releases/child-poverty-statistics-year-ended-june-2022&lt;/url&gt;&lt;/related-urls&gt;&lt;/urls&gt;&lt;/record&gt;&lt;/Cite&gt;&lt;/EndNote&gt;</w:instrText>
      </w:r>
      <w:r w:rsidR="007D0FB9" w:rsidRPr="002B08D8">
        <w:fldChar w:fldCharType="separate"/>
      </w:r>
      <w:r w:rsidR="004F34BE" w:rsidRPr="00D53A88">
        <w:rPr>
          <w:noProof/>
          <w:vertAlign w:val="superscript"/>
        </w:rPr>
        <w:t>26</w:t>
      </w:r>
      <w:r w:rsidR="007D0FB9" w:rsidRPr="002B08D8">
        <w:fldChar w:fldCharType="end"/>
      </w:r>
      <w:r w:rsidR="003E7CA8" w:rsidRPr="002B08D8">
        <w:t xml:space="preserve"> </w:t>
      </w:r>
      <w:r w:rsidR="00EF1772" w:rsidRPr="002B08D8">
        <w:t xml:space="preserve"> </w:t>
      </w:r>
      <w:r w:rsidRPr="002B08D8">
        <w:t>In terms of access to the determinants of good health, living in poverty makes everything more difficul</w:t>
      </w:r>
      <w:r w:rsidR="00A13C8D" w:rsidRPr="002B08D8">
        <w:t xml:space="preserve">t. This starts </w:t>
      </w:r>
      <w:r w:rsidRPr="002B08D8">
        <w:t>with the quality of housing in which a child grows up, the food environment that surrounds them, and the quantity and quality of their education around health. When the symptoms of ill-health arise, living in poverty impedes timely access to care,</w:t>
      </w:r>
      <w:r w:rsidR="003B20A0" w:rsidRPr="002B08D8">
        <w:fldChar w:fldCharType="begin"/>
      </w:r>
      <w:r w:rsidR="004F34BE" w:rsidRPr="002B08D8">
        <w:instrText xml:space="preserve"> ADDIN EN.CITE &lt;EndNote&gt;&lt;Cite&gt;&lt;Author&gt;Ministry of Health&lt;/Author&gt;&lt;Year&gt;2023&lt;/Year&gt;&lt;RecNum&gt;2882&lt;/RecNum&gt;&lt;DisplayText&gt;&lt;style face="superscript"&gt;27&lt;/style&gt;&lt;/DisplayText&gt;&lt;record&gt;&lt;rec-number&gt;2882&lt;/rec-number&gt;&lt;foreign-keys&gt;&lt;key app="EN" db-id="29925pxvs9tv00e00z5xtds2fravt5zt9f02" timestamp="1694142030"&gt;2882&lt;/key&gt;&lt;/foreign-keys&gt;&lt;ref-type name="Report"&gt;27&lt;/ref-type&gt;&lt;contributors&gt;&lt;authors&gt;&lt;author&gt;Ministry of Health,&lt;/author&gt;&lt;/authors&gt;&lt;/contributors&gt;&lt;titles&gt;&lt;title&gt;Health and Independence Report 2022&lt;/title&gt;&lt;/titles&gt;&lt;dates&gt;&lt;year&gt;2023&lt;/year&gt;&lt;/dates&gt;&lt;pub-location&gt;Wellington&lt;/pub-location&gt;&lt;publisher&gt;Ministry of Health&lt;/publisher&gt;&lt;urls&gt;&lt;related-urls&gt;&lt;url&gt;https://www.health.govt.nz/publication/health-and-independence-report-2022&lt;/url&gt;&lt;/related-urls&gt;&lt;/urls&gt;&lt;/record&gt;&lt;/Cite&gt;&lt;/EndNote&gt;</w:instrText>
      </w:r>
      <w:r w:rsidR="003B20A0" w:rsidRPr="002B08D8">
        <w:fldChar w:fldCharType="separate"/>
      </w:r>
      <w:r w:rsidR="004F34BE" w:rsidRPr="00D53A88">
        <w:rPr>
          <w:noProof/>
          <w:vertAlign w:val="superscript"/>
        </w:rPr>
        <w:t>27</w:t>
      </w:r>
      <w:r w:rsidR="003B20A0" w:rsidRPr="002B08D8">
        <w:fldChar w:fldCharType="end"/>
      </w:r>
      <w:r w:rsidRPr="002B08D8">
        <w:t xml:space="preserve"> with out-of-pocket costs associated with transport, parking, accommodation and the care itself acting as barriers.</w:t>
      </w:r>
      <w:r w:rsidRPr="002B08D8">
        <w:fldChar w:fldCharType="begin"/>
      </w:r>
      <w:r w:rsidR="004F34BE" w:rsidRPr="002B08D8">
        <w:instrText xml:space="preserve"> ADDIN EN.CITE &lt;EndNote&gt;&lt;Cite&gt;&lt;Author&gt;Gurney&lt;/Author&gt;&lt;Year&gt;2022&lt;/Year&gt;&lt;RecNum&gt;2569&lt;/RecNum&gt;&lt;DisplayText&gt;&lt;style face="superscript"&gt;28&lt;/style&gt;&lt;/DisplayText&gt;&lt;record&gt;&lt;rec-number&gt;2569&lt;/rec-number&gt;&lt;foreign-keys&gt;&lt;key app="EN" db-id="29925pxvs9tv00e00z5xtds2fravt5zt9f02" timestamp="0"&gt;2569&lt;/key&gt;&lt;/foreign-keys&gt;&lt;ref-type name="Journal Article"&gt;17&lt;/ref-type&gt;&lt;contributors&gt;&lt;authors&gt;&lt;author&gt;Gurney, J.&lt;/author&gt;&lt;author&gt;Whitehead, J.&lt;/author&gt;&lt;author&gt;Kerrison, C.&lt;/author&gt;&lt;author&gt;Stanley, J.&lt;/author&gt;&lt;author&gt;Sarfati, D.&lt;/author&gt;&lt;author&gt;Koea, J.&lt;/author&gt;&lt;/authors&gt;&lt;/contributors&gt;&lt;auth-address&gt;Cancer and Chronic Conditions (C3) Research Group, Department of Public Health, University of Otago, Wellington, New Zealand.&amp;#xD;University of Waikato, Hamilton, New Zealand.&amp;#xD;Waikato District Health Board, Auckland, New Zealand.&amp;#xD;Te Aho o Te Kahu-Cancer Control Agency, Wellington, New Zealand.&amp;#xD;Waitemata District Health Board, Auckland, New Zealand.&lt;/auth-address&gt;&lt;titles&gt;&lt;title&gt;Equity of travel required to access first definitive surgery for liver or stomach cancer in New Zealand&lt;/title&gt;&lt;secondary-title&gt;PLoS One&lt;/secondary-title&gt;&lt;alt-title&gt;PloS one&lt;/alt-title&gt;&lt;/titles&gt;&lt;periodical&gt;&lt;full-title&gt;PLOS ONE&lt;/full-title&gt;&lt;/periodical&gt;&lt;alt-periodical&gt;&lt;full-title&gt;PLOS ONE&lt;/full-title&gt;&lt;/alt-periodical&gt;&lt;pages&gt;e0269593&lt;/pages&gt;&lt;volume&gt;17&lt;/volume&gt;&lt;number&gt;8&lt;/number&gt;&lt;edition&gt;2022/08/12&lt;/edition&gt;&lt;keywords&gt;&lt;keyword&gt;Humans&lt;/keyword&gt;&lt;keyword&gt;*Liver Neoplasms/surgery&lt;/keyword&gt;&lt;keyword&gt;New Zealand/epidemiology&lt;/keyword&gt;&lt;keyword&gt;Prospective Studies&lt;/keyword&gt;&lt;keyword&gt;*Stomach Neoplasms/surgery&lt;/keyword&gt;&lt;/keywords&gt;&lt;dates&gt;&lt;year&gt;2022&lt;/year&gt;&lt;/dates&gt;&lt;isbn&gt;1932-6203&lt;/isbn&gt;&lt;accession-num&gt;35951652&lt;/accession-num&gt;&lt;urls&gt;&lt;/urls&gt;&lt;custom2&gt;PMC9371338&lt;/custom2&gt;&lt;electronic-resource-num&gt;10.1371/journal.pone.0269593&lt;/electronic-resource-num&gt;&lt;remote-database-provider&gt;NLM&lt;/remote-database-provider&gt;&lt;language&gt;eng&lt;/language&gt;&lt;/record&gt;&lt;/Cite&gt;&lt;/EndNote&gt;</w:instrText>
      </w:r>
      <w:r w:rsidRPr="002B08D8">
        <w:fldChar w:fldCharType="separate"/>
      </w:r>
      <w:r w:rsidR="004F34BE" w:rsidRPr="00D53A88">
        <w:rPr>
          <w:noProof/>
          <w:vertAlign w:val="superscript"/>
        </w:rPr>
        <w:t>28</w:t>
      </w:r>
      <w:r w:rsidRPr="002B08D8">
        <w:fldChar w:fldCharType="end"/>
      </w:r>
      <w:r w:rsidRPr="002B08D8">
        <w:t xml:space="preserve"> </w:t>
      </w:r>
    </w:p>
    <w:p w14:paraId="10000EBF" w14:textId="77777777" w:rsidR="002B08D8" w:rsidRPr="002B08D8" w:rsidRDefault="00B07810" w:rsidP="004C0BF5">
      <w:pPr>
        <w:pStyle w:val="Numbers"/>
        <w:rPr>
          <w:rFonts w:eastAsia="Poppins"/>
        </w:rPr>
      </w:pPr>
      <w:r w:rsidRPr="002B08D8">
        <w:t xml:space="preserve">However, we also know that the drivers of poorer Māori health outcomes are far more complex than just the stark disparities in socioeconomic deprivation. </w:t>
      </w:r>
      <w:r w:rsidR="00B228D7" w:rsidRPr="002B08D8">
        <w:t>Figure 2</w:t>
      </w:r>
      <w:r w:rsidRPr="002B08D8">
        <w:t xml:space="preserve"> from the landmark Hauora report </w:t>
      </w:r>
      <w:r w:rsidRPr="002B08D8">
        <w:fldChar w:fldCharType="begin"/>
      </w:r>
      <w:r w:rsidR="004F34BE" w:rsidRPr="002B08D8">
        <w:instrText xml:space="preserve"> ADDIN EN.CITE &lt;EndNote&gt;&lt;Cite&gt;&lt;Author&gt;Robson&lt;/Author&gt;&lt;Year&gt;2007&lt;/Year&gt;&lt;RecNum&gt;1453&lt;/RecNum&gt;&lt;DisplayText&gt;&lt;style face="superscript"&gt;29&lt;/style&gt;&lt;/DisplayText&gt;&lt;record&gt;&lt;rec-number&gt;1453&lt;/rec-number&gt;&lt;foreign-keys&gt;&lt;key app="EN" db-id="29925pxvs9tv00e00z5xtds2fravt5zt9f02" timestamp="0"&gt;1453&lt;/key&gt;&lt;/foreign-keys&gt;&lt;ref-type name="Book"&gt;6&lt;/ref-type&gt;&lt;contributors&gt;&lt;authors&gt;&lt;author&gt;Robson, B.&lt;/author&gt;&lt;author&gt;Harris, R.&lt;/author&gt;&lt;/authors&gt;&lt;/contributors&gt;&lt;titles&gt;&lt;title&gt;&lt;style face="normal" font="default" size="100%"&gt;Hauora: M&lt;/style&gt;&lt;style face="normal" font="default" charset="186" size="100%"&gt;āori standards of health IV: A study of the years 2000-2005&lt;/style&gt;&lt;/title&gt;&lt;/titles&gt;&lt;pages&gt;273&lt;/pages&gt;&lt;dates&gt;&lt;year&gt;2007&lt;/year&gt;&lt;/dates&gt;&lt;pub-location&gt;&lt;style face="normal" font="default" charset="186" size="100%"&gt;Wellington, New Zealand&lt;/style&gt;&lt;/pub-location&gt;&lt;publisher&gt;&lt;style face="normal" font="default" charset="186" size="100%"&gt;Te Rōpū Rangahau Hauora a Eru Pōmare, University of Otago&lt;/style&gt;&lt;/publisher&gt;&lt;urls&gt;&lt;/urls&gt;&lt;/record&gt;&lt;/Cite&gt;&lt;/EndNote&gt;</w:instrText>
      </w:r>
      <w:r w:rsidRPr="002B08D8">
        <w:fldChar w:fldCharType="separate"/>
      </w:r>
      <w:r w:rsidR="004F34BE" w:rsidRPr="002B08D8">
        <w:rPr>
          <w:noProof/>
          <w:vertAlign w:val="superscript"/>
        </w:rPr>
        <w:t>29</w:t>
      </w:r>
      <w:r w:rsidRPr="002B08D8">
        <w:fldChar w:fldCharType="end"/>
      </w:r>
      <w:r w:rsidRPr="002B08D8">
        <w:t xml:space="preserve"> shows the rate of </w:t>
      </w:r>
      <w:r w:rsidRPr="002B08D8">
        <w:rPr>
          <w:b/>
          <w:bCs/>
        </w:rPr>
        <w:t>death from all causes</w:t>
      </w:r>
      <w:r w:rsidRPr="002B08D8">
        <w:t>, separately by socioeconomic deprivation level. This figure teaches two key lessons: firstly, death is much more likely among those living in socioeconomically deprived areas, which disproportionately impacts Māori; and secondly, that the death rates of Māori and non-Māori never cross each other, regardless of deprivation level. There is more to this problem than money and resources. The structures and institutions of our society better meet the needs of Pākehā than Māori. This is referred to as institutional racism.</w:t>
      </w:r>
    </w:p>
    <w:p w14:paraId="2844D1E1" w14:textId="6EF29E5F" w:rsidR="002B08D8" w:rsidRDefault="008F0330" w:rsidP="002B08D8">
      <w:pPr>
        <w:spacing w:after="0" w:line="240" w:lineRule="auto"/>
        <w:ind w:left="567" w:hanging="567"/>
        <w:rPr>
          <w:rFonts w:ascii="Segoe UI" w:eastAsia="Poppins" w:hAnsi="Segoe UI" w:cs="Segoe UI"/>
          <w:sz w:val="20"/>
          <w:szCs w:val="20"/>
          <w:lang w:val="en-NZ"/>
        </w:rPr>
      </w:pPr>
      <w:r w:rsidRPr="00C210C5">
        <w:rPr>
          <w:rFonts w:ascii="Segoe UI" w:hAnsi="Segoe UI" w:cs="Segoe UI"/>
          <w:noProof/>
          <w:sz w:val="20"/>
          <w:szCs w:val="20"/>
          <w:lang w:val="en-NZ"/>
        </w:rPr>
        <w:drawing>
          <wp:anchor distT="0" distB="0" distL="114300" distR="114300" simplePos="0" relativeHeight="251659264" behindDoc="0" locked="0" layoutInCell="1" allowOverlap="1" wp14:anchorId="60943381" wp14:editId="39422A5F">
            <wp:simplePos x="0" y="0"/>
            <wp:positionH relativeFrom="column">
              <wp:posOffset>-1270</wp:posOffset>
            </wp:positionH>
            <wp:positionV relativeFrom="paragraph">
              <wp:posOffset>276225</wp:posOffset>
            </wp:positionV>
            <wp:extent cx="5680710" cy="2768600"/>
            <wp:effectExtent l="0" t="0" r="0" b="0"/>
            <wp:wrapTopAndBottom/>
            <wp:docPr id="7" name="Picture 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 shot of a computer&#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29500" t="24935" r="17754" b="19111"/>
                    <a:stretch/>
                  </pic:blipFill>
                  <pic:spPr bwMode="auto">
                    <a:xfrm>
                      <a:off x="0" y="0"/>
                      <a:ext cx="5680710" cy="2768600"/>
                    </a:xfrm>
                    <a:prstGeom prst="rect">
                      <a:avLst/>
                    </a:prstGeom>
                    <a:ln>
                      <a:noFill/>
                    </a:ln>
                    <a:extLst>
                      <a:ext uri="{53640926-AAD7-44D8-BBD7-CCE9431645EC}">
                        <a14:shadowObscured xmlns:a14="http://schemas.microsoft.com/office/drawing/2010/main"/>
                      </a:ext>
                    </a:extLst>
                  </pic:spPr>
                </pic:pic>
              </a:graphicData>
            </a:graphic>
          </wp:anchor>
        </w:drawing>
      </w:r>
    </w:p>
    <w:p w14:paraId="0F60664C" w14:textId="4E3C00AC" w:rsidR="002B08D8" w:rsidRPr="00C210C5" w:rsidRDefault="002B08D8" w:rsidP="002B08D8">
      <w:pPr>
        <w:spacing w:after="0"/>
        <w:ind w:left="567" w:hanging="567"/>
        <w:rPr>
          <w:rFonts w:ascii="Segoe UI" w:hAnsi="Segoe UI" w:cs="Segoe UI"/>
          <w:sz w:val="20"/>
          <w:szCs w:val="20"/>
          <w:lang w:val="en-NZ"/>
        </w:rPr>
      </w:pPr>
    </w:p>
    <w:p w14:paraId="004134D3" w14:textId="77777777" w:rsidR="002B08D8" w:rsidRPr="00C210C5" w:rsidRDefault="002B08D8" w:rsidP="002B08D8">
      <w:pPr>
        <w:spacing w:before="120" w:after="0"/>
        <w:ind w:left="567" w:hanging="567"/>
        <w:rPr>
          <w:rFonts w:ascii="Segoe UI" w:hAnsi="Segoe UI" w:cs="Segoe UI"/>
          <w:sz w:val="20"/>
          <w:szCs w:val="20"/>
          <w:lang w:val="en-NZ"/>
        </w:rPr>
      </w:pPr>
      <w:r w:rsidRPr="00C210C5">
        <w:rPr>
          <w:rFonts w:ascii="Segoe UI" w:hAnsi="Segoe UI" w:cs="Segoe UI"/>
          <w:sz w:val="20"/>
          <w:szCs w:val="20"/>
          <w:lang w:val="en-NZ"/>
        </w:rPr>
        <w:t>Figure 2: Rate of mortality, by deprivation and ethnicity</w:t>
      </w:r>
    </w:p>
    <w:p w14:paraId="536CC8CE" w14:textId="77777777" w:rsidR="002B08D8" w:rsidRPr="002B08D8" w:rsidRDefault="002B08D8" w:rsidP="002B08D8">
      <w:pPr>
        <w:spacing w:after="0" w:line="240" w:lineRule="auto"/>
        <w:ind w:left="567" w:hanging="567"/>
        <w:rPr>
          <w:rFonts w:ascii="Segoe UI" w:eastAsia="Poppins" w:hAnsi="Segoe UI" w:cs="Segoe UI"/>
          <w:sz w:val="20"/>
          <w:szCs w:val="20"/>
          <w:lang w:val="en-NZ"/>
        </w:rPr>
      </w:pPr>
    </w:p>
    <w:p w14:paraId="64699321" w14:textId="77777777" w:rsidR="002B08D8" w:rsidRPr="002B08D8" w:rsidRDefault="7BA59477" w:rsidP="004C0BF5">
      <w:pPr>
        <w:pStyle w:val="Numbers"/>
        <w:rPr>
          <w:rFonts w:eastAsia="Poppins"/>
        </w:rPr>
      </w:pPr>
      <w:r w:rsidRPr="002B08D8">
        <w:t xml:space="preserve">Instead of focusing on the system-level drivers of health disparities, recent debate has focused on individual-level drivers, such as individual ‘choice’ over food and tobacco consumption, or ‘choice’ regarding engagement with health services. In addition, activities aimed at directly addressing the vast inequities in health experienced by Māori are often re-framed as being racist, or counter to the principles of our egalitarian society.  Such narratives are unhelpful, because they distract us from the job at hand: that is, to fulfil the promise made within </w:t>
      </w:r>
      <w:proofErr w:type="spellStart"/>
      <w:r w:rsidRPr="002B08D8">
        <w:t>Te</w:t>
      </w:r>
      <w:proofErr w:type="spellEnd"/>
      <w:r w:rsidRPr="002B08D8">
        <w:t xml:space="preserve"> </w:t>
      </w:r>
      <w:proofErr w:type="spellStart"/>
      <w:r w:rsidRPr="002B08D8">
        <w:t>Tiriti</w:t>
      </w:r>
      <w:proofErr w:type="spellEnd"/>
      <w:r w:rsidRPr="002B08D8">
        <w:t xml:space="preserve"> </w:t>
      </w:r>
      <w:r w:rsidR="000513E6" w:rsidRPr="002B08D8">
        <w:t xml:space="preserve">o Waitangi </w:t>
      </w:r>
      <w:r w:rsidRPr="002B08D8">
        <w:t xml:space="preserve">to protect Māori, by investing in systems-level changes that will meaningfully ‘shift the dial’ towards a system that works for Māori.  </w:t>
      </w:r>
    </w:p>
    <w:p w14:paraId="0B4D53E3" w14:textId="77777777" w:rsidR="002B08D8" w:rsidRDefault="002B08D8" w:rsidP="002B08D8">
      <w:pPr>
        <w:spacing w:after="0" w:line="240" w:lineRule="auto"/>
        <w:rPr>
          <w:rFonts w:ascii="Segoe UI" w:eastAsia="Poppins" w:hAnsi="Segoe UI" w:cs="Segoe UI"/>
          <w:sz w:val="20"/>
          <w:szCs w:val="20"/>
          <w:lang w:val="en-NZ"/>
        </w:rPr>
      </w:pPr>
    </w:p>
    <w:p w14:paraId="6127DA66" w14:textId="77777777" w:rsidR="002B08D8" w:rsidRPr="00EA29BA" w:rsidRDefault="002B08D8" w:rsidP="00941242">
      <w:pPr>
        <w:pStyle w:val="H2"/>
        <w:rPr>
          <w:sz w:val="26"/>
          <w:szCs w:val="26"/>
        </w:rPr>
      </w:pPr>
      <w:proofErr w:type="spellStart"/>
      <w:r w:rsidRPr="00EA29BA">
        <w:t>Te</w:t>
      </w:r>
      <w:proofErr w:type="spellEnd"/>
      <w:r w:rsidRPr="00EA29BA">
        <w:t xml:space="preserve"> </w:t>
      </w:r>
      <w:proofErr w:type="spellStart"/>
      <w:r w:rsidRPr="00EA29BA">
        <w:t>Tiriti</w:t>
      </w:r>
      <w:proofErr w:type="spellEnd"/>
      <w:r w:rsidRPr="00EA29BA">
        <w:t xml:space="preserve"> o Waitangi as a solution</w:t>
      </w:r>
    </w:p>
    <w:p w14:paraId="3DEDBBB0" w14:textId="77777777" w:rsidR="00D53A88" w:rsidRPr="00AC3560" w:rsidRDefault="000A6FC0" w:rsidP="00D53A88">
      <w:pPr>
        <w:pStyle w:val="Numbers"/>
        <w:rPr>
          <w:sz w:val="20"/>
          <w:szCs w:val="20"/>
        </w:rPr>
      </w:pPr>
      <w:r w:rsidRPr="002B08D8">
        <w:t xml:space="preserve">As noted earlier, </w:t>
      </w:r>
      <w:proofErr w:type="spellStart"/>
      <w:r w:rsidRPr="002B08D8">
        <w:t>Te</w:t>
      </w:r>
      <w:proofErr w:type="spellEnd"/>
      <w:r w:rsidRPr="002B08D8">
        <w:t xml:space="preserve"> </w:t>
      </w:r>
      <w:proofErr w:type="spellStart"/>
      <w:r w:rsidRPr="002B08D8">
        <w:t>Tiriti</w:t>
      </w:r>
      <w:proofErr w:type="spellEnd"/>
      <w:r w:rsidRPr="002B08D8">
        <w:t xml:space="preserve"> </w:t>
      </w:r>
      <w:r w:rsidR="000513E6" w:rsidRPr="002B08D8">
        <w:t xml:space="preserve">o Waitangi </w:t>
      </w:r>
      <w:r w:rsidRPr="002B08D8">
        <w:t>provides a solid structure for how the inequities in health</w:t>
      </w:r>
      <w:r w:rsidR="00FD121B" w:rsidRPr="002B08D8">
        <w:t xml:space="preserve"> </w:t>
      </w:r>
      <w:r w:rsidRPr="002B08D8">
        <w:t>outcomes experienced by Māori can be undone – both at a broad level in terms of the wider determinants of health, but also at a more specific level with respect to how our health system is organised and operates. The Waitangi Tribunal</w:t>
      </w:r>
      <w:r w:rsidR="00297306" w:rsidRPr="002B08D8">
        <w:t xml:space="preserve"> </w:t>
      </w:r>
      <w:r w:rsidR="004F34BE" w:rsidRPr="002B08D8">
        <w:fldChar w:fldCharType="begin"/>
      </w:r>
      <w:r w:rsidR="004F34BE" w:rsidRPr="002B08D8">
        <w:instrText xml:space="preserve"> ADDIN EN.CITE &lt;EndNote&gt;&lt;Cite&gt;&lt;Author&gt;Waitangi Tribunal&lt;/Author&gt;&lt;Year&gt;2019&lt;/Year&gt;&lt;RecNum&gt;1817&lt;/RecNum&gt;&lt;DisplayText&gt;&lt;style face="superscript"&gt;11&lt;/style&gt;&lt;/DisplayText&gt;&lt;record&gt;&lt;rec-number&gt;1817&lt;/rec-number&gt;&lt;foreign-keys&gt;&lt;key app="EN" db-id="29925pxvs9tv00e00z5xtds2fravt5zt9f02" timestamp="0"&gt;1817&lt;/key&gt;&lt;/foreign-keys&gt;&lt;ref-type name="Report"&gt;27&lt;/ref-type&gt;&lt;contributors&gt;&lt;authors&gt;&lt;author&gt;Waitangi Tribunal,&lt;/author&gt;&lt;/authors&gt;&lt;/contributors&gt;&lt;titles&gt;&lt;title&gt;HAUORA: Report on Stage One of the Health Services and Outcomes Kaupapa Inquiry - WAI 2575&lt;/title&gt;&lt;/titles&gt;&lt;dates&gt;&lt;year&gt;2019&lt;/year&gt;&lt;/dates&gt;&lt;pub-location&gt;Lower Hutt, New Zealand&lt;/pub-location&gt;&lt;urls&gt;&lt;related-urls&gt;&lt;url&gt;https://forms.justice.govt.nz/search/Documents/WT/wt_DOC_152801817/Hauora%20W.pdf&lt;/url&gt;&lt;/related-urls&gt;&lt;/urls&gt;&lt;/record&gt;&lt;/Cite&gt;&lt;/EndNote&gt;</w:instrText>
      </w:r>
      <w:r w:rsidR="004F34BE" w:rsidRPr="002B08D8">
        <w:fldChar w:fldCharType="separate"/>
      </w:r>
      <w:r w:rsidR="004F34BE" w:rsidRPr="00D53A88">
        <w:rPr>
          <w:noProof/>
          <w:vertAlign w:val="superscript"/>
        </w:rPr>
        <w:t>11</w:t>
      </w:r>
      <w:r w:rsidR="004F34BE" w:rsidRPr="002B08D8">
        <w:fldChar w:fldCharType="end"/>
      </w:r>
      <w:r w:rsidRPr="002B08D8">
        <w:t xml:space="preserve"> has </w:t>
      </w:r>
      <w:r w:rsidRPr="00D53A88">
        <w:t>recommended</w:t>
      </w:r>
      <w:r w:rsidRPr="002B08D8">
        <w:t xml:space="preserve"> that the future delivery of health care in Aotearoa New Zealand be guided by five Treaty principles – </w:t>
      </w:r>
      <w:proofErr w:type="spellStart"/>
      <w:r w:rsidRPr="002B08D8">
        <w:t>tino</w:t>
      </w:r>
      <w:proofErr w:type="spellEnd"/>
      <w:r w:rsidRPr="002B08D8">
        <w:t xml:space="preserve"> rangatiratanga, equity, active protection, options and partnership.   Each of these principles provides both a framework and a pathway for health services to implement solutions that will lead to improvements in Māori health outcomes. These solutions are considered below. </w:t>
      </w:r>
    </w:p>
    <w:p w14:paraId="75D018D0" w14:textId="77777777" w:rsidR="00AC3560" w:rsidRPr="00D53A88" w:rsidRDefault="00AC3560" w:rsidP="00AC3560">
      <w:pPr>
        <w:pStyle w:val="Numbers"/>
        <w:numPr>
          <w:ilvl w:val="0"/>
          <w:numId w:val="0"/>
        </w:numPr>
        <w:ind w:left="567"/>
        <w:rPr>
          <w:sz w:val="20"/>
          <w:szCs w:val="20"/>
        </w:rPr>
      </w:pPr>
    </w:p>
    <w:p w14:paraId="294AF7BB" w14:textId="1D217E43" w:rsidR="000A6FC0" w:rsidRPr="00C210C5" w:rsidRDefault="7BA59477" w:rsidP="004C0BF5">
      <w:pPr>
        <w:pStyle w:val="Bullets"/>
      </w:pPr>
      <w:r w:rsidRPr="00C210C5">
        <w:rPr>
          <w:b/>
          <w:bCs/>
          <w:i/>
          <w:iCs/>
        </w:rPr>
        <w:t>Tino rangatiratanga</w:t>
      </w:r>
      <w:r w:rsidRPr="00C210C5">
        <w:t xml:space="preserve"> means providing for Māori self-determination and mana </w:t>
      </w:r>
      <w:proofErr w:type="spellStart"/>
      <w:r w:rsidRPr="00C210C5">
        <w:t>motuhake</w:t>
      </w:r>
      <w:proofErr w:type="spellEnd"/>
      <w:r w:rsidRPr="00C210C5">
        <w:t xml:space="preserve"> in the design, delivery and monitoring of health services. An example of an active </w:t>
      </w:r>
      <w:proofErr w:type="spellStart"/>
      <w:r w:rsidRPr="00C210C5">
        <w:rPr>
          <w:i/>
          <w:iCs/>
        </w:rPr>
        <w:t>tino</w:t>
      </w:r>
      <w:proofErr w:type="spellEnd"/>
      <w:r w:rsidRPr="00C210C5">
        <w:rPr>
          <w:i/>
          <w:iCs/>
        </w:rPr>
        <w:t xml:space="preserve"> rangatiratanga </w:t>
      </w:r>
      <w:r w:rsidRPr="00C210C5">
        <w:t xml:space="preserve">solution to Māori health outcomes is the delivery of </w:t>
      </w:r>
      <w:proofErr w:type="spellStart"/>
      <w:r w:rsidRPr="00C210C5">
        <w:t>kaupapa</w:t>
      </w:r>
      <w:proofErr w:type="spellEnd"/>
      <w:r w:rsidRPr="00C210C5">
        <w:t xml:space="preserve"> Māori (by Māori, with Māori, for Māori) health services by </w:t>
      </w:r>
      <w:r w:rsidR="000E2944" w:rsidRPr="00C210C5">
        <w:t>I</w:t>
      </w:r>
      <w:r w:rsidRPr="00C210C5">
        <w:t xml:space="preserve">wi-led and owned health providers. This solution incorporates Māori ‘ways of knowing’ and a </w:t>
      </w:r>
      <w:proofErr w:type="spellStart"/>
      <w:r w:rsidRPr="00C210C5">
        <w:t>Te</w:t>
      </w:r>
      <w:proofErr w:type="spellEnd"/>
      <w:r w:rsidRPr="00C210C5">
        <w:t xml:space="preserve"> </w:t>
      </w:r>
      <w:proofErr w:type="spellStart"/>
      <w:r w:rsidRPr="00C210C5">
        <w:t>Ao</w:t>
      </w:r>
      <w:proofErr w:type="spellEnd"/>
      <w:r w:rsidRPr="00C210C5">
        <w:t xml:space="preserve"> Māori worldview into health care systems, policies, and practices, so that they work better for Māori.  </w:t>
      </w:r>
    </w:p>
    <w:p w14:paraId="3C0E8B7D" w14:textId="6D366173" w:rsidR="000A6FC0" w:rsidRPr="00C210C5" w:rsidRDefault="7BA59477" w:rsidP="004C0BF5">
      <w:pPr>
        <w:pStyle w:val="Bullets"/>
      </w:pPr>
      <w:r w:rsidRPr="00C210C5">
        <w:rPr>
          <w:b/>
          <w:bCs/>
          <w:i/>
          <w:iCs/>
        </w:rPr>
        <w:t xml:space="preserve">Equity </w:t>
      </w:r>
      <w:r w:rsidRPr="00C210C5">
        <w:t>means being committed to equitable health outcomes for Māori. This means that, counter to the recent debate over treatment prioritisation algorithms,</w:t>
      </w:r>
      <w:r w:rsidR="000A6FC0" w:rsidRPr="00C210C5">
        <w:fldChar w:fldCharType="begin"/>
      </w:r>
      <w:r w:rsidR="004F34BE" w:rsidRPr="00C210C5">
        <w:instrText xml:space="preserve"> ADDIN EN.CITE &lt;EndNote&gt;&lt;Cite&gt;&lt;Author&gt;Radio New Zealand&lt;/Author&gt;&lt;Year&gt;2023&lt;/Year&gt;&lt;RecNum&gt;2870&lt;/RecNum&gt;&lt;DisplayText&gt;&lt;style face="superscript"&gt;30&lt;/style&gt;&lt;/DisplayText&gt;&lt;record&gt;&lt;rec-number&gt;2870&lt;/rec-number&gt;&lt;foreign-keys&gt;&lt;key app="EN" db-id="29925pxvs9tv00e00z5xtds2fravt5zt9f02" timestamp="1692317434"&gt;2870&lt;/key&gt;&lt;/foreign-keys&gt;&lt;ref-type name="Web Page"&gt;12&lt;/ref-type&gt;&lt;contributors&gt;&lt;authors&gt;&lt;author&gt;Radio New Zealand,&lt;/author&gt;&lt;/authors&gt;&lt;/contributors&gt;&lt;titles&gt;&lt;title&gt;The waitlist algorithm that morphed into a political weapon&lt;/title&gt;&lt;/titles&gt;&lt;dates&gt;&lt;year&gt;2023&lt;/year&gt;&lt;/dates&gt;&lt;urls&gt;&lt;related-urls&gt;&lt;url&gt;https://www.rnz.co.nz/programmes/the-detail/story/2018895477/the-waitlist-algorithm-that-morphed-into-a-political-weapon&lt;/url&gt;&lt;/related-urls&gt;&lt;/urls&gt;&lt;/record&gt;&lt;/Cite&gt;&lt;/EndNote&gt;</w:instrText>
      </w:r>
      <w:r w:rsidR="000A6FC0" w:rsidRPr="00C210C5">
        <w:fldChar w:fldCharType="separate"/>
      </w:r>
      <w:r w:rsidR="004F34BE" w:rsidRPr="00C210C5">
        <w:rPr>
          <w:noProof/>
          <w:vertAlign w:val="superscript"/>
        </w:rPr>
        <w:t>30</w:t>
      </w:r>
      <w:r w:rsidR="000A6FC0" w:rsidRPr="00C210C5">
        <w:fldChar w:fldCharType="end"/>
      </w:r>
      <w:r w:rsidRPr="00C210C5">
        <w:t xml:space="preserve"> it is not unusual or incongruous for the </w:t>
      </w:r>
      <w:r w:rsidR="00A225C5" w:rsidRPr="00C210C5">
        <w:t>g</w:t>
      </w:r>
      <w:r w:rsidRPr="00C210C5">
        <w:t xml:space="preserve">overnment to act in a way that prioritises Māori health outcomes </w:t>
      </w:r>
      <w:bookmarkStart w:id="3" w:name="_Int_7bq5RqVm"/>
      <w:r w:rsidRPr="00C210C5">
        <w:t>in order to</w:t>
      </w:r>
      <w:bookmarkEnd w:id="3"/>
      <w:r w:rsidRPr="00C210C5">
        <w:t xml:space="preserve"> improve them</w:t>
      </w:r>
      <w:r w:rsidR="003E4F23" w:rsidRPr="00C210C5">
        <w:t xml:space="preserve">, </w:t>
      </w:r>
      <w:r w:rsidRPr="00C210C5">
        <w:t xml:space="preserve">rather, this activity should be expected as in-keeping with the principles of </w:t>
      </w:r>
      <w:proofErr w:type="spellStart"/>
      <w:r w:rsidRPr="00C210C5">
        <w:t>Te</w:t>
      </w:r>
      <w:proofErr w:type="spellEnd"/>
      <w:r w:rsidRPr="00C210C5">
        <w:t xml:space="preserve"> </w:t>
      </w:r>
      <w:proofErr w:type="spellStart"/>
      <w:r w:rsidRPr="00C210C5">
        <w:t>Tiriti</w:t>
      </w:r>
      <w:proofErr w:type="spellEnd"/>
      <w:r w:rsidR="00AA1F4E" w:rsidRPr="00C210C5">
        <w:t xml:space="preserve"> o Waitangi</w:t>
      </w:r>
      <w:r w:rsidRPr="00C210C5">
        <w:t>. The principle of equity also provides a clear goal for the Government when it comes to Māori health.</w:t>
      </w:r>
    </w:p>
    <w:p w14:paraId="150A09FD" w14:textId="5A456CC4" w:rsidR="000A6FC0" w:rsidRPr="00C210C5" w:rsidRDefault="7BA59477" w:rsidP="004C0BF5">
      <w:pPr>
        <w:pStyle w:val="Bullets"/>
      </w:pPr>
      <w:r w:rsidRPr="00C210C5">
        <w:rPr>
          <w:b/>
          <w:bCs/>
          <w:i/>
          <w:iCs/>
        </w:rPr>
        <w:t xml:space="preserve">Active protection </w:t>
      </w:r>
      <w:r w:rsidRPr="00C210C5">
        <w:t xml:space="preserve">means </w:t>
      </w:r>
      <w:bookmarkStart w:id="4" w:name="_Int_Bq0mlQJk"/>
      <w:r w:rsidRPr="00C210C5">
        <w:t>acting to the fullest extent</w:t>
      </w:r>
      <w:bookmarkEnd w:id="4"/>
      <w:r w:rsidRPr="00C210C5">
        <w:t xml:space="preserve"> practicable to achieve equitable health outcomes for Māori, including ensuring that both Crown agents and Māori are well-informed on Māori health outcomes and activities that aim to achieve equitable health outcomes. An example of active protection in this context is the creation of </w:t>
      </w:r>
      <w:proofErr w:type="spellStart"/>
      <w:r w:rsidRPr="00C210C5">
        <w:t>Te</w:t>
      </w:r>
      <w:proofErr w:type="spellEnd"/>
      <w:r w:rsidRPr="00C210C5">
        <w:t xml:space="preserve"> Aka </w:t>
      </w:r>
      <w:proofErr w:type="spellStart"/>
      <w:r w:rsidRPr="00C210C5">
        <w:t>Whai</w:t>
      </w:r>
      <w:proofErr w:type="spellEnd"/>
      <w:r w:rsidRPr="00C210C5">
        <w:t xml:space="preserve"> Ora – Māori Health Authority - as part of the recent health reforms. The creation of this organisation is an example of the kind of disproportionate investment by the Government in Māori health that will be required to improve Māori health outcomes and, as such, must be given adequate </w:t>
      </w:r>
      <w:bookmarkStart w:id="5" w:name="_Int_dtYdnC8X"/>
      <w:r w:rsidRPr="00C210C5">
        <w:t>resourcing</w:t>
      </w:r>
      <w:bookmarkEnd w:id="5"/>
      <w:r w:rsidRPr="00C210C5">
        <w:t xml:space="preserve"> and time to work.</w:t>
      </w:r>
    </w:p>
    <w:p w14:paraId="3D2DDEA4" w14:textId="51058F7F" w:rsidR="000A6FC0" w:rsidRPr="00C210C5" w:rsidRDefault="7BA59477" w:rsidP="00D53A88">
      <w:pPr>
        <w:pStyle w:val="Bullets"/>
      </w:pPr>
      <w:r w:rsidRPr="00C210C5">
        <w:rPr>
          <w:b/>
          <w:bCs/>
          <w:i/>
          <w:iCs/>
        </w:rPr>
        <w:t xml:space="preserve">Options </w:t>
      </w:r>
      <w:r w:rsidRPr="00C210C5">
        <w:t xml:space="preserve">means providing for and </w:t>
      </w:r>
      <w:bookmarkStart w:id="6" w:name="_Int_MLyLHSQw"/>
      <w:r w:rsidRPr="00C210C5">
        <w:t>properly</w:t>
      </w:r>
      <w:bookmarkEnd w:id="6"/>
      <w:r w:rsidRPr="00C210C5">
        <w:t xml:space="preserve"> resourcing </w:t>
      </w:r>
      <w:proofErr w:type="spellStart"/>
      <w:r w:rsidRPr="00C210C5">
        <w:t>kaupapa</w:t>
      </w:r>
      <w:proofErr w:type="spellEnd"/>
      <w:r w:rsidRPr="00C210C5">
        <w:t xml:space="preserve"> Māori services. For example, a marae-based healthcare provider in South Auckland was able to meet the needs of its Māori community during the COVID-19 pandemic, providing a </w:t>
      </w:r>
      <w:proofErr w:type="spellStart"/>
      <w:r w:rsidRPr="00C210C5">
        <w:t>Te</w:t>
      </w:r>
      <w:proofErr w:type="spellEnd"/>
      <w:r w:rsidRPr="00C210C5">
        <w:t xml:space="preserve"> </w:t>
      </w:r>
      <w:proofErr w:type="spellStart"/>
      <w:r w:rsidRPr="00C210C5">
        <w:t>Ao</w:t>
      </w:r>
      <w:proofErr w:type="spellEnd"/>
      <w:r w:rsidRPr="00C210C5">
        <w:t xml:space="preserve"> Māori environment and the kind of wrap-around supportive care that are not offered through mainstream health care services.</w:t>
      </w:r>
      <w:r w:rsidR="000A6FC0" w:rsidRPr="00C210C5">
        <w:fldChar w:fldCharType="begin"/>
      </w:r>
      <w:r w:rsidR="004F34BE" w:rsidRPr="00C210C5">
        <w:instrText xml:space="preserve"> ADDIN EN.CITE &lt;EndNote&gt;&lt;Cite&gt;&lt;Author&gt;Harwood&lt;/Author&gt;&lt;Year&gt;2022&lt;/Year&gt;&lt;RecNum&gt;2436&lt;/RecNum&gt;&lt;DisplayText&gt;&lt;style face="superscript"&gt;31&lt;/style&gt;&lt;/DisplayText&gt;&lt;record&gt;&lt;rec-number&gt;2436&lt;/rec-number&gt;&lt;foreign-keys&gt;&lt;key app="EN" db-id="29925pxvs9tv00e00z5xtds2fravt5zt9f02" timestamp="0"&gt;2436&lt;/key&gt;&lt;/foreign-keys&gt;&lt;ref-type name="Journal Article"&gt;17&lt;/ref-type&gt;&lt;contributors&gt;&lt;authors&gt;&lt;author&gt;Harwood, M.&lt;/author&gt;&lt;author&gt;Te Paa, S.&lt;/author&gt;&lt;author&gt;Kearns, N.&lt;/author&gt;&lt;author&gt;Luki, H.&lt;/author&gt;&lt;author&gt;Anderson, A. &lt;/author&gt;&lt;author&gt;Semprini, A.&lt;/author&gt;&lt;author&gt;Beasley, R.&lt;/author&gt;&lt;/authors&gt;&lt;/contributors&gt;&lt;titles&gt;&lt;title&gt;An audit of a marae-based health centre management of COVID-19 community cases in South Auckland&lt;/title&gt;&lt;secondary-title&gt;New Zealand Medical Journal&lt;/secondary-title&gt;&lt;/titles&gt;&lt;pages&gt;120-128&lt;/pages&gt;&lt;volume&gt;135&lt;/volume&gt;&lt;number&gt;1549&lt;/number&gt;&lt;dates&gt;&lt;year&gt;2022&lt;/year&gt;&lt;/dates&gt;&lt;urls&gt;&lt;/urls&gt;&lt;/record&gt;&lt;/Cite&gt;&lt;/EndNote&gt;</w:instrText>
      </w:r>
      <w:r w:rsidR="000A6FC0" w:rsidRPr="00C210C5">
        <w:fldChar w:fldCharType="separate"/>
      </w:r>
      <w:r w:rsidR="004F34BE" w:rsidRPr="00C210C5">
        <w:rPr>
          <w:noProof/>
          <w:vertAlign w:val="superscript"/>
        </w:rPr>
        <w:t>31</w:t>
      </w:r>
      <w:r w:rsidR="000A6FC0" w:rsidRPr="00C210C5">
        <w:fldChar w:fldCharType="end"/>
      </w:r>
      <w:r w:rsidR="00747E71" w:rsidRPr="00C210C5">
        <w:t xml:space="preserve"> </w:t>
      </w:r>
      <w:r w:rsidRPr="00C210C5">
        <w:t xml:space="preserve">Such initiatives provide Māori with the option to receive care that reflects their world view, and as such need to be scaled-up and appropriately resourced as part of the current reforms. It also means that those solutions that are not </w:t>
      </w:r>
      <w:proofErr w:type="spellStart"/>
      <w:r w:rsidRPr="00C210C5">
        <w:t>kaupapa</w:t>
      </w:r>
      <w:proofErr w:type="spellEnd"/>
      <w:r w:rsidRPr="00C210C5">
        <w:t xml:space="preserve"> Māori in origin – such as initiatives led by central or local government – are provided in a culturally appropriate way that recognises and supports the expression of </w:t>
      </w:r>
      <w:proofErr w:type="spellStart"/>
      <w:r w:rsidRPr="00C210C5">
        <w:t>hauora</w:t>
      </w:r>
      <w:proofErr w:type="spellEnd"/>
      <w:r w:rsidRPr="00C210C5">
        <w:t xml:space="preserve"> Māori models of care. For example, initiatives such as national cancer screening programmes should be designed to ensure that they work as well for Māori as non-Māori, </w:t>
      </w:r>
      <w:bookmarkStart w:id="7" w:name="_Int_uf42wCDC"/>
      <w:r w:rsidRPr="00C210C5">
        <w:t>in order to</w:t>
      </w:r>
      <w:bookmarkEnd w:id="7"/>
      <w:r w:rsidRPr="00C210C5">
        <w:t xml:space="preserve"> address existing gaps in screening access.</w:t>
      </w:r>
      <w:r w:rsidR="000A6FC0" w:rsidRPr="00C210C5">
        <w:fldChar w:fldCharType="begin"/>
      </w:r>
      <w:r w:rsidR="004F34BE" w:rsidRPr="00C210C5">
        <w:instrText xml:space="preserve"> ADDIN EN.CITE &lt;EndNote&gt;&lt;Cite&gt;&lt;Author&gt;National Screening Unit&lt;/Author&gt;&lt;Year&gt;2023&lt;/Year&gt;&lt;RecNum&gt;2726&lt;/RecNum&gt;&lt;DisplayText&gt;&lt;style face="superscript"&gt;32,33&lt;/style&gt;&lt;/DisplayText&gt;&lt;record&gt;&lt;rec-number&gt;2726&lt;/rec-number&gt;&lt;foreign-keys&gt;&lt;key app="EN" db-id="29925pxvs9tv00e00z5xtds2fravt5zt9f02" timestamp="0"&gt;2726&lt;/key&gt;&lt;/foreign-keys&gt;&lt;ref-type name="Web Page"&gt;12&lt;/ref-type&gt;&lt;contributors&gt;&lt;authors&gt;&lt;author&gt;National Screening Unit,&lt;/author&gt;&lt;/authors&gt;&lt;/contributors&gt;&lt;titles&gt;&lt;title&gt;National Cervical Screening Programme Coverage Report&lt;/title&gt;&lt;/titles&gt;&lt;dates&gt;&lt;year&gt;2023&lt;/year&gt;&lt;/dates&gt;&lt;pub-location&gt;Wellington, New Zealand&lt;/pub-location&gt;&lt;urls&gt;&lt;related-urls&gt;&lt;url&gt;https://tewhatuora.shinyapps.io/nsu-ncsp-coverage/&lt;/url&gt;&lt;/related-urls&gt;&lt;/urls&gt;&lt;/record&gt;&lt;/Cite&gt;&lt;Cite&gt;&lt;Author&gt;National Screening Unit&lt;/Author&gt;&lt;Year&gt;2023&lt;/Year&gt;&lt;RecNum&gt;2863&lt;/RecNum&gt;&lt;record&gt;&lt;rec-number&gt;2863&lt;/rec-number&gt;&lt;foreign-keys&gt;&lt;key app="EN" db-id="29925pxvs9tv00e00z5xtds2fravt5zt9f02" timestamp="1692050874"&gt;2863&lt;/key&gt;&lt;/foreign-keys&gt;&lt;ref-type name="Web Page"&gt;12&lt;/ref-type&gt;&lt;contributors&gt;&lt;authors&gt;&lt;author&gt;National Screening Unit,&lt;/author&gt;&lt;/authors&gt;&lt;/contributors&gt;&lt;titles&gt;&lt;title&gt;BreastScreen Aotearoa Coverage Report&lt;/title&gt;&lt;/titles&gt;&lt;dates&gt;&lt;year&gt;2023&lt;/year&gt;&lt;/dates&gt;&lt;pub-location&gt;Wellington, New Zealand&lt;/pub-location&gt;&lt;urls&gt;&lt;related-urls&gt;&lt;url&gt;https://tewhatuora.shinyapps.io/nsu-bsa-coverage/&lt;/url&gt;&lt;/related-urls&gt;&lt;/urls&gt;&lt;/record&gt;&lt;/Cite&gt;&lt;/EndNote&gt;</w:instrText>
      </w:r>
      <w:r w:rsidR="000A6FC0" w:rsidRPr="00C210C5">
        <w:fldChar w:fldCharType="separate"/>
      </w:r>
      <w:r w:rsidR="004F34BE" w:rsidRPr="00C210C5">
        <w:rPr>
          <w:noProof/>
          <w:vertAlign w:val="superscript"/>
        </w:rPr>
        <w:t>32,33</w:t>
      </w:r>
      <w:r w:rsidR="000A6FC0" w:rsidRPr="00C210C5">
        <w:fldChar w:fldCharType="end"/>
      </w:r>
    </w:p>
    <w:p w14:paraId="23C3081B" w14:textId="2249F354" w:rsidR="000A6FC0" w:rsidRDefault="7BA59477" w:rsidP="008F0330">
      <w:pPr>
        <w:pStyle w:val="Bullets"/>
      </w:pPr>
      <w:r w:rsidRPr="00C210C5">
        <w:rPr>
          <w:b/>
          <w:bCs/>
          <w:i/>
          <w:iCs/>
        </w:rPr>
        <w:lastRenderedPageBreak/>
        <w:t xml:space="preserve">Partnership </w:t>
      </w:r>
      <w:r w:rsidRPr="00C210C5">
        <w:t xml:space="preserve">means that Government works in partnership with Māori for the governance, design, delivery, and monitoring of health improvement solutions. Because Pākehā comprise </w:t>
      </w:r>
      <w:bookmarkStart w:id="8" w:name="_Int_gEUZi7G9"/>
      <w:r w:rsidRPr="00C210C5">
        <w:t>the majority of</w:t>
      </w:r>
      <w:bookmarkEnd w:id="8"/>
      <w:r w:rsidRPr="00C210C5">
        <w:t xml:space="preserve"> people in Aotearoa New Zealand (around 70% </w:t>
      </w:r>
      <w:r w:rsidR="000A6FC0" w:rsidRPr="00C210C5">
        <w:fldChar w:fldCharType="begin"/>
      </w:r>
      <w:r w:rsidR="004F34BE" w:rsidRPr="00C210C5">
        <w:instrText xml:space="preserve"> ADDIN EN.CITE &lt;EndNote&gt;&lt;Cite&gt;&lt;Author&gt;Statistics New Zealand&lt;/Author&gt;&lt;Year&gt;2020&lt;/Year&gt;&lt;RecNum&gt;2399&lt;/RecNum&gt;&lt;DisplayText&gt;&lt;style face="superscript"&gt;34&lt;/style&gt;&lt;/DisplayText&gt;&lt;record&gt;&lt;rec-number&gt;2399&lt;/rec-number&gt;&lt;foreign-keys&gt;&lt;key app="EN" db-id="29925pxvs9tv00e00z5xtds2fravt5zt9f02" timestamp="0"&gt;2399&lt;/key&gt;&lt;/foreign-keys&gt;&lt;ref-type name="Web Page"&gt;12&lt;/ref-type&gt;&lt;contributors&gt;&lt;authors&gt;&lt;author&gt;Statistics New Zealand,&lt;/author&gt;&lt;/authors&gt;&lt;/contributors&gt;&lt;titles&gt;&lt;title&gt;Ethnic group summaries&lt;/title&gt;&lt;/titles&gt;&lt;number&gt;31/01/2022&lt;/number&gt;&lt;dates&gt;&lt;year&gt;2020&lt;/year&gt;&lt;/dates&gt;&lt;pub-location&gt;Wellington, New Zealand&lt;/pub-location&gt;&lt;publisher&gt;Statistics New Zealand&lt;/publisher&gt;&lt;urls&gt;&lt;related-urls&gt;&lt;url&gt;https://www.stats.govt.nz/news/ethnic-group-summaries-reveal-new-zealands-multicultural-make-up&lt;/url&gt;&lt;/related-urls&gt;&lt;/urls&gt;&lt;/record&gt;&lt;/Cite&gt;&lt;/EndNote&gt;</w:instrText>
      </w:r>
      <w:r w:rsidR="000A6FC0" w:rsidRPr="00C210C5">
        <w:fldChar w:fldCharType="separate"/>
      </w:r>
      <w:r w:rsidR="004F34BE" w:rsidRPr="00C210C5">
        <w:rPr>
          <w:noProof/>
          <w:vertAlign w:val="superscript"/>
        </w:rPr>
        <w:t>34</w:t>
      </w:r>
      <w:r w:rsidR="000A6FC0" w:rsidRPr="00C210C5">
        <w:fldChar w:fldCharType="end"/>
      </w:r>
      <w:r w:rsidRPr="00C210C5">
        <w:t>), health-related structures or activities that are aimed at ‘all New Zealanders’ will tend to be designed in a way that works best for Pākehā. As such, there is a tendency to passively create systems that work poorly for Māori, despite the need for these systems to work best for Māori to address inequities in health.</w:t>
      </w:r>
      <w:r w:rsidR="005C4C56" w:rsidRPr="00C210C5">
        <w:t xml:space="preserve"> </w:t>
      </w:r>
      <w:r w:rsidRPr="00C210C5">
        <w:t>To improve Māori health outcomes, we need strong Māori representation in healthcare governance, decision</w:t>
      </w:r>
      <w:r w:rsidR="00E60507" w:rsidRPr="00C210C5">
        <w:t xml:space="preserve"> </w:t>
      </w:r>
      <w:r w:rsidRPr="00C210C5">
        <w:t xml:space="preserve">making and policy development, so that Māori can influence the shape of our health system. The Government, and all New Zealanders, must help to facilitate this representation. In addition, working in direct partnership with Māori communities will help to ensure that the systems and structures that drive health outcomes – from food environments to education to our health care system – reflect a </w:t>
      </w:r>
      <w:proofErr w:type="spellStart"/>
      <w:r w:rsidRPr="00C210C5">
        <w:t>Te</w:t>
      </w:r>
      <w:proofErr w:type="spellEnd"/>
      <w:r w:rsidRPr="00C210C5">
        <w:t xml:space="preserve"> </w:t>
      </w:r>
      <w:proofErr w:type="spellStart"/>
      <w:r w:rsidRPr="00C210C5">
        <w:t>Ao</w:t>
      </w:r>
      <w:proofErr w:type="spellEnd"/>
      <w:r w:rsidRPr="00C210C5">
        <w:t xml:space="preserve"> Māori worldview, and will </w:t>
      </w:r>
      <w:bookmarkStart w:id="9" w:name="_Int_y1A3mWzA"/>
      <w:r w:rsidRPr="00C210C5">
        <w:t>actually serve</w:t>
      </w:r>
      <w:bookmarkEnd w:id="9"/>
      <w:r w:rsidRPr="00C210C5">
        <w:t xml:space="preserve"> the needs of Māori.</w:t>
      </w:r>
    </w:p>
    <w:p w14:paraId="1EB069EB" w14:textId="77777777" w:rsidR="000A1A70" w:rsidRPr="00C210C5" w:rsidRDefault="000A1A70" w:rsidP="000A1A70">
      <w:pPr>
        <w:pStyle w:val="Bullets"/>
        <w:numPr>
          <w:ilvl w:val="0"/>
          <w:numId w:val="0"/>
        </w:numPr>
        <w:ind w:left="1134" w:hanging="567"/>
      </w:pPr>
    </w:p>
    <w:p w14:paraId="05F42ED8" w14:textId="77777777" w:rsidR="005C4C56" w:rsidRPr="00C210C5" w:rsidRDefault="7BA59477" w:rsidP="008F0330">
      <w:pPr>
        <w:pStyle w:val="Numbers"/>
      </w:pPr>
      <w:r w:rsidRPr="00C210C5">
        <w:t xml:space="preserve">The final means by which </w:t>
      </w:r>
      <w:proofErr w:type="spellStart"/>
      <w:r w:rsidRPr="00C210C5">
        <w:t>Te</w:t>
      </w:r>
      <w:proofErr w:type="spellEnd"/>
      <w:r w:rsidRPr="00C210C5">
        <w:t xml:space="preserve"> </w:t>
      </w:r>
      <w:proofErr w:type="spellStart"/>
      <w:r w:rsidRPr="00C210C5">
        <w:t>Tiriti</w:t>
      </w:r>
      <w:proofErr w:type="spellEnd"/>
      <w:r w:rsidRPr="00C210C5">
        <w:t xml:space="preserve"> </w:t>
      </w:r>
      <w:r w:rsidR="00AA1F4E" w:rsidRPr="00C210C5">
        <w:t xml:space="preserve">o Waitangi </w:t>
      </w:r>
      <w:r w:rsidRPr="00C210C5">
        <w:t xml:space="preserve">can drive improvements in Māori health outcomes is by providing a clear timeline for the achievement of equity.  The year 2040 will mark 200 years since the signing of </w:t>
      </w:r>
      <w:proofErr w:type="spellStart"/>
      <w:r w:rsidRPr="00C210C5">
        <w:t>Te</w:t>
      </w:r>
      <w:proofErr w:type="spellEnd"/>
      <w:r w:rsidRPr="00C210C5">
        <w:t xml:space="preserve"> </w:t>
      </w:r>
      <w:proofErr w:type="spellStart"/>
      <w:r w:rsidRPr="00C210C5">
        <w:t>Tiriti</w:t>
      </w:r>
      <w:proofErr w:type="spellEnd"/>
      <w:r w:rsidR="00AA1F4E" w:rsidRPr="00C210C5">
        <w:t xml:space="preserve"> o Waitangi</w:t>
      </w:r>
      <w:r w:rsidRPr="00C210C5">
        <w:t xml:space="preserve">, and many of the interventions required to meaningfully address inequities in health outcomes – such as improving housing standards, food environments and health care access – will take years to implement.  </w:t>
      </w:r>
    </w:p>
    <w:p w14:paraId="0C1AB513" w14:textId="03B5D7AF" w:rsidR="000A6FC0" w:rsidRDefault="7BA59477" w:rsidP="008F0330">
      <w:pPr>
        <w:pStyle w:val="Numbers"/>
      </w:pPr>
      <w:r w:rsidRPr="00C210C5">
        <w:t xml:space="preserve">As such, the bicentenary of </w:t>
      </w:r>
      <w:proofErr w:type="spellStart"/>
      <w:r w:rsidRPr="00C210C5">
        <w:t>Te</w:t>
      </w:r>
      <w:proofErr w:type="spellEnd"/>
      <w:r w:rsidRPr="00C210C5">
        <w:t xml:space="preserve"> </w:t>
      </w:r>
      <w:proofErr w:type="spellStart"/>
      <w:r w:rsidRPr="00C210C5">
        <w:t>Tiriti</w:t>
      </w:r>
      <w:proofErr w:type="spellEnd"/>
      <w:r w:rsidRPr="00C210C5">
        <w:t xml:space="preserve"> </w:t>
      </w:r>
      <w:r w:rsidR="00AA1F4E" w:rsidRPr="00C210C5">
        <w:t xml:space="preserve">o Waitangi </w:t>
      </w:r>
      <w:r w:rsidRPr="00C210C5">
        <w:t xml:space="preserve">provides a ‘burning platform’, where the achievement of equitable health outcomes for Māori is seen as a problem that we all must solve as a fair and decent society.  Actions such as the creation of </w:t>
      </w:r>
      <w:proofErr w:type="spellStart"/>
      <w:r w:rsidRPr="00C210C5">
        <w:t>Te</w:t>
      </w:r>
      <w:proofErr w:type="spellEnd"/>
      <w:r w:rsidRPr="00C210C5">
        <w:t xml:space="preserve"> Aka </w:t>
      </w:r>
      <w:proofErr w:type="spellStart"/>
      <w:r w:rsidRPr="00C210C5">
        <w:t>Whai</w:t>
      </w:r>
      <w:proofErr w:type="spellEnd"/>
      <w:r w:rsidRPr="00C210C5">
        <w:t xml:space="preserve"> Ora and the empowerment of </w:t>
      </w:r>
      <w:proofErr w:type="spellStart"/>
      <w:r w:rsidRPr="00C210C5">
        <w:t>kaupapa</w:t>
      </w:r>
      <w:proofErr w:type="spellEnd"/>
      <w:r w:rsidRPr="00C210C5">
        <w:t xml:space="preserve"> Māori solutions are significant signs of progress that we must continue to build upon </w:t>
      </w:r>
      <w:bookmarkStart w:id="10" w:name="_Int_eKcFa138"/>
      <w:r w:rsidRPr="00C210C5">
        <w:t>in order to</w:t>
      </w:r>
      <w:bookmarkEnd w:id="10"/>
      <w:r w:rsidRPr="00C210C5">
        <w:t xml:space="preserve"> deliver on the principles of </w:t>
      </w:r>
      <w:proofErr w:type="spellStart"/>
      <w:r w:rsidRPr="00C210C5">
        <w:t>Te</w:t>
      </w:r>
      <w:proofErr w:type="spellEnd"/>
      <w:r w:rsidRPr="00C210C5">
        <w:t xml:space="preserve"> </w:t>
      </w:r>
      <w:proofErr w:type="spellStart"/>
      <w:r w:rsidRPr="00C210C5">
        <w:t>Tiriti</w:t>
      </w:r>
      <w:proofErr w:type="spellEnd"/>
      <w:r w:rsidR="00AA1F4E" w:rsidRPr="00C210C5">
        <w:t xml:space="preserve"> o Waitangi</w:t>
      </w:r>
      <w:r w:rsidRPr="00C210C5">
        <w:t>.</w:t>
      </w:r>
    </w:p>
    <w:p w14:paraId="0F07A6F9" w14:textId="77777777" w:rsidR="00D277CE" w:rsidRDefault="00D277CE" w:rsidP="00837C13">
      <w:pPr>
        <w:pStyle w:val="Numbers"/>
        <w:numPr>
          <w:ilvl w:val="0"/>
          <w:numId w:val="0"/>
        </w:numPr>
        <w:ind w:left="567"/>
      </w:pPr>
    </w:p>
    <w:p w14:paraId="711F9A8E" w14:textId="77777777" w:rsidR="0037252D" w:rsidRDefault="0037252D" w:rsidP="00837C13">
      <w:pPr>
        <w:pStyle w:val="Numbers"/>
        <w:numPr>
          <w:ilvl w:val="0"/>
          <w:numId w:val="0"/>
        </w:numPr>
        <w:ind w:left="567"/>
      </w:pPr>
    </w:p>
    <w:p w14:paraId="6B1D0730" w14:textId="6CF1A671" w:rsidR="00837C13" w:rsidRPr="001F4C85" w:rsidRDefault="00837C13" w:rsidP="004F6294">
      <w:pPr>
        <w:jc w:val="center"/>
        <w:rPr>
          <w:rFonts w:ascii="Segoe UI" w:hAnsi="Segoe UI" w:cs="Segoe UI"/>
          <w:sz w:val="20"/>
          <w:szCs w:val="20"/>
        </w:rPr>
      </w:pPr>
      <w:r w:rsidRPr="001F4C85">
        <w:rPr>
          <w:rFonts w:ascii="Segoe UI" w:hAnsi="Segoe UI" w:cs="Segoe UI"/>
          <w:sz w:val="20"/>
          <w:szCs w:val="20"/>
        </w:rPr>
        <w:t>HP</w:t>
      </w:r>
      <w:r w:rsidR="0037252D" w:rsidRPr="001F4C85">
        <w:rPr>
          <w:rFonts w:ascii="Segoe UI" w:hAnsi="Segoe UI" w:cs="Segoe UI"/>
          <w:sz w:val="20"/>
          <w:szCs w:val="20"/>
        </w:rPr>
        <w:t xml:space="preserve"> </w:t>
      </w:r>
      <w:r w:rsidR="00ED641D" w:rsidRPr="001F4C85">
        <w:rPr>
          <w:rFonts w:ascii="Segoe UI" w:hAnsi="Segoe UI" w:cs="Segoe UI"/>
          <w:sz w:val="20"/>
          <w:szCs w:val="20"/>
        </w:rPr>
        <w:t>8856</w:t>
      </w:r>
    </w:p>
    <w:p w14:paraId="10ECBD4E" w14:textId="77777777" w:rsidR="00F37215" w:rsidRPr="00C210C5" w:rsidRDefault="00F37215" w:rsidP="00F37215">
      <w:pPr>
        <w:spacing w:after="0"/>
        <w:rPr>
          <w:rFonts w:ascii="Segoe UI" w:eastAsia="Times New Roman" w:hAnsi="Segoe UI" w:cs="Segoe UI"/>
          <w:b/>
          <w:lang w:val="en-NZ" w:eastAsia="en-NZ"/>
        </w:rPr>
      </w:pPr>
      <w:r w:rsidRPr="00C210C5">
        <w:rPr>
          <w:rFonts w:ascii="Segoe UI" w:hAnsi="Segoe UI" w:cs="Segoe UI"/>
          <w:b/>
          <w:lang w:val="en-NZ" w:eastAsia="en-NZ"/>
        </w:rPr>
        <w:br w:type="page"/>
      </w:r>
    </w:p>
    <w:p w14:paraId="11682D6A" w14:textId="45C19689" w:rsidR="003F6F69" w:rsidRPr="00C210C5" w:rsidRDefault="003A02C6" w:rsidP="00941242">
      <w:pPr>
        <w:pStyle w:val="H2"/>
        <w:rPr>
          <w:sz w:val="20"/>
          <w:szCs w:val="20"/>
        </w:rPr>
      </w:pPr>
      <w:r w:rsidRPr="00EA29BA">
        <w:lastRenderedPageBreak/>
        <w:t>References</w:t>
      </w:r>
    </w:p>
    <w:p w14:paraId="68701749" w14:textId="7ED44BB5" w:rsidR="004F34BE" w:rsidRPr="00C90891" w:rsidRDefault="003F6F69" w:rsidP="00207C3D">
      <w:pPr>
        <w:pStyle w:val="EndNoteBibliography"/>
        <w:spacing w:afterLines="40" w:after="96"/>
        <w:ind w:left="567" w:hanging="567"/>
        <w:rPr>
          <w:rStyle w:val="Hyperlink"/>
          <w:rFonts w:cs="Segoe UI"/>
          <w:szCs w:val="20"/>
        </w:rPr>
      </w:pPr>
      <w:r w:rsidRPr="00C90891">
        <w:rPr>
          <w:rFonts w:ascii="Segoe UI" w:hAnsi="Segoe UI" w:cs="Segoe UI"/>
          <w:noProof w:val="0"/>
          <w:sz w:val="20"/>
          <w:szCs w:val="20"/>
          <w:lang w:val="en-NZ"/>
        </w:rPr>
        <w:fldChar w:fldCharType="begin"/>
      </w:r>
      <w:r w:rsidRPr="00C90891">
        <w:rPr>
          <w:rFonts w:ascii="Segoe UI" w:hAnsi="Segoe UI" w:cs="Segoe UI"/>
          <w:noProof w:val="0"/>
          <w:sz w:val="20"/>
          <w:szCs w:val="20"/>
          <w:lang w:val="en-NZ"/>
        </w:rPr>
        <w:instrText xml:space="preserve"> ADDIN EN.REFLIST </w:instrText>
      </w:r>
      <w:r w:rsidRPr="00C90891">
        <w:rPr>
          <w:rFonts w:ascii="Segoe UI" w:hAnsi="Segoe UI" w:cs="Segoe UI"/>
          <w:noProof w:val="0"/>
          <w:sz w:val="20"/>
          <w:szCs w:val="20"/>
          <w:lang w:val="en-NZ"/>
        </w:rPr>
        <w:fldChar w:fldCharType="separate"/>
      </w:r>
      <w:r w:rsidR="004F34BE" w:rsidRPr="00C90891">
        <w:rPr>
          <w:rFonts w:ascii="Segoe UI" w:hAnsi="Segoe UI" w:cs="Segoe UI"/>
          <w:sz w:val="20"/>
          <w:szCs w:val="20"/>
        </w:rPr>
        <w:t>1.</w:t>
      </w:r>
      <w:r w:rsidR="004F34BE" w:rsidRPr="00C90891">
        <w:rPr>
          <w:rFonts w:ascii="Segoe UI" w:hAnsi="Segoe UI" w:cs="Segoe UI"/>
          <w:sz w:val="20"/>
          <w:szCs w:val="20"/>
        </w:rPr>
        <w:tab/>
        <w:t xml:space="preserve">New Zealand Government. Pae Ora (Healthy Futures) Act 2022. </w:t>
      </w:r>
      <w:hyperlink r:id="rId14" w:history="1">
        <w:r w:rsidR="004F34BE" w:rsidRPr="00C90891">
          <w:rPr>
            <w:rStyle w:val="Hyperlink"/>
            <w:rFonts w:cs="Segoe UI"/>
            <w:szCs w:val="20"/>
          </w:rPr>
          <w:t>https://www.legislation.govt.nz/act/public/2022/0030/latest/LMS575405.html</w:t>
        </w:r>
      </w:hyperlink>
    </w:p>
    <w:p w14:paraId="32B06FD1" w14:textId="3EA2A1F5"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w:t>
      </w:r>
      <w:r w:rsidRPr="00C90891">
        <w:rPr>
          <w:rFonts w:ascii="Segoe UI" w:hAnsi="Segoe UI" w:cs="Segoe UI"/>
          <w:sz w:val="20"/>
          <w:szCs w:val="20"/>
        </w:rPr>
        <w:tab/>
        <w:t xml:space="preserve">United Nations. </w:t>
      </w:r>
      <w:r w:rsidRPr="00C90891">
        <w:rPr>
          <w:rFonts w:ascii="Segoe UI" w:hAnsi="Segoe UI" w:cs="Segoe UI"/>
          <w:i/>
          <w:sz w:val="20"/>
          <w:szCs w:val="20"/>
        </w:rPr>
        <w:t>Universal Declaration of Human Rights</w:t>
      </w:r>
      <w:r w:rsidRPr="00C90891">
        <w:rPr>
          <w:rFonts w:ascii="Segoe UI" w:hAnsi="Segoe UI" w:cs="Segoe UI"/>
          <w:sz w:val="20"/>
          <w:szCs w:val="20"/>
        </w:rPr>
        <w:t xml:space="preserve">. 1948. </w:t>
      </w:r>
      <w:hyperlink r:id="rId15" w:history="1">
        <w:r w:rsidRPr="00C90891">
          <w:rPr>
            <w:rStyle w:val="Hyperlink"/>
            <w:rFonts w:cs="Segoe UI"/>
            <w:szCs w:val="20"/>
          </w:rPr>
          <w:t>https://www.un.org/en/about-us/universal-declaration-of-human-rights</w:t>
        </w:r>
      </w:hyperlink>
    </w:p>
    <w:p w14:paraId="2DAD0C3D" w14:textId="5470EAFA"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3.</w:t>
      </w:r>
      <w:r w:rsidRPr="00C90891">
        <w:rPr>
          <w:rFonts w:ascii="Segoe UI" w:hAnsi="Segoe UI" w:cs="Segoe UI"/>
          <w:sz w:val="20"/>
          <w:szCs w:val="20"/>
        </w:rPr>
        <w:tab/>
        <w:t xml:space="preserve">United Nations. </w:t>
      </w:r>
      <w:r w:rsidRPr="00C90891">
        <w:rPr>
          <w:rFonts w:ascii="Segoe UI" w:hAnsi="Segoe UI" w:cs="Segoe UI"/>
          <w:i/>
          <w:sz w:val="20"/>
          <w:szCs w:val="20"/>
        </w:rPr>
        <w:t>International Covenant on Economic Social and Cultural Rights (ICESCR), and the International Covenant on Civil and Political Rights (ICCPR)</w:t>
      </w:r>
      <w:r w:rsidRPr="00C90891">
        <w:rPr>
          <w:rFonts w:ascii="Segoe UI" w:hAnsi="Segoe UI" w:cs="Segoe UI"/>
          <w:sz w:val="20"/>
          <w:szCs w:val="20"/>
        </w:rPr>
        <w:t xml:space="preserve">. 1966. </w:t>
      </w:r>
      <w:hyperlink r:id="rId16" w:history="1">
        <w:r w:rsidRPr="00C90891">
          <w:rPr>
            <w:rStyle w:val="Hyperlink"/>
            <w:rFonts w:cs="Segoe UI"/>
            <w:szCs w:val="20"/>
          </w:rPr>
          <w:t>https://www.ohchr.org/en/what-are-human-rights/international-bill-human-rights</w:t>
        </w:r>
      </w:hyperlink>
    </w:p>
    <w:p w14:paraId="455C477F"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4.</w:t>
      </w:r>
      <w:r w:rsidRPr="00C90891">
        <w:rPr>
          <w:rFonts w:ascii="Segoe UI" w:hAnsi="Segoe UI" w:cs="Segoe UI"/>
          <w:sz w:val="20"/>
          <w:szCs w:val="20"/>
        </w:rPr>
        <w:tab/>
        <w:t>World Health Organisation. Ottawa Charter for Health Promotion. 1986;</w:t>
      </w:r>
    </w:p>
    <w:p w14:paraId="3E93356F" w14:textId="2F889CD2" w:rsidR="004F34BE" w:rsidRPr="00C90891" w:rsidRDefault="004F34BE" w:rsidP="00207C3D">
      <w:pPr>
        <w:pStyle w:val="EndNoteBibliography"/>
        <w:spacing w:afterLines="40" w:after="96"/>
        <w:ind w:left="567" w:hanging="567"/>
        <w:rPr>
          <w:rStyle w:val="Hyperlink"/>
          <w:rFonts w:cs="Segoe UI"/>
          <w:szCs w:val="20"/>
        </w:rPr>
      </w:pPr>
      <w:r w:rsidRPr="00C90891">
        <w:rPr>
          <w:rFonts w:ascii="Segoe UI" w:hAnsi="Segoe UI" w:cs="Segoe UI"/>
          <w:sz w:val="20"/>
          <w:szCs w:val="20"/>
        </w:rPr>
        <w:t>5.</w:t>
      </w:r>
      <w:r w:rsidRPr="00C90891">
        <w:rPr>
          <w:rFonts w:ascii="Segoe UI" w:hAnsi="Segoe UI" w:cs="Segoe UI"/>
          <w:sz w:val="20"/>
          <w:szCs w:val="20"/>
        </w:rPr>
        <w:tab/>
        <w:t xml:space="preserve">Royal Society of New Zealand. </w:t>
      </w:r>
      <w:r w:rsidRPr="00C90891">
        <w:rPr>
          <w:rFonts w:ascii="Segoe UI" w:hAnsi="Segoe UI" w:cs="Segoe UI"/>
          <w:i/>
          <w:sz w:val="20"/>
          <w:szCs w:val="20"/>
        </w:rPr>
        <w:t>Te Tapeke: Fair Futures in Aotearoa</w:t>
      </w:r>
      <w:r w:rsidRPr="00C90891">
        <w:rPr>
          <w:rFonts w:ascii="Segoe UI" w:hAnsi="Segoe UI" w:cs="Segoe UI"/>
          <w:sz w:val="20"/>
          <w:szCs w:val="20"/>
        </w:rPr>
        <w:t xml:space="preserve">. 2020. </w:t>
      </w:r>
      <w:hyperlink r:id="rId17" w:history="1">
        <w:r w:rsidRPr="00C90891">
          <w:rPr>
            <w:rStyle w:val="Hyperlink"/>
            <w:rFonts w:cs="Segoe UI"/>
            <w:szCs w:val="20"/>
          </w:rPr>
          <w:t>https://www.royalsociety.org.nz/assets/Te-Tapeke-Fair-Futures-in-Aotearoa-key-concepts.pdf</w:t>
        </w:r>
      </w:hyperlink>
    </w:p>
    <w:p w14:paraId="1FF2CEA2"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6.</w:t>
      </w:r>
      <w:r w:rsidRPr="00C90891">
        <w:rPr>
          <w:rFonts w:ascii="Segoe UI" w:hAnsi="Segoe UI" w:cs="Segoe UI"/>
          <w:sz w:val="20"/>
          <w:szCs w:val="20"/>
        </w:rPr>
        <w:tab/>
        <w:t xml:space="preserve">Reid P, Robson B. Understanding health inequities. In: Robson B, Harris R, eds. </w:t>
      </w:r>
      <w:r w:rsidRPr="00C90891">
        <w:rPr>
          <w:rFonts w:ascii="Segoe UI" w:hAnsi="Segoe UI" w:cs="Segoe UI"/>
          <w:i/>
          <w:sz w:val="20"/>
          <w:szCs w:val="20"/>
        </w:rPr>
        <w:t>Hauora: Māori standards of health IV: A study of the years 2000-2005</w:t>
      </w:r>
      <w:r w:rsidRPr="00C90891">
        <w:rPr>
          <w:rFonts w:ascii="Segoe UI" w:hAnsi="Segoe UI" w:cs="Segoe UI"/>
          <w:sz w:val="20"/>
          <w:szCs w:val="20"/>
        </w:rPr>
        <w:t>. Te Rōpū Rangahau Hauora a Eru Pōmare, University of Otago; 2007.</w:t>
      </w:r>
    </w:p>
    <w:p w14:paraId="2AD68DD6" w14:textId="53623FA3"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7.</w:t>
      </w:r>
      <w:r w:rsidRPr="00C90891">
        <w:rPr>
          <w:rFonts w:ascii="Segoe UI" w:hAnsi="Segoe UI" w:cs="Segoe UI"/>
          <w:sz w:val="20"/>
          <w:szCs w:val="20"/>
        </w:rPr>
        <w:tab/>
        <w:t xml:space="preserve">Ministry of Health. Achieving equity. Ministry of Health. </w:t>
      </w:r>
      <w:hyperlink r:id="rId18" w:history="1">
        <w:r w:rsidRPr="00C90891">
          <w:rPr>
            <w:rStyle w:val="Hyperlink"/>
            <w:rFonts w:cs="Segoe UI"/>
            <w:szCs w:val="20"/>
          </w:rPr>
          <w:t>https://www.health.govt.nz/about-ministry/what-we-do/achieving-equity</w:t>
        </w:r>
      </w:hyperlink>
    </w:p>
    <w:p w14:paraId="5E6EC1A0" w14:textId="64079D3E"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8.</w:t>
      </w:r>
      <w:r w:rsidRPr="00C90891">
        <w:rPr>
          <w:rFonts w:ascii="Segoe UI" w:hAnsi="Segoe UI" w:cs="Segoe UI"/>
          <w:sz w:val="20"/>
          <w:szCs w:val="20"/>
        </w:rPr>
        <w:tab/>
        <w:t xml:space="preserve">Te Tiriti o Waitangi: The Treaty of Waitangi. </w:t>
      </w:r>
      <w:hyperlink r:id="rId19" w:history="1">
        <w:r w:rsidRPr="00C90891">
          <w:rPr>
            <w:rStyle w:val="Hyperlink"/>
            <w:rFonts w:cs="Segoe UI"/>
            <w:szCs w:val="20"/>
          </w:rPr>
          <w:t>https://www.archives.govt.nz/discover-our-stories/the-treaty-of-waitangi</w:t>
        </w:r>
      </w:hyperlink>
    </w:p>
    <w:p w14:paraId="34BE88B9" w14:textId="64C85274"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9.</w:t>
      </w:r>
      <w:r w:rsidRPr="00C90891">
        <w:rPr>
          <w:rFonts w:ascii="Segoe UI" w:hAnsi="Segoe UI" w:cs="Segoe UI"/>
          <w:sz w:val="20"/>
          <w:szCs w:val="20"/>
        </w:rPr>
        <w:tab/>
        <w:t xml:space="preserve">Keith K. On the Constitution of New Zealand: An Introduction to the Foundations of the Current Form of Government. </w:t>
      </w:r>
      <w:hyperlink r:id="rId20" w:history="1">
        <w:r w:rsidRPr="00C90891">
          <w:rPr>
            <w:rStyle w:val="Hyperlink"/>
            <w:rFonts w:cs="Segoe UI"/>
            <w:szCs w:val="20"/>
          </w:rPr>
          <w:t>https://gg.govt.nz/office-governor-general/roles-and-functions-governor-general/constitutional-role/constitution</w:t>
        </w:r>
      </w:hyperlink>
    </w:p>
    <w:p w14:paraId="28F1067F"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10.</w:t>
      </w:r>
      <w:r w:rsidRPr="00C90891">
        <w:rPr>
          <w:rFonts w:ascii="Segoe UI" w:hAnsi="Segoe UI" w:cs="Segoe UI"/>
          <w:sz w:val="20"/>
          <w:szCs w:val="20"/>
        </w:rPr>
        <w:tab/>
        <w:t xml:space="preserve">Reid P, Paine SJ, Curtis E, et al. Achieving health equity in aotearoa: Strengthening responsiveness to Maori in health research. Article. </w:t>
      </w:r>
      <w:r w:rsidRPr="00C90891">
        <w:rPr>
          <w:rFonts w:ascii="Segoe UI" w:hAnsi="Segoe UI" w:cs="Segoe UI"/>
          <w:i/>
          <w:sz w:val="20"/>
          <w:szCs w:val="20"/>
        </w:rPr>
        <w:t>New Zealand Medical Journal</w:t>
      </w:r>
      <w:r w:rsidRPr="00C90891">
        <w:rPr>
          <w:rFonts w:ascii="Segoe UI" w:hAnsi="Segoe UI" w:cs="Segoe UI"/>
          <w:sz w:val="20"/>
          <w:szCs w:val="20"/>
        </w:rPr>
        <w:t xml:space="preserve">. 2017;130(1465):96-103. </w:t>
      </w:r>
    </w:p>
    <w:p w14:paraId="19A5DB1F" w14:textId="5D933FFE" w:rsidR="004F34BE" w:rsidRPr="00C90891" w:rsidRDefault="004F34BE" w:rsidP="00207C3D">
      <w:pPr>
        <w:pStyle w:val="EndNoteBibliography"/>
        <w:spacing w:afterLines="40" w:after="96"/>
        <w:ind w:left="567" w:hanging="567"/>
        <w:rPr>
          <w:rStyle w:val="Hyperlink"/>
          <w:rFonts w:cs="Segoe UI"/>
          <w:szCs w:val="20"/>
        </w:rPr>
      </w:pPr>
      <w:r w:rsidRPr="00C90891">
        <w:rPr>
          <w:rFonts w:ascii="Segoe UI" w:hAnsi="Segoe UI" w:cs="Segoe UI"/>
          <w:sz w:val="20"/>
          <w:szCs w:val="20"/>
        </w:rPr>
        <w:t>11.</w:t>
      </w:r>
      <w:r w:rsidRPr="00C90891">
        <w:rPr>
          <w:rFonts w:ascii="Segoe UI" w:hAnsi="Segoe UI" w:cs="Segoe UI"/>
          <w:sz w:val="20"/>
          <w:szCs w:val="20"/>
        </w:rPr>
        <w:tab/>
        <w:t xml:space="preserve">Waitangi Tribunal. </w:t>
      </w:r>
      <w:r w:rsidRPr="00C90891">
        <w:rPr>
          <w:rFonts w:ascii="Segoe UI" w:hAnsi="Segoe UI" w:cs="Segoe UI"/>
          <w:i/>
          <w:sz w:val="20"/>
          <w:szCs w:val="20"/>
        </w:rPr>
        <w:t>HAUORA: Report on Stage One of the Health Services and Outcomes Kaupapa Inquiry - WAI 2575</w:t>
      </w:r>
      <w:r w:rsidRPr="00C90891">
        <w:rPr>
          <w:rFonts w:ascii="Segoe UI" w:hAnsi="Segoe UI" w:cs="Segoe UI"/>
          <w:sz w:val="20"/>
          <w:szCs w:val="20"/>
        </w:rPr>
        <w:t xml:space="preserve">. 2019. </w:t>
      </w:r>
      <w:hyperlink r:id="rId21" w:history="1">
        <w:r w:rsidRPr="00C90891">
          <w:rPr>
            <w:rStyle w:val="Hyperlink"/>
            <w:rFonts w:cs="Segoe UI"/>
            <w:szCs w:val="20"/>
          </w:rPr>
          <w:t>https://forms.justice.govt.nz/search/Documents/WT/wt_DOC_152801817/Hauora%20W.pdf</w:t>
        </w:r>
      </w:hyperlink>
    </w:p>
    <w:p w14:paraId="00B59515"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12.</w:t>
      </w:r>
      <w:r w:rsidRPr="00C90891">
        <w:rPr>
          <w:rFonts w:ascii="Segoe UI" w:hAnsi="Segoe UI" w:cs="Segoe UI"/>
          <w:sz w:val="20"/>
          <w:szCs w:val="20"/>
        </w:rPr>
        <w:tab/>
        <w:t xml:space="preserve">Crampton P. Oh my. </w:t>
      </w:r>
      <w:r w:rsidRPr="00C90891">
        <w:rPr>
          <w:rFonts w:ascii="Segoe UI" w:hAnsi="Segoe UI" w:cs="Segoe UI"/>
          <w:i/>
          <w:sz w:val="20"/>
          <w:szCs w:val="20"/>
        </w:rPr>
        <w:t>New Zealand Medical Journal</w:t>
      </w:r>
      <w:r w:rsidRPr="00C90891">
        <w:rPr>
          <w:rFonts w:ascii="Segoe UI" w:hAnsi="Segoe UI" w:cs="Segoe UI"/>
          <w:sz w:val="20"/>
          <w:szCs w:val="20"/>
        </w:rPr>
        <w:t xml:space="preserve">. 2020;133(1524):8-10. </w:t>
      </w:r>
    </w:p>
    <w:p w14:paraId="093C5E5F" w14:textId="004364FB" w:rsidR="004F34BE" w:rsidRPr="00C90891" w:rsidRDefault="004F34BE" w:rsidP="00207C3D">
      <w:pPr>
        <w:pStyle w:val="EndNoteBibliography"/>
        <w:spacing w:afterLines="40" w:after="96"/>
        <w:ind w:left="567" w:hanging="567"/>
        <w:rPr>
          <w:rStyle w:val="Hyperlink"/>
          <w:rFonts w:cs="Segoe UI"/>
          <w:szCs w:val="20"/>
        </w:rPr>
      </w:pPr>
      <w:r w:rsidRPr="00C90891">
        <w:rPr>
          <w:rFonts w:ascii="Segoe UI" w:hAnsi="Segoe UI" w:cs="Segoe UI"/>
          <w:sz w:val="20"/>
          <w:szCs w:val="20"/>
        </w:rPr>
        <w:t>13.</w:t>
      </w:r>
      <w:r w:rsidRPr="00C90891">
        <w:rPr>
          <w:rFonts w:ascii="Segoe UI" w:hAnsi="Segoe UI" w:cs="Segoe UI"/>
          <w:sz w:val="20"/>
          <w:szCs w:val="20"/>
        </w:rPr>
        <w:tab/>
        <w:t xml:space="preserve">Statistics New Zealand. National and subnational period life tables: 2017–2019. </w:t>
      </w:r>
      <w:hyperlink r:id="rId22" w:history="1">
        <w:r w:rsidRPr="00C90891">
          <w:rPr>
            <w:rStyle w:val="Hyperlink"/>
            <w:rFonts w:cs="Segoe UI"/>
            <w:szCs w:val="20"/>
          </w:rPr>
          <w:t>https://www.stats.govt.nz/information-releases/national-and-subnational-period-life-tables-2017-2019</w:t>
        </w:r>
      </w:hyperlink>
    </w:p>
    <w:p w14:paraId="435F9166"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14.</w:t>
      </w:r>
      <w:r w:rsidRPr="00C90891">
        <w:rPr>
          <w:rFonts w:ascii="Segoe UI" w:hAnsi="Segoe UI" w:cs="Segoe UI"/>
          <w:sz w:val="20"/>
          <w:szCs w:val="20"/>
        </w:rPr>
        <w:tab/>
        <w:t xml:space="preserve">Gurney J, Robson B, Koea J, Scott N, Stanley J, Sarfati D. The most commonly diagnosed and most common causes of cancer death for Maori New Zealanders. </w:t>
      </w:r>
      <w:r w:rsidRPr="00C90891">
        <w:rPr>
          <w:rFonts w:ascii="Segoe UI" w:hAnsi="Segoe UI" w:cs="Segoe UI"/>
          <w:i/>
          <w:sz w:val="20"/>
          <w:szCs w:val="20"/>
        </w:rPr>
        <w:t>New Zealand Medical Journal</w:t>
      </w:r>
      <w:r w:rsidRPr="00C90891">
        <w:rPr>
          <w:rFonts w:ascii="Segoe UI" w:hAnsi="Segoe UI" w:cs="Segoe UI"/>
          <w:sz w:val="20"/>
          <w:szCs w:val="20"/>
        </w:rPr>
        <w:t xml:space="preserve">. 2020;133:77-96. </w:t>
      </w:r>
    </w:p>
    <w:p w14:paraId="43BD3F0C" w14:textId="6AC13B2A"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15.</w:t>
      </w:r>
      <w:r w:rsidRPr="00C90891">
        <w:rPr>
          <w:rFonts w:ascii="Segoe UI" w:hAnsi="Segoe UI" w:cs="Segoe UI"/>
          <w:sz w:val="20"/>
          <w:szCs w:val="20"/>
        </w:rPr>
        <w:tab/>
        <w:t xml:space="preserve">Gurney J, Stanley J, McLeod M, Koea J, Jackson C, Sarfati D. Disparities in Cancer-Specific Survival Between Māori and Non-Māori New Zealanders, 2007-2016. </w:t>
      </w:r>
      <w:r w:rsidRPr="00C90891">
        <w:rPr>
          <w:rFonts w:ascii="Segoe UI" w:hAnsi="Segoe UI" w:cs="Segoe UI"/>
          <w:i/>
          <w:sz w:val="20"/>
          <w:szCs w:val="20"/>
        </w:rPr>
        <w:t>JCO Global Oncology</w:t>
      </w:r>
      <w:r w:rsidRPr="00C90891">
        <w:rPr>
          <w:rFonts w:ascii="Segoe UI" w:hAnsi="Segoe UI" w:cs="Segoe UI"/>
          <w:sz w:val="20"/>
          <w:szCs w:val="20"/>
        </w:rPr>
        <w:t xml:space="preserve">. </w:t>
      </w:r>
      <w:r w:rsidR="00827070" w:rsidRPr="00C90891">
        <w:rPr>
          <w:rFonts w:ascii="Segoe UI" w:hAnsi="Segoe UI" w:cs="Segoe UI"/>
          <w:sz w:val="20"/>
          <w:szCs w:val="20"/>
        </w:rPr>
        <w:br/>
      </w:r>
      <w:r w:rsidRPr="00C90891">
        <w:rPr>
          <w:rFonts w:ascii="Segoe UI" w:hAnsi="Segoe UI" w:cs="Segoe UI"/>
          <w:sz w:val="20"/>
          <w:szCs w:val="20"/>
        </w:rPr>
        <w:t>Jun 2020;6:766-774. doi:10.1200/go.20.00028</w:t>
      </w:r>
    </w:p>
    <w:p w14:paraId="20D07075" w14:textId="7508B97F"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16.</w:t>
      </w:r>
      <w:r w:rsidRPr="00C90891">
        <w:rPr>
          <w:rFonts w:ascii="Segoe UI" w:hAnsi="Segoe UI" w:cs="Segoe UI"/>
          <w:sz w:val="20"/>
          <w:szCs w:val="20"/>
        </w:rPr>
        <w:tab/>
        <w:t xml:space="preserve">Feigin VL, Krishnamurthi RV, Barker-Collo S, et al. 30-Year Trends in Stroke Rates and Outcome in Auckland, New Zealand (1981-2012): A Multi-Ethnic Population-Based Series of Studies. </w:t>
      </w:r>
      <w:r w:rsidR="00827070" w:rsidRPr="00C90891">
        <w:rPr>
          <w:rFonts w:ascii="Segoe UI" w:hAnsi="Segoe UI" w:cs="Segoe UI"/>
          <w:sz w:val="20"/>
          <w:szCs w:val="20"/>
        </w:rPr>
        <w:br/>
      </w:r>
      <w:r w:rsidRPr="00C90891">
        <w:rPr>
          <w:rFonts w:ascii="Segoe UI" w:hAnsi="Segoe UI" w:cs="Segoe UI"/>
          <w:i/>
          <w:sz w:val="20"/>
          <w:szCs w:val="20"/>
        </w:rPr>
        <w:t>PLOS ONE</w:t>
      </w:r>
      <w:r w:rsidRPr="00C90891">
        <w:rPr>
          <w:rFonts w:ascii="Segoe UI" w:hAnsi="Segoe UI" w:cs="Segoe UI"/>
          <w:sz w:val="20"/>
          <w:szCs w:val="20"/>
        </w:rPr>
        <w:t>. 2015;10(8):e0134609. doi:10.1371/journal.pone.0134609</w:t>
      </w:r>
    </w:p>
    <w:p w14:paraId="7E0F6905" w14:textId="3E7A4DD5"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17.</w:t>
      </w:r>
      <w:r w:rsidRPr="00C90891">
        <w:rPr>
          <w:rFonts w:ascii="Segoe UI" w:hAnsi="Segoe UI" w:cs="Segoe UI"/>
          <w:sz w:val="20"/>
          <w:szCs w:val="20"/>
        </w:rPr>
        <w:tab/>
        <w:t xml:space="preserve">Gurney J, Stanley J, Sarfati D. The inequity of morbidity: Disparities in the prevalence of morbidity between ethnic groups in New Zealand. </w:t>
      </w:r>
      <w:r w:rsidRPr="00C90891">
        <w:rPr>
          <w:rFonts w:ascii="Segoe UI" w:hAnsi="Segoe UI" w:cs="Segoe UI"/>
          <w:i/>
          <w:sz w:val="20"/>
          <w:szCs w:val="20"/>
        </w:rPr>
        <w:t>Journal of comorbidity</w:t>
      </w:r>
      <w:r w:rsidRPr="00C90891">
        <w:rPr>
          <w:rFonts w:ascii="Segoe UI" w:hAnsi="Segoe UI" w:cs="Segoe UI"/>
          <w:sz w:val="20"/>
          <w:szCs w:val="20"/>
        </w:rPr>
        <w:t>. Jan-Dec 2020;</w:t>
      </w:r>
      <w:r w:rsidR="00827070" w:rsidRPr="00C90891">
        <w:rPr>
          <w:rFonts w:ascii="Segoe UI" w:hAnsi="Segoe UI" w:cs="Segoe UI"/>
          <w:sz w:val="20"/>
          <w:szCs w:val="20"/>
        </w:rPr>
        <w:br/>
      </w:r>
      <w:r w:rsidRPr="00C90891">
        <w:rPr>
          <w:rFonts w:ascii="Segoe UI" w:hAnsi="Segoe UI" w:cs="Segoe UI"/>
          <w:sz w:val="20"/>
          <w:szCs w:val="20"/>
        </w:rPr>
        <w:t>10:2235042x20971168. doi:10.1177/2235042x20971168</w:t>
      </w:r>
    </w:p>
    <w:p w14:paraId="5FB8D5CF" w14:textId="0178D29B" w:rsidR="004F34BE" w:rsidRPr="00C90891" w:rsidRDefault="004F34BE" w:rsidP="00207C3D">
      <w:pPr>
        <w:pStyle w:val="EndNoteBibliography"/>
        <w:spacing w:afterLines="40" w:after="96"/>
        <w:ind w:left="567" w:hanging="567"/>
        <w:rPr>
          <w:rStyle w:val="Hyperlink"/>
          <w:rFonts w:cs="Segoe UI"/>
          <w:szCs w:val="20"/>
        </w:rPr>
      </w:pPr>
      <w:r w:rsidRPr="00C90891">
        <w:rPr>
          <w:rFonts w:ascii="Segoe UI" w:hAnsi="Segoe UI" w:cs="Segoe UI"/>
          <w:sz w:val="20"/>
          <w:szCs w:val="20"/>
        </w:rPr>
        <w:lastRenderedPageBreak/>
        <w:t>18.</w:t>
      </w:r>
      <w:r w:rsidRPr="00C90891">
        <w:rPr>
          <w:rFonts w:ascii="Segoe UI" w:hAnsi="Segoe UI" w:cs="Segoe UI"/>
          <w:sz w:val="20"/>
          <w:szCs w:val="20"/>
        </w:rPr>
        <w:tab/>
        <w:t xml:space="preserve">Ministry of Health. </w:t>
      </w:r>
      <w:r w:rsidRPr="00C90891">
        <w:rPr>
          <w:rFonts w:ascii="Segoe UI" w:hAnsi="Segoe UI" w:cs="Segoe UI"/>
          <w:i/>
          <w:sz w:val="20"/>
          <w:szCs w:val="20"/>
        </w:rPr>
        <w:t>Wai 2575 Māori Health Trends Report</w:t>
      </w:r>
      <w:r w:rsidRPr="00C90891">
        <w:rPr>
          <w:rFonts w:ascii="Segoe UI" w:hAnsi="Segoe UI" w:cs="Segoe UI"/>
          <w:sz w:val="20"/>
          <w:szCs w:val="20"/>
        </w:rPr>
        <w:t xml:space="preserve">. 2019. </w:t>
      </w:r>
      <w:hyperlink r:id="rId23" w:history="1">
        <w:r w:rsidRPr="00C90891">
          <w:rPr>
            <w:rStyle w:val="Hyperlink"/>
            <w:rFonts w:cs="Segoe UI"/>
            <w:szCs w:val="20"/>
          </w:rPr>
          <w:t>https://www.health.govt.nz/system/files/documents/publications/wai-2575-maori-health-trends-report-04mar2020.pdf</w:t>
        </w:r>
      </w:hyperlink>
    </w:p>
    <w:p w14:paraId="3E6D73CA" w14:textId="77777777" w:rsidR="00827070"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19.</w:t>
      </w:r>
      <w:r w:rsidRPr="00C90891">
        <w:rPr>
          <w:rFonts w:ascii="Segoe UI" w:hAnsi="Segoe UI" w:cs="Segoe UI"/>
          <w:sz w:val="20"/>
          <w:szCs w:val="20"/>
        </w:rPr>
        <w:tab/>
        <w:t xml:space="preserve">Gu Y, Doughty RN, Freedman B, et al. Burden of atrial fibrillation in Māori and Pacific people in New Zealand: a cohort study. Article. </w:t>
      </w:r>
      <w:r w:rsidRPr="00C90891">
        <w:rPr>
          <w:rFonts w:ascii="Segoe UI" w:hAnsi="Segoe UI" w:cs="Segoe UI"/>
          <w:i/>
          <w:sz w:val="20"/>
          <w:szCs w:val="20"/>
        </w:rPr>
        <w:t>Internal Medicine Journal</w:t>
      </w:r>
      <w:r w:rsidRPr="00C90891">
        <w:rPr>
          <w:rFonts w:ascii="Segoe UI" w:hAnsi="Segoe UI" w:cs="Segoe UI"/>
          <w:sz w:val="20"/>
          <w:szCs w:val="20"/>
        </w:rPr>
        <w:t>. 2018;48(3):301-309. doi:10.1111/imj.13648</w:t>
      </w:r>
    </w:p>
    <w:p w14:paraId="0C2132A1" w14:textId="4A01B444" w:rsidR="004F34BE" w:rsidRPr="00C90891" w:rsidRDefault="004F34BE" w:rsidP="00207C3D">
      <w:pPr>
        <w:pStyle w:val="EndNoteBibliography"/>
        <w:spacing w:afterLines="40" w:after="96"/>
        <w:ind w:left="567" w:hanging="567"/>
        <w:rPr>
          <w:rStyle w:val="Hyperlink"/>
          <w:rFonts w:cs="Segoe UI"/>
          <w:szCs w:val="20"/>
        </w:rPr>
      </w:pPr>
      <w:r w:rsidRPr="00C90891">
        <w:rPr>
          <w:rFonts w:ascii="Segoe UI" w:hAnsi="Segoe UI" w:cs="Segoe UI"/>
          <w:sz w:val="20"/>
          <w:szCs w:val="20"/>
        </w:rPr>
        <w:t>20.</w:t>
      </w:r>
      <w:r w:rsidRPr="00C90891">
        <w:rPr>
          <w:rFonts w:ascii="Segoe UI" w:hAnsi="Segoe UI" w:cs="Segoe UI"/>
          <w:sz w:val="20"/>
          <w:szCs w:val="20"/>
        </w:rPr>
        <w:tab/>
        <w:t xml:space="preserve">Te Whatu Ora | Health NZ. Virtual Diabetes Register (VDR) web tool. Accessed 03/02/2023, </w:t>
      </w:r>
      <w:hyperlink r:id="rId24" w:history="1">
        <w:r w:rsidRPr="00C90891">
          <w:rPr>
            <w:rStyle w:val="Hyperlink"/>
            <w:rFonts w:cs="Segoe UI"/>
            <w:szCs w:val="20"/>
          </w:rPr>
          <w:t>https://tewhatuora.shinyapps.io/virtual-diabetes-register-web-tool/</w:t>
        </w:r>
      </w:hyperlink>
    </w:p>
    <w:p w14:paraId="481A9928"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21.</w:t>
      </w:r>
      <w:r w:rsidRPr="00C90891">
        <w:rPr>
          <w:rFonts w:ascii="Segoe UI" w:hAnsi="Segoe UI" w:cs="Segoe UI"/>
          <w:sz w:val="20"/>
          <w:szCs w:val="20"/>
        </w:rPr>
        <w:tab/>
        <w:t xml:space="preserve">Gurney JK, Stanley J, York S, Rosenbaum D, Sarfati D. Risk of lower limb amputation in a national prevalent cohort of patients with diabetes. </w:t>
      </w:r>
      <w:r w:rsidRPr="00C90891">
        <w:rPr>
          <w:rFonts w:ascii="Segoe UI" w:hAnsi="Segoe UI" w:cs="Segoe UI"/>
          <w:i/>
          <w:sz w:val="20"/>
          <w:szCs w:val="20"/>
        </w:rPr>
        <w:t>Diabetologia</w:t>
      </w:r>
      <w:r w:rsidRPr="00C90891">
        <w:rPr>
          <w:rFonts w:ascii="Segoe UI" w:hAnsi="Segoe UI" w:cs="Segoe UI"/>
          <w:sz w:val="20"/>
          <w:szCs w:val="20"/>
        </w:rPr>
        <w:t>. 2018;61(3):626-635. doi:10.1007/s00125-017-4488-8</w:t>
      </w:r>
    </w:p>
    <w:p w14:paraId="26002467"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22.</w:t>
      </w:r>
      <w:r w:rsidRPr="00C90891">
        <w:rPr>
          <w:rFonts w:ascii="Segoe UI" w:hAnsi="Segoe UI" w:cs="Segoe UI"/>
          <w:sz w:val="20"/>
          <w:szCs w:val="20"/>
        </w:rPr>
        <w:tab/>
        <w:t xml:space="preserve">Gurney J, Stanley J, Sarfati D. The inequity of morbidity: Disparities in the prevalence of morbidity between ethnic groups in New Zealand. </w:t>
      </w:r>
      <w:r w:rsidRPr="00C90891">
        <w:rPr>
          <w:rFonts w:ascii="Segoe UI" w:hAnsi="Segoe UI" w:cs="Segoe UI"/>
          <w:i/>
          <w:sz w:val="20"/>
          <w:szCs w:val="20"/>
        </w:rPr>
        <w:t>Journal of Comorbidity</w:t>
      </w:r>
      <w:r w:rsidRPr="00C90891">
        <w:rPr>
          <w:rFonts w:ascii="Segoe UI" w:hAnsi="Segoe UI" w:cs="Segoe UI"/>
          <w:sz w:val="20"/>
          <w:szCs w:val="20"/>
        </w:rPr>
        <w:t>. 2020;10:2235042X20971168. doi:10.1177/2235042x20971168</w:t>
      </w:r>
    </w:p>
    <w:p w14:paraId="537FCACB"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23.</w:t>
      </w:r>
      <w:r w:rsidRPr="00C90891">
        <w:rPr>
          <w:rFonts w:ascii="Segoe UI" w:hAnsi="Segoe UI" w:cs="Segoe UI"/>
          <w:sz w:val="20"/>
          <w:szCs w:val="20"/>
        </w:rPr>
        <w:tab/>
        <w:t xml:space="preserve">Baxter J, Kokaua J, Wells JE, McGee MA, Oakley Browne MA. Ethnic comparisons of the 12 month prevalence of mental disorders and treatment contact in Te Rau Hinengaro: The New Zealand Mental Health Survey. Article. </w:t>
      </w:r>
      <w:r w:rsidRPr="00C90891">
        <w:rPr>
          <w:rFonts w:ascii="Segoe UI" w:hAnsi="Segoe UI" w:cs="Segoe UI"/>
          <w:i/>
          <w:sz w:val="20"/>
          <w:szCs w:val="20"/>
        </w:rPr>
        <w:t>Australian and New Zealand Journal of Psychiatry</w:t>
      </w:r>
      <w:r w:rsidRPr="00C90891">
        <w:rPr>
          <w:rFonts w:ascii="Segoe UI" w:hAnsi="Segoe UI" w:cs="Segoe UI"/>
          <w:sz w:val="20"/>
          <w:szCs w:val="20"/>
        </w:rPr>
        <w:t>. 2006;40(10):905-913. doi:10.1111/j.1440-1614.2006.01910.x</w:t>
      </w:r>
    </w:p>
    <w:p w14:paraId="713AA8F1"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24.</w:t>
      </w:r>
      <w:r w:rsidRPr="00C90891">
        <w:rPr>
          <w:rFonts w:ascii="Segoe UI" w:hAnsi="Segoe UI" w:cs="Segoe UI"/>
          <w:sz w:val="20"/>
          <w:szCs w:val="20"/>
        </w:rPr>
        <w:tab/>
        <w:t xml:space="preserve">Carr G, Cunningham R, Petrović-van der Deen FS, et al. Evolution of first episode psychosis diagnoses and health service use among young Māori and non-Māori—A New Zealand national cohort study. Article. </w:t>
      </w:r>
      <w:r w:rsidRPr="00C90891">
        <w:rPr>
          <w:rFonts w:ascii="Segoe UI" w:hAnsi="Segoe UI" w:cs="Segoe UI"/>
          <w:i/>
          <w:sz w:val="20"/>
          <w:szCs w:val="20"/>
        </w:rPr>
        <w:t>Early Intervention in Psychiatry</w:t>
      </w:r>
      <w:r w:rsidRPr="00C90891">
        <w:rPr>
          <w:rFonts w:ascii="Segoe UI" w:hAnsi="Segoe UI" w:cs="Segoe UI"/>
          <w:sz w:val="20"/>
          <w:szCs w:val="20"/>
        </w:rPr>
        <w:t>. 2022;doi:10.1111/eip.13327</w:t>
      </w:r>
    </w:p>
    <w:p w14:paraId="5411A719"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25.</w:t>
      </w:r>
      <w:r w:rsidRPr="00C90891">
        <w:rPr>
          <w:rFonts w:ascii="Segoe UI" w:hAnsi="Segoe UI" w:cs="Segoe UI"/>
          <w:sz w:val="20"/>
          <w:szCs w:val="20"/>
        </w:rPr>
        <w:tab/>
        <w:t xml:space="preserve">Atkinson J, Salmond C, Crampton P. </w:t>
      </w:r>
      <w:r w:rsidRPr="00C90891">
        <w:rPr>
          <w:rFonts w:ascii="Segoe UI" w:hAnsi="Segoe UI" w:cs="Segoe UI"/>
          <w:i/>
          <w:sz w:val="20"/>
          <w:szCs w:val="20"/>
        </w:rPr>
        <w:t>NZDep2018 Index of Deprivation, Final Research Report</w:t>
      </w:r>
      <w:r w:rsidRPr="00C90891">
        <w:rPr>
          <w:rFonts w:ascii="Segoe UI" w:hAnsi="Segoe UI" w:cs="Segoe UI"/>
          <w:sz w:val="20"/>
          <w:szCs w:val="20"/>
        </w:rPr>
        <w:t xml:space="preserve">. 2019. </w:t>
      </w:r>
    </w:p>
    <w:p w14:paraId="5CF8FC7F" w14:textId="24B91D3C"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26.</w:t>
      </w:r>
      <w:r w:rsidRPr="00C90891">
        <w:rPr>
          <w:rFonts w:ascii="Segoe UI" w:hAnsi="Segoe UI" w:cs="Segoe UI"/>
          <w:sz w:val="20"/>
          <w:szCs w:val="20"/>
        </w:rPr>
        <w:tab/>
        <w:t xml:space="preserve">Statistics New Zealand. Child poverty statistics: Year ended June 2022. </w:t>
      </w:r>
      <w:hyperlink r:id="rId25" w:history="1">
        <w:r w:rsidRPr="00C90891">
          <w:rPr>
            <w:rStyle w:val="Hyperlink"/>
            <w:rFonts w:cs="Segoe UI"/>
            <w:szCs w:val="20"/>
          </w:rPr>
          <w:t>https://www.stats.govt.nz/information-releases/child-poverty-statistics-year-ended-june-2022</w:t>
        </w:r>
      </w:hyperlink>
    </w:p>
    <w:p w14:paraId="089CABA4" w14:textId="0BF5FBAC"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27.</w:t>
      </w:r>
      <w:r w:rsidRPr="00C90891">
        <w:rPr>
          <w:rFonts w:ascii="Segoe UI" w:hAnsi="Segoe UI" w:cs="Segoe UI"/>
          <w:sz w:val="20"/>
          <w:szCs w:val="20"/>
        </w:rPr>
        <w:tab/>
        <w:t xml:space="preserve">Ministry of Health. </w:t>
      </w:r>
      <w:r w:rsidRPr="00C90891">
        <w:rPr>
          <w:rFonts w:ascii="Segoe UI" w:hAnsi="Segoe UI" w:cs="Segoe UI"/>
          <w:i/>
          <w:sz w:val="20"/>
          <w:szCs w:val="20"/>
        </w:rPr>
        <w:t>Health and Independence Report 2022</w:t>
      </w:r>
      <w:r w:rsidRPr="00C90891">
        <w:rPr>
          <w:rFonts w:ascii="Segoe UI" w:hAnsi="Segoe UI" w:cs="Segoe UI"/>
          <w:sz w:val="20"/>
          <w:szCs w:val="20"/>
        </w:rPr>
        <w:t xml:space="preserve">. 2023. </w:t>
      </w:r>
      <w:hyperlink r:id="rId26" w:history="1">
        <w:r w:rsidRPr="00C90891">
          <w:rPr>
            <w:rStyle w:val="Hyperlink"/>
            <w:rFonts w:cs="Segoe UI"/>
            <w:szCs w:val="20"/>
          </w:rPr>
          <w:t>https://www.health.govt.nz/publication/health-and-independence-report-2022</w:t>
        </w:r>
      </w:hyperlink>
    </w:p>
    <w:p w14:paraId="5946DB3C"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28.</w:t>
      </w:r>
      <w:r w:rsidRPr="00C90891">
        <w:rPr>
          <w:rFonts w:ascii="Segoe UI" w:hAnsi="Segoe UI" w:cs="Segoe UI"/>
          <w:sz w:val="20"/>
          <w:szCs w:val="20"/>
        </w:rPr>
        <w:tab/>
        <w:t xml:space="preserve">Gurney J, Whitehead J, Kerrison C, Stanley J, Sarfati D, Koea J. Equity of travel required to access first definitive surgery for liver or stomach cancer in New Zealand. </w:t>
      </w:r>
      <w:r w:rsidRPr="00C90891">
        <w:rPr>
          <w:rFonts w:ascii="Segoe UI" w:hAnsi="Segoe UI" w:cs="Segoe UI"/>
          <w:i/>
          <w:sz w:val="20"/>
          <w:szCs w:val="20"/>
        </w:rPr>
        <w:t>PLoS One</w:t>
      </w:r>
      <w:r w:rsidRPr="00C90891">
        <w:rPr>
          <w:rFonts w:ascii="Segoe UI" w:hAnsi="Segoe UI" w:cs="Segoe UI"/>
          <w:sz w:val="20"/>
          <w:szCs w:val="20"/>
        </w:rPr>
        <w:t>. 2022;17(8):e0269593. doi:10.1371/journal.pone.0269593</w:t>
      </w:r>
    </w:p>
    <w:p w14:paraId="2CDD9D56"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29.</w:t>
      </w:r>
      <w:r w:rsidRPr="00C90891">
        <w:rPr>
          <w:rFonts w:ascii="Segoe UI" w:hAnsi="Segoe UI" w:cs="Segoe UI"/>
          <w:sz w:val="20"/>
          <w:szCs w:val="20"/>
        </w:rPr>
        <w:tab/>
        <w:t xml:space="preserve">Robson B, Harris R. </w:t>
      </w:r>
      <w:r w:rsidRPr="00C90891">
        <w:rPr>
          <w:rFonts w:ascii="Segoe UI" w:hAnsi="Segoe UI" w:cs="Segoe UI"/>
          <w:i/>
          <w:sz w:val="20"/>
          <w:szCs w:val="20"/>
        </w:rPr>
        <w:t>Hauora: Māori standards of health IV: A study of the years 2000-2005</w:t>
      </w:r>
      <w:r w:rsidRPr="00C90891">
        <w:rPr>
          <w:rFonts w:ascii="Segoe UI" w:hAnsi="Segoe UI" w:cs="Segoe UI"/>
          <w:sz w:val="20"/>
          <w:szCs w:val="20"/>
        </w:rPr>
        <w:t>. Te Rōpū Rangahau Hauora a Eru Pōmare, University of Otago; 2007:273.</w:t>
      </w:r>
    </w:p>
    <w:p w14:paraId="75F957E9" w14:textId="1D6A7A1C"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30.</w:t>
      </w:r>
      <w:r w:rsidRPr="00C90891">
        <w:rPr>
          <w:rFonts w:ascii="Segoe UI" w:hAnsi="Segoe UI" w:cs="Segoe UI"/>
          <w:sz w:val="20"/>
          <w:szCs w:val="20"/>
        </w:rPr>
        <w:tab/>
        <w:t xml:space="preserve">Radio New Zealand. The waitlist algorithm that morphed into a political weapon. </w:t>
      </w:r>
      <w:hyperlink r:id="rId27" w:history="1">
        <w:r w:rsidRPr="00C90891">
          <w:rPr>
            <w:rStyle w:val="Hyperlink"/>
            <w:rFonts w:cs="Segoe UI"/>
            <w:szCs w:val="20"/>
          </w:rPr>
          <w:t>https://www.rnz.co.nz/programmes/the-detail/story/2018895477/the-waitlist-algorithm-that-morphed-into-a-political-weapon</w:t>
        </w:r>
      </w:hyperlink>
    </w:p>
    <w:p w14:paraId="38AD77DB" w14:textId="77777777"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31.</w:t>
      </w:r>
      <w:r w:rsidRPr="00C90891">
        <w:rPr>
          <w:rFonts w:ascii="Segoe UI" w:hAnsi="Segoe UI" w:cs="Segoe UI"/>
          <w:sz w:val="20"/>
          <w:szCs w:val="20"/>
        </w:rPr>
        <w:tab/>
        <w:t xml:space="preserve">Harwood M, Te Paa S, Kearns N, et al. An audit of a marae-based health centre management of COVID-19 community cases in South Auckland. </w:t>
      </w:r>
      <w:r w:rsidRPr="00C90891">
        <w:rPr>
          <w:rFonts w:ascii="Segoe UI" w:hAnsi="Segoe UI" w:cs="Segoe UI"/>
          <w:i/>
          <w:sz w:val="20"/>
          <w:szCs w:val="20"/>
        </w:rPr>
        <w:t>New Zealand Medical Journal</w:t>
      </w:r>
      <w:r w:rsidRPr="00C90891">
        <w:rPr>
          <w:rFonts w:ascii="Segoe UI" w:hAnsi="Segoe UI" w:cs="Segoe UI"/>
          <w:sz w:val="20"/>
          <w:szCs w:val="20"/>
        </w:rPr>
        <w:t xml:space="preserve">. 2022;135(1549):120-128. </w:t>
      </w:r>
    </w:p>
    <w:p w14:paraId="3F96198C" w14:textId="5E3B1751" w:rsidR="004F34BE" w:rsidRPr="00C90891" w:rsidRDefault="004F34BE" w:rsidP="00207C3D">
      <w:pPr>
        <w:pStyle w:val="EndNoteBibliography"/>
        <w:spacing w:afterLines="40" w:after="96"/>
        <w:ind w:left="567" w:hanging="567"/>
        <w:rPr>
          <w:rStyle w:val="Hyperlink"/>
          <w:rFonts w:cs="Segoe UI"/>
          <w:szCs w:val="20"/>
        </w:rPr>
      </w:pPr>
      <w:r w:rsidRPr="00C90891">
        <w:rPr>
          <w:rFonts w:ascii="Segoe UI" w:hAnsi="Segoe UI" w:cs="Segoe UI"/>
          <w:sz w:val="20"/>
          <w:szCs w:val="20"/>
        </w:rPr>
        <w:t>32.</w:t>
      </w:r>
      <w:r w:rsidRPr="00C90891">
        <w:rPr>
          <w:rFonts w:ascii="Segoe UI" w:hAnsi="Segoe UI" w:cs="Segoe UI"/>
          <w:sz w:val="20"/>
          <w:szCs w:val="20"/>
        </w:rPr>
        <w:tab/>
        <w:t xml:space="preserve">National Screening Unit. National Cervical Screening Programme Coverage Report. </w:t>
      </w:r>
      <w:hyperlink r:id="rId28" w:history="1">
        <w:r w:rsidRPr="00C90891">
          <w:rPr>
            <w:rStyle w:val="Hyperlink"/>
            <w:rFonts w:cs="Segoe UI"/>
            <w:szCs w:val="20"/>
          </w:rPr>
          <w:t>https://tewhatuora.shinyapps.io/nsu-ncsp-coverage/</w:t>
        </w:r>
      </w:hyperlink>
    </w:p>
    <w:p w14:paraId="6057E846" w14:textId="169B9C43" w:rsidR="004F34BE" w:rsidRPr="00C90891" w:rsidRDefault="004F34BE" w:rsidP="00207C3D">
      <w:pPr>
        <w:pStyle w:val="EndNoteBibliography"/>
        <w:spacing w:afterLines="40" w:after="96"/>
        <w:ind w:left="567" w:hanging="567"/>
        <w:rPr>
          <w:rFonts w:ascii="Segoe UI" w:hAnsi="Segoe UI" w:cs="Segoe UI"/>
          <w:sz w:val="20"/>
          <w:szCs w:val="20"/>
        </w:rPr>
      </w:pPr>
      <w:r w:rsidRPr="00C90891">
        <w:rPr>
          <w:rFonts w:ascii="Segoe UI" w:hAnsi="Segoe UI" w:cs="Segoe UI"/>
          <w:sz w:val="20"/>
          <w:szCs w:val="20"/>
        </w:rPr>
        <w:t>33.</w:t>
      </w:r>
      <w:r w:rsidRPr="00C90891">
        <w:rPr>
          <w:rFonts w:ascii="Segoe UI" w:hAnsi="Segoe UI" w:cs="Segoe UI"/>
          <w:sz w:val="20"/>
          <w:szCs w:val="20"/>
        </w:rPr>
        <w:tab/>
        <w:t xml:space="preserve">National Screening Unit. BreastScreen Aotearoa Coverage Report. </w:t>
      </w:r>
      <w:hyperlink r:id="rId29" w:history="1">
        <w:r w:rsidRPr="00C90891">
          <w:rPr>
            <w:rStyle w:val="Hyperlink"/>
            <w:rFonts w:cs="Segoe UI"/>
            <w:szCs w:val="20"/>
          </w:rPr>
          <w:t>https://tewhatuora.shinyapps.io/nsu-bsa-coverage/</w:t>
        </w:r>
      </w:hyperlink>
    </w:p>
    <w:p w14:paraId="5A4EFABB" w14:textId="0E2B2FF8" w:rsidR="00F44CCA" w:rsidRPr="00C210C5" w:rsidRDefault="004F34BE" w:rsidP="00C90891">
      <w:pPr>
        <w:pStyle w:val="EndNoteBibliography"/>
        <w:spacing w:afterLines="40" w:after="96"/>
        <w:ind w:left="567" w:hanging="567"/>
        <w:rPr>
          <w:rFonts w:ascii="Segoe UI" w:hAnsi="Segoe UI" w:cs="Segoe UI"/>
          <w:sz w:val="20"/>
          <w:szCs w:val="20"/>
          <w:lang w:val="en-NZ"/>
        </w:rPr>
      </w:pPr>
      <w:r w:rsidRPr="00C90891">
        <w:rPr>
          <w:rFonts w:ascii="Segoe UI" w:hAnsi="Segoe UI" w:cs="Segoe UI"/>
          <w:sz w:val="20"/>
          <w:szCs w:val="20"/>
        </w:rPr>
        <w:t>34.</w:t>
      </w:r>
      <w:r w:rsidRPr="00C90891">
        <w:rPr>
          <w:rFonts w:ascii="Segoe UI" w:hAnsi="Segoe UI" w:cs="Segoe UI"/>
          <w:sz w:val="20"/>
          <w:szCs w:val="20"/>
        </w:rPr>
        <w:tab/>
        <w:t xml:space="preserve">Statistics New Zealand. Ethnic group summaries. Statistics New Zealand. Accessed 31/01/2022, </w:t>
      </w:r>
      <w:hyperlink r:id="rId30" w:history="1">
        <w:r w:rsidRPr="00C90891">
          <w:rPr>
            <w:rStyle w:val="Hyperlink"/>
            <w:rFonts w:cs="Segoe UI"/>
            <w:szCs w:val="20"/>
          </w:rPr>
          <w:t>https://www.stats.govt.nz/news/ethnic-group-summaries-reveal-new-zealands-multicultural-make-up</w:t>
        </w:r>
      </w:hyperlink>
      <w:r w:rsidR="003F6F69" w:rsidRPr="00C90891">
        <w:rPr>
          <w:rFonts w:ascii="Segoe UI" w:hAnsi="Segoe UI" w:cs="Segoe UI"/>
          <w:sz w:val="20"/>
          <w:szCs w:val="20"/>
          <w:lang w:val="en-NZ"/>
        </w:rPr>
        <w:fldChar w:fldCharType="end"/>
      </w:r>
    </w:p>
    <w:sectPr w:rsidR="00F44CCA" w:rsidRPr="00C210C5" w:rsidSect="00EF36A1">
      <w:footerReference w:type="default" r:id="rId31"/>
      <w:pgSz w:w="11906" w:h="16838"/>
      <w:pgMar w:top="1701"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F5AF" w14:textId="77777777" w:rsidR="000A7FB2" w:rsidRDefault="000A7FB2" w:rsidP="002B1A25">
      <w:pPr>
        <w:spacing w:after="0" w:line="240" w:lineRule="auto"/>
      </w:pPr>
      <w:r>
        <w:separator/>
      </w:r>
    </w:p>
  </w:endnote>
  <w:endnote w:type="continuationSeparator" w:id="0">
    <w:p w14:paraId="7AD2D2EE" w14:textId="77777777" w:rsidR="000A7FB2" w:rsidRDefault="000A7FB2" w:rsidP="002B1A25">
      <w:pPr>
        <w:spacing w:after="0" w:line="240" w:lineRule="auto"/>
      </w:pPr>
      <w:r>
        <w:continuationSeparator/>
      </w:r>
    </w:p>
  </w:endnote>
  <w:endnote w:type="continuationNotice" w:id="1">
    <w:p w14:paraId="77EBAC24" w14:textId="77777777" w:rsidR="000A7FB2" w:rsidRDefault="000A7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45250"/>
      <w:docPartObj>
        <w:docPartGallery w:val="Page Numbers (Bottom of Page)"/>
        <w:docPartUnique/>
      </w:docPartObj>
    </w:sdtPr>
    <w:sdtEndPr>
      <w:rPr>
        <w:noProof/>
      </w:rPr>
    </w:sdtEndPr>
    <w:sdtContent>
      <w:p w14:paraId="115B9263" w14:textId="46DD485C" w:rsidR="00364363" w:rsidRPr="00207C3D" w:rsidRDefault="00207C3D" w:rsidP="00207C3D">
        <w:pPr>
          <w:pStyle w:val="Footer"/>
          <w:rPr>
            <w:b/>
            <w:bCs/>
            <w:lang w:val="en-NZ"/>
          </w:rPr>
        </w:pPr>
        <w:r w:rsidRPr="00207C3D">
          <w:t xml:space="preserve"> </w:t>
        </w:r>
        <w:r w:rsidRPr="00207C3D">
          <w:rPr>
            <w:lang w:val="en-NZ"/>
          </w:rPr>
          <w:t>Position statement on Equity, Te Tiriti o Waitangi, and Māori Health</w:t>
        </w:r>
        <w:r>
          <w:rPr>
            <w:lang w:val="en-NZ"/>
          </w:rPr>
          <w:tab/>
        </w:r>
        <w:r w:rsidR="00364363">
          <w:fldChar w:fldCharType="begin"/>
        </w:r>
        <w:r w:rsidR="00364363">
          <w:instrText xml:space="preserve"> PAGE   \* MERGEFORMAT </w:instrText>
        </w:r>
        <w:r w:rsidR="00364363">
          <w:fldChar w:fldCharType="separate"/>
        </w:r>
        <w:r w:rsidR="00364363">
          <w:rPr>
            <w:noProof/>
          </w:rPr>
          <w:t>2</w:t>
        </w:r>
        <w:r w:rsidR="00364363">
          <w:rPr>
            <w:noProof/>
          </w:rPr>
          <w:fldChar w:fldCharType="end"/>
        </w:r>
      </w:p>
    </w:sdtContent>
  </w:sdt>
  <w:p w14:paraId="586750F1" w14:textId="77777777" w:rsidR="002B1A25" w:rsidRDefault="002B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4737" w14:textId="77777777" w:rsidR="000A7FB2" w:rsidRDefault="000A7FB2" w:rsidP="002B1A25">
      <w:pPr>
        <w:spacing w:after="0" w:line="240" w:lineRule="auto"/>
      </w:pPr>
      <w:r>
        <w:separator/>
      </w:r>
    </w:p>
  </w:footnote>
  <w:footnote w:type="continuationSeparator" w:id="0">
    <w:p w14:paraId="526242BD" w14:textId="77777777" w:rsidR="000A7FB2" w:rsidRDefault="000A7FB2" w:rsidP="002B1A25">
      <w:pPr>
        <w:spacing w:after="0" w:line="240" w:lineRule="auto"/>
      </w:pPr>
      <w:r>
        <w:continuationSeparator/>
      </w:r>
    </w:p>
  </w:footnote>
  <w:footnote w:type="continuationNotice" w:id="1">
    <w:p w14:paraId="10AD2972" w14:textId="77777777" w:rsidR="000A7FB2" w:rsidRDefault="000A7FB2">
      <w:pPr>
        <w:spacing w:after="0" w:line="240" w:lineRule="auto"/>
      </w:pPr>
    </w:p>
  </w:footnote>
  <w:footnote w:id="2">
    <w:p w14:paraId="1101C6A1" w14:textId="77777777" w:rsidR="002B08D8" w:rsidRPr="00BD5F04" w:rsidRDefault="002B08D8" w:rsidP="002B08D8">
      <w:pPr>
        <w:pStyle w:val="FootnoteText"/>
        <w:rPr>
          <w:rFonts w:cs="Segoe UI"/>
          <w:lang w:val="mi-NZ"/>
        </w:rPr>
      </w:pPr>
      <w:r w:rsidRPr="00BD5F04">
        <w:rPr>
          <w:rStyle w:val="FootnoteReference"/>
          <w:rFonts w:cs="Segoe UI"/>
        </w:rPr>
        <w:footnoteRef/>
      </w:r>
      <w:r w:rsidRPr="00BD5F04">
        <w:rPr>
          <w:rFonts w:cs="Segoe UI"/>
        </w:rPr>
        <w:t xml:space="preserve"> </w:t>
      </w:r>
      <w:r w:rsidRPr="00BD5F04">
        <w:rPr>
          <w:rFonts w:cs="Segoe UI"/>
          <w:sz w:val="18"/>
          <w:szCs w:val="18"/>
          <w:lang w:val="en-NZ"/>
        </w:rPr>
        <w:t xml:space="preserve">Figure 1 shows prioritised ethnicity: each census respondent is assigned to a mutually exclusive ethnic group by means of a prioritisation system commonly used in New Zealand: </w:t>
      </w:r>
      <w:proofErr w:type="spellStart"/>
      <w:r w:rsidRPr="00BD5F04">
        <w:rPr>
          <w:rFonts w:cs="Segoe UI"/>
          <w:sz w:val="18"/>
          <w:szCs w:val="18"/>
          <w:lang w:val="en-NZ"/>
        </w:rPr>
        <w:t>Māori</w:t>
      </w:r>
      <w:proofErr w:type="spellEnd"/>
      <w:r w:rsidRPr="00BD5F04">
        <w:rPr>
          <w:rFonts w:cs="Segoe UI"/>
          <w:sz w:val="18"/>
          <w:szCs w:val="18"/>
          <w:lang w:val="en-NZ"/>
        </w:rPr>
        <w:t xml:space="preserve">, if any of the responses to self-identified ethnicity was </w:t>
      </w:r>
      <w:proofErr w:type="spellStart"/>
      <w:r w:rsidRPr="00BD5F04">
        <w:rPr>
          <w:rFonts w:cs="Segoe UI"/>
          <w:sz w:val="18"/>
          <w:szCs w:val="18"/>
          <w:lang w:val="en-NZ"/>
        </w:rPr>
        <w:t>Māori</w:t>
      </w:r>
      <w:proofErr w:type="spellEnd"/>
      <w:r w:rsidRPr="00BD5F04">
        <w:rPr>
          <w:rFonts w:cs="Segoe UI"/>
          <w:sz w:val="18"/>
          <w:szCs w:val="18"/>
          <w:lang w:val="en-NZ"/>
        </w:rPr>
        <w:t xml:space="preserve">; Pacific, if any one response was Pacific but not </w:t>
      </w:r>
      <w:proofErr w:type="spellStart"/>
      <w:r w:rsidRPr="00BD5F04">
        <w:rPr>
          <w:rFonts w:cs="Segoe UI"/>
          <w:sz w:val="18"/>
          <w:szCs w:val="18"/>
          <w:lang w:val="en-NZ"/>
        </w:rPr>
        <w:t>Māori</w:t>
      </w:r>
      <w:proofErr w:type="spellEnd"/>
      <w:r w:rsidRPr="00BD5F04">
        <w:rPr>
          <w:rFonts w:cs="Segoe UI"/>
          <w:sz w:val="18"/>
          <w:szCs w:val="18"/>
          <w:lang w:val="en-NZ"/>
        </w:rPr>
        <w:t xml:space="preserve">; Asian, if any one response was Asian but not </w:t>
      </w:r>
      <w:proofErr w:type="spellStart"/>
      <w:r w:rsidRPr="00BD5F04">
        <w:rPr>
          <w:rFonts w:cs="Segoe UI"/>
          <w:sz w:val="18"/>
          <w:szCs w:val="18"/>
          <w:lang w:val="en-NZ"/>
        </w:rPr>
        <w:t>Māori</w:t>
      </w:r>
      <w:proofErr w:type="spellEnd"/>
      <w:r w:rsidRPr="00BD5F04">
        <w:rPr>
          <w:rFonts w:cs="Segoe UI"/>
          <w:sz w:val="18"/>
          <w:szCs w:val="18"/>
          <w:lang w:val="en-NZ"/>
        </w:rPr>
        <w:t xml:space="preserve">/Pacific; the remainder </w:t>
      </w:r>
      <w:proofErr w:type="spellStart"/>
      <w:r w:rsidRPr="00BD5F04">
        <w:rPr>
          <w:rFonts w:cs="Segoe UI"/>
          <w:sz w:val="18"/>
          <w:szCs w:val="18"/>
          <w:lang w:val="en-NZ"/>
        </w:rPr>
        <w:t>non-Māori</w:t>
      </w:r>
      <w:proofErr w:type="spellEnd"/>
      <w:r w:rsidRPr="00BD5F04">
        <w:rPr>
          <w:rFonts w:cs="Segoe UI"/>
          <w:sz w:val="18"/>
          <w:szCs w:val="18"/>
          <w:lang w:val="en-NZ"/>
        </w:rPr>
        <w:t xml:space="preserve"> non-Pacific </w:t>
      </w:r>
      <w:proofErr w:type="spellStart"/>
      <w:r w:rsidRPr="00BD5F04">
        <w:rPr>
          <w:rFonts w:cs="Segoe UI"/>
          <w:sz w:val="18"/>
          <w:szCs w:val="18"/>
          <w:lang w:val="en-NZ"/>
        </w:rPr>
        <w:t>non-Asian</w:t>
      </w:r>
      <w:proofErr w:type="spellEnd"/>
      <w:r w:rsidRPr="00BD5F04">
        <w:rPr>
          <w:rFonts w:cs="Segoe UI"/>
          <w:sz w:val="18"/>
          <w:szCs w:val="18"/>
          <w:lang w:val="en-NZ"/>
        </w:rPr>
        <w:t xml:space="preserve"> (mostly New Zealanders of European descent, but, strictly speaking, not an ethnic group).</w:t>
      </w:r>
    </w:p>
  </w:footnote>
</w:footnotes>
</file>

<file path=word/intelligence2.xml><?xml version="1.0" encoding="utf-8"?>
<int2:intelligence xmlns:int2="http://schemas.microsoft.com/office/intelligence/2020/intelligence" xmlns:oel="http://schemas.microsoft.com/office/2019/extlst">
  <int2:observations>
    <int2:textHash int2:hashCode="P1t9DnuMzsiEcY" int2:id="12wZ5tW6">
      <int2:state int2:value="Rejected" int2:type="AugLoop_Text_Critique"/>
    </int2:textHash>
    <int2:textHash int2:hashCode="YcKYAGEOPZhLHU" int2:id="1jjAOZvL">
      <int2:state int2:value="Rejected" int2:type="AugLoop_Text_Critique"/>
    </int2:textHash>
    <int2:textHash int2:hashCode="rBVBaS2hCnoA4v" int2:id="32QrMJwf">
      <int2:state int2:value="Rejected" int2:type="AugLoop_Text_Critique"/>
    </int2:textHash>
    <int2:textHash int2:hashCode="6mbuqgQ9JTLH/S" int2:id="6h5z5TN8">
      <int2:state int2:value="Rejected" int2:type="AugLoop_Text_Critique"/>
    </int2:textHash>
    <int2:textHash int2:hashCode="dQXqG2YD0zDsVn" int2:id="AFZSI70N">
      <int2:state int2:value="Rejected" int2:type="AugLoop_Text_Critique"/>
    </int2:textHash>
    <int2:textHash int2:hashCode="BTZMBiXyfm1x/O" int2:id="CAKuSDKG">
      <int2:state int2:value="Rejected" int2:type="AugLoop_Text_Critique"/>
    </int2:textHash>
    <int2:textHash int2:hashCode="y37WHzPgvq6ig8" int2:id="CAmJEfZv">
      <int2:state int2:value="Rejected" int2:type="AugLoop_Text_Critique"/>
    </int2:textHash>
    <int2:textHash int2:hashCode="Y5roLshL9AC54B" int2:id="CLwdt1wa">
      <int2:state int2:value="Rejected" int2:type="AugLoop_Text_Critique"/>
    </int2:textHash>
    <int2:textHash int2:hashCode="9BwhsKCig+Z4wX" int2:id="IZJtcFSH">
      <int2:state int2:value="Rejected" int2:type="AugLoop_Text_Critique"/>
    </int2:textHash>
    <int2:textHash int2:hashCode="OrtZNwJC/JiGrS" int2:id="J1v7rXHW">
      <int2:state int2:value="Rejected" int2:type="AugLoop_Text_Critique"/>
    </int2:textHash>
    <int2:textHash int2:hashCode="W5a2FH4/w7tJ5s" int2:id="K2DwEf1T">
      <int2:state int2:value="Rejected" int2:type="AugLoop_Text_Critique"/>
    </int2:textHash>
    <int2:textHash int2:hashCode="M+lQXRKULoJZo8" int2:id="KUZxKIxG">
      <int2:state int2:value="Rejected" int2:type="AugLoop_Text_Critique"/>
    </int2:textHash>
    <int2:textHash int2:hashCode="4RBIRcpVY0KEdg" int2:id="MHbgLCsc">
      <int2:state int2:value="Rejected" int2:type="AugLoop_Text_Critique"/>
    </int2:textHash>
    <int2:textHash int2:hashCode="lW/+T5iszZFzaV" int2:id="RNZBtCYt">
      <int2:state int2:value="Rejected" int2:type="AugLoop_Text_Critique"/>
    </int2:textHash>
    <int2:textHash int2:hashCode="m/C6mGJeQTWOW1" int2:id="SPY2xX2Y">
      <int2:state int2:value="Rejected" int2:type="AugLoop_Text_Critique"/>
    </int2:textHash>
    <int2:textHash int2:hashCode="naXxkq3lfNt95p" int2:id="TekdoXDF">
      <int2:state int2:value="Rejected" int2:type="AugLoop_Text_Critique"/>
    </int2:textHash>
    <int2:textHash int2:hashCode="fsqc/hghT66SL4" int2:id="f7rPo0O4">
      <int2:state int2:value="Rejected" int2:type="AugLoop_Text_Critique"/>
    </int2:textHash>
    <int2:textHash int2:hashCode="yfRkriMtxoy1So" int2:id="lBDdwuMt">
      <int2:state int2:value="Rejected" int2:type="AugLoop_Text_Critique"/>
    </int2:textHash>
    <int2:textHash int2:hashCode="SlYFDncvjWIs3o" int2:id="wIDUt74t">
      <int2:state int2:value="Rejected" int2:type="AugLoop_Text_Critique"/>
    </int2:textHash>
    <int2:textHash int2:hashCode="HrqFRVcg2KBo8M" int2:id="x8cQdfZQ">
      <int2:state int2:value="Rejected" int2:type="AugLoop_Text_Critique"/>
    </int2:textHash>
    <int2:bookmark int2:bookmarkName="_Int_7bq5RqVm" int2:invalidationBookmarkName="" int2:hashCode="e0dMsLOcF3PXGS" int2:id="4AL3JyNb">
      <int2:state int2:value="Rejected" int2:type="AugLoop_Text_Critique"/>
    </int2:bookmark>
    <int2:bookmark int2:bookmarkName="_Int_MLyLHSQw" int2:invalidationBookmarkName="" int2:hashCode="Y0jaZq3nyIk1wT" int2:id="8suDepAM">
      <int2:state int2:value="Rejected" int2:type="AugLoop_Text_Critique"/>
    </int2:bookmark>
    <int2:bookmark int2:bookmarkName="_Int_Bq0mlQJk" int2:invalidationBookmarkName="" int2:hashCode="cnW813K8UIhJ1V" int2:id="CTnKEIXq">
      <int2:state int2:value="Rejected" int2:type="AugLoop_Text_Critique"/>
    </int2:bookmark>
    <int2:bookmark int2:bookmarkName="_Int_eOXyH1eK" int2:invalidationBookmarkName="" int2:hashCode="gynu/b2dBBtVr9" int2:id="OLGVJZTU">
      <int2:state int2:value="Rejected" int2:type="AugLoop_Text_Critique"/>
    </int2:bookmark>
    <int2:bookmark int2:bookmarkName="_Int_dtYdnC8X" int2:invalidationBookmarkName="" int2:hashCode="mI5inr9TXGa+k/" int2:id="OTD5C0k0">
      <int2:state int2:value="Rejected" int2:type="AugLoop_Text_Critique"/>
    </int2:bookmark>
    <int2:bookmark int2:bookmarkName="_Int_8a11uqVT" int2:invalidationBookmarkName="" int2:hashCode="f1OmjTJDRvyEV6" int2:id="PVUwDpMK">
      <int2:state int2:value="Rejected" int2:type="AugLoop_Text_Critique"/>
    </int2:bookmark>
    <int2:bookmark int2:bookmarkName="_Int_eKcFa138" int2:invalidationBookmarkName="" int2:hashCode="e0dMsLOcF3PXGS" int2:id="TPbLJihC">
      <int2:state int2:value="Rejected" int2:type="AugLoop_Text_Critique"/>
    </int2:bookmark>
    <int2:bookmark int2:bookmarkName="_Int_y1A3mWzA" int2:invalidationBookmarkName="" int2:hashCode="G6rbVcp9GiKTda" int2:id="XXIe0pzH">
      <int2:state int2:value="Rejected" int2:type="AugLoop_Text_Critique"/>
    </int2:bookmark>
    <int2:bookmark int2:bookmarkName="_Int_uf42wCDC" int2:invalidationBookmarkName="" int2:hashCode="e0dMsLOcF3PXGS" int2:id="ZAyLShyP">
      <int2:state int2:value="Rejected" int2:type="AugLoop_Text_Critique"/>
    </int2:bookmark>
    <int2:bookmark int2:bookmarkName="_Int_nW644y7y" int2:invalidationBookmarkName="" int2:hashCode="FhxCN58vOqq4SL" int2:id="ecMVNQIx">
      <int2:state int2:value="Rejected" int2:type="AugLoop_Text_Critique"/>
    </int2:bookmark>
    <int2:bookmark int2:bookmarkName="_Int_gEUZi7G9" int2:invalidationBookmarkName="" int2:hashCode="ZD4DPyxyvbq3AT" int2:id="xdt12rw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D430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E669CE"/>
    <w:multiLevelType w:val="hybridMultilevel"/>
    <w:tmpl w:val="8BCEEE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9F79F8"/>
    <w:multiLevelType w:val="hybridMultilevel"/>
    <w:tmpl w:val="02B65BEC"/>
    <w:lvl w:ilvl="0" w:tplc="322295C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ED3C3F"/>
    <w:multiLevelType w:val="multilevel"/>
    <w:tmpl w:val="98160A46"/>
    <w:lvl w:ilvl="0">
      <w:start w:val="1"/>
      <w:numFmt w:val="decimal"/>
      <w:pStyle w:val="Number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D7020"/>
    <w:multiLevelType w:val="hybridMultilevel"/>
    <w:tmpl w:val="E390C6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79330A3"/>
    <w:multiLevelType w:val="hybridMultilevel"/>
    <w:tmpl w:val="53A2FBD2"/>
    <w:lvl w:ilvl="0" w:tplc="322295C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57B3C63"/>
    <w:multiLevelType w:val="hybridMultilevel"/>
    <w:tmpl w:val="240055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64A2497"/>
    <w:multiLevelType w:val="multilevel"/>
    <w:tmpl w:val="46D4B44C"/>
    <w:lvl w:ilvl="0">
      <w:start w:val="1"/>
      <w:numFmt w:val="bullet"/>
      <w:pStyle w:val="Bullets"/>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9919BD"/>
    <w:multiLevelType w:val="hybridMultilevel"/>
    <w:tmpl w:val="411E9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BC7BF2"/>
    <w:multiLevelType w:val="hybridMultilevel"/>
    <w:tmpl w:val="EE804128"/>
    <w:lvl w:ilvl="0" w:tplc="0296AF04">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09550122">
    <w:abstractNumId w:val="6"/>
  </w:num>
  <w:num w:numId="2" w16cid:durableId="2101098178">
    <w:abstractNumId w:val="9"/>
  </w:num>
  <w:num w:numId="3" w16cid:durableId="704528784">
    <w:abstractNumId w:val="2"/>
  </w:num>
  <w:num w:numId="4" w16cid:durableId="1158301244">
    <w:abstractNumId w:val="5"/>
  </w:num>
  <w:num w:numId="5" w16cid:durableId="1799453593">
    <w:abstractNumId w:val="8"/>
  </w:num>
  <w:num w:numId="6" w16cid:durableId="1521551868">
    <w:abstractNumId w:val="4"/>
  </w:num>
  <w:num w:numId="7" w16cid:durableId="748691818">
    <w:abstractNumId w:val="1"/>
  </w:num>
  <w:num w:numId="8" w16cid:durableId="1262029976">
    <w:abstractNumId w:val="3"/>
  </w:num>
  <w:num w:numId="9" w16cid:durableId="976643114">
    <w:abstractNumId w:val="7"/>
  </w:num>
  <w:num w:numId="10" w16cid:durableId="77525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925pxvs9tv00e00z5xtds2fravt5zt9f02&quot;&gt;Jason&lt;record-ids&gt;&lt;item&gt;1453&lt;/item&gt;&lt;item&gt;1593&lt;/item&gt;&lt;item&gt;1753&lt;/item&gt;&lt;item&gt;1817&lt;/item&gt;&lt;item&gt;1925&lt;/item&gt;&lt;item&gt;1977&lt;/item&gt;&lt;item&gt;2130&lt;/item&gt;&lt;item&gt;2358&lt;/item&gt;&lt;item&gt;2360&lt;/item&gt;&lt;item&gt;2399&lt;/item&gt;&lt;item&gt;2436&lt;/item&gt;&lt;item&gt;2569&lt;/item&gt;&lt;item&gt;2685&lt;/item&gt;&lt;item&gt;2686&lt;/item&gt;&lt;item&gt;2688&lt;/item&gt;&lt;item&gt;2689&lt;/item&gt;&lt;item&gt;2690&lt;/item&gt;&lt;item&gt;2719&lt;/item&gt;&lt;item&gt;2726&lt;/item&gt;&lt;item&gt;2863&lt;/item&gt;&lt;item&gt;2866&lt;/item&gt;&lt;item&gt;2867&lt;/item&gt;&lt;item&gt;2868&lt;/item&gt;&lt;item&gt;2870&lt;/item&gt;&lt;item&gt;2872&lt;/item&gt;&lt;item&gt;2873&lt;/item&gt;&lt;item&gt;2877&lt;/item&gt;&lt;item&gt;2878&lt;/item&gt;&lt;item&gt;2879&lt;/item&gt;&lt;item&gt;2880&lt;/item&gt;&lt;item&gt;2881&lt;/item&gt;&lt;item&gt;2882&lt;/item&gt;&lt;/record-ids&gt;&lt;/item&gt;&lt;/Libraries&gt;"/>
  </w:docVars>
  <w:rsids>
    <w:rsidRoot w:val="001A239C"/>
    <w:rsid w:val="0002515F"/>
    <w:rsid w:val="00032DE9"/>
    <w:rsid w:val="00043B87"/>
    <w:rsid w:val="000513E6"/>
    <w:rsid w:val="000564D8"/>
    <w:rsid w:val="000615EE"/>
    <w:rsid w:val="000668AF"/>
    <w:rsid w:val="0007747C"/>
    <w:rsid w:val="0008438D"/>
    <w:rsid w:val="000856FB"/>
    <w:rsid w:val="00090588"/>
    <w:rsid w:val="000A01E9"/>
    <w:rsid w:val="000A1A70"/>
    <w:rsid w:val="000A6FC0"/>
    <w:rsid w:val="000A7FB2"/>
    <w:rsid w:val="000B4EBC"/>
    <w:rsid w:val="000D34C4"/>
    <w:rsid w:val="000D48CD"/>
    <w:rsid w:val="000E2944"/>
    <w:rsid w:val="0010128F"/>
    <w:rsid w:val="00102CC6"/>
    <w:rsid w:val="00116E60"/>
    <w:rsid w:val="0012093A"/>
    <w:rsid w:val="00122187"/>
    <w:rsid w:val="00127929"/>
    <w:rsid w:val="001372B0"/>
    <w:rsid w:val="00144BAA"/>
    <w:rsid w:val="001647E5"/>
    <w:rsid w:val="0016487A"/>
    <w:rsid w:val="0016713E"/>
    <w:rsid w:val="00170528"/>
    <w:rsid w:val="00170712"/>
    <w:rsid w:val="001A239C"/>
    <w:rsid w:val="001A5D67"/>
    <w:rsid w:val="001B0F2D"/>
    <w:rsid w:val="001B2648"/>
    <w:rsid w:val="001C6334"/>
    <w:rsid w:val="001D0EAB"/>
    <w:rsid w:val="001E0FB4"/>
    <w:rsid w:val="001E5235"/>
    <w:rsid w:val="001E52D5"/>
    <w:rsid w:val="001F4C85"/>
    <w:rsid w:val="001F4D43"/>
    <w:rsid w:val="001F6D58"/>
    <w:rsid w:val="002038DB"/>
    <w:rsid w:val="00207C3D"/>
    <w:rsid w:val="00207C69"/>
    <w:rsid w:val="00214D5A"/>
    <w:rsid w:val="002274F6"/>
    <w:rsid w:val="0023378B"/>
    <w:rsid w:val="00241568"/>
    <w:rsid w:val="00246BD7"/>
    <w:rsid w:val="002524FD"/>
    <w:rsid w:val="00252A46"/>
    <w:rsid w:val="00280119"/>
    <w:rsid w:val="002838D7"/>
    <w:rsid w:val="00293F3C"/>
    <w:rsid w:val="00297306"/>
    <w:rsid w:val="002B08D8"/>
    <w:rsid w:val="002B1A25"/>
    <w:rsid w:val="002B6154"/>
    <w:rsid w:val="002B6F1C"/>
    <w:rsid w:val="00305DDD"/>
    <w:rsid w:val="003060A5"/>
    <w:rsid w:val="00306D1E"/>
    <w:rsid w:val="003113B7"/>
    <w:rsid w:val="003216E4"/>
    <w:rsid w:val="00321C3F"/>
    <w:rsid w:val="003329B2"/>
    <w:rsid w:val="00334B7C"/>
    <w:rsid w:val="0033596D"/>
    <w:rsid w:val="00337BC3"/>
    <w:rsid w:val="003518AB"/>
    <w:rsid w:val="00355BD4"/>
    <w:rsid w:val="00364363"/>
    <w:rsid w:val="0037252D"/>
    <w:rsid w:val="00380789"/>
    <w:rsid w:val="00385E69"/>
    <w:rsid w:val="00397DD4"/>
    <w:rsid w:val="003A02C6"/>
    <w:rsid w:val="003A7E19"/>
    <w:rsid w:val="003B055A"/>
    <w:rsid w:val="003B20A0"/>
    <w:rsid w:val="003B25CE"/>
    <w:rsid w:val="003B66B6"/>
    <w:rsid w:val="003D1DE6"/>
    <w:rsid w:val="003D441C"/>
    <w:rsid w:val="003D54BB"/>
    <w:rsid w:val="003E4F23"/>
    <w:rsid w:val="003E7CA8"/>
    <w:rsid w:val="003F6F69"/>
    <w:rsid w:val="00405CAE"/>
    <w:rsid w:val="00407728"/>
    <w:rsid w:val="00413F2B"/>
    <w:rsid w:val="00441C47"/>
    <w:rsid w:val="00447166"/>
    <w:rsid w:val="00447E34"/>
    <w:rsid w:val="00462C8B"/>
    <w:rsid w:val="00472F7C"/>
    <w:rsid w:val="00484C49"/>
    <w:rsid w:val="004878C1"/>
    <w:rsid w:val="004B1BE0"/>
    <w:rsid w:val="004C0BF5"/>
    <w:rsid w:val="004C3A5C"/>
    <w:rsid w:val="004C7F3D"/>
    <w:rsid w:val="004E1688"/>
    <w:rsid w:val="004F34BE"/>
    <w:rsid w:val="004F6294"/>
    <w:rsid w:val="004F6723"/>
    <w:rsid w:val="00503EF6"/>
    <w:rsid w:val="005201A9"/>
    <w:rsid w:val="005203C2"/>
    <w:rsid w:val="00527472"/>
    <w:rsid w:val="00530EAE"/>
    <w:rsid w:val="00554486"/>
    <w:rsid w:val="00555CCA"/>
    <w:rsid w:val="005600F7"/>
    <w:rsid w:val="00584D1E"/>
    <w:rsid w:val="005A2890"/>
    <w:rsid w:val="005C4C56"/>
    <w:rsid w:val="005D006C"/>
    <w:rsid w:val="005F2203"/>
    <w:rsid w:val="005F4C2E"/>
    <w:rsid w:val="00612FBA"/>
    <w:rsid w:val="00640697"/>
    <w:rsid w:val="0065070A"/>
    <w:rsid w:val="00662276"/>
    <w:rsid w:val="00663713"/>
    <w:rsid w:val="006755B1"/>
    <w:rsid w:val="00695EEB"/>
    <w:rsid w:val="00696DEB"/>
    <w:rsid w:val="006A044C"/>
    <w:rsid w:val="006A277B"/>
    <w:rsid w:val="006B75A3"/>
    <w:rsid w:val="006C5F13"/>
    <w:rsid w:val="006D475D"/>
    <w:rsid w:val="006E0B85"/>
    <w:rsid w:val="006E1D4D"/>
    <w:rsid w:val="00700653"/>
    <w:rsid w:val="00747E71"/>
    <w:rsid w:val="00761D41"/>
    <w:rsid w:val="00766461"/>
    <w:rsid w:val="00774FD4"/>
    <w:rsid w:val="007B18A0"/>
    <w:rsid w:val="007B311D"/>
    <w:rsid w:val="007B3E00"/>
    <w:rsid w:val="007C5A3B"/>
    <w:rsid w:val="007D0FB9"/>
    <w:rsid w:val="007F76B3"/>
    <w:rsid w:val="00802885"/>
    <w:rsid w:val="00802F06"/>
    <w:rsid w:val="008143B2"/>
    <w:rsid w:val="008229A7"/>
    <w:rsid w:val="00827070"/>
    <w:rsid w:val="008279E2"/>
    <w:rsid w:val="0083181B"/>
    <w:rsid w:val="00837C13"/>
    <w:rsid w:val="008410B0"/>
    <w:rsid w:val="008539AC"/>
    <w:rsid w:val="00862A42"/>
    <w:rsid w:val="00865CE7"/>
    <w:rsid w:val="00870121"/>
    <w:rsid w:val="00886A48"/>
    <w:rsid w:val="0089163B"/>
    <w:rsid w:val="0089505C"/>
    <w:rsid w:val="008A207B"/>
    <w:rsid w:val="008B226B"/>
    <w:rsid w:val="008C2422"/>
    <w:rsid w:val="008E5A48"/>
    <w:rsid w:val="008F0330"/>
    <w:rsid w:val="00930066"/>
    <w:rsid w:val="009365D4"/>
    <w:rsid w:val="00941242"/>
    <w:rsid w:val="00945129"/>
    <w:rsid w:val="00961FFB"/>
    <w:rsid w:val="00983F40"/>
    <w:rsid w:val="00996708"/>
    <w:rsid w:val="009A6AB3"/>
    <w:rsid w:val="009B4093"/>
    <w:rsid w:val="009B7A57"/>
    <w:rsid w:val="009C34A5"/>
    <w:rsid w:val="009C7566"/>
    <w:rsid w:val="009D7335"/>
    <w:rsid w:val="00A13C8D"/>
    <w:rsid w:val="00A225C5"/>
    <w:rsid w:val="00A3015B"/>
    <w:rsid w:val="00A30FD9"/>
    <w:rsid w:val="00A3623C"/>
    <w:rsid w:val="00A559C5"/>
    <w:rsid w:val="00A76F15"/>
    <w:rsid w:val="00A95E9F"/>
    <w:rsid w:val="00A96830"/>
    <w:rsid w:val="00AA1F4E"/>
    <w:rsid w:val="00AB2223"/>
    <w:rsid w:val="00AB4144"/>
    <w:rsid w:val="00AB7D43"/>
    <w:rsid w:val="00AC3560"/>
    <w:rsid w:val="00AC3708"/>
    <w:rsid w:val="00AD1136"/>
    <w:rsid w:val="00AD2029"/>
    <w:rsid w:val="00B0338D"/>
    <w:rsid w:val="00B07810"/>
    <w:rsid w:val="00B17266"/>
    <w:rsid w:val="00B228D7"/>
    <w:rsid w:val="00B249C5"/>
    <w:rsid w:val="00B45702"/>
    <w:rsid w:val="00B54553"/>
    <w:rsid w:val="00B624EE"/>
    <w:rsid w:val="00B660D9"/>
    <w:rsid w:val="00B67D8E"/>
    <w:rsid w:val="00B823CB"/>
    <w:rsid w:val="00B94D51"/>
    <w:rsid w:val="00BA36C8"/>
    <w:rsid w:val="00BC1E92"/>
    <w:rsid w:val="00BC3771"/>
    <w:rsid w:val="00BD5F04"/>
    <w:rsid w:val="00BD6AAC"/>
    <w:rsid w:val="00BE6257"/>
    <w:rsid w:val="00C01C43"/>
    <w:rsid w:val="00C02F4D"/>
    <w:rsid w:val="00C07EEF"/>
    <w:rsid w:val="00C11A02"/>
    <w:rsid w:val="00C153BD"/>
    <w:rsid w:val="00C210C5"/>
    <w:rsid w:val="00C55F86"/>
    <w:rsid w:val="00C644E5"/>
    <w:rsid w:val="00C65DAC"/>
    <w:rsid w:val="00C90891"/>
    <w:rsid w:val="00C92870"/>
    <w:rsid w:val="00CA29E8"/>
    <w:rsid w:val="00CA2EC9"/>
    <w:rsid w:val="00CB776F"/>
    <w:rsid w:val="00CD409F"/>
    <w:rsid w:val="00CF3D77"/>
    <w:rsid w:val="00D0076D"/>
    <w:rsid w:val="00D146E5"/>
    <w:rsid w:val="00D277CE"/>
    <w:rsid w:val="00D31D7D"/>
    <w:rsid w:val="00D53A88"/>
    <w:rsid w:val="00D55D43"/>
    <w:rsid w:val="00D57D3B"/>
    <w:rsid w:val="00D60209"/>
    <w:rsid w:val="00D6438A"/>
    <w:rsid w:val="00D76898"/>
    <w:rsid w:val="00D779B9"/>
    <w:rsid w:val="00D82D07"/>
    <w:rsid w:val="00D85F16"/>
    <w:rsid w:val="00D865BA"/>
    <w:rsid w:val="00DA3A97"/>
    <w:rsid w:val="00DB1379"/>
    <w:rsid w:val="00DB5403"/>
    <w:rsid w:val="00DD6BD4"/>
    <w:rsid w:val="00DD7323"/>
    <w:rsid w:val="00DF7CFF"/>
    <w:rsid w:val="00E05D19"/>
    <w:rsid w:val="00E10688"/>
    <w:rsid w:val="00E16990"/>
    <w:rsid w:val="00E32F75"/>
    <w:rsid w:val="00E3597B"/>
    <w:rsid w:val="00E41F7E"/>
    <w:rsid w:val="00E60507"/>
    <w:rsid w:val="00E71368"/>
    <w:rsid w:val="00E84EF4"/>
    <w:rsid w:val="00E85CAF"/>
    <w:rsid w:val="00EA29BA"/>
    <w:rsid w:val="00EB6E40"/>
    <w:rsid w:val="00EC30A0"/>
    <w:rsid w:val="00ED0E93"/>
    <w:rsid w:val="00ED500A"/>
    <w:rsid w:val="00ED5403"/>
    <w:rsid w:val="00ED641D"/>
    <w:rsid w:val="00EE6DE2"/>
    <w:rsid w:val="00EF09D0"/>
    <w:rsid w:val="00EF1772"/>
    <w:rsid w:val="00EF36A1"/>
    <w:rsid w:val="00F26D07"/>
    <w:rsid w:val="00F37215"/>
    <w:rsid w:val="00F3721F"/>
    <w:rsid w:val="00F44CCA"/>
    <w:rsid w:val="00F663FD"/>
    <w:rsid w:val="00F81017"/>
    <w:rsid w:val="00F8514B"/>
    <w:rsid w:val="00FA54BC"/>
    <w:rsid w:val="00FC3D0D"/>
    <w:rsid w:val="00FC75FF"/>
    <w:rsid w:val="00FD121B"/>
    <w:rsid w:val="00FD2E1C"/>
    <w:rsid w:val="00FD47F1"/>
    <w:rsid w:val="00FE7F49"/>
    <w:rsid w:val="00FF2609"/>
    <w:rsid w:val="1A635941"/>
    <w:rsid w:val="1F8C000B"/>
    <w:rsid w:val="2CF2DD5A"/>
    <w:rsid w:val="358E68E2"/>
    <w:rsid w:val="3F188B53"/>
    <w:rsid w:val="42E76D37"/>
    <w:rsid w:val="502DF051"/>
    <w:rsid w:val="7BA5947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A29BC"/>
  <w15:chartTrackingRefBased/>
  <w15:docId w15:val="{DC90B304-70E9-41B0-90D5-298BEEF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70"/>
    <w:rPr>
      <w:lang w:val="en-US"/>
    </w:rPr>
  </w:style>
  <w:style w:type="paragraph" w:styleId="Heading1">
    <w:name w:val="heading 1"/>
    <w:basedOn w:val="H1"/>
    <w:next w:val="Normal"/>
    <w:link w:val="Heading1Char"/>
    <w:uiPriority w:val="9"/>
    <w:qFormat/>
    <w:rsid w:val="00941242"/>
    <w:rPr>
      <w:rFonts w:eastAsia="Poppins"/>
    </w:rPr>
  </w:style>
  <w:style w:type="paragraph" w:styleId="Heading2">
    <w:name w:val="heading 2"/>
    <w:basedOn w:val="H2"/>
    <w:next w:val="Normal"/>
    <w:link w:val="Heading2Char"/>
    <w:uiPriority w:val="9"/>
    <w:unhideWhenUsed/>
    <w:qFormat/>
    <w:rsid w:val="00941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uiPriority w:val="1"/>
    <w:rsid w:val="001A239C"/>
    <w:pPr>
      <w:spacing w:before="120" w:after="120"/>
    </w:pPr>
    <w:rPr>
      <w:rFonts w:ascii="Arial" w:eastAsia="Times New Roman" w:hAnsi="Arial" w:cs="Times"/>
      <w:sz w:val="24"/>
      <w:szCs w:val="24"/>
      <w:lang w:eastAsia="en-GB"/>
    </w:rPr>
  </w:style>
  <w:style w:type="paragraph" w:styleId="ListParagraph">
    <w:name w:val="List Paragraph"/>
    <w:aliases w:val="Level 3,List Paragraph1,List Paragraph numbered,List Bullet indent,Unordered List Paragraph,Rec para,Recommendation,List Paragraph11,Dot pt,F5 List Paragraph,No Spacing1,List Paragraph Char Char Char,Indicator Text,Numbered Para 1"/>
    <w:basedOn w:val="Normal"/>
    <w:link w:val="ListParagraphChar"/>
    <w:uiPriority w:val="34"/>
    <w:qFormat/>
    <w:rsid w:val="00E3597B"/>
    <w:pPr>
      <w:ind w:left="720"/>
      <w:contextualSpacing/>
    </w:pPr>
  </w:style>
  <w:style w:type="character" w:customStyle="1" w:styleId="ListParagraphChar">
    <w:name w:val="List Paragraph Char"/>
    <w:aliases w:val="Level 3 Char,List Paragraph1 Char,List Paragraph numbered Char,List Bullet indent Char,Unordered List Paragraph Char,Rec para Char,Recommendation Char,List Paragraph11 Char,Dot pt Char,F5 List Paragraph Char,No Spacing1 Char"/>
    <w:basedOn w:val="DefaultParagraphFont"/>
    <w:link w:val="ListParagraph"/>
    <w:uiPriority w:val="34"/>
    <w:locked/>
    <w:rsid w:val="00144BAA"/>
    <w:rPr>
      <w:lang w:val="en-US"/>
    </w:rPr>
  </w:style>
  <w:style w:type="character" w:styleId="Hyperlink">
    <w:name w:val="Hyperlink"/>
    <w:basedOn w:val="DefaultParagraphFont"/>
    <w:uiPriority w:val="99"/>
    <w:unhideWhenUsed/>
    <w:rsid w:val="00207C3D"/>
    <w:rPr>
      <w:rFonts w:ascii="Segoe UI" w:hAnsi="Segoe UI"/>
      <w:b w:val="0"/>
      <w:i w:val="0"/>
      <w:color w:val="000000" w:themeColor="text1"/>
      <w:sz w:val="20"/>
      <w:u w:val="single"/>
    </w:rPr>
  </w:style>
  <w:style w:type="table" w:styleId="TableGrid">
    <w:name w:val="Table Grid"/>
    <w:basedOn w:val="TableNormal"/>
    <w:uiPriority w:val="39"/>
    <w:rsid w:val="0014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44BAA"/>
    <w:pPr>
      <w:spacing w:after="0" w:line="240" w:lineRule="auto"/>
    </w:pPr>
    <w:rPr>
      <w:rFonts w:ascii="Calibri" w:hAnsi="Calibri" w:cs="Calibri"/>
      <w:lang w:val="en-NZ"/>
    </w:rPr>
  </w:style>
  <w:style w:type="table" w:styleId="GridTable1Light">
    <w:name w:val="Grid Table 1 Light"/>
    <w:basedOn w:val="TableNormal"/>
    <w:uiPriority w:val="46"/>
    <w:rsid w:val="00144B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144B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30EAE"/>
    <w:rPr>
      <w:color w:val="605E5C"/>
      <w:shd w:val="clear" w:color="auto" w:fill="E1DFDD"/>
    </w:rPr>
  </w:style>
  <w:style w:type="paragraph" w:customStyle="1" w:styleId="EndNoteBibliographyTitle">
    <w:name w:val="EndNote Bibliography Title"/>
    <w:basedOn w:val="Normal"/>
    <w:link w:val="EndNoteBibliographyTitleChar"/>
    <w:rsid w:val="003F6F6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6F69"/>
    <w:rPr>
      <w:rFonts w:ascii="Calibri" w:hAnsi="Calibri" w:cs="Calibri"/>
      <w:noProof/>
      <w:lang w:val="en-US"/>
    </w:rPr>
  </w:style>
  <w:style w:type="paragraph" w:customStyle="1" w:styleId="EndNoteBibliography">
    <w:name w:val="EndNote Bibliography"/>
    <w:basedOn w:val="Normal"/>
    <w:link w:val="EndNoteBibliographyChar"/>
    <w:rsid w:val="00337BC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37BC3"/>
    <w:rPr>
      <w:rFonts w:ascii="Calibri" w:hAnsi="Calibri" w:cs="Calibri"/>
      <w:noProof/>
      <w:lang w:val="en-US"/>
    </w:rPr>
  </w:style>
  <w:style w:type="character" w:styleId="CommentReference">
    <w:name w:val="annotation reference"/>
    <w:basedOn w:val="DefaultParagraphFont"/>
    <w:uiPriority w:val="99"/>
    <w:semiHidden/>
    <w:unhideWhenUsed/>
    <w:rsid w:val="00CD409F"/>
    <w:rPr>
      <w:sz w:val="16"/>
      <w:szCs w:val="16"/>
    </w:rPr>
  </w:style>
  <w:style w:type="paragraph" w:styleId="Revision">
    <w:name w:val="Revision"/>
    <w:hidden/>
    <w:uiPriority w:val="99"/>
    <w:semiHidden/>
    <w:rsid w:val="00555CCA"/>
    <w:pPr>
      <w:spacing w:after="0" w:line="240" w:lineRule="auto"/>
    </w:pPr>
    <w:rPr>
      <w:lang w:val="en-US"/>
    </w:rPr>
  </w:style>
  <w:style w:type="paragraph" w:styleId="Caption">
    <w:name w:val="caption"/>
    <w:basedOn w:val="Normal"/>
    <w:next w:val="Normal"/>
    <w:uiPriority w:val="35"/>
    <w:unhideWhenUsed/>
    <w:qFormat/>
    <w:rsid w:val="00D85F16"/>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983F40"/>
    <w:pPr>
      <w:spacing w:line="240" w:lineRule="auto"/>
    </w:pPr>
    <w:rPr>
      <w:sz w:val="20"/>
      <w:szCs w:val="20"/>
    </w:rPr>
  </w:style>
  <w:style w:type="character" w:customStyle="1" w:styleId="CommentTextChar">
    <w:name w:val="Comment Text Char"/>
    <w:basedOn w:val="DefaultParagraphFont"/>
    <w:link w:val="CommentText"/>
    <w:uiPriority w:val="99"/>
    <w:rsid w:val="00983F40"/>
    <w:rPr>
      <w:sz w:val="20"/>
      <w:szCs w:val="20"/>
      <w:lang w:val="en-US"/>
    </w:rPr>
  </w:style>
  <w:style w:type="paragraph" w:styleId="CommentSubject">
    <w:name w:val="annotation subject"/>
    <w:basedOn w:val="CommentText"/>
    <w:next w:val="CommentText"/>
    <w:link w:val="CommentSubjectChar"/>
    <w:uiPriority w:val="99"/>
    <w:semiHidden/>
    <w:unhideWhenUsed/>
    <w:rsid w:val="00983F40"/>
    <w:rPr>
      <w:b/>
      <w:bCs/>
    </w:rPr>
  </w:style>
  <w:style w:type="character" w:customStyle="1" w:styleId="CommentSubjectChar">
    <w:name w:val="Comment Subject Char"/>
    <w:basedOn w:val="CommentTextChar"/>
    <w:link w:val="CommentSubject"/>
    <w:uiPriority w:val="99"/>
    <w:semiHidden/>
    <w:rsid w:val="00983F40"/>
    <w:rPr>
      <w:b/>
      <w:bCs/>
      <w:sz w:val="20"/>
      <w:szCs w:val="20"/>
      <w:lang w:val="en-US"/>
    </w:rPr>
  </w:style>
  <w:style w:type="paragraph" w:styleId="Header">
    <w:name w:val="header"/>
    <w:basedOn w:val="Normal"/>
    <w:link w:val="HeaderChar"/>
    <w:uiPriority w:val="99"/>
    <w:unhideWhenUsed/>
    <w:rsid w:val="002B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A25"/>
    <w:rPr>
      <w:lang w:val="en-US"/>
    </w:rPr>
  </w:style>
  <w:style w:type="paragraph" w:styleId="Footer">
    <w:name w:val="footer"/>
    <w:basedOn w:val="Normal"/>
    <w:link w:val="FooterChar"/>
    <w:uiPriority w:val="99"/>
    <w:unhideWhenUsed/>
    <w:rsid w:val="00207C3D"/>
    <w:pPr>
      <w:tabs>
        <w:tab w:val="center" w:pos="4513"/>
        <w:tab w:val="right" w:pos="9026"/>
      </w:tabs>
      <w:spacing w:after="0" w:line="240" w:lineRule="auto"/>
    </w:pPr>
    <w:rPr>
      <w:rFonts w:ascii="Segoe UI" w:hAnsi="Segoe UI"/>
      <w:caps/>
      <w:sz w:val="18"/>
    </w:rPr>
  </w:style>
  <w:style w:type="character" w:customStyle="1" w:styleId="FooterChar">
    <w:name w:val="Footer Char"/>
    <w:basedOn w:val="DefaultParagraphFont"/>
    <w:link w:val="Footer"/>
    <w:uiPriority w:val="99"/>
    <w:rsid w:val="00207C3D"/>
    <w:rPr>
      <w:rFonts w:ascii="Segoe UI" w:hAnsi="Segoe UI"/>
      <w:caps/>
      <w:sz w:val="18"/>
      <w:lang w:val="en-US"/>
    </w:rPr>
  </w:style>
  <w:style w:type="paragraph" w:styleId="FootnoteText">
    <w:name w:val="footnote text"/>
    <w:basedOn w:val="Normal"/>
    <w:link w:val="FootnoteTextChar"/>
    <w:uiPriority w:val="99"/>
    <w:semiHidden/>
    <w:unhideWhenUsed/>
    <w:rsid w:val="00BD5F04"/>
    <w:pPr>
      <w:spacing w:after="0" w:line="240" w:lineRule="auto"/>
    </w:pPr>
    <w:rPr>
      <w:rFonts w:ascii="Segoe UI" w:hAnsi="Segoe UI"/>
      <w:sz w:val="20"/>
      <w:szCs w:val="20"/>
    </w:rPr>
  </w:style>
  <w:style w:type="character" w:customStyle="1" w:styleId="FootnoteTextChar">
    <w:name w:val="Footnote Text Char"/>
    <w:basedOn w:val="DefaultParagraphFont"/>
    <w:link w:val="FootnoteText"/>
    <w:uiPriority w:val="99"/>
    <w:semiHidden/>
    <w:rsid w:val="00BD5F04"/>
    <w:rPr>
      <w:rFonts w:ascii="Segoe UI" w:hAnsi="Segoe UI"/>
      <w:sz w:val="20"/>
      <w:szCs w:val="20"/>
      <w:lang w:val="en-US"/>
    </w:rPr>
  </w:style>
  <w:style w:type="character" w:styleId="FootnoteReference">
    <w:name w:val="footnote reference"/>
    <w:basedOn w:val="DefaultParagraphFont"/>
    <w:uiPriority w:val="99"/>
    <w:semiHidden/>
    <w:unhideWhenUsed/>
    <w:rsid w:val="001C6334"/>
    <w:rPr>
      <w:vertAlign w:val="superscript"/>
    </w:rPr>
  </w:style>
  <w:style w:type="paragraph" w:customStyle="1" w:styleId="paragraph">
    <w:name w:val="paragraph"/>
    <w:basedOn w:val="Normal"/>
    <w:rsid w:val="00827070"/>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827070"/>
  </w:style>
  <w:style w:type="character" w:customStyle="1" w:styleId="eop">
    <w:name w:val="eop"/>
    <w:basedOn w:val="DefaultParagraphFont"/>
    <w:rsid w:val="00827070"/>
  </w:style>
  <w:style w:type="character" w:customStyle="1" w:styleId="superscript">
    <w:name w:val="superscript"/>
    <w:basedOn w:val="DefaultParagraphFont"/>
    <w:rsid w:val="00827070"/>
  </w:style>
  <w:style w:type="paragraph" w:customStyle="1" w:styleId="H1">
    <w:name w:val="H1"/>
    <w:basedOn w:val="paragraph"/>
    <w:qFormat/>
    <w:rsid w:val="00941242"/>
    <w:pPr>
      <w:spacing w:before="0" w:beforeAutospacing="0" w:after="180" w:afterAutospacing="0"/>
      <w:textAlignment w:val="baseline"/>
      <w:outlineLvl w:val="0"/>
    </w:pPr>
    <w:rPr>
      <w:rFonts w:ascii="Segoe UI" w:hAnsi="Segoe UI" w:cs="Segoe UI"/>
      <w:b/>
      <w:bCs/>
      <w:color w:val="000000" w:themeColor="text1"/>
      <w:sz w:val="32"/>
      <w:szCs w:val="32"/>
    </w:rPr>
  </w:style>
  <w:style w:type="paragraph" w:customStyle="1" w:styleId="H2">
    <w:name w:val="H2"/>
    <w:basedOn w:val="paragraph"/>
    <w:qFormat/>
    <w:rsid w:val="00941242"/>
    <w:pPr>
      <w:spacing w:before="0" w:beforeAutospacing="0" w:after="120" w:afterAutospacing="0"/>
      <w:textAlignment w:val="baseline"/>
      <w:outlineLvl w:val="1"/>
    </w:pPr>
    <w:rPr>
      <w:rFonts w:ascii="Segoe UI" w:eastAsia="Poppins" w:hAnsi="Segoe UI" w:cs="Segoe UI"/>
      <w:b/>
      <w:bCs/>
      <w:color w:val="000000" w:themeColor="text1"/>
      <w:sz w:val="28"/>
      <w:szCs w:val="28"/>
    </w:rPr>
  </w:style>
  <w:style w:type="paragraph" w:customStyle="1" w:styleId="Numbers">
    <w:name w:val="Numbers"/>
    <w:basedOn w:val="paragraph"/>
    <w:qFormat/>
    <w:rsid w:val="00941242"/>
    <w:pPr>
      <w:numPr>
        <w:numId w:val="8"/>
      </w:numPr>
      <w:spacing w:before="120" w:beforeAutospacing="0" w:after="0" w:afterAutospacing="0"/>
      <w:ind w:left="567" w:hanging="567"/>
      <w:textAlignment w:val="baseline"/>
    </w:pPr>
    <w:rPr>
      <w:rFonts w:ascii="Segoe UI" w:hAnsi="Segoe UI" w:cs="Segoe UI"/>
      <w:color w:val="000000" w:themeColor="text1"/>
      <w:sz w:val="21"/>
      <w:szCs w:val="22"/>
    </w:rPr>
  </w:style>
  <w:style w:type="paragraph" w:customStyle="1" w:styleId="Bullets">
    <w:name w:val="Bullets"/>
    <w:basedOn w:val="paragraph"/>
    <w:qFormat/>
    <w:rsid w:val="000A1A70"/>
    <w:pPr>
      <w:numPr>
        <w:numId w:val="9"/>
      </w:numPr>
      <w:tabs>
        <w:tab w:val="clear" w:pos="720"/>
        <w:tab w:val="left" w:pos="1134"/>
      </w:tabs>
      <w:spacing w:before="0" w:beforeAutospacing="0" w:after="120" w:afterAutospacing="0"/>
      <w:ind w:left="1134" w:hanging="567"/>
      <w:textAlignment w:val="baseline"/>
    </w:pPr>
    <w:rPr>
      <w:rFonts w:ascii="Segoe UI" w:hAnsi="Segoe UI" w:cs="Segoe UI"/>
      <w:color w:val="000000" w:themeColor="text1"/>
      <w:sz w:val="21"/>
      <w:szCs w:val="22"/>
    </w:rPr>
  </w:style>
  <w:style w:type="paragraph" w:styleId="ListBullet">
    <w:name w:val="List Bullet"/>
    <w:basedOn w:val="Normal"/>
    <w:uiPriority w:val="99"/>
    <w:unhideWhenUsed/>
    <w:rsid w:val="00207C3D"/>
    <w:pPr>
      <w:numPr>
        <w:numId w:val="10"/>
      </w:numPr>
      <w:contextualSpacing/>
    </w:pPr>
  </w:style>
  <w:style w:type="character" w:customStyle="1" w:styleId="Heading1Char">
    <w:name w:val="Heading 1 Char"/>
    <w:basedOn w:val="DefaultParagraphFont"/>
    <w:link w:val="Heading1"/>
    <w:uiPriority w:val="9"/>
    <w:rsid w:val="00941242"/>
    <w:rPr>
      <w:rFonts w:ascii="Segoe UI" w:eastAsia="Poppins" w:hAnsi="Segoe UI" w:cs="Segoe UI"/>
      <w:b/>
      <w:bCs/>
      <w:color w:val="000000" w:themeColor="text1"/>
      <w:sz w:val="32"/>
      <w:szCs w:val="32"/>
      <w:lang w:eastAsia="en-NZ"/>
    </w:rPr>
  </w:style>
  <w:style w:type="character" w:customStyle="1" w:styleId="Heading2Char">
    <w:name w:val="Heading 2 Char"/>
    <w:basedOn w:val="DefaultParagraphFont"/>
    <w:link w:val="Heading2"/>
    <w:uiPriority w:val="9"/>
    <w:rsid w:val="00941242"/>
    <w:rPr>
      <w:rFonts w:ascii="Segoe UI" w:eastAsia="Poppins" w:hAnsi="Segoe UI" w:cs="Segoe UI"/>
      <w:b/>
      <w:bCs/>
      <w:color w:val="000000" w:themeColor="text1"/>
      <w:sz w:val="28"/>
      <w:szCs w:val="2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health.govt.nz/about-ministry/what-we-do/achieving-equity" TargetMode="External"/><Relationship Id="rId26" Type="http://schemas.openxmlformats.org/officeDocument/2006/relationships/hyperlink" Target="https://www.health.govt.nz/publication/health-and-independence-report-2022" TargetMode="External"/><Relationship Id="rId3" Type="http://schemas.openxmlformats.org/officeDocument/2006/relationships/customXml" Target="../customXml/item3.xml"/><Relationship Id="rId21" Type="http://schemas.openxmlformats.org/officeDocument/2006/relationships/hyperlink" Target="https://forms.justice.govt.nz/search/Documents/WT/wt_DOC_152801817/Hauora%20W.pdf" TargetMode="External"/><Relationship Id="rId34"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oyalsociety.org.nz/assets/Te-Tapeke-Fair-Futures-in-Aotearoa-key-concepts.pdf" TargetMode="External"/><Relationship Id="rId25" Type="http://schemas.openxmlformats.org/officeDocument/2006/relationships/hyperlink" Target="https://www.stats.govt.nz/information-releases/child-poverty-statistics-year-ended-june-202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en/what-are-human-rights/international-bill-human-rights" TargetMode="External"/><Relationship Id="rId20" Type="http://schemas.openxmlformats.org/officeDocument/2006/relationships/hyperlink" Target="https://gg.govt.nz/office-governor-general/roles-and-functions-governor-general/constitutional-role/constitution" TargetMode="External"/><Relationship Id="rId29" Type="http://schemas.openxmlformats.org/officeDocument/2006/relationships/hyperlink" Target="https://tewhatuora.shinyapps.io/nsu-bsa-cover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whatuora.shinyapps.io/virtual-diabetes-register-web-too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en/about-us/universal-declaration-of-human-rights" TargetMode="External"/><Relationship Id="rId23" Type="http://schemas.openxmlformats.org/officeDocument/2006/relationships/hyperlink" Target="https://www.health.govt.nz/system/files/documents/publications/wai-2575-maori-health-trends-report-04mar2020.pdf" TargetMode="External"/><Relationship Id="rId28" Type="http://schemas.openxmlformats.org/officeDocument/2006/relationships/hyperlink" Target="https://tewhatuora.shinyapps.io/nsu-ncsp-coverage/" TargetMode="External"/><Relationship Id="rId10" Type="http://schemas.openxmlformats.org/officeDocument/2006/relationships/footnotes" Target="footnotes.xml"/><Relationship Id="rId19" Type="http://schemas.openxmlformats.org/officeDocument/2006/relationships/hyperlink" Target="https://www.archives.govt.nz/discover-our-stories/the-treaty-of-waitang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t.nz/act/public/2022/0030/latest/LMS575405.html" TargetMode="External"/><Relationship Id="rId22" Type="http://schemas.openxmlformats.org/officeDocument/2006/relationships/hyperlink" Target="https://www.stats.govt.nz/information-releases/national-and-subnational-period-life-tables-2017-2019" TargetMode="External"/><Relationship Id="rId27" Type="http://schemas.openxmlformats.org/officeDocument/2006/relationships/hyperlink" Target="https://www.rnz.co.nz/programmes/the-detail/story/2018895477/the-waitlist-algorithm-that-morphed-into-a-political-weapon" TargetMode="External"/><Relationship Id="rId30" Type="http://schemas.openxmlformats.org/officeDocument/2006/relationships/hyperlink" Target="https://www.stats.govt.nz/news/ethnic-group-summaries-reveal-new-zealands-multicultural-mak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35BDB2E636E52C4A97F6EA784072A674" ma:contentTypeVersion="77" ma:contentTypeDescription="Create a new document." ma:contentTypeScope="" ma:versionID="046c7200812b497b40adff6ceadde293">
  <xsd:schema xmlns:xsd="http://www.w3.org/2001/XMLSchema" xmlns:xs="http://www.w3.org/2001/XMLSchema" xmlns:p="http://schemas.microsoft.com/office/2006/metadata/properties" xmlns:ns2="ddbcb19b-9574-4b2f-8698-1926aad31d8a"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d25c032a-5541-45df-991a-ebc9dfcd9605" targetNamespace="http://schemas.microsoft.com/office/2006/metadata/properties" ma:root="true" ma:fieldsID="9d383f675ab984c4510d9c9a5364ff1e" ns2:_="" ns3:_="" ns4:_="" ns5:_="" ns6:_="" ns7:_="" ns8:_="" ns9:_="" ns10:_="">
    <xsd:import namespace="ddbcb19b-9574-4b2f-8698-1926aad31d8a"/>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d25c032a-5541-45df-991a-ebc9dfcd9605"/>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10:MediaServiceObjectDetectorVersion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2:SharedWithUsers" minOccurs="0"/>
                <xsd:element ref="ns2:SharedWithDetails" minOccurs="0"/>
                <xsd:element ref="ns10: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b19b-9574-4b2f-8698-1926aad31d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7" nillable="true" ma:displayName="Taxonomy Catch All Column" ma:hidden="true" ma:list="{7602a3d8-ceca-4061-9934-9cf612416870}" ma:internalName="TaxCatchAll" ma:showField="CatchAllData" ma:web="ddbcb19b-9574-4b2f-8698-1926aad31d8a">
      <xsd:complexType>
        <xsd:complexContent>
          <xsd:extension base="dms:MultiChoiceLookup">
            <xsd:sequence>
              <xsd:element name="Value" type="dms:Lookup" maxOccurs="unbounded" minOccurs="0" nillable="true"/>
            </xsd:sequence>
          </xsd:extension>
        </xsd:complexContent>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Public Health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Committee Management"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eeting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Public Health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5c032a-5541-45df-991a-ebc9dfcd9605"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8" nillable="true" ma:displayName="Extracted Text" ma:internalName="MediaServiceOCR" ma:readOnly="true">
      <xsd:simpleType>
        <xsd:restriction base="dms:Note">
          <xsd:maxLength value="255"/>
        </xsd:restriction>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element name="MediaServiceDateTaken" ma:index="6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TaxCatchAll xmlns="ddbcb19b-9574-4b2f-8698-1926aad31d8a"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Meetings</Activity>
    <MeetingDate xmlns="ae638a50-07e4-437e-8f63-6962fde4e67a" xsi:nil="true"/>
    <AggregationStatus xmlns="4f9c820c-e7e2-444d-97ee-45f2b3485c1d">Normal</AggregationStatus>
    <OverrideLabel xmlns="d0b61010-d6f3-4072-b934-7bbb13e97771" xsi:nil="true"/>
    <CategoryValue xmlns="4f9c820c-e7e2-444d-97ee-45f2b3485c1d">Equity and Te Tiriti Position Statement</CategoryValue>
    <PRADate2 xmlns="4f9c820c-e7e2-444d-97ee-45f2b3485c1d" xsi:nil="true"/>
    <zLegacyJSON xmlns="184c05c4-c568-455d-94a4-7e009b164348" xsi:nil="true"/>
    <Case xmlns="4f9c820c-e7e2-444d-97ee-45f2b3485c1d">Public Health Advisory Committee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Public Health Advisory Committee</Team>
    <Project xmlns="4f9c820c-e7e2-444d-97ee-45f2b3485c1d">NA</Project>
    <HasNHI xmlns="184c05c4-c568-455d-94a4-7e009b164348">false</HasNHI>
    <FunctionGroup xmlns="4f9c820c-e7e2-444d-97ee-45f2b3485c1d">Governance</FunctionGroup>
    <Function xmlns="4f9c820c-e7e2-444d-97ee-45f2b3485c1d">Committee Management</Function>
    <SetLabel xmlns="d0b61010-d6f3-4072-b934-7bbb13e97771">D02M</SetLabel>
    <lcf76f155ced4ddcb4097134ff3c332f xmlns="d25c032a-5541-45df-991a-ebc9dfcd9605">
      <Terms xmlns="http://schemas.microsoft.com/office/infopath/2007/PartnerControls"/>
    </lcf76f155ced4ddcb4097134ff3c332f>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Work Programme</CategoryName>
    <PRADateTrigger xmlns="4f9c820c-e7e2-444d-97ee-45f2b3485c1d" xsi:nil="true"/>
    <PRAText2 xmlns="4f9c820c-e7e2-444d-97ee-45f2b3485c1d" xsi:nil="true"/>
    <zLegacyID xmlns="184c05c4-c568-455d-94a4-7e009b164348" xsi:nil="true"/>
    <_dlc_DocId xmlns="ddbcb19b-9574-4b2f-8698-1926aad31d8a">MOHECM-1281223731-2077</_dlc_DocId>
    <_dlc_DocIdUrl xmlns="ddbcb19b-9574-4b2f-8698-1926aad31d8a">
      <Url>https://mohgovtnz.sharepoint.com/sites/moh-ecm-PHAdCom/_layouts/15/DocIdRedir.aspx?ID=MOHECM-1281223731-2077</Url>
      <Description>MOHECM-1281223731-2077</Description>
    </_dlc_DocIdUrl>
    <SharedWithUsers xmlns="ddbcb19b-9574-4b2f-8698-1926aad31d8a">
      <UserInfo>
        <DisplayName>Chloe Reynolds</DisplayName>
        <AccountId>121</AccountId>
        <AccountType/>
      </UserInfo>
    </SharedWithUsers>
  </documentManagement>
</p:properties>
</file>

<file path=customXml/itemProps1.xml><?xml version="1.0" encoding="utf-8"?>
<ds:datastoreItem xmlns:ds="http://schemas.openxmlformats.org/officeDocument/2006/customXml" ds:itemID="{045F4B1E-15F2-4757-BAFA-D2ED95EC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cb19b-9574-4b2f-8698-1926aad31d8a"/>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d25c032a-5541-45df-991a-ebc9dfcd9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C74FE-C34C-44B4-A1B5-94648C79B4DC}">
  <ds:schemaRefs>
    <ds:schemaRef ds:uri="http://schemas.microsoft.com/sharepoint/v3/contenttype/forms"/>
  </ds:schemaRefs>
</ds:datastoreItem>
</file>

<file path=customXml/itemProps3.xml><?xml version="1.0" encoding="utf-8"?>
<ds:datastoreItem xmlns:ds="http://schemas.openxmlformats.org/officeDocument/2006/customXml" ds:itemID="{98CBFBDF-A1C0-4B7E-A5E0-344CD8DA8BE7}">
  <ds:schemaRefs>
    <ds:schemaRef ds:uri="http://schemas.openxmlformats.org/officeDocument/2006/bibliography"/>
  </ds:schemaRefs>
</ds:datastoreItem>
</file>

<file path=customXml/itemProps4.xml><?xml version="1.0" encoding="utf-8"?>
<ds:datastoreItem xmlns:ds="http://schemas.openxmlformats.org/officeDocument/2006/customXml" ds:itemID="{C4885DCE-C3ED-4175-A1EF-441385F227DB}">
  <ds:schemaRefs>
    <ds:schemaRef ds:uri="http://schemas.microsoft.com/sharepoint/events"/>
  </ds:schemaRefs>
</ds:datastoreItem>
</file>

<file path=customXml/itemProps5.xml><?xml version="1.0" encoding="utf-8"?>
<ds:datastoreItem xmlns:ds="http://schemas.openxmlformats.org/officeDocument/2006/customXml" ds:itemID="{2A2AA33B-A878-45AE-8538-CCCDAA309D85}">
  <ds:schemaRefs>
    <ds:schemaRef ds:uri="http://schemas.microsoft.com/office/2006/metadata/properties"/>
    <ds:schemaRef ds:uri="http://schemas.microsoft.com/office/infopath/2007/PartnerControls"/>
    <ds:schemaRef ds:uri="4f9c820c-e7e2-444d-97ee-45f2b3485c1d"/>
    <ds:schemaRef ds:uri="ddbcb19b-9574-4b2f-8698-1926aad31d8a"/>
    <ds:schemaRef ds:uri="15ffb055-6eb4-45a1-bc20-bf2ac0d420da"/>
    <ds:schemaRef ds:uri="c91a514c-9034-4fa3-897a-8352025b26ed"/>
    <ds:schemaRef ds:uri="184c05c4-c568-455d-94a4-7e009b164348"/>
    <ds:schemaRef ds:uri="ae638a50-07e4-437e-8f63-6962fde4e67a"/>
    <ds:schemaRef ds:uri="d0b61010-d6f3-4072-b934-7bbb13e97771"/>
    <ds:schemaRef ds:uri="d25c032a-5541-45df-991a-ebc9dfcd9605"/>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7234</Words>
  <Characters>41237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Position statement on Equity, Te Tiriti o Waitangi, and Māori Health</vt:lpstr>
    </vt:vector>
  </TitlesOfParts>
  <Company>Ministry of Health</Company>
  <LinksUpToDate>false</LinksUpToDate>
  <CharactersWithSpaces>48375</CharactersWithSpaces>
  <SharedDoc>false</SharedDoc>
  <HLinks>
    <vt:vector size="102" baseType="variant">
      <vt:variant>
        <vt:i4>7012478</vt:i4>
      </vt:variant>
      <vt:variant>
        <vt:i4>152</vt:i4>
      </vt:variant>
      <vt:variant>
        <vt:i4>0</vt:i4>
      </vt:variant>
      <vt:variant>
        <vt:i4>5</vt:i4>
      </vt:variant>
      <vt:variant>
        <vt:lpwstr>https://www.stats.govt.nz/news/ethnic-group-summaries-reveal-new-zealands-multicultural-make-up</vt:lpwstr>
      </vt:variant>
      <vt:variant>
        <vt:lpwstr/>
      </vt:variant>
      <vt:variant>
        <vt:i4>5111877</vt:i4>
      </vt:variant>
      <vt:variant>
        <vt:i4>149</vt:i4>
      </vt:variant>
      <vt:variant>
        <vt:i4>0</vt:i4>
      </vt:variant>
      <vt:variant>
        <vt:i4>5</vt:i4>
      </vt:variant>
      <vt:variant>
        <vt:lpwstr>https://tewhatuora.shinyapps.io/nsu-bsa-coverage/</vt:lpwstr>
      </vt:variant>
      <vt:variant>
        <vt:lpwstr/>
      </vt:variant>
      <vt:variant>
        <vt:i4>2228344</vt:i4>
      </vt:variant>
      <vt:variant>
        <vt:i4>146</vt:i4>
      </vt:variant>
      <vt:variant>
        <vt:i4>0</vt:i4>
      </vt:variant>
      <vt:variant>
        <vt:i4>5</vt:i4>
      </vt:variant>
      <vt:variant>
        <vt:lpwstr>https://tewhatuora.shinyapps.io/nsu-ncsp-coverage/</vt:lpwstr>
      </vt:variant>
      <vt:variant>
        <vt:lpwstr/>
      </vt:variant>
      <vt:variant>
        <vt:i4>4718682</vt:i4>
      </vt:variant>
      <vt:variant>
        <vt:i4>143</vt:i4>
      </vt:variant>
      <vt:variant>
        <vt:i4>0</vt:i4>
      </vt:variant>
      <vt:variant>
        <vt:i4>5</vt:i4>
      </vt:variant>
      <vt:variant>
        <vt:lpwstr>https://www.rnz.co.nz/programmes/the-detail/story/2018895477/the-waitlist-algorithm-that-morphed-into-a-political-weapon</vt:lpwstr>
      </vt:variant>
      <vt:variant>
        <vt:lpwstr/>
      </vt:variant>
      <vt:variant>
        <vt:i4>3932197</vt:i4>
      </vt:variant>
      <vt:variant>
        <vt:i4>140</vt:i4>
      </vt:variant>
      <vt:variant>
        <vt:i4>0</vt:i4>
      </vt:variant>
      <vt:variant>
        <vt:i4>5</vt:i4>
      </vt:variant>
      <vt:variant>
        <vt:lpwstr>https://www.health.govt.nz/publication/health-and-independence-report-2022</vt:lpwstr>
      </vt:variant>
      <vt:variant>
        <vt:lpwstr/>
      </vt:variant>
      <vt:variant>
        <vt:i4>1900634</vt:i4>
      </vt:variant>
      <vt:variant>
        <vt:i4>137</vt:i4>
      </vt:variant>
      <vt:variant>
        <vt:i4>0</vt:i4>
      </vt:variant>
      <vt:variant>
        <vt:i4>5</vt:i4>
      </vt:variant>
      <vt:variant>
        <vt:lpwstr>https://www.stats.govt.nz/information-releases/child-poverty-statistics-year-ended-june-2022</vt:lpwstr>
      </vt:variant>
      <vt:variant>
        <vt:lpwstr/>
      </vt:variant>
      <vt:variant>
        <vt:i4>7864428</vt:i4>
      </vt:variant>
      <vt:variant>
        <vt:i4>134</vt:i4>
      </vt:variant>
      <vt:variant>
        <vt:i4>0</vt:i4>
      </vt:variant>
      <vt:variant>
        <vt:i4>5</vt:i4>
      </vt:variant>
      <vt:variant>
        <vt:lpwstr>https://tewhatuora.shinyapps.io/virtual-diabetes-register-web-tool/</vt:lpwstr>
      </vt:variant>
      <vt:variant>
        <vt:lpwstr/>
      </vt:variant>
      <vt:variant>
        <vt:i4>4522063</vt:i4>
      </vt:variant>
      <vt:variant>
        <vt:i4>131</vt:i4>
      </vt:variant>
      <vt:variant>
        <vt:i4>0</vt:i4>
      </vt:variant>
      <vt:variant>
        <vt:i4>5</vt:i4>
      </vt:variant>
      <vt:variant>
        <vt:lpwstr>https://www.health.govt.nz/system/files/documents/publications/wai-2575-maori-health-trends-report-04mar2020.pdf</vt:lpwstr>
      </vt:variant>
      <vt:variant>
        <vt:lpwstr/>
      </vt:variant>
      <vt:variant>
        <vt:i4>4587592</vt:i4>
      </vt:variant>
      <vt:variant>
        <vt:i4>128</vt:i4>
      </vt:variant>
      <vt:variant>
        <vt:i4>0</vt:i4>
      </vt:variant>
      <vt:variant>
        <vt:i4>5</vt:i4>
      </vt:variant>
      <vt:variant>
        <vt:lpwstr>https://www.stats.govt.nz/information-releases/national-and-subnational-period-life-tables-2017-2019</vt:lpwstr>
      </vt:variant>
      <vt:variant>
        <vt:lpwstr/>
      </vt:variant>
      <vt:variant>
        <vt:i4>3211307</vt:i4>
      </vt:variant>
      <vt:variant>
        <vt:i4>125</vt:i4>
      </vt:variant>
      <vt:variant>
        <vt:i4>0</vt:i4>
      </vt:variant>
      <vt:variant>
        <vt:i4>5</vt:i4>
      </vt:variant>
      <vt:variant>
        <vt:lpwstr>https://forms.justice.govt.nz/search/Documents/WT/wt_DOC_152801817/Hauora W.pdf</vt:lpwstr>
      </vt:variant>
      <vt:variant>
        <vt:lpwstr/>
      </vt:variant>
      <vt:variant>
        <vt:i4>5177417</vt:i4>
      </vt:variant>
      <vt:variant>
        <vt:i4>122</vt:i4>
      </vt:variant>
      <vt:variant>
        <vt:i4>0</vt:i4>
      </vt:variant>
      <vt:variant>
        <vt:i4>5</vt:i4>
      </vt:variant>
      <vt:variant>
        <vt:lpwstr>https://gg.govt.nz/office-governor-general/roles-and-functions-governor-general/constitutional-role/constitution</vt:lpwstr>
      </vt:variant>
      <vt:variant>
        <vt:lpwstr/>
      </vt:variant>
      <vt:variant>
        <vt:i4>4784136</vt:i4>
      </vt:variant>
      <vt:variant>
        <vt:i4>119</vt:i4>
      </vt:variant>
      <vt:variant>
        <vt:i4>0</vt:i4>
      </vt:variant>
      <vt:variant>
        <vt:i4>5</vt:i4>
      </vt:variant>
      <vt:variant>
        <vt:lpwstr>https://www.archives.govt.nz/discover-our-stories/the-treaty-of-waitangi</vt:lpwstr>
      </vt:variant>
      <vt:variant>
        <vt:lpwstr/>
      </vt:variant>
      <vt:variant>
        <vt:i4>1310796</vt:i4>
      </vt:variant>
      <vt:variant>
        <vt:i4>116</vt:i4>
      </vt:variant>
      <vt:variant>
        <vt:i4>0</vt:i4>
      </vt:variant>
      <vt:variant>
        <vt:i4>5</vt:i4>
      </vt:variant>
      <vt:variant>
        <vt:lpwstr>https://www.health.govt.nz/about-ministry/what-we-do/achieving-equity</vt:lpwstr>
      </vt:variant>
      <vt:variant>
        <vt:lpwstr/>
      </vt:variant>
      <vt:variant>
        <vt:i4>3997738</vt:i4>
      </vt:variant>
      <vt:variant>
        <vt:i4>113</vt:i4>
      </vt:variant>
      <vt:variant>
        <vt:i4>0</vt:i4>
      </vt:variant>
      <vt:variant>
        <vt:i4>5</vt:i4>
      </vt:variant>
      <vt:variant>
        <vt:lpwstr>https://www.royalsociety.org.nz/assets/Te-Tapeke-Fair-Futures-in-Aotearoa-key-concepts.pdf</vt:lpwstr>
      </vt:variant>
      <vt:variant>
        <vt:lpwstr/>
      </vt:variant>
      <vt:variant>
        <vt:i4>7798908</vt:i4>
      </vt:variant>
      <vt:variant>
        <vt:i4>110</vt:i4>
      </vt:variant>
      <vt:variant>
        <vt:i4>0</vt:i4>
      </vt:variant>
      <vt:variant>
        <vt:i4>5</vt:i4>
      </vt:variant>
      <vt:variant>
        <vt:lpwstr>https://www.ohchr.org/en/what-are-human-rights/international-bill-human-rights</vt:lpwstr>
      </vt:variant>
      <vt:variant>
        <vt:lpwstr/>
      </vt:variant>
      <vt:variant>
        <vt:i4>4325391</vt:i4>
      </vt:variant>
      <vt:variant>
        <vt:i4>107</vt:i4>
      </vt:variant>
      <vt:variant>
        <vt:i4>0</vt:i4>
      </vt:variant>
      <vt:variant>
        <vt:i4>5</vt:i4>
      </vt:variant>
      <vt:variant>
        <vt:lpwstr>https://www.un.org/en/about-us/universal-declaration-of-human-rights</vt:lpwstr>
      </vt:variant>
      <vt:variant>
        <vt:lpwstr/>
      </vt:variant>
      <vt:variant>
        <vt:i4>7405608</vt:i4>
      </vt:variant>
      <vt:variant>
        <vt:i4>104</vt:i4>
      </vt:variant>
      <vt:variant>
        <vt:i4>0</vt:i4>
      </vt:variant>
      <vt:variant>
        <vt:i4>5</vt:i4>
      </vt:variant>
      <vt:variant>
        <vt:lpwstr>https://www.legislation.govt.nz/act/public/2022/0030/latest/LMS575405.html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on Equity, Te Tiriti o Waitangi, and Māori Health</dc:title>
  <dc:subject/>
  <dc:creator>phac@health.govt.nz</dc:creator>
  <cp:keywords/>
  <dc:description/>
  <cp:lastModifiedBy>Ministry of Health</cp:lastModifiedBy>
  <cp:revision>18</cp:revision>
  <cp:lastPrinted>2023-09-20T08:21:00Z</cp:lastPrinted>
  <dcterms:created xsi:type="dcterms:W3CDTF">2023-09-21T06:00:00Z</dcterms:created>
  <dcterms:modified xsi:type="dcterms:W3CDTF">2023-09-21T23:19:00Z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0x01010035BDB2E636E52C4A97F6EA784072A674</vt:lpwstr>
  </property>
  <property fmtid="{D5CDD505-2E9C-101B-9397-08002B2CF9AE}" pid="3" name="_dlc_DocIdItemGuid">
    <vt:lpwstr>7aac595f-7da2-4493-8c29-3ef5daadf737</vt:lpwstr>
  </property>
  <property fmtid="{D5CDD505-2E9C-101B-9397-08002B2CF9AE}" pid="4" name="MediaServiceImageTags">
    <vt:lpwstr/>
  </property>
</Properties>
</file>