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4B" w:rsidRPr="00FB6B70" w:rsidRDefault="00C4264B" w:rsidP="00C4264B">
      <w:pPr>
        <w:jc w:val="right"/>
        <w:rPr>
          <w:color w:val="808080"/>
        </w:rPr>
      </w:pPr>
      <w:r>
        <w:rPr>
          <w:b/>
          <w:color w:val="808080"/>
        </w:rPr>
        <w:t>File number</w:t>
      </w:r>
      <w:r w:rsidRPr="00F407E3">
        <w:rPr>
          <w:b/>
          <w:color w:val="808080"/>
        </w:rPr>
        <w:t>:</w:t>
      </w:r>
      <w:r w:rsidRPr="00A50EA7">
        <w:rPr>
          <w:rFonts w:cs="Arial"/>
          <w:color w:val="000000"/>
          <w:sz w:val="20"/>
          <w:szCs w:val="20"/>
          <w:lang w:eastAsia="en-NZ"/>
        </w:rPr>
        <w:t xml:space="preserve"> </w:t>
      </w:r>
      <w:r>
        <w:rPr>
          <w:rFonts w:cs="Arial"/>
          <w:color w:val="000000"/>
          <w:sz w:val="20"/>
          <w:szCs w:val="20"/>
          <w:lang w:eastAsia="en-NZ"/>
        </w:rPr>
        <w:t>AD62-14-2017</w:t>
      </w:r>
    </w:p>
    <w:p w:rsidR="00C4264B" w:rsidRPr="00C61665" w:rsidRDefault="00C4264B" w:rsidP="00C4264B">
      <w:pPr>
        <w:jc w:val="right"/>
        <w:rPr>
          <w:color w:val="808080"/>
        </w:rPr>
      </w:pPr>
      <w:r w:rsidRPr="00F407E3">
        <w:rPr>
          <w:b/>
          <w:color w:val="808080"/>
        </w:rPr>
        <w:t>Action required by:</w:t>
      </w:r>
      <w:r>
        <w:rPr>
          <w:b/>
          <w:color w:val="808080"/>
        </w:rPr>
        <w:t xml:space="preserve"> </w:t>
      </w:r>
      <w:r>
        <w:rPr>
          <w:noProof/>
          <w:color w:val="808080"/>
        </w:rPr>
        <w:t>routine</w:t>
      </w:r>
    </w:p>
    <w:p w:rsidR="00C4264B" w:rsidRPr="007462E0" w:rsidRDefault="00C4264B" w:rsidP="00C4264B">
      <w:pPr>
        <w:pStyle w:val="Title"/>
        <w:spacing w:before="240"/>
        <w:rPr>
          <w:rFonts w:ascii="Arial" w:hAnsi="Arial" w:cs="Arial"/>
          <w:b w:val="0"/>
          <w:sz w:val="22"/>
          <w:szCs w:val="22"/>
        </w:rPr>
      </w:pPr>
      <w:bookmarkStart w:id="0" w:name="_GoBack"/>
      <w:r>
        <w:rPr>
          <w:rFonts w:ascii="Arial" w:hAnsi="Arial" w:cs="Arial"/>
        </w:rPr>
        <w:t xml:space="preserve">Advice from the Expert Advisory Committee on Drugs on the Classification of </w:t>
      </w:r>
      <w:proofErr w:type="spellStart"/>
      <w:r>
        <w:rPr>
          <w:rFonts w:ascii="Arial" w:hAnsi="Arial" w:cs="Arial"/>
        </w:rPr>
        <w:t>Cannabidiol</w:t>
      </w:r>
      <w:proofErr w:type="spellEnd"/>
      <w:r>
        <w:rPr>
          <w:rFonts w:ascii="Arial" w:hAnsi="Arial" w:cs="Arial"/>
        </w:rPr>
        <w:t xml:space="preserve"> </w:t>
      </w:r>
    </w:p>
    <w:tbl>
      <w:tblPr>
        <w:tblStyle w:val="TableGrid"/>
        <w:tblW w:w="10206"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8930"/>
      </w:tblGrid>
      <w:tr w:rsidR="00C4264B" w:rsidRPr="007462E0" w:rsidTr="000F6D03">
        <w:trPr>
          <w:cantSplit/>
        </w:trPr>
        <w:tc>
          <w:tcPr>
            <w:tcW w:w="1276" w:type="dxa"/>
          </w:tcPr>
          <w:bookmarkEnd w:id="0"/>
          <w:p w:rsidR="00C4264B" w:rsidRPr="007462E0" w:rsidRDefault="00C4264B" w:rsidP="000F6D03">
            <w:pPr>
              <w:pStyle w:val="TableText"/>
              <w:spacing w:before="90" w:after="90"/>
              <w:rPr>
                <w:rFonts w:cs="Arial"/>
                <w:b/>
                <w:szCs w:val="22"/>
              </w:rPr>
            </w:pPr>
            <w:r w:rsidRPr="007462E0">
              <w:rPr>
                <w:rFonts w:cs="Arial"/>
                <w:b/>
                <w:szCs w:val="22"/>
              </w:rPr>
              <w:t>To:</w:t>
            </w:r>
          </w:p>
        </w:tc>
        <w:tc>
          <w:tcPr>
            <w:tcW w:w="8930" w:type="dxa"/>
          </w:tcPr>
          <w:p w:rsidR="00C4264B" w:rsidRPr="007462E0" w:rsidRDefault="00C4264B" w:rsidP="000F6D03">
            <w:pPr>
              <w:pStyle w:val="TableText"/>
              <w:spacing w:before="90" w:after="90"/>
              <w:rPr>
                <w:rFonts w:cs="Arial"/>
                <w:szCs w:val="22"/>
              </w:rPr>
            </w:pPr>
            <w:r>
              <w:rPr>
                <w:rFonts w:cs="Arial"/>
                <w:szCs w:val="22"/>
              </w:rPr>
              <w:t>Hon Peter Dunne, Associate Minister of Health</w:t>
            </w:r>
          </w:p>
        </w:tc>
      </w:tr>
      <w:tr w:rsidR="00C4264B" w:rsidRPr="007462E0" w:rsidTr="000F6D03">
        <w:trPr>
          <w:cantSplit/>
        </w:trPr>
        <w:tc>
          <w:tcPr>
            <w:tcW w:w="1276" w:type="dxa"/>
          </w:tcPr>
          <w:p w:rsidR="00C4264B" w:rsidRPr="007462E0" w:rsidRDefault="00C4264B" w:rsidP="000F6D03">
            <w:pPr>
              <w:pStyle w:val="TableText"/>
              <w:spacing w:before="90" w:after="90"/>
              <w:rPr>
                <w:rFonts w:cs="Arial"/>
                <w:b/>
                <w:szCs w:val="22"/>
              </w:rPr>
            </w:pPr>
            <w:r w:rsidRPr="007462E0">
              <w:rPr>
                <w:rFonts w:cs="Arial"/>
                <w:b/>
                <w:szCs w:val="22"/>
              </w:rPr>
              <w:t>Copy to:</w:t>
            </w:r>
          </w:p>
        </w:tc>
        <w:tc>
          <w:tcPr>
            <w:tcW w:w="8930" w:type="dxa"/>
          </w:tcPr>
          <w:p w:rsidR="00C4264B" w:rsidRPr="007462E0" w:rsidRDefault="00C4264B" w:rsidP="000F6D03">
            <w:pPr>
              <w:pStyle w:val="TableText"/>
              <w:spacing w:before="90" w:after="90"/>
              <w:rPr>
                <w:rFonts w:cs="Arial"/>
                <w:szCs w:val="22"/>
              </w:rPr>
            </w:pPr>
            <w:r>
              <w:rPr>
                <w:rFonts w:cs="Arial"/>
                <w:szCs w:val="22"/>
              </w:rPr>
              <w:t>Hon Dr Jonathan Coleman, Minister of Health</w:t>
            </w:r>
          </w:p>
        </w:tc>
      </w:tr>
    </w:tbl>
    <w:p w:rsidR="00C4264B" w:rsidRPr="007462E0" w:rsidRDefault="00C4264B" w:rsidP="00C4264B">
      <w:pPr>
        <w:pStyle w:val="Heading1"/>
        <w:tabs>
          <w:tab w:val="center" w:pos="5102"/>
        </w:tabs>
        <w:spacing w:before="360"/>
        <w:rPr>
          <w:rFonts w:ascii="Arial" w:hAnsi="Arial"/>
        </w:rPr>
      </w:pPr>
      <w:r w:rsidRPr="007462E0">
        <w:rPr>
          <w:rFonts w:ascii="Arial" w:hAnsi="Arial"/>
        </w:rPr>
        <w:t>Purpose</w:t>
      </w:r>
    </w:p>
    <w:p w:rsidR="00C4264B" w:rsidRDefault="00C4264B" w:rsidP="00C4264B">
      <w:pPr>
        <w:rPr>
          <w:rFonts w:cs="Arial"/>
        </w:rPr>
      </w:pPr>
      <w:bookmarkStart w:id="1" w:name="Text5"/>
      <w:r>
        <w:rPr>
          <w:rFonts w:cs="Arial"/>
        </w:rPr>
        <w:t xml:space="preserve">This paper responds to the Expert Advisory Committee on Drugs’ advice that </w:t>
      </w:r>
      <w:proofErr w:type="spellStart"/>
      <w:r>
        <w:rPr>
          <w:rFonts w:cs="Arial"/>
        </w:rPr>
        <w:t>cannabidiol</w:t>
      </w:r>
      <w:proofErr w:type="spellEnd"/>
      <w:r>
        <w:rPr>
          <w:rFonts w:cs="Arial"/>
        </w:rPr>
        <w:t xml:space="preserve"> be </w:t>
      </w:r>
      <w:proofErr w:type="spellStart"/>
      <w:r>
        <w:rPr>
          <w:rFonts w:cs="Arial"/>
        </w:rPr>
        <w:t>descheduled</w:t>
      </w:r>
      <w:proofErr w:type="spellEnd"/>
      <w:r>
        <w:rPr>
          <w:rFonts w:cs="Arial"/>
        </w:rPr>
        <w:t xml:space="preserve"> from the Misuse of Drugs Act 1975. </w:t>
      </w:r>
    </w:p>
    <w:bookmarkEnd w:id="1"/>
    <w:p w:rsidR="00C4264B" w:rsidRPr="007462E0" w:rsidRDefault="00C4264B" w:rsidP="00C4264B">
      <w:pPr>
        <w:pStyle w:val="Heading1"/>
        <w:rPr>
          <w:rFonts w:ascii="Arial" w:hAnsi="Arial"/>
        </w:rPr>
      </w:pPr>
      <w:r w:rsidRPr="007462E0">
        <w:rPr>
          <w:rFonts w:ascii="Arial" w:hAnsi="Arial"/>
        </w:rPr>
        <w:t>Key points</w:t>
      </w:r>
    </w:p>
    <w:p w:rsidR="00C4264B" w:rsidRDefault="00C4264B" w:rsidP="00C4264B">
      <w:pPr>
        <w:pStyle w:val="Bullet"/>
        <w:tabs>
          <w:tab w:val="clear" w:pos="567"/>
        </w:tabs>
        <w:ind w:left="284" w:hanging="284"/>
        <w:rPr>
          <w:rFonts w:cs="Arial"/>
        </w:rPr>
      </w:pPr>
      <w:r>
        <w:rPr>
          <w:rFonts w:cs="Arial"/>
        </w:rPr>
        <w:t xml:space="preserve">The Expert Advisory Committee on Drugs (the Committee) reviewed the classification of </w:t>
      </w:r>
      <w:proofErr w:type="spellStart"/>
      <w:r>
        <w:rPr>
          <w:rFonts w:cs="Arial"/>
        </w:rPr>
        <w:t>cannabidiol</w:t>
      </w:r>
      <w:proofErr w:type="spellEnd"/>
      <w:r>
        <w:rPr>
          <w:rFonts w:cs="Arial"/>
        </w:rPr>
        <w:t xml:space="preserve"> (CBD) at its April and October 2016 meetings. </w:t>
      </w:r>
    </w:p>
    <w:p w:rsidR="00C4264B" w:rsidRDefault="00C4264B" w:rsidP="00C4264B">
      <w:pPr>
        <w:pStyle w:val="Bullet"/>
        <w:tabs>
          <w:tab w:val="clear" w:pos="567"/>
        </w:tabs>
        <w:ind w:left="284" w:hanging="284"/>
        <w:rPr>
          <w:rFonts w:cs="Arial"/>
        </w:rPr>
      </w:pPr>
      <w:r>
        <w:rPr>
          <w:rFonts w:cs="Arial"/>
        </w:rPr>
        <w:t>CBD is currently classified as a class B1 controlled drug under the Misuse of Drugs Act 1975. CBD is also listed as a prescription medicine in the Medicines Regulations 1984.</w:t>
      </w:r>
    </w:p>
    <w:p w:rsidR="00C4264B" w:rsidRDefault="00C4264B" w:rsidP="00C4264B">
      <w:pPr>
        <w:pStyle w:val="Bullet"/>
        <w:tabs>
          <w:tab w:val="clear" w:pos="567"/>
        </w:tabs>
        <w:ind w:left="284" w:hanging="284"/>
        <w:rPr>
          <w:rFonts w:cs="Arial"/>
        </w:rPr>
      </w:pPr>
      <w:r>
        <w:rPr>
          <w:rFonts w:cs="Arial"/>
        </w:rPr>
        <w:t xml:space="preserve">The Committee’s advice is that it would support a decision to </w:t>
      </w:r>
      <w:proofErr w:type="spellStart"/>
      <w:r>
        <w:rPr>
          <w:rFonts w:cs="Arial"/>
        </w:rPr>
        <w:t>deschedule</w:t>
      </w:r>
      <w:proofErr w:type="spellEnd"/>
      <w:r>
        <w:rPr>
          <w:rFonts w:cs="Arial"/>
        </w:rPr>
        <w:t xml:space="preserve"> CBD from being a controlled drug. </w:t>
      </w:r>
      <w:r w:rsidRPr="00F41A83">
        <w:rPr>
          <w:rFonts w:cs="Arial"/>
        </w:rPr>
        <w:t xml:space="preserve">This would make </w:t>
      </w:r>
      <w:r>
        <w:rPr>
          <w:rFonts w:cs="Arial"/>
        </w:rPr>
        <w:t>CBD a prescription medicine only (available on prescription).</w:t>
      </w:r>
    </w:p>
    <w:p w:rsidR="00C4264B" w:rsidRPr="003D03AC" w:rsidRDefault="00C4264B" w:rsidP="00C4264B">
      <w:pPr>
        <w:pStyle w:val="Bullet"/>
        <w:tabs>
          <w:tab w:val="clear" w:pos="567"/>
        </w:tabs>
        <w:ind w:left="284" w:hanging="284"/>
        <w:rPr>
          <w:rFonts w:cs="Arial"/>
        </w:rPr>
      </w:pPr>
      <w:r>
        <w:rPr>
          <w:rFonts w:cs="Arial"/>
        </w:rPr>
        <w:t xml:space="preserve">The Committee considers it </w:t>
      </w:r>
      <w:r>
        <w:t xml:space="preserve">would be appropriate for an allowance of two percent or less of other cannabinoids (including THC) in the CBD component of therapeutic products only. This recognises that </w:t>
      </w:r>
      <w:r>
        <w:rPr>
          <w:rFonts w:cs="Arial"/>
        </w:rPr>
        <w:t>naturally-derived CBD products have a high probability of containing other cannabinoids (including THC) as contaminants.</w:t>
      </w:r>
    </w:p>
    <w:p w:rsidR="00C4264B" w:rsidRDefault="00C4264B" w:rsidP="00C4264B">
      <w:pPr>
        <w:pStyle w:val="Bullet"/>
        <w:tabs>
          <w:tab w:val="clear" w:pos="567"/>
        </w:tabs>
        <w:ind w:left="284" w:hanging="284"/>
        <w:rPr>
          <w:rFonts w:cs="Arial"/>
        </w:rPr>
      </w:pPr>
      <w:r>
        <w:rPr>
          <w:rFonts w:cs="Arial"/>
        </w:rPr>
        <w:t>T</w:t>
      </w:r>
      <w:r w:rsidRPr="008A71D3">
        <w:rPr>
          <w:rFonts w:cs="Arial"/>
        </w:rPr>
        <w:t>he Ministry</w:t>
      </w:r>
      <w:r>
        <w:rPr>
          <w:rFonts w:cs="Arial"/>
        </w:rPr>
        <w:t xml:space="preserve"> of Health (the Ministry)</w:t>
      </w:r>
      <w:r w:rsidRPr="008A71D3">
        <w:rPr>
          <w:rFonts w:cs="Arial"/>
        </w:rPr>
        <w:t xml:space="preserve"> </w:t>
      </w:r>
      <w:r>
        <w:rPr>
          <w:rFonts w:cs="Arial"/>
        </w:rPr>
        <w:t>supports the Committee’s advice, which is attached along with the papers the Committee considered as Appendices 1 and 2.</w:t>
      </w:r>
    </w:p>
    <w:p w:rsidR="00C4264B" w:rsidRPr="008A71D3" w:rsidRDefault="00C4264B" w:rsidP="00C4264B">
      <w:pPr>
        <w:pStyle w:val="Bullet"/>
        <w:tabs>
          <w:tab w:val="clear" w:pos="567"/>
        </w:tabs>
        <w:ind w:left="284" w:hanging="284"/>
        <w:rPr>
          <w:rFonts w:cs="Arial"/>
        </w:rPr>
      </w:pPr>
      <w:proofErr w:type="spellStart"/>
      <w:r>
        <w:rPr>
          <w:rFonts w:cs="Arial"/>
        </w:rPr>
        <w:t>Descheduling</w:t>
      </w:r>
      <w:proofErr w:type="spellEnd"/>
      <w:r>
        <w:rPr>
          <w:rFonts w:cs="Arial"/>
        </w:rPr>
        <w:t xml:space="preserve"> CBD would not affect the current lack of products. However, it may have an impact on clinicians’ willingness to prescribe and it would streamline the process and reduce the cost to patients of meeting legislative requirements.</w:t>
      </w:r>
    </w:p>
    <w:p w:rsidR="00C4264B" w:rsidRPr="005F0A49" w:rsidRDefault="00C4264B" w:rsidP="00C4264B">
      <w:pPr>
        <w:pStyle w:val="Bullet"/>
        <w:tabs>
          <w:tab w:val="clear" w:pos="567"/>
        </w:tabs>
        <w:ind w:left="284" w:hanging="284"/>
      </w:pPr>
      <w:proofErr w:type="spellStart"/>
      <w:r w:rsidRPr="00550B44">
        <w:rPr>
          <w:rFonts w:cs="Arial"/>
        </w:rPr>
        <w:t>Descheduling</w:t>
      </w:r>
      <w:proofErr w:type="spellEnd"/>
      <w:r w:rsidRPr="00550B44">
        <w:rPr>
          <w:rFonts w:cs="Arial"/>
        </w:rPr>
        <w:t xml:space="preserve"> CBD would require an amendment to the Misuse of Drugs Act. </w:t>
      </w:r>
      <w:r w:rsidR="00C9570A">
        <w:rPr>
          <w:rFonts w:cs="Arial"/>
        </w:rPr>
        <w:t>[redacted under section 9(2)(g)(</w:t>
      </w:r>
      <w:proofErr w:type="spellStart"/>
      <w:r w:rsidR="00C9570A">
        <w:rPr>
          <w:rFonts w:cs="Arial"/>
        </w:rPr>
        <w:t>i</w:t>
      </w:r>
      <w:proofErr w:type="spellEnd"/>
      <w:r w:rsidR="00C9570A">
        <w:rPr>
          <w:rFonts w:cs="Arial"/>
        </w:rPr>
        <w:t>)]</w:t>
      </w:r>
    </w:p>
    <w:p w:rsidR="005F0A49" w:rsidRPr="00550B44" w:rsidRDefault="005F0A49" w:rsidP="00C4264B">
      <w:pPr>
        <w:pStyle w:val="Bullet"/>
        <w:tabs>
          <w:tab w:val="clear" w:pos="567"/>
        </w:tabs>
        <w:ind w:left="284" w:hanging="284"/>
      </w:pPr>
      <w:r>
        <w:rPr>
          <w:rFonts w:cs="Arial"/>
        </w:rPr>
        <w:t>The drafting and passage of an amendment bill would be subject to prioritisation within the government’s legislative programme.</w:t>
      </w:r>
    </w:p>
    <w:p w:rsidR="00C4264B" w:rsidRDefault="00C4264B" w:rsidP="00C4264B">
      <w:pPr>
        <w:pStyle w:val="Bullet"/>
        <w:tabs>
          <w:tab w:val="clear" w:pos="567"/>
        </w:tabs>
        <w:ind w:left="284" w:hanging="284"/>
      </w:pPr>
      <w:r>
        <w:t xml:space="preserve">If an amendment bill to </w:t>
      </w:r>
      <w:proofErr w:type="spellStart"/>
      <w:r>
        <w:t>deschedule</w:t>
      </w:r>
      <w:proofErr w:type="spellEnd"/>
      <w:r>
        <w:t xml:space="preserve"> CBD is not able to be progressed in the near future, </w:t>
      </w:r>
      <w:r w:rsidRPr="00E951CA">
        <w:t>some controlled drug requirements</w:t>
      </w:r>
      <w:r>
        <w:t xml:space="preserve"> for CBD could be removed</w:t>
      </w:r>
      <w:r w:rsidRPr="00E951CA">
        <w:t xml:space="preserve"> via </w:t>
      </w:r>
      <w:r>
        <w:t xml:space="preserve">amendment to the </w:t>
      </w:r>
      <w:r w:rsidRPr="00E951CA">
        <w:t>regulation</w:t>
      </w:r>
      <w:r>
        <w:t xml:space="preserve">s. This would be an interim measure until CBD can be </w:t>
      </w:r>
      <w:proofErr w:type="spellStart"/>
      <w:r>
        <w:t>descheduled</w:t>
      </w:r>
      <w:proofErr w:type="spellEnd"/>
      <w:r w:rsidR="000928A1">
        <w:t xml:space="preserve"> and all controlled drug requirements removed</w:t>
      </w:r>
      <w:r>
        <w:t>.</w:t>
      </w:r>
    </w:p>
    <w:p w:rsidR="00C4264B" w:rsidRDefault="00C4264B" w:rsidP="00C4264B">
      <w:pPr>
        <w:pStyle w:val="Bullet"/>
        <w:numPr>
          <w:ilvl w:val="0"/>
          <w:numId w:val="0"/>
        </w:numPr>
        <w:ind w:left="284"/>
        <w:rPr>
          <w:rFonts w:cs="Arial"/>
        </w:rPr>
      </w:pPr>
    </w:p>
    <w:p w:rsidR="00C4264B" w:rsidRPr="00E951CA" w:rsidRDefault="00C4264B" w:rsidP="00C4264B">
      <w:pPr>
        <w:pStyle w:val="Bullet"/>
        <w:numPr>
          <w:ilvl w:val="0"/>
          <w:numId w:val="0"/>
        </w:numPr>
        <w:ind w:left="284"/>
        <w:rPr>
          <w:rFonts w:cs="Arial"/>
        </w:rPr>
      </w:pPr>
    </w:p>
    <w:p w:rsidR="00C4264B" w:rsidRDefault="00C4264B" w:rsidP="00C4264B">
      <w:pPr>
        <w:pStyle w:val="Bullet"/>
        <w:numPr>
          <w:ilvl w:val="0"/>
          <w:numId w:val="0"/>
        </w:numPr>
        <w:ind w:left="284"/>
        <w:rPr>
          <w:rFonts w:cs="Arial"/>
        </w:rPr>
      </w:pPr>
    </w:p>
    <w:p w:rsidR="00C4264B" w:rsidRDefault="00C4264B" w:rsidP="00C4264B">
      <w:pPr>
        <w:pStyle w:val="Bullet"/>
        <w:numPr>
          <w:ilvl w:val="0"/>
          <w:numId w:val="0"/>
        </w:numPr>
        <w:ind w:left="284"/>
        <w:rPr>
          <w:rFonts w:cs="Arial"/>
        </w:rPr>
      </w:pPr>
    </w:p>
    <w:tbl>
      <w:tblPr>
        <w:tblStyle w:val="TableGrid"/>
        <w:tblW w:w="10241" w:type="dxa"/>
        <w:tblInd w:w="108" w:type="dxa"/>
        <w:tblLayout w:type="fixed"/>
        <w:tblLook w:val="04A0" w:firstRow="1" w:lastRow="0" w:firstColumn="1" w:lastColumn="0" w:noHBand="0" w:noVBand="1"/>
      </w:tblPr>
      <w:tblGrid>
        <w:gridCol w:w="1276"/>
        <w:gridCol w:w="6379"/>
        <w:gridCol w:w="2586"/>
      </w:tblGrid>
      <w:tr w:rsidR="00C4264B" w:rsidTr="000F6D03">
        <w:trPr>
          <w:cantSplit/>
        </w:trPr>
        <w:tc>
          <w:tcPr>
            <w:tcW w:w="1276" w:type="dxa"/>
            <w:vMerge w:val="restart"/>
          </w:tcPr>
          <w:p w:rsidR="00C4264B" w:rsidRPr="00526BF4" w:rsidRDefault="00C4264B" w:rsidP="000F6D03">
            <w:pPr>
              <w:pStyle w:val="TableText"/>
              <w:spacing w:before="60" w:after="60"/>
              <w:rPr>
                <w:szCs w:val="22"/>
              </w:rPr>
            </w:pPr>
            <w:r>
              <w:rPr>
                <w:szCs w:val="22"/>
              </w:rPr>
              <w:t>Contacts:</w:t>
            </w:r>
          </w:p>
        </w:tc>
        <w:tc>
          <w:tcPr>
            <w:tcW w:w="6379" w:type="dxa"/>
          </w:tcPr>
          <w:p w:rsidR="00C4264B" w:rsidRPr="00526BF4" w:rsidRDefault="00C4264B" w:rsidP="000F6D03">
            <w:pPr>
              <w:pStyle w:val="TableText"/>
              <w:spacing w:before="60" w:after="60"/>
              <w:rPr>
                <w:szCs w:val="22"/>
              </w:rPr>
            </w:pPr>
            <w:r>
              <w:rPr>
                <w:szCs w:val="22"/>
              </w:rPr>
              <w:t>Hannah Cameron, Group Manager, Regulatory Policy Strategy and Policy</w:t>
            </w:r>
          </w:p>
        </w:tc>
        <w:tc>
          <w:tcPr>
            <w:tcW w:w="2586" w:type="dxa"/>
          </w:tcPr>
          <w:p w:rsidR="00C4264B" w:rsidRPr="00526BF4" w:rsidRDefault="00C4264B" w:rsidP="000F6D03">
            <w:pPr>
              <w:pStyle w:val="TableText"/>
              <w:spacing w:before="60" w:after="60"/>
              <w:rPr>
                <w:szCs w:val="22"/>
              </w:rPr>
            </w:pPr>
            <w:r>
              <w:rPr>
                <w:szCs w:val="22"/>
              </w:rPr>
              <w:t>021 783 574</w:t>
            </w:r>
          </w:p>
        </w:tc>
      </w:tr>
      <w:tr w:rsidR="00C4264B" w:rsidTr="000F6D03">
        <w:trPr>
          <w:cantSplit/>
        </w:trPr>
        <w:tc>
          <w:tcPr>
            <w:tcW w:w="1276" w:type="dxa"/>
            <w:vMerge/>
          </w:tcPr>
          <w:p w:rsidR="00C4264B" w:rsidRPr="00526BF4" w:rsidRDefault="00C4264B" w:rsidP="000F6D03">
            <w:pPr>
              <w:pStyle w:val="TableText"/>
              <w:spacing w:before="60" w:after="60"/>
              <w:rPr>
                <w:szCs w:val="22"/>
              </w:rPr>
            </w:pPr>
          </w:p>
        </w:tc>
        <w:tc>
          <w:tcPr>
            <w:tcW w:w="6379" w:type="dxa"/>
          </w:tcPr>
          <w:p w:rsidR="00C4264B" w:rsidRDefault="00C4264B" w:rsidP="000F6D03">
            <w:pPr>
              <w:pStyle w:val="TableText"/>
              <w:spacing w:before="60" w:after="60"/>
              <w:rPr>
                <w:szCs w:val="22"/>
              </w:rPr>
            </w:pPr>
            <w:r>
              <w:rPr>
                <w:szCs w:val="22"/>
              </w:rPr>
              <w:t xml:space="preserve">Sharon </w:t>
            </w:r>
            <w:proofErr w:type="spellStart"/>
            <w:r>
              <w:rPr>
                <w:szCs w:val="22"/>
              </w:rPr>
              <w:t>Woollaston</w:t>
            </w:r>
            <w:proofErr w:type="spellEnd"/>
            <w:r>
              <w:rPr>
                <w:szCs w:val="22"/>
              </w:rPr>
              <w:t>, Senior Policy Analyst, Safety and Access, Regulatory Policy</w:t>
            </w:r>
          </w:p>
        </w:tc>
        <w:tc>
          <w:tcPr>
            <w:tcW w:w="2586" w:type="dxa"/>
          </w:tcPr>
          <w:p w:rsidR="00C4264B" w:rsidRDefault="00C4264B" w:rsidP="000F6D03">
            <w:pPr>
              <w:pStyle w:val="TableText"/>
              <w:spacing w:before="60" w:after="60"/>
              <w:rPr>
                <w:szCs w:val="22"/>
              </w:rPr>
            </w:pPr>
            <w:r>
              <w:rPr>
                <w:szCs w:val="22"/>
              </w:rPr>
              <w:t>496 2028</w:t>
            </w:r>
          </w:p>
        </w:tc>
      </w:tr>
    </w:tbl>
    <w:p w:rsidR="005F0A49" w:rsidRPr="007462E0" w:rsidRDefault="00C4264B" w:rsidP="005F0A49">
      <w:pPr>
        <w:pStyle w:val="Title"/>
        <w:spacing w:before="240"/>
        <w:rPr>
          <w:rFonts w:ascii="Arial" w:hAnsi="Arial" w:cs="Arial"/>
          <w:b w:val="0"/>
          <w:sz w:val="22"/>
          <w:szCs w:val="22"/>
        </w:rPr>
      </w:pPr>
      <w:r>
        <w:rPr>
          <w:rFonts w:cs="Arial"/>
        </w:rPr>
        <w:br w:type="page"/>
      </w:r>
      <w:r w:rsidR="005F0A49">
        <w:rPr>
          <w:rFonts w:ascii="Arial" w:hAnsi="Arial" w:cs="Arial"/>
        </w:rPr>
        <w:lastRenderedPageBreak/>
        <w:t xml:space="preserve">Advice from the Expert Advisory Committee on Drugs on the Classification of </w:t>
      </w:r>
      <w:proofErr w:type="spellStart"/>
      <w:r w:rsidR="005F0A49">
        <w:rPr>
          <w:rFonts w:ascii="Arial" w:hAnsi="Arial" w:cs="Arial"/>
        </w:rPr>
        <w:t>Cannabidiol</w:t>
      </w:r>
      <w:proofErr w:type="spellEnd"/>
      <w:r w:rsidR="005F0A49">
        <w:rPr>
          <w:rFonts w:ascii="Arial" w:hAnsi="Arial" w:cs="Arial"/>
        </w:rPr>
        <w:t xml:space="preserve"> </w:t>
      </w:r>
    </w:p>
    <w:p w:rsidR="00C4264B" w:rsidRPr="00FD569F" w:rsidRDefault="00C4264B" w:rsidP="00C4264B">
      <w:pPr>
        <w:pStyle w:val="Heading1"/>
        <w:rPr>
          <w:rFonts w:ascii="Arial" w:hAnsi="Arial"/>
        </w:rPr>
      </w:pPr>
      <w:r w:rsidRPr="00FD569F">
        <w:rPr>
          <w:rFonts w:ascii="Arial" w:hAnsi="Arial"/>
        </w:rPr>
        <w:t>Recommendations</w:t>
      </w:r>
    </w:p>
    <w:p w:rsidR="00C4264B" w:rsidRDefault="00C4264B" w:rsidP="00C4264B">
      <w:pPr>
        <w:spacing w:after="120"/>
        <w:rPr>
          <w:rFonts w:cs="Arial"/>
          <w:b/>
          <w:szCs w:val="22"/>
        </w:rPr>
      </w:pPr>
      <w:r w:rsidRPr="00FD569F">
        <w:rPr>
          <w:rFonts w:cs="Arial"/>
          <w:b/>
          <w:szCs w:val="22"/>
        </w:rPr>
        <w:t>The Ministry recommends that you:</w:t>
      </w:r>
    </w:p>
    <w:p w:rsidR="00BE6B5C" w:rsidRDefault="00BE6B5C" w:rsidP="00C4264B">
      <w:pPr>
        <w:spacing w:after="120"/>
        <w:rPr>
          <w:rFonts w:cs="Arial"/>
          <w:b/>
          <w:szCs w:val="22"/>
        </w:rPr>
      </w:pPr>
    </w:p>
    <w:tbl>
      <w:tblPr>
        <w:tblW w:w="4946" w:type="pct"/>
        <w:tblLayout w:type="fixed"/>
        <w:tblLook w:val="0000" w:firstRow="0" w:lastRow="0" w:firstColumn="0" w:lastColumn="0" w:noHBand="0" w:noVBand="0"/>
      </w:tblPr>
      <w:tblGrid>
        <w:gridCol w:w="551"/>
        <w:gridCol w:w="8195"/>
        <w:gridCol w:w="1349"/>
      </w:tblGrid>
      <w:tr w:rsidR="00BE6B5C" w:rsidRPr="00FD569F" w:rsidTr="000F6D03">
        <w:trPr>
          <w:cantSplit/>
        </w:trPr>
        <w:tc>
          <w:tcPr>
            <w:tcW w:w="273" w:type="pct"/>
          </w:tcPr>
          <w:p w:rsidR="00BE6B5C" w:rsidRPr="00FD569F" w:rsidRDefault="00BE6B5C" w:rsidP="000F6D03">
            <w:pPr>
              <w:spacing w:before="120"/>
              <w:rPr>
                <w:rFonts w:cs="Arial"/>
              </w:rPr>
            </w:pPr>
            <w:r>
              <w:rPr>
                <w:rFonts w:cs="Arial"/>
              </w:rPr>
              <w:t>a)</w:t>
            </w:r>
          </w:p>
        </w:tc>
        <w:tc>
          <w:tcPr>
            <w:tcW w:w="4059" w:type="pct"/>
          </w:tcPr>
          <w:p w:rsidR="00BE6B5C" w:rsidRPr="003D03AC" w:rsidRDefault="00BE6B5C" w:rsidP="000F6D03">
            <w:pPr>
              <w:spacing w:before="120"/>
              <w:rPr>
                <w:rFonts w:cs="Arial"/>
                <w:b/>
              </w:rPr>
            </w:pPr>
            <w:r>
              <w:rPr>
                <w:rFonts w:cs="Arial"/>
                <w:b/>
              </w:rPr>
              <w:t>Note</w:t>
            </w:r>
            <w:r>
              <w:rPr>
                <w:rFonts w:cs="Arial"/>
              </w:rPr>
              <w:t xml:space="preserve"> the Committee’s advice that it would support </w:t>
            </w:r>
            <w:proofErr w:type="spellStart"/>
            <w:r>
              <w:rPr>
                <w:rFonts w:cs="Arial"/>
              </w:rPr>
              <w:t>descheduling</w:t>
            </w:r>
            <w:proofErr w:type="spellEnd"/>
            <w:r>
              <w:rPr>
                <w:rFonts w:cs="Arial"/>
              </w:rPr>
              <w:t xml:space="preserve"> CBD as a controlled drug so it is a prescription medicine only.</w:t>
            </w:r>
          </w:p>
        </w:tc>
        <w:tc>
          <w:tcPr>
            <w:tcW w:w="668" w:type="pct"/>
          </w:tcPr>
          <w:p w:rsidR="00BE6B5C" w:rsidRPr="00FD569F" w:rsidRDefault="00BE6B5C" w:rsidP="000F6D03">
            <w:pPr>
              <w:spacing w:before="120"/>
              <w:jc w:val="right"/>
              <w:rPr>
                <w:rFonts w:cs="Arial"/>
                <w:b/>
              </w:rPr>
            </w:pPr>
          </w:p>
        </w:tc>
      </w:tr>
      <w:tr w:rsidR="00C4264B" w:rsidRPr="00FD569F" w:rsidTr="000F6D03">
        <w:trPr>
          <w:cantSplit/>
        </w:trPr>
        <w:tc>
          <w:tcPr>
            <w:tcW w:w="273" w:type="pct"/>
          </w:tcPr>
          <w:p w:rsidR="00C4264B" w:rsidRPr="00FD569F" w:rsidRDefault="00BE6B5C" w:rsidP="000F6D03">
            <w:pPr>
              <w:spacing w:before="120"/>
              <w:rPr>
                <w:rFonts w:cs="Arial"/>
              </w:rPr>
            </w:pPr>
            <w:r>
              <w:rPr>
                <w:rFonts w:cs="Arial"/>
              </w:rPr>
              <w:t>b)</w:t>
            </w:r>
          </w:p>
        </w:tc>
        <w:tc>
          <w:tcPr>
            <w:tcW w:w="4059" w:type="pct"/>
          </w:tcPr>
          <w:p w:rsidR="00C4264B" w:rsidRPr="00FD569F" w:rsidRDefault="00C4264B" w:rsidP="000F6D03">
            <w:pPr>
              <w:spacing w:before="120"/>
              <w:rPr>
                <w:rFonts w:cs="Arial"/>
              </w:rPr>
            </w:pPr>
            <w:r w:rsidRPr="003D03AC">
              <w:rPr>
                <w:rFonts w:cs="Arial"/>
                <w:b/>
              </w:rPr>
              <w:t>Note</w:t>
            </w:r>
            <w:r>
              <w:rPr>
                <w:rFonts w:cs="Arial"/>
              </w:rPr>
              <w:t xml:space="preserve"> the Committee’s advice that the CBD component of therapeutic products should have an allowable threshold of up to two percent of other cannabinoids (including THC).</w:t>
            </w:r>
          </w:p>
        </w:tc>
        <w:tc>
          <w:tcPr>
            <w:tcW w:w="668" w:type="pct"/>
          </w:tcPr>
          <w:p w:rsidR="00C4264B" w:rsidRPr="00FD569F" w:rsidRDefault="00C4264B" w:rsidP="000F6D03">
            <w:pPr>
              <w:spacing w:before="120"/>
              <w:jc w:val="right"/>
              <w:rPr>
                <w:rFonts w:cs="Arial"/>
                <w:b/>
              </w:rPr>
            </w:pPr>
          </w:p>
        </w:tc>
      </w:tr>
      <w:tr w:rsidR="00BE6B5C" w:rsidRPr="00FD569F" w:rsidTr="000F6D03">
        <w:trPr>
          <w:cantSplit/>
        </w:trPr>
        <w:tc>
          <w:tcPr>
            <w:tcW w:w="273" w:type="pct"/>
          </w:tcPr>
          <w:p w:rsidR="00BE6B5C" w:rsidRPr="00FD569F" w:rsidRDefault="00BE6B5C" w:rsidP="000F6D03">
            <w:pPr>
              <w:spacing w:before="120"/>
              <w:rPr>
                <w:rFonts w:cs="Arial"/>
              </w:rPr>
            </w:pPr>
            <w:r>
              <w:rPr>
                <w:rFonts w:cs="Arial"/>
              </w:rPr>
              <w:t>c)</w:t>
            </w:r>
          </w:p>
        </w:tc>
        <w:tc>
          <w:tcPr>
            <w:tcW w:w="4059" w:type="pct"/>
          </w:tcPr>
          <w:p w:rsidR="00BE6B5C" w:rsidRPr="00BE6B5C" w:rsidRDefault="00BE6B5C" w:rsidP="000F6D03">
            <w:pPr>
              <w:spacing w:before="120"/>
              <w:rPr>
                <w:rFonts w:cs="Arial"/>
              </w:rPr>
            </w:pPr>
            <w:r w:rsidRPr="00FD569F">
              <w:rPr>
                <w:rFonts w:cs="Arial"/>
                <w:b/>
              </w:rPr>
              <w:t xml:space="preserve">Note </w:t>
            </w:r>
            <w:r w:rsidRPr="00FD569F">
              <w:rPr>
                <w:rFonts w:cs="Arial"/>
              </w:rPr>
              <w:t xml:space="preserve">that </w:t>
            </w:r>
            <w:r>
              <w:rPr>
                <w:rFonts w:cs="Arial"/>
              </w:rPr>
              <w:t>the Ministry supports the Committee’s advice.</w:t>
            </w:r>
          </w:p>
        </w:tc>
        <w:tc>
          <w:tcPr>
            <w:tcW w:w="668" w:type="pct"/>
          </w:tcPr>
          <w:p w:rsidR="00BE6B5C" w:rsidRDefault="00BE6B5C" w:rsidP="000F6D03">
            <w:pPr>
              <w:spacing w:before="120"/>
              <w:jc w:val="right"/>
              <w:rPr>
                <w:rFonts w:cs="Arial"/>
              </w:rPr>
            </w:pPr>
          </w:p>
        </w:tc>
      </w:tr>
      <w:tr w:rsidR="00C4264B" w:rsidRPr="00FD569F" w:rsidTr="000F6D03">
        <w:trPr>
          <w:cantSplit/>
        </w:trPr>
        <w:tc>
          <w:tcPr>
            <w:tcW w:w="273" w:type="pct"/>
          </w:tcPr>
          <w:p w:rsidR="00C4264B" w:rsidRPr="00FD569F" w:rsidRDefault="00BE6B5C" w:rsidP="000F6D03">
            <w:pPr>
              <w:spacing w:before="120"/>
              <w:rPr>
                <w:rFonts w:cs="Arial"/>
              </w:rPr>
            </w:pPr>
            <w:r>
              <w:rPr>
                <w:rFonts w:cs="Arial"/>
              </w:rPr>
              <w:t>d)</w:t>
            </w:r>
          </w:p>
        </w:tc>
        <w:tc>
          <w:tcPr>
            <w:tcW w:w="4059" w:type="pct"/>
          </w:tcPr>
          <w:p w:rsidR="00C4264B" w:rsidRPr="003D03AC" w:rsidRDefault="00C4264B" w:rsidP="000F6D03">
            <w:pPr>
              <w:spacing w:before="120"/>
              <w:rPr>
                <w:rFonts w:cs="Arial"/>
              </w:rPr>
            </w:pPr>
            <w:r>
              <w:rPr>
                <w:rFonts w:cs="Arial"/>
                <w:b/>
              </w:rPr>
              <w:t xml:space="preserve">Note </w:t>
            </w:r>
            <w:r>
              <w:rPr>
                <w:rFonts w:cs="Arial"/>
              </w:rPr>
              <w:t xml:space="preserve">that a Misuse of Drugs Amendment Bill is required to </w:t>
            </w:r>
            <w:proofErr w:type="spellStart"/>
            <w:r>
              <w:rPr>
                <w:rFonts w:cs="Arial"/>
              </w:rPr>
              <w:t>deschedule</w:t>
            </w:r>
            <w:proofErr w:type="spellEnd"/>
            <w:r>
              <w:rPr>
                <w:rFonts w:cs="Arial"/>
              </w:rPr>
              <w:t xml:space="preserve"> CBD from the Misuse of Drugs Act and to allow the CBD component of a product to contain up to two percent of other cannabinoids.</w:t>
            </w:r>
          </w:p>
        </w:tc>
        <w:tc>
          <w:tcPr>
            <w:tcW w:w="668" w:type="pct"/>
          </w:tcPr>
          <w:p w:rsidR="00C4264B" w:rsidRPr="00FD569F" w:rsidRDefault="00C4264B" w:rsidP="000F6D03">
            <w:pPr>
              <w:spacing w:before="120"/>
              <w:jc w:val="right"/>
              <w:rPr>
                <w:rFonts w:cs="Arial"/>
              </w:rPr>
            </w:pPr>
          </w:p>
        </w:tc>
      </w:tr>
      <w:tr w:rsidR="00C4264B" w:rsidRPr="00FD569F" w:rsidTr="000F6D03">
        <w:trPr>
          <w:cantSplit/>
        </w:trPr>
        <w:tc>
          <w:tcPr>
            <w:tcW w:w="273" w:type="pct"/>
          </w:tcPr>
          <w:p w:rsidR="00C4264B" w:rsidRDefault="00BE6B5C" w:rsidP="000F6D03">
            <w:pPr>
              <w:spacing w:before="120"/>
              <w:rPr>
                <w:rFonts w:cs="Arial"/>
              </w:rPr>
            </w:pPr>
            <w:r>
              <w:rPr>
                <w:rFonts w:cs="Arial"/>
              </w:rPr>
              <w:t>e)</w:t>
            </w:r>
          </w:p>
        </w:tc>
        <w:tc>
          <w:tcPr>
            <w:tcW w:w="4059" w:type="pct"/>
          </w:tcPr>
          <w:p w:rsidR="00C4264B" w:rsidRDefault="00C4264B" w:rsidP="000F6D03">
            <w:pPr>
              <w:spacing w:before="120"/>
              <w:rPr>
                <w:rFonts w:cs="Arial"/>
              </w:rPr>
            </w:pPr>
            <w:r>
              <w:rPr>
                <w:rFonts w:cs="Arial"/>
                <w:b/>
              </w:rPr>
              <w:t>Indicate</w:t>
            </w:r>
            <w:r>
              <w:rPr>
                <w:rFonts w:cs="Arial"/>
              </w:rPr>
              <w:t xml:space="preserve"> whether you want the Ministry to draft a Cabinet Committee paper seeking approval to:</w:t>
            </w:r>
          </w:p>
          <w:p w:rsidR="00C4264B" w:rsidRDefault="00C4264B" w:rsidP="000F6D03">
            <w:pPr>
              <w:spacing w:before="120"/>
              <w:rPr>
                <w:rFonts w:cs="Arial"/>
              </w:rPr>
            </w:pPr>
            <w:r>
              <w:rPr>
                <w:rFonts w:cs="Arial"/>
              </w:rPr>
              <w:t xml:space="preserve">amend the Misuse of Drugs Act 1975 to </w:t>
            </w:r>
            <w:proofErr w:type="spellStart"/>
            <w:r>
              <w:rPr>
                <w:rFonts w:cs="Arial"/>
              </w:rPr>
              <w:t>deschedule</w:t>
            </w:r>
            <w:proofErr w:type="spellEnd"/>
            <w:r>
              <w:rPr>
                <w:rFonts w:cs="Arial"/>
              </w:rPr>
              <w:t xml:space="preserve"> CBD and allow up to two percent of other cannabinoids as contaminants in CBD; </w:t>
            </w:r>
          </w:p>
          <w:p w:rsidR="00C4264B" w:rsidRDefault="00C4264B" w:rsidP="000F6D03">
            <w:pPr>
              <w:spacing w:before="120"/>
              <w:rPr>
                <w:rFonts w:cs="Arial"/>
              </w:rPr>
            </w:pPr>
            <w:r>
              <w:rPr>
                <w:rFonts w:cs="Arial"/>
              </w:rPr>
              <w:t>OR</w:t>
            </w:r>
          </w:p>
          <w:p w:rsidR="00C4264B" w:rsidRPr="00D0104E" w:rsidRDefault="00C4264B" w:rsidP="000F6D03">
            <w:pPr>
              <w:spacing w:before="120"/>
              <w:rPr>
                <w:rFonts w:cs="Arial"/>
              </w:rPr>
            </w:pPr>
            <w:r>
              <w:rPr>
                <w:rFonts w:cs="Arial"/>
              </w:rPr>
              <w:t xml:space="preserve">amend the Misuse of Drugs Regulations 1977 to remove some controlled drug requirements for CBD products, as an interim measure until CBD is able to be </w:t>
            </w:r>
            <w:proofErr w:type="spellStart"/>
            <w:r>
              <w:rPr>
                <w:rFonts w:cs="Arial"/>
              </w:rPr>
              <w:t>descheduled</w:t>
            </w:r>
            <w:proofErr w:type="spellEnd"/>
            <w:r>
              <w:rPr>
                <w:rFonts w:cs="Arial"/>
              </w:rPr>
              <w:t xml:space="preserve"> via an amendment bill</w:t>
            </w:r>
          </w:p>
        </w:tc>
        <w:tc>
          <w:tcPr>
            <w:tcW w:w="668" w:type="pct"/>
          </w:tcPr>
          <w:p w:rsidR="00C4264B" w:rsidRDefault="00C4264B" w:rsidP="000F6D03">
            <w:pPr>
              <w:spacing w:before="120"/>
              <w:jc w:val="right"/>
              <w:rPr>
                <w:rFonts w:cs="Arial"/>
                <w:b/>
              </w:rPr>
            </w:pPr>
          </w:p>
          <w:p w:rsidR="00BE6B5C" w:rsidRDefault="00BE6B5C" w:rsidP="000F6D03">
            <w:pPr>
              <w:spacing w:before="120"/>
              <w:jc w:val="right"/>
              <w:rPr>
                <w:rFonts w:cs="Arial"/>
                <w:b/>
              </w:rPr>
            </w:pPr>
          </w:p>
          <w:p w:rsidR="00C4264B" w:rsidRDefault="00C4264B" w:rsidP="000F6D03">
            <w:pPr>
              <w:spacing w:before="120"/>
              <w:jc w:val="right"/>
              <w:rPr>
                <w:rFonts w:cs="Arial"/>
                <w:b/>
              </w:rPr>
            </w:pPr>
            <w:r w:rsidRPr="00FD569F">
              <w:rPr>
                <w:rFonts w:cs="Arial"/>
                <w:b/>
              </w:rPr>
              <w:t>Yes / No</w:t>
            </w:r>
          </w:p>
          <w:p w:rsidR="00BE6B5C" w:rsidRDefault="00BE6B5C" w:rsidP="000F6D03">
            <w:pPr>
              <w:spacing w:before="120"/>
              <w:jc w:val="right"/>
              <w:rPr>
                <w:rFonts w:cs="Arial"/>
                <w:b/>
              </w:rPr>
            </w:pPr>
          </w:p>
          <w:p w:rsidR="00BE6B5C" w:rsidRDefault="00BE6B5C" w:rsidP="000F6D03">
            <w:pPr>
              <w:spacing w:before="120"/>
              <w:jc w:val="right"/>
              <w:rPr>
                <w:rFonts w:cs="Arial"/>
                <w:b/>
              </w:rPr>
            </w:pPr>
          </w:p>
          <w:p w:rsidR="00C4264B" w:rsidRPr="00F41A83" w:rsidRDefault="00BE6B5C" w:rsidP="00BE6B5C">
            <w:pPr>
              <w:spacing w:before="120"/>
              <w:jc w:val="right"/>
              <w:rPr>
                <w:rFonts w:cs="Arial"/>
                <w:b/>
              </w:rPr>
            </w:pPr>
            <w:r>
              <w:rPr>
                <w:rFonts w:cs="Arial"/>
                <w:b/>
              </w:rPr>
              <w:t>Yes</w:t>
            </w:r>
            <w:r w:rsidR="005F0A49">
              <w:rPr>
                <w:rFonts w:cs="Arial"/>
                <w:b/>
              </w:rPr>
              <w:t xml:space="preserve"> </w:t>
            </w:r>
            <w:r>
              <w:rPr>
                <w:rFonts w:cs="Arial"/>
                <w:b/>
              </w:rPr>
              <w:t>/</w:t>
            </w:r>
            <w:r w:rsidR="005F0A49">
              <w:rPr>
                <w:rFonts w:cs="Arial"/>
                <w:b/>
              </w:rPr>
              <w:t xml:space="preserve"> </w:t>
            </w:r>
            <w:r>
              <w:rPr>
                <w:rFonts w:cs="Arial"/>
                <w:b/>
              </w:rPr>
              <w:t>No</w:t>
            </w:r>
          </w:p>
        </w:tc>
      </w:tr>
      <w:tr w:rsidR="00C4264B" w:rsidRPr="00FD569F" w:rsidTr="000F6D03">
        <w:trPr>
          <w:cantSplit/>
        </w:trPr>
        <w:tc>
          <w:tcPr>
            <w:tcW w:w="273" w:type="pct"/>
          </w:tcPr>
          <w:p w:rsidR="00C4264B" w:rsidRPr="00FD569F" w:rsidRDefault="00BE6B5C" w:rsidP="000F6D03">
            <w:pPr>
              <w:tabs>
                <w:tab w:val="left" w:pos="282"/>
              </w:tabs>
              <w:spacing w:before="120"/>
              <w:rPr>
                <w:rFonts w:cs="Arial"/>
              </w:rPr>
            </w:pPr>
            <w:r>
              <w:rPr>
                <w:rFonts w:cs="Arial"/>
              </w:rPr>
              <w:t>f)</w:t>
            </w:r>
          </w:p>
        </w:tc>
        <w:tc>
          <w:tcPr>
            <w:tcW w:w="4059" w:type="pct"/>
          </w:tcPr>
          <w:p w:rsidR="00C4264B" w:rsidRPr="000D416B" w:rsidRDefault="00C4264B" w:rsidP="000F6D03">
            <w:pPr>
              <w:spacing w:before="120"/>
              <w:rPr>
                <w:rFonts w:cs="Arial"/>
              </w:rPr>
            </w:pPr>
            <w:r>
              <w:rPr>
                <w:rFonts w:cs="Arial"/>
                <w:b/>
              </w:rPr>
              <w:t xml:space="preserve">Agree </w:t>
            </w:r>
            <w:r>
              <w:rPr>
                <w:rFonts w:cs="Arial"/>
              </w:rPr>
              <w:t>that the Committee’s advice on the classification of CBD (Appendix 1) be published on</w:t>
            </w:r>
            <w:r w:rsidR="005F0A49">
              <w:rPr>
                <w:rFonts w:cs="Arial"/>
              </w:rPr>
              <w:t xml:space="preserve"> the Ministry of Health website, at a time to be agreed with your office.</w:t>
            </w:r>
          </w:p>
        </w:tc>
        <w:tc>
          <w:tcPr>
            <w:tcW w:w="668" w:type="pct"/>
          </w:tcPr>
          <w:p w:rsidR="00C4264B" w:rsidRDefault="00C4264B" w:rsidP="000F6D03">
            <w:pPr>
              <w:spacing w:before="120"/>
              <w:jc w:val="right"/>
              <w:rPr>
                <w:rFonts w:cs="Arial"/>
              </w:rPr>
            </w:pPr>
            <w:r w:rsidRPr="00FD569F">
              <w:rPr>
                <w:rFonts w:cs="Arial"/>
                <w:b/>
              </w:rPr>
              <w:t>Yes / No</w:t>
            </w:r>
          </w:p>
        </w:tc>
      </w:tr>
    </w:tbl>
    <w:p w:rsidR="00C4264B" w:rsidRPr="00FD569F" w:rsidRDefault="00C4264B" w:rsidP="00C4264B">
      <w:pPr>
        <w:rPr>
          <w:rFonts w:cs="Arial"/>
        </w:rPr>
      </w:pPr>
    </w:p>
    <w:p w:rsidR="00C4264B" w:rsidRDefault="00C4264B" w:rsidP="00C4264B">
      <w:pPr>
        <w:rPr>
          <w:rFonts w:cs="Arial"/>
        </w:rPr>
      </w:pPr>
    </w:p>
    <w:p w:rsidR="00C4264B" w:rsidRDefault="00C4264B" w:rsidP="00C4264B">
      <w:pPr>
        <w:rPr>
          <w:rFonts w:cs="Arial"/>
        </w:rPr>
      </w:pPr>
    </w:p>
    <w:p w:rsidR="00C4264B" w:rsidRDefault="00C4264B" w:rsidP="00C4264B">
      <w:pPr>
        <w:rPr>
          <w:rFonts w:cs="Arial"/>
        </w:rPr>
      </w:pPr>
    </w:p>
    <w:p w:rsidR="00C4264B" w:rsidRDefault="00C4264B" w:rsidP="00C4264B">
      <w:pPr>
        <w:rPr>
          <w:rFonts w:cs="Arial"/>
        </w:rPr>
      </w:pPr>
    </w:p>
    <w:p w:rsidR="00C4264B" w:rsidRPr="00FD569F" w:rsidRDefault="00C4264B" w:rsidP="00C4264B">
      <w:pPr>
        <w:rPr>
          <w:rFonts w:cs="Arial"/>
        </w:rPr>
      </w:pPr>
    </w:p>
    <w:p w:rsidR="00C4264B" w:rsidRPr="00FD569F" w:rsidRDefault="00C4264B" w:rsidP="00C4264B">
      <w:pPr>
        <w:tabs>
          <w:tab w:val="left" w:pos="4820"/>
        </w:tabs>
        <w:rPr>
          <w:rFonts w:cs="Arial"/>
          <w:sz w:val="20"/>
        </w:rPr>
      </w:pPr>
      <w:r>
        <w:rPr>
          <w:rFonts w:cs="Arial"/>
          <w:noProof/>
          <w:sz w:val="20"/>
        </w:rPr>
        <w:t>Hannah Cameron</w:t>
      </w:r>
      <w:r w:rsidRPr="00FD569F">
        <w:rPr>
          <w:rFonts w:cs="Arial"/>
          <w:sz w:val="20"/>
        </w:rPr>
        <w:tab/>
      </w:r>
      <w:r w:rsidRPr="00FD569F">
        <w:rPr>
          <w:rFonts w:cs="Arial"/>
          <w:b/>
          <w:sz w:val="20"/>
        </w:rPr>
        <w:t>Minister’s signature:</w:t>
      </w:r>
    </w:p>
    <w:p w:rsidR="00C4264B" w:rsidRPr="00FD569F" w:rsidRDefault="00C4264B" w:rsidP="00C4264B">
      <w:pPr>
        <w:tabs>
          <w:tab w:val="left" w:pos="4820"/>
        </w:tabs>
        <w:rPr>
          <w:rFonts w:cs="Arial"/>
          <w:sz w:val="20"/>
        </w:rPr>
      </w:pPr>
      <w:r>
        <w:rPr>
          <w:rFonts w:cs="Arial"/>
          <w:sz w:val="20"/>
        </w:rPr>
        <w:t>Group Manager Regulation Policy</w:t>
      </w:r>
    </w:p>
    <w:p w:rsidR="00C4264B" w:rsidRPr="00FD569F" w:rsidRDefault="00C4264B" w:rsidP="00C4264B">
      <w:pPr>
        <w:tabs>
          <w:tab w:val="left" w:pos="4820"/>
        </w:tabs>
        <w:rPr>
          <w:rFonts w:cs="Arial"/>
          <w:b/>
          <w:sz w:val="20"/>
        </w:rPr>
      </w:pPr>
      <w:r>
        <w:rPr>
          <w:rFonts w:cs="Arial"/>
          <w:b/>
          <w:sz w:val="20"/>
        </w:rPr>
        <w:t>Policy and Strategy</w:t>
      </w:r>
      <w:r w:rsidRPr="00FD569F">
        <w:rPr>
          <w:rFonts w:cs="Arial"/>
          <w:b/>
          <w:sz w:val="20"/>
        </w:rPr>
        <w:tab/>
        <w:t>Date:</w:t>
      </w:r>
    </w:p>
    <w:p w:rsidR="00C4264B" w:rsidRPr="007462E0" w:rsidRDefault="00C4264B" w:rsidP="00C4264B">
      <w:pPr>
        <w:rPr>
          <w:rFonts w:cs="Arial"/>
        </w:rPr>
      </w:pPr>
    </w:p>
    <w:p w:rsidR="00C4264B" w:rsidRPr="007462E0" w:rsidRDefault="00C4264B" w:rsidP="00C4264B">
      <w:pPr>
        <w:rPr>
          <w:rFonts w:eastAsiaTheme="majorEastAsia" w:cs="Arial"/>
          <w:noProof/>
        </w:rPr>
      </w:pPr>
      <w:r w:rsidRPr="007462E0">
        <w:rPr>
          <w:rFonts w:cs="Arial"/>
          <w:noProof/>
        </w:rPr>
        <w:br w:type="page"/>
      </w:r>
    </w:p>
    <w:p w:rsidR="00C4264B" w:rsidRPr="007462E0" w:rsidRDefault="00C4264B" w:rsidP="00C4264B">
      <w:pPr>
        <w:pStyle w:val="Title"/>
        <w:rPr>
          <w:rFonts w:ascii="Arial" w:hAnsi="Arial" w:cs="Arial"/>
          <w:b w:val="0"/>
          <w:sz w:val="22"/>
          <w:szCs w:val="22"/>
        </w:rPr>
      </w:pPr>
      <w:r w:rsidRPr="00D0104E">
        <w:rPr>
          <w:rFonts w:ascii="Arial" w:hAnsi="Arial" w:cs="Arial"/>
        </w:rPr>
        <w:lastRenderedPageBreak/>
        <w:t xml:space="preserve">Advice from the Expert Advisory Committee on Drugs on the </w:t>
      </w:r>
      <w:r>
        <w:rPr>
          <w:rFonts w:ascii="Arial" w:hAnsi="Arial" w:cs="Arial"/>
        </w:rPr>
        <w:t xml:space="preserve">Classification of </w:t>
      </w:r>
      <w:proofErr w:type="spellStart"/>
      <w:r>
        <w:rPr>
          <w:rFonts w:ascii="Arial" w:hAnsi="Arial" w:cs="Arial"/>
        </w:rPr>
        <w:t>Cannabidiol</w:t>
      </w:r>
      <w:proofErr w:type="spellEnd"/>
      <w:r>
        <w:rPr>
          <w:rFonts w:ascii="Arial" w:hAnsi="Arial" w:cs="Arial"/>
        </w:rPr>
        <w:t xml:space="preserve"> </w:t>
      </w:r>
    </w:p>
    <w:p w:rsidR="00C4264B" w:rsidRPr="00D0104E" w:rsidRDefault="00C4264B" w:rsidP="00C4264B">
      <w:pPr>
        <w:pStyle w:val="Number"/>
        <w:numPr>
          <w:ilvl w:val="0"/>
          <w:numId w:val="0"/>
        </w:numPr>
        <w:ind w:left="360" w:hanging="360"/>
        <w:rPr>
          <w:rFonts w:cs="Arial"/>
          <w:b/>
          <w:sz w:val="24"/>
        </w:rPr>
      </w:pPr>
      <w:r w:rsidRPr="00D0104E">
        <w:rPr>
          <w:rFonts w:cs="Arial"/>
          <w:b/>
          <w:sz w:val="24"/>
        </w:rPr>
        <w:t>Background</w:t>
      </w:r>
    </w:p>
    <w:p w:rsidR="00C4264B" w:rsidRDefault="00C4264B" w:rsidP="00C4264B">
      <w:pPr>
        <w:pStyle w:val="Number"/>
        <w:ind w:left="426" w:hanging="426"/>
        <w:rPr>
          <w:rFonts w:cs="Arial"/>
        </w:rPr>
      </w:pPr>
      <w:proofErr w:type="spellStart"/>
      <w:r>
        <w:rPr>
          <w:rFonts w:cs="Arial"/>
        </w:rPr>
        <w:t>Cannabidiol</w:t>
      </w:r>
      <w:proofErr w:type="spellEnd"/>
      <w:r>
        <w:rPr>
          <w:rFonts w:cs="Arial"/>
        </w:rPr>
        <w:t xml:space="preserve"> (CBD) is one of 80 to 100 cannabinoids isolated from the cannabis plant. It has little or no psychotropic properties and no serious adverse events from its use have been reported</w:t>
      </w:r>
      <w:r w:rsidRPr="00D92A57">
        <w:rPr>
          <w:rFonts w:cs="Arial"/>
        </w:rPr>
        <w:t>.</w:t>
      </w:r>
      <w:r>
        <w:rPr>
          <w:rFonts w:cs="Arial"/>
        </w:rPr>
        <w:t xml:space="preserve"> Current research indicates that CBD could have therapeutic applications. Public interest in CBD has increased with the emergence of CBD-based products. Most of these products are non-pharmaceutical grade but some pharmaceutical grade product is expected in the future (</w:t>
      </w:r>
      <w:proofErr w:type="spellStart"/>
      <w:r>
        <w:rPr>
          <w:rFonts w:cs="Arial"/>
        </w:rPr>
        <w:t>ie</w:t>
      </w:r>
      <w:proofErr w:type="spellEnd"/>
      <w:r>
        <w:rPr>
          <w:rFonts w:cs="Arial"/>
        </w:rPr>
        <w:t xml:space="preserve">, </w:t>
      </w:r>
      <w:proofErr w:type="spellStart"/>
      <w:r>
        <w:rPr>
          <w:rFonts w:cs="Arial"/>
        </w:rPr>
        <w:t>Epidiolex</w:t>
      </w:r>
      <w:proofErr w:type="spellEnd"/>
      <w:r>
        <w:rPr>
          <w:rFonts w:cs="Arial"/>
        </w:rPr>
        <w:t xml:space="preserve"> which is undergoing clinical trials in the United States and Australia).</w:t>
      </w:r>
    </w:p>
    <w:p w:rsidR="00C4264B" w:rsidRDefault="00C4264B" w:rsidP="00C4264B">
      <w:pPr>
        <w:pStyle w:val="Number"/>
        <w:ind w:left="426" w:hanging="426"/>
        <w:rPr>
          <w:rFonts w:cs="Arial"/>
        </w:rPr>
      </w:pPr>
      <w:r>
        <w:rPr>
          <w:rFonts w:cs="Arial"/>
        </w:rPr>
        <w:t>Currently CBD is a class B1 controlled drug under the Misuse of Drugs Act 1975 (</w:t>
      </w:r>
      <w:proofErr w:type="spellStart"/>
      <w:r>
        <w:rPr>
          <w:rFonts w:cs="Arial"/>
        </w:rPr>
        <w:t>MoDA</w:t>
      </w:r>
      <w:proofErr w:type="spellEnd"/>
      <w:r>
        <w:rPr>
          <w:rFonts w:cs="Arial"/>
        </w:rPr>
        <w:t xml:space="preserve">). CBD is also listed as a prescription medicine in the Medicines Regulations 1984 because it can be used for a therapeutic purpose. As a class B1 controlled drug, </w:t>
      </w:r>
      <w:r w:rsidRPr="0017798D">
        <w:rPr>
          <w:rFonts w:cs="Arial"/>
        </w:rPr>
        <w:t>CBD products can be prescribed and imported but only after Ministry approval has been obtained.</w:t>
      </w:r>
    </w:p>
    <w:p w:rsidR="00C4264B" w:rsidRPr="0017798D" w:rsidRDefault="00C4264B" w:rsidP="00C4264B">
      <w:pPr>
        <w:pStyle w:val="Number"/>
        <w:ind w:left="426" w:hanging="426"/>
        <w:rPr>
          <w:rFonts w:cs="Arial"/>
        </w:rPr>
      </w:pPr>
      <w:r w:rsidRPr="0017798D">
        <w:rPr>
          <w:rFonts w:cs="Arial"/>
        </w:rPr>
        <w:t xml:space="preserve">Sue Grey (a lawyer who advocates for greater access to cannabis products for therapeutic purposes) and Dr Keith Bedford (formerly of the Institute of Environmental Science and Research Limited) have questioned whether CBD is controlled under </w:t>
      </w:r>
      <w:proofErr w:type="spellStart"/>
      <w:r w:rsidRPr="0017798D">
        <w:rPr>
          <w:rFonts w:cs="Arial"/>
        </w:rPr>
        <w:t>MoDA</w:t>
      </w:r>
      <w:proofErr w:type="spellEnd"/>
      <w:r w:rsidRPr="0017798D">
        <w:rPr>
          <w:rFonts w:cs="Arial"/>
        </w:rPr>
        <w:t xml:space="preserve">. </w:t>
      </w:r>
    </w:p>
    <w:p w:rsidR="00C4264B" w:rsidRPr="0017798D" w:rsidRDefault="00C4264B" w:rsidP="00C4264B">
      <w:pPr>
        <w:pStyle w:val="Number"/>
        <w:ind w:left="426" w:hanging="426"/>
        <w:rPr>
          <w:rFonts w:cs="Arial"/>
        </w:rPr>
      </w:pPr>
      <w:r w:rsidRPr="0017798D">
        <w:rPr>
          <w:rFonts w:cs="Arial"/>
        </w:rPr>
        <w:t xml:space="preserve">The Ministry obtained legal advice specifically on this issue. Based on this advice, the Ministry considers CBD is captured by the provision in Schedule 2, Part 1(2) of </w:t>
      </w:r>
      <w:proofErr w:type="spellStart"/>
      <w:r w:rsidRPr="0017798D">
        <w:rPr>
          <w:rFonts w:cs="Arial"/>
        </w:rPr>
        <w:t>MoDA</w:t>
      </w:r>
      <w:proofErr w:type="spellEnd"/>
      <w:r w:rsidRPr="0017798D">
        <w:rPr>
          <w:rFonts w:cs="Arial"/>
        </w:rPr>
        <w:t xml:space="preserve"> as an isomer of </w:t>
      </w:r>
      <w:proofErr w:type="spellStart"/>
      <w:r w:rsidRPr="0017798D">
        <w:rPr>
          <w:rFonts w:cs="Arial"/>
        </w:rPr>
        <w:t>tetrahydocannabinol</w:t>
      </w:r>
      <w:proofErr w:type="spellEnd"/>
      <w:r w:rsidRPr="0017798D">
        <w:rPr>
          <w:rFonts w:cs="Arial"/>
        </w:rPr>
        <w:t xml:space="preserve"> (THC). This means that the Ministry considers CBD is a class B1 controlled drug (see HR 20170058 for further information).</w:t>
      </w:r>
    </w:p>
    <w:p w:rsidR="00C4264B" w:rsidRPr="0017798D" w:rsidRDefault="00C4264B" w:rsidP="00C4264B">
      <w:pPr>
        <w:pStyle w:val="Number"/>
        <w:ind w:left="426" w:hanging="426"/>
        <w:rPr>
          <w:rFonts w:cs="Arial"/>
        </w:rPr>
      </w:pPr>
      <w:r w:rsidRPr="0017798D">
        <w:rPr>
          <w:rFonts w:cs="Arial"/>
        </w:rPr>
        <w:t xml:space="preserve">A drug captured by </w:t>
      </w:r>
      <w:proofErr w:type="spellStart"/>
      <w:r w:rsidRPr="0017798D">
        <w:rPr>
          <w:rFonts w:cs="Arial"/>
        </w:rPr>
        <w:t>MoDA</w:t>
      </w:r>
      <w:proofErr w:type="spellEnd"/>
      <w:r w:rsidRPr="0017798D">
        <w:rPr>
          <w:rFonts w:cs="Arial"/>
        </w:rPr>
        <w:t xml:space="preserve"> is controlled when present at any level (even at trace level as a contaminant). Naturally-derived CBD products (</w:t>
      </w:r>
      <w:proofErr w:type="spellStart"/>
      <w:r w:rsidRPr="0017798D">
        <w:rPr>
          <w:rFonts w:cs="Arial"/>
        </w:rPr>
        <w:t>ie</w:t>
      </w:r>
      <w:proofErr w:type="spellEnd"/>
      <w:r w:rsidRPr="0017798D">
        <w:rPr>
          <w:rFonts w:cs="Arial"/>
        </w:rPr>
        <w:t>, from the cannabis plant) are very likely to contain small amounts of other cannabinoids, particularly THC</w:t>
      </w:r>
      <w:r>
        <w:rPr>
          <w:rFonts w:cs="Arial"/>
        </w:rPr>
        <w:t>. This</w:t>
      </w:r>
      <w:r w:rsidRPr="0017798D">
        <w:rPr>
          <w:rFonts w:cs="Arial"/>
        </w:rPr>
        <w:t xml:space="preserve"> mak</w:t>
      </w:r>
      <w:r>
        <w:rPr>
          <w:rFonts w:cs="Arial"/>
        </w:rPr>
        <w:t>es</w:t>
      </w:r>
      <w:r w:rsidRPr="0017798D">
        <w:rPr>
          <w:rFonts w:cs="Arial"/>
        </w:rPr>
        <w:t xml:space="preserve"> the</w:t>
      </w:r>
      <w:r>
        <w:rPr>
          <w:rFonts w:cs="Arial"/>
        </w:rPr>
        <w:t xml:space="preserve"> products</w:t>
      </w:r>
      <w:r w:rsidRPr="0017798D">
        <w:rPr>
          <w:rFonts w:cs="Arial"/>
        </w:rPr>
        <w:t xml:space="preserve"> controlled drugs regardless of the classification of CBD. The Ministry is not aware of any synthetic CBD products currently available. </w:t>
      </w:r>
    </w:p>
    <w:p w:rsidR="00C4264B" w:rsidRPr="00D0792D" w:rsidRDefault="00C4264B" w:rsidP="00C4264B">
      <w:pPr>
        <w:pStyle w:val="Number"/>
        <w:numPr>
          <w:ilvl w:val="0"/>
          <w:numId w:val="0"/>
        </w:numPr>
        <w:rPr>
          <w:rFonts w:cs="Arial"/>
          <w:i/>
          <w:szCs w:val="22"/>
        </w:rPr>
      </w:pPr>
      <w:r w:rsidRPr="00D0792D">
        <w:rPr>
          <w:rFonts w:cs="Arial"/>
          <w:b/>
          <w:szCs w:val="22"/>
        </w:rPr>
        <w:t>Classification of CBD in Australia</w:t>
      </w:r>
    </w:p>
    <w:p w:rsidR="00C4264B" w:rsidRDefault="00C4264B" w:rsidP="00C4264B">
      <w:pPr>
        <w:pStyle w:val="Number"/>
        <w:ind w:left="426" w:hanging="426"/>
        <w:rPr>
          <w:rFonts w:cs="Arial"/>
        </w:rPr>
      </w:pPr>
      <w:r>
        <w:rPr>
          <w:rFonts w:cs="Arial"/>
        </w:rPr>
        <w:t xml:space="preserve">In July 2015 the Therapeutic Goods Administration (TGA) down-scheduled CBD to a prescription only medicine ‘in preparations for therapeutic use containing two percent or less of other cannabinoids found in cannabis’. The two percent allowance of other cannabinoids acknowledges that CBD products are very likely to be contaminated by other cannabinoids, particularly THC. The Ministry’s understanding is Australia allows the CBD component of a product to have up to two percent of other cannabinoids (versus an allowance of two percent of the whole product). </w:t>
      </w:r>
    </w:p>
    <w:p w:rsidR="00C4264B" w:rsidRPr="00D0792D" w:rsidRDefault="00C4264B" w:rsidP="00C4264B">
      <w:pPr>
        <w:pStyle w:val="Number"/>
        <w:numPr>
          <w:ilvl w:val="0"/>
          <w:numId w:val="0"/>
        </w:numPr>
        <w:autoSpaceDE w:val="0"/>
        <w:autoSpaceDN w:val="0"/>
        <w:adjustRightInd w:val="0"/>
        <w:spacing w:after="120"/>
        <w:rPr>
          <w:rFonts w:cs="Arial"/>
          <w:sz w:val="24"/>
        </w:rPr>
      </w:pPr>
      <w:r>
        <w:rPr>
          <w:rFonts w:cs="Arial"/>
          <w:b/>
          <w:sz w:val="24"/>
        </w:rPr>
        <w:t>The Committee’s a</w:t>
      </w:r>
      <w:r w:rsidRPr="00D0792D">
        <w:rPr>
          <w:rFonts w:cs="Arial"/>
          <w:b/>
          <w:sz w:val="24"/>
        </w:rPr>
        <w:t>dvice</w:t>
      </w:r>
    </w:p>
    <w:p w:rsidR="00C4264B" w:rsidRPr="0017798D" w:rsidRDefault="00C4264B" w:rsidP="00C4264B">
      <w:pPr>
        <w:pStyle w:val="Number"/>
        <w:ind w:left="426" w:hanging="426"/>
        <w:rPr>
          <w:rFonts w:cs="Arial"/>
        </w:rPr>
      </w:pPr>
      <w:r w:rsidRPr="001D2F47">
        <w:rPr>
          <w:rFonts w:cs="Arial"/>
        </w:rPr>
        <w:t xml:space="preserve">The </w:t>
      </w:r>
      <w:r>
        <w:rPr>
          <w:rFonts w:cs="Arial"/>
        </w:rPr>
        <w:t xml:space="preserve">Expert Advisory </w:t>
      </w:r>
      <w:r w:rsidRPr="001D2F47">
        <w:rPr>
          <w:rFonts w:cs="Arial"/>
        </w:rPr>
        <w:t>Committee</w:t>
      </w:r>
      <w:r>
        <w:rPr>
          <w:rFonts w:cs="Arial"/>
        </w:rPr>
        <w:t xml:space="preserve"> on Drugs (the Committee)</w:t>
      </w:r>
      <w:r w:rsidRPr="001D2F47">
        <w:rPr>
          <w:rFonts w:cs="Arial"/>
        </w:rPr>
        <w:t xml:space="preserve">, </w:t>
      </w:r>
      <w:r>
        <w:rPr>
          <w:rFonts w:cs="Arial"/>
        </w:rPr>
        <w:t>p</w:t>
      </w:r>
      <w:r w:rsidRPr="001D2F47">
        <w:rPr>
          <w:rFonts w:cs="Arial"/>
        </w:rPr>
        <w:t>rovides expert advice to the Minister of Health on drug classification issues. It is the role of the Minister to d</w:t>
      </w:r>
      <w:r>
        <w:rPr>
          <w:rFonts w:cs="Arial"/>
        </w:rPr>
        <w:t>ecide whether to progress recommendations from the Committee</w:t>
      </w:r>
      <w:r w:rsidRPr="001D2F47">
        <w:rPr>
          <w:rFonts w:cs="Arial"/>
        </w:rPr>
        <w:t>.</w:t>
      </w:r>
    </w:p>
    <w:p w:rsidR="00C4264B" w:rsidRPr="0017798D" w:rsidRDefault="00C4264B" w:rsidP="00C4264B">
      <w:pPr>
        <w:pStyle w:val="Number"/>
        <w:ind w:left="426" w:hanging="426"/>
        <w:rPr>
          <w:rFonts w:cs="Arial"/>
        </w:rPr>
      </w:pPr>
      <w:r w:rsidRPr="0017798D">
        <w:rPr>
          <w:rFonts w:cs="Arial"/>
        </w:rPr>
        <w:t>The Committee considered the classification of CBD on 27 April and 26 October 2016. The relevant papers</w:t>
      </w:r>
      <w:r>
        <w:rPr>
          <w:rFonts w:cs="Arial"/>
        </w:rPr>
        <w:t xml:space="preserve"> provided to the</w:t>
      </w:r>
      <w:r w:rsidRPr="0017798D">
        <w:rPr>
          <w:rFonts w:cs="Arial"/>
        </w:rPr>
        <w:t xml:space="preserve"> Committee are attached in Appendix 2. Due to the level of public interest in CBD the Ministry has published the CBD paper provided at the April meeting on the Ministry of Health website. The Ministry intends to publish the documents from the October meeting (Appendix 2), with information that was provided in confidence redacted. </w:t>
      </w:r>
    </w:p>
    <w:p w:rsidR="00C4264B" w:rsidRPr="0017798D" w:rsidRDefault="00C4264B" w:rsidP="00C4264B">
      <w:pPr>
        <w:pStyle w:val="Number"/>
        <w:ind w:left="426" w:hanging="426"/>
        <w:rPr>
          <w:rFonts w:cs="Arial"/>
        </w:rPr>
      </w:pPr>
      <w:r w:rsidRPr="0017798D">
        <w:rPr>
          <w:rFonts w:cs="Arial"/>
        </w:rPr>
        <w:t xml:space="preserve">The Ministry also proposes publishing the Committee’s advice on the classification of CBD (Appendix 1). With your agreement, this advice will be published on the Ministry website. The minutes from the October 2016 meeting will also be published once you have received the advice on </w:t>
      </w:r>
      <w:proofErr w:type="spellStart"/>
      <w:r w:rsidRPr="0017798D">
        <w:rPr>
          <w:rFonts w:cs="Arial"/>
        </w:rPr>
        <w:t>lisdexamfetamine</w:t>
      </w:r>
      <w:proofErr w:type="spellEnd"/>
      <w:r w:rsidRPr="0017798D">
        <w:rPr>
          <w:rFonts w:cs="Arial"/>
        </w:rPr>
        <w:t xml:space="preserve">, which the Committee also considered at this meeting. </w:t>
      </w:r>
    </w:p>
    <w:p w:rsidR="00C4264B" w:rsidRDefault="00C4264B" w:rsidP="00C4264B">
      <w:pPr>
        <w:pStyle w:val="Number"/>
        <w:numPr>
          <w:ilvl w:val="0"/>
          <w:numId w:val="0"/>
        </w:numPr>
        <w:ind w:left="502"/>
        <w:rPr>
          <w:rFonts w:cs="Arial"/>
        </w:rPr>
      </w:pPr>
    </w:p>
    <w:p w:rsidR="00C4264B" w:rsidRPr="0017798D" w:rsidRDefault="00C4264B" w:rsidP="00C4264B">
      <w:pPr>
        <w:pStyle w:val="Number"/>
        <w:numPr>
          <w:ilvl w:val="0"/>
          <w:numId w:val="0"/>
        </w:numPr>
        <w:ind w:left="502"/>
        <w:rPr>
          <w:rFonts w:cs="Arial"/>
        </w:rPr>
      </w:pPr>
    </w:p>
    <w:p w:rsidR="00C4264B" w:rsidRPr="0017798D" w:rsidRDefault="00C4264B" w:rsidP="00C4264B">
      <w:pPr>
        <w:pStyle w:val="Number"/>
        <w:ind w:left="284" w:hanging="284"/>
        <w:rPr>
          <w:rFonts w:cs="Arial"/>
        </w:rPr>
      </w:pPr>
      <w:r w:rsidRPr="0017798D">
        <w:rPr>
          <w:rFonts w:cs="Arial"/>
        </w:rPr>
        <w:lastRenderedPageBreak/>
        <w:t xml:space="preserve">Following its consideration of the classification of CBD, the Committee provided the following advice: </w:t>
      </w:r>
    </w:p>
    <w:p w:rsidR="00C4264B" w:rsidRDefault="00C4264B" w:rsidP="00C4264B">
      <w:pPr>
        <w:pStyle w:val="Number"/>
        <w:numPr>
          <w:ilvl w:val="0"/>
          <w:numId w:val="10"/>
        </w:numPr>
        <w:ind w:hanging="294"/>
      </w:pPr>
      <w:r>
        <w:t xml:space="preserve">It would support </w:t>
      </w:r>
      <w:proofErr w:type="spellStart"/>
      <w:r>
        <w:t>descheduling</w:t>
      </w:r>
      <w:proofErr w:type="spellEnd"/>
      <w:r>
        <w:t xml:space="preserve"> CBD from </w:t>
      </w:r>
      <w:proofErr w:type="spellStart"/>
      <w:r>
        <w:t>MoDA</w:t>
      </w:r>
      <w:proofErr w:type="spellEnd"/>
      <w:r>
        <w:t xml:space="preserve"> so that it is a prescription medicine only.</w:t>
      </w:r>
    </w:p>
    <w:p w:rsidR="00C4264B" w:rsidRDefault="00C4264B" w:rsidP="00C4264B">
      <w:pPr>
        <w:pStyle w:val="Number"/>
        <w:numPr>
          <w:ilvl w:val="0"/>
          <w:numId w:val="10"/>
        </w:numPr>
        <w:ind w:hanging="294"/>
      </w:pPr>
      <w:r>
        <w:t>It would be appropriate for an allowance of up to two percent of other cannabinoids (including THC) in the CBD component of products for therapeutic use</w:t>
      </w:r>
      <w:r>
        <w:rPr>
          <w:rFonts w:cs="Arial"/>
        </w:rPr>
        <w:t xml:space="preserve">. </w:t>
      </w:r>
    </w:p>
    <w:p w:rsidR="00C4264B" w:rsidRPr="0017798D" w:rsidRDefault="00C4264B" w:rsidP="00C4264B">
      <w:pPr>
        <w:pStyle w:val="Number"/>
        <w:ind w:left="426" w:hanging="426"/>
        <w:rPr>
          <w:rFonts w:cs="Arial"/>
        </w:rPr>
      </w:pPr>
      <w:r w:rsidRPr="0017798D">
        <w:rPr>
          <w:rFonts w:cs="Arial"/>
        </w:rPr>
        <w:t xml:space="preserve">The Committee’s </w:t>
      </w:r>
      <w:r>
        <w:rPr>
          <w:rFonts w:cs="Arial"/>
        </w:rPr>
        <w:t>support</w:t>
      </w:r>
      <w:r w:rsidRPr="0017798D">
        <w:rPr>
          <w:rFonts w:cs="Arial"/>
        </w:rPr>
        <w:t xml:space="preserve"> for an allowance of a two percent threshold of other cannabinoids for therapeutic products acknowledges there are no ‘pure’ CBD products currently available. Even </w:t>
      </w:r>
      <w:proofErr w:type="spellStart"/>
      <w:r w:rsidRPr="0017798D">
        <w:rPr>
          <w:rFonts w:cs="Arial"/>
        </w:rPr>
        <w:t>Epidiolex</w:t>
      </w:r>
      <w:proofErr w:type="spellEnd"/>
      <w:r w:rsidRPr="0017798D">
        <w:rPr>
          <w:rFonts w:cs="Arial"/>
        </w:rPr>
        <w:t xml:space="preserve">, a pharmaceutical grade product, is 98 percent CBD with up to two percent impurities. If </w:t>
      </w:r>
      <w:proofErr w:type="spellStart"/>
      <w:r w:rsidRPr="0017798D">
        <w:rPr>
          <w:rFonts w:cs="Arial"/>
        </w:rPr>
        <w:t>descheduling</w:t>
      </w:r>
      <w:proofErr w:type="spellEnd"/>
      <w:r w:rsidRPr="0017798D">
        <w:rPr>
          <w:rFonts w:cs="Arial"/>
        </w:rPr>
        <w:t xml:space="preserve"> of CBD products w</w:t>
      </w:r>
      <w:r>
        <w:rPr>
          <w:rFonts w:cs="Arial"/>
        </w:rPr>
        <w:t>ere</w:t>
      </w:r>
      <w:r w:rsidRPr="0017798D">
        <w:rPr>
          <w:rFonts w:cs="Arial"/>
        </w:rPr>
        <w:t xml:space="preserve"> limited to products that contained CBD only (with no allowance for trace level contamination of other cannabinoids), it is unlikely that any product tested in a laboratory accredited to international standards would meet the criteria to be a prescription medicine.  </w:t>
      </w:r>
    </w:p>
    <w:p w:rsidR="00C4264B" w:rsidRPr="0017798D" w:rsidRDefault="00C4264B" w:rsidP="00C4264B">
      <w:pPr>
        <w:pStyle w:val="Number"/>
        <w:ind w:left="426" w:hanging="426"/>
        <w:rPr>
          <w:rFonts w:cs="Arial"/>
        </w:rPr>
      </w:pPr>
      <w:r w:rsidRPr="0017798D">
        <w:rPr>
          <w:rFonts w:cs="Arial"/>
        </w:rPr>
        <w:t>The Committee is concerned that any public communication on this issue is clear that the CBD classification advice is specific to CBD only</w:t>
      </w:r>
      <w:r>
        <w:rPr>
          <w:rFonts w:cs="Arial"/>
        </w:rPr>
        <w:t>. The Committee’s CBD advice is not applicable to other</w:t>
      </w:r>
      <w:r w:rsidRPr="0017798D">
        <w:rPr>
          <w:rFonts w:cs="Arial"/>
        </w:rPr>
        <w:t xml:space="preserve"> formulations of cannabis. </w:t>
      </w:r>
    </w:p>
    <w:p w:rsidR="00C4264B" w:rsidRPr="00D0792D" w:rsidRDefault="00C4264B" w:rsidP="00C4264B">
      <w:pPr>
        <w:pStyle w:val="Number"/>
        <w:numPr>
          <w:ilvl w:val="0"/>
          <w:numId w:val="0"/>
        </w:numPr>
        <w:rPr>
          <w:sz w:val="24"/>
        </w:rPr>
      </w:pPr>
      <w:r w:rsidRPr="00D0792D">
        <w:rPr>
          <w:b/>
          <w:sz w:val="24"/>
        </w:rPr>
        <w:t>Response to the Committee’s advice</w:t>
      </w:r>
    </w:p>
    <w:p w:rsidR="00C4264B" w:rsidRPr="0017798D" w:rsidRDefault="00C4264B" w:rsidP="00C4264B">
      <w:pPr>
        <w:pStyle w:val="Number"/>
        <w:ind w:left="426" w:hanging="426"/>
        <w:rPr>
          <w:rFonts w:cs="Arial"/>
        </w:rPr>
      </w:pPr>
      <w:r w:rsidRPr="0017798D">
        <w:rPr>
          <w:rFonts w:cs="Arial"/>
        </w:rPr>
        <w:t xml:space="preserve">The Ministry supports the Committee’s advice that CBD be </w:t>
      </w:r>
      <w:proofErr w:type="spellStart"/>
      <w:r w:rsidRPr="0017798D">
        <w:rPr>
          <w:rFonts w:cs="Arial"/>
        </w:rPr>
        <w:t>descheduled</w:t>
      </w:r>
      <w:proofErr w:type="spellEnd"/>
      <w:r w:rsidRPr="0017798D">
        <w:rPr>
          <w:rFonts w:cs="Arial"/>
        </w:rPr>
        <w:t xml:space="preserve"> from </w:t>
      </w:r>
      <w:proofErr w:type="spellStart"/>
      <w:r w:rsidRPr="0017798D">
        <w:rPr>
          <w:rFonts w:cs="Arial"/>
        </w:rPr>
        <w:t>MoDA</w:t>
      </w:r>
      <w:proofErr w:type="spellEnd"/>
      <w:r w:rsidRPr="0017798D">
        <w:rPr>
          <w:rFonts w:cs="Arial"/>
        </w:rPr>
        <w:t xml:space="preserve"> so that it is a prescription medicine only. To improve patient access to CBD products, the Ministry also supports having an allowable threshold of up to two percent of other cannabinoids (including THC) in the CBD component of products. </w:t>
      </w:r>
    </w:p>
    <w:p w:rsidR="00C4264B" w:rsidRPr="0017798D" w:rsidRDefault="00C4264B" w:rsidP="00C4264B">
      <w:pPr>
        <w:pStyle w:val="Number"/>
        <w:ind w:left="426" w:hanging="426"/>
        <w:rPr>
          <w:rFonts w:cs="Arial"/>
        </w:rPr>
      </w:pPr>
      <w:r w:rsidRPr="0017798D">
        <w:rPr>
          <w:rFonts w:cs="Arial"/>
        </w:rPr>
        <w:t xml:space="preserve">While the Committee’s advice to </w:t>
      </w:r>
      <w:proofErr w:type="spellStart"/>
      <w:r w:rsidRPr="0017798D">
        <w:rPr>
          <w:rFonts w:cs="Arial"/>
        </w:rPr>
        <w:t>deschedule</w:t>
      </w:r>
      <w:proofErr w:type="spellEnd"/>
      <w:r w:rsidRPr="0017798D">
        <w:rPr>
          <w:rFonts w:cs="Arial"/>
        </w:rPr>
        <w:t xml:space="preserve"> CBD is not binding on the Government, a decision to retain the status quo with no amendment to the processes to access and use CBD products would very likely be the focus of broad public criticism.  </w:t>
      </w:r>
    </w:p>
    <w:p w:rsidR="00C4264B" w:rsidRDefault="00C4264B" w:rsidP="00C4264B">
      <w:pPr>
        <w:pStyle w:val="Number"/>
        <w:ind w:left="426" w:hanging="426"/>
        <w:rPr>
          <w:rFonts w:cs="Arial"/>
        </w:rPr>
      </w:pPr>
      <w:r>
        <w:rPr>
          <w:rFonts w:cs="Arial"/>
        </w:rPr>
        <w:t xml:space="preserve">The Ministry is aware that products claiming to be CBD-only are emerging on the market. However, the products are made by companies not accredited to international Good Manufacturing Practice (GMP) standards for pharmaceutical grade products and Certificates of Analysis provided to date have not come from accredited laboratories. The exception is </w:t>
      </w:r>
      <w:proofErr w:type="spellStart"/>
      <w:r>
        <w:rPr>
          <w:rFonts w:cs="Arial"/>
        </w:rPr>
        <w:t>Epidiolex</w:t>
      </w:r>
      <w:proofErr w:type="spellEnd"/>
      <w:r>
        <w:rPr>
          <w:rFonts w:cs="Arial"/>
        </w:rPr>
        <w:t xml:space="preserve"> (developed by GW Pharmaceuticals), which is known to be manufactured to GMP and has been tested by an accredited laboratory. </w:t>
      </w:r>
      <w:proofErr w:type="spellStart"/>
      <w:r>
        <w:rPr>
          <w:rFonts w:cs="Arial"/>
        </w:rPr>
        <w:t>Epidiolex</w:t>
      </w:r>
      <w:proofErr w:type="spellEnd"/>
      <w:r>
        <w:rPr>
          <w:rFonts w:cs="Arial"/>
        </w:rPr>
        <w:t xml:space="preserve"> is currently undergoing clinical trials. The Ministry is </w:t>
      </w:r>
      <w:r w:rsidRPr="004C1B89">
        <w:rPr>
          <w:rFonts w:cs="Arial"/>
        </w:rPr>
        <w:t>aware of at least one other company looking to gain accreditation in the relevant areas so this situation may change in the future.</w:t>
      </w:r>
    </w:p>
    <w:p w:rsidR="00C4264B" w:rsidRDefault="00C4264B" w:rsidP="00C4264B">
      <w:pPr>
        <w:pStyle w:val="Number"/>
        <w:ind w:left="426" w:hanging="426"/>
        <w:rPr>
          <w:rFonts w:cs="Arial"/>
        </w:rPr>
      </w:pPr>
      <w:proofErr w:type="spellStart"/>
      <w:r>
        <w:rPr>
          <w:rFonts w:cs="Arial"/>
        </w:rPr>
        <w:t>Descheduling</w:t>
      </w:r>
      <w:proofErr w:type="spellEnd"/>
      <w:r>
        <w:rPr>
          <w:rFonts w:cs="Arial"/>
        </w:rPr>
        <w:t xml:space="preserve"> would not affect the current shortage of products produced according to GMP, though it may affect </w:t>
      </w:r>
      <w:r w:rsidRPr="00BB4644">
        <w:rPr>
          <w:rFonts w:cs="Arial"/>
        </w:rPr>
        <w:t>the</w:t>
      </w:r>
      <w:r>
        <w:rPr>
          <w:rFonts w:cs="Arial"/>
        </w:rPr>
        <w:t xml:space="preserve"> </w:t>
      </w:r>
      <w:r w:rsidRPr="00BB4644">
        <w:rPr>
          <w:rFonts w:cs="Arial"/>
        </w:rPr>
        <w:t xml:space="preserve">willingness of clinicians to prescribe CBD products where there is </w:t>
      </w:r>
      <w:r>
        <w:rPr>
          <w:rFonts w:cs="Arial"/>
        </w:rPr>
        <w:t xml:space="preserve">some </w:t>
      </w:r>
      <w:r w:rsidRPr="00BB4644">
        <w:rPr>
          <w:rFonts w:cs="Arial"/>
        </w:rPr>
        <w:t>eff</w:t>
      </w:r>
      <w:r>
        <w:rPr>
          <w:rFonts w:cs="Arial"/>
        </w:rPr>
        <w:t>icacy data to support its use for a particular patient.</w:t>
      </w:r>
    </w:p>
    <w:p w:rsidR="00C4264B" w:rsidRPr="00E979C2" w:rsidRDefault="00C4264B" w:rsidP="00C4264B">
      <w:pPr>
        <w:pStyle w:val="Number"/>
        <w:ind w:left="426" w:hanging="426"/>
        <w:rPr>
          <w:rFonts w:cs="Arial"/>
        </w:rPr>
      </w:pPr>
      <w:proofErr w:type="spellStart"/>
      <w:r>
        <w:rPr>
          <w:rFonts w:cs="Arial"/>
        </w:rPr>
        <w:t>Descheduling</w:t>
      </w:r>
      <w:proofErr w:type="spellEnd"/>
      <w:r>
        <w:rPr>
          <w:rFonts w:cs="Arial"/>
        </w:rPr>
        <w:t xml:space="preserve"> CBD would </w:t>
      </w:r>
      <w:r w:rsidRPr="0017798D">
        <w:rPr>
          <w:rFonts w:cs="Arial"/>
        </w:rPr>
        <w:t>streamline the process for patients to access CBD-based products</w:t>
      </w:r>
      <w:r>
        <w:rPr>
          <w:rFonts w:cs="Arial"/>
        </w:rPr>
        <w:t>,</w:t>
      </w:r>
      <w:r w:rsidRPr="0017798D">
        <w:rPr>
          <w:rFonts w:cs="Arial"/>
        </w:rPr>
        <w:t xml:space="preserve"> as products become available. It would also show that the government is looking to remove barriers to access where possible.</w:t>
      </w:r>
    </w:p>
    <w:p w:rsidR="00C4264B" w:rsidRPr="003E76E8" w:rsidRDefault="00C4264B" w:rsidP="00C4264B">
      <w:pPr>
        <w:pStyle w:val="Number"/>
        <w:numPr>
          <w:ilvl w:val="0"/>
          <w:numId w:val="0"/>
        </w:numPr>
        <w:rPr>
          <w:b/>
          <w:sz w:val="24"/>
        </w:rPr>
      </w:pPr>
      <w:r w:rsidRPr="003E76E8">
        <w:rPr>
          <w:b/>
          <w:sz w:val="24"/>
        </w:rPr>
        <w:t>Implementation options</w:t>
      </w:r>
    </w:p>
    <w:p w:rsidR="00C4264B" w:rsidRDefault="00C4264B" w:rsidP="00C4264B">
      <w:pPr>
        <w:pStyle w:val="Number"/>
        <w:ind w:left="426" w:hanging="426"/>
        <w:rPr>
          <w:rFonts w:cs="Arial"/>
        </w:rPr>
      </w:pPr>
      <w:r w:rsidRPr="0017798D">
        <w:rPr>
          <w:rFonts w:cs="Arial"/>
        </w:rPr>
        <w:t xml:space="preserve">Declassification of CBD as a controlled drug so it is a prescription medicine only would require a Misuse of Drugs Amendment Bill. It is not possible to down-schedule or </w:t>
      </w:r>
      <w:proofErr w:type="spellStart"/>
      <w:r w:rsidRPr="0017798D">
        <w:rPr>
          <w:rFonts w:cs="Arial"/>
        </w:rPr>
        <w:t>deschedule</w:t>
      </w:r>
      <w:proofErr w:type="spellEnd"/>
      <w:r w:rsidRPr="0017798D">
        <w:rPr>
          <w:rFonts w:cs="Arial"/>
        </w:rPr>
        <w:t xml:space="preserve"> a controlled drug by Order in Council. </w:t>
      </w:r>
      <w:r>
        <w:rPr>
          <w:rFonts w:cs="Arial"/>
        </w:rPr>
        <w:t>However</w:t>
      </w:r>
      <w:r w:rsidRPr="0017798D">
        <w:rPr>
          <w:rFonts w:cs="Arial"/>
        </w:rPr>
        <w:t xml:space="preserve">, it is possible to remove some or </w:t>
      </w:r>
      <w:r>
        <w:rPr>
          <w:rFonts w:cs="Arial"/>
        </w:rPr>
        <w:t>most</w:t>
      </w:r>
      <w:r w:rsidRPr="0017798D">
        <w:rPr>
          <w:rFonts w:cs="Arial"/>
        </w:rPr>
        <w:t xml:space="preserve"> of the additional controlled drug</w:t>
      </w:r>
      <w:r>
        <w:rPr>
          <w:rFonts w:cs="Arial"/>
        </w:rPr>
        <w:t xml:space="preserve"> requirements </w:t>
      </w:r>
      <w:r w:rsidRPr="0017798D">
        <w:rPr>
          <w:rFonts w:cs="Arial"/>
        </w:rPr>
        <w:t xml:space="preserve">via </w:t>
      </w:r>
      <w:r w:rsidRPr="0087125B">
        <w:rPr>
          <w:rFonts w:cs="Arial"/>
        </w:rPr>
        <w:t xml:space="preserve">amendment </w:t>
      </w:r>
      <w:r>
        <w:rPr>
          <w:rFonts w:cs="Arial"/>
        </w:rPr>
        <w:t>to</w:t>
      </w:r>
      <w:r w:rsidRPr="0087125B">
        <w:rPr>
          <w:rFonts w:cs="Arial"/>
        </w:rPr>
        <w:t xml:space="preserve"> the </w:t>
      </w:r>
      <w:r w:rsidRPr="00D94B00">
        <w:rPr>
          <w:rFonts w:cs="Arial"/>
        </w:rPr>
        <w:t>Misuse of Drugs Regulations</w:t>
      </w:r>
      <w:r w:rsidRPr="0087125B">
        <w:rPr>
          <w:rFonts w:cs="Arial"/>
        </w:rPr>
        <w:t>.</w:t>
      </w:r>
      <w:r>
        <w:rPr>
          <w:rFonts w:cs="Arial"/>
        </w:rPr>
        <w:t xml:space="preserve"> </w:t>
      </w:r>
      <w:r w:rsidRPr="0017798D">
        <w:rPr>
          <w:rFonts w:cs="Arial"/>
        </w:rPr>
        <w:t xml:space="preserve">This would be an interim measure until CBD were able to be </w:t>
      </w:r>
      <w:proofErr w:type="spellStart"/>
      <w:r w:rsidRPr="0017798D">
        <w:rPr>
          <w:rFonts w:cs="Arial"/>
        </w:rPr>
        <w:t>descheduled</w:t>
      </w:r>
      <w:proofErr w:type="spellEnd"/>
      <w:r w:rsidRPr="0017798D">
        <w:rPr>
          <w:rFonts w:cs="Arial"/>
        </w:rPr>
        <w:t xml:space="preserve"> via a</w:t>
      </w:r>
      <w:r w:rsidR="000928A1">
        <w:rPr>
          <w:rFonts w:cs="Arial"/>
        </w:rPr>
        <w:t xml:space="preserve"> Misuse of Drugs Amendment Bill </w:t>
      </w:r>
      <w:r w:rsidR="00336883">
        <w:rPr>
          <w:rFonts w:cs="Arial"/>
        </w:rPr>
        <w:t>and a</w:t>
      </w:r>
      <w:r w:rsidR="000928A1">
        <w:rPr>
          <w:rFonts w:cs="Arial"/>
        </w:rPr>
        <w:t>ll controlled drug requirements</w:t>
      </w:r>
      <w:r w:rsidR="00336883">
        <w:rPr>
          <w:rFonts w:cs="Arial"/>
        </w:rPr>
        <w:t xml:space="preserve"> removed</w:t>
      </w:r>
      <w:r w:rsidR="000928A1">
        <w:rPr>
          <w:rFonts w:cs="Arial"/>
        </w:rPr>
        <w:t xml:space="preserve">. </w:t>
      </w:r>
    </w:p>
    <w:p w:rsidR="00C4264B" w:rsidRPr="0017798D" w:rsidRDefault="00C4264B" w:rsidP="00C4264B">
      <w:pPr>
        <w:pStyle w:val="Number"/>
        <w:ind w:left="426" w:hanging="426"/>
        <w:rPr>
          <w:rFonts w:cs="Arial"/>
        </w:rPr>
      </w:pPr>
      <w:r w:rsidRPr="0017798D">
        <w:rPr>
          <w:rFonts w:cs="Arial"/>
        </w:rPr>
        <w:t xml:space="preserve">There is broad public interest in access and use of cannabis products for therapeutic and recreational use. </w:t>
      </w:r>
      <w:r w:rsidR="00C9570A">
        <w:rPr>
          <w:rFonts w:cs="Arial"/>
        </w:rPr>
        <w:t>[redacted under section 9(2)(g)(</w:t>
      </w:r>
      <w:proofErr w:type="spellStart"/>
      <w:r w:rsidR="00C9570A">
        <w:rPr>
          <w:rFonts w:cs="Arial"/>
        </w:rPr>
        <w:t>i</w:t>
      </w:r>
      <w:proofErr w:type="spellEnd"/>
      <w:r w:rsidR="00C9570A">
        <w:rPr>
          <w:rFonts w:cs="Arial"/>
        </w:rPr>
        <w:t xml:space="preserve">)] </w:t>
      </w:r>
      <w:r w:rsidR="005F0A49">
        <w:rPr>
          <w:rFonts w:cs="Arial"/>
        </w:rPr>
        <w:t>This would be subject to prioritisation as part of the government’s legislative programme.</w:t>
      </w:r>
    </w:p>
    <w:p w:rsidR="00C4264B" w:rsidRDefault="00C4264B" w:rsidP="00C4264B">
      <w:pPr>
        <w:pStyle w:val="Number"/>
        <w:ind w:left="426" w:hanging="426"/>
        <w:rPr>
          <w:rFonts w:cs="Arial"/>
        </w:rPr>
      </w:pPr>
      <w:r>
        <w:rPr>
          <w:rFonts w:cs="Arial"/>
        </w:rPr>
        <w:t xml:space="preserve">Anything less than immediate implementation of the Committee’s advice to </w:t>
      </w:r>
      <w:proofErr w:type="spellStart"/>
      <w:r>
        <w:rPr>
          <w:rFonts w:cs="Arial"/>
        </w:rPr>
        <w:t>deschedule</w:t>
      </w:r>
      <w:proofErr w:type="spellEnd"/>
      <w:r>
        <w:rPr>
          <w:rFonts w:cs="Arial"/>
        </w:rPr>
        <w:t xml:space="preserve"> CBD is likely to be strongly criticised by cannabis advocates. If amending the Regulations was supported, communications on CBD should be clear that this was an interim measure until CBD is </w:t>
      </w:r>
      <w:proofErr w:type="spellStart"/>
      <w:r>
        <w:rPr>
          <w:rFonts w:cs="Arial"/>
        </w:rPr>
        <w:t>descheduled</w:t>
      </w:r>
      <w:proofErr w:type="spellEnd"/>
      <w:r>
        <w:rPr>
          <w:rFonts w:cs="Arial"/>
        </w:rPr>
        <w:t xml:space="preserve"> via an amendment bill.  </w:t>
      </w:r>
    </w:p>
    <w:p w:rsidR="00C4264B" w:rsidRPr="00BB4644" w:rsidRDefault="00C4264B" w:rsidP="00C4264B">
      <w:pPr>
        <w:pStyle w:val="Number"/>
        <w:ind w:left="426" w:hanging="426"/>
        <w:rPr>
          <w:rFonts w:cs="Arial"/>
        </w:rPr>
      </w:pPr>
      <w:r>
        <w:rPr>
          <w:rFonts w:cs="Arial"/>
        </w:rPr>
        <w:t>R</w:t>
      </w:r>
      <w:r w:rsidRPr="00BB4644">
        <w:rPr>
          <w:rFonts w:cs="Arial"/>
        </w:rPr>
        <w:t xml:space="preserve">equirements for CBD products that could be amended </w:t>
      </w:r>
      <w:r>
        <w:rPr>
          <w:rFonts w:cs="Arial"/>
        </w:rPr>
        <w:t xml:space="preserve">via regulation </w:t>
      </w:r>
      <w:r w:rsidRPr="00BB4644">
        <w:rPr>
          <w:rFonts w:cs="Arial"/>
        </w:rPr>
        <w:t>include:</w:t>
      </w:r>
    </w:p>
    <w:p w:rsidR="00C4264B" w:rsidRDefault="000928A1" w:rsidP="00C4264B">
      <w:pPr>
        <w:pStyle w:val="Number"/>
        <w:numPr>
          <w:ilvl w:val="0"/>
          <w:numId w:val="18"/>
        </w:numPr>
      </w:pPr>
      <w:r>
        <w:t xml:space="preserve">a </w:t>
      </w:r>
      <w:r w:rsidR="00C4264B">
        <w:t xml:space="preserve">requirement for Ministerial Approval to prescribe (delegated to the Ministry) </w:t>
      </w:r>
    </w:p>
    <w:p w:rsidR="00C4264B" w:rsidRDefault="000928A1" w:rsidP="00C4264B">
      <w:pPr>
        <w:pStyle w:val="Number"/>
        <w:numPr>
          <w:ilvl w:val="0"/>
          <w:numId w:val="18"/>
        </w:numPr>
      </w:pPr>
      <w:r>
        <w:t xml:space="preserve">a </w:t>
      </w:r>
      <w:r w:rsidR="00C4264B">
        <w:t>requirement for an import licence to import into New Zealand (approximately $200- per consignment) (prescription medicines can be imported without a licence)</w:t>
      </w:r>
    </w:p>
    <w:p w:rsidR="00C4264B" w:rsidRDefault="000928A1" w:rsidP="00C4264B">
      <w:pPr>
        <w:pStyle w:val="Number"/>
        <w:numPr>
          <w:ilvl w:val="0"/>
          <w:numId w:val="18"/>
        </w:numPr>
      </w:pPr>
      <w:r>
        <w:t xml:space="preserve">a restriction to </w:t>
      </w:r>
      <w:r w:rsidR="00C4264B">
        <w:t>one month period of supply (prescription medicines have a three month period of supply)</w:t>
      </w:r>
    </w:p>
    <w:p w:rsidR="00C4264B" w:rsidRDefault="00C4264B" w:rsidP="00C4264B">
      <w:pPr>
        <w:pStyle w:val="Number"/>
        <w:numPr>
          <w:ilvl w:val="0"/>
          <w:numId w:val="18"/>
        </w:numPr>
      </w:pPr>
      <w:proofErr w:type="gramStart"/>
      <w:r>
        <w:t>additional</w:t>
      </w:r>
      <w:proofErr w:type="gramEnd"/>
      <w:r>
        <w:t xml:space="preserve"> requirements around storage and record keeping (as compared to prescription medicines).</w:t>
      </w:r>
    </w:p>
    <w:p w:rsidR="00C4264B" w:rsidRDefault="00C4264B" w:rsidP="00C4264B">
      <w:pPr>
        <w:pStyle w:val="Number"/>
        <w:ind w:left="426" w:hanging="426"/>
        <w:rPr>
          <w:rFonts w:cs="Arial"/>
        </w:rPr>
      </w:pPr>
      <w:r>
        <w:rPr>
          <w:rFonts w:cs="Arial"/>
        </w:rPr>
        <w:t xml:space="preserve">There are specific restrictions around the cultivation and manufacture of cannabis. Cultivation and manufacture for commercial purposes is not possible while CBD remains a controlled drug. In addition, it is not possible to amend the penalty provisions for CBD via regulation as these are set out in </w:t>
      </w:r>
      <w:proofErr w:type="spellStart"/>
      <w:r>
        <w:rPr>
          <w:rFonts w:cs="Arial"/>
        </w:rPr>
        <w:t>MoDA</w:t>
      </w:r>
      <w:proofErr w:type="spellEnd"/>
      <w:r>
        <w:rPr>
          <w:rFonts w:cs="Arial"/>
        </w:rPr>
        <w:t>. The penalties for possession and supply of controlled drugs are significantly higher than for prescription medicines.</w:t>
      </w:r>
    </w:p>
    <w:p w:rsidR="00C4264B" w:rsidRPr="002329D7" w:rsidRDefault="00C4264B" w:rsidP="00C4264B">
      <w:pPr>
        <w:pStyle w:val="Number"/>
        <w:ind w:left="426" w:hanging="426"/>
        <w:rPr>
          <w:rFonts w:cs="Arial"/>
        </w:rPr>
      </w:pPr>
      <w:r w:rsidRPr="002329D7">
        <w:rPr>
          <w:rFonts w:cs="Arial"/>
        </w:rPr>
        <w:t xml:space="preserve">Amending the Misuse of Drugs Regulations to remove the requirement for Ministerial approval to prescribe </w:t>
      </w:r>
      <w:r>
        <w:rPr>
          <w:rFonts w:cs="Arial"/>
        </w:rPr>
        <w:t>CBD is reasonably straightforward. A</w:t>
      </w:r>
      <w:r w:rsidRPr="002329D7">
        <w:rPr>
          <w:rFonts w:cs="Arial"/>
        </w:rPr>
        <w:t xml:space="preserve">mendments to licensing, period of supply, </w:t>
      </w:r>
      <w:r>
        <w:rPr>
          <w:rFonts w:cs="Arial"/>
        </w:rPr>
        <w:t>storage and recording keeping</w:t>
      </w:r>
      <w:r w:rsidRPr="002329D7">
        <w:rPr>
          <w:rFonts w:cs="Arial"/>
        </w:rPr>
        <w:t xml:space="preserve"> </w:t>
      </w:r>
      <w:r>
        <w:rPr>
          <w:rFonts w:cs="Arial"/>
        </w:rPr>
        <w:t>requirements</w:t>
      </w:r>
      <w:r w:rsidRPr="002329D7">
        <w:rPr>
          <w:rFonts w:cs="Arial"/>
        </w:rPr>
        <w:t xml:space="preserve"> h</w:t>
      </w:r>
      <w:r>
        <w:rPr>
          <w:rFonts w:cs="Arial"/>
        </w:rPr>
        <w:t xml:space="preserve">ave the potential to be complex and take longer to design. </w:t>
      </w:r>
    </w:p>
    <w:p w:rsidR="00C4264B" w:rsidRPr="002606F8" w:rsidRDefault="00C4264B" w:rsidP="00C4264B">
      <w:pPr>
        <w:pStyle w:val="Number"/>
        <w:ind w:left="426" w:hanging="426"/>
        <w:rPr>
          <w:rFonts w:cs="Arial"/>
        </w:rPr>
      </w:pPr>
      <w:r>
        <w:rPr>
          <w:rFonts w:cs="Arial"/>
        </w:rPr>
        <w:t>If amendment to the regulations to remove some or most of the controlled drug provisions for CBD were supported, the Ministry would undertake further analysis on the potential amendments as part of the development of a Cabinet paper seeking agreement to this approach.</w:t>
      </w:r>
      <w:r w:rsidRPr="00D6109B">
        <w:rPr>
          <w:rFonts w:cs="Arial"/>
        </w:rPr>
        <w:t xml:space="preserve"> </w:t>
      </w:r>
    </w:p>
    <w:p w:rsidR="00C4264B" w:rsidRPr="00BB4644" w:rsidRDefault="00C4264B" w:rsidP="00C4264B">
      <w:pPr>
        <w:pStyle w:val="Number"/>
        <w:numPr>
          <w:ilvl w:val="0"/>
          <w:numId w:val="0"/>
        </w:numPr>
        <w:rPr>
          <w:b/>
          <w:sz w:val="24"/>
        </w:rPr>
      </w:pPr>
      <w:r>
        <w:rPr>
          <w:rFonts w:cs="Arial"/>
          <w:b/>
          <w:sz w:val="24"/>
        </w:rPr>
        <w:t>Pro</w:t>
      </w:r>
      <w:r w:rsidRPr="00BB4644">
        <w:rPr>
          <w:b/>
          <w:sz w:val="24"/>
        </w:rPr>
        <w:t xml:space="preserve">posal to allow low-THC hemp seeds in food </w:t>
      </w:r>
    </w:p>
    <w:p w:rsidR="00336883" w:rsidRPr="00130303" w:rsidRDefault="00C4264B" w:rsidP="001F5F33">
      <w:pPr>
        <w:pStyle w:val="Number"/>
        <w:ind w:hanging="502"/>
      </w:pPr>
      <w:r w:rsidRPr="00336883">
        <w:t xml:space="preserve">While the Committee has been considering the classification of CBD, Food Standards Australia New Zealand (FSANZ) has publicly consulted on whether low-THC hemp seed food should be allowed. Changes to the Misuse of Drugs legislation would be required to permit low-THC hemp seeds in food in New Zealand. </w:t>
      </w:r>
      <w:r w:rsidR="00336883" w:rsidRPr="00336883">
        <w:rPr>
          <w:rFonts w:eastAsiaTheme="minorHAnsi"/>
          <w:color w:val="000000"/>
        </w:rPr>
        <w:t xml:space="preserve">The Australia and New Zealand Ministerial Forum on Food has deferred consideration of the proposal until April </w:t>
      </w:r>
      <w:r w:rsidR="00336883">
        <w:rPr>
          <w:rFonts w:eastAsiaTheme="minorHAnsi"/>
          <w:color w:val="000000"/>
        </w:rPr>
        <w:t>this year</w:t>
      </w:r>
      <w:r w:rsidR="00336883" w:rsidRPr="00336883">
        <w:rPr>
          <w:rFonts w:eastAsiaTheme="minorHAnsi"/>
          <w:color w:val="000000"/>
        </w:rPr>
        <w:t xml:space="preserve">, pending a report on the effect of hemp seeds in food on road side drug testing in Australia. </w:t>
      </w:r>
    </w:p>
    <w:p w:rsidR="00C4264B" w:rsidRPr="00FE0E06" w:rsidRDefault="00336883" w:rsidP="00336883">
      <w:pPr>
        <w:pStyle w:val="Number"/>
        <w:ind w:left="426" w:hanging="426"/>
        <w:rPr>
          <w:rFonts w:cs="Arial"/>
        </w:rPr>
      </w:pPr>
      <w:r w:rsidRPr="001D2F47">
        <w:rPr>
          <w:rFonts w:cs="Arial"/>
        </w:rPr>
        <w:t xml:space="preserve">Due to </w:t>
      </w:r>
      <w:r>
        <w:rPr>
          <w:rFonts w:cs="Arial"/>
        </w:rPr>
        <w:t xml:space="preserve">the </w:t>
      </w:r>
      <w:r w:rsidRPr="001D2F47">
        <w:rPr>
          <w:rFonts w:cs="Arial"/>
        </w:rPr>
        <w:t xml:space="preserve">current </w:t>
      </w:r>
      <w:r>
        <w:rPr>
          <w:rFonts w:cs="Arial"/>
        </w:rPr>
        <w:t xml:space="preserve">controlled drug </w:t>
      </w:r>
      <w:r w:rsidRPr="001D2F47">
        <w:rPr>
          <w:rFonts w:cs="Arial"/>
        </w:rPr>
        <w:t xml:space="preserve">status </w:t>
      </w:r>
      <w:r>
        <w:rPr>
          <w:rFonts w:cs="Arial"/>
        </w:rPr>
        <w:t xml:space="preserve">of CBD and THC, </w:t>
      </w:r>
      <w:r w:rsidRPr="001D2F47">
        <w:rPr>
          <w:rFonts w:cs="Arial"/>
        </w:rPr>
        <w:t xml:space="preserve">to </w:t>
      </w:r>
      <w:r>
        <w:rPr>
          <w:rFonts w:cs="Arial"/>
        </w:rPr>
        <w:t>permit low-THC hemp seeds in food</w:t>
      </w:r>
      <w:r w:rsidRPr="001D2F47">
        <w:rPr>
          <w:rFonts w:cs="Arial"/>
        </w:rPr>
        <w:t xml:space="preserve">, changes to the Misuse of Drugs Act </w:t>
      </w:r>
      <w:r>
        <w:rPr>
          <w:rFonts w:cs="Arial"/>
        </w:rPr>
        <w:t>legislation</w:t>
      </w:r>
      <w:r w:rsidRPr="001D2F47">
        <w:rPr>
          <w:rFonts w:cs="Arial"/>
        </w:rPr>
        <w:t xml:space="preserve"> would be required. </w:t>
      </w:r>
      <w:r>
        <w:rPr>
          <w:rFonts w:cs="Arial"/>
        </w:rPr>
        <w:t>The Ministry of Primary Industries is developing a Cabinet paper seeking approval for the necessary primary legislative changes to be implemented via amendment to the Food Act (this would allow the proposal to be implemented via Misuse of Drugs Regulations).</w:t>
      </w:r>
    </w:p>
    <w:p w:rsidR="00C4264B" w:rsidRPr="001D2F47" w:rsidRDefault="00C4264B" w:rsidP="00C4264B">
      <w:pPr>
        <w:pStyle w:val="Number"/>
        <w:ind w:left="426" w:hanging="426"/>
        <w:rPr>
          <w:rFonts w:cs="Arial"/>
        </w:rPr>
      </w:pPr>
      <w:r w:rsidRPr="0017798D">
        <w:rPr>
          <w:rFonts w:cs="Arial"/>
        </w:rPr>
        <w:t xml:space="preserve">Should the proposal to allow low-THC hemp seeds in food proceed, the Ministry will look for opportunities to progress any legislative amendments for CBD therapeutic products and low-THC hemp seeds in food in tandem. </w:t>
      </w:r>
    </w:p>
    <w:p w:rsidR="00C4264B" w:rsidRPr="007462E0" w:rsidRDefault="00C4264B" w:rsidP="00C4264B">
      <w:pPr>
        <w:rPr>
          <w:rFonts w:cs="Arial"/>
        </w:rPr>
      </w:pPr>
    </w:p>
    <w:p w:rsidR="00C4264B" w:rsidRPr="007462E0" w:rsidRDefault="00C4264B" w:rsidP="00C4264B">
      <w:pPr>
        <w:rPr>
          <w:rFonts w:cs="Arial"/>
          <w:b/>
          <w:szCs w:val="22"/>
        </w:rPr>
      </w:pPr>
      <w:r w:rsidRPr="007462E0">
        <w:rPr>
          <w:rFonts w:cs="Arial"/>
          <w:b/>
          <w:szCs w:val="22"/>
        </w:rPr>
        <w:t>END.</w:t>
      </w:r>
    </w:p>
    <w:p w:rsidR="00C4264B" w:rsidRPr="007462E0" w:rsidRDefault="00C4264B" w:rsidP="00C4264B">
      <w:pPr>
        <w:rPr>
          <w:rFonts w:cs="Arial"/>
        </w:rPr>
      </w:pPr>
    </w:p>
    <w:p w:rsidR="00C4264B" w:rsidRPr="003A58C6" w:rsidRDefault="00C4264B" w:rsidP="00C4264B"/>
    <w:p w:rsidR="00E64E40" w:rsidRPr="00C4264B" w:rsidRDefault="00E64E40" w:rsidP="00C4264B"/>
    <w:sectPr w:rsidR="00E64E40" w:rsidRPr="00C4264B" w:rsidSect="00FB6B70">
      <w:headerReference w:type="default" r:id="rId8"/>
      <w:footerReference w:type="default" r:id="rId9"/>
      <w:footerReference w:type="first" r:id="rId10"/>
      <w:pgSz w:w="11907" w:h="16840" w:code="9"/>
      <w:pgMar w:top="1701" w:right="851" w:bottom="851" w:left="851" w:header="425" w:footer="425"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B1B" w:rsidRDefault="00F03B1B">
      <w:r>
        <w:separator/>
      </w:r>
    </w:p>
  </w:endnote>
  <w:endnote w:type="continuationSeparator" w:id="0">
    <w:p w:rsidR="00F03B1B" w:rsidRDefault="00F0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61" w:rsidRPr="000C45C7" w:rsidRDefault="00502861" w:rsidP="00324B4C">
    <w:pPr>
      <w:pStyle w:val="Footer"/>
      <w:rPr>
        <w:rFonts w:ascii="Arial" w:hAnsi="Arial" w:cs="Arial"/>
      </w:rPr>
    </w:pPr>
    <w:r w:rsidRPr="000C45C7">
      <w:rPr>
        <w:rFonts w:ascii="Arial" w:hAnsi="Arial" w:cs="Arial"/>
      </w:rPr>
      <w:t xml:space="preserve">Page </w:t>
    </w:r>
    <w:r w:rsidRPr="000C45C7">
      <w:rPr>
        <w:rFonts w:ascii="Arial" w:hAnsi="Arial" w:cs="Arial"/>
      </w:rPr>
      <w:fldChar w:fldCharType="begin"/>
    </w:r>
    <w:r w:rsidRPr="000C45C7">
      <w:rPr>
        <w:rFonts w:ascii="Arial" w:hAnsi="Arial" w:cs="Arial"/>
      </w:rPr>
      <w:instrText xml:space="preserve"> PAGE </w:instrText>
    </w:r>
    <w:r w:rsidRPr="000C45C7">
      <w:rPr>
        <w:rFonts w:ascii="Arial" w:hAnsi="Arial" w:cs="Arial"/>
      </w:rPr>
      <w:fldChar w:fldCharType="separate"/>
    </w:r>
    <w:r w:rsidR="00237D12">
      <w:rPr>
        <w:rFonts w:ascii="Arial" w:hAnsi="Arial" w:cs="Arial"/>
        <w:noProof/>
      </w:rPr>
      <w:t>1</w:t>
    </w:r>
    <w:r w:rsidRPr="000C45C7">
      <w:rPr>
        <w:rFonts w:ascii="Arial" w:hAnsi="Arial" w:cs="Arial"/>
      </w:rPr>
      <w:fldChar w:fldCharType="end"/>
    </w:r>
    <w:r w:rsidRPr="000C45C7">
      <w:rPr>
        <w:rFonts w:ascii="Arial" w:hAnsi="Arial" w:cs="Arial"/>
      </w:rPr>
      <w:t xml:space="preserve"> of </w:t>
    </w:r>
    <w:r w:rsidR="00BB62EA" w:rsidRPr="000C45C7">
      <w:rPr>
        <w:rFonts w:ascii="Arial" w:hAnsi="Arial" w:cs="Arial"/>
      </w:rPr>
      <w:fldChar w:fldCharType="begin"/>
    </w:r>
    <w:r w:rsidR="00BB62EA" w:rsidRPr="000C45C7">
      <w:rPr>
        <w:rFonts w:ascii="Arial" w:hAnsi="Arial" w:cs="Arial"/>
      </w:rPr>
      <w:instrText xml:space="preserve"> NUMPAGES </w:instrText>
    </w:r>
    <w:r w:rsidR="00BB62EA" w:rsidRPr="000C45C7">
      <w:rPr>
        <w:rFonts w:ascii="Arial" w:hAnsi="Arial" w:cs="Arial"/>
      </w:rPr>
      <w:fldChar w:fldCharType="separate"/>
    </w:r>
    <w:r w:rsidR="00237D12">
      <w:rPr>
        <w:rFonts w:ascii="Arial" w:hAnsi="Arial" w:cs="Arial"/>
        <w:noProof/>
      </w:rPr>
      <w:t>5</w:t>
    </w:r>
    <w:r w:rsidR="00BB62EA" w:rsidRPr="000C45C7">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CD" w:rsidRPr="00C828A6" w:rsidRDefault="00A26ECD" w:rsidP="00A26ECD">
    <w:pPr>
      <w:pStyle w:val="Heading2"/>
      <w:spacing w:before="0"/>
    </w:pPr>
    <w:r w:rsidRPr="00C828A6">
      <w:t>Minister’s feedback on quality of report</w:t>
    </w:r>
  </w:p>
  <w:tbl>
    <w:tblPr>
      <w:tblW w:w="4891"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2038"/>
      <w:gridCol w:w="2039"/>
      <w:gridCol w:w="2039"/>
      <w:gridCol w:w="2039"/>
      <w:gridCol w:w="2039"/>
    </w:tblGrid>
    <w:tr w:rsidR="00A26ECD" w:rsidRPr="00C828A6" w:rsidTr="0075736D">
      <w:trPr>
        <w:cantSplit/>
      </w:trPr>
      <w:tc>
        <w:tcPr>
          <w:tcW w:w="1000" w:type="pct"/>
          <w:tcBorders>
            <w:left w:val="single" w:sz="6" w:space="0" w:color="808080"/>
          </w:tcBorders>
        </w:tcPr>
        <w:p w:rsidR="00A26ECD" w:rsidRPr="00C828A6" w:rsidRDefault="00A26ECD" w:rsidP="0075736D">
          <w:pPr>
            <w:pStyle w:val="TableText"/>
            <w:spacing w:before="60" w:after="60"/>
            <w:jc w:val="center"/>
            <w:rPr>
              <w:sz w:val="20"/>
              <w:szCs w:val="20"/>
            </w:rPr>
          </w:pPr>
          <w:r w:rsidRPr="00C828A6">
            <w:rPr>
              <w:sz w:val="20"/>
              <w:szCs w:val="20"/>
            </w:rPr>
            <w:t>Very poor (1)</w:t>
          </w:r>
        </w:p>
      </w:tc>
      <w:tc>
        <w:tcPr>
          <w:tcW w:w="1000" w:type="pct"/>
          <w:tcBorders>
            <w:left w:val="single" w:sz="6" w:space="0" w:color="808080"/>
          </w:tcBorders>
        </w:tcPr>
        <w:p w:rsidR="00A26ECD" w:rsidRPr="00C828A6" w:rsidRDefault="00A26ECD" w:rsidP="0075736D">
          <w:pPr>
            <w:pStyle w:val="TableText"/>
            <w:spacing w:before="60" w:after="60"/>
            <w:jc w:val="center"/>
            <w:rPr>
              <w:sz w:val="20"/>
              <w:szCs w:val="20"/>
            </w:rPr>
          </w:pPr>
          <w:r w:rsidRPr="00C828A6">
            <w:rPr>
              <w:sz w:val="20"/>
              <w:szCs w:val="20"/>
            </w:rPr>
            <w:t>Poor (2)</w:t>
          </w:r>
        </w:p>
      </w:tc>
      <w:tc>
        <w:tcPr>
          <w:tcW w:w="1000" w:type="pct"/>
          <w:tcBorders>
            <w:left w:val="single" w:sz="6" w:space="0" w:color="808080"/>
          </w:tcBorders>
        </w:tcPr>
        <w:p w:rsidR="00A26ECD" w:rsidRPr="00C828A6" w:rsidRDefault="00A26ECD" w:rsidP="0075736D">
          <w:pPr>
            <w:pStyle w:val="TableText"/>
            <w:spacing w:before="60" w:after="60"/>
            <w:jc w:val="center"/>
            <w:rPr>
              <w:sz w:val="20"/>
              <w:szCs w:val="20"/>
            </w:rPr>
          </w:pPr>
          <w:r w:rsidRPr="00C828A6">
            <w:rPr>
              <w:sz w:val="20"/>
              <w:szCs w:val="20"/>
            </w:rPr>
            <w:t>Neutral (3)</w:t>
          </w:r>
        </w:p>
      </w:tc>
      <w:tc>
        <w:tcPr>
          <w:tcW w:w="1000" w:type="pct"/>
          <w:tcBorders>
            <w:right w:val="single" w:sz="6" w:space="0" w:color="808080"/>
          </w:tcBorders>
        </w:tcPr>
        <w:p w:rsidR="00A26ECD" w:rsidRPr="00C828A6" w:rsidRDefault="00A26ECD" w:rsidP="0075736D">
          <w:pPr>
            <w:pStyle w:val="TableText"/>
            <w:spacing w:before="60" w:after="60"/>
            <w:jc w:val="center"/>
            <w:rPr>
              <w:sz w:val="20"/>
              <w:szCs w:val="20"/>
            </w:rPr>
          </w:pPr>
          <w:r w:rsidRPr="00C828A6">
            <w:rPr>
              <w:sz w:val="20"/>
              <w:szCs w:val="20"/>
            </w:rPr>
            <w:t>Good (4)</w:t>
          </w:r>
        </w:p>
      </w:tc>
      <w:tc>
        <w:tcPr>
          <w:tcW w:w="1000" w:type="pct"/>
          <w:tcBorders>
            <w:right w:val="single" w:sz="6" w:space="0" w:color="808080"/>
          </w:tcBorders>
        </w:tcPr>
        <w:p w:rsidR="00A26ECD" w:rsidRPr="00C828A6" w:rsidRDefault="00A26ECD" w:rsidP="0075736D">
          <w:pPr>
            <w:pStyle w:val="TableText"/>
            <w:spacing w:before="60" w:after="60"/>
            <w:jc w:val="center"/>
            <w:rPr>
              <w:sz w:val="20"/>
              <w:szCs w:val="20"/>
            </w:rPr>
          </w:pPr>
          <w:r w:rsidRPr="00C828A6">
            <w:rPr>
              <w:sz w:val="20"/>
              <w:szCs w:val="20"/>
            </w:rPr>
            <w:t>Very good (5)</w:t>
          </w:r>
        </w:p>
      </w:tc>
    </w:tr>
  </w:tbl>
  <w:p w:rsidR="00A26ECD" w:rsidRDefault="00A26ECD" w:rsidP="00A26ECD"/>
  <w:p w:rsidR="00CC1739" w:rsidRDefault="00CC1739" w:rsidP="00236CAB">
    <w:pPr>
      <w:pStyle w:val="Footer"/>
    </w:pPr>
    <w:r>
      <w:t xml:space="preserve">Page </w:t>
    </w:r>
    <w:r>
      <w:fldChar w:fldCharType="begin"/>
    </w:r>
    <w:r>
      <w:instrText xml:space="preserve"> PAGE </w:instrText>
    </w:r>
    <w:r>
      <w:fldChar w:fldCharType="separate"/>
    </w:r>
    <w:r w:rsidR="00FB6B70">
      <w:rPr>
        <w:noProof/>
      </w:rPr>
      <w:t>4</w:t>
    </w:r>
    <w:r>
      <w:fldChar w:fldCharType="end"/>
    </w:r>
    <w:r>
      <w:t xml:space="preserve"> of </w:t>
    </w:r>
    <w:r w:rsidR="00237D12">
      <w:fldChar w:fldCharType="begin"/>
    </w:r>
    <w:r w:rsidR="00237D12">
      <w:instrText xml:space="preserve"> NUMPAGES </w:instrText>
    </w:r>
    <w:r w:rsidR="00237D12">
      <w:fldChar w:fldCharType="separate"/>
    </w:r>
    <w:r w:rsidR="005F0A49">
      <w:rPr>
        <w:noProof/>
      </w:rPr>
      <w:t>5</w:t>
    </w:r>
    <w:r w:rsidR="00237D1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B1B" w:rsidRDefault="00F03B1B">
      <w:r>
        <w:separator/>
      </w:r>
    </w:p>
  </w:footnote>
  <w:footnote w:type="continuationSeparator" w:id="0">
    <w:p w:rsidR="00F03B1B" w:rsidRDefault="00F03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98D" w:rsidRDefault="0017798D" w:rsidP="0017798D">
    <w:pPr>
      <w:pStyle w:val="Header"/>
      <w:tabs>
        <w:tab w:val="clear" w:pos="9923"/>
      </w:tabs>
    </w:pPr>
    <w:r>
      <w:rPr>
        <w:noProof/>
        <w:lang w:eastAsia="en-NZ"/>
      </w:rPr>
      <w:drawing>
        <wp:inline distT="0" distB="0" distL="0" distR="0" wp14:anchorId="6D5723EC" wp14:editId="430A01FB">
          <wp:extent cx="6533804" cy="492812"/>
          <wp:effectExtent l="0" t="0" r="635" b="254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6611" t="43268" r="6694" b="11781"/>
                  <a:stretch/>
                </pic:blipFill>
                <pic:spPr bwMode="auto">
                  <a:xfrm>
                    <a:off x="0" y="0"/>
                    <a:ext cx="6559826" cy="494775"/>
                  </a:xfrm>
                  <a:prstGeom prst="rect">
                    <a:avLst/>
                  </a:prstGeom>
                  <a:noFill/>
                  <a:ln>
                    <a:noFill/>
                  </a:ln>
                  <a:extLst>
                    <a:ext uri="{53640926-AAD7-44D8-BBD7-CCE9431645EC}">
                      <a14:shadowObscured xmlns:a14="http://schemas.microsoft.com/office/drawing/2010/main"/>
                    </a:ext>
                  </a:extLst>
                </pic:spPr>
              </pic:pic>
            </a:graphicData>
          </a:graphic>
        </wp:inline>
      </w:drawing>
    </w:r>
  </w:p>
  <w:p w:rsidR="0017798D" w:rsidRPr="00D35C49" w:rsidRDefault="0017798D" w:rsidP="0017798D">
    <w:pPr>
      <w:pStyle w:val="Header"/>
      <w:tabs>
        <w:tab w:val="clear" w:pos="9923"/>
      </w:tabs>
      <w:spacing w:after="180"/>
      <w:jc w:val="right"/>
    </w:pPr>
    <w:r>
      <w:rPr>
        <w:b/>
      </w:rPr>
      <w:t>Database</w:t>
    </w:r>
    <w:r w:rsidRPr="00FB6B70">
      <w:rPr>
        <w:b/>
      </w:rPr>
      <w:t xml:space="preserve"> number:</w:t>
    </w:r>
    <w:r>
      <w:t xml:space="preserve"> 20161803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F328D"/>
    <w:multiLevelType w:val="hybridMultilevel"/>
    <w:tmpl w:val="354AB5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6F4339B"/>
    <w:multiLevelType w:val="hybridMultilevel"/>
    <w:tmpl w:val="232E163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27D426CD"/>
    <w:multiLevelType w:val="hybridMultilevel"/>
    <w:tmpl w:val="9564B896"/>
    <w:lvl w:ilvl="0" w:tplc="129434E2">
      <w:start w:val="1"/>
      <w:numFmt w:val="bullet"/>
      <w:pStyle w:val="Dash"/>
      <w:lvlText w:val="–"/>
      <w:lvlJc w:val="left"/>
      <w:pPr>
        <w:ind w:left="720" w:hanging="360"/>
      </w:pPr>
      <w:rPr>
        <w:rFonts w:ascii="Georgia" w:hAnsi="Georgia"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8E17C62"/>
    <w:multiLevelType w:val="hybridMultilevel"/>
    <w:tmpl w:val="368C190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29BE18A4"/>
    <w:multiLevelType w:val="hybridMultilevel"/>
    <w:tmpl w:val="9A264624"/>
    <w:lvl w:ilvl="0" w:tplc="F0A0C254">
      <w:start w:val="1"/>
      <w:numFmt w:val="lowerRoman"/>
      <w:pStyle w:val="Roman"/>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E3D14ED"/>
    <w:multiLevelType w:val="hybridMultilevel"/>
    <w:tmpl w:val="D2E05C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27B4A50"/>
    <w:multiLevelType w:val="hybridMultilevel"/>
    <w:tmpl w:val="55F873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E469EB"/>
    <w:multiLevelType w:val="hybridMultilevel"/>
    <w:tmpl w:val="55D657F6"/>
    <w:lvl w:ilvl="0" w:tplc="14090001">
      <w:start w:val="1"/>
      <w:numFmt w:val="bullet"/>
      <w:lvlText w:val=""/>
      <w:lvlJc w:val="left"/>
      <w:pPr>
        <w:ind w:left="785" w:hanging="360"/>
      </w:pPr>
      <w:rPr>
        <w:rFonts w:ascii="Symbol" w:hAnsi="Symbol"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9">
    <w:nsid w:val="3A383931"/>
    <w:multiLevelType w:val="hybridMultilevel"/>
    <w:tmpl w:val="8406830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FD62390"/>
    <w:multiLevelType w:val="hybridMultilevel"/>
    <w:tmpl w:val="FB6E6B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0C0615F"/>
    <w:multiLevelType w:val="hybridMultilevel"/>
    <w:tmpl w:val="7B0AB4F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D8F5B3B"/>
    <w:multiLevelType w:val="hybridMultilevel"/>
    <w:tmpl w:val="EEC8EF5E"/>
    <w:lvl w:ilvl="0" w:tplc="150A6BD0">
      <w:start w:val="1"/>
      <w:numFmt w:val="decimal"/>
      <w:pStyle w:val="Number"/>
      <w:lvlText w:val="%1."/>
      <w:lvlJc w:val="left"/>
      <w:pPr>
        <w:ind w:left="502"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714C35AA"/>
    <w:multiLevelType w:val="hybridMultilevel"/>
    <w:tmpl w:val="E65600B0"/>
    <w:lvl w:ilvl="0" w:tplc="1AFCBB38">
      <w:start w:val="1"/>
      <w:numFmt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AED352B"/>
    <w:multiLevelType w:val="hybridMultilevel"/>
    <w:tmpl w:val="33826C80"/>
    <w:lvl w:ilvl="0" w:tplc="E04A2860">
      <w:start w:val="1"/>
      <w:numFmt w:val="lowerLetter"/>
      <w:pStyle w:val="Letter"/>
      <w:lvlText w:val="%1)"/>
      <w:lvlJc w:val="left"/>
      <w:pPr>
        <w:ind w:left="64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num w:numId="1">
    <w:abstractNumId w:val="7"/>
  </w:num>
  <w:num w:numId="2">
    <w:abstractNumId w:val="4"/>
  </w:num>
  <w:num w:numId="3">
    <w:abstractNumId w:val="14"/>
  </w:num>
  <w:num w:numId="4">
    <w:abstractNumId w:val="2"/>
  </w:num>
  <w:num w:numId="5">
    <w:abstractNumId w:val="14"/>
    <w:lvlOverride w:ilvl="0">
      <w:startOverride w:val="1"/>
    </w:lvlOverride>
  </w:num>
  <w:num w:numId="6">
    <w:abstractNumId w:val="13"/>
  </w:num>
  <w:num w:numId="7">
    <w:abstractNumId w:val="12"/>
  </w:num>
  <w:num w:numId="8">
    <w:abstractNumId w:val="7"/>
  </w:num>
  <w:num w:numId="9">
    <w:abstractNumId w:val="7"/>
  </w:num>
  <w:num w:numId="10">
    <w:abstractNumId w:val="9"/>
  </w:num>
  <w:num w:numId="11">
    <w:abstractNumId w:val="6"/>
  </w:num>
  <w:num w:numId="12">
    <w:abstractNumId w:val="12"/>
    <w:lvlOverride w:ilvl="0">
      <w:startOverride w:val="1"/>
    </w:lvlOverride>
  </w:num>
  <w:num w:numId="13">
    <w:abstractNumId w:val="11"/>
  </w:num>
  <w:num w:numId="14">
    <w:abstractNumId w:val="3"/>
  </w:num>
  <w:num w:numId="15">
    <w:abstractNumId w:val="1"/>
  </w:num>
  <w:num w:numId="16">
    <w:abstractNumId w:val="12"/>
  </w:num>
  <w:num w:numId="17">
    <w:abstractNumId w:val="12"/>
  </w:num>
  <w:num w:numId="18">
    <w:abstractNumId w:val="8"/>
  </w:num>
  <w:num w:numId="19">
    <w:abstractNumId w:val="10"/>
  </w:num>
  <w:num w:numId="20">
    <w:abstractNumId w:val="5"/>
  </w:num>
  <w:num w:numId="21">
    <w:abstractNumId w:val="0"/>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NZ"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5"/>
    <w:rsid w:val="00002049"/>
    <w:rsid w:val="00002337"/>
    <w:rsid w:val="000051B5"/>
    <w:rsid w:val="00006665"/>
    <w:rsid w:val="00007EF4"/>
    <w:rsid w:val="00010AB9"/>
    <w:rsid w:val="00012DB9"/>
    <w:rsid w:val="0001369A"/>
    <w:rsid w:val="00022F49"/>
    <w:rsid w:val="0003382E"/>
    <w:rsid w:val="0003710F"/>
    <w:rsid w:val="00043324"/>
    <w:rsid w:val="000469AC"/>
    <w:rsid w:val="0005206C"/>
    <w:rsid w:val="000615F2"/>
    <w:rsid w:val="000671D4"/>
    <w:rsid w:val="000675CB"/>
    <w:rsid w:val="00071883"/>
    <w:rsid w:val="00073E6C"/>
    <w:rsid w:val="00084C18"/>
    <w:rsid w:val="000928A1"/>
    <w:rsid w:val="0009513D"/>
    <w:rsid w:val="0009709A"/>
    <w:rsid w:val="000A009F"/>
    <w:rsid w:val="000A284A"/>
    <w:rsid w:val="000A2F23"/>
    <w:rsid w:val="000C37B8"/>
    <w:rsid w:val="000C45C7"/>
    <w:rsid w:val="000C6D9C"/>
    <w:rsid w:val="000D416B"/>
    <w:rsid w:val="000E31A6"/>
    <w:rsid w:val="000E74A1"/>
    <w:rsid w:val="000F5040"/>
    <w:rsid w:val="000F76E7"/>
    <w:rsid w:val="000F77AF"/>
    <w:rsid w:val="00100DA8"/>
    <w:rsid w:val="00103441"/>
    <w:rsid w:val="00110C29"/>
    <w:rsid w:val="001226D7"/>
    <w:rsid w:val="0012724C"/>
    <w:rsid w:val="00130303"/>
    <w:rsid w:val="00134BBB"/>
    <w:rsid w:val="00134C2B"/>
    <w:rsid w:val="00136274"/>
    <w:rsid w:val="00144E8C"/>
    <w:rsid w:val="00152A92"/>
    <w:rsid w:val="00154765"/>
    <w:rsid w:val="00156293"/>
    <w:rsid w:val="001575D6"/>
    <w:rsid w:val="0016232F"/>
    <w:rsid w:val="00170111"/>
    <w:rsid w:val="00170492"/>
    <w:rsid w:val="00175201"/>
    <w:rsid w:val="0017798D"/>
    <w:rsid w:val="00181ABF"/>
    <w:rsid w:val="001828E9"/>
    <w:rsid w:val="001834D3"/>
    <w:rsid w:val="00190D84"/>
    <w:rsid w:val="00191F33"/>
    <w:rsid w:val="0019338E"/>
    <w:rsid w:val="00194D60"/>
    <w:rsid w:val="0019698A"/>
    <w:rsid w:val="001A00F6"/>
    <w:rsid w:val="001A0281"/>
    <w:rsid w:val="001A7E08"/>
    <w:rsid w:val="001B1E15"/>
    <w:rsid w:val="001B21DA"/>
    <w:rsid w:val="001B2B84"/>
    <w:rsid w:val="001C27C0"/>
    <w:rsid w:val="001D174C"/>
    <w:rsid w:val="001D2F47"/>
    <w:rsid w:val="001D52A9"/>
    <w:rsid w:val="001D6742"/>
    <w:rsid w:val="001E0CBE"/>
    <w:rsid w:val="001E17F4"/>
    <w:rsid w:val="001E2B26"/>
    <w:rsid w:val="001E2DCC"/>
    <w:rsid w:val="001E6A9A"/>
    <w:rsid w:val="001F0700"/>
    <w:rsid w:val="001F47A0"/>
    <w:rsid w:val="001F4F03"/>
    <w:rsid w:val="001F5F33"/>
    <w:rsid w:val="00201D89"/>
    <w:rsid w:val="002055B6"/>
    <w:rsid w:val="002124E6"/>
    <w:rsid w:val="00212A03"/>
    <w:rsid w:val="00212F9E"/>
    <w:rsid w:val="00214ABA"/>
    <w:rsid w:val="002318B6"/>
    <w:rsid w:val="00231C91"/>
    <w:rsid w:val="002345F1"/>
    <w:rsid w:val="00236192"/>
    <w:rsid w:val="00236CAB"/>
    <w:rsid w:val="00237D12"/>
    <w:rsid w:val="0024036F"/>
    <w:rsid w:val="00243C6E"/>
    <w:rsid w:val="00245E7A"/>
    <w:rsid w:val="00246A53"/>
    <w:rsid w:val="00254448"/>
    <w:rsid w:val="00256ECD"/>
    <w:rsid w:val="00257E2E"/>
    <w:rsid w:val="00257E5B"/>
    <w:rsid w:val="002676D6"/>
    <w:rsid w:val="0026777F"/>
    <w:rsid w:val="0027447E"/>
    <w:rsid w:val="00280A23"/>
    <w:rsid w:val="00283DA9"/>
    <w:rsid w:val="0029295D"/>
    <w:rsid w:val="0029628F"/>
    <w:rsid w:val="002A1D05"/>
    <w:rsid w:val="002A34F7"/>
    <w:rsid w:val="002A77AA"/>
    <w:rsid w:val="002B2763"/>
    <w:rsid w:val="002B2E12"/>
    <w:rsid w:val="002B49E8"/>
    <w:rsid w:val="002B74E8"/>
    <w:rsid w:val="002C2E04"/>
    <w:rsid w:val="002C3213"/>
    <w:rsid w:val="002C388E"/>
    <w:rsid w:val="002C4348"/>
    <w:rsid w:val="002C7CF5"/>
    <w:rsid w:val="002D1FE4"/>
    <w:rsid w:val="002D56BA"/>
    <w:rsid w:val="002E13A0"/>
    <w:rsid w:val="002E2324"/>
    <w:rsid w:val="002E24BF"/>
    <w:rsid w:val="002E4119"/>
    <w:rsid w:val="002E5DB9"/>
    <w:rsid w:val="003046DF"/>
    <w:rsid w:val="00304CDA"/>
    <w:rsid w:val="003103A6"/>
    <w:rsid w:val="003153D0"/>
    <w:rsid w:val="0032010B"/>
    <w:rsid w:val="003222B2"/>
    <w:rsid w:val="00324B4C"/>
    <w:rsid w:val="00325F29"/>
    <w:rsid w:val="00326078"/>
    <w:rsid w:val="00326AFE"/>
    <w:rsid w:val="00326F50"/>
    <w:rsid w:val="00336883"/>
    <w:rsid w:val="00336BEB"/>
    <w:rsid w:val="003416F2"/>
    <w:rsid w:val="0034743A"/>
    <w:rsid w:val="00351003"/>
    <w:rsid w:val="00353F55"/>
    <w:rsid w:val="00356861"/>
    <w:rsid w:val="0036025F"/>
    <w:rsid w:val="003618C2"/>
    <w:rsid w:val="0036255B"/>
    <w:rsid w:val="0036268E"/>
    <w:rsid w:val="00376214"/>
    <w:rsid w:val="003814B1"/>
    <w:rsid w:val="00392D1D"/>
    <w:rsid w:val="0039596D"/>
    <w:rsid w:val="00396820"/>
    <w:rsid w:val="003A169D"/>
    <w:rsid w:val="003A58C6"/>
    <w:rsid w:val="003C0969"/>
    <w:rsid w:val="003C0C0C"/>
    <w:rsid w:val="003C1E37"/>
    <w:rsid w:val="003C531B"/>
    <w:rsid w:val="003D009B"/>
    <w:rsid w:val="003D03AC"/>
    <w:rsid w:val="003D11AC"/>
    <w:rsid w:val="003E02F8"/>
    <w:rsid w:val="003E0E31"/>
    <w:rsid w:val="003E1D0C"/>
    <w:rsid w:val="003E206A"/>
    <w:rsid w:val="003E25F7"/>
    <w:rsid w:val="003E2A56"/>
    <w:rsid w:val="003E3955"/>
    <w:rsid w:val="003E5AB0"/>
    <w:rsid w:val="003E76E8"/>
    <w:rsid w:val="003F0AD4"/>
    <w:rsid w:val="003F585B"/>
    <w:rsid w:val="003F6444"/>
    <w:rsid w:val="003F68E2"/>
    <w:rsid w:val="00404780"/>
    <w:rsid w:val="00405108"/>
    <w:rsid w:val="0041163D"/>
    <w:rsid w:val="0041254F"/>
    <w:rsid w:val="004152F8"/>
    <w:rsid w:val="00416C24"/>
    <w:rsid w:val="00421973"/>
    <w:rsid w:val="00425168"/>
    <w:rsid w:val="00430402"/>
    <w:rsid w:val="0043156E"/>
    <w:rsid w:val="00433AD2"/>
    <w:rsid w:val="00436844"/>
    <w:rsid w:val="00436A4D"/>
    <w:rsid w:val="00436BF0"/>
    <w:rsid w:val="00441FBC"/>
    <w:rsid w:val="00443581"/>
    <w:rsid w:val="00466ACA"/>
    <w:rsid w:val="004705E8"/>
    <w:rsid w:val="00471F6E"/>
    <w:rsid w:val="004760F5"/>
    <w:rsid w:val="004769A4"/>
    <w:rsid w:val="00480C49"/>
    <w:rsid w:val="00482FA0"/>
    <w:rsid w:val="0048649C"/>
    <w:rsid w:val="00494733"/>
    <w:rsid w:val="004A21C2"/>
    <w:rsid w:val="004A78BF"/>
    <w:rsid w:val="004B34FA"/>
    <w:rsid w:val="004B5673"/>
    <w:rsid w:val="004C1B89"/>
    <w:rsid w:val="004C53DB"/>
    <w:rsid w:val="004C591A"/>
    <w:rsid w:val="004D05F3"/>
    <w:rsid w:val="004D5294"/>
    <w:rsid w:val="004D5848"/>
    <w:rsid w:val="004D5C3C"/>
    <w:rsid w:val="004D79D9"/>
    <w:rsid w:val="004E46A2"/>
    <w:rsid w:val="004F278F"/>
    <w:rsid w:val="004F4779"/>
    <w:rsid w:val="004F4883"/>
    <w:rsid w:val="004F5F3A"/>
    <w:rsid w:val="00502861"/>
    <w:rsid w:val="005069D0"/>
    <w:rsid w:val="00510544"/>
    <w:rsid w:val="005136D4"/>
    <w:rsid w:val="00526BF4"/>
    <w:rsid w:val="005337E7"/>
    <w:rsid w:val="00533C44"/>
    <w:rsid w:val="00534A87"/>
    <w:rsid w:val="005373EC"/>
    <w:rsid w:val="00550BF6"/>
    <w:rsid w:val="00551512"/>
    <w:rsid w:val="00554245"/>
    <w:rsid w:val="00560E23"/>
    <w:rsid w:val="005633F3"/>
    <w:rsid w:val="005635E4"/>
    <w:rsid w:val="0056515C"/>
    <w:rsid w:val="00567E7B"/>
    <w:rsid w:val="00570658"/>
    <w:rsid w:val="0057482E"/>
    <w:rsid w:val="00575136"/>
    <w:rsid w:val="00577B82"/>
    <w:rsid w:val="00580A2E"/>
    <w:rsid w:val="005811B3"/>
    <w:rsid w:val="00581AB1"/>
    <w:rsid w:val="00581B6F"/>
    <w:rsid w:val="00583225"/>
    <w:rsid w:val="0058584E"/>
    <w:rsid w:val="0058687A"/>
    <w:rsid w:val="00586D59"/>
    <w:rsid w:val="005968DD"/>
    <w:rsid w:val="005A176E"/>
    <w:rsid w:val="005A44BA"/>
    <w:rsid w:val="005B2C2E"/>
    <w:rsid w:val="005B3350"/>
    <w:rsid w:val="005B4AB1"/>
    <w:rsid w:val="005C09F1"/>
    <w:rsid w:val="005C0D30"/>
    <w:rsid w:val="005C2CF3"/>
    <w:rsid w:val="005D0B07"/>
    <w:rsid w:val="005D2B32"/>
    <w:rsid w:val="005D32F4"/>
    <w:rsid w:val="005D36AA"/>
    <w:rsid w:val="005D4953"/>
    <w:rsid w:val="005E1A2E"/>
    <w:rsid w:val="005E5964"/>
    <w:rsid w:val="005E5B9E"/>
    <w:rsid w:val="005F0A49"/>
    <w:rsid w:val="005F0F5B"/>
    <w:rsid w:val="005F1099"/>
    <w:rsid w:val="005F19C4"/>
    <w:rsid w:val="005F36BA"/>
    <w:rsid w:val="005F4E74"/>
    <w:rsid w:val="005F6588"/>
    <w:rsid w:val="005F7ABE"/>
    <w:rsid w:val="00601D9C"/>
    <w:rsid w:val="006102DC"/>
    <w:rsid w:val="00610EB6"/>
    <w:rsid w:val="0061210F"/>
    <w:rsid w:val="00616886"/>
    <w:rsid w:val="00620481"/>
    <w:rsid w:val="006226B0"/>
    <w:rsid w:val="00622B12"/>
    <w:rsid w:val="00625A66"/>
    <w:rsid w:val="00627CDC"/>
    <w:rsid w:val="00631140"/>
    <w:rsid w:val="0063125F"/>
    <w:rsid w:val="006343A9"/>
    <w:rsid w:val="00634A6C"/>
    <w:rsid w:val="006442A5"/>
    <w:rsid w:val="00645201"/>
    <w:rsid w:val="00645756"/>
    <w:rsid w:val="006503E9"/>
    <w:rsid w:val="00650A7D"/>
    <w:rsid w:val="006514B1"/>
    <w:rsid w:val="00651830"/>
    <w:rsid w:val="00653FA6"/>
    <w:rsid w:val="00666014"/>
    <w:rsid w:val="00666874"/>
    <w:rsid w:val="00667F15"/>
    <w:rsid w:val="0067171B"/>
    <w:rsid w:val="00681615"/>
    <w:rsid w:val="0068302E"/>
    <w:rsid w:val="0068431C"/>
    <w:rsid w:val="00691636"/>
    <w:rsid w:val="006919D7"/>
    <w:rsid w:val="006935EC"/>
    <w:rsid w:val="006A694A"/>
    <w:rsid w:val="006A7C46"/>
    <w:rsid w:val="006B03F1"/>
    <w:rsid w:val="006B3816"/>
    <w:rsid w:val="006C3AB4"/>
    <w:rsid w:val="006C5BCD"/>
    <w:rsid w:val="006D1070"/>
    <w:rsid w:val="006D1BC8"/>
    <w:rsid w:val="006E0737"/>
    <w:rsid w:val="006E372E"/>
    <w:rsid w:val="006F41BD"/>
    <w:rsid w:val="006F68D0"/>
    <w:rsid w:val="0071768E"/>
    <w:rsid w:val="0071781C"/>
    <w:rsid w:val="00723ADF"/>
    <w:rsid w:val="0072546C"/>
    <w:rsid w:val="007434C3"/>
    <w:rsid w:val="00745870"/>
    <w:rsid w:val="007462E0"/>
    <w:rsid w:val="00747BC2"/>
    <w:rsid w:val="00761089"/>
    <w:rsid w:val="00761123"/>
    <w:rsid w:val="0077327B"/>
    <w:rsid w:val="007749A4"/>
    <w:rsid w:val="00781FD1"/>
    <w:rsid w:val="00790A6D"/>
    <w:rsid w:val="00791DFC"/>
    <w:rsid w:val="00794A83"/>
    <w:rsid w:val="00794FF7"/>
    <w:rsid w:val="00795B48"/>
    <w:rsid w:val="00795F7D"/>
    <w:rsid w:val="007A0120"/>
    <w:rsid w:val="007A200F"/>
    <w:rsid w:val="007B3B38"/>
    <w:rsid w:val="007B414E"/>
    <w:rsid w:val="007B79CE"/>
    <w:rsid w:val="007C5156"/>
    <w:rsid w:val="007D5F5F"/>
    <w:rsid w:val="00802389"/>
    <w:rsid w:val="0080314D"/>
    <w:rsid w:val="00804DD4"/>
    <w:rsid w:val="00806DB4"/>
    <w:rsid w:val="00812043"/>
    <w:rsid w:val="00813BC8"/>
    <w:rsid w:val="0082058F"/>
    <w:rsid w:val="00821FDD"/>
    <w:rsid w:val="00824003"/>
    <w:rsid w:val="008329AF"/>
    <w:rsid w:val="008362B8"/>
    <w:rsid w:val="008367FE"/>
    <w:rsid w:val="008530D4"/>
    <w:rsid w:val="00862683"/>
    <w:rsid w:val="00863FE4"/>
    <w:rsid w:val="00870E6F"/>
    <w:rsid w:val="0087125B"/>
    <w:rsid w:val="00873D65"/>
    <w:rsid w:val="008757C9"/>
    <w:rsid w:val="00875ABC"/>
    <w:rsid w:val="00877B8F"/>
    <w:rsid w:val="008837F6"/>
    <w:rsid w:val="008847A2"/>
    <w:rsid w:val="00884B15"/>
    <w:rsid w:val="00887632"/>
    <w:rsid w:val="00896A29"/>
    <w:rsid w:val="008A0619"/>
    <w:rsid w:val="008A3320"/>
    <w:rsid w:val="008B0F50"/>
    <w:rsid w:val="008B2B8B"/>
    <w:rsid w:val="008B33E7"/>
    <w:rsid w:val="008C00A2"/>
    <w:rsid w:val="008C3902"/>
    <w:rsid w:val="008D381D"/>
    <w:rsid w:val="008E43A2"/>
    <w:rsid w:val="008E4BAE"/>
    <w:rsid w:val="008F0EBF"/>
    <w:rsid w:val="008F1BBC"/>
    <w:rsid w:val="008F4FAF"/>
    <w:rsid w:val="008F5297"/>
    <w:rsid w:val="008F58CD"/>
    <w:rsid w:val="008F5D87"/>
    <w:rsid w:val="008F63CC"/>
    <w:rsid w:val="0090647B"/>
    <w:rsid w:val="009068E2"/>
    <w:rsid w:val="00915AB9"/>
    <w:rsid w:val="00916A47"/>
    <w:rsid w:val="00916D08"/>
    <w:rsid w:val="009178F7"/>
    <w:rsid w:val="0092015B"/>
    <w:rsid w:val="00922DDC"/>
    <w:rsid w:val="00922ED9"/>
    <w:rsid w:val="0092561B"/>
    <w:rsid w:val="00931A22"/>
    <w:rsid w:val="00932FE0"/>
    <w:rsid w:val="0093360B"/>
    <w:rsid w:val="00934A8A"/>
    <w:rsid w:val="009447B2"/>
    <w:rsid w:val="00946806"/>
    <w:rsid w:val="00951CF9"/>
    <w:rsid w:val="00951E27"/>
    <w:rsid w:val="00953556"/>
    <w:rsid w:val="00955210"/>
    <w:rsid w:val="00955767"/>
    <w:rsid w:val="0096353D"/>
    <w:rsid w:val="009645B6"/>
    <w:rsid w:val="009647B0"/>
    <w:rsid w:val="00967B4E"/>
    <w:rsid w:val="009705FC"/>
    <w:rsid w:val="0097142E"/>
    <w:rsid w:val="0097163F"/>
    <w:rsid w:val="00971E4A"/>
    <w:rsid w:val="00973AC4"/>
    <w:rsid w:val="00977C4E"/>
    <w:rsid w:val="009842FE"/>
    <w:rsid w:val="009934FB"/>
    <w:rsid w:val="009A0814"/>
    <w:rsid w:val="009A38BD"/>
    <w:rsid w:val="009A3C70"/>
    <w:rsid w:val="009B3A23"/>
    <w:rsid w:val="009B3ED6"/>
    <w:rsid w:val="009B4781"/>
    <w:rsid w:val="009E1514"/>
    <w:rsid w:val="009E6FDC"/>
    <w:rsid w:val="009F2E59"/>
    <w:rsid w:val="00A00BD0"/>
    <w:rsid w:val="00A021BA"/>
    <w:rsid w:val="00A02A0B"/>
    <w:rsid w:val="00A02DF8"/>
    <w:rsid w:val="00A16C45"/>
    <w:rsid w:val="00A23C24"/>
    <w:rsid w:val="00A24166"/>
    <w:rsid w:val="00A26ECD"/>
    <w:rsid w:val="00A31569"/>
    <w:rsid w:val="00A34CFF"/>
    <w:rsid w:val="00A41109"/>
    <w:rsid w:val="00A42531"/>
    <w:rsid w:val="00A42800"/>
    <w:rsid w:val="00A42EC6"/>
    <w:rsid w:val="00A47BF8"/>
    <w:rsid w:val="00A50EA7"/>
    <w:rsid w:val="00A54328"/>
    <w:rsid w:val="00A54D8A"/>
    <w:rsid w:val="00A551EE"/>
    <w:rsid w:val="00A555BA"/>
    <w:rsid w:val="00A5661D"/>
    <w:rsid w:val="00A57BC5"/>
    <w:rsid w:val="00A60021"/>
    <w:rsid w:val="00A63E3A"/>
    <w:rsid w:val="00A64804"/>
    <w:rsid w:val="00A6734A"/>
    <w:rsid w:val="00A6770C"/>
    <w:rsid w:val="00A72315"/>
    <w:rsid w:val="00A76754"/>
    <w:rsid w:val="00A8192B"/>
    <w:rsid w:val="00A9045F"/>
    <w:rsid w:val="00A91395"/>
    <w:rsid w:val="00A92956"/>
    <w:rsid w:val="00A97482"/>
    <w:rsid w:val="00AA0A39"/>
    <w:rsid w:val="00AA14D3"/>
    <w:rsid w:val="00AA6D53"/>
    <w:rsid w:val="00AB0C76"/>
    <w:rsid w:val="00AC13C9"/>
    <w:rsid w:val="00AC2FC2"/>
    <w:rsid w:val="00AC703F"/>
    <w:rsid w:val="00AD02DC"/>
    <w:rsid w:val="00AD2D89"/>
    <w:rsid w:val="00AD3F76"/>
    <w:rsid w:val="00AD59BA"/>
    <w:rsid w:val="00AE47D8"/>
    <w:rsid w:val="00AE48A1"/>
    <w:rsid w:val="00AE60F8"/>
    <w:rsid w:val="00AE7E11"/>
    <w:rsid w:val="00AF49D1"/>
    <w:rsid w:val="00AF6857"/>
    <w:rsid w:val="00AF7A3A"/>
    <w:rsid w:val="00B037A3"/>
    <w:rsid w:val="00B11156"/>
    <w:rsid w:val="00B14C13"/>
    <w:rsid w:val="00B24A44"/>
    <w:rsid w:val="00B24FB2"/>
    <w:rsid w:val="00B318E6"/>
    <w:rsid w:val="00B433E3"/>
    <w:rsid w:val="00B4390E"/>
    <w:rsid w:val="00B50982"/>
    <w:rsid w:val="00B530D2"/>
    <w:rsid w:val="00B5413F"/>
    <w:rsid w:val="00B55653"/>
    <w:rsid w:val="00B616A7"/>
    <w:rsid w:val="00B6759C"/>
    <w:rsid w:val="00B715B1"/>
    <w:rsid w:val="00B75982"/>
    <w:rsid w:val="00B768CC"/>
    <w:rsid w:val="00B80ACB"/>
    <w:rsid w:val="00B85735"/>
    <w:rsid w:val="00B85E17"/>
    <w:rsid w:val="00B901A8"/>
    <w:rsid w:val="00B940A8"/>
    <w:rsid w:val="00BA1A6D"/>
    <w:rsid w:val="00BA28A7"/>
    <w:rsid w:val="00BA483F"/>
    <w:rsid w:val="00BA6B98"/>
    <w:rsid w:val="00BB0404"/>
    <w:rsid w:val="00BB0A92"/>
    <w:rsid w:val="00BB1E3F"/>
    <w:rsid w:val="00BB62EA"/>
    <w:rsid w:val="00BC36EC"/>
    <w:rsid w:val="00BE587F"/>
    <w:rsid w:val="00BE6B5C"/>
    <w:rsid w:val="00BF4AF3"/>
    <w:rsid w:val="00C01CC6"/>
    <w:rsid w:val="00C059E9"/>
    <w:rsid w:val="00C1487C"/>
    <w:rsid w:val="00C17199"/>
    <w:rsid w:val="00C20B59"/>
    <w:rsid w:val="00C26C2A"/>
    <w:rsid w:val="00C37361"/>
    <w:rsid w:val="00C4264B"/>
    <w:rsid w:val="00C42BF8"/>
    <w:rsid w:val="00C53628"/>
    <w:rsid w:val="00C609B5"/>
    <w:rsid w:val="00C61665"/>
    <w:rsid w:val="00C643E0"/>
    <w:rsid w:val="00C7012E"/>
    <w:rsid w:val="00C755A4"/>
    <w:rsid w:val="00C75BEF"/>
    <w:rsid w:val="00C76826"/>
    <w:rsid w:val="00C8137F"/>
    <w:rsid w:val="00C828A6"/>
    <w:rsid w:val="00C86776"/>
    <w:rsid w:val="00C86C71"/>
    <w:rsid w:val="00C90EEE"/>
    <w:rsid w:val="00C91391"/>
    <w:rsid w:val="00C9231D"/>
    <w:rsid w:val="00C949E6"/>
    <w:rsid w:val="00C9518B"/>
    <w:rsid w:val="00C9570A"/>
    <w:rsid w:val="00CA12E7"/>
    <w:rsid w:val="00CA3AB2"/>
    <w:rsid w:val="00CA42AB"/>
    <w:rsid w:val="00CA5F5D"/>
    <w:rsid w:val="00CB0714"/>
    <w:rsid w:val="00CB2656"/>
    <w:rsid w:val="00CB4311"/>
    <w:rsid w:val="00CB7AC2"/>
    <w:rsid w:val="00CC1739"/>
    <w:rsid w:val="00CC4E71"/>
    <w:rsid w:val="00CC5D65"/>
    <w:rsid w:val="00CC7779"/>
    <w:rsid w:val="00CD0A80"/>
    <w:rsid w:val="00CD227E"/>
    <w:rsid w:val="00CD2AFE"/>
    <w:rsid w:val="00CD5019"/>
    <w:rsid w:val="00CE1ED2"/>
    <w:rsid w:val="00CE716A"/>
    <w:rsid w:val="00CE7AB7"/>
    <w:rsid w:val="00CF02AF"/>
    <w:rsid w:val="00D0104E"/>
    <w:rsid w:val="00D0769F"/>
    <w:rsid w:val="00D0792D"/>
    <w:rsid w:val="00D13B77"/>
    <w:rsid w:val="00D15710"/>
    <w:rsid w:val="00D16DCE"/>
    <w:rsid w:val="00D2055E"/>
    <w:rsid w:val="00D2492C"/>
    <w:rsid w:val="00D25CEA"/>
    <w:rsid w:val="00D27471"/>
    <w:rsid w:val="00D36767"/>
    <w:rsid w:val="00D369B4"/>
    <w:rsid w:val="00D4139C"/>
    <w:rsid w:val="00D44311"/>
    <w:rsid w:val="00D51225"/>
    <w:rsid w:val="00D54A27"/>
    <w:rsid w:val="00D5574C"/>
    <w:rsid w:val="00D5598B"/>
    <w:rsid w:val="00D6109B"/>
    <w:rsid w:val="00D62358"/>
    <w:rsid w:val="00D66607"/>
    <w:rsid w:val="00D77345"/>
    <w:rsid w:val="00D92447"/>
    <w:rsid w:val="00D94B00"/>
    <w:rsid w:val="00D94C9D"/>
    <w:rsid w:val="00D972EB"/>
    <w:rsid w:val="00D973F5"/>
    <w:rsid w:val="00DA035C"/>
    <w:rsid w:val="00DA17A5"/>
    <w:rsid w:val="00DB02DB"/>
    <w:rsid w:val="00DB432B"/>
    <w:rsid w:val="00DB686D"/>
    <w:rsid w:val="00DB690E"/>
    <w:rsid w:val="00DB6FB1"/>
    <w:rsid w:val="00DB795F"/>
    <w:rsid w:val="00DC3ADF"/>
    <w:rsid w:val="00DC3CD1"/>
    <w:rsid w:val="00DC3DF7"/>
    <w:rsid w:val="00DC45FE"/>
    <w:rsid w:val="00DC5E6E"/>
    <w:rsid w:val="00DC743D"/>
    <w:rsid w:val="00DD075C"/>
    <w:rsid w:val="00E02649"/>
    <w:rsid w:val="00E040F5"/>
    <w:rsid w:val="00E1361F"/>
    <w:rsid w:val="00E140F9"/>
    <w:rsid w:val="00E142D7"/>
    <w:rsid w:val="00E14955"/>
    <w:rsid w:val="00E17012"/>
    <w:rsid w:val="00E17126"/>
    <w:rsid w:val="00E26FD7"/>
    <w:rsid w:val="00E33ACC"/>
    <w:rsid w:val="00E34420"/>
    <w:rsid w:val="00E34699"/>
    <w:rsid w:val="00E426F6"/>
    <w:rsid w:val="00E42A5D"/>
    <w:rsid w:val="00E44267"/>
    <w:rsid w:val="00E44A64"/>
    <w:rsid w:val="00E50D90"/>
    <w:rsid w:val="00E51044"/>
    <w:rsid w:val="00E607D0"/>
    <w:rsid w:val="00E616CF"/>
    <w:rsid w:val="00E6326F"/>
    <w:rsid w:val="00E64E40"/>
    <w:rsid w:val="00E6522F"/>
    <w:rsid w:val="00E706DF"/>
    <w:rsid w:val="00E72109"/>
    <w:rsid w:val="00E80A14"/>
    <w:rsid w:val="00E83EB3"/>
    <w:rsid w:val="00E87725"/>
    <w:rsid w:val="00E934A3"/>
    <w:rsid w:val="00E94374"/>
    <w:rsid w:val="00E94BC7"/>
    <w:rsid w:val="00E97E0B"/>
    <w:rsid w:val="00EA69C2"/>
    <w:rsid w:val="00EB0B44"/>
    <w:rsid w:val="00EC0A56"/>
    <w:rsid w:val="00EC3EC9"/>
    <w:rsid w:val="00EC5359"/>
    <w:rsid w:val="00EC7E9A"/>
    <w:rsid w:val="00ED5A87"/>
    <w:rsid w:val="00ED693D"/>
    <w:rsid w:val="00ED7519"/>
    <w:rsid w:val="00EF5C85"/>
    <w:rsid w:val="00EF7471"/>
    <w:rsid w:val="00EF7726"/>
    <w:rsid w:val="00F0313C"/>
    <w:rsid w:val="00F03B1B"/>
    <w:rsid w:val="00F03EF9"/>
    <w:rsid w:val="00F05BB3"/>
    <w:rsid w:val="00F14AC8"/>
    <w:rsid w:val="00F33421"/>
    <w:rsid w:val="00F34685"/>
    <w:rsid w:val="00F407E3"/>
    <w:rsid w:val="00F40A6E"/>
    <w:rsid w:val="00F41229"/>
    <w:rsid w:val="00F41A83"/>
    <w:rsid w:val="00F430C6"/>
    <w:rsid w:val="00F43EB2"/>
    <w:rsid w:val="00F5030E"/>
    <w:rsid w:val="00F513AF"/>
    <w:rsid w:val="00F51D8A"/>
    <w:rsid w:val="00F51E08"/>
    <w:rsid w:val="00F56400"/>
    <w:rsid w:val="00F64B1D"/>
    <w:rsid w:val="00F65971"/>
    <w:rsid w:val="00F67AFA"/>
    <w:rsid w:val="00F8537A"/>
    <w:rsid w:val="00F85AD4"/>
    <w:rsid w:val="00F91541"/>
    <w:rsid w:val="00F91FC0"/>
    <w:rsid w:val="00FA514B"/>
    <w:rsid w:val="00FA589F"/>
    <w:rsid w:val="00FB0414"/>
    <w:rsid w:val="00FB2A8F"/>
    <w:rsid w:val="00FB3FC8"/>
    <w:rsid w:val="00FB6B70"/>
    <w:rsid w:val="00FC3890"/>
    <w:rsid w:val="00FC49D1"/>
    <w:rsid w:val="00FC6B7B"/>
    <w:rsid w:val="00FC7263"/>
    <w:rsid w:val="00FD081E"/>
    <w:rsid w:val="00FD1D45"/>
    <w:rsid w:val="00FD3320"/>
    <w:rsid w:val="00FD6ABC"/>
    <w:rsid w:val="00FE0E06"/>
    <w:rsid w:val="00FE110D"/>
    <w:rsid w:val="00FE78AC"/>
    <w:rsid w:val="00FE7C49"/>
    <w:rsid w:val="00FF21D9"/>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EDA0E899-7460-4AB2-8C1D-89F5B818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65"/>
    <w:rPr>
      <w:rFonts w:ascii="Arial" w:hAnsi="Arial" w:cs="Times"/>
      <w:sz w:val="22"/>
      <w:szCs w:val="24"/>
      <w:lang w:eastAsia="en-GB"/>
    </w:rPr>
  </w:style>
  <w:style w:type="paragraph" w:styleId="Heading1">
    <w:name w:val="heading 1"/>
    <w:basedOn w:val="Normal"/>
    <w:next w:val="Normal"/>
    <w:qFormat/>
    <w:rsid w:val="001A00F6"/>
    <w:pPr>
      <w:keepNext/>
      <w:spacing w:before="300" w:after="120"/>
      <w:outlineLvl w:val="0"/>
    </w:pPr>
    <w:rPr>
      <w:rFonts w:ascii="Georgia" w:hAnsi="Georgia" w:cs="Arial"/>
      <w:b/>
      <w:bCs/>
      <w:sz w:val="28"/>
      <w:szCs w:val="28"/>
    </w:rPr>
  </w:style>
  <w:style w:type="paragraph" w:styleId="Heading2">
    <w:name w:val="heading 2"/>
    <w:basedOn w:val="Normal"/>
    <w:next w:val="Normal"/>
    <w:link w:val="Heading2Char"/>
    <w:qFormat/>
    <w:rsid w:val="001A00F6"/>
    <w:pPr>
      <w:keepNext/>
      <w:spacing w:before="240" w:after="120"/>
      <w:outlineLvl w:val="1"/>
    </w:pPr>
    <w:rPr>
      <w:rFonts w:ascii="Georgia" w:hAnsi="Georgia" w:cs="Arial"/>
      <w:b/>
      <w:bCs/>
      <w:iCs/>
      <w:sz w:val="24"/>
      <w:szCs w:val="28"/>
    </w:rPr>
  </w:style>
  <w:style w:type="paragraph" w:styleId="Heading3">
    <w:name w:val="heading 3"/>
    <w:basedOn w:val="Normal"/>
    <w:next w:val="Normal"/>
    <w:link w:val="Heading3Char"/>
    <w:unhideWhenUsed/>
    <w:qFormat/>
    <w:rsid w:val="00934A8A"/>
    <w:pPr>
      <w:keepNext/>
      <w:spacing w:before="180" w:after="120"/>
      <w:outlineLvl w:val="2"/>
    </w:pPr>
    <w:rPr>
      <w:rFonts w:ascii="Georgia" w:eastAsiaTheme="majorEastAsia" w:hAnsi="Georgia" w:cstheme="majorBidi"/>
      <w:bCs/>
      <w:i/>
    </w:rPr>
  </w:style>
  <w:style w:type="paragraph" w:styleId="Heading4">
    <w:name w:val="heading 4"/>
    <w:basedOn w:val="Normal"/>
    <w:next w:val="Normal"/>
    <w:link w:val="Heading4Char"/>
    <w:uiPriority w:val="9"/>
    <w:unhideWhenUsed/>
    <w:qFormat/>
    <w:rsid w:val="00C01CC6"/>
    <w:pPr>
      <w:keepNext/>
      <w:spacing w:before="120" w:after="120"/>
      <w:outlineLvl w:val="3"/>
    </w:pPr>
    <w:rPr>
      <w:rFonts w:ascii="Georgia" w:eastAsiaTheme="majorEastAsia" w:hAnsi="Georgia" w:cstheme="majorBidi"/>
      <w:bCs/>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CC1739"/>
    <w:pPr>
      <w:numPr>
        <w:numId w:val="1"/>
      </w:numPr>
      <w:spacing w:before="90"/>
    </w:pPr>
  </w:style>
  <w:style w:type="table" w:styleId="TableGrid">
    <w:name w:val="Table Grid"/>
    <w:basedOn w:val="TableNormal"/>
    <w:rsid w:val="00280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D0B07"/>
    <w:pPr>
      <w:tabs>
        <w:tab w:val="right" w:pos="9923"/>
      </w:tabs>
    </w:pPr>
  </w:style>
  <w:style w:type="paragraph" w:customStyle="1" w:styleId="TableText">
    <w:name w:val="TableText"/>
    <w:basedOn w:val="Normal"/>
    <w:rsid w:val="00280A23"/>
    <w:pPr>
      <w:spacing w:before="120" w:after="120"/>
    </w:pPr>
  </w:style>
  <w:style w:type="paragraph" w:styleId="Footer">
    <w:name w:val="footer"/>
    <w:basedOn w:val="Normal"/>
    <w:rsid w:val="00C61665"/>
    <w:pPr>
      <w:pBdr>
        <w:top w:val="single" w:sz="4" w:space="4" w:color="auto"/>
      </w:pBdr>
      <w:jc w:val="right"/>
    </w:pPr>
    <w:rPr>
      <w:rFonts w:ascii="Georgia" w:hAnsi="Georgia"/>
      <w:b/>
      <w:sz w:val="20"/>
    </w:rPr>
  </w:style>
  <w:style w:type="character" w:styleId="PageNumber">
    <w:name w:val="page number"/>
    <w:basedOn w:val="DefaultParagraphFont"/>
    <w:rsid w:val="00324B4C"/>
  </w:style>
  <w:style w:type="character" w:customStyle="1" w:styleId="Heading3Char">
    <w:name w:val="Heading 3 Char"/>
    <w:basedOn w:val="DefaultParagraphFont"/>
    <w:link w:val="Heading3"/>
    <w:rsid w:val="00934A8A"/>
    <w:rPr>
      <w:rFonts w:ascii="Georgia" w:eastAsiaTheme="majorEastAsia" w:hAnsi="Georgia" w:cstheme="majorBidi"/>
      <w:bCs/>
      <w:i/>
      <w:sz w:val="22"/>
      <w:szCs w:val="24"/>
      <w:lang w:eastAsia="en-GB"/>
    </w:rPr>
  </w:style>
  <w:style w:type="character" w:customStyle="1" w:styleId="RomanChar">
    <w:name w:val="Roman Char"/>
    <w:link w:val="Roman"/>
    <w:rsid w:val="00E97E0B"/>
    <w:rPr>
      <w:rFonts w:ascii="Arial" w:hAnsi="Arial"/>
      <w:sz w:val="22"/>
      <w:lang w:eastAsia="en-GB"/>
    </w:rPr>
  </w:style>
  <w:style w:type="paragraph" w:styleId="Title">
    <w:name w:val="Title"/>
    <w:basedOn w:val="Normal"/>
    <w:next w:val="Normal"/>
    <w:link w:val="TitleChar"/>
    <w:qFormat/>
    <w:rsid w:val="00D2055E"/>
    <w:pPr>
      <w:spacing w:after="240"/>
    </w:pPr>
    <w:rPr>
      <w:rFonts w:ascii="Georgia" w:eastAsiaTheme="majorEastAsia" w:hAnsi="Georgia" w:cstheme="majorBidi"/>
      <w:b/>
      <w:sz w:val="32"/>
      <w:szCs w:val="52"/>
    </w:rPr>
  </w:style>
  <w:style w:type="character" w:customStyle="1" w:styleId="TitleChar">
    <w:name w:val="Title Char"/>
    <w:basedOn w:val="DefaultParagraphFont"/>
    <w:link w:val="Title"/>
    <w:rsid w:val="00D2055E"/>
    <w:rPr>
      <w:rFonts w:ascii="Georgia" w:eastAsiaTheme="majorEastAsia" w:hAnsi="Georgia" w:cstheme="majorBidi"/>
      <w:b/>
      <w:sz w:val="32"/>
      <w:szCs w:val="52"/>
      <w:lang w:eastAsia="en-GB"/>
    </w:rPr>
  </w:style>
  <w:style w:type="paragraph" w:customStyle="1" w:styleId="Roman">
    <w:name w:val="Roman"/>
    <w:basedOn w:val="Normal"/>
    <w:link w:val="RomanChar"/>
    <w:rsid w:val="00E97E0B"/>
    <w:pPr>
      <w:numPr>
        <w:numId w:val="2"/>
      </w:numPr>
      <w:spacing w:before="120"/>
    </w:pPr>
    <w:rPr>
      <w:rFonts w:cs="Times New Roman"/>
      <w:szCs w:val="20"/>
    </w:rPr>
  </w:style>
  <w:style w:type="paragraph" w:customStyle="1" w:styleId="Letter">
    <w:name w:val="Letter"/>
    <w:basedOn w:val="Normal"/>
    <w:qFormat/>
    <w:rsid w:val="001A00F6"/>
    <w:pPr>
      <w:numPr>
        <w:numId w:val="3"/>
      </w:numPr>
      <w:spacing w:before="90"/>
      <w:ind w:left="850" w:hanging="425"/>
    </w:pPr>
    <w:rPr>
      <w:szCs w:val="22"/>
    </w:rPr>
  </w:style>
  <w:style w:type="character" w:customStyle="1" w:styleId="Heading4Char">
    <w:name w:val="Heading 4 Char"/>
    <w:basedOn w:val="DefaultParagraphFont"/>
    <w:link w:val="Heading4"/>
    <w:uiPriority w:val="9"/>
    <w:rsid w:val="00C01CC6"/>
    <w:rPr>
      <w:rFonts w:ascii="Georgia" w:eastAsiaTheme="majorEastAsia" w:hAnsi="Georgia" w:cstheme="majorBidi"/>
      <w:bCs/>
      <w:iCs/>
      <w:sz w:val="22"/>
      <w:u w:val="single"/>
      <w:lang w:eastAsia="en-GB"/>
    </w:rPr>
  </w:style>
  <w:style w:type="paragraph" w:styleId="FootnoteText">
    <w:name w:val="footnote text"/>
    <w:basedOn w:val="Normal"/>
    <w:link w:val="FootnoteTextChar"/>
    <w:rsid w:val="00134C2B"/>
    <w:pPr>
      <w:spacing w:before="60"/>
      <w:ind w:left="284" w:hanging="284"/>
    </w:pPr>
    <w:rPr>
      <w:rFonts w:cs="Times New Roman"/>
      <w:sz w:val="18"/>
      <w:szCs w:val="20"/>
    </w:rPr>
  </w:style>
  <w:style w:type="character" w:customStyle="1" w:styleId="FootnoteTextChar">
    <w:name w:val="Footnote Text Char"/>
    <w:basedOn w:val="DefaultParagraphFont"/>
    <w:link w:val="FootnoteText"/>
    <w:rsid w:val="00134C2B"/>
    <w:rPr>
      <w:rFonts w:ascii="Georgia" w:hAnsi="Georgia"/>
      <w:sz w:val="18"/>
      <w:lang w:eastAsia="en-GB"/>
    </w:rPr>
  </w:style>
  <w:style w:type="character" w:styleId="FootnoteReference">
    <w:name w:val="footnote reference"/>
    <w:rsid w:val="00134C2B"/>
    <w:rPr>
      <w:vertAlign w:val="superscript"/>
    </w:rPr>
  </w:style>
  <w:style w:type="paragraph" w:customStyle="1" w:styleId="Dash">
    <w:name w:val="Dash"/>
    <w:basedOn w:val="Normal"/>
    <w:qFormat/>
    <w:rsid w:val="00256ECD"/>
    <w:pPr>
      <w:numPr>
        <w:numId w:val="4"/>
      </w:numPr>
      <w:spacing w:before="50"/>
      <w:ind w:left="568" w:hanging="284"/>
    </w:pPr>
  </w:style>
  <w:style w:type="paragraph" w:customStyle="1" w:styleId="Number">
    <w:name w:val="Number"/>
    <w:basedOn w:val="Normal"/>
    <w:qFormat/>
    <w:rsid w:val="001A00F6"/>
    <w:pPr>
      <w:numPr>
        <w:numId w:val="7"/>
      </w:numPr>
      <w:spacing w:before="120"/>
    </w:pPr>
  </w:style>
  <w:style w:type="character" w:styleId="Hyperlink">
    <w:name w:val="Hyperlink"/>
    <w:rsid w:val="00154765"/>
    <w:rPr>
      <w:rFonts w:cs="Times New Roman"/>
      <w:color w:val="0000FF"/>
      <w:u w:val="single"/>
    </w:rPr>
  </w:style>
  <w:style w:type="paragraph" w:styleId="Revision">
    <w:name w:val="Revision"/>
    <w:hidden/>
    <w:uiPriority w:val="99"/>
    <w:semiHidden/>
    <w:rsid w:val="00F5030E"/>
    <w:rPr>
      <w:rFonts w:ascii="Arial" w:hAnsi="Arial" w:cs="Times"/>
      <w:sz w:val="22"/>
      <w:szCs w:val="24"/>
      <w:lang w:eastAsia="en-GB"/>
    </w:rPr>
  </w:style>
  <w:style w:type="character" w:customStyle="1" w:styleId="Heading2Char">
    <w:name w:val="Heading 2 Char"/>
    <w:basedOn w:val="DefaultParagraphFont"/>
    <w:link w:val="Heading2"/>
    <w:rsid w:val="00A26ECD"/>
    <w:rPr>
      <w:rFonts w:ascii="Georgia" w:hAnsi="Georgia" w:cs="Arial"/>
      <w:b/>
      <w:bCs/>
      <w:iCs/>
      <w:sz w:val="24"/>
      <w:szCs w:val="28"/>
      <w:lang w:eastAsia="en-GB"/>
    </w:rPr>
  </w:style>
  <w:style w:type="character" w:customStyle="1" w:styleId="HeaderChar">
    <w:name w:val="Header Char"/>
    <w:basedOn w:val="DefaultParagraphFont"/>
    <w:link w:val="Header"/>
    <w:rsid w:val="00A57BC5"/>
    <w:rPr>
      <w:rFonts w:ascii="Arial" w:hAnsi="Arial" w:cs="Times"/>
      <w:sz w:val="22"/>
      <w:szCs w:val="24"/>
      <w:lang w:eastAsia="en-GB"/>
    </w:rPr>
  </w:style>
  <w:style w:type="character" w:styleId="PlaceholderText">
    <w:name w:val="Placeholder Text"/>
    <w:basedOn w:val="DefaultParagraphFont"/>
    <w:uiPriority w:val="99"/>
    <w:semiHidden/>
    <w:rsid w:val="001D174C"/>
    <w:rPr>
      <w:color w:val="808080"/>
    </w:rPr>
  </w:style>
  <w:style w:type="paragraph" w:styleId="ListParagraph">
    <w:name w:val="List Paragraph"/>
    <w:basedOn w:val="Normal"/>
    <w:uiPriority w:val="34"/>
    <w:qFormat/>
    <w:rsid w:val="00D6109B"/>
    <w:pPr>
      <w:spacing w:after="200" w:line="276" w:lineRule="auto"/>
      <w:ind w:left="720"/>
      <w:contextualSpacing/>
    </w:pPr>
    <w:rPr>
      <w:rFonts w:eastAsiaTheme="minorHAnsi" w:cstheme="minorBidi"/>
      <w:sz w:val="24"/>
      <w:szCs w:val="22"/>
      <w:lang w:eastAsia="en-US"/>
    </w:rPr>
  </w:style>
  <w:style w:type="character" w:styleId="CommentReference">
    <w:name w:val="annotation reference"/>
    <w:basedOn w:val="DefaultParagraphFont"/>
    <w:semiHidden/>
    <w:unhideWhenUsed/>
    <w:rsid w:val="00D6109B"/>
    <w:rPr>
      <w:sz w:val="16"/>
      <w:szCs w:val="16"/>
    </w:rPr>
  </w:style>
  <w:style w:type="paragraph" w:styleId="CommentText">
    <w:name w:val="annotation text"/>
    <w:basedOn w:val="Normal"/>
    <w:link w:val="CommentTextChar"/>
    <w:semiHidden/>
    <w:unhideWhenUsed/>
    <w:rsid w:val="00D6109B"/>
    <w:rPr>
      <w:sz w:val="20"/>
      <w:szCs w:val="20"/>
    </w:rPr>
  </w:style>
  <w:style w:type="character" w:customStyle="1" w:styleId="CommentTextChar">
    <w:name w:val="Comment Text Char"/>
    <w:basedOn w:val="DefaultParagraphFont"/>
    <w:link w:val="CommentText"/>
    <w:semiHidden/>
    <w:rsid w:val="00D6109B"/>
    <w:rPr>
      <w:rFonts w:ascii="Arial" w:hAnsi="Arial" w:cs="Times"/>
      <w:lang w:eastAsia="en-GB"/>
    </w:rPr>
  </w:style>
  <w:style w:type="paragraph" w:styleId="CommentSubject">
    <w:name w:val="annotation subject"/>
    <w:basedOn w:val="CommentText"/>
    <w:next w:val="CommentText"/>
    <w:link w:val="CommentSubjectChar"/>
    <w:semiHidden/>
    <w:unhideWhenUsed/>
    <w:rsid w:val="00D6109B"/>
    <w:rPr>
      <w:b/>
      <w:bCs/>
    </w:rPr>
  </w:style>
  <w:style w:type="character" w:customStyle="1" w:styleId="CommentSubjectChar">
    <w:name w:val="Comment Subject Char"/>
    <w:basedOn w:val="CommentTextChar"/>
    <w:link w:val="CommentSubject"/>
    <w:semiHidden/>
    <w:rsid w:val="00D6109B"/>
    <w:rPr>
      <w:rFonts w:ascii="Arial" w:hAnsi="Arial" w:cs="Times"/>
      <w:b/>
      <w:bCs/>
      <w:lang w:eastAsia="en-GB"/>
    </w:rPr>
  </w:style>
  <w:style w:type="paragraph" w:styleId="BalloonText">
    <w:name w:val="Balloon Text"/>
    <w:basedOn w:val="Normal"/>
    <w:link w:val="BalloonTextChar"/>
    <w:semiHidden/>
    <w:unhideWhenUsed/>
    <w:rsid w:val="00D6109B"/>
    <w:rPr>
      <w:rFonts w:ascii="Segoe UI" w:hAnsi="Segoe UI" w:cs="Segoe UI"/>
      <w:sz w:val="18"/>
      <w:szCs w:val="18"/>
    </w:rPr>
  </w:style>
  <w:style w:type="character" w:customStyle="1" w:styleId="BalloonTextChar">
    <w:name w:val="Balloon Text Char"/>
    <w:basedOn w:val="DefaultParagraphFont"/>
    <w:link w:val="BalloonText"/>
    <w:semiHidden/>
    <w:rsid w:val="00D6109B"/>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AB4B-EC28-45FF-930D-057657F5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D559F7F0</Template>
  <TotalTime>4</TotalTime>
  <Pages>5</Pages>
  <Words>2226</Words>
  <Characters>11879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from the Expert Advisory Committee on Drugs on the Classification of Cannabidiol</dc:title>
  <dc:creator>EACD</dc:creator>
  <cp:lastModifiedBy>Allan Potter</cp:lastModifiedBy>
  <cp:revision>3</cp:revision>
  <cp:lastPrinted>2017-02-15T03:53:00Z</cp:lastPrinted>
  <dcterms:created xsi:type="dcterms:W3CDTF">2017-05-23T22:35:00Z</dcterms:created>
  <dcterms:modified xsi:type="dcterms:W3CDTF">2017-06-01T22:24:00Z</dcterms:modified>
</cp:coreProperties>
</file>