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6FF07" w14:textId="77777777" w:rsidR="005E6B51" w:rsidRDefault="00DD3D70" w:rsidP="005E6B51">
      <w:pPr>
        <w:pStyle w:val="Heading1"/>
        <w:jc w:val="both"/>
        <w:rPr>
          <w:rFonts w:ascii="Segoe UI" w:hAnsi="Segoe UI" w:cs="Segoe UI"/>
          <w:b/>
          <w:bCs/>
          <w:color w:val="1F3864" w:themeColor="accent1" w:themeShade="80"/>
        </w:rPr>
      </w:pPr>
      <w:r w:rsidRPr="00901E24">
        <w:rPr>
          <w:rFonts w:ascii="Segoe UI" w:hAnsi="Segoe UI" w:cs="Segoe UI"/>
          <w:b/>
          <w:bCs/>
          <w:color w:val="1F3864" w:themeColor="accent1" w:themeShade="80"/>
        </w:rPr>
        <w:t>Sector consultation on the addition of the oral therapeutic COVID-19 medicines</w:t>
      </w:r>
      <w:r w:rsidR="00901E24" w:rsidRPr="00901E24">
        <w:rPr>
          <w:rFonts w:ascii="Segoe UI" w:hAnsi="Segoe UI" w:cs="Segoe UI"/>
          <w:b/>
          <w:bCs/>
          <w:color w:val="1F3864" w:themeColor="accent1" w:themeShade="80"/>
        </w:rPr>
        <w:t xml:space="preserve"> </w:t>
      </w:r>
      <w:proofErr w:type="spellStart"/>
      <w:r w:rsidR="00901E24" w:rsidRPr="00901E24">
        <w:rPr>
          <w:rFonts w:ascii="Segoe UI" w:hAnsi="Segoe UI" w:cs="Segoe UI"/>
          <w:b/>
          <w:bCs/>
          <w:color w:val="1F3864" w:themeColor="accent1" w:themeShade="80"/>
        </w:rPr>
        <w:t>nirmatrelvir</w:t>
      </w:r>
      <w:proofErr w:type="spellEnd"/>
      <w:r w:rsidR="00901E24" w:rsidRPr="00901E24">
        <w:rPr>
          <w:rFonts w:ascii="Segoe UI" w:hAnsi="Segoe UI" w:cs="Segoe UI"/>
          <w:b/>
          <w:bCs/>
          <w:color w:val="1F3864" w:themeColor="accent1" w:themeShade="80"/>
        </w:rPr>
        <w:t xml:space="preserve"> and ritonavir (</w:t>
      </w:r>
      <w:proofErr w:type="spellStart"/>
      <w:r w:rsidR="00901E24" w:rsidRPr="00901E24">
        <w:rPr>
          <w:rFonts w:ascii="Segoe UI" w:hAnsi="Segoe UI" w:cs="Segoe UI"/>
          <w:b/>
          <w:bCs/>
          <w:color w:val="1F3864" w:themeColor="accent1" w:themeShade="80"/>
        </w:rPr>
        <w:t>Paxolvid</w:t>
      </w:r>
      <w:proofErr w:type="spellEnd"/>
      <w:r w:rsidR="00901E24" w:rsidRPr="00901E24">
        <w:rPr>
          <w:rFonts w:ascii="Segoe UI" w:hAnsi="Segoe UI" w:cs="Segoe UI"/>
          <w:b/>
          <w:bCs/>
          <w:color w:val="1F3864" w:themeColor="accent1" w:themeShade="80"/>
        </w:rPr>
        <w:t xml:space="preserve">™) and </w:t>
      </w:r>
      <w:proofErr w:type="spellStart"/>
      <w:r w:rsidR="00901E24" w:rsidRPr="00901E24">
        <w:rPr>
          <w:rFonts w:ascii="Segoe UI" w:hAnsi="Segoe UI" w:cs="Segoe UI"/>
          <w:b/>
          <w:bCs/>
          <w:color w:val="1F3864" w:themeColor="accent1" w:themeShade="80"/>
        </w:rPr>
        <w:t>molnupiravir</w:t>
      </w:r>
      <w:proofErr w:type="spellEnd"/>
      <w:r w:rsidR="00901E24" w:rsidRPr="00901E24">
        <w:rPr>
          <w:rFonts w:ascii="Segoe UI" w:hAnsi="Segoe UI" w:cs="Segoe UI"/>
          <w:b/>
          <w:bCs/>
          <w:color w:val="1F3864" w:themeColor="accent1" w:themeShade="80"/>
        </w:rPr>
        <w:t xml:space="preserve"> (</w:t>
      </w:r>
      <w:proofErr w:type="spellStart"/>
      <w:r w:rsidR="00901E24" w:rsidRPr="00901E24">
        <w:rPr>
          <w:rFonts w:ascii="Segoe UI" w:hAnsi="Segoe UI" w:cs="Segoe UI"/>
          <w:b/>
          <w:bCs/>
          <w:color w:val="1F3864" w:themeColor="accent1" w:themeShade="80"/>
        </w:rPr>
        <w:t>Lagevrio</w:t>
      </w:r>
      <w:proofErr w:type="spellEnd"/>
      <w:r w:rsidR="00901E24" w:rsidRPr="00901E24">
        <w:rPr>
          <w:rFonts w:ascii="Segoe UI" w:hAnsi="Segoe UI" w:cs="Segoe UI"/>
          <w:b/>
          <w:bCs/>
          <w:color w:val="1F3864" w:themeColor="accent1" w:themeShade="80"/>
        </w:rPr>
        <w:t>®)</w:t>
      </w:r>
      <w:r w:rsidRPr="00901E24">
        <w:rPr>
          <w:rFonts w:ascii="Segoe UI" w:hAnsi="Segoe UI" w:cs="Segoe UI"/>
          <w:b/>
          <w:bCs/>
          <w:color w:val="1F3864" w:themeColor="accent1" w:themeShade="80"/>
        </w:rPr>
        <w:t xml:space="preserve"> to the list of specified prescription medicines</w:t>
      </w:r>
      <w:r w:rsidR="00901E24" w:rsidRPr="00901E24">
        <w:rPr>
          <w:rFonts w:ascii="Segoe UI" w:hAnsi="Segoe UI" w:cs="Segoe UI"/>
          <w:b/>
          <w:bCs/>
          <w:color w:val="1F3864" w:themeColor="accent1" w:themeShade="80"/>
        </w:rPr>
        <w:t xml:space="preserve"> </w:t>
      </w:r>
      <w:r w:rsidR="000F6A2E">
        <w:rPr>
          <w:rFonts w:ascii="Segoe UI" w:hAnsi="Segoe UI" w:cs="Segoe UI"/>
          <w:b/>
          <w:bCs/>
          <w:color w:val="1F3864" w:themeColor="accent1" w:themeShade="80"/>
        </w:rPr>
        <w:t xml:space="preserve">for designated registered nurse prescribers </w:t>
      </w:r>
      <w:r w:rsidRPr="00901E24">
        <w:rPr>
          <w:rFonts w:ascii="Segoe UI" w:hAnsi="Segoe UI" w:cs="Segoe UI"/>
          <w:b/>
          <w:bCs/>
          <w:color w:val="1F3864" w:themeColor="accent1" w:themeShade="80"/>
        </w:rPr>
        <w:t xml:space="preserve">- Summary of </w:t>
      </w:r>
      <w:r w:rsidR="005C33A5" w:rsidRPr="00901E24">
        <w:rPr>
          <w:rFonts w:ascii="Segoe UI" w:hAnsi="Segoe UI" w:cs="Segoe UI"/>
          <w:b/>
          <w:bCs/>
          <w:color w:val="1F3864" w:themeColor="accent1" w:themeShade="80"/>
        </w:rPr>
        <w:t>S</w:t>
      </w:r>
      <w:r w:rsidRPr="00901E24">
        <w:rPr>
          <w:rFonts w:ascii="Segoe UI" w:hAnsi="Segoe UI" w:cs="Segoe UI"/>
          <w:b/>
          <w:bCs/>
          <w:color w:val="1F3864" w:themeColor="accent1" w:themeShade="80"/>
        </w:rPr>
        <w:t>ubmissions</w:t>
      </w:r>
    </w:p>
    <w:p w14:paraId="590DEB29" w14:textId="3B7267E4" w:rsidR="00B25901" w:rsidRDefault="00B25901" w:rsidP="005E6B51">
      <w:pPr>
        <w:pStyle w:val="Heading1"/>
        <w:jc w:val="both"/>
        <w:rPr>
          <w:rFonts w:ascii="Segoe UI" w:hAnsi="Segoe UI" w:cs="Segoe UI"/>
          <w:b/>
          <w:bCs/>
          <w:color w:val="1F3864" w:themeColor="accent1" w:themeShade="80"/>
        </w:rPr>
      </w:pPr>
    </w:p>
    <w:p w14:paraId="1B140CC0" w14:textId="77777777" w:rsidR="006B0CDE" w:rsidRDefault="004E662B" w:rsidP="004E662B">
      <w:pPr>
        <w:jc w:val="both"/>
        <w:rPr>
          <w:rFonts w:ascii="Segoe UI" w:hAnsi="Segoe UI" w:cs="Segoe UI"/>
        </w:rPr>
      </w:pPr>
      <w:r w:rsidRPr="005E6B51">
        <w:rPr>
          <w:rFonts w:ascii="Segoe UI" w:hAnsi="Segoe UI" w:cs="Segoe UI"/>
          <w:b/>
          <w:bCs/>
          <w:color w:val="1F3864" w:themeColor="accent1" w:themeShade="80"/>
          <w:sz w:val="32"/>
          <w:szCs w:val="32"/>
        </w:rPr>
        <w:t>Summary</w:t>
      </w:r>
      <w:r w:rsidR="003C4E02">
        <w:rPr>
          <w:b/>
          <w:bCs/>
          <w:color w:val="1F3864" w:themeColor="accent1" w:themeShade="80"/>
        </w:rPr>
        <w:br/>
      </w:r>
      <w:r w:rsidR="00DD3D70" w:rsidRPr="00CE212E">
        <w:rPr>
          <w:rFonts w:ascii="Segoe UI" w:hAnsi="Segoe UI" w:cs="Segoe UI"/>
        </w:rPr>
        <w:t xml:space="preserve">This report is a summary of the submissions received by the Manatū Hauora on the </w:t>
      </w:r>
      <w:r w:rsidR="00715734">
        <w:rPr>
          <w:rFonts w:ascii="Segoe UI" w:hAnsi="Segoe UI" w:cs="Segoe UI"/>
        </w:rPr>
        <w:t>addition</w:t>
      </w:r>
      <w:r w:rsidR="00DD3D70" w:rsidRPr="00CE212E">
        <w:rPr>
          <w:rFonts w:ascii="Segoe UI" w:hAnsi="Segoe UI" w:cs="Segoe UI"/>
        </w:rPr>
        <w:t xml:space="preserve"> of the oral therapeutic COVID-19 medicines </w:t>
      </w:r>
      <w:proofErr w:type="spellStart"/>
      <w:r w:rsidR="00DD3D70" w:rsidRPr="00CE212E">
        <w:rPr>
          <w:rFonts w:ascii="Segoe UI" w:hAnsi="Segoe UI" w:cs="Segoe UI"/>
        </w:rPr>
        <w:t>nirmatrelvir</w:t>
      </w:r>
      <w:proofErr w:type="spellEnd"/>
      <w:r w:rsidR="00DD3D70" w:rsidRPr="00CE212E">
        <w:rPr>
          <w:rFonts w:ascii="Segoe UI" w:hAnsi="Segoe UI" w:cs="Segoe UI"/>
        </w:rPr>
        <w:t xml:space="preserve"> and ritonavir (</w:t>
      </w:r>
      <w:proofErr w:type="spellStart"/>
      <w:r w:rsidR="00DD3D70" w:rsidRPr="00CE212E">
        <w:rPr>
          <w:rFonts w:ascii="Segoe UI" w:hAnsi="Segoe UI" w:cs="Segoe UI"/>
        </w:rPr>
        <w:t>Paxolvid</w:t>
      </w:r>
      <w:proofErr w:type="spellEnd"/>
      <w:r w:rsidR="00DD3D70" w:rsidRPr="00CE212E">
        <w:rPr>
          <w:rFonts w:ascii="Segoe UI" w:hAnsi="Segoe UI" w:cs="Segoe UI"/>
        </w:rPr>
        <w:t xml:space="preserve">™) and </w:t>
      </w:r>
      <w:proofErr w:type="spellStart"/>
      <w:r w:rsidR="00DD3D70" w:rsidRPr="00CE212E">
        <w:rPr>
          <w:rFonts w:ascii="Segoe UI" w:hAnsi="Segoe UI" w:cs="Segoe UI"/>
        </w:rPr>
        <w:t>molnupiravir</w:t>
      </w:r>
      <w:proofErr w:type="spellEnd"/>
      <w:r w:rsidR="00DD3D70" w:rsidRPr="00CE212E">
        <w:rPr>
          <w:rFonts w:ascii="Segoe UI" w:hAnsi="Segoe UI" w:cs="Segoe UI"/>
        </w:rPr>
        <w:t xml:space="preserve"> (</w:t>
      </w:r>
      <w:proofErr w:type="spellStart"/>
      <w:r w:rsidR="00DD3D70" w:rsidRPr="00CE212E">
        <w:rPr>
          <w:rFonts w:ascii="Segoe UI" w:hAnsi="Segoe UI" w:cs="Segoe UI"/>
        </w:rPr>
        <w:t>Lagevrio</w:t>
      </w:r>
      <w:proofErr w:type="spellEnd"/>
      <w:r w:rsidR="00DD3D70" w:rsidRPr="00CE212E">
        <w:rPr>
          <w:rFonts w:ascii="Segoe UI" w:hAnsi="Segoe UI" w:cs="Segoe UI"/>
        </w:rPr>
        <w:t>®)</w:t>
      </w:r>
      <w:r w:rsidR="00715734">
        <w:rPr>
          <w:rFonts w:ascii="Segoe UI" w:hAnsi="Segoe UI" w:cs="Segoe UI"/>
        </w:rPr>
        <w:t xml:space="preserve"> </w:t>
      </w:r>
      <w:r w:rsidR="00715734" w:rsidRPr="00AF6831">
        <w:rPr>
          <w:rFonts w:ascii="Segoe UI" w:hAnsi="Segoe UI" w:cs="Segoe UI"/>
        </w:rPr>
        <w:t>to the list of specified prescription medicines for designated registered nurse prescribers.</w:t>
      </w:r>
      <w:r w:rsidRPr="004E662B">
        <w:rPr>
          <w:rFonts w:ascii="Segoe UI" w:hAnsi="Segoe UI" w:cs="Segoe UI"/>
        </w:rPr>
        <w:t xml:space="preserve"> </w:t>
      </w:r>
    </w:p>
    <w:p w14:paraId="069D23CB" w14:textId="61441A00" w:rsidR="003C4E02" w:rsidRDefault="004E662B" w:rsidP="004E662B">
      <w:pPr>
        <w:jc w:val="both"/>
        <w:rPr>
          <w:b/>
          <w:bCs/>
          <w:color w:val="1F3864" w:themeColor="accent1" w:themeShade="80"/>
        </w:rPr>
      </w:pPr>
      <w:r>
        <w:rPr>
          <w:rFonts w:ascii="Segoe UI" w:hAnsi="Segoe UI" w:cs="Segoe UI"/>
        </w:rPr>
        <w:t xml:space="preserve">The </w:t>
      </w:r>
      <w:r w:rsidRPr="00CE212E">
        <w:rPr>
          <w:rFonts w:ascii="Segoe UI" w:hAnsi="Segoe UI" w:cs="Segoe UI"/>
        </w:rPr>
        <w:t xml:space="preserve">reclassification of </w:t>
      </w:r>
      <w:proofErr w:type="spellStart"/>
      <w:r w:rsidRPr="00CE212E">
        <w:rPr>
          <w:rFonts w:ascii="Segoe UI" w:hAnsi="Segoe UI" w:cs="Segoe UI"/>
        </w:rPr>
        <w:t>nirmatrelvir</w:t>
      </w:r>
      <w:proofErr w:type="spellEnd"/>
      <w:r w:rsidRPr="00CE212E">
        <w:rPr>
          <w:rFonts w:ascii="Segoe UI" w:hAnsi="Segoe UI" w:cs="Segoe UI"/>
        </w:rPr>
        <w:t xml:space="preserve"> and ritonavir (</w:t>
      </w:r>
      <w:proofErr w:type="spellStart"/>
      <w:r w:rsidRPr="00CE212E">
        <w:rPr>
          <w:rFonts w:ascii="Segoe UI" w:hAnsi="Segoe UI" w:cs="Segoe UI"/>
        </w:rPr>
        <w:t>Paxolvid</w:t>
      </w:r>
      <w:proofErr w:type="spellEnd"/>
      <w:r w:rsidRPr="00CE212E">
        <w:rPr>
          <w:rFonts w:ascii="Segoe UI" w:hAnsi="Segoe UI" w:cs="Segoe UI"/>
        </w:rPr>
        <w:t xml:space="preserve">™) and </w:t>
      </w:r>
      <w:proofErr w:type="spellStart"/>
      <w:r w:rsidRPr="00CE212E">
        <w:rPr>
          <w:rFonts w:ascii="Segoe UI" w:hAnsi="Segoe UI" w:cs="Segoe UI"/>
        </w:rPr>
        <w:t>molnupiravir</w:t>
      </w:r>
      <w:proofErr w:type="spellEnd"/>
      <w:r w:rsidRPr="00CE212E">
        <w:rPr>
          <w:rFonts w:ascii="Segoe UI" w:hAnsi="Segoe UI" w:cs="Segoe UI"/>
        </w:rPr>
        <w:t xml:space="preserve"> (</w:t>
      </w:r>
      <w:proofErr w:type="spellStart"/>
      <w:r w:rsidRPr="00CE212E">
        <w:rPr>
          <w:rFonts w:ascii="Segoe UI" w:hAnsi="Segoe UI" w:cs="Segoe UI"/>
        </w:rPr>
        <w:t>Lagevrio</w:t>
      </w:r>
      <w:proofErr w:type="spellEnd"/>
      <w:r w:rsidRPr="00CE212E">
        <w:rPr>
          <w:rFonts w:ascii="Segoe UI" w:hAnsi="Segoe UI" w:cs="Segoe UI"/>
        </w:rPr>
        <w:t xml:space="preserve">®), </w:t>
      </w:r>
      <w:r w:rsidRPr="00CE212E">
        <w:rPr>
          <w:rFonts w:ascii="Segoe UI" w:eastAsia="Times New Roman" w:hAnsi="Segoe UI" w:cs="Segoe UI"/>
          <w:color w:val="000000" w:themeColor="text1"/>
        </w:rPr>
        <w:t>from prescription-only medicines to restricted (pharmacist-only) medicines</w:t>
      </w:r>
      <w:r>
        <w:rPr>
          <w:rFonts w:ascii="Segoe UI" w:eastAsia="Times New Roman" w:hAnsi="Segoe UI" w:cs="Segoe UI"/>
          <w:color w:val="000000" w:themeColor="text1"/>
        </w:rPr>
        <w:t xml:space="preserve"> when used in the treatment of COVID-19 on </w:t>
      </w:r>
      <w:r w:rsidR="00823098">
        <w:rPr>
          <w:rFonts w:ascii="Segoe UI" w:eastAsia="Times New Roman" w:hAnsi="Segoe UI" w:cs="Segoe UI"/>
          <w:color w:val="000000" w:themeColor="text1"/>
        </w:rPr>
        <w:t>27 July 2022</w:t>
      </w:r>
      <w:r>
        <w:rPr>
          <w:rFonts w:ascii="Segoe UI" w:eastAsia="Times New Roman" w:hAnsi="Segoe UI" w:cs="Segoe UI"/>
          <w:color w:val="000000" w:themeColor="text1"/>
        </w:rPr>
        <w:t xml:space="preserve"> meant that their addition to the list of specified prescription medicines for designated registered nurse prescribers was no longer required. Therefore, following the consultation process there was no further</w:t>
      </w:r>
      <w:r w:rsidR="00FB3C25">
        <w:rPr>
          <w:rFonts w:ascii="Segoe UI" w:eastAsia="Times New Roman" w:hAnsi="Segoe UI" w:cs="Segoe UI"/>
          <w:color w:val="000000" w:themeColor="text1"/>
        </w:rPr>
        <w:t xml:space="preserve"> action taken</w:t>
      </w:r>
      <w:r>
        <w:rPr>
          <w:rFonts w:ascii="Segoe UI" w:eastAsia="Times New Roman" w:hAnsi="Segoe UI" w:cs="Segoe UI"/>
          <w:color w:val="000000" w:themeColor="text1"/>
        </w:rPr>
        <w:t xml:space="preserve">. </w:t>
      </w:r>
    </w:p>
    <w:p w14:paraId="42141DC8" w14:textId="77777777" w:rsidR="005E6B51" w:rsidRPr="005E6B51" w:rsidRDefault="005E6B51" w:rsidP="004E662B">
      <w:pPr>
        <w:jc w:val="both"/>
        <w:rPr>
          <w:b/>
          <w:bCs/>
          <w:color w:val="1F3864" w:themeColor="accent1" w:themeShade="80"/>
        </w:rPr>
      </w:pPr>
    </w:p>
    <w:p w14:paraId="5499D3E2" w14:textId="1F301D22" w:rsidR="00DD3D70" w:rsidRPr="003C4E02" w:rsidRDefault="004E662B" w:rsidP="00DD3D70">
      <w:pPr>
        <w:jc w:val="both"/>
        <w:rPr>
          <w:rFonts w:ascii="Segoe UI" w:hAnsi="Segoe UI" w:cs="Segoe UI"/>
          <w:b/>
          <w:bCs/>
          <w:color w:val="1F3864" w:themeColor="accent1" w:themeShade="80"/>
        </w:rPr>
      </w:pPr>
      <w:r w:rsidRPr="005E6B51">
        <w:rPr>
          <w:rFonts w:ascii="Segoe UI" w:eastAsia="Times New Roman" w:hAnsi="Segoe UI" w:cs="Segoe UI"/>
          <w:b/>
          <w:bCs/>
          <w:color w:val="1F3864" w:themeColor="accent1" w:themeShade="80"/>
          <w:sz w:val="32"/>
          <w:szCs w:val="32"/>
        </w:rPr>
        <w:t xml:space="preserve">Background </w:t>
      </w:r>
      <w:r w:rsidR="003C4E02" w:rsidRPr="005E6B51">
        <w:rPr>
          <w:rFonts w:ascii="Segoe UI" w:hAnsi="Segoe UI" w:cs="Segoe UI"/>
          <w:b/>
          <w:bCs/>
          <w:color w:val="1F3864" w:themeColor="accent1" w:themeShade="80"/>
          <w:sz w:val="32"/>
          <w:szCs w:val="32"/>
        </w:rPr>
        <w:br/>
      </w:r>
      <w:r w:rsidR="007D2F9E" w:rsidRPr="00CE212E">
        <w:rPr>
          <w:rFonts w:ascii="Segoe UI" w:hAnsi="Segoe UI" w:cs="Segoe UI"/>
        </w:rPr>
        <w:t xml:space="preserve">In early April 2022, the Ministry approached the Nursing Council </w:t>
      </w:r>
      <w:r w:rsidR="00526429">
        <w:rPr>
          <w:rFonts w:ascii="Segoe UI" w:hAnsi="Segoe UI" w:cs="Segoe UI"/>
        </w:rPr>
        <w:t xml:space="preserve">of New Zealand to confirm that the </w:t>
      </w:r>
      <w:r w:rsidR="00526429" w:rsidRPr="00CE212E">
        <w:rPr>
          <w:rFonts w:ascii="Segoe UI" w:hAnsi="Segoe UI" w:cs="Segoe UI"/>
        </w:rPr>
        <w:t xml:space="preserve">oral therapeutic COVID-19 medicines </w:t>
      </w:r>
      <w:proofErr w:type="spellStart"/>
      <w:r w:rsidR="00526429" w:rsidRPr="00CE212E">
        <w:rPr>
          <w:rFonts w:ascii="Segoe UI" w:hAnsi="Segoe UI" w:cs="Segoe UI"/>
        </w:rPr>
        <w:t>nirmatrelvir</w:t>
      </w:r>
      <w:proofErr w:type="spellEnd"/>
      <w:r w:rsidR="00526429" w:rsidRPr="00CE212E">
        <w:rPr>
          <w:rFonts w:ascii="Segoe UI" w:hAnsi="Segoe UI" w:cs="Segoe UI"/>
        </w:rPr>
        <w:t xml:space="preserve"> and ritonavir (</w:t>
      </w:r>
      <w:proofErr w:type="spellStart"/>
      <w:r w:rsidR="00526429" w:rsidRPr="00CE212E">
        <w:rPr>
          <w:rFonts w:ascii="Segoe UI" w:hAnsi="Segoe UI" w:cs="Segoe UI"/>
        </w:rPr>
        <w:t>Paxolvid</w:t>
      </w:r>
      <w:proofErr w:type="spellEnd"/>
      <w:r w:rsidR="00526429" w:rsidRPr="00CE212E">
        <w:rPr>
          <w:rFonts w:ascii="Segoe UI" w:hAnsi="Segoe UI" w:cs="Segoe UI"/>
        </w:rPr>
        <w:t xml:space="preserve">™) and </w:t>
      </w:r>
      <w:proofErr w:type="spellStart"/>
      <w:r w:rsidR="00526429" w:rsidRPr="00CE212E">
        <w:rPr>
          <w:rFonts w:ascii="Segoe UI" w:hAnsi="Segoe UI" w:cs="Segoe UI"/>
        </w:rPr>
        <w:t>molnupiravir</w:t>
      </w:r>
      <w:proofErr w:type="spellEnd"/>
      <w:r w:rsidR="00526429" w:rsidRPr="00CE212E">
        <w:rPr>
          <w:rFonts w:ascii="Segoe UI" w:hAnsi="Segoe UI" w:cs="Segoe UI"/>
        </w:rPr>
        <w:t xml:space="preserve"> (</w:t>
      </w:r>
      <w:proofErr w:type="spellStart"/>
      <w:r w:rsidR="00526429" w:rsidRPr="00CE212E">
        <w:rPr>
          <w:rFonts w:ascii="Segoe UI" w:hAnsi="Segoe UI" w:cs="Segoe UI"/>
        </w:rPr>
        <w:t>Lagevrio</w:t>
      </w:r>
      <w:proofErr w:type="spellEnd"/>
      <w:r w:rsidR="00526429" w:rsidRPr="00CE212E">
        <w:rPr>
          <w:rFonts w:ascii="Segoe UI" w:hAnsi="Segoe UI" w:cs="Segoe UI"/>
        </w:rPr>
        <w:t>®)</w:t>
      </w:r>
      <w:r w:rsidR="007D2F9E" w:rsidRPr="00CE212E">
        <w:rPr>
          <w:rFonts w:ascii="Segoe UI" w:hAnsi="Segoe UI" w:cs="Segoe UI"/>
        </w:rPr>
        <w:t xml:space="preserve"> fit within their defined scope of practice and would be suitable for designated registered nurse prescribers to prescribe. Following this confirmation, Manatū Hauora began work to consult on </w:t>
      </w:r>
      <w:r w:rsidR="00526429">
        <w:rPr>
          <w:rFonts w:ascii="Segoe UI" w:hAnsi="Segoe UI" w:cs="Segoe UI"/>
        </w:rPr>
        <w:t>the</w:t>
      </w:r>
      <w:r w:rsidR="007D2F9E" w:rsidRPr="00CE212E">
        <w:rPr>
          <w:rFonts w:ascii="Segoe UI" w:hAnsi="Segoe UI" w:cs="Segoe UI"/>
        </w:rPr>
        <w:t xml:space="preserve"> addition </w:t>
      </w:r>
      <w:r w:rsidR="00526429">
        <w:rPr>
          <w:rFonts w:ascii="Segoe UI" w:hAnsi="Segoe UI" w:cs="Segoe UI"/>
        </w:rPr>
        <w:t xml:space="preserve">of these medicines </w:t>
      </w:r>
      <w:r w:rsidR="007D2F9E" w:rsidRPr="00CE212E">
        <w:rPr>
          <w:rFonts w:ascii="Segoe UI" w:hAnsi="Segoe UI" w:cs="Segoe UI"/>
        </w:rPr>
        <w:t xml:space="preserve">to the list of specified prescription medicines. </w:t>
      </w:r>
      <w:r w:rsidR="004444D2">
        <w:rPr>
          <w:rFonts w:ascii="Segoe UI" w:hAnsi="Segoe UI" w:cs="Segoe UI"/>
        </w:rPr>
        <w:t xml:space="preserve">This change would enable </w:t>
      </w:r>
      <w:r w:rsidR="006916BF">
        <w:rPr>
          <w:rFonts w:ascii="Segoe UI" w:eastAsia="Times New Roman" w:hAnsi="Segoe UI" w:cs="Segoe UI"/>
          <w:color w:val="000000" w:themeColor="text1"/>
        </w:rPr>
        <w:t>designated</w:t>
      </w:r>
      <w:r w:rsidR="004444D2" w:rsidRPr="00CE212E">
        <w:rPr>
          <w:rFonts w:ascii="Segoe UI" w:eastAsia="Times New Roman" w:hAnsi="Segoe UI" w:cs="Segoe UI"/>
          <w:color w:val="000000" w:themeColor="text1"/>
        </w:rPr>
        <w:t xml:space="preserve"> </w:t>
      </w:r>
      <w:r w:rsidR="00AF6831">
        <w:rPr>
          <w:rFonts w:ascii="Segoe UI" w:eastAsia="Times New Roman" w:hAnsi="Segoe UI" w:cs="Segoe UI"/>
          <w:color w:val="000000" w:themeColor="text1"/>
        </w:rPr>
        <w:t xml:space="preserve">registered nurse </w:t>
      </w:r>
      <w:r w:rsidR="004444D2" w:rsidRPr="00CE212E">
        <w:rPr>
          <w:rFonts w:ascii="Segoe UI" w:eastAsia="Times New Roman" w:hAnsi="Segoe UI" w:cs="Segoe UI"/>
          <w:color w:val="000000" w:themeColor="text1"/>
        </w:rPr>
        <w:t>prescribers in primary health and specialty teams to write a prescription for those patients who meet Pharmac’s criteria</w:t>
      </w:r>
      <w:r w:rsidR="004444D2" w:rsidRPr="00CE212E">
        <w:rPr>
          <w:rFonts w:ascii="Segoe UI" w:hAnsi="Segoe UI" w:cs="Segoe UI"/>
        </w:rPr>
        <w:t xml:space="preserve"> if it is within their scope and area of practice. </w:t>
      </w:r>
    </w:p>
    <w:p w14:paraId="42E9BDE7" w14:textId="21B86CDA" w:rsidR="005C33A5" w:rsidRDefault="00DD3D70" w:rsidP="007D2F9E">
      <w:pPr>
        <w:jc w:val="both"/>
        <w:rPr>
          <w:rFonts w:ascii="Segoe UI" w:hAnsi="Segoe UI" w:cs="Segoe UI"/>
        </w:rPr>
      </w:pPr>
      <w:r w:rsidRPr="00CE212E">
        <w:rPr>
          <w:rFonts w:ascii="Segoe UI" w:hAnsi="Segoe UI" w:cs="Segoe UI"/>
        </w:rPr>
        <w:t xml:space="preserve">The Medicines Act 1981 requires that </w:t>
      </w:r>
      <w:r w:rsidR="005C33A5" w:rsidRPr="00CE212E">
        <w:rPr>
          <w:rFonts w:ascii="Segoe UI" w:hAnsi="Segoe UI" w:cs="Segoe UI"/>
        </w:rPr>
        <w:t xml:space="preserve">Manatū Hauora </w:t>
      </w:r>
      <w:r w:rsidRPr="00CE212E">
        <w:rPr>
          <w:rFonts w:ascii="Segoe UI" w:hAnsi="Segoe UI" w:cs="Segoe UI"/>
        </w:rPr>
        <w:t>consult with people or organisations that may be affected by a change to the specified prescription medicines before a legal change is made to the list by Gazette notice. The consultation period started on 8 June 2022 and ended on 8 July 2021.</w:t>
      </w:r>
    </w:p>
    <w:p w14:paraId="0B03E4B6" w14:textId="77777777" w:rsidR="003C4E02" w:rsidRDefault="003C4E02">
      <w:pPr>
        <w:rPr>
          <w:rFonts w:ascii="Segoe UI" w:eastAsiaTheme="majorEastAsia" w:hAnsi="Segoe UI" w:cs="Segoe UI"/>
          <w:b/>
          <w:bCs/>
          <w:color w:val="1F3864" w:themeColor="accent1" w:themeShade="80"/>
          <w:sz w:val="32"/>
          <w:szCs w:val="32"/>
        </w:rPr>
      </w:pPr>
      <w:r>
        <w:rPr>
          <w:rFonts w:ascii="Segoe UI" w:hAnsi="Segoe UI" w:cs="Segoe UI"/>
          <w:b/>
          <w:bCs/>
          <w:color w:val="1F3864" w:themeColor="accent1" w:themeShade="80"/>
        </w:rPr>
        <w:br w:type="page"/>
      </w:r>
    </w:p>
    <w:p w14:paraId="0005C30B" w14:textId="4A110BF0" w:rsidR="00DD3D70" w:rsidRPr="00B25901" w:rsidRDefault="00DD3D70" w:rsidP="007D2F9E">
      <w:pPr>
        <w:pStyle w:val="Heading1"/>
        <w:rPr>
          <w:rFonts w:ascii="Segoe UI" w:hAnsi="Segoe UI" w:cs="Segoe UI"/>
          <w:b/>
          <w:bCs/>
          <w:color w:val="1F3864" w:themeColor="accent1" w:themeShade="80"/>
        </w:rPr>
      </w:pPr>
      <w:r w:rsidRPr="00B25901">
        <w:rPr>
          <w:rFonts w:ascii="Segoe UI" w:hAnsi="Segoe UI" w:cs="Segoe UI"/>
          <w:b/>
          <w:bCs/>
          <w:color w:val="1F3864" w:themeColor="accent1" w:themeShade="80"/>
        </w:rPr>
        <w:lastRenderedPageBreak/>
        <w:t xml:space="preserve">Description of </w:t>
      </w:r>
      <w:r w:rsidR="003F0232">
        <w:rPr>
          <w:rFonts w:ascii="Segoe UI" w:hAnsi="Segoe UI" w:cs="Segoe UI"/>
          <w:b/>
          <w:bCs/>
          <w:color w:val="1F3864" w:themeColor="accent1" w:themeShade="80"/>
        </w:rPr>
        <w:t>S</w:t>
      </w:r>
      <w:r w:rsidRPr="00B25901">
        <w:rPr>
          <w:rFonts w:ascii="Segoe UI" w:hAnsi="Segoe UI" w:cs="Segoe UI"/>
          <w:b/>
          <w:bCs/>
          <w:color w:val="1F3864" w:themeColor="accent1" w:themeShade="80"/>
        </w:rPr>
        <w:t>ubmitters</w:t>
      </w:r>
    </w:p>
    <w:p w14:paraId="1CF5F8A0" w14:textId="19F8D69A" w:rsidR="003C4E02" w:rsidRPr="00B25901" w:rsidRDefault="00DD3D70" w:rsidP="00AC0A37">
      <w:pPr>
        <w:jc w:val="both"/>
        <w:rPr>
          <w:rFonts w:ascii="Segoe UI" w:hAnsi="Segoe UI" w:cs="Segoe UI"/>
        </w:rPr>
      </w:pPr>
      <w:r w:rsidRPr="00B25901">
        <w:rPr>
          <w:rFonts w:ascii="Segoe UI" w:hAnsi="Segoe UI" w:cs="Segoe UI"/>
        </w:rPr>
        <w:t xml:space="preserve">55 submitters responded to the survey and </w:t>
      </w:r>
      <w:r w:rsidR="00894986">
        <w:rPr>
          <w:rFonts w:ascii="Segoe UI" w:hAnsi="Segoe UI" w:cs="Segoe UI"/>
        </w:rPr>
        <w:t>one</w:t>
      </w:r>
      <w:r w:rsidRPr="00B25901">
        <w:rPr>
          <w:rFonts w:ascii="Segoe UI" w:hAnsi="Segoe UI" w:cs="Segoe UI"/>
        </w:rPr>
        <w:t xml:space="preserve"> email was received. </w:t>
      </w:r>
      <w:r w:rsidR="00AC0A37" w:rsidRPr="00B25901">
        <w:rPr>
          <w:rFonts w:ascii="Segoe UI" w:hAnsi="Segoe UI" w:cs="Segoe UI"/>
        </w:rPr>
        <w:t>The majority (50%) of respondents identified as registered nurse prescribers, with remainder identifying as nurse practitioners, registered nurses, medical practitioners, pharmacists, educators and other.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6516"/>
        <w:gridCol w:w="1134"/>
        <w:gridCol w:w="1417"/>
      </w:tblGrid>
      <w:tr w:rsidR="00DD3D70" w:rsidRPr="00B25901" w14:paraId="5E5DB7CE" w14:textId="77777777" w:rsidTr="00901E24">
        <w:trPr>
          <w:trHeight w:hRule="exact" w:val="284"/>
        </w:trPr>
        <w:tc>
          <w:tcPr>
            <w:tcW w:w="6516" w:type="dxa"/>
            <w:shd w:val="clear" w:color="auto" w:fill="44546A" w:themeFill="text2"/>
          </w:tcPr>
          <w:p w14:paraId="2229707D" w14:textId="200798E4" w:rsidR="00DD3D70" w:rsidRPr="00B25901" w:rsidRDefault="00AC0A37" w:rsidP="00901E24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B25901">
              <w:rPr>
                <w:rFonts w:ascii="Segoe UI" w:hAnsi="Segoe UI" w:cs="Segoe UI"/>
                <w:b/>
                <w:bCs/>
                <w:color w:val="FFFFFF" w:themeColor="background1"/>
              </w:rPr>
              <w:t>Submitter</w:t>
            </w:r>
          </w:p>
        </w:tc>
        <w:tc>
          <w:tcPr>
            <w:tcW w:w="1134" w:type="dxa"/>
            <w:shd w:val="clear" w:color="auto" w:fill="44546A" w:themeFill="text2"/>
          </w:tcPr>
          <w:p w14:paraId="2ACD37C4" w14:textId="55F633F7" w:rsidR="00DD3D70" w:rsidRPr="00B25901" w:rsidRDefault="00DD3D70" w:rsidP="00901E24">
            <w:pPr>
              <w:jc w:val="right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B25901">
              <w:rPr>
                <w:rFonts w:ascii="Segoe UI" w:hAnsi="Segoe UI" w:cs="Segoe UI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417" w:type="dxa"/>
            <w:shd w:val="clear" w:color="auto" w:fill="44546A" w:themeFill="text2"/>
          </w:tcPr>
          <w:p w14:paraId="1DE11134" w14:textId="1A381B6E" w:rsidR="00DD3D70" w:rsidRPr="00B25901" w:rsidRDefault="00DD3D70" w:rsidP="00901E24">
            <w:pPr>
              <w:jc w:val="right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B25901">
              <w:rPr>
                <w:rFonts w:ascii="Segoe UI" w:hAnsi="Segoe UI" w:cs="Segoe UI"/>
                <w:b/>
                <w:bCs/>
                <w:color w:val="FFFFFF" w:themeColor="background1"/>
              </w:rPr>
              <w:t>Percentage</w:t>
            </w:r>
          </w:p>
        </w:tc>
      </w:tr>
      <w:tr w:rsidR="00DD3D70" w:rsidRPr="00B25901" w14:paraId="11CBAFB2" w14:textId="77777777" w:rsidTr="00901E24">
        <w:trPr>
          <w:trHeight w:hRule="exact" w:val="340"/>
        </w:trPr>
        <w:tc>
          <w:tcPr>
            <w:tcW w:w="6516" w:type="dxa"/>
          </w:tcPr>
          <w:p w14:paraId="4C61315A" w14:textId="28826DA8" w:rsidR="00DD3D70" w:rsidRPr="00B25901" w:rsidRDefault="00DD3D70" w:rsidP="00901E24">
            <w:pPr>
              <w:rPr>
                <w:rFonts w:ascii="Segoe UI" w:hAnsi="Segoe UI" w:cs="Segoe UI"/>
                <w:b/>
                <w:bCs/>
              </w:rPr>
            </w:pPr>
            <w:r w:rsidRPr="00B25901">
              <w:rPr>
                <w:rFonts w:ascii="Segoe UI" w:hAnsi="Segoe UI" w:cs="Segoe UI"/>
                <w:b/>
                <w:bCs/>
              </w:rPr>
              <w:t xml:space="preserve">Consumer </w:t>
            </w:r>
          </w:p>
        </w:tc>
        <w:tc>
          <w:tcPr>
            <w:tcW w:w="1134" w:type="dxa"/>
          </w:tcPr>
          <w:p w14:paraId="47AF2987" w14:textId="4C78CE68" w:rsidR="00DD3D70" w:rsidRPr="00B25901" w:rsidRDefault="00DD3D70" w:rsidP="00901E24">
            <w:pPr>
              <w:jc w:val="right"/>
              <w:rPr>
                <w:rFonts w:ascii="Segoe UI" w:hAnsi="Segoe UI" w:cs="Segoe UI"/>
              </w:rPr>
            </w:pPr>
            <w:r w:rsidRPr="00B25901">
              <w:rPr>
                <w:rFonts w:ascii="Segoe UI" w:hAnsi="Segoe UI" w:cs="Segoe UI"/>
              </w:rPr>
              <w:t>0</w:t>
            </w:r>
          </w:p>
        </w:tc>
        <w:tc>
          <w:tcPr>
            <w:tcW w:w="1417" w:type="dxa"/>
          </w:tcPr>
          <w:p w14:paraId="25D90619" w14:textId="3B6294D8" w:rsidR="00DD3D70" w:rsidRPr="00B25901" w:rsidRDefault="00DD3D70" w:rsidP="00901E24">
            <w:pPr>
              <w:jc w:val="right"/>
              <w:rPr>
                <w:rFonts w:ascii="Segoe UI" w:hAnsi="Segoe UI" w:cs="Segoe UI"/>
              </w:rPr>
            </w:pPr>
            <w:r w:rsidRPr="00B25901">
              <w:rPr>
                <w:rFonts w:ascii="Segoe UI" w:hAnsi="Segoe UI" w:cs="Segoe UI"/>
              </w:rPr>
              <w:t>0.00%</w:t>
            </w:r>
          </w:p>
        </w:tc>
      </w:tr>
      <w:tr w:rsidR="00DD3D70" w:rsidRPr="00B25901" w14:paraId="1175DCFC" w14:textId="77777777" w:rsidTr="00901E24">
        <w:trPr>
          <w:trHeight w:hRule="exact" w:val="340"/>
        </w:trPr>
        <w:tc>
          <w:tcPr>
            <w:tcW w:w="6516" w:type="dxa"/>
          </w:tcPr>
          <w:p w14:paraId="4E20057F" w14:textId="5BC071A1" w:rsidR="00DD3D70" w:rsidRPr="00B25901" w:rsidRDefault="00DD3D70" w:rsidP="00901E24">
            <w:pPr>
              <w:rPr>
                <w:rFonts w:ascii="Segoe UI" w:hAnsi="Segoe UI" w:cs="Segoe UI"/>
                <w:b/>
                <w:bCs/>
              </w:rPr>
            </w:pPr>
            <w:r w:rsidRPr="00B25901">
              <w:rPr>
                <w:rFonts w:ascii="Segoe UI" w:hAnsi="Segoe UI" w:cs="Segoe UI"/>
                <w:b/>
                <w:bCs/>
              </w:rPr>
              <w:t xml:space="preserve">Educator </w:t>
            </w:r>
          </w:p>
        </w:tc>
        <w:tc>
          <w:tcPr>
            <w:tcW w:w="1134" w:type="dxa"/>
          </w:tcPr>
          <w:p w14:paraId="3D7FBE11" w14:textId="51933F7A" w:rsidR="00DD3D70" w:rsidRPr="00B25901" w:rsidRDefault="00DD3D70" w:rsidP="00901E24">
            <w:pPr>
              <w:jc w:val="right"/>
              <w:rPr>
                <w:rFonts w:ascii="Segoe UI" w:hAnsi="Segoe UI" w:cs="Segoe UI"/>
              </w:rPr>
            </w:pPr>
            <w:r w:rsidRPr="00B25901">
              <w:rPr>
                <w:rFonts w:ascii="Segoe UI" w:hAnsi="Segoe UI" w:cs="Segoe UI"/>
              </w:rPr>
              <w:t>1</w:t>
            </w:r>
          </w:p>
        </w:tc>
        <w:tc>
          <w:tcPr>
            <w:tcW w:w="1417" w:type="dxa"/>
          </w:tcPr>
          <w:p w14:paraId="68AB5F5A" w14:textId="306CAE3F" w:rsidR="00DD3D70" w:rsidRPr="00B25901" w:rsidRDefault="00DD3D70" w:rsidP="00901E24">
            <w:pPr>
              <w:jc w:val="right"/>
              <w:rPr>
                <w:rFonts w:ascii="Segoe UI" w:hAnsi="Segoe UI" w:cs="Segoe UI"/>
              </w:rPr>
            </w:pPr>
            <w:r w:rsidRPr="00B25901">
              <w:rPr>
                <w:rFonts w:ascii="Segoe UI" w:hAnsi="Segoe UI" w:cs="Segoe UI"/>
              </w:rPr>
              <w:t>1.79%</w:t>
            </w:r>
          </w:p>
        </w:tc>
      </w:tr>
      <w:tr w:rsidR="00DD3D70" w:rsidRPr="00B25901" w14:paraId="4A9A9964" w14:textId="77777777" w:rsidTr="00901E24">
        <w:trPr>
          <w:trHeight w:hRule="exact" w:val="340"/>
        </w:trPr>
        <w:tc>
          <w:tcPr>
            <w:tcW w:w="6516" w:type="dxa"/>
          </w:tcPr>
          <w:p w14:paraId="71AB687D" w14:textId="411078BC" w:rsidR="00DD3D70" w:rsidRPr="00B25901" w:rsidRDefault="00DD3D70" w:rsidP="00901E24">
            <w:pPr>
              <w:rPr>
                <w:rFonts w:ascii="Segoe UI" w:hAnsi="Segoe UI" w:cs="Segoe UI"/>
                <w:b/>
                <w:bCs/>
              </w:rPr>
            </w:pPr>
            <w:r w:rsidRPr="00B25901">
              <w:rPr>
                <w:rFonts w:ascii="Segoe UI" w:hAnsi="Segoe UI" w:cs="Segoe UI"/>
                <w:b/>
                <w:bCs/>
              </w:rPr>
              <w:t xml:space="preserve">Registered Nurse Prescriber </w:t>
            </w:r>
          </w:p>
        </w:tc>
        <w:tc>
          <w:tcPr>
            <w:tcW w:w="1134" w:type="dxa"/>
          </w:tcPr>
          <w:p w14:paraId="57D48569" w14:textId="56EFAEAE" w:rsidR="00DD3D70" w:rsidRPr="00B25901" w:rsidRDefault="00DD3D70" w:rsidP="00901E24">
            <w:pPr>
              <w:jc w:val="right"/>
              <w:rPr>
                <w:rFonts w:ascii="Segoe UI" w:hAnsi="Segoe UI" w:cs="Segoe UI"/>
              </w:rPr>
            </w:pPr>
            <w:r w:rsidRPr="00B25901">
              <w:rPr>
                <w:rFonts w:ascii="Segoe UI" w:hAnsi="Segoe UI" w:cs="Segoe UI"/>
              </w:rPr>
              <w:t>28</w:t>
            </w:r>
          </w:p>
        </w:tc>
        <w:tc>
          <w:tcPr>
            <w:tcW w:w="1417" w:type="dxa"/>
          </w:tcPr>
          <w:p w14:paraId="0F0EECAE" w14:textId="7E5CEF03" w:rsidR="00DD3D70" w:rsidRPr="00B25901" w:rsidRDefault="00DD3D70" w:rsidP="00901E24">
            <w:pPr>
              <w:jc w:val="right"/>
              <w:rPr>
                <w:rFonts w:ascii="Segoe UI" w:hAnsi="Segoe UI" w:cs="Segoe UI"/>
              </w:rPr>
            </w:pPr>
            <w:r w:rsidRPr="00B25901">
              <w:rPr>
                <w:rFonts w:ascii="Segoe UI" w:hAnsi="Segoe UI" w:cs="Segoe UI"/>
              </w:rPr>
              <w:t>50.00%</w:t>
            </w:r>
          </w:p>
        </w:tc>
      </w:tr>
      <w:tr w:rsidR="00DD3D70" w:rsidRPr="00B25901" w14:paraId="396CB944" w14:textId="77777777" w:rsidTr="00901E24">
        <w:trPr>
          <w:trHeight w:hRule="exact" w:val="340"/>
        </w:trPr>
        <w:tc>
          <w:tcPr>
            <w:tcW w:w="6516" w:type="dxa"/>
          </w:tcPr>
          <w:p w14:paraId="2FF4A21C" w14:textId="77777777" w:rsidR="00DD3D70" w:rsidRPr="00B25901" w:rsidRDefault="00DD3D70" w:rsidP="00901E24">
            <w:pPr>
              <w:rPr>
                <w:rFonts w:ascii="Segoe UI" w:hAnsi="Segoe UI" w:cs="Segoe UI"/>
                <w:b/>
                <w:bCs/>
              </w:rPr>
            </w:pPr>
            <w:r w:rsidRPr="00B25901">
              <w:rPr>
                <w:rFonts w:ascii="Segoe UI" w:hAnsi="Segoe UI" w:cs="Segoe UI"/>
                <w:b/>
                <w:bCs/>
              </w:rPr>
              <w:t xml:space="preserve">Registered Nurse </w:t>
            </w:r>
          </w:p>
          <w:p w14:paraId="27FB646D" w14:textId="77777777" w:rsidR="00DD3D70" w:rsidRPr="00B25901" w:rsidRDefault="00DD3D70" w:rsidP="00901E24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134" w:type="dxa"/>
          </w:tcPr>
          <w:p w14:paraId="72486DEE" w14:textId="440D1F14" w:rsidR="00DD3D70" w:rsidRPr="00B25901" w:rsidRDefault="00DD3D70" w:rsidP="00901E24">
            <w:pPr>
              <w:jc w:val="right"/>
              <w:rPr>
                <w:rFonts w:ascii="Segoe UI" w:hAnsi="Segoe UI" w:cs="Segoe UI"/>
              </w:rPr>
            </w:pPr>
            <w:r w:rsidRPr="00B25901">
              <w:rPr>
                <w:rFonts w:ascii="Segoe UI" w:hAnsi="Segoe UI" w:cs="Segoe UI"/>
              </w:rPr>
              <w:t>4</w:t>
            </w:r>
          </w:p>
        </w:tc>
        <w:tc>
          <w:tcPr>
            <w:tcW w:w="1417" w:type="dxa"/>
          </w:tcPr>
          <w:p w14:paraId="5FAE3679" w14:textId="4E6960CF" w:rsidR="00DD3D70" w:rsidRPr="00B25901" w:rsidRDefault="00B20F5C" w:rsidP="00901E24">
            <w:pPr>
              <w:jc w:val="right"/>
              <w:rPr>
                <w:rFonts w:ascii="Segoe UI" w:hAnsi="Segoe UI" w:cs="Segoe UI"/>
              </w:rPr>
            </w:pPr>
            <w:r w:rsidRPr="00B25901">
              <w:rPr>
                <w:rFonts w:ascii="Segoe UI" w:hAnsi="Segoe UI" w:cs="Segoe UI"/>
              </w:rPr>
              <w:t>7.14%</w:t>
            </w:r>
          </w:p>
        </w:tc>
      </w:tr>
      <w:tr w:rsidR="00DD3D70" w:rsidRPr="00B25901" w14:paraId="53404939" w14:textId="77777777" w:rsidTr="00901E24">
        <w:trPr>
          <w:trHeight w:hRule="exact" w:val="340"/>
        </w:trPr>
        <w:tc>
          <w:tcPr>
            <w:tcW w:w="6516" w:type="dxa"/>
          </w:tcPr>
          <w:p w14:paraId="4CC17D8B" w14:textId="77777777" w:rsidR="00DD3D70" w:rsidRPr="00B25901" w:rsidRDefault="00DD3D70" w:rsidP="00901E24">
            <w:pPr>
              <w:rPr>
                <w:rFonts w:ascii="Segoe UI" w:hAnsi="Segoe UI" w:cs="Segoe UI"/>
                <w:b/>
                <w:bCs/>
              </w:rPr>
            </w:pPr>
            <w:r w:rsidRPr="00B25901">
              <w:rPr>
                <w:rFonts w:ascii="Segoe UI" w:hAnsi="Segoe UI" w:cs="Segoe UI"/>
                <w:b/>
                <w:bCs/>
              </w:rPr>
              <w:t xml:space="preserve">Nurse Practitioner </w:t>
            </w:r>
          </w:p>
          <w:p w14:paraId="1B0C4278" w14:textId="77777777" w:rsidR="00DD3D70" w:rsidRPr="00B25901" w:rsidRDefault="00DD3D70" w:rsidP="00901E24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134" w:type="dxa"/>
          </w:tcPr>
          <w:p w14:paraId="405EA420" w14:textId="466E2240" w:rsidR="00DD3D70" w:rsidRPr="00B25901" w:rsidRDefault="00DD3D70" w:rsidP="00901E24">
            <w:pPr>
              <w:jc w:val="right"/>
              <w:rPr>
                <w:rFonts w:ascii="Segoe UI" w:hAnsi="Segoe UI" w:cs="Segoe UI"/>
              </w:rPr>
            </w:pPr>
            <w:r w:rsidRPr="00B25901">
              <w:rPr>
                <w:rFonts w:ascii="Segoe UI" w:hAnsi="Segoe UI" w:cs="Segoe UI"/>
              </w:rPr>
              <w:t>6</w:t>
            </w:r>
          </w:p>
        </w:tc>
        <w:tc>
          <w:tcPr>
            <w:tcW w:w="1417" w:type="dxa"/>
          </w:tcPr>
          <w:p w14:paraId="09CB31C0" w14:textId="4D858995" w:rsidR="00DD3D70" w:rsidRPr="00B25901" w:rsidRDefault="00B20F5C" w:rsidP="00901E24">
            <w:pPr>
              <w:jc w:val="right"/>
              <w:rPr>
                <w:rFonts w:ascii="Segoe UI" w:hAnsi="Segoe UI" w:cs="Segoe UI"/>
              </w:rPr>
            </w:pPr>
            <w:r w:rsidRPr="00B25901">
              <w:rPr>
                <w:rFonts w:ascii="Segoe UI" w:hAnsi="Segoe UI" w:cs="Segoe UI"/>
              </w:rPr>
              <w:t>10.71%</w:t>
            </w:r>
          </w:p>
        </w:tc>
      </w:tr>
      <w:tr w:rsidR="00DD3D70" w:rsidRPr="00B25901" w14:paraId="5170A0CF" w14:textId="77777777" w:rsidTr="00901E24">
        <w:trPr>
          <w:trHeight w:hRule="exact" w:val="340"/>
        </w:trPr>
        <w:tc>
          <w:tcPr>
            <w:tcW w:w="6516" w:type="dxa"/>
          </w:tcPr>
          <w:p w14:paraId="6445EB91" w14:textId="05EEF5B8" w:rsidR="00DD3D70" w:rsidRPr="00B25901" w:rsidRDefault="00DD3D70" w:rsidP="00901E24">
            <w:pPr>
              <w:rPr>
                <w:rFonts w:ascii="Segoe UI" w:hAnsi="Segoe UI" w:cs="Segoe UI"/>
                <w:b/>
                <w:bCs/>
              </w:rPr>
            </w:pPr>
            <w:r w:rsidRPr="00B25901">
              <w:rPr>
                <w:rFonts w:ascii="Segoe UI" w:hAnsi="Segoe UI" w:cs="Segoe UI"/>
                <w:b/>
                <w:bCs/>
              </w:rPr>
              <w:t xml:space="preserve">Medical Practitioner </w:t>
            </w:r>
          </w:p>
        </w:tc>
        <w:tc>
          <w:tcPr>
            <w:tcW w:w="1134" w:type="dxa"/>
          </w:tcPr>
          <w:p w14:paraId="696B0E0A" w14:textId="0A24BEE1" w:rsidR="00DD3D70" w:rsidRPr="00B25901" w:rsidRDefault="00DD3D70" w:rsidP="00901E24">
            <w:pPr>
              <w:jc w:val="right"/>
              <w:rPr>
                <w:rFonts w:ascii="Segoe UI" w:hAnsi="Segoe UI" w:cs="Segoe UI"/>
              </w:rPr>
            </w:pPr>
            <w:r w:rsidRPr="00B25901">
              <w:rPr>
                <w:rFonts w:ascii="Segoe UI" w:hAnsi="Segoe UI" w:cs="Segoe UI"/>
              </w:rPr>
              <w:t>6</w:t>
            </w:r>
          </w:p>
        </w:tc>
        <w:tc>
          <w:tcPr>
            <w:tcW w:w="1417" w:type="dxa"/>
          </w:tcPr>
          <w:p w14:paraId="4B0672D8" w14:textId="5C3A3387" w:rsidR="00DD3D70" w:rsidRPr="00B25901" w:rsidRDefault="00B20F5C" w:rsidP="00901E24">
            <w:pPr>
              <w:jc w:val="right"/>
              <w:rPr>
                <w:rFonts w:ascii="Segoe UI" w:hAnsi="Segoe UI" w:cs="Segoe UI"/>
              </w:rPr>
            </w:pPr>
            <w:r w:rsidRPr="00B25901">
              <w:rPr>
                <w:rFonts w:ascii="Segoe UI" w:hAnsi="Segoe UI" w:cs="Segoe UI"/>
              </w:rPr>
              <w:t>10.71%</w:t>
            </w:r>
          </w:p>
        </w:tc>
      </w:tr>
      <w:tr w:rsidR="00DD3D70" w:rsidRPr="00B25901" w14:paraId="4365C6D0" w14:textId="77777777" w:rsidTr="00901E24">
        <w:trPr>
          <w:trHeight w:hRule="exact" w:val="340"/>
        </w:trPr>
        <w:tc>
          <w:tcPr>
            <w:tcW w:w="6516" w:type="dxa"/>
          </w:tcPr>
          <w:p w14:paraId="3B5548AB" w14:textId="77777777" w:rsidR="00DD3D70" w:rsidRPr="00B25901" w:rsidRDefault="00DD3D70" w:rsidP="00901E24">
            <w:pPr>
              <w:rPr>
                <w:rFonts w:ascii="Segoe UI" w:hAnsi="Segoe UI" w:cs="Segoe UI"/>
                <w:b/>
                <w:bCs/>
              </w:rPr>
            </w:pPr>
            <w:r w:rsidRPr="00B25901">
              <w:rPr>
                <w:rFonts w:ascii="Segoe UI" w:hAnsi="Segoe UI" w:cs="Segoe UI"/>
                <w:b/>
                <w:bCs/>
              </w:rPr>
              <w:t xml:space="preserve">Pharmacist </w:t>
            </w:r>
          </w:p>
          <w:p w14:paraId="68D604F5" w14:textId="77777777" w:rsidR="00DD3D70" w:rsidRPr="00B25901" w:rsidRDefault="00DD3D70" w:rsidP="00901E24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134" w:type="dxa"/>
          </w:tcPr>
          <w:p w14:paraId="75890A16" w14:textId="3EBB781C" w:rsidR="00DD3D70" w:rsidRPr="00B25901" w:rsidRDefault="00DD3D70" w:rsidP="00901E24">
            <w:pPr>
              <w:jc w:val="right"/>
              <w:rPr>
                <w:rFonts w:ascii="Segoe UI" w:hAnsi="Segoe UI" w:cs="Segoe UI"/>
              </w:rPr>
            </w:pPr>
            <w:r w:rsidRPr="00B25901">
              <w:rPr>
                <w:rFonts w:ascii="Segoe UI" w:hAnsi="Segoe UI" w:cs="Segoe UI"/>
              </w:rPr>
              <w:t>3</w:t>
            </w:r>
          </w:p>
        </w:tc>
        <w:tc>
          <w:tcPr>
            <w:tcW w:w="1417" w:type="dxa"/>
          </w:tcPr>
          <w:p w14:paraId="2554DB17" w14:textId="451D183E" w:rsidR="00DD3D70" w:rsidRPr="00B25901" w:rsidRDefault="00B20F5C" w:rsidP="00901E24">
            <w:pPr>
              <w:jc w:val="right"/>
              <w:rPr>
                <w:rFonts w:ascii="Segoe UI" w:hAnsi="Segoe UI" w:cs="Segoe UI"/>
              </w:rPr>
            </w:pPr>
            <w:r w:rsidRPr="00B25901">
              <w:rPr>
                <w:rFonts w:ascii="Segoe UI" w:hAnsi="Segoe UI" w:cs="Segoe UI"/>
              </w:rPr>
              <w:t>5.36%</w:t>
            </w:r>
          </w:p>
        </w:tc>
      </w:tr>
      <w:tr w:rsidR="00DD3D70" w:rsidRPr="00B25901" w14:paraId="2A47DB6D" w14:textId="77777777" w:rsidTr="00901E24">
        <w:trPr>
          <w:trHeight w:hRule="exact" w:val="340"/>
        </w:trPr>
        <w:tc>
          <w:tcPr>
            <w:tcW w:w="6516" w:type="dxa"/>
          </w:tcPr>
          <w:p w14:paraId="00A49A20" w14:textId="77777777" w:rsidR="00DD3D70" w:rsidRPr="00B25901" w:rsidRDefault="00DD3D70" w:rsidP="00901E24">
            <w:pPr>
              <w:rPr>
                <w:rFonts w:ascii="Segoe UI" w:hAnsi="Segoe UI" w:cs="Segoe UI"/>
                <w:b/>
                <w:bCs/>
              </w:rPr>
            </w:pPr>
            <w:r w:rsidRPr="00B25901">
              <w:rPr>
                <w:rFonts w:ascii="Segoe UI" w:hAnsi="Segoe UI" w:cs="Segoe UI"/>
                <w:b/>
                <w:bCs/>
              </w:rPr>
              <w:t xml:space="preserve">Other (please specify below) </w:t>
            </w:r>
          </w:p>
          <w:p w14:paraId="46088C27" w14:textId="77777777" w:rsidR="00DD3D70" w:rsidRPr="00B25901" w:rsidRDefault="00DD3D70" w:rsidP="00901E24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134" w:type="dxa"/>
          </w:tcPr>
          <w:p w14:paraId="50F583BE" w14:textId="38FB90C1" w:rsidR="00DD3D70" w:rsidRPr="00B25901" w:rsidRDefault="00DD3D70" w:rsidP="00901E24">
            <w:pPr>
              <w:jc w:val="right"/>
              <w:rPr>
                <w:rFonts w:ascii="Segoe UI" w:hAnsi="Segoe UI" w:cs="Segoe UI"/>
              </w:rPr>
            </w:pPr>
            <w:r w:rsidRPr="00B25901">
              <w:rPr>
                <w:rFonts w:ascii="Segoe UI" w:hAnsi="Segoe UI" w:cs="Segoe UI"/>
              </w:rPr>
              <w:t>8</w:t>
            </w:r>
          </w:p>
        </w:tc>
        <w:tc>
          <w:tcPr>
            <w:tcW w:w="1417" w:type="dxa"/>
          </w:tcPr>
          <w:p w14:paraId="75CBE61D" w14:textId="50AC9A2E" w:rsidR="00DD3D70" w:rsidRPr="00B25901" w:rsidRDefault="00B20F5C" w:rsidP="00901E24">
            <w:pPr>
              <w:jc w:val="right"/>
              <w:rPr>
                <w:rFonts w:ascii="Segoe UI" w:hAnsi="Segoe UI" w:cs="Segoe UI"/>
              </w:rPr>
            </w:pPr>
            <w:r w:rsidRPr="00B25901">
              <w:rPr>
                <w:rFonts w:ascii="Segoe UI" w:hAnsi="Segoe UI" w:cs="Segoe UI"/>
              </w:rPr>
              <w:t>14.29%</w:t>
            </w:r>
          </w:p>
        </w:tc>
      </w:tr>
      <w:tr w:rsidR="00DD3D70" w:rsidRPr="00B25901" w14:paraId="5F4B6EAB" w14:textId="77777777" w:rsidTr="00901E24">
        <w:trPr>
          <w:trHeight w:hRule="exact" w:val="340"/>
        </w:trPr>
        <w:tc>
          <w:tcPr>
            <w:tcW w:w="6516" w:type="dxa"/>
          </w:tcPr>
          <w:p w14:paraId="7B87D70B" w14:textId="77777777" w:rsidR="00DD3D70" w:rsidRPr="00B25901" w:rsidRDefault="00DD3D70" w:rsidP="00901E24">
            <w:pPr>
              <w:rPr>
                <w:rFonts w:ascii="Segoe UI" w:hAnsi="Segoe UI" w:cs="Segoe UI"/>
                <w:b/>
                <w:bCs/>
              </w:rPr>
            </w:pPr>
            <w:r w:rsidRPr="00B25901">
              <w:rPr>
                <w:rFonts w:ascii="Segoe UI" w:hAnsi="Segoe UI" w:cs="Segoe UI"/>
                <w:b/>
                <w:bCs/>
              </w:rPr>
              <w:t>Not Answered</w:t>
            </w:r>
          </w:p>
          <w:p w14:paraId="181EB148" w14:textId="77777777" w:rsidR="00DD3D70" w:rsidRPr="00B25901" w:rsidRDefault="00DD3D70" w:rsidP="00901E24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134" w:type="dxa"/>
          </w:tcPr>
          <w:p w14:paraId="6C83E71A" w14:textId="25ED1A00" w:rsidR="00DD3D70" w:rsidRPr="00B25901" w:rsidRDefault="00DD3D70" w:rsidP="00901E24">
            <w:pPr>
              <w:jc w:val="right"/>
              <w:rPr>
                <w:rFonts w:ascii="Segoe UI" w:hAnsi="Segoe UI" w:cs="Segoe UI"/>
              </w:rPr>
            </w:pPr>
            <w:r w:rsidRPr="00B25901">
              <w:rPr>
                <w:rFonts w:ascii="Segoe UI" w:hAnsi="Segoe UI" w:cs="Segoe UI"/>
              </w:rPr>
              <w:t>0</w:t>
            </w:r>
          </w:p>
        </w:tc>
        <w:tc>
          <w:tcPr>
            <w:tcW w:w="1417" w:type="dxa"/>
          </w:tcPr>
          <w:p w14:paraId="1B45C962" w14:textId="68C8AE6F" w:rsidR="00DD3D70" w:rsidRPr="00B25901" w:rsidRDefault="00B20F5C" w:rsidP="00901E24">
            <w:pPr>
              <w:jc w:val="right"/>
              <w:rPr>
                <w:rFonts w:ascii="Segoe UI" w:hAnsi="Segoe UI" w:cs="Segoe UI"/>
              </w:rPr>
            </w:pPr>
            <w:r w:rsidRPr="00B25901">
              <w:rPr>
                <w:rFonts w:ascii="Segoe UI" w:hAnsi="Segoe UI" w:cs="Segoe UI"/>
              </w:rPr>
              <w:t>0.00%</w:t>
            </w:r>
          </w:p>
        </w:tc>
      </w:tr>
    </w:tbl>
    <w:p w14:paraId="7DDE957F" w14:textId="77777777" w:rsidR="003C4E02" w:rsidRDefault="003C4E02" w:rsidP="00DD3D70">
      <w:pPr>
        <w:pStyle w:val="Heading2"/>
        <w:rPr>
          <w:rFonts w:ascii="Segoe UI" w:hAnsi="Segoe UI" w:cs="Segoe UI"/>
          <w:b/>
          <w:bCs/>
          <w:color w:val="1F3864" w:themeColor="accent1" w:themeShade="80"/>
          <w:sz w:val="32"/>
          <w:szCs w:val="32"/>
        </w:rPr>
      </w:pPr>
    </w:p>
    <w:p w14:paraId="0C393DB7" w14:textId="323A33B6" w:rsidR="00DD3D70" w:rsidRPr="00B25901" w:rsidRDefault="00C542F7" w:rsidP="00DD3D70">
      <w:pPr>
        <w:pStyle w:val="Heading2"/>
        <w:rPr>
          <w:rFonts w:ascii="Segoe UI" w:hAnsi="Segoe UI" w:cs="Segoe UI"/>
          <w:b/>
          <w:bCs/>
          <w:color w:val="1F3864" w:themeColor="accent1" w:themeShade="80"/>
          <w:sz w:val="32"/>
          <w:szCs w:val="32"/>
        </w:rPr>
      </w:pPr>
      <w:r>
        <w:rPr>
          <w:rFonts w:ascii="Segoe UI" w:hAnsi="Segoe UI" w:cs="Segoe UI"/>
          <w:b/>
          <w:bCs/>
          <w:color w:val="1F3864" w:themeColor="accent1" w:themeShade="80"/>
          <w:sz w:val="32"/>
          <w:szCs w:val="32"/>
        </w:rPr>
        <w:t>Summary of Submissions</w:t>
      </w:r>
    </w:p>
    <w:p w14:paraId="7B0E65EB" w14:textId="1B146B1C" w:rsidR="00AC0A37" w:rsidRPr="00B25901" w:rsidRDefault="005C33A5" w:rsidP="00AC0A37">
      <w:pPr>
        <w:jc w:val="both"/>
        <w:rPr>
          <w:rFonts w:ascii="Segoe UI" w:hAnsi="Segoe UI" w:cs="Segoe UI"/>
        </w:rPr>
      </w:pPr>
      <w:r w:rsidRPr="00B25901">
        <w:rPr>
          <w:rFonts w:ascii="Segoe UI" w:hAnsi="Segoe UI" w:cs="Segoe UI"/>
        </w:rPr>
        <w:t>The majority (89.29%) of submitters supported the proposal. 14</w:t>
      </w:r>
      <w:r w:rsidR="00AC0A37" w:rsidRPr="00B25901">
        <w:rPr>
          <w:rFonts w:ascii="Segoe UI" w:hAnsi="Segoe UI" w:cs="Segoe UI"/>
        </w:rPr>
        <w:t xml:space="preserve"> out of </w:t>
      </w:r>
      <w:r w:rsidRPr="00B25901">
        <w:rPr>
          <w:rFonts w:ascii="Segoe UI" w:hAnsi="Segoe UI" w:cs="Segoe UI"/>
        </w:rPr>
        <w:t>15 of the organizational submitters a</w:t>
      </w:r>
      <w:r w:rsidR="00AC0A37" w:rsidRPr="00B25901">
        <w:rPr>
          <w:rFonts w:ascii="Segoe UI" w:hAnsi="Segoe UI" w:cs="Segoe UI"/>
        </w:rPr>
        <w:t>greed with the proposed prescription medicines being added</w:t>
      </w:r>
      <w:r w:rsidR="00C85A6A">
        <w:rPr>
          <w:rFonts w:ascii="Segoe UI" w:hAnsi="Segoe UI" w:cs="Segoe UI"/>
        </w:rPr>
        <w:t xml:space="preserve"> to the list</w:t>
      </w:r>
      <w:r w:rsidRPr="00B25901">
        <w:rPr>
          <w:rFonts w:ascii="Segoe UI" w:hAnsi="Segoe UI" w:cs="Segoe UI"/>
        </w:rPr>
        <w:t>. The reasons given were:</w:t>
      </w:r>
    </w:p>
    <w:p w14:paraId="1B8FBF08" w14:textId="71FA8A6C" w:rsidR="00AC0A37" w:rsidRPr="00B25901" w:rsidRDefault="00AC0A37" w:rsidP="00AC0A37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</w:rPr>
      </w:pPr>
      <w:r w:rsidRPr="00B25901">
        <w:rPr>
          <w:rFonts w:ascii="Segoe UI" w:hAnsi="Segoe UI" w:cs="Segoe UI"/>
        </w:rPr>
        <w:t>It benefits patients with COVID-19</w:t>
      </w:r>
    </w:p>
    <w:p w14:paraId="74A043D6" w14:textId="3552A71F" w:rsidR="00AC0A37" w:rsidRPr="00B25901" w:rsidRDefault="00AC0A37" w:rsidP="00AC0A37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</w:rPr>
      </w:pPr>
      <w:r w:rsidRPr="00B25901">
        <w:rPr>
          <w:rFonts w:ascii="Segoe UI" w:hAnsi="Segoe UI" w:cs="Segoe UI"/>
        </w:rPr>
        <w:t>There are clear funding and eligibility requirements</w:t>
      </w:r>
    </w:p>
    <w:p w14:paraId="43574FD8" w14:textId="05A1172E" w:rsidR="00AC0A37" w:rsidRPr="00B25901" w:rsidRDefault="00AC0A37" w:rsidP="00AC0A37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</w:rPr>
      </w:pPr>
      <w:r w:rsidRPr="00B25901">
        <w:rPr>
          <w:rFonts w:ascii="Segoe UI" w:hAnsi="Segoe UI" w:cs="Segoe UI"/>
        </w:rPr>
        <w:t>There is a timeliness required for prescribing these medicines and authorised prescribers are not always available; and</w:t>
      </w:r>
    </w:p>
    <w:p w14:paraId="079EE8EA" w14:textId="037A2628" w:rsidR="00AC0A37" w:rsidRPr="00B25901" w:rsidRDefault="00AC0A37" w:rsidP="00AC0A37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</w:rPr>
      </w:pPr>
      <w:r w:rsidRPr="00B25901">
        <w:rPr>
          <w:rFonts w:ascii="Segoe UI" w:hAnsi="Segoe UI" w:cs="Segoe UI"/>
        </w:rPr>
        <w:t>It will increase access for Māori, Pacific Peoples, and people with disabilities.</w:t>
      </w:r>
    </w:p>
    <w:p w14:paraId="007CBDE7" w14:textId="7793CE7F" w:rsidR="00AC0A37" w:rsidRPr="00B25901" w:rsidRDefault="00AC0A37" w:rsidP="00AC0A37">
      <w:pPr>
        <w:jc w:val="both"/>
        <w:rPr>
          <w:rFonts w:ascii="Segoe UI" w:hAnsi="Segoe UI" w:cs="Segoe UI"/>
        </w:rPr>
      </w:pPr>
      <w:r w:rsidRPr="00B25901">
        <w:rPr>
          <w:rFonts w:ascii="Segoe UI" w:hAnsi="Segoe UI" w:cs="Segoe UI"/>
        </w:rPr>
        <w:t>Submitters supported registered nurse prescribing, noted that they work as part of a team and this proposal will spread the prescribing across stretched teams.</w:t>
      </w:r>
    </w:p>
    <w:p w14:paraId="1BEFF0D6" w14:textId="060F39B5" w:rsidR="005C33A5" w:rsidRPr="00B25901" w:rsidRDefault="00AC0A37" w:rsidP="00AC0A37">
      <w:pPr>
        <w:jc w:val="both"/>
        <w:rPr>
          <w:rFonts w:ascii="Segoe UI" w:hAnsi="Segoe UI" w:cs="Segoe UI"/>
        </w:rPr>
      </w:pPr>
      <w:r w:rsidRPr="00B25901">
        <w:rPr>
          <w:rFonts w:ascii="Segoe UI" w:hAnsi="Segoe UI" w:cs="Segoe UI"/>
        </w:rPr>
        <w:t>Of those not in favour (11%) of the medicines being added</w:t>
      </w:r>
      <w:r w:rsidR="00C85A6A">
        <w:rPr>
          <w:rFonts w:ascii="Segoe UI" w:hAnsi="Segoe UI" w:cs="Segoe UI"/>
        </w:rPr>
        <w:t xml:space="preserve"> to the list</w:t>
      </w:r>
      <w:r w:rsidRPr="00B25901">
        <w:rPr>
          <w:rFonts w:ascii="Segoe UI" w:hAnsi="Segoe UI" w:cs="Segoe UI"/>
        </w:rPr>
        <w:t xml:space="preserve">, reasons included the possible adverse events from medicine interactions, </w:t>
      </w:r>
      <w:proofErr w:type="spellStart"/>
      <w:r w:rsidRPr="00B25901">
        <w:rPr>
          <w:rFonts w:ascii="Segoe UI" w:hAnsi="Segoe UI" w:cs="Segoe UI"/>
        </w:rPr>
        <w:t>Paxlovid</w:t>
      </w:r>
      <w:proofErr w:type="spellEnd"/>
      <w:r w:rsidRPr="00B25901">
        <w:rPr>
          <w:rFonts w:ascii="Segoe UI" w:hAnsi="Segoe UI" w:cs="Segoe UI"/>
        </w:rPr>
        <w:t xml:space="preserve">™ being a medicine with significant and complex interactions, and </w:t>
      </w:r>
      <w:r w:rsidR="002974F8">
        <w:rPr>
          <w:rFonts w:ascii="Segoe UI" w:hAnsi="Segoe UI" w:cs="Segoe UI"/>
        </w:rPr>
        <w:t>that it can be</w:t>
      </w:r>
      <w:r w:rsidRPr="00B25901">
        <w:rPr>
          <w:rFonts w:ascii="Segoe UI" w:hAnsi="Segoe UI" w:cs="Segoe UI"/>
        </w:rPr>
        <w:t xml:space="preserve"> complex to prescribe in </w:t>
      </w:r>
      <w:r w:rsidR="00651A2D">
        <w:rPr>
          <w:rFonts w:ascii="Segoe UI" w:hAnsi="Segoe UI" w:cs="Segoe UI"/>
        </w:rPr>
        <w:t xml:space="preserve">patients with multiple </w:t>
      </w:r>
      <w:r w:rsidRPr="00B25901">
        <w:rPr>
          <w:rFonts w:ascii="Segoe UI" w:hAnsi="Segoe UI" w:cs="Segoe UI"/>
        </w:rPr>
        <w:t>comorbid</w:t>
      </w:r>
      <w:r w:rsidR="00651A2D">
        <w:rPr>
          <w:rFonts w:ascii="Segoe UI" w:hAnsi="Segoe UI" w:cs="Segoe UI"/>
        </w:rPr>
        <w:t>ities</w:t>
      </w:r>
      <w:r w:rsidRPr="00B25901">
        <w:rPr>
          <w:rFonts w:ascii="Segoe UI" w:hAnsi="Segoe UI" w:cs="Segoe UI"/>
        </w:rPr>
        <w:t xml:space="preserve"> </w:t>
      </w:r>
      <w:r w:rsidR="00651A2D">
        <w:rPr>
          <w:rFonts w:ascii="Segoe UI" w:hAnsi="Segoe UI" w:cs="Segoe UI"/>
        </w:rPr>
        <w:t>and</w:t>
      </w:r>
      <w:r w:rsidRPr="00B25901">
        <w:rPr>
          <w:rFonts w:ascii="Segoe UI" w:hAnsi="Segoe UI" w:cs="Segoe UI"/>
        </w:rPr>
        <w:t xml:space="preserve"> polypharmacy (i.e., those most likely to benefit). Medical practitioners noted that through their prescribing of these therapeutics, they have had to make trade-offs between medicines and that communication was required with hospital specialists to inform prescribing decisions.</w:t>
      </w:r>
    </w:p>
    <w:p w14:paraId="3A341CF1" w14:textId="385FBAB3" w:rsidR="0062354F" w:rsidRDefault="0062354F" w:rsidP="00DD3D70">
      <w:pPr>
        <w:pStyle w:val="Heading2"/>
        <w:rPr>
          <w:b/>
          <w:bCs/>
        </w:rPr>
      </w:pPr>
    </w:p>
    <w:p w14:paraId="4B8A416A" w14:textId="11D87360" w:rsidR="00F43638" w:rsidRPr="00F43638" w:rsidRDefault="00F43638" w:rsidP="00F43638"/>
    <w:sectPr w:rsidR="00F43638" w:rsidRPr="00F4363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99DCD" w14:textId="77777777" w:rsidR="003339D4" w:rsidRDefault="003339D4" w:rsidP="00AC0A37">
      <w:pPr>
        <w:spacing w:after="0" w:line="240" w:lineRule="auto"/>
      </w:pPr>
      <w:r>
        <w:separator/>
      </w:r>
    </w:p>
  </w:endnote>
  <w:endnote w:type="continuationSeparator" w:id="0">
    <w:p w14:paraId="045F8DA3" w14:textId="77777777" w:rsidR="003339D4" w:rsidRDefault="003339D4" w:rsidP="00AC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5264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19A5F" w14:textId="32FD25B4" w:rsidR="00AC0A37" w:rsidRDefault="00AC0A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E8E48" w14:textId="0D34747B" w:rsidR="00AC0A37" w:rsidRPr="00736C2C" w:rsidRDefault="00736C2C">
    <w:pPr>
      <w:pStyle w:val="Footer"/>
      <w:rPr>
        <w:color w:val="AEAAAA" w:themeColor="background2" w:themeShade="BF"/>
      </w:rPr>
    </w:pPr>
    <w:r w:rsidRPr="00736C2C">
      <w:rPr>
        <w:color w:val="AEAAAA" w:themeColor="background2" w:themeShade="BF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9930D" w14:textId="77777777" w:rsidR="003339D4" w:rsidRDefault="003339D4" w:rsidP="00AC0A37">
      <w:pPr>
        <w:spacing w:after="0" w:line="240" w:lineRule="auto"/>
      </w:pPr>
      <w:r>
        <w:separator/>
      </w:r>
    </w:p>
  </w:footnote>
  <w:footnote w:type="continuationSeparator" w:id="0">
    <w:p w14:paraId="00D896F2" w14:textId="77777777" w:rsidR="003339D4" w:rsidRDefault="003339D4" w:rsidP="00AC0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51500"/>
    <w:multiLevelType w:val="hybridMultilevel"/>
    <w:tmpl w:val="86CEFE28"/>
    <w:lvl w:ilvl="0" w:tplc="F240207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7BC4"/>
    <w:multiLevelType w:val="hybridMultilevel"/>
    <w:tmpl w:val="B17A12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929FE"/>
    <w:multiLevelType w:val="hybridMultilevel"/>
    <w:tmpl w:val="45DA13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73ACB"/>
    <w:multiLevelType w:val="hybridMultilevel"/>
    <w:tmpl w:val="9BD254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70"/>
    <w:rsid w:val="00076CCC"/>
    <w:rsid w:val="000F6A2E"/>
    <w:rsid w:val="002974F8"/>
    <w:rsid w:val="002D28B9"/>
    <w:rsid w:val="003339D4"/>
    <w:rsid w:val="003B3A71"/>
    <w:rsid w:val="003C4E02"/>
    <w:rsid w:val="003F0232"/>
    <w:rsid w:val="004444D2"/>
    <w:rsid w:val="004E662B"/>
    <w:rsid w:val="00526429"/>
    <w:rsid w:val="00594588"/>
    <w:rsid w:val="005C33A5"/>
    <w:rsid w:val="005E6B51"/>
    <w:rsid w:val="0062354F"/>
    <w:rsid w:val="00651A2D"/>
    <w:rsid w:val="006916BF"/>
    <w:rsid w:val="006B0CDE"/>
    <w:rsid w:val="00715734"/>
    <w:rsid w:val="00736C2C"/>
    <w:rsid w:val="007D2F9E"/>
    <w:rsid w:val="00823098"/>
    <w:rsid w:val="00834204"/>
    <w:rsid w:val="00894986"/>
    <w:rsid w:val="00901E24"/>
    <w:rsid w:val="009B509F"/>
    <w:rsid w:val="00AB7793"/>
    <w:rsid w:val="00AC0A37"/>
    <w:rsid w:val="00AC48CD"/>
    <w:rsid w:val="00AF03FC"/>
    <w:rsid w:val="00AF6831"/>
    <w:rsid w:val="00B20F5C"/>
    <w:rsid w:val="00B25901"/>
    <w:rsid w:val="00B3660B"/>
    <w:rsid w:val="00BE0ED2"/>
    <w:rsid w:val="00C24CDC"/>
    <w:rsid w:val="00C542F7"/>
    <w:rsid w:val="00C85A6A"/>
    <w:rsid w:val="00CE212E"/>
    <w:rsid w:val="00D80AD9"/>
    <w:rsid w:val="00DD3D70"/>
    <w:rsid w:val="00E93AAA"/>
    <w:rsid w:val="00EE276F"/>
    <w:rsid w:val="00F43638"/>
    <w:rsid w:val="00F55172"/>
    <w:rsid w:val="00F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03115"/>
  <w15:chartTrackingRefBased/>
  <w15:docId w15:val="{F1397FCB-A77A-47EB-9053-812E91D1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D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D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3D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D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A37"/>
  </w:style>
  <w:style w:type="paragraph" w:styleId="Footer">
    <w:name w:val="footer"/>
    <w:basedOn w:val="Normal"/>
    <w:link w:val="FooterChar"/>
    <w:uiPriority w:val="99"/>
    <w:unhideWhenUsed/>
    <w:rsid w:val="00AC0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3308</Characters>
  <Application>Microsoft Office Word</Application>
  <DocSecurity>0</DocSecurity>
  <Lines>91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Taylor</dc:creator>
  <cp:keywords/>
  <dc:description/>
  <cp:lastModifiedBy>Edie Taylor</cp:lastModifiedBy>
  <cp:revision>5</cp:revision>
  <dcterms:created xsi:type="dcterms:W3CDTF">2022-08-03T04:00:00Z</dcterms:created>
  <dcterms:modified xsi:type="dcterms:W3CDTF">2022-08-09T01:13:00Z</dcterms:modified>
</cp:coreProperties>
</file>